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52A31" w14:textId="7F3351FF" w:rsidR="00EE1A4B" w:rsidRDefault="004A405D" w:rsidP="004A405D">
      <w:pPr>
        <w:jc w:val="center"/>
      </w:pPr>
      <w:r w:rsidRPr="004A405D">
        <w:rPr>
          <w:noProof/>
          <w:sz w:val="20"/>
          <w:szCs w:val="20"/>
        </w:rPr>
        <w:drawing>
          <wp:inline distT="0" distB="0" distL="0" distR="0" wp14:anchorId="6EDD92C1" wp14:editId="6329413B">
            <wp:extent cx="3349256" cy="110349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8"/>
                    <a:srcRect/>
                    <a:stretch>
                      <a:fillRect/>
                    </a:stretch>
                  </pic:blipFill>
                  <pic:spPr>
                    <a:xfrm>
                      <a:off x="0" y="0"/>
                      <a:ext cx="3371583" cy="1110853"/>
                    </a:xfrm>
                    <a:prstGeom prst="rect">
                      <a:avLst/>
                    </a:prstGeom>
                  </pic:spPr>
                </pic:pic>
              </a:graphicData>
            </a:graphic>
          </wp:inline>
        </w:drawing>
      </w:r>
    </w:p>
    <w:p w14:paraId="752CA8B0" w14:textId="4D5052C9" w:rsidR="006B305A" w:rsidRDefault="006B305A"/>
    <w:p w14:paraId="1D84C3C3" w14:textId="0956C20C" w:rsidR="006B305A" w:rsidRDefault="006B305A"/>
    <w:p w14:paraId="605EEE4B" w14:textId="34E8AC55" w:rsidR="006B305A" w:rsidRDefault="006B305A"/>
    <w:p w14:paraId="5D2800BC" w14:textId="62B10D8D" w:rsidR="006B305A" w:rsidRDefault="006B305A"/>
    <w:p w14:paraId="3D61D195" w14:textId="6CB22887" w:rsidR="006B305A" w:rsidRDefault="006B305A"/>
    <w:p w14:paraId="7C3D66F7" w14:textId="77777777" w:rsidR="004A405D" w:rsidRDefault="004A405D" w:rsidP="006B305A">
      <w:pPr>
        <w:jc w:val="center"/>
        <w:rPr>
          <w:rFonts w:ascii="Times New Roman" w:hAnsi="Times New Roman" w:cs="Times New Roman"/>
          <w:b/>
          <w:color w:val="0070C0"/>
          <w:sz w:val="56"/>
        </w:rPr>
      </w:pPr>
    </w:p>
    <w:p w14:paraId="1A65AFE1" w14:textId="40B85FBB" w:rsidR="006B305A" w:rsidRPr="006B305A" w:rsidRDefault="006B305A" w:rsidP="006B305A">
      <w:pPr>
        <w:jc w:val="center"/>
        <w:rPr>
          <w:rFonts w:ascii="Times New Roman" w:hAnsi="Times New Roman" w:cs="Times New Roman"/>
          <w:b/>
          <w:color w:val="0070C0"/>
          <w:sz w:val="56"/>
        </w:rPr>
      </w:pPr>
      <w:r w:rsidRPr="006B305A">
        <w:rPr>
          <w:rFonts w:ascii="Times New Roman" w:hAnsi="Times New Roman" w:cs="Times New Roman"/>
          <w:b/>
          <w:color w:val="0070C0"/>
          <w:sz w:val="56"/>
        </w:rPr>
        <w:t xml:space="preserve">Informacja o sytuacji osób starszych </w:t>
      </w:r>
      <w:r w:rsidRPr="006B305A">
        <w:rPr>
          <w:rFonts w:ascii="Times New Roman" w:hAnsi="Times New Roman" w:cs="Times New Roman"/>
          <w:b/>
          <w:color w:val="0070C0"/>
          <w:sz w:val="56"/>
        </w:rPr>
        <w:br/>
        <w:t>w Polsce za 2022 r.</w:t>
      </w:r>
    </w:p>
    <w:p w14:paraId="09C9B65C" w14:textId="75417704" w:rsidR="006B305A" w:rsidRDefault="006B305A"/>
    <w:p w14:paraId="6B7FBE79" w14:textId="1EBB2910" w:rsidR="006B305A" w:rsidRDefault="006B305A"/>
    <w:p w14:paraId="0D22FD18" w14:textId="125430A1" w:rsidR="006B305A" w:rsidRDefault="006B305A"/>
    <w:p w14:paraId="42DA38BA" w14:textId="48BEFFCD" w:rsidR="006B305A" w:rsidRDefault="006B305A"/>
    <w:p w14:paraId="62683935" w14:textId="53678902" w:rsidR="006B305A" w:rsidRDefault="006B305A"/>
    <w:p w14:paraId="45FFFB00" w14:textId="084D10B6" w:rsidR="006B305A" w:rsidRDefault="006B305A"/>
    <w:p w14:paraId="0F86C434" w14:textId="4021A734" w:rsidR="006B305A" w:rsidRDefault="006B305A"/>
    <w:p w14:paraId="66184516" w14:textId="4C1F5CF8" w:rsidR="006B305A" w:rsidRDefault="006B305A"/>
    <w:p w14:paraId="6A3E7939" w14:textId="79BD6575" w:rsidR="006B305A" w:rsidRDefault="006B305A"/>
    <w:p w14:paraId="71EA2CF7" w14:textId="3FCBFC7D" w:rsidR="006B305A" w:rsidRDefault="006B305A"/>
    <w:p w14:paraId="0FA20B86" w14:textId="56A0CB6D" w:rsidR="006B305A" w:rsidRDefault="006B305A"/>
    <w:p w14:paraId="71A8F3D4" w14:textId="799F070B" w:rsidR="006B305A" w:rsidRDefault="006B305A"/>
    <w:p w14:paraId="64DE3B16" w14:textId="3C8DB234" w:rsidR="006B305A" w:rsidRDefault="006B305A"/>
    <w:p w14:paraId="22FA4E5B" w14:textId="779CCE40" w:rsidR="006B305A" w:rsidRDefault="006B305A"/>
    <w:p w14:paraId="55A15B3E" w14:textId="2A364C3E" w:rsidR="006B305A" w:rsidRDefault="006B305A"/>
    <w:p w14:paraId="10984F48" w14:textId="7E429651" w:rsidR="006B305A" w:rsidRDefault="006B305A" w:rsidP="00735CAA">
      <w:pPr>
        <w:spacing w:after="0"/>
        <w:jc w:val="center"/>
        <w:rPr>
          <w:rFonts w:ascii="Times New Roman" w:hAnsi="Times New Roman" w:cs="Times New Roman"/>
          <w:sz w:val="28"/>
        </w:rPr>
      </w:pPr>
      <w:r>
        <w:rPr>
          <w:rFonts w:ascii="Times New Roman" w:hAnsi="Times New Roman" w:cs="Times New Roman"/>
          <w:sz w:val="28"/>
        </w:rPr>
        <w:t xml:space="preserve">Warszawa, </w:t>
      </w:r>
      <w:r w:rsidRPr="00B52FF0">
        <w:rPr>
          <w:rFonts w:ascii="Times New Roman" w:hAnsi="Times New Roman" w:cs="Times New Roman"/>
          <w:sz w:val="28"/>
        </w:rPr>
        <w:t>202</w:t>
      </w:r>
      <w:r>
        <w:rPr>
          <w:rFonts w:ascii="Times New Roman" w:hAnsi="Times New Roman" w:cs="Times New Roman"/>
          <w:sz w:val="28"/>
        </w:rPr>
        <w:t>3</w:t>
      </w:r>
      <w:r w:rsidRPr="00B52FF0">
        <w:rPr>
          <w:rFonts w:ascii="Times New Roman" w:hAnsi="Times New Roman" w:cs="Times New Roman"/>
          <w:sz w:val="28"/>
        </w:rPr>
        <w:t xml:space="preserve"> r.</w:t>
      </w:r>
    </w:p>
    <w:p w14:paraId="5B8D9A49" w14:textId="6264BBE8" w:rsidR="00CD60FD" w:rsidRDefault="00CD60FD" w:rsidP="00735CAA">
      <w:pPr>
        <w:spacing w:after="0"/>
        <w:jc w:val="center"/>
        <w:rPr>
          <w:rFonts w:ascii="Times New Roman" w:hAnsi="Times New Roman" w:cs="Times New Roman"/>
          <w:sz w:val="28"/>
        </w:rPr>
      </w:pPr>
    </w:p>
    <w:p w14:paraId="4D89A7DF" w14:textId="34F9E1C4" w:rsidR="00CD60FD" w:rsidRDefault="00CD60FD" w:rsidP="00735CAA">
      <w:pPr>
        <w:spacing w:after="0"/>
        <w:jc w:val="center"/>
        <w:rPr>
          <w:rFonts w:ascii="Times New Roman" w:hAnsi="Times New Roman" w:cs="Times New Roman"/>
          <w:sz w:val="28"/>
        </w:rPr>
      </w:pPr>
    </w:p>
    <w:p w14:paraId="7156E82D" w14:textId="2E160D98" w:rsidR="00CD60FD" w:rsidRDefault="00CD60FD" w:rsidP="00735CAA">
      <w:pPr>
        <w:spacing w:after="0"/>
        <w:jc w:val="center"/>
        <w:rPr>
          <w:rFonts w:ascii="Times New Roman" w:hAnsi="Times New Roman" w:cs="Times New Roman"/>
          <w:sz w:val="28"/>
        </w:rPr>
      </w:pPr>
    </w:p>
    <w:p w14:paraId="1F1454D1" w14:textId="6A068C2C" w:rsidR="00CD60FD" w:rsidRDefault="00CD60FD" w:rsidP="00735CAA">
      <w:pPr>
        <w:spacing w:after="0"/>
        <w:jc w:val="center"/>
        <w:rPr>
          <w:rFonts w:ascii="Times New Roman" w:hAnsi="Times New Roman" w:cs="Times New Roman"/>
          <w:sz w:val="28"/>
        </w:rPr>
      </w:pPr>
    </w:p>
    <w:p w14:paraId="183C614F" w14:textId="5F6DC7B3" w:rsidR="00CD60FD" w:rsidRDefault="00CD60FD" w:rsidP="00735CAA">
      <w:pPr>
        <w:spacing w:after="0"/>
        <w:jc w:val="center"/>
        <w:rPr>
          <w:rFonts w:ascii="Times New Roman" w:hAnsi="Times New Roman" w:cs="Times New Roman"/>
          <w:sz w:val="28"/>
        </w:rPr>
      </w:pPr>
    </w:p>
    <w:p w14:paraId="1192FA1E" w14:textId="4E920D71" w:rsidR="00CD60FD" w:rsidRDefault="00CD60FD" w:rsidP="00735CAA">
      <w:pPr>
        <w:spacing w:after="0"/>
        <w:jc w:val="center"/>
        <w:rPr>
          <w:rFonts w:ascii="Times New Roman" w:hAnsi="Times New Roman" w:cs="Times New Roman"/>
          <w:sz w:val="28"/>
        </w:rPr>
      </w:pPr>
    </w:p>
    <w:p w14:paraId="541A78E6" w14:textId="169CE906" w:rsidR="00CD60FD" w:rsidRDefault="00CD60FD" w:rsidP="00735CAA">
      <w:pPr>
        <w:spacing w:after="0"/>
        <w:jc w:val="center"/>
        <w:rPr>
          <w:rFonts w:ascii="Times New Roman" w:hAnsi="Times New Roman" w:cs="Times New Roman"/>
          <w:sz w:val="28"/>
        </w:rPr>
      </w:pPr>
    </w:p>
    <w:p w14:paraId="1CA43A03" w14:textId="63524CB8" w:rsidR="00CD60FD" w:rsidRDefault="00CD60FD" w:rsidP="00735CAA">
      <w:pPr>
        <w:spacing w:after="0"/>
        <w:jc w:val="center"/>
        <w:rPr>
          <w:rFonts w:ascii="Times New Roman" w:hAnsi="Times New Roman" w:cs="Times New Roman"/>
          <w:sz w:val="28"/>
        </w:rPr>
      </w:pPr>
    </w:p>
    <w:p w14:paraId="6756218F" w14:textId="6E52484F" w:rsidR="00CD60FD" w:rsidRDefault="00CD60FD" w:rsidP="00735CAA">
      <w:pPr>
        <w:spacing w:after="0"/>
        <w:jc w:val="center"/>
        <w:rPr>
          <w:rFonts w:ascii="Times New Roman" w:hAnsi="Times New Roman" w:cs="Times New Roman"/>
          <w:sz w:val="28"/>
        </w:rPr>
      </w:pPr>
    </w:p>
    <w:p w14:paraId="65ACE4F9" w14:textId="34D9226A" w:rsidR="00CD60FD" w:rsidRDefault="00CD60FD" w:rsidP="00735CAA">
      <w:pPr>
        <w:spacing w:after="0"/>
        <w:jc w:val="center"/>
        <w:rPr>
          <w:rFonts w:ascii="Times New Roman" w:hAnsi="Times New Roman" w:cs="Times New Roman"/>
          <w:sz w:val="28"/>
        </w:rPr>
      </w:pPr>
    </w:p>
    <w:p w14:paraId="0909FCF3" w14:textId="5F39B1D8" w:rsidR="00CD60FD" w:rsidRDefault="00CD60FD" w:rsidP="00735CAA">
      <w:pPr>
        <w:spacing w:after="0"/>
        <w:jc w:val="center"/>
        <w:rPr>
          <w:rFonts w:ascii="Times New Roman" w:hAnsi="Times New Roman" w:cs="Times New Roman"/>
          <w:sz w:val="28"/>
        </w:rPr>
      </w:pPr>
    </w:p>
    <w:p w14:paraId="436894D1" w14:textId="1E21FE9A" w:rsidR="00CD60FD" w:rsidRDefault="00CD60FD" w:rsidP="00735CAA">
      <w:pPr>
        <w:spacing w:after="0"/>
        <w:jc w:val="center"/>
        <w:rPr>
          <w:rFonts w:ascii="Times New Roman" w:hAnsi="Times New Roman" w:cs="Times New Roman"/>
          <w:sz w:val="28"/>
        </w:rPr>
      </w:pPr>
    </w:p>
    <w:p w14:paraId="19312A45" w14:textId="0E2F681E" w:rsidR="00CD60FD" w:rsidRDefault="00CD60FD" w:rsidP="00735CAA">
      <w:pPr>
        <w:spacing w:after="0"/>
        <w:jc w:val="center"/>
        <w:rPr>
          <w:rFonts w:ascii="Times New Roman" w:hAnsi="Times New Roman" w:cs="Times New Roman"/>
          <w:sz w:val="28"/>
        </w:rPr>
      </w:pPr>
    </w:p>
    <w:p w14:paraId="4BBA1293" w14:textId="3C677CC6" w:rsidR="00CD60FD" w:rsidRDefault="00CD60FD" w:rsidP="00735CAA">
      <w:pPr>
        <w:spacing w:after="0"/>
        <w:jc w:val="center"/>
        <w:rPr>
          <w:rFonts w:ascii="Times New Roman" w:hAnsi="Times New Roman" w:cs="Times New Roman"/>
          <w:sz w:val="28"/>
        </w:rPr>
      </w:pPr>
    </w:p>
    <w:p w14:paraId="692A9CEE" w14:textId="22D350F9" w:rsidR="00CD60FD" w:rsidRDefault="00CD60FD" w:rsidP="00735CAA">
      <w:pPr>
        <w:spacing w:after="0"/>
        <w:jc w:val="center"/>
        <w:rPr>
          <w:rFonts w:ascii="Times New Roman" w:hAnsi="Times New Roman" w:cs="Times New Roman"/>
          <w:sz w:val="28"/>
        </w:rPr>
      </w:pPr>
    </w:p>
    <w:p w14:paraId="1FD61343" w14:textId="72ADAAA8" w:rsidR="00CD60FD" w:rsidRDefault="00CD60FD" w:rsidP="00735CAA">
      <w:pPr>
        <w:spacing w:after="0"/>
        <w:jc w:val="center"/>
        <w:rPr>
          <w:rFonts w:ascii="Times New Roman" w:hAnsi="Times New Roman" w:cs="Times New Roman"/>
          <w:sz w:val="28"/>
        </w:rPr>
      </w:pPr>
    </w:p>
    <w:p w14:paraId="0B78ED84" w14:textId="393C8572" w:rsidR="00CD60FD" w:rsidRDefault="00CD60FD" w:rsidP="00735CAA">
      <w:pPr>
        <w:spacing w:after="0"/>
        <w:jc w:val="center"/>
        <w:rPr>
          <w:rFonts w:ascii="Times New Roman" w:hAnsi="Times New Roman" w:cs="Times New Roman"/>
          <w:sz w:val="28"/>
        </w:rPr>
      </w:pPr>
    </w:p>
    <w:p w14:paraId="61D82B7F" w14:textId="3D09931C" w:rsidR="00CD60FD" w:rsidRDefault="00CD60FD" w:rsidP="00735CAA">
      <w:pPr>
        <w:spacing w:after="0"/>
        <w:jc w:val="center"/>
        <w:rPr>
          <w:rFonts w:ascii="Times New Roman" w:hAnsi="Times New Roman" w:cs="Times New Roman"/>
          <w:sz w:val="28"/>
        </w:rPr>
      </w:pPr>
    </w:p>
    <w:p w14:paraId="335D6932" w14:textId="21997CB5" w:rsidR="00CD60FD" w:rsidRDefault="00CD60FD" w:rsidP="00735CAA">
      <w:pPr>
        <w:spacing w:after="0"/>
        <w:jc w:val="center"/>
        <w:rPr>
          <w:rFonts w:ascii="Times New Roman" w:hAnsi="Times New Roman" w:cs="Times New Roman"/>
          <w:sz w:val="28"/>
        </w:rPr>
      </w:pPr>
    </w:p>
    <w:p w14:paraId="1851E18E" w14:textId="1846C819" w:rsidR="00CD60FD" w:rsidRDefault="00CD60FD" w:rsidP="00735CAA">
      <w:pPr>
        <w:spacing w:after="0"/>
        <w:jc w:val="center"/>
        <w:rPr>
          <w:rFonts w:ascii="Times New Roman" w:hAnsi="Times New Roman" w:cs="Times New Roman"/>
          <w:sz w:val="28"/>
        </w:rPr>
      </w:pPr>
    </w:p>
    <w:p w14:paraId="6E7733CE" w14:textId="6E0B6609" w:rsidR="00CD60FD" w:rsidRDefault="00CD60FD" w:rsidP="00735CAA">
      <w:pPr>
        <w:spacing w:after="0"/>
        <w:jc w:val="center"/>
        <w:rPr>
          <w:rFonts w:ascii="Times New Roman" w:hAnsi="Times New Roman" w:cs="Times New Roman"/>
          <w:sz w:val="28"/>
        </w:rPr>
      </w:pPr>
    </w:p>
    <w:p w14:paraId="46565F61" w14:textId="7A95ECAB" w:rsidR="00CD60FD" w:rsidRDefault="00CD60FD" w:rsidP="00735CAA">
      <w:pPr>
        <w:spacing w:after="0"/>
        <w:jc w:val="center"/>
        <w:rPr>
          <w:rFonts w:ascii="Times New Roman" w:hAnsi="Times New Roman" w:cs="Times New Roman"/>
          <w:sz w:val="28"/>
        </w:rPr>
      </w:pPr>
    </w:p>
    <w:p w14:paraId="64A5538E" w14:textId="35835D1B" w:rsidR="00CD60FD" w:rsidRDefault="00CD60FD" w:rsidP="00735CAA">
      <w:pPr>
        <w:spacing w:after="0"/>
        <w:jc w:val="center"/>
        <w:rPr>
          <w:rFonts w:ascii="Times New Roman" w:hAnsi="Times New Roman" w:cs="Times New Roman"/>
          <w:sz w:val="28"/>
        </w:rPr>
      </w:pPr>
    </w:p>
    <w:p w14:paraId="0B97AB94" w14:textId="549E0D47" w:rsidR="00CD60FD" w:rsidRDefault="00CD60FD" w:rsidP="00735CAA">
      <w:pPr>
        <w:spacing w:after="0"/>
        <w:jc w:val="center"/>
        <w:rPr>
          <w:rFonts w:ascii="Times New Roman" w:hAnsi="Times New Roman" w:cs="Times New Roman"/>
          <w:sz w:val="28"/>
        </w:rPr>
      </w:pPr>
    </w:p>
    <w:p w14:paraId="4E7045B1" w14:textId="442E7C87" w:rsidR="00CD60FD" w:rsidRDefault="00CD60FD" w:rsidP="00735CAA">
      <w:pPr>
        <w:spacing w:after="0"/>
        <w:jc w:val="center"/>
        <w:rPr>
          <w:rFonts w:ascii="Times New Roman" w:hAnsi="Times New Roman" w:cs="Times New Roman"/>
          <w:sz w:val="28"/>
        </w:rPr>
      </w:pPr>
    </w:p>
    <w:p w14:paraId="466C3018" w14:textId="3F7DD585" w:rsidR="00CD60FD" w:rsidRDefault="00CD60FD" w:rsidP="00735CAA">
      <w:pPr>
        <w:spacing w:after="0"/>
        <w:jc w:val="center"/>
        <w:rPr>
          <w:rFonts w:ascii="Times New Roman" w:hAnsi="Times New Roman" w:cs="Times New Roman"/>
          <w:sz w:val="28"/>
        </w:rPr>
      </w:pPr>
    </w:p>
    <w:p w14:paraId="5975301F" w14:textId="7FC4092C" w:rsidR="00CD60FD" w:rsidRDefault="00CD60FD" w:rsidP="00735CAA">
      <w:pPr>
        <w:spacing w:after="0"/>
        <w:jc w:val="center"/>
        <w:rPr>
          <w:rFonts w:ascii="Times New Roman" w:hAnsi="Times New Roman" w:cs="Times New Roman"/>
          <w:sz w:val="28"/>
        </w:rPr>
      </w:pPr>
    </w:p>
    <w:p w14:paraId="1EA0DD1D" w14:textId="1C4F6C64" w:rsidR="00CD60FD" w:rsidRDefault="00CD60FD" w:rsidP="00735CAA">
      <w:pPr>
        <w:spacing w:after="0"/>
        <w:jc w:val="center"/>
        <w:rPr>
          <w:rFonts w:ascii="Times New Roman" w:hAnsi="Times New Roman" w:cs="Times New Roman"/>
          <w:sz w:val="28"/>
        </w:rPr>
      </w:pPr>
    </w:p>
    <w:p w14:paraId="2DFDFD6A" w14:textId="03EF911F" w:rsidR="00CD60FD" w:rsidRDefault="00CD60FD" w:rsidP="00735CAA">
      <w:pPr>
        <w:spacing w:after="0"/>
        <w:jc w:val="center"/>
        <w:rPr>
          <w:rFonts w:ascii="Times New Roman" w:hAnsi="Times New Roman" w:cs="Times New Roman"/>
          <w:sz w:val="28"/>
        </w:rPr>
      </w:pPr>
    </w:p>
    <w:p w14:paraId="189EFBED" w14:textId="26336647" w:rsidR="00CD60FD" w:rsidRDefault="00CD60FD" w:rsidP="00735CAA">
      <w:pPr>
        <w:spacing w:after="0"/>
        <w:jc w:val="center"/>
        <w:rPr>
          <w:rFonts w:ascii="Times New Roman" w:hAnsi="Times New Roman" w:cs="Times New Roman"/>
          <w:sz w:val="28"/>
        </w:rPr>
      </w:pPr>
    </w:p>
    <w:p w14:paraId="1CE76798" w14:textId="747DF5BA" w:rsidR="00CD60FD" w:rsidRDefault="00CD60FD" w:rsidP="00735CAA">
      <w:pPr>
        <w:spacing w:after="0"/>
        <w:jc w:val="center"/>
        <w:rPr>
          <w:rFonts w:ascii="Times New Roman" w:hAnsi="Times New Roman" w:cs="Times New Roman"/>
          <w:sz w:val="28"/>
        </w:rPr>
      </w:pPr>
    </w:p>
    <w:p w14:paraId="1F48D3AA" w14:textId="47ECD43C" w:rsidR="00CD60FD" w:rsidRDefault="00CD60FD" w:rsidP="00735CAA">
      <w:pPr>
        <w:spacing w:after="0"/>
        <w:jc w:val="center"/>
        <w:rPr>
          <w:rFonts w:ascii="Times New Roman" w:hAnsi="Times New Roman" w:cs="Times New Roman"/>
          <w:sz w:val="28"/>
        </w:rPr>
      </w:pPr>
    </w:p>
    <w:p w14:paraId="6396D378" w14:textId="2C3B7BFC" w:rsidR="00CD60FD" w:rsidRDefault="00CD60FD" w:rsidP="00735CAA">
      <w:pPr>
        <w:spacing w:after="0"/>
        <w:jc w:val="center"/>
        <w:rPr>
          <w:rFonts w:ascii="Times New Roman" w:hAnsi="Times New Roman" w:cs="Times New Roman"/>
          <w:sz w:val="28"/>
        </w:rPr>
      </w:pPr>
    </w:p>
    <w:p w14:paraId="011040C7" w14:textId="6791B7AE" w:rsidR="00CD60FD" w:rsidRDefault="00CD60FD" w:rsidP="00735CAA">
      <w:pPr>
        <w:spacing w:after="0"/>
        <w:jc w:val="center"/>
        <w:rPr>
          <w:rFonts w:ascii="Times New Roman" w:hAnsi="Times New Roman" w:cs="Times New Roman"/>
          <w:sz w:val="28"/>
        </w:rPr>
      </w:pPr>
    </w:p>
    <w:p w14:paraId="5C40808D" w14:textId="31908D92" w:rsidR="00CD60FD" w:rsidRDefault="00CD60FD" w:rsidP="00735CAA">
      <w:pPr>
        <w:spacing w:after="0"/>
        <w:jc w:val="center"/>
        <w:rPr>
          <w:rFonts w:ascii="Times New Roman" w:hAnsi="Times New Roman" w:cs="Times New Roman"/>
          <w:sz w:val="28"/>
        </w:rPr>
      </w:pPr>
    </w:p>
    <w:p w14:paraId="1193E68B" w14:textId="7200276D" w:rsidR="00CD60FD" w:rsidRDefault="00CD60FD" w:rsidP="00735CAA">
      <w:pPr>
        <w:spacing w:after="0"/>
        <w:jc w:val="center"/>
        <w:rPr>
          <w:rFonts w:ascii="Times New Roman" w:hAnsi="Times New Roman" w:cs="Times New Roman"/>
          <w:sz w:val="28"/>
        </w:rPr>
      </w:pPr>
    </w:p>
    <w:p w14:paraId="0AF58500" w14:textId="07FC02FB" w:rsidR="00CD60FD" w:rsidRDefault="00CD60FD" w:rsidP="00735CAA">
      <w:pPr>
        <w:spacing w:after="0"/>
        <w:jc w:val="center"/>
        <w:rPr>
          <w:rFonts w:ascii="Times New Roman" w:hAnsi="Times New Roman" w:cs="Times New Roman"/>
          <w:sz w:val="28"/>
        </w:rPr>
      </w:pPr>
    </w:p>
    <w:p w14:paraId="6A0B1094" w14:textId="4587DCDA" w:rsidR="00CD60FD" w:rsidRDefault="00CD60FD" w:rsidP="00735CAA">
      <w:pPr>
        <w:spacing w:after="0"/>
        <w:jc w:val="center"/>
        <w:rPr>
          <w:rFonts w:ascii="Times New Roman" w:hAnsi="Times New Roman" w:cs="Times New Roman"/>
          <w:sz w:val="28"/>
        </w:rPr>
      </w:pPr>
    </w:p>
    <w:p w14:paraId="08305DEE" w14:textId="429038EB" w:rsidR="00CD60FD" w:rsidRDefault="00CD60FD" w:rsidP="00735CAA">
      <w:pPr>
        <w:spacing w:after="0"/>
        <w:jc w:val="center"/>
        <w:rPr>
          <w:rFonts w:ascii="Times New Roman" w:hAnsi="Times New Roman" w:cs="Times New Roman"/>
          <w:sz w:val="28"/>
        </w:rPr>
      </w:pPr>
    </w:p>
    <w:p w14:paraId="234CDD98" w14:textId="77777777" w:rsidR="00D56C73" w:rsidRDefault="00CD60FD" w:rsidP="006E32B0">
      <w:pPr>
        <w:tabs>
          <w:tab w:val="left" w:pos="284"/>
        </w:tabs>
        <w:jc w:val="center"/>
        <w:rPr>
          <w:rFonts w:ascii="Times New Roman" w:hAnsi="Times New Roman" w:cs="Times New Roman"/>
          <w:sz w:val="24"/>
          <w:szCs w:val="24"/>
        </w:rPr>
        <w:sectPr w:rsidR="00D56C73" w:rsidSect="00A96D8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r>
        <w:rPr>
          <w:rFonts w:ascii="Times New Roman" w:hAnsi="Times New Roman" w:cs="Times New Roman"/>
          <w:sz w:val="24"/>
          <w:szCs w:val="24"/>
        </w:rPr>
        <w:t>Do</w:t>
      </w:r>
      <w:r w:rsidRPr="00577115">
        <w:rPr>
          <w:rFonts w:ascii="Times New Roman" w:hAnsi="Times New Roman" w:cs="Times New Roman"/>
          <w:sz w:val="24"/>
          <w:szCs w:val="24"/>
        </w:rPr>
        <w:t xml:space="preserve">kument przyjęty przez Radę Ministrów w dniu </w:t>
      </w:r>
      <w:r>
        <w:rPr>
          <w:rFonts w:ascii="Times New Roman" w:hAnsi="Times New Roman" w:cs="Times New Roman"/>
          <w:sz w:val="24"/>
          <w:szCs w:val="24"/>
        </w:rPr>
        <w:t xml:space="preserve">……………….2023 </w:t>
      </w:r>
      <w:r w:rsidRPr="00577115">
        <w:rPr>
          <w:rFonts w:ascii="Times New Roman" w:hAnsi="Times New Roman" w:cs="Times New Roman"/>
          <w:sz w:val="24"/>
          <w:szCs w:val="24"/>
        </w:rPr>
        <w:t>r.</w:t>
      </w:r>
    </w:p>
    <w:sdt>
      <w:sdtPr>
        <w:rPr>
          <w:rFonts w:asciiTheme="minorHAnsi" w:eastAsiaTheme="minorHAnsi" w:hAnsiTheme="minorHAnsi" w:cstheme="minorBidi"/>
          <w:color w:val="auto"/>
          <w:sz w:val="22"/>
          <w:szCs w:val="22"/>
          <w:lang w:eastAsia="en-US"/>
        </w:rPr>
        <w:id w:val="1096135876"/>
        <w:docPartObj>
          <w:docPartGallery w:val="Table of Contents"/>
          <w:docPartUnique/>
        </w:docPartObj>
      </w:sdtPr>
      <w:sdtEndPr>
        <w:rPr>
          <w:b/>
          <w:bCs/>
        </w:rPr>
      </w:sdtEndPr>
      <w:sdtContent>
        <w:p w14:paraId="6DEB0B8E" w14:textId="3CE10C8B" w:rsidR="00D56C73" w:rsidRDefault="00D56C73">
          <w:pPr>
            <w:pStyle w:val="Nagwekspisutreci"/>
          </w:pPr>
          <w:r>
            <w:t>Spis treści</w:t>
          </w:r>
        </w:p>
        <w:p w14:paraId="01FFFF86" w14:textId="5414C71B" w:rsidR="00996743" w:rsidRDefault="00D56C73">
          <w:pPr>
            <w:pStyle w:val="Spistreci1"/>
            <w:rPr>
              <w:rFonts w:eastAsiaTheme="minorEastAsia"/>
              <w:b w:val="0"/>
              <w:bCs w:val="0"/>
              <w:lang w:eastAsia="pl-PL"/>
            </w:rPr>
          </w:pPr>
          <w:r>
            <w:fldChar w:fldCharType="begin"/>
          </w:r>
          <w:r>
            <w:instrText xml:space="preserve"> TOC \o "1-3" \h \z \u </w:instrText>
          </w:r>
          <w:r>
            <w:fldChar w:fldCharType="separate"/>
          </w:r>
          <w:hyperlink w:anchor="_Toc142565922" w:history="1">
            <w:r w:rsidR="00996743" w:rsidRPr="005E227E">
              <w:rPr>
                <w:rStyle w:val="Hipercze"/>
              </w:rPr>
              <w:t>1</w:t>
            </w:r>
            <w:r w:rsidR="00996743">
              <w:rPr>
                <w:rFonts w:eastAsiaTheme="minorEastAsia"/>
                <w:b w:val="0"/>
                <w:bCs w:val="0"/>
                <w:lang w:eastAsia="pl-PL"/>
              </w:rPr>
              <w:tab/>
            </w:r>
            <w:r w:rsidR="00996743" w:rsidRPr="005E227E">
              <w:rPr>
                <w:rStyle w:val="Hipercze"/>
              </w:rPr>
              <w:t>Sytuacja społeczno-ekonomiczna osób starszych w Polsce</w:t>
            </w:r>
            <w:r w:rsidR="00996743">
              <w:rPr>
                <w:webHidden/>
              </w:rPr>
              <w:tab/>
            </w:r>
            <w:r w:rsidR="00996743">
              <w:rPr>
                <w:webHidden/>
              </w:rPr>
              <w:fldChar w:fldCharType="begin"/>
            </w:r>
            <w:r w:rsidR="00996743">
              <w:rPr>
                <w:webHidden/>
              </w:rPr>
              <w:instrText xml:space="preserve"> PAGEREF _Toc142565922 \h </w:instrText>
            </w:r>
            <w:r w:rsidR="00996743">
              <w:rPr>
                <w:webHidden/>
              </w:rPr>
            </w:r>
            <w:r w:rsidR="00996743">
              <w:rPr>
                <w:webHidden/>
              </w:rPr>
              <w:fldChar w:fldCharType="separate"/>
            </w:r>
            <w:r w:rsidR="00996743">
              <w:rPr>
                <w:webHidden/>
              </w:rPr>
              <w:t>2</w:t>
            </w:r>
            <w:r w:rsidR="00996743">
              <w:rPr>
                <w:webHidden/>
              </w:rPr>
              <w:fldChar w:fldCharType="end"/>
            </w:r>
          </w:hyperlink>
        </w:p>
        <w:p w14:paraId="54FA56ED" w14:textId="4E83E9A3" w:rsidR="00996743" w:rsidRDefault="00996743">
          <w:pPr>
            <w:pStyle w:val="Spistreci2"/>
            <w:tabs>
              <w:tab w:val="left" w:pos="880"/>
              <w:tab w:val="right" w:leader="dot" w:pos="9062"/>
            </w:tabs>
            <w:rPr>
              <w:rFonts w:eastAsiaTheme="minorEastAsia"/>
              <w:noProof/>
              <w:lang w:eastAsia="pl-PL"/>
            </w:rPr>
          </w:pPr>
          <w:hyperlink w:anchor="_Toc142565923" w:history="1">
            <w:r w:rsidRPr="005E227E">
              <w:rPr>
                <w:rStyle w:val="Hipercze"/>
                <w:b/>
                <w:bCs/>
                <w:noProof/>
              </w:rPr>
              <w:t>1.1</w:t>
            </w:r>
            <w:r>
              <w:rPr>
                <w:rFonts w:eastAsiaTheme="minorEastAsia"/>
                <w:noProof/>
                <w:lang w:eastAsia="pl-PL"/>
              </w:rPr>
              <w:tab/>
            </w:r>
            <w:r w:rsidRPr="005E227E">
              <w:rPr>
                <w:rStyle w:val="Hipercze"/>
                <w:b/>
                <w:bCs/>
                <w:noProof/>
              </w:rPr>
              <w:t>Sytuacja demograficzna</w:t>
            </w:r>
            <w:r>
              <w:rPr>
                <w:noProof/>
                <w:webHidden/>
              </w:rPr>
              <w:tab/>
            </w:r>
            <w:r>
              <w:rPr>
                <w:noProof/>
                <w:webHidden/>
              </w:rPr>
              <w:fldChar w:fldCharType="begin"/>
            </w:r>
            <w:r>
              <w:rPr>
                <w:noProof/>
                <w:webHidden/>
              </w:rPr>
              <w:instrText xml:space="preserve"> PAGEREF _Toc142565923 \h </w:instrText>
            </w:r>
            <w:r>
              <w:rPr>
                <w:noProof/>
                <w:webHidden/>
              </w:rPr>
            </w:r>
            <w:r>
              <w:rPr>
                <w:noProof/>
                <w:webHidden/>
              </w:rPr>
              <w:fldChar w:fldCharType="separate"/>
            </w:r>
            <w:r>
              <w:rPr>
                <w:noProof/>
                <w:webHidden/>
              </w:rPr>
              <w:t>2</w:t>
            </w:r>
            <w:r>
              <w:rPr>
                <w:noProof/>
                <w:webHidden/>
              </w:rPr>
              <w:fldChar w:fldCharType="end"/>
            </w:r>
          </w:hyperlink>
        </w:p>
        <w:p w14:paraId="22E59220" w14:textId="5670833D" w:rsidR="00996743" w:rsidRDefault="00996743">
          <w:pPr>
            <w:pStyle w:val="Spistreci2"/>
            <w:tabs>
              <w:tab w:val="left" w:pos="880"/>
              <w:tab w:val="right" w:leader="dot" w:pos="9062"/>
            </w:tabs>
            <w:rPr>
              <w:rFonts w:eastAsiaTheme="minorEastAsia"/>
              <w:noProof/>
              <w:lang w:eastAsia="pl-PL"/>
            </w:rPr>
          </w:pPr>
          <w:hyperlink w:anchor="_Toc142565924" w:history="1">
            <w:r w:rsidRPr="005E227E">
              <w:rPr>
                <w:rStyle w:val="Hipercze"/>
                <w:b/>
                <w:bCs/>
                <w:noProof/>
              </w:rPr>
              <w:t>1.2</w:t>
            </w:r>
            <w:r>
              <w:rPr>
                <w:rFonts w:eastAsiaTheme="minorEastAsia"/>
                <w:noProof/>
                <w:lang w:eastAsia="pl-PL"/>
              </w:rPr>
              <w:tab/>
            </w:r>
            <w:r w:rsidRPr="005E227E">
              <w:rPr>
                <w:rStyle w:val="Hipercze"/>
                <w:b/>
                <w:bCs/>
                <w:noProof/>
              </w:rPr>
              <w:t>Sytuacja ekonomiczna i usługi społeczne</w:t>
            </w:r>
            <w:r>
              <w:rPr>
                <w:noProof/>
                <w:webHidden/>
              </w:rPr>
              <w:tab/>
            </w:r>
            <w:r>
              <w:rPr>
                <w:noProof/>
                <w:webHidden/>
              </w:rPr>
              <w:fldChar w:fldCharType="begin"/>
            </w:r>
            <w:r>
              <w:rPr>
                <w:noProof/>
                <w:webHidden/>
              </w:rPr>
              <w:instrText xml:space="preserve"> PAGEREF _Toc142565924 \h </w:instrText>
            </w:r>
            <w:r>
              <w:rPr>
                <w:noProof/>
                <w:webHidden/>
              </w:rPr>
            </w:r>
            <w:r>
              <w:rPr>
                <w:noProof/>
                <w:webHidden/>
              </w:rPr>
              <w:fldChar w:fldCharType="separate"/>
            </w:r>
            <w:r>
              <w:rPr>
                <w:noProof/>
                <w:webHidden/>
              </w:rPr>
              <w:t>6</w:t>
            </w:r>
            <w:r>
              <w:rPr>
                <w:noProof/>
                <w:webHidden/>
              </w:rPr>
              <w:fldChar w:fldCharType="end"/>
            </w:r>
          </w:hyperlink>
        </w:p>
        <w:p w14:paraId="5C239FCD" w14:textId="7E97E3BD" w:rsidR="00996743" w:rsidRDefault="00996743">
          <w:pPr>
            <w:pStyle w:val="Spistreci2"/>
            <w:tabs>
              <w:tab w:val="left" w:pos="880"/>
              <w:tab w:val="right" w:leader="dot" w:pos="9062"/>
            </w:tabs>
            <w:rPr>
              <w:rFonts w:eastAsiaTheme="minorEastAsia"/>
              <w:noProof/>
              <w:lang w:eastAsia="pl-PL"/>
            </w:rPr>
          </w:pPr>
          <w:hyperlink w:anchor="_Toc142565925" w:history="1">
            <w:r w:rsidRPr="005E227E">
              <w:rPr>
                <w:rStyle w:val="Hipercze"/>
                <w:b/>
                <w:bCs/>
                <w:noProof/>
              </w:rPr>
              <w:t>1.3</w:t>
            </w:r>
            <w:r>
              <w:rPr>
                <w:rFonts w:eastAsiaTheme="minorEastAsia"/>
                <w:noProof/>
                <w:lang w:eastAsia="pl-PL"/>
              </w:rPr>
              <w:tab/>
            </w:r>
            <w:r w:rsidRPr="005E227E">
              <w:rPr>
                <w:rStyle w:val="Hipercze"/>
                <w:b/>
                <w:bCs/>
                <w:noProof/>
              </w:rPr>
              <w:t>Sytuacja na rynku pracy</w:t>
            </w:r>
            <w:r>
              <w:rPr>
                <w:noProof/>
                <w:webHidden/>
              </w:rPr>
              <w:tab/>
            </w:r>
            <w:r>
              <w:rPr>
                <w:noProof/>
                <w:webHidden/>
              </w:rPr>
              <w:fldChar w:fldCharType="begin"/>
            </w:r>
            <w:r>
              <w:rPr>
                <w:noProof/>
                <w:webHidden/>
              </w:rPr>
              <w:instrText xml:space="preserve"> PAGEREF _Toc142565925 \h </w:instrText>
            </w:r>
            <w:r>
              <w:rPr>
                <w:noProof/>
                <w:webHidden/>
              </w:rPr>
            </w:r>
            <w:r>
              <w:rPr>
                <w:noProof/>
                <w:webHidden/>
              </w:rPr>
              <w:fldChar w:fldCharType="separate"/>
            </w:r>
            <w:r>
              <w:rPr>
                <w:noProof/>
                <w:webHidden/>
              </w:rPr>
              <w:t>17</w:t>
            </w:r>
            <w:r>
              <w:rPr>
                <w:noProof/>
                <w:webHidden/>
              </w:rPr>
              <w:fldChar w:fldCharType="end"/>
            </w:r>
          </w:hyperlink>
        </w:p>
        <w:p w14:paraId="5DB674EE" w14:textId="15092A08" w:rsidR="00996743" w:rsidRDefault="00996743">
          <w:pPr>
            <w:pStyle w:val="Spistreci2"/>
            <w:tabs>
              <w:tab w:val="left" w:pos="880"/>
              <w:tab w:val="right" w:leader="dot" w:pos="9062"/>
            </w:tabs>
            <w:rPr>
              <w:rFonts w:eastAsiaTheme="minorEastAsia"/>
              <w:noProof/>
              <w:lang w:eastAsia="pl-PL"/>
            </w:rPr>
          </w:pPr>
          <w:hyperlink w:anchor="_Toc142565926" w:history="1">
            <w:r w:rsidRPr="005E227E">
              <w:rPr>
                <w:rStyle w:val="Hipercze"/>
                <w:b/>
                <w:bCs/>
                <w:noProof/>
              </w:rPr>
              <w:t>1.4</w:t>
            </w:r>
            <w:r>
              <w:rPr>
                <w:rFonts w:eastAsiaTheme="minorEastAsia"/>
                <w:noProof/>
                <w:lang w:eastAsia="pl-PL"/>
              </w:rPr>
              <w:tab/>
            </w:r>
            <w:r w:rsidRPr="005E227E">
              <w:rPr>
                <w:rStyle w:val="Hipercze"/>
                <w:b/>
                <w:bCs/>
                <w:noProof/>
              </w:rPr>
              <w:t>Stan zdrowia i opieka zdrowotna</w:t>
            </w:r>
            <w:r>
              <w:rPr>
                <w:noProof/>
                <w:webHidden/>
              </w:rPr>
              <w:tab/>
            </w:r>
            <w:r>
              <w:rPr>
                <w:noProof/>
                <w:webHidden/>
              </w:rPr>
              <w:fldChar w:fldCharType="begin"/>
            </w:r>
            <w:r>
              <w:rPr>
                <w:noProof/>
                <w:webHidden/>
              </w:rPr>
              <w:instrText xml:space="preserve"> PAGEREF _Toc142565926 \h </w:instrText>
            </w:r>
            <w:r>
              <w:rPr>
                <w:noProof/>
                <w:webHidden/>
              </w:rPr>
            </w:r>
            <w:r>
              <w:rPr>
                <w:noProof/>
                <w:webHidden/>
              </w:rPr>
              <w:fldChar w:fldCharType="separate"/>
            </w:r>
            <w:r>
              <w:rPr>
                <w:noProof/>
                <w:webHidden/>
              </w:rPr>
              <w:t>20</w:t>
            </w:r>
            <w:r>
              <w:rPr>
                <w:noProof/>
                <w:webHidden/>
              </w:rPr>
              <w:fldChar w:fldCharType="end"/>
            </w:r>
          </w:hyperlink>
        </w:p>
        <w:p w14:paraId="3BB0B929" w14:textId="2DF3642F" w:rsidR="00996743" w:rsidRDefault="00996743">
          <w:pPr>
            <w:pStyle w:val="Spistreci2"/>
            <w:tabs>
              <w:tab w:val="left" w:pos="880"/>
              <w:tab w:val="right" w:leader="dot" w:pos="9062"/>
            </w:tabs>
            <w:rPr>
              <w:rFonts w:eastAsiaTheme="minorEastAsia"/>
              <w:noProof/>
              <w:lang w:eastAsia="pl-PL"/>
            </w:rPr>
          </w:pPr>
          <w:hyperlink w:anchor="_Toc142565927" w:history="1">
            <w:r w:rsidRPr="005E227E">
              <w:rPr>
                <w:rStyle w:val="Hipercze"/>
                <w:b/>
                <w:bCs/>
                <w:noProof/>
              </w:rPr>
              <w:t>1.5</w:t>
            </w:r>
            <w:r>
              <w:rPr>
                <w:rFonts w:eastAsiaTheme="minorEastAsia"/>
                <w:noProof/>
                <w:lang w:eastAsia="pl-PL"/>
              </w:rPr>
              <w:tab/>
            </w:r>
            <w:r w:rsidRPr="005E227E">
              <w:rPr>
                <w:rStyle w:val="Hipercze"/>
                <w:b/>
                <w:bCs/>
                <w:noProof/>
              </w:rPr>
              <w:t>Dostępne formy aktywności</w:t>
            </w:r>
            <w:r>
              <w:rPr>
                <w:noProof/>
                <w:webHidden/>
              </w:rPr>
              <w:tab/>
            </w:r>
            <w:r>
              <w:rPr>
                <w:noProof/>
                <w:webHidden/>
              </w:rPr>
              <w:fldChar w:fldCharType="begin"/>
            </w:r>
            <w:r>
              <w:rPr>
                <w:noProof/>
                <w:webHidden/>
              </w:rPr>
              <w:instrText xml:space="preserve"> PAGEREF _Toc142565927 \h </w:instrText>
            </w:r>
            <w:r>
              <w:rPr>
                <w:noProof/>
                <w:webHidden/>
              </w:rPr>
            </w:r>
            <w:r>
              <w:rPr>
                <w:noProof/>
                <w:webHidden/>
              </w:rPr>
              <w:fldChar w:fldCharType="separate"/>
            </w:r>
            <w:r>
              <w:rPr>
                <w:noProof/>
                <w:webHidden/>
              </w:rPr>
              <w:t>26</w:t>
            </w:r>
            <w:r>
              <w:rPr>
                <w:noProof/>
                <w:webHidden/>
              </w:rPr>
              <w:fldChar w:fldCharType="end"/>
            </w:r>
          </w:hyperlink>
        </w:p>
        <w:p w14:paraId="05BC268D" w14:textId="2B05CB55" w:rsidR="00996743" w:rsidRDefault="00996743">
          <w:pPr>
            <w:pStyle w:val="Spistreci2"/>
            <w:tabs>
              <w:tab w:val="left" w:pos="880"/>
              <w:tab w:val="right" w:leader="dot" w:pos="9062"/>
            </w:tabs>
            <w:rPr>
              <w:rFonts w:eastAsiaTheme="minorEastAsia"/>
              <w:noProof/>
              <w:lang w:eastAsia="pl-PL"/>
            </w:rPr>
          </w:pPr>
          <w:hyperlink w:anchor="_Toc142565928" w:history="1">
            <w:r w:rsidRPr="005E227E">
              <w:rPr>
                <w:rStyle w:val="Hipercze"/>
                <w:b/>
                <w:bCs/>
                <w:noProof/>
              </w:rPr>
              <w:t>1.6</w:t>
            </w:r>
            <w:r>
              <w:rPr>
                <w:rFonts w:eastAsiaTheme="minorEastAsia"/>
                <w:noProof/>
                <w:lang w:eastAsia="pl-PL"/>
              </w:rPr>
              <w:tab/>
            </w:r>
            <w:r w:rsidRPr="005E227E">
              <w:rPr>
                <w:rStyle w:val="Hipercze"/>
                <w:b/>
                <w:bCs/>
                <w:noProof/>
              </w:rPr>
              <w:t>Równe traktowanie, przeciwdziałanie dyskryminacji i przemocy</w:t>
            </w:r>
            <w:r>
              <w:rPr>
                <w:noProof/>
                <w:webHidden/>
              </w:rPr>
              <w:tab/>
            </w:r>
            <w:r>
              <w:rPr>
                <w:noProof/>
                <w:webHidden/>
              </w:rPr>
              <w:fldChar w:fldCharType="begin"/>
            </w:r>
            <w:r>
              <w:rPr>
                <w:noProof/>
                <w:webHidden/>
              </w:rPr>
              <w:instrText xml:space="preserve"> PAGEREF _Toc142565928 \h </w:instrText>
            </w:r>
            <w:r>
              <w:rPr>
                <w:noProof/>
                <w:webHidden/>
              </w:rPr>
            </w:r>
            <w:r>
              <w:rPr>
                <w:noProof/>
                <w:webHidden/>
              </w:rPr>
              <w:fldChar w:fldCharType="separate"/>
            </w:r>
            <w:r>
              <w:rPr>
                <w:noProof/>
                <w:webHidden/>
              </w:rPr>
              <w:t>33</w:t>
            </w:r>
            <w:r>
              <w:rPr>
                <w:noProof/>
                <w:webHidden/>
              </w:rPr>
              <w:fldChar w:fldCharType="end"/>
            </w:r>
          </w:hyperlink>
        </w:p>
        <w:p w14:paraId="1E1F9BBC" w14:textId="3B60D34B" w:rsidR="00996743" w:rsidRDefault="00996743">
          <w:pPr>
            <w:pStyle w:val="Spistreci2"/>
            <w:tabs>
              <w:tab w:val="left" w:pos="880"/>
              <w:tab w:val="right" w:leader="dot" w:pos="9062"/>
            </w:tabs>
            <w:rPr>
              <w:rFonts w:eastAsiaTheme="minorEastAsia"/>
              <w:noProof/>
              <w:lang w:eastAsia="pl-PL"/>
            </w:rPr>
          </w:pPr>
          <w:hyperlink w:anchor="_Toc142565929" w:history="1">
            <w:r w:rsidRPr="005E227E">
              <w:rPr>
                <w:rStyle w:val="Hipercze"/>
                <w:b/>
                <w:bCs/>
                <w:noProof/>
              </w:rPr>
              <w:t>1.7</w:t>
            </w:r>
            <w:r>
              <w:rPr>
                <w:rFonts w:eastAsiaTheme="minorEastAsia"/>
                <w:noProof/>
                <w:lang w:eastAsia="pl-PL"/>
              </w:rPr>
              <w:tab/>
            </w:r>
            <w:r w:rsidRPr="005E227E">
              <w:rPr>
                <w:rStyle w:val="Hipercze"/>
                <w:b/>
                <w:bCs/>
                <w:noProof/>
              </w:rPr>
              <w:t>Sytuacja niepełnosprawnych osób starszych</w:t>
            </w:r>
            <w:r>
              <w:rPr>
                <w:noProof/>
                <w:webHidden/>
              </w:rPr>
              <w:tab/>
            </w:r>
            <w:r>
              <w:rPr>
                <w:noProof/>
                <w:webHidden/>
              </w:rPr>
              <w:fldChar w:fldCharType="begin"/>
            </w:r>
            <w:r>
              <w:rPr>
                <w:noProof/>
                <w:webHidden/>
              </w:rPr>
              <w:instrText xml:space="preserve"> PAGEREF _Toc142565929 \h </w:instrText>
            </w:r>
            <w:r>
              <w:rPr>
                <w:noProof/>
                <w:webHidden/>
              </w:rPr>
            </w:r>
            <w:r>
              <w:rPr>
                <w:noProof/>
                <w:webHidden/>
              </w:rPr>
              <w:fldChar w:fldCharType="separate"/>
            </w:r>
            <w:r>
              <w:rPr>
                <w:noProof/>
                <w:webHidden/>
              </w:rPr>
              <w:t>37</w:t>
            </w:r>
            <w:r>
              <w:rPr>
                <w:noProof/>
                <w:webHidden/>
              </w:rPr>
              <w:fldChar w:fldCharType="end"/>
            </w:r>
          </w:hyperlink>
        </w:p>
        <w:p w14:paraId="3DA62ABA" w14:textId="5FB10C20" w:rsidR="00996743" w:rsidRDefault="00996743">
          <w:pPr>
            <w:pStyle w:val="Spistreci1"/>
            <w:rPr>
              <w:rFonts w:eastAsiaTheme="minorEastAsia"/>
              <w:b w:val="0"/>
              <w:bCs w:val="0"/>
              <w:lang w:eastAsia="pl-PL"/>
            </w:rPr>
          </w:pPr>
          <w:hyperlink w:anchor="_Toc142565930" w:history="1">
            <w:r w:rsidRPr="005E227E">
              <w:rPr>
                <w:rStyle w:val="Hipercze"/>
              </w:rPr>
              <w:t>2</w:t>
            </w:r>
            <w:r>
              <w:rPr>
                <w:rFonts w:eastAsiaTheme="minorEastAsia"/>
                <w:b w:val="0"/>
                <w:bCs w:val="0"/>
                <w:lang w:eastAsia="pl-PL"/>
              </w:rPr>
              <w:tab/>
            </w:r>
            <w:r w:rsidRPr="005E227E">
              <w:rPr>
                <w:rStyle w:val="Hipercze"/>
              </w:rPr>
              <w:t>Polityka społeczna wobec osób starszych na szczeblu centralnym</w:t>
            </w:r>
            <w:r>
              <w:rPr>
                <w:webHidden/>
              </w:rPr>
              <w:tab/>
            </w:r>
            <w:r>
              <w:rPr>
                <w:webHidden/>
              </w:rPr>
              <w:fldChar w:fldCharType="begin"/>
            </w:r>
            <w:r>
              <w:rPr>
                <w:webHidden/>
              </w:rPr>
              <w:instrText xml:space="preserve"> PAGEREF _Toc142565930 \h </w:instrText>
            </w:r>
            <w:r>
              <w:rPr>
                <w:webHidden/>
              </w:rPr>
            </w:r>
            <w:r>
              <w:rPr>
                <w:webHidden/>
              </w:rPr>
              <w:fldChar w:fldCharType="separate"/>
            </w:r>
            <w:r>
              <w:rPr>
                <w:webHidden/>
              </w:rPr>
              <w:t>37</w:t>
            </w:r>
            <w:r>
              <w:rPr>
                <w:webHidden/>
              </w:rPr>
              <w:fldChar w:fldCharType="end"/>
            </w:r>
          </w:hyperlink>
        </w:p>
        <w:p w14:paraId="2AC1FA96" w14:textId="0DB59731" w:rsidR="00996743" w:rsidRDefault="00996743">
          <w:pPr>
            <w:pStyle w:val="Spistreci2"/>
            <w:tabs>
              <w:tab w:val="left" w:pos="880"/>
              <w:tab w:val="right" w:leader="dot" w:pos="9062"/>
            </w:tabs>
            <w:rPr>
              <w:rFonts w:eastAsiaTheme="minorEastAsia"/>
              <w:noProof/>
              <w:lang w:eastAsia="pl-PL"/>
            </w:rPr>
          </w:pPr>
          <w:hyperlink w:anchor="_Toc142565931" w:history="1">
            <w:r w:rsidRPr="005E227E">
              <w:rPr>
                <w:rStyle w:val="Hipercze"/>
                <w:b/>
                <w:bCs/>
                <w:noProof/>
              </w:rPr>
              <w:t>2.1</w:t>
            </w:r>
            <w:r>
              <w:rPr>
                <w:rFonts w:eastAsiaTheme="minorEastAsia"/>
                <w:noProof/>
                <w:lang w:eastAsia="pl-PL"/>
              </w:rPr>
              <w:tab/>
            </w:r>
            <w:r w:rsidRPr="005E227E">
              <w:rPr>
                <w:rStyle w:val="Hipercze"/>
                <w:b/>
                <w:bCs/>
                <w:noProof/>
              </w:rPr>
              <w:t>Ministerstwo Edukacji i Nauki</w:t>
            </w:r>
            <w:r>
              <w:rPr>
                <w:noProof/>
                <w:webHidden/>
              </w:rPr>
              <w:tab/>
            </w:r>
            <w:r>
              <w:rPr>
                <w:noProof/>
                <w:webHidden/>
              </w:rPr>
              <w:fldChar w:fldCharType="begin"/>
            </w:r>
            <w:r>
              <w:rPr>
                <w:noProof/>
                <w:webHidden/>
              </w:rPr>
              <w:instrText xml:space="preserve"> PAGEREF _Toc142565931 \h </w:instrText>
            </w:r>
            <w:r>
              <w:rPr>
                <w:noProof/>
                <w:webHidden/>
              </w:rPr>
            </w:r>
            <w:r>
              <w:rPr>
                <w:noProof/>
                <w:webHidden/>
              </w:rPr>
              <w:fldChar w:fldCharType="separate"/>
            </w:r>
            <w:r>
              <w:rPr>
                <w:noProof/>
                <w:webHidden/>
              </w:rPr>
              <w:t>37</w:t>
            </w:r>
            <w:r>
              <w:rPr>
                <w:noProof/>
                <w:webHidden/>
              </w:rPr>
              <w:fldChar w:fldCharType="end"/>
            </w:r>
          </w:hyperlink>
        </w:p>
        <w:p w14:paraId="6EB71E3D" w14:textId="5BD35635" w:rsidR="00996743" w:rsidRDefault="00996743">
          <w:pPr>
            <w:pStyle w:val="Spistreci2"/>
            <w:tabs>
              <w:tab w:val="left" w:pos="880"/>
              <w:tab w:val="right" w:leader="dot" w:pos="9062"/>
            </w:tabs>
            <w:rPr>
              <w:rFonts w:eastAsiaTheme="minorEastAsia"/>
              <w:noProof/>
              <w:lang w:eastAsia="pl-PL"/>
            </w:rPr>
          </w:pPr>
          <w:hyperlink w:anchor="_Toc142565932" w:history="1">
            <w:r w:rsidRPr="005E227E">
              <w:rPr>
                <w:rStyle w:val="Hipercze"/>
                <w:b/>
                <w:bCs/>
                <w:noProof/>
              </w:rPr>
              <w:t>2.2</w:t>
            </w:r>
            <w:r>
              <w:rPr>
                <w:rFonts w:eastAsiaTheme="minorEastAsia"/>
                <w:noProof/>
                <w:lang w:eastAsia="pl-PL"/>
              </w:rPr>
              <w:tab/>
            </w:r>
            <w:r w:rsidRPr="005E227E">
              <w:rPr>
                <w:rStyle w:val="Hipercze"/>
                <w:b/>
                <w:bCs/>
                <w:noProof/>
              </w:rPr>
              <w:t>Ministerstwo Finansów</w:t>
            </w:r>
            <w:r>
              <w:rPr>
                <w:noProof/>
                <w:webHidden/>
              </w:rPr>
              <w:tab/>
            </w:r>
            <w:r>
              <w:rPr>
                <w:noProof/>
                <w:webHidden/>
              </w:rPr>
              <w:fldChar w:fldCharType="begin"/>
            </w:r>
            <w:r>
              <w:rPr>
                <w:noProof/>
                <w:webHidden/>
              </w:rPr>
              <w:instrText xml:space="preserve"> PAGEREF _Toc142565932 \h </w:instrText>
            </w:r>
            <w:r>
              <w:rPr>
                <w:noProof/>
                <w:webHidden/>
              </w:rPr>
            </w:r>
            <w:r>
              <w:rPr>
                <w:noProof/>
                <w:webHidden/>
              </w:rPr>
              <w:fldChar w:fldCharType="separate"/>
            </w:r>
            <w:r>
              <w:rPr>
                <w:noProof/>
                <w:webHidden/>
              </w:rPr>
              <w:t>39</w:t>
            </w:r>
            <w:r>
              <w:rPr>
                <w:noProof/>
                <w:webHidden/>
              </w:rPr>
              <w:fldChar w:fldCharType="end"/>
            </w:r>
          </w:hyperlink>
        </w:p>
        <w:p w14:paraId="020FEA86" w14:textId="286EDEAB" w:rsidR="00996743" w:rsidRDefault="00996743">
          <w:pPr>
            <w:pStyle w:val="Spistreci2"/>
            <w:tabs>
              <w:tab w:val="left" w:pos="880"/>
              <w:tab w:val="right" w:leader="dot" w:pos="9062"/>
            </w:tabs>
            <w:rPr>
              <w:rFonts w:eastAsiaTheme="minorEastAsia"/>
              <w:noProof/>
              <w:lang w:eastAsia="pl-PL"/>
            </w:rPr>
          </w:pPr>
          <w:hyperlink w:anchor="_Toc142565933" w:history="1">
            <w:r w:rsidRPr="005E227E">
              <w:rPr>
                <w:rStyle w:val="Hipercze"/>
                <w:b/>
                <w:bCs/>
                <w:noProof/>
              </w:rPr>
              <w:t>2.3</w:t>
            </w:r>
            <w:r>
              <w:rPr>
                <w:rFonts w:eastAsiaTheme="minorEastAsia"/>
                <w:noProof/>
                <w:lang w:eastAsia="pl-PL"/>
              </w:rPr>
              <w:tab/>
            </w:r>
            <w:r w:rsidRPr="005E227E">
              <w:rPr>
                <w:rStyle w:val="Hipercze"/>
                <w:b/>
                <w:bCs/>
                <w:noProof/>
              </w:rPr>
              <w:t>Ministerstwo Funduszy i Polityki Regionalnej</w:t>
            </w:r>
            <w:r>
              <w:rPr>
                <w:noProof/>
                <w:webHidden/>
              </w:rPr>
              <w:tab/>
            </w:r>
            <w:r>
              <w:rPr>
                <w:noProof/>
                <w:webHidden/>
              </w:rPr>
              <w:fldChar w:fldCharType="begin"/>
            </w:r>
            <w:r>
              <w:rPr>
                <w:noProof/>
                <w:webHidden/>
              </w:rPr>
              <w:instrText xml:space="preserve"> PAGEREF _Toc142565933 \h </w:instrText>
            </w:r>
            <w:r>
              <w:rPr>
                <w:noProof/>
                <w:webHidden/>
              </w:rPr>
            </w:r>
            <w:r>
              <w:rPr>
                <w:noProof/>
                <w:webHidden/>
              </w:rPr>
              <w:fldChar w:fldCharType="separate"/>
            </w:r>
            <w:r>
              <w:rPr>
                <w:noProof/>
                <w:webHidden/>
              </w:rPr>
              <w:t>40</w:t>
            </w:r>
            <w:r>
              <w:rPr>
                <w:noProof/>
                <w:webHidden/>
              </w:rPr>
              <w:fldChar w:fldCharType="end"/>
            </w:r>
          </w:hyperlink>
        </w:p>
        <w:p w14:paraId="37A4BA92" w14:textId="7F2C8BAC" w:rsidR="00996743" w:rsidRDefault="00996743">
          <w:pPr>
            <w:pStyle w:val="Spistreci2"/>
            <w:tabs>
              <w:tab w:val="left" w:pos="880"/>
              <w:tab w:val="right" w:leader="dot" w:pos="9062"/>
            </w:tabs>
            <w:rPr>
              <w:rFonts w:eastAsiaTheme="minorEastAsia"/>
              <w:noProof/>
              <w:lang w:eastAsia="pl-PL"/>
            </w:rPr>
          </w:pPr>
          <w:hyperlink w:anchor="_Toc142565934" w:history="1">
            <w:r w:rsidRPr="005E227E">
              <w:rPr>
                <w:rStyle w:val="Hipercze"/>
                <w:b/>
                <w:bCs/>
                <w:noProof/>
              </w:rPr>
              <w:t>2.4</w:t>
            </w:r>
            <w:r>
              <w:rPr>
                <w:rFonts w:eastAsiaTheme="minorEastAsia"/>
                <w:noProof/>
                <w:lang w:eastAsia="pl-PL"/>
              </w:rPr>
              <w:tab/>
            </w:r>
            <w:r w:rsidRPr="005E227E">
              <w:rPr>
                <w:rStyle w:val="Hipercze"/>
                <w:b/>
                <w:bCs/>
                <w:noProof/>
              </w:rPr>
              <w:t>Ministerstwo Klimatu i Środowiska</w:t>
            </w:r>
            <w:r>
              <w:rPr>
                <w:noProof/>
                <w:webHidden/>
              </w:rPr>
              <w:tab/>
            </w:r>
            <w:r>
              <w:rPr>
                <w:noProof/>
                <w:webHidden/>
              </w:rPr>
              <w:fldChar w:fldCharType="begin"/>
            </w:r>
            <w:r>
              <w:rPr>
                <w:noProof/>
                <w:webHidden/>
              </w:rPr>
              <w:instrText xml:space="preserve"> PAGEREF _Toc142565934 \h </w:instrText>
            </w:r>
            <w:r>
              <w:rPr>
                <w:noProof/>
                <w:webHidden/>
              </w:rPr>
            </w:r>
            <w:r>
              <w:rPr>
                <w:noProof/>
                <w:webHidden/>
              </w:rPr>
              <w:fldChar w:fldCharType="separate"/>
            </w:r>
            <w:r>
              <w:rPr>
                <w:noProof/>
                <w:webHidden/>
              </w:rPr>
              <w:t>41</w:t>
            </w:r>
            <w:r>
              <w:rPr>
                <w:noProof/>
                <w:webHidden/>
              </w:rPr>
              <w:fldChar w:fldCharType="end"/>
            </w:r>
          </w:hyperlink>
        </w:p>
        <w:p w14:paraId="45964D1B" w14:textId="15258479" w:rsidR="00996743" w:rsidRDefault="00996743">
          <w:pPr>
            <w:pStyle w:val="Spistreci2"/>
            <w:tabs>
              <w:tab w:val="left" w:pos="880"/>
              <w:tab w:val="right" w:leader="dot" w:pos="9062"/>
            </w:tabs>
            <w:rPr>
              <w:rFonts w:eastAsiaTheme="minorEastAsia"/>
              <w:noProof/>
              <w:lang w:eastAsia="pl-PL"/>
            </w:rPr>
          </w:pPr>
          <w:hyperlink w:anchor="_Toc142565935" w:history="1">
            <w:r w:rsidRPr="005E227E">
              <w:rPr>
                <w:rStyle w:val="Hipercze"/>
                <w:b/>
                <w:bCs/>
                <w:noProof/>
              </w:rPr>
              <w:t>2.5</w:t>
            </w:r>
            <w:r>
              <w:rPr>
                <w:rFonts w:eastAsiaTheme="minorEastAsia"/>
                <w:noProof/>
                <w:lang w:eastAsia="pl-PL"/>
              </w:rPr>
              <w:tab/>
            </w:r>
            <w:r w:rsidRPr="005E227E">
              <w:rPr>
                <w:rStyle w:val="Hipercze"/>
                <w:b/>
                <w:bCs/>
                <w:noProof/>
              </w:rPr>
              <w:t>Ministerstwo Kultury i Dziedzictwa Narodowego</w:t>
            </w:r>
            <w:r>
              <w:rPr>
                <w:noProof/>
                <w:webHidden/>
              </w:rPr>
              <w:tab/>
            </w:r>
            <w:r>
              <w:rPr>
                <w:noProof/>
                <w:webHidden/>
              </w:rPr>
              <w:fldChar w:fldCharType="begin"/>
            </w:r>
            <w:r>
              <w:rPr>
                <w:noProof/>
                <w:webHidden/>
              </w:rPr>
              <w:instrText xml:space="preserve"> PAGEREF _Toc142565935 \h </w:instrText>
            </w:r>
            <w:r>
              <w:rPr>
                <w:noProof/>
                <w:webHidden/>
              </w:rPr>
            </w:r>
            <w:r>
              <w:rPr>
                <w:noProof/>
                <w:webHidden/>
              </w:rPr>
              <w:fldChar w:fldCharType="separate"/>
            </w:r>
            <w:r>
              <w:rPr>
                <w:noProof/>
                <w:webHidden/>
              </w:rPr>
              <w:t>60</w:t>
            </w:r>
            <w:r>
              <w:rPr>
                <w:noProof/>
                <w:webHidden/>
              </w:rPr>
              <w:fldChar w:fldCharType="end"/>
            </w:r>
          </w:hyperlink>
        </w:p>
        <w:p w14:paraId="3218DC07" w14:textId="06B4847E" w:rsidR="00996743" w:rsidRDefault="00996743">
          <w:pPr>
            <w:pStyle w:val="Spistreci2"/>
            <w:tabs>
              <w:tab w:val="left" w:pos="880"/>
              <w:tab w:val="right" w:leader="dot" w:pos="9062"/>
            </w:tabs>
            <w:rPr>
              <w:rFonts w:eastAsiaTheme="minorEastAsia"/>
              <w:noProof/>
              <w:lang w:eastAsia="pl-PL"/>
            </w:rPr>
          </w:pPr>
          <w:hyperlink w:anchor="_Toc142565936" w:history="1">
            <w:r w:rsidRPr="005E227E">
              <w:rPr>
                <w:rStyle w:val="Hipercze"/>
                <w:b/>
                <w:bCs/>
                <w:noProof/>
              </w:rPr>
              <w:t>2.6</w:t>
            </w:r>
            <w:r>
              <w:rPr>
                <w:rFonts w:eastAsiaTheme="minorEastAsia"/>
                <w:noProof/>
                <w:lang w:eastAsia="pl-PL"/>
              </w:rPr>
              <w:tab/>
            </w:r>
            <w:r w:rsidRPr="005E227E">
              <w:rPr>
                <w:rStyle w:val="Hipercze"/>
                <w:b/>
                <w:bCs/>
                <w:noProof/>
              </w:rPr>
              <w:t>Ministerstwo Rodziny i Polityki Społecznej</w:t>
            </w:r>
            <w:r>
              <w:rPr>
                <w:noProof/>
                <w:webHidden/>
              </w:rPr>
              <w:tab/>
            </w:r>
            <w:r>
              <w:rPr>
                <w:noProof/>
                <w:webHidden/>
              </w:rPr>
              <w:fldChar w:fldCharType="begin"/>
            </w:r>
            <w:r>
              <w:rPr>
                <w:noProof/>
                <w:webHidden/>
              </w:rPr>
              <w:instrText xml:space="preserve"> PAGEREF _Toc142565936 \h </w:instrText>
            </w:r>
            <w:r>
              <w:rPr>
                <w:noProof/>
                <w:webHidden/>
              </w:rPr>
            </w:r>
            <w:r>
              <w:rPr>
                <w:noProof/>
                <w:webHidden/>
              </w:rPr>
              <w:fldChar w:fldCharType="separate"/>
            </w:r>
            <w:r>
              <w:rPr>
                <w:noProof/>
                <w:webHidden/>
              </w:rPr>
              <w:t>64</w:t>
            </w:r>
            <w:r>
              <w:rPr>
                <w:noProof/>
                <w:webHidden/>
              </w:rPr>
              <w:fldChar w:fldCharType="end"/>
            </w:r>
          </w:hyperlink>
        </w:p>
        <w:p w14:paraId="7EBDBC80" w14:textId="012E2370" w:rsidR="00996743" w:rsidRDefault="00996743">
          <w:pPr>
            <w:pStyle w:val="Spistreci2"/>
            <w:tabs>
              <w:tab w:val="left" w:pos="880"/>
              <w:tab w:val="right" w:leader="dot" w:pos="9062"/>
            </w:tabs>
            <w:rPr>
              <w:rFonts w:eastAsiaTheme="minorEastAsia"/>
              <w:noProof/>
              <w:lang w:eastAsia="pl-PL"/>
            </w:rPr>
          </w:pPr>
          <w:hyperlink w:anchor="_Toc142565937" w:history="1">
            <w:r w:rsidRPr="005E227E">
              <w:rPr>
                <w:rStyle w:val="Hipercze"/>
                <w:b/>
                <w:bCs/>
                <w:noProof/>
              </w:rPr>
              <w:t>2.7</w:t>
            </w:r>
            <w:r>
              <w:rPr>
                <w:rFonts w:eastAsiaTheme="minorEastAsia"/>
                <w:noProof/>
                <w:lang w:eastAsia="pl-PL"/>
              </w:rPr>
              <w:tab/>
            </w:r>
            <w:r w:rsidRPr="005E227E">
              <w:rPr>
                <w:rStyle w:val="Hipercze"/>
                <w:b/>
                <w:bCs/>
                <w:noProof/>
              </w:rPr>
              <w:t>Ministerstwo Rolnictwa i Rozwoju Wsi</w:t>
            </w:r>
            <w:r>
              <w:rPr>
                <w:noProof/>
                <w:webHidden/>
              </w:rPr>
              <w:tab/>
            </w:r>
            <w:r>
              <w:rPr>
                <w:noProof/>
                <w:webHidden/>
              </w:rPr>
              <w:fldChar w:fldCharType="begin"/>
            </w:r>
            <w:r>
              <w:rPr>
                <w:noProof/>
                <w:webHidden/>
              </w:rPr>
              <w:instrText xml:space="preserve"> PAGEREF _Toc142565937 \h </w:instrText>
            </w:r>
            <w:r>
              <w:rPr>
                <w:noProof/>
                <w:webHidden/>
              </w:rPr>
            </w:r>
            <w:r>
              <w:rPr>
                <w:noProof/>
                <w:webHidden/>
              </w:rPr>
              <w:fldChar w:fldCharType="separate"/>
            </w:r>
            <w:r>
              <w:rPr>
                <w:noProof/>
                <w:webHidden/>
              </w:rPr>
              <w:t>75</w:t>
            </w:r>
            <w:r>
              <w:rPr>
                <w:noProof/>
                <w:webHidden/>
              </w:rPr>
              <w:fldChar w:fldCharType="end"/>
            </w:r>
          </w:hyperlink>
        </w:p>
        <w:p w14:paraId="4FF57109" w14:textId="2F87841A" w:rsidR="00996743" w:rsidRDefault="00996743">
          <w:pPr>
            <w:pStyle w:val="Spistreci2"/>
            <w:tabs>
              <w:tab w:val="left" w:pos="880"/>
              <w:tab w:val="right" w:leader="dot" w:pos="9062"/>
            </w:tabs>
            <w:rPr>
              <w:rFonts w:eastAsiaTheme="minorEastAsia"/>
              <w:noProof/>
              <w:lang w:eastAsia="pl-PL"/>
            </w:rPr>
          </w:pPr>
          <w:hyperlink w:anchor="_Toc142565938" w:history="1">
            <w:r w:rsidRPr="005E227E">
              <w:rPr>
                <w:rStyle w:val="Hipercze"/>
                <w:b/>
                <w:bCs/>
                <w:noProof/>
              </w:rPr>
              <w:t>2.8</w:t>
            </w:r>
            <w:r>
              <w:rPr>
                <w:rFonts w:eastAsiaTheme="minorEastAsia"/>
                <w:noProof/>
                <w:lang w:eastAsia="pl-PL"/>
              </w:rPr>
              <w:tab/>
            </w:r>
            <w:r w:rsidRPr="005E227E">
              <w:rPr>
                <w:rStyle w:val="Hipercze"/>
                <w:b/>
                <w:bCs/>
                <w:noProof/>
              </w:rPr>
              <w:t>Ministerstwo Rozwoju i Technologii</w:t>
            </w:r>
            <w:r>
              <w:rPr>
                <w:noProof/>
                <w:webHidden/>
              </w:rPr>
              <w:tab/>
            </w:r>
            <w:r>
              <w:rPr>
                <w:noProof/>
                <w:webHidden/>
              </w:rPr>
              <w:fldChar w:fldCharType="begin"/>
            </w:r>
            <w:r>
              <w:rPr>
                <w:noProof/>
                <w:webHidden/>
              </w:rPr>
              <w:instrText xml:space="preserve"> PAGEREF _Toc142565938 \h </w:instrText>
            </w:r>
            <w:r>
              <w:rPr>
                <w:noProof/>
                <w:webHidden/>
              </w:rPr>
            </w:r>
            <w:r>
              <w:rPr>
                <w:noProof/>
                <w:webHidden/>
              </w:rPr>
              <w:fldChar w:fldCharType="separate"/>
            </w:r>
            <w:r>
              <w:rPr>
                <w:noProof/>
                <w:webHidden/>
              </w:rPr>
              <w:t>77</w:t>
            </w:r>
            <w:r>
              <w:rPr>
                <w:noProof/>
                <w:webHidden/>
              </w:rPr>
              <w:fldChar w:fldCharType="end"/>
            </w:r>
          </w:hyperlink>
        </w:p>
        <w:p w14:paraId="15FE4DE6" w14:textId="3FA08E52" w:rsidR="00996743" w:rsidRDefault="00996743">
          <w:pPr>
            <w:pStyle w:val="Spistreci2"/>
            <w:tabs>
              <w:tab w:val="left" w:pos="880"/>
              <w:tab w:val="right" w:leader="dot" w:pos="9062"/>
            </w:tabs>
            <w:rPr>
              <w:rFonts w:eastAsiaTheme="minorEastAsia"/>
              <w:noProof/>
              <w:lang w:eastAsia="pl-PL"/>
            </w:rPr>
          </w:pPr>
          <w:hyperlink w:anchor="_Toc142565939" w:history="1">
            <w:r w:rsidRPr="005E227E">
              <w:rPr>
                <w:rStyle w:val="Hipercze"/>
                <w:b/>
                <w:bCs/>
                <w:noProof/>
              </w:rPr>
              <w:t>2.9</w:t>
            </w:r>
            <w:r>
              <w:rPr>
                <w:rFonts w:eastAsiaTheme="minorEastAsia"/>
                <w:noProof/>
                <w:lang w:eastAsia="pl-PL"/>
              </w:rPr>
              <w:tab/>
            </w:r>
            <w:r w:rsidRPr="005E227E">
              <w:rPr>
                <w:rStyle w:val="Hipercze"/>
                <w:b/>
                <w:bCs/>
                <w:noProof/>
              </w:rPr>
              <w:t>Ministerstwo Spraw Wewnętrznych i Administracji</w:t>
            </w:r>
            <w:r>
              <w:rPr>
                <w:noProof/>
                <w:webHidden/>
              </w:rPr>
              <w:tab/>
            </w:r>
            <w:r>
              <w:rPr>
                <w:noProof/>
                <w:webHidden/>
              </w:rPr>
              <w:fldChar w:fldCharType="begin"/>
            </w:r>
            <w:r>
              <w:rPr>
                <w:noProof/>
                <w:webHidden/>
              </w:rPr>
              <w:instrText xml:space="preserve"> PAGEREF _Toc142565939 \h </w:instrText>
            </w:r>
            <w:r>
              <w:rPr>
                <w:noProof/>
                <w:webHidden/>
              </w:rPr>
            </w:r>
            <w:r>
              <w:rPr>
                <w:noProof/>
                <w:webHidden/>
              </w:rPr>
              <w:fldChar w:fldCharType="separate"/>
            </w:r>
            <w:r>
              <w:rPr>
                <w:noProof/>
                <w:webHidden/>
              </w:rPr>
              <w:t>78</w:t>
            </w:r>
            <w:r>
              <w:rPr>
                <w:noProof/>
                <w:webHidden/>
              </w:rPr>
              <w:fldChar w:fldCharType="end"/>
            </w:r>
          </w:hyperlink>
        </w:p>
        <w:p w14:paraId="57FF2C0C" w14:textId="7F4B8636" w:rsidR="00996743" w:rsidRDefault="00996743">
          <w:pPr>
            <w:pStyle w:val="Spistreci2"/>
            <w:tabs>
              <w:tab w:val="left" w:pos="880"/>
              <w:tab w:val="right" w:leader="dot" w:pos="9062"/>
            </w:tabs>
            <w:rPr>
              <w:rFonts w:eastAsiaTheme="minorEastAsia"/>
              <w:noProof/>
              <w:lang w:eastAsia="pl-PL"/>
            </w:rPr>
          </w:pPr>
          <w:hyperlink w:anchor="_Toc142565940" w:history="1">
            <w:r w:rsidRPr="005E227E">
              <w:rPr>
                <w:rStyle w:val="Hipercze"/>
                <w:b/>
                <w:bCs/>
                <w:noProof/>
              </w:rPr>
              <w:t>2.10</w:t>
            </w:r>
            <w:r>
              <w:rPr>
                <w:rFonts w:eastAsiaTheme="minorEastAsia"/>
                <w:noProof/>
                <w:lang w:eastAsia="pl-PL"/>
              </w:rPr>
              <w:tab/>
            </w:r>
            <w:r w:rsidRPr="005E227E">
              <w:rPr>
                <w:rStyle w:val="Hipercze"/>
                <w:b/>
                <w:bCs/>
                <w:noProof/>
              </w:rPr>
              <w:t>Ministerstwo Spraw Zagranicznych</w:t>
            </w:r>
            <w:r>
              <w:rPr>
                <w:noProof/>
                <w:webHidden/>
              </w:rPr>
              <w:tab/>
            </w:r>
            <w:r>
              <w:rPr>
                <w:noProof/>
                <w:webHidden/>
              </w:rPr>
              <w:fldChar w:fldCharType="begin"/>
            </w:r>
            <w:r>
              <w:rPr>
                <w:noProof/>
                <w:webHidden/>
              </w:rPr>
              <w:instrText xml:space="preserve"> PAGEREF _Toc142565940 \h </w:instrText>
            </w:r>
            <w:r>
              <w:rPr>
                <w:noProof/>
                <w:webHidden/>
              </w:rPr>
            </w:r>
            <w:r>
              <w:rPr>
                <w:noProof/>
                <w:webHidden/>
              </w:rPr>
              <w:fldChar w:fldCharType="separate"/>
            </w:r>
            <w:r>
              <w:rPr>
                <w:noProof/>
                <w:webHidden/>
              </w:rPr>
              <w:t>83</w:t>
            </w:r>
            <w:r>
              <w:rPr>
                <w:noProof/>
                <w:webHidden/>
              </w:rPr>
              <w:fldChar w:fldCharType="end"/>
            </w:r>
          </w:hyperlink>
        </w:p>
        <w:p w14:paraId="7349AABD" w14:textId="64591BB8" w:rsidR="00996743" w:rsidRDefault="00996743">
          <w:pPr>
            <w:pStyle w:val="Spistreci2"/>
            <w:tabs>
              <w:tab w:val="left" w:pos="880"/>
              <w:tab w:val="right" w:leader="dot" w:pos="9062"/>
            </w:tabs>
            <w:rPr>
              <w:rFonts w:eastAsiaTheme="minorEastAsia"/>
              <w:noProof/>
              <w:lang w:eastAsia="pl-PL"/>
            </w:rPr>
          </w:pPr>
          <w:hyperlink w:anchor="_Toc142565941" w:history="1">
            <w:r w:rsidRPr="005E227E">
              <w:rPr>
                <w:rStyle w:val="Hipercze"/>
                <w:b/>
                <w:bCs/>
                <w:noProof/>
              </w:rPr>
              <w:t>2.11</w:t>
            </w:r>
            <w:r>
              <w:rPr>
                <w:rFonts w:eastAsiaTheme="minorEastAsia"/>
                <w:noProof/>
                <w:lang w:eastAsia="pl-PL"/>
              </w:rPr>
              <w:tab/>
            </w:r>
            <w:r w:rsidRPr="005E227E">
              <w:rPr>
                <w:rStyle w:val="Hipercze"/>
                <w:b/>
                <w:bCs/>
                <w:noProof/>
              </w:rPr>
              <w:t>Ministerstwo Sportu i Turystyki</w:t>
            </w:r>
            <w:r>
              <w:rPr>
                <w:noProof/>
                <w:webHidden/>
              </w:rPr>
              <w:tab/>
            </w:r>
            <w:r>
              <w:rPr>
                <w:noProof/>
                <w:webHidden/>
              </w:rPr>
              <w:fldChar w:fldCharType="begin"/>
            </w:r>
            <w:r>
              <w:rPr>
                <w:noProof/>
                <w:webHidden/>
              </w:rPr>
              <w:instrText xml:space="preserve"> PAGEREF _Toc142565941 \h </w:instrText>
            </w:r>
            <w:r>
              <w:rPr>
                <w:noProof/>
                <w:webHidden/>
              </w:rPr>
            </w:r>
            <w:r>
              <w:rPr>
                <w:noProof/>
                <w:webHidden/>
              </w:rPr>
              <w:fldChar w:fldCharType="separate"/>
            </w:r>
            <w:r>
              <w:rPr>
                <w:noProof/>
                <w:webHidden/>
              </w:rPr>
              <w:t>83</w:t>
            </w:r>
            <w:r>
              <w:rPr>
                <w:noProof/>
                <w:webHidden/>
              </w:rPr>
              <w:fldChar w:fldCharType="end"/>
            </w:r>
          </w:hyperlink>
        </w:p>
        <w:p w14:paraId="6C280174" w14:textId="32E99375" w:rsidR="00996743" w:rsidRDefault="00996743">
          <w:pPr>
            <w:pStyle w:val="Spistreci2"/>
            <w:tabs>
              <w:tab w:val="left" w:pos="880"/>
              <w:tab w:val="right" w:leader="dot" w:pos="9062"/>
            </w:tabs>
            <w:rPr>
              <w:rFonts w:eastAsiaTheme="minorEastAsia"/>
              <w:noProof/>
              <w:lang w:eastAsia="pl-PL"/>
            </w:rPr>
          </w:pPr>
          <w:hyperlink w:anchor="_Toc142565942" w:history="1">
            <w:r w:rsidRPr="005E227E">
              <w:rPr>
                <w:rStyle w:val="Hipercze"/>
                <w:b/>
                <w:bCs/>
                <w:noProof/>
              </w:rPr>
              <w:t>2.12</w:t>
            </w:r>
            <w:r>
              <w:rPr>
                <w:rFonts w:eastAsiaTheme="minorEastAsia"/>
                <w:noProof/>
                <w:lang w:eastAsia="pl-PL"/>
              </w:rPr>
              <w:tab/>
            </w:r>
            <w:r w:rsidRPr="005E227E">
              <w:rPr>
                <w:rStyle w:val="Hipercze"/>
                <w:b/>
                <w:bCs/>
                <w:noProof/>
              </w:rPr>
              <w:t>Ministerstwo Sprawiedliwości</w:t>
            </w:r>
            <w:r>
              <w:rPr>
                <w:noProof/>
                <w:webHidden/>
              </w:rPr>
              <w:tab/>
            </w:r>
            <w:r>
              <w:rPr>
                <w:noProof/>
                <w:webHidden/>
              </w:rPr>
              <w:fldChar w:fldCharType="begin"/>
            </w:r>
            <w:r>
              <w:rPr>
                <w:noProof/>
                <w:webHidden/>
              </w:rPr>
              <w:instrText xml:space="preserve"> PAGEREF _Toc142565942 \h </w:instrText>
            </w:r>
            <w:r>
              <w:rPr>
                <w:noProof/>
                <w:webHidden/>
              </w:rPr>
            </w:r>
            <w:r>
              <w:rPr>
                <w:noProof/>
                <w:webHidden/>
              </w:rPr>
              <w:fldChar w:fldCharType="separate"/>
            </w:r>
            <w:r>
              <w:rPr>
                <w:noProof/>
                <w:webHidden/>
              </w:rPr>
              <w:t>90</w:t>
            </w:r>
            <w:r>
              <w:rPr>
                <w:noProof/>
                <w:webHidden/>
              </w:rPr>
              <w:fldChar w:fldCharType="end"/>
            </w:r>
          </w:hyperlink>
        </w:p>
        <w:p w14:paraId="55CCB574" w14:textId="2A8E8879" w:rsidR="00996743" w:rsidRDefault="00996743">
          <w:pPr>
            <w:pStyle w:val="Spistreci2"/>
            <w:tabs>
              <w:tab w:val="left" w:pos="880"/>
              <w:tab w:val="right" w:leader="dot" w:pos="9062"/>
            </w:tabs>
            <w:rPr>
              <w:rFonts w:eastAsiaTheme="minorEastAsia"/>
              <w:noProof/>
              <w:lang w:eastAsia="pl-PL"/>
            </w:rPr>
          </w:pPr>
          <w:hyperlink w:anchor="_Toc142565943" w:history="1">
            <w:r w:rsidRPr="005E227E">
              <w:rPr>
                <w:rStyle w:val="Hipercze"/>
                <w:b/>
                <w:bCs/>
                <w:noProof/>
              </w:rPr>
              <w:t>2.13</w:t>
            </w:r>
            <w:r>
              <w:rPr>
                <w:rFonts w:eastAsiaTheme="minorEastAsia"/>
                <w:noProof/>
                <w:lang w:eastAsia="pl-PL"/>
              </w:rPr>
              <w:tab/>
            </w:r>
            <w:r w:rsidRPr="005E227E">
              <w:rPr>
                <w:rStyle w:val="Hipercze"/>
                <w:b/>
                <w:bCs/>
                <w:noProof/>
              </w:rPr>
              <w:t>Ministerstwo Zdrowia</w:t>
            </w:r>
            <w:r>
              <w:rPr>
                <w:noProof/>
                <w:webHidden/>
              </w:rPr>
              <w:tab/>
            </w:r>
            <w:r>
              <w:rPr>
                <w:noProof/>
                <w:webHidden/>
              </w:rPr>
              <w:fldChar w:fldCharType="begin"/>
            </w:r>
            <w:r>
              <w:rPr>
                <w:noProof/>
                <w:webHidden/>
              </w:rPr>
              <w:instrText xml:space="preserve"> PAGEREF _Toc142565943 \h </w:instrText>
            </w:r>
            <w:r>
              <w:rPr>
                <w:noProof/>
                <w:webHidden/>
              </w:rPr>
            </w:r>
            <w:r>
              <w:rPr>
                <w:noProof/>
                <w:webHidden/>
              </w:rPr>
              <w:fldChar w:fldCharType="separate"/>
            </w:r>
            <w:r>
              <w:rPr>
                <w:noProof/>
                <w:webHidden/>
              </w:rPr>
              <w:t>103</w:t>
            </w:r>
            <w:r>
              <w:rPr>
                <w:noProof/>
                <w:webHidden/>
              </w:rPr>
              <w:fldChar w:fldCharType="end"/>
            </w:r>
          </w:hyperlink>
        </w:p>
        <w:p w14:paraId="2959F5CA" w14:textId="0526917C" w:rsidR="00996743" w:rsidRDefault="00996743">
          <w:pPr>
            <w:pStyle w:val="Spistreci2"/>
            <w:tabs>
              <w:tab w:val="left" w:pos="880"/>
              <w:tab w:val="right" w:leader="dot" w:pos="9062"/>
            </w:tabs>
            <w:rPr>
              <w:rFonts w:eastAsiaTheme="minorEastAsia"/>
              <w:noProof/>
              <w:lang w:eastAsia="pl-PL"/>
            </w:rPr>
          </w:pPr>
          <w:hyperlink w:anchor="_Toc142565944" w:history="1">
            <w:r w:rsidRPr="005E227E">
              <w:rPr>
                <w:rStyle w:val="Hipercze"/>
                <w:b/>
                <w:bCs/>
                <w:noProof/>
              </w:rPr>
              <w:t>2.14</w:t>
            </w:r>
            <w:r>
              <w:rPr>
                <w:rFonts w:eastAsiaTheme="minorEastAsia"/>
                <w:noProof/>
                <w:lang w:eastAsia="pl-PL"/>
              </w:rPr>
              <w:tab/>
            </w:r>
            <w:r w:rsidRPr="005E227E">
              <w:rPr>
                <w:rStyle w:val="Hipercze"/>
                <w:b/>
                <w:bCs/>
                <w:noProof/>
              </w:rPr>
              <w:t>Narodowy Instytut Wolności – Centrum Rozwoju Społeczeństwa Obywatelskiego</w:t>
            </w:r>
            <w:r>
              <w:rPr>
                <w:noProof/>
                <w:webHidden/>
              </w:rPr>
              <w:tab/>
            </w:r>
            <w:r>
              <w:rPr>
                <w:noProof/>
                <w:webHidden/>
              </w:rPr>
              <w:fldChar w:fldCharType="begin"/>
            </w:r>
            <w:r>
              <w:rPr>
                <w:noProof/>
                <w:webHidden/>
              </w:rPr>
              <w:instrText xml:space="preserve"> PAGEREF _Toc142565944 \h </w:instrText>
            </w:r>
            <w:r>
              <w:rPr>
                <w:noProof/>
                <w:webHidden/>
              </w:rPr>
            </w:r>
            <w:r>
              <w:rPr>
                <w:noProof/>
                <w:webHidden/>
              </w:rPr>
              <w:fldChar w:fldCharType="separate"/>
            </w:r>
            <w:r>
              <w:rPr>
                <w:noProof/>
                <w:webHidden/>
              </w:rPr>
              <w:t>122</w:t>
            </w:r>
            <w:r>
              <w:rPr>
                <w:noProof/>
                <w:webHidden/>
              </w:rPr>
              <w:fldChar w:fldCharType="end"/>
            </w:r>
          </w:hyperlink>
        </w:p>
        <w:p w14:paraId="7B370744" w14:textId="713E59D5" w:rsidR="00996743" w:rsidRDefault="00996743">
          <w:pPr>
            <w:pStyle w:val="Spistreci2"/>
            <w:tabs>
              <w:tab w:val="left" w:pos="880"/>
              <w:tab w:val="right" w:leader="dot" w:pos="9062"/>
            </w:tabs>
            <w:rPr>
              <w:rFonts w:eastAsiaTheme="minorEastAsia"/>
              <w:noProof/>
              <w:lang w:eastAsia="pl-PL"/>
            </w:rPr>
          </w:pPr>
          <w:hyperlink w:anchor="_Toc142565945" w:history="1">
            <w:r w:rsidRPr="005E227E">
              <w:rPr>
                <w:rStyle w:val="Hipercze"/>
                <w:b/>
                <w:bCs/>
                <w:noProof/>
              </w:rPr>
              <w:t>2.15</w:t>
            </w:r>
            <w:r>
              <w:rPr>
                <w:rFonts w:eastAsiaTheme="minorEastAsia"/>
                <w:noProof/>
                <w:lang w:eastAsia="pl-PL"/>
              </w:rPr>
              <w:tab/>
            </w:r>
            <w:r w:rsidRPr="005E227E">
              <w:rPr>
                <w:rStyle w:val="Hipercze"/>
                <w:b/>
                <w:bCs/>
                <w:noProof/>
              </w:rPr>
              <w:t>Urząd Ochrony Konkurencji i Konsumentów</w:t>
            </w:r>
            <w:r>
              <w:rPr>
                <w:noProof/>
                <w:webHidden/>
              </w:rPr>
              <w:tab/>
            </w:r>
            <w:r>
              <w:rPr>
                <w:noProof/>
                <w:webHidden/>
              </w:rPr>
              <w:fldChar w:fldCharType="begin"/>
            </w:r>
            <w:r>
              <w:rPr>
                <w:noProof/>
                <w:webHidden/>
              </w:rPr>
              <w:instrText xml:space="preserve"> PAGEREF _Toc142565945 \h </w:instrText>
            </w:r>
            <w:r>
              <w:rPr>
                <w:noProof/>
                <w:webHidden/>
              </w:rPr>
            </w:r>
            <w:r>
              <w:rPr>
                <w:noProof/>
                <w:webHidden/>
              </w:rPr>
              <w:fldChar w:fldCharType="separate"/>
            </w:r>
            <w:r>
              <w:rPr>
                <w:noProof/>
                <w:webHidden/>
              </w:rPr>
              <w:t>124</w:t>
            </w:r>
            <w:r>
              <w:rPr>
                <w:noProof/>
                <w:webHidden/>
              </w:rPr>
              <w:fldChar w:fldCharType="end"/>
            </w:r>
          </w:hyperlink>
        </w:p>
        <w:p w14:paraId="091EC773" w14:textId="71F34842" w:rsidR="00996743" w:rsidRDefault="00996743">
          <w:pPr>
            <w:pStyle w:val="Spistreci2"/>
            <w:tabs>
              <w:tab w:val="left" w:pos="880"/>
              <w:tab w:val="right" w:leader="dot" w:pos="9062"/>
            </w:tabs>
            <w:rPr>
              <w:rFonts w:eastAsiaTheme="minorEastAsia"/>
              <w:noProof/>
              <w:lang w:eastAsia="pl-PL"/>
            </w:rPr>
          </w:pPr>
          <w:hyperlink w:anchor="_Toc142565946" w:history="1">
            <w:r w:rsidRPr="005E227E">
              <w:rPr>
                <w:rStyle w:val="Hipercze"/>
                <w:b/>
                <w:bCs/>
                <w:noProof/>
              </w:rPr>
              <w:t>2.16</w:t>
            </w:r>
            <w:r>
              <w:rPr>
                <w:rFonts w:eastAsiaTheme="minorEastAsia"/>
                <w:noProof/>
                <w:lang w:eastAsia="pl-PL"/>
              </w:rPr>
              <w:tab/>
            </w:r>
            <w:r w:rsidRPr="005E227E">
              <w:rPr>
                <w:rStyle w:val="Hipercze"/>
                <w:b/>
                <w:bCs/>
                <w:noProof/>
              </w:rPr>
              <w:t>Zakład Ubezpieczeń Społecznych</w:t>
            </w:r>
            <w:r>
              <w:rPr>
                <w:noProof/>
                <w:webHidden/>
              </w:rPr>
              <w:tab/>
            </w:r>
            <w:r>
              <w:rPr>
                <w:noProof/>
                <w:webHidden/>
              </w:rPr>
              <w:fldChar w:fldCharType="begin"/>
            </w:r>
            <w:r>
              <w:rPr>
                <w:noProof/>
                <w:webHidden/>
              </w:rPr>
              <w:instrText xml:space="preserve"> PAGEREF _Toc142565946 \h </w:instrText>
            </w:r>
            <w:r>
              <w:rPr>
                <w:noProof/>
                <w:webHidden/>
              </w:rPr>
            </w:r>
            <w:r>
              <w:rPr>
                <w:noProof/>
                <w:webHidden/>
              </w:rPr>
              <w:fldChar w:fldCharType="separate"/>
            </w:r>
            <w:r>
              <w:rPr>
                <w:noProof/>
                <w:webHidden/>
              </w:rPr>
              <w:t>126</w:t>
            </w:r>
            <w:r>
              <w:rPr>
                <w:noProof/>
                <w:webHidden/>
              </w:rPr>
              <w:fldChar w:fldCharType="end"/>
            </w:r>
          </w:hyperlink>
        </w:p>
        <w:p w14:paraId="7CD6311C" w14:textId="51E1A409" w:rsidR="00996743" w:rsidRDefault="00996743">
          <w:pPr>
            <w:pStyle w:val="Spistreci1"/>
            <w:rPr>
              <w:rFonts w:eastAsiaTheme="minorEastAsia"/>
              <w:b w:val="0"/>
              <w:bCs w:val="0"/>
              <w:lang w:eastAsia="pl-PL"/>
            </w:rPr>
          </w:pPr>
          <w:hyperlink w:anchor="_Toc142565947" w:history="1">
            <w:r w:rsidRPr="005E227E">
              <w:rPr>
                <w:rStyle w:val="Hipercze"/>
              </w:rPr>
              <w:t>3.</w:t>
            </w:r>
            <w:r>
              <w:rPr>
                <w:rFonts w:eastAsiaTheme="minorEastAsia"/>
                <w:b w:val="0"/>
                <w:bCs w:val="0"/>
                <w:lang w:eastAsia="pl-PL"/>
              </w:rPr>
              <w:tab/>
            </w:r>
            <w:r w:rsidRPr="005E227E">
              <w:rPr>
                <w:rStyle w:val="Hipercze"/>
              </w:rPr>
              <w:t>Polityka społeczna wobec osób starszych na szczeblu regionalnym</w:t>
            </w:r>
            <w:r>
              <w:rPr>
                <w:webHidden/>
              </w:rPr>
              <w:tab/>
            </w:r>
            <w:r>
              <w:rPr>
                <w:webHidden/>
              </w:rPr>
              <w:fldChar w:fldCharType="begin"/>
            </w:r>
            <w:r>
              <w:rPr>
                <w:webHidden/>
              </w:rPr>
              <w:instrText xml:space="preserve"> PAGEREF _Toc142565947 \h </w:instrText>
            </w:r>
            <w:r>
              <w:rPr>
                <w:webHidden/>
              </w:rPr>
            </w:r>
            <w:r>
              <w:rPr>
                <w:webHidden/>
              </w:rPr>
              <w:fldChar w:fldCharType="separate"/>
            </w:r>
            <w:r>
              <w:rPr>
                <w:webHidden/>
              </w:rPr>
              <w:t>128</w:t>
            </w:r>
            <w:r>
              <w:rPr>
                <w:webHidden/>
              </w:rPr>
              <w:fldChar w:fldCharType="end"/>
            </w:r>
          </w:hyperlink>
        </w:p>
        <w:p w14:paraId="4026F110" w14:textId="5C58ACDF" w:rsidR="00996743" w:rsidRDefault="00996743">
          <w:pPr>
            <w:pStyle w:val="Spistreci2"/>
            <w:tabs>
              <w:tab w:val="left" w:pos="880"/>
              <w:tab w:val="right" w:leader="dot" w:pos="9062"/>
            </w:tabs>
            <w:rPr>
              <w:rFonts w:eastAsiaTheme="minorEastAsia"/>
              <w:noProof/>
              <w:lang w:eastAsia="pl-PL"/>
            </w:rPr>
          </w:pPr>
          <w:hyperlink w:anchor="_Toc142565948" w:history="1">
            <w:r w:rsidRPr="005E227E">
              <w:rPr>
                <w:rStyle w:val="Hipercze"/>
                <w:b/>
                <w:bCs/>
                <w:noProof/>
              </w:rPr>
              <w:t>3.14</w:t>
            </w:r>
            <w:r>
              <w:rPr>
                <w:rFonts w:eastAsiaTheme="minorEastAsia"/>
                <w:noProof/>
                <w:lang w:eastAsia="pl-PL"/>
              </w:rPr>
              <w:tab/>
            </w:r>
            <w:r w:rsidRPr="005E227E">
              <w:rPr>
                <w:rStyle w:val="Hipercze"/>
                <w:b/>
                <w:bCs/>
                <w:noProof/>
              </w:rPr>
              <w:t>Województwo dolnośląskie</w:t>
            </w:r>
            <w:r>
              <w:rPr>
                <w:noProof/>
                <w:webHidden/>
              </w:rPr>
              <w:tab/>
            </w:r>
            <w:r>
              <w:rPr>
                <w:noProof/>
                <w:webHidden/>
              </w:rPr>
              <w:fldChar w:fldCharType="begin"/>
            </w:r>
            <w:r>
              <w:rPr>
                <w:noProof/>
                <w:webHidden/>
              </w:rPr>
              <w:instrText xml:space="preserve"> PAGEREF _Toc142565948 \h </w:instrText>
            </w:r>
            <w:r>
              <w:rPr>
                <w:noProof/>
                <w:webHidden/>
              </w:rPr>
            </w:r>
            <w:r>
              <w:rPr>
                <w:noProof/>
                <w:webHidden/>
              </w:rPr>
              <w:fldChar w:fldCharType="separate"/>
            </w:r>
            <w:r>
              <w:rPr>
                <w:noProof/>
                <w:webHidden/>
              </w:rPr>
              <w:t>128</w:t>
            </w:r>
            <w:r>
              <w:rPr>
                <w:noProof/>
                <w:webHidden/>
              </w:rPr>
              <w:fldChar w:fldCharType="end"/>
            </w:r>
          </w:hyperlink>
        </w:p>
        <w:p w14:paraId="30FAD040" w14:textId="148CE519" w:rsidR="00996743" w:rsidRDefault="00996743">
          <w:pPr>
            <w:pStyle w:val="Spistreci2"/>
            <w:tabs>
              <w:tab w:val="left" w:pos="880"/>
              <w:tab w:val="right" w:leader="dot" w:pos="9062"/>
            </w:tabs>
            <w:rPr>
              <w:rFonts w:eastAsiaTheme="minorEastAsia"/>
              <w:noProof/>
              <w:lang w:eastAsia="pl-PL"/>
            </w:rPr>
          </w:pPr>
          <w:hyperlink w:anchor="_Toc142565949" w:history="1">
            <w:r w:rsidRPr="005E227E">
              <w:rPr>
                <w:rStyle w:val="Hipercze"/>
                <w:b/>
                <w:bCs/>
                <w:noProof/>
              </w:rPr>
              <w:t>3.2.</w:t>
            </w:r>
            <w:r>
              <w:rPr>
                <w:rFonts w:eastAsiaTheme="minorEastAsia"/>
                <w:noProof/>
                <w:lang w:eastAsia="pl-PL"/>
              </w:rPr>
              <w:tab/>
            </w:r>
            <w:r w:rsidRPr="005E227E">
              <w:rPr>
                <w:rStyle w:val="Hipercze"/>
                <w:b/>
                <w:bCs/>
                <w:noProof/>
              </w:rPr>
              <w:t>Województwo kujawsko-pomorskie</w:t>
            </w:r>
            <w:r>
              <w:rPr>
                <w:noProof/>
                <w:webHidden/>
              </w:rPr>
              <w:tab/>
            </w:r>
            <w:r>
              <w:rPr>
                <w:noProof/>
                <w:webHidden/>
              </w:rPr>
              <w:fldChar w:fldCharType="begin"/>
            </w:r>
            <w:r>
              <w:rPr>
                <w:noProof/>
                <w:webHidden/>
              </w:rPr>
              <w:instrText xml:space="preserve"> PAGEREF _Toc142565949 \h </w:instrText>
            </w:r>
            <w:r>
              <w:rPr>
                <w:noProof/>
                <w:webHidden/>
              </w:rPr>
            </w:r>
            <w:r>
              <w:rPr>
                <w:noProof/>
                <w:webHidden/>
              </w:rPr>
              <w:fldChar w:fldCharType="separate"/>
            </w:r>
            <w:r>
              <w:rPr>
                <w:noProof/>
                <w:webHidden/>
              </w:rPr>
              <w:t>133</w:t>
            </w:r>
            <w:r>
              <w:rPr>
                <w:noProof/>
                <w:webHidden/>
              </w:rPr>
              <w:fldChar w:fldCharType="end"/>
            </w:r>
          </w:hyperlink>
        </w:p>
        <w:p w14:paraId="2113EE22" w14:textId="5FEA1E96" w:rsidR="00996743" w:rsidRDefault="00996743">
          <w:pPr>
            <w:pStyle w:val="Spistreci2"/>
            <w:tabs>
              <w:tab w:val="left" w:pos="880"/>
              <w:tab w:val="right" w:leader="dot" w:pos="9062"/>
            </w:tabs>
            <w:rPr>
              <w:rFonts w:eastAsiaTheme="minorEastAsia"/>
              <w:noProof/>
              <w:lang w:eastAsia="pl-PL"/>
            </w:rPr>
          </w:pPr>
          <w:hyperlink w:anchor="_Toc142565950" w:history="1">
            <w:r w:rsidRPr="005E227E">
              <w:rPr>
                <w:rStyle w:val="Hipercze"/>
                <w:b/>
                <w:bCs/>
                <w:noProof/>
              </w:rPr>
              <w:t>3.3.</w:t>
            </w:r>
            <w:r>
              <w:rPr>
                <w:rFonts w:eastAsiaTheme="minorEastAsia"/>
                <w:noProof/>
                <w:lang w:eastAsia="pl-PL"/>
              </w:rPr>
              <w:tab/>
            </w:r>
            <w:r w:rsidRPr="005E227E">
              <w:rPr>
                <w:rStyle w:val="Hipercze"/>
                <w:b/>
                <w:bCs/>
                <w:noProof/>
              </w:rPr>
              <w:t>Województwo lubelskie</w:t>
            </w:r>
            <w:r>
              <w:rPr>
                <w:noProof/>
                <w:webHidden/>
              </w:rPr>
              <w:tab/>
            </w:r>
            <w:r>
              <w:rPr>
                <w:noProof/>
                <w:webHidden/>
              </w:rPr>
              <w:fldChar w:fldCharType="begin"/>
            </w:r>
            <w:r>
              <w:rPr>
                <w:noProof/>
                <w:webHidden/>
              </w:rPr>
              <w:instrText xml:space="preserve"> PAGEREF _Toc142565950 \h </w:instrText>
            </w:r>
            <w:r>
              <w:rPr>
                <w:noProof/>
                <w:webHidden/>
              </w:rPr>
            </w:r>
            <w:r>
              <w:rPr>
                <w:noProof/>
                <w:webHidden/>
              </w:rPr>
              <w:fldChar w:fldCharType="separate"/>
            </w:r>
            <w:r>
              <w:rPr>
                <w:noProof/>
                <w:webHidden/>
              </w:rPr>
              <w:t>140</w:t>
            </w:r>
            <w:r>
              <w:rPr>
                <w:noProof/>
                <w:webHidden/>
              </w:rPr>
              <w:fldChar w:fldCharType="end"/>
            </w:r>
          </w:hyperlink>
        </w:p>
        <w:p w14:paraId="14A361C0" w14:textId="54C10070" w:rsidR="00996743" w:rsidRDefault="00996743">
          <w:pPr>
            <w:pStyle w:val="Spistreci2"/>
            <w:tabs>
              <w:tab w:val="left" w:pos="880"/>
              <w:tab w:val="right" w:leader="dot" w:pos="9062"/>
            </w:tabs>
            <w:rPr>
              <w:rFonts w:eastAsiaTheme="minorEastAsia"/>
              <w:noProof/>
              <w:lang w:eastAsia="pl-PL"/>
            </w:rPr>
          </w:pPr>
          <w:hyperlink w:anchor="_Toc142565951" w:history="1">
            <w:r w:rsidRPr="005E227E">
              <w:rPr>
                <w:rStyle w:val="Hipercze"/>
                <w:b/>
                <w:bCs/>
                <w:noProof/>
              </w:rPr>
              <w:t>3.4.</w:t>
            </w:r>
            <w:r>
              <w:rPr>
                <w:rFonts w:eastAsiaTheme="minorEastAsia"/>
                <w:noProof/>
                <w:lang w:eastAsia="pl-PL"/>
              </w:rPr>
              <w:tab/>
            </w:r>
            <w:r w:rsidRPr="005E227E">
              <w:rPr>
                <w:rStyle w:val="Hipercze"/>
                <w:b/>
                <w:bCs/>
                <w:noProof/>
              </w:rPr>
              <w:t>Województwo lubuskie</w:t>
            </w:r>
            <w:r>
              <w:rPr>
                <w:noProof/>
                <w:webHidden/>
              </w:rPr>
              <w:tab/>
            </w:r>
            <w:r>
              <w:rPr>
                <w:noProof/>
                <w:webHidden/>
              </w:rPr>
              <w:fldChar w:fldCharType="begin"/>
            </w:r>
            <w:r>
              <w:rPr>
                <w:noProof/>
                <w:webHidden/>
              </w:rPr>
              <w:instrText xml:space="preserve"> PAGEREF _Toc142565951 \h </w:instrText>
            </w:r>
            <w:r>
              <w:rPr>
                <w:noProof/>
                <w:webHidden/>
              </w:rPr>
            </w:r>
            <w:r>
              <w:rPr>
                <w:noProof/>
                <w:webHidden/>
              </w:rPr>
              <w:fldChar w:fldCharType="separate"/>
            </w:r>
            <w:r>
              <w:rPr>
                <w:noProof/>
                <w:webHidden/>
              </w:rPr>
              <w:t>148</w:t>
            </w:r>
            <w:r>
              <w:rPr>
                <w:noProof/>
                <w:webHidden/>
              </w:rPr>
              <w:fldChar w:fldCharType="end"/>
            </w:r>
          </w:hyperlink>
        </w:p>
        <w:p w14:paraId="5AE9BC98" w14:textId="6793BA96" w:rsidR="00996743" w:rsidRDefault="00996743">
          <w:pPr>
            <w:pStyle w:val="Spistreci2"/>
            <w:tabs>
              <w:tab w:val="left" w:pos="880"/>
              <w:tab w:val="right" w:leader="dot" w:pos="9062"/>
            </w:tabs>
            <w:rPr>
              <w:rFonts w:eastAsiaTheme="minorEastAsia"/>
              <w:noProof/>
              <w:lang w:eastAsia="pl-PL"/>
            </w:rPr>
          </w:pPr>
          <w:hyperlink w:anchor="_Toc142565952" w:history="1">
            <w:r w:rsidRPr="005E227E">
              <w:rPr>
                <w:rStyle w:val="Hipercze"/>
                <w:b/>
                <w:bCs/>
                <w:noProof/>
              </w:rPr>
              <w:t>3.5.</w:t>
            </w:r>
            <w:r>
              <w:rPr>
                <w:rFonts w:eastAsiaTheme="minorEastAsia"/>
                <w:noProof/>
                <w:lang w:eastAsia="pl-PL"/>
              </w:rPr>
              <w:tab/>
            </w:r>
            <w:r w:rsidRPr="005E227E">
              <w:rPr>
                <w:rStyle w:val="Hipercze"/>
                <w:b/>
                <w:bCs/>
                <w:noProof/>
              </w:rPr>
              <w:t>Województwo łódzkie</w:t>
            </w:r>
            <w:r>
              <w:rPr>
                <w:noProof/>
                <w:webHidden/>
              </w:rPr>
              <w:tab/>
            </w:r>
            <w:r>
              <w:rPr>
                <w:noProof/>
                <w:webHidden/>
              </w:rPr>
              <w:fldChar w:fldCharType="begin"/>
            </w:r>
            <w:r>
              <w:rPr>
                <w:noProof/>
                <w:webHidden/>
              </w:rPr>
              <w:instrText xml:space="preserve"> PAGEREF _Toc142565952 \h </w:instrText>
            </w:r>
            <w:r>
              <w:rPr>
                <w:noProof/>
                <w:webHidden/>
              </w:rPr>
            </w:r>
            <w:r>
              <w:rPr>
                <w:noProof/>
                <w:webHidden/>
              </w:rPr>
              <w:fldChar w:fldCharType="separate"/>
            </w:r>
            <w:r>
              <w:rPr>
                <w:noProof/>
                <w:webHidden/>
              </w:rPr>
              <w:t>154</w:t>
            </w:r>
            <w:r>
              <w:rPr>
                <w:noProof/>
                <w:webHidden/>
              </w:rPr>
              <w:fldChar w:fldCharType="end"/>
            </w:r>
          </w:hyperlink>
        </w:p>
        <w:p w14:paraId="53F4F5C0" w14:textId="1D401D27" w:rsidR="00996743" w:rsidRDefault="00996743">
          <w:pPr>
            <w:pStyle w:val="Spistreci2"/>
            <w:tabs>
              <w:tab w:val="left" w:pos="880"/>
              <w:tab w:val="right" w:leader="dot" w:pos="9062"/>
            </w:tabs>
            <w:rPr>
              <w:rFonts w:eastAsiaTheme="minorEastAsia"/>
              <w:noProof/>
              <w:lang w:eastAsia="pl-PL"/>
            </w:rPr>
          </w:pPr>
          <w:hyperlink w:anchor="_Toc142565953" w:history="1">
            <w:r w:rsidRPr="005E227E">
              <w:rPr>
                <w:rStyle w:val="Hipercze"/>
                <w:b/>
                <w:bCs/>
                <w:noProof/>
              </w:rPr>
              <w:t>3.6.</w:t>
            </w:r>
            <w:r>
              <w:rPr>
                <w:rFonts w:eastAsiaTheme="minorEastAsia"/>
                <w:noProof/>
                <w:lang w:eastAsia="pl-PL"/>
              </w:rPr>
              <w:tab/>
            </w:r>
            <w:r w:rsidRPr="005E227E">
              <w:rPr>
                <w:rStyle w:val="Hipercze"/>
                <w:b/>
                <w:bCs/>
                <w:noProof/>
              </w:rPr>
              <w:t>Województwo małopolskie</w:t>
            </w:r>
            <w:r>
              <w:rPr>
                <w:noProof/>
                <w:webHidden/>
              </w:rPr>
              <w:tab/>
            </w:r>
            <w:r>
              <w:rPr>
                <w:noProof/>
                <w:webHidden/>
              </w:rPr>
              <w:fldChar w:fldCharType="begin"/>
            </w:r>
            <w:r>
              <w:rPr>
                <w:noProof/>
                <w:webHidden/>
              </w:rPr>
              <w:instrText xml:space="preserve"> PAGEREF _Toc142565953 \h </w:instrText>
            </w:r>
            <w:r>
              <w:rPr>
                <w:noProof/>
                <w:webHidden/>
              </w:rPr>
            </w:r>
            <w:r>
              <w:rPr>
                <w:noProof/>
                <w:webHidden/>
              </w:rPr>
              <w:fldChar w:fldCharType="separate"/>
            </w:r>
            <w:r>
              <w:rPr>
                <w:noProof/>
                <w:webHidden/>
              </w:rPr>
              <w:t>160</w:t>
            </w:r>
            <w:r>
              <w:rPr>
                <w:noProof/>
                <w:webHidden/>
              </w:rPr>
              <w:fldChar w:fldCharType="end"/>
            </w:r>
          </w:hyperlink>
        </w:p>
        <w:p w14:paraId="77849B1E" w14:textId="0BAADF27" w:rsidR="00996743" w:rsidRDefault="00996743">
          <w:pPr>
            <w:pStyle w:val="Spistreci2"/>
            <w:tabs>
              <w:tab w:val="left" w:pos="880"/>
              <w:tab w:val="right" w:leader="dot" w:pos="9062"/>
            </w:tabs>
            <w:rPr>
              <w:rFonts w:eastAsiaTheme="minorEastAsia"/>
              <w:noProof/>
              <w:lang w:eastAsia="pl-PL"/>
            </w:rPr>
          </w:pPr>
          <w:hyperlink w:anchor="_Toc142565954" w:history="1">
            <w:r w:rsidRPr="005E227E">
              <w:rPr>
                <w:rStyle w:val="Hipercze"/>
                <w:b/>
                <w:bCs/>
                <w:noProof/>
              </w:rPr>
              <w:t>3.7.</w:t>
            </w:r>
            <w:r>
              <w:rPr>
                <w:rFonts w:eastAsiaTheme="minorEastAsia"/>
                <w:noProof/>
                <w:lang w:eastAsia="pl-PL"/>
              </w:rPr>
              <w:tab/>
            </w:r>
            <w:r w:rsidRPr="005E227E">
              <w:rPr>
                <w:rStyle w:val="Hipercze"/>
                <w:b/>
                <w:bCs/>
                <w:noProof/>
              </w:rPr>
              <w:t>Województwo mazowieckie</w:t>
            </w:r>
            <w:r>
              <w:rPr>
                <w:noProof/>
                <w:webHidden/>
              </w:rPr>
              <w:tab/>
            </w:r>
            <w:r>
              <w:rPr>
                <w:noProof/>
                <w:webHidden/>
              </w:rPr>
              <w:fldChar w:fldCharType="begin"/>
            </w:r>
            <w:r>
              <w:rPr>
                <w:noProof/>
                <w:webHidden/>
              </w:rPr>
              <w:instrText xml:space="preserve"> PAGEREF _Toc142565954 \h </w:instrText>
            </w:r>
            <w:r>
              <w:rPr>
                <w:noProof/>
                <w:webHidden/>
              </w:rPr>
            </w:r>
            <w:r>
              <w:rPr>
                <w:noProof/>
                <w:webHidden/>
              </w:rPr>
              <w:fldChar w:fldCharType="separate"/>
            </w:r>
            <w:r>
              <w:rPr>
                <w:noProof/>
                <w:webHidden/>
              </w:rPr>
              <w:t>168</w:t>
            </w:r>
            <w:r>
              <w:rPr>
                <w:noProof/>
                <w:webHidden/>
              </w:rPr>
              <w:fldChar w:fldCharType="end"/>
            </w:r>
          </w:hyperlink>
        </w:p>
        <w:p w14:paraId="353FBBF8" w14:textId="1F94B400" w:rsidR="00996743" w:rsidRDefault="00996743">
          <w:pPr>
            <w:pStyle w:val="Spistreci2"/>
            <w:tabs>
              <w:tab w:val="left" w:pos="880"/>
              <w:tab w:val="right" w:leader="dot" w:pos="9062"/>
            </w:tabs>
            <w:rPr>
              <w:rFonts w:eastAsiaTheme="minorEastAsia"/>
              <w:noProof/>
              <w:lang w:eastAsia="pl-PL"/>
            </w:rPr>
          </w:pPr>
          <w:hyperlink w:anchor="_Toc142565955" w:history="1">
            <w:r w:rsidRPr="005E227E">
              <w:rPr>
                <w:rStyle w:val="Hipercze"/>
                <w:b/>
                <w:bCs/>
                <w:noProof/>
              </w:rPr>
              <w:t>3.8.</w:t>
            </w:r>
            <w:r>
              <w:rPr>
                <w:rFonts w:eastAsiaTheme="minorEastAsia"/>
                <w:noProof/>
                <w:lang w:eastAsia="pl-PL"/>
              </w:rPr>
              <w:tab/>
            </w:r>
            <w:r w:rsidRPr="005E227E">
              <w:rPr>
                <w:rStyle w:val="Hipercze"/>
                <w:b/>
                <w:bCs/>
                <w:noProof/>
              </w:rPr>
              <w:t>Województwo opolskie</w:t>
            </w:r>
            <w:r>
              <w:rPr>
                <w:noProof/>
                <w:webHidden/>
              </w:rPr>
              <w:tab/>
            </w:r>
            <w:r>
              <w:rPr>
                <w:noProof/>
                <w:webHidden/>
              </w:rPr>
              <w:fldChar w:fldCharType="begin"/>
            </w:r>
            <w:r>
              <w:rPr>
                <w:noProof/>
                <w:webHidden/>
              </w:rPr>
              <w:instrText xml:space="preserve"> PAGEREF _Toc142565955 \h </w:instrText>
            </w:r>
            <w:r>
              <w:rPr>
                <w:noProof/>
                <w:webHidden/>
              </w:rPr>
            </w:r>
            <w:r>
              <w:rPr>
                <w:noProof/>
                <w:webHidden/>
              </w:rPr>
              <w:fldChar w:fldCharType="separate"/>
            </w:r>
            <w:r>
              <w:rPr>
                <w:noProof/>
                <w:webHidden/>
              </w:rPr>
              <w:t>173</w:t>
            </w:r>
            <w:r>
              <w:rPr>
                <w:noProof/>
                <w:webHidden/>
              </w:rPr>
              <w:fldChar w:fldCharType="end"/>
            </w:r>
          </w:hyperlink>
        </w:p>
        <w:p w14:paraId="691AEC7D" w14:textId="37745AB4" w:rsidR="00996743" w:rsidRDefault="00996743">
          <w:pPr>
            <w:pStyle w:val="Spistreci2"/>
            <w:tabs>
              <w:tab w:val="left" w:pos="880"/>
              <w:tab w:val="right" w:leader="dot" w:pos="9062"/>
            </w:tabs>
            <w:rPr>
              <w:rFonts w:eastAsiaTheme="minorEastAsia"/>
              <w:noProof/>
              <w:lang w:eastAsia="pl-PL"/>
            </w:rPr>
          </w:pPr>
          <w:hyperlink w:anchor="_Toc142565956" w:history="1">
            <w:r w:rsidRPr="005E227E">
              <w:rPr>
                <w:rStyle w:val="Hipercze"/>
                <w:b/>
                <w:bCs/>
                <w:noProof/>
              </w:rPr>
              <w:t>3.9.</w:t>
            </w:r>
            <w:r>
              <w:rPr>
                <w:rFonts w:eastAsiaTheme="minorEastAsia"/>
                <w:noProof/>
                <w:lang w:eastAsia="pl-PL"/>
              </w:rPr>
              <w:tab/>
            </w:r>
            <w:r w:rsidRPr="005E227E">
              <w:rPr>
                <w:rStyle w:val="Hipercze"/>
                <w:b/>
                <w:bCs/>
                <w:noProof/>
              </w:rPr>
              <w:t>Województwo podkarpackie</w:t>
            </w:r>
            <w:r>
              <w:rPr>
                <w:noProof/>
                <w:webHidden/>
              </w:rPr>
              <w:tab/>
            </w:r>
            <w:r>
              <w:rPr>
                <w:noProof/>
                <w:webHidden/>
              </w:rPr>
              <w:fldChar w:fldCharType="begin"/>
            </w:r>
            <w:r>
              <w:rPr>
                <w:noProof/>
                <w:webHidden/>
              </w:rPr>
              <w:instrText xml:space="preserve"> PAGEREF _Toc142565956 \h </w:instrText>
            </w:r>
            <w:r>
              <w:rPr>
                <w:noProof/>
                <w:webHidden/>
              </w:rPr>
            </w:r>
            <w:r>
              <w:rPr>
                <w:noProof/>
                <w:webHidden/>
              </w:rPr>
              <w:fldChar w:fldCharType="separate"/>
            </w:r>
            <w:r>
              <w:rPr>
                <w:noProof/>
                <w:webHidden/>
              </w:rPr>
              <w:t>180</w:t>
            </w:r>
            <w:r>
              <w:rPr>
                <w:noProof/>
                <w:webHidden/>
              </w:rPr>
              <w:fldChar w:fldCharType="end"/>
            </w:r>
          </w:hyperlink>
        </w:p>
        <w:p w14:paraId="48EF579E" w14:textId="044C4E91" w:rsidR="00996743" w:rsidRDefault="00996743">
          <w:pPr>
            <w:pStyle w:val="Spistreci2"/>
            <w:tabs>
              <w:tab w:val="left" w:pos="1100"/>
              <w:tab w:val="right" w:leader="dot" w:pos="9062"/>
            </w:tabs>
            <w:rPr>
              <w:rFonts w:eastAsiaTheme="minorEastAsia"/>
              <w:noProof/>
              <w:lang w:eastAsia="pl-PL"/>
            </w:rPr>
          </w:pPr>
          <w:hyperlink w:anchor="_Toc142565957" w:history="1">
            <w:r w:rsidRPr="005E227E">
              <w:rPr>
                <w:rStyle w:val="Hipercze"/>
                <w:b/>
                <w:bCs/>
                <w:noProof/>
              </w:rPr>
              <w:t>3.10.</w:t>
            </w:r>
            <w:r>
              <w:rPr>
                <w:rFonts w:eastAsiaTheme="minorEastAsia"/>
                <w:noProof/>
                <w:lang w:eastAsia="pl-PL"/>
              </w:rPr>
              <w:tab/>
            </w:r>
            <w:r w:rsidRPr="005E227E">
              <w:rPr>
                <w:rStyle w:val="Hipercze"/>
                <w:b/>
                <w:bCs/>
                <w:noProof/>
              </w:rPr>
              <w:t>Województwo podlaskie</w:t>
            </w:r>
            <w:r>
              <w:rPr>
                <w:noProof/>
                <w:webHidden/>
              </w:rPr>
              <w:tab/>
            </w:r>
            <w:r>
              <w:rPr>
                <w:noProof/>
                <w:webHidden/>
              </w:rPr>
              <w:fldChar w:fldCharType="begin"/>
            </w:r>
            <w:r>
              <w:rPr>
                <w:noProof/>
                <w:webHidden/>
              </w:rPr>
              <w:instrText xml:space="preserve"> PAGEREF _Toc142565957 \h </w:instrText>
            </w:r>
            <w:r>
              <w:rPr>
                <w:noProof/>
                <w:webHidden/>
              </w:rPr>
            </w:r>
            <w:r>
              <w:rPr>
                <w:noProof/>
                <w:webHidden/>
              </w:rPr>
              <w:fldChar w:fldCharType="separate"/>
            </w:r>
            <w:r>
              <w:rPr>
                <w:noProof/>
                <w:webHidden/>
              </w:rPr>
              <w:t>191</w:t>
            </w:r>
            <w:r>
              <w:rPr>
                <w:noProof/>
                <w:webHidden/>
              </w:rPr>
              <w:fldChar w:fldCharType="end"/>
            </w:r>
          </w:hyperlink>
        </w:p>
        <w:p w14:paraId="21012AEE" w14:textId="7848B9A1" w:rsidR="00996743" w:rsidRDefault="00996743">
          <w:pPr>
            <w:pStyle w:val="Spistreci2"/>
            <w:tabs>
              <w:tab w:val="left" w:pos="1100"/>
              <w:tab w:val="right" w:leader="dot" w:pos="9062"/>
            </w:tabs>
            <w:rPr>
              <w:rFonts w:eastAsiaTheme="minorEastAsia"/>
              <w:noProof/>
              <w:lang w:eastAsia="pl-PL"/>
            </w:rPr>
          </w:pPr>
          <w:hyperlink w:anchor="_Toc142565958" w:history="1">
            <w:r w:rsidRPr="005E227E">
              <w:rPr>
                <w:rStyle w:val="Hipercze"/>
                <w:b/>
                <w:bCs/>
                <w:noProof/>
              </w:rPr>
              <w:t>3.11.</w:t>
            </w:r>
            <w:r>
              <w:rPr>
                <w:rFonts w:eastAsiaTheme="minorEastAsia"/>
                <w:noProof/>
                <w:lang w:eastAsia="pl-PL"/>
              </w:rPr>
              <w:tab/>
            </w:r>
            <w:r w:rsidRPr="005E227E">
              <w:rPr>
                <w:rStyle w:val="Hipercze"/>
                <w:b/>
                <w:bCs/>
                <w:noProof/>
              </w:rPr>
              <w:t>Województwo pomorskie</w:t>
            </w:r>
            <w:r>
              <w:rPr>
                <w:noProof/>
                <w:webHidden/>
              </w:rPr>
              <w:tab/>
            </w:r>
            <w:r>
              <w:rPr>
                <w:noProof/>
                <w:webHidden/>
              </w:rPr>
              <w:fldChar w:fldCharType="begin"/>
            </w:r>
            <w:r>
              <w:rPr>
                <w:noProof/>
                <w:webHidden/>
              </w:rPr>
              <w:instrText xml:space="preserve"> PAGEREF _Toc142565958 \h </w:instrText>
            </w:r>
            <w:r>
              <w:rPr>
                <w:noProof/>
                <w:webHidden/>
              </w:rPr>
            </w:r>
            <w:r>
              <w:rPr>
                <w:noProof/>
                <w:webHidden/>
              </w:rPr>
              <w:fldChar w:fldCharType="separate"/>
            </w:r>
            <w:r>
              <w:rPr>
                <w:noProof/>
                <w:webHidden/>
              </w:rPr>
              <w:t>200</w:t>
            </w:r>
            <w:r>
              <w:rPr>
                <w:noProof/>
                <w:webHidden/>
              </w:rPr>
              <w:fldChar w:fldCharType="end"/>
            </w:r>
          </w:hyperlink>
        </w:p>
        <w:p w14:paraId="44D8C0D5" w14:textId="35E1EF0F" w:rsidR="00996743" w:rsidRDefault="00996743">
          <w:pPr>
            <w:pStyle w:val="Spistreci2"/>
            <w:tabs>
              <w:tab w:val="left" w:pos="1100"/>
              <w:tab w:val="right" w:leader="dot" w:pos="9062"/>
            </w:tabs>
            <w:rPr>
              <w:rFonts w:eastAsiaTheme="minorEastAsia"/>
              <w:noProof/>
              <w:lang w:eastAsia="pl-PL"/>
            </w:rPr>
          </w:pPr>
          <w:hyperlink w:anchor="_Toc142565959" w:history="1">
            <w:r w:rsidRPr="005E227E">
              <w:rPr>
                <w:rStyle w:val="Hipercze"/>
                <w:b/>
                <w:bCs/>
                <w:noProof/>
              </w:rPr>
              <w:t>3.12.</w:t>
            </w:r>
            <w:r>
              <w:rPr>
                <w:rFonts w:eastAsiaTheme="minorEastAsia"/>
                <w:noProof/>
                <w:lang w:eastAsia="pl-PL"/>
              </w:rPr>
              <w:tab/>
            </w:r>
            <w:r w:rsidRPr="005E227E">
              <w:rPr>
                <w:rStyle w:val="Hipercze"/>
                <w:b/>
                <w:bCs/>
                <w:noProof/>
              </w:rPr>
              <w:t>Województwo śląskie</w:t>
            </w:r>
            <w:r>
              <w:rPr>
                <w:noProof/>
                <w:webHidden/>
              </w:rPr>
              <w:tab/>
            </w:r>
            <w:r>
              <w:rPr>
                <w:noProof/>
                <w:webHidden/>
              </w:rPr>
              <w:fldChar w:fldCharType="begin"/>
            </w:r>
            <w:r>
              <w:rPr>
                <w:noProof/>
                <w:webHidden/>
              </w:rPr>
              <w:instrText xml:space="preserve"> PAGEREF _Toc142565959 \h </w:instrText>
            </w:r>
            <w:r>
              <w:rPr>
                <w:noProof/>
                <w:webHidden/>
              </w:rPr>
            </w:r>
            <w:r>
              <w:rPr>
                <w:noProof/>
                <w:webHidden/>
              </w:rPr>
              <w:fldChar w:fldCharType="separate"/>
            </w:r>
            <w:r>
              <w:rPr>
                <w:noProof/>
                <w:webHidden/>
              </w:rPr>
              <w:t>205</w:t>
            </w:r>
            <w:r>
              <w:rPr>
                <w:noProof/>
                <w:webHidden/>
              </w:rPr>
              <w:fldChar w:fldCharType="end"/>
            </w:r>
          </w:hyperlink>
        </w:p>
        <w:p w14:paraId="4A6A7316" w14:textId="56E642CD" w:rsidR="00996743" w:rsidRDefault="00996743">
          <w:pPr>
            <w:pStyle w:val="Spistreci2"/>
            <w:tabs>
              <w:tab w:val="left" w:pos="1100"/>
              <w:tab w:val="right" w:leader="dot" w:pos="9062"/>
            </w:tabs>
            <w:rPr>
              <w:rFonts w:eastAsiaTheme="minorEastAsia"/>
              <w:noProof/>
              <w:lang w:eastAsia="pl-PL"/>
            </w:rPr>
          </w:pPr>
          <w:hyperlink w:anchor="_Toc142565960" w:history="1">
            <w:r w:rsidRPr="005E227E">
              <w:rPr>
                <w:rStyle w:val="Hipercze"/>
                <w:b/>
                <w:bCs/>
                <w:noProof/>
              </w:rPr>
              <w:t>3.13.</w:t>
            </w:r>
            <w:r>
              <w:rPr>
                <w:rFonts w:eastAsiaTheme="minorEastAsia"/>
                <w:noProof/>
                <w:lang w:eastAsia="pl-PL"/>
              </w:rPr>
              <w:tab/>
            </w:r>
            <w:r w:rsidRPr="005E227E">
              <w:rPr>
                <w:rStyle w:val="Hipercze"/>
                <w:b/>
                <w:bCs/>
                <w:noProof/>
              </w:rPr>
              <w:t>Województwo świętokrzyskie</w:t>
            </w:r>
            <w:r>
              <w:rPr>
                <w:noProof/>
                <w:webHidden/>
              </w:rPr>
              <w:tab/>
            </w:r>
            <w:r>
              <w:rPr>
                <w:noProof/>
                <w:webHidden/>
              </w:rPr>
              <w:fldChar w:fldCharType="begin"/>
            </w:r>
            <w:r>
              <w:rPr>
                <w:noProof/>
                <w:webHidden/>
              </w:rPr>
              <w:instrText xml:space="preserve"> PAGEREF _Toc142565960 \h </w:instrText>
            </w:r>
            <w:r>
              <w:rPr>
                <w:noProof/>
                <w:webHidden/>
              </w:rPr>
            </w:r>
            <w:r>
              <w:rPr>
                <w:noProof/>
                <w:webHidden/>
              </w:rPr>
              <w:fldChar w:fldCharType="separate"/>
            </w:r>
            <w:r>
              <w:rPr>
                <w:noProof/>
                <w:webHidden/>
              </w:rPr>
              <w:t>212</w:t>
            </w:r>
            <w:r>
              <w:rPr>
                <w:noProof/>
                <w:webHidden/>
              </w:rPr>
              <w:fldChar w:fldCharType="end"/>
            </w:r>
          </w:hyperlink>
        </w:p>
        <w:p w14:paraId="70CDE64F" w14:textId="72D46ACB" w:rsidR="00996743" w:rsidRDefault="00996743">
          <w:pPr>
            <w:pStyle w:val="Spistreci2"/>
            <w:tabs>
              <w:tab w:val="left" w:pos="1100"/>
              <w:tab w:val="right" w:leader="dot" w:pos="9062"/>
            </w:tabs>
            <w:rPr>
              <w:rFonts w:eastAsiaTheme="minorEastAsia"/>
              <w:noProof/>
              <w:lang w:eastAsia="pl-PL"/>
            </w:rPr>
          </w:pPr>
          <w:hyperlink w:anchor="_Toc142565961" w:history="1">
            <w:r w:rsidRPr="005E227E">
              <w:rPr>
                <w:rStyle w:val="Hipercze"/>
                <w:b/>
                <w:bCs/>
                <w:noProof/>
              </w:rPr>
              <w:t>3.14.</w:t>
            </w:r>
            <w:r>
              <w:rPr>
                <w:rFonts w:eastAsiaTheme="minorEastAsia"/>
                <w:noProof/>
                <w:lang w:eastAsia="pl-PL"/>
              </w:rPr>
              <w:tab/>
            </w:r>
            <w:r w:rsidRPr="005E227E">
              <w:rPr>
                <w:rStyle w:val="Hipercze"/>
                <w:b/>
                <w:bCs/>
                <w:noProof/>
              </w:rPr>
              <w:t>Województwo warmińsko-mazurskie</w:t>
            </w:r>
            <w:r>
              <w:rPr>
                <w:noProof/>
                <w:webHidden/>
              </w:rPr>
              <w:tab/>
            </w:r>
            <w:r>
              <w:rPr>
                <w:noProof/>
                <w:webHidden/>
              </w:rPr>
              <w:fldChar w:fldCharType="begin"/>
            </w:r>
            <w:r>
              <w:rPr>
                <w:noProof/>
                <w:webHidden/>
              </w:rPr>
              <w:instrText xml:space="preserve"> PAGEREF _Toc142565961 \h </w:instrText>
            </w:r>
            <w:r>
              <w:rPr>
                <w:noProof/>
                <w:webHidden/>
              </w:rPr>
            </w:r>
            <w:r>
              <w:rPr>
                <w:noProof/>
                <w:webHidden/>
              </w:rPr>
              <w:fldChar w:fldCharType="separate"/>
            </w:r>
            <w:r>
              <w:rPr>
                <w:noProof/>
                <w:webHidden/>
              </w:rPr>
              <w:t>220</w:t>
            </w:r>
            <w:r>
              <w:rPr>
                <w:noProof/>
                <w:webHidden/>
              </w:rPr>
              <w:fldChar w:fldCharType="end"/>
            </w:r>
          </w:hyperlink>
        </w:p>
        <w:p w14:paraId="2609644E" w14:textId="09B3C687" w:rsidR="00996743" w:rsidRDefault="00996743">
          <w:pPr>
            <w:pStyle w:val="Spistreci2"/>
            <w:tabs>
              <w:tab w:val="left" w:pos="1100"/>
              <w:tab w:val="right" w:leader="dot" w:pos="9062"/>
            </w:tabs>
            <w:rPr>
              <w:rFonts w:eastAsiaTheme="minorEastAsia"/>
              <w:noProof/>
              <w:lang w:eastAsia="pl-PL"/>
            </w:rPr>
          </w:pPr>
          <w:hyperlink w:anchor="_Toc142565962" w:history="1">
            <w:r w:rsidRPr="005E227E">
              <w:rPr>
                <w:rStyle w:val="Hipercze"/>
                <w:b/>
                <w:bCs/>
                <w:noProof/>
              </w:rPr>
              <w:t>3.15.</w:t>
            </w:r>
            <w:r>
              <w:rPr>
                <w:rFonts w:eastAsiaTheme="minorEastAsia"/>
                <w:noProof/>
                <w:lang w:eastAsia="pl-PL"/>
              </w:rPr>
              <w:tab/>
            </w:r>
            <w:r w:rsidRPr="005E227E">
              <w:rPr>
                <w:rStyle w:val="Hipercze"/>
                <w:b/>
                <w:bCs/>
                <w:noProof/>
              </w:rPr>
              <w:t>Województwo wielkopolskie</w:t>
            </w:r>
            <w:r>
              <w:rPr>
                <w:noProof/>
                <w:webHidden/>
              </w:rPr>
              <w:tab/>
            </w:r>
            <w:r>
              <w:rPr>
                <w:noProof/>
                <w:webHidden/>
              </w:rPr>
              <w:fldChar w:fldCharType="begin"/>
            </w:r>
            <w:r>
              <w:rPr>
                <w:noProof/>
                <w:webHidden/>
              </w:rPr>
              <w:instrText xml:space="preserve"> PAGEREF _Toc142565962 \h </w:instrText>
            </w:r>
            <w:r>
              <w:rPr>
                <w:noProof/>
                <w:webHidden/>
              </w:rPr>
            </w:r>
            <w:r>
              <w:rPr>
                <w:noProof/>
                <w:webHidden/>
              </w:rPr>
              <w:fldChar w:fldCharType="separate"/>
            </w:r>
            <w:r>
              <w:rPr>
                <w:noProof/>
                <w:webHidden/>
              </w:rPr>
              <w:t>226</w:t>
            </w:r>
            <w:r>
              <w:rPr>
                <w:noProof/>
                <w:webHidden/>
              </w:rPr>
              <w:fldChar w:fldCharType="end"/>
            </w:r>
          </w:hyperlink>
        </w:p>
        <w:p w14:paraId="5159C4B3" w14:textId="699BB13A" w:rsidR="00996743" w:rsidRDefault="00996743">
          <w:pPr>
            <w:pStyle w:val="Spistreci2"/>
            <w:tabs>
              <w:tab w:val="left" w:pos="1100"/>
              <w:tab w:val="right" w:leader="dot" w:pos="9062"/>
            </w:tabs>
            <w:rPr>
              <w:rFonts w:eastAsiaTheme="minorEastAsia"/>
              <w:noProof/>
              <w:lang w:eastAsia="pl-PL"/>
            </w:rPr>
          </w:pPr>
          <w:hyperlink w:anchor="_Toc142565963" w:history="1">
            <w:r w:rsidRPr="005E227E">
              <w:rPr>
                <w:rStyle w:val="Hipercze"/>
                <w:b/>
                <w:bCs/>
                <w:noProof/>
              </w:rPr>
              <w:t>3.16.</w:t>
            </w:r>
            <w:r>
              <w:rPr>
                <w:rFonts w:eastAsiaTheme="minorEastAsia"/>
                <w:noProof/>
                <w:lang w:eastAsia="pl-PL"/>
              </w:rPr>
              <w:tab/>
            </w:r>
            <w:r w:rsidRPr="005E227E">
              <w:rPr>
                <w:rStyle w:val="Hipercze"/>
                <w:b/>
                <w:bCs/>
                <w:noProof/>
              </w:rPr>
              <w:t>Województwo zachodniopomorskie</w:t>
            </w:r>
            <w:r>
              <w:rPr>
                <w:noProof/>
                <w:webHidden/>
              </w:rPr>
              <w:tab/>
            </w:r>
            <w:r>
              <w:rPr>
                <w:noProof/>
                <w:webHidden/>
              </w:rPr>
              <w:fldChar w:fldCharType="begin"/>
            </w:r>
            <w:r>
              <w:rPr>
                <w:noProof/>
                <w:webHidden/>
              </w:rPr>
              <w:instrText xml:space="preserve"> PAGEREF _Toc142565963 \h </w:instrText>
            </w:r>
            <w:r>
              <w:rPr>
                <w:noProof/>
                <w:webHidden/>
              </w:rPr>
            </w:r>
            <w:r>
              <w:rPr>
                <w:noProof/>
                <w:webHidden/>
              </w:rPr>
              <w:fldChar w:fldCharType="separate"/>
            </w:r>
            <w:r>
              <w:rPr>
                <w:noProof/>
                <w:webHidden/>
              </w:rPr>
              <w:t>231</w:t>
            </w:r>
            <w:r>
              <w:rPr>
                <w:noProof/>
                <w:webHidden/>
              </w:rPr>
              <w:fldChar w:fldCharType="end"/>
            </w:r>
          </w:hyperlink>
        </w:p>
        <w:p w14:paraId="7BDBE1FD" w14:textId="310A6519" w:rsidR="00996743" w:rsidRDefault="00996743">
          <w:pPr>
            <w:pStyle w:val="Spistreci1"/>
            <w:rPr>
              <w:rFonts w:eastAsiaTheme="minorEastAsia"/>
              <w:b w:val="0"/>
              <w:bCs w:val="0"/>
              <w:lang w:eastAsia="pl-PL"/>
            </w:rPr>
          </w:pPr>
          <w:hyperlink w:anchor="_Toc142565964" w:history="1">
            <w:r w:rsidRPr="005E227E">
              <w:rPr>
                <w:rStyle w:val="Hipercze"/>
              </w:rPr>
              <w:t>4.</w:t>
            </w:r>
            <w:r>
              <w:rPr>
                <w:rFonts w:eastAsiaTheme="minorEastAsia"/>
                <w:b w:val="0"/>
                <w:bCs w:val="0"/>
                <w:lang w:eastAsia="pl-PL"/>
              </w:rPr>
              <w:tab/>
            </w:r>
            <w:r w:rsidRPr="005E227E">
              <w:rPr>
                <w:rStyle w:val="Hipercze"/>
              </w:rPr>
              <w:t>Sprawozdanie z realizacji działań zaplanowanych w dokumencie Polityka społeczna wobec osób starszych 2030. Bezpieczeństwo-Uczestnictwo-Solidarność</w:t>
            </w:r>
            <w:r>
              <w:rPr>
                <w:webHidden/>
              </w:rPr>
              <w:tab/>
            </w:r>
            <w:r>
              <w:rPr>
                <w:webHidden/>
              </w:rPr>
              <w:fldChar w:fldCharType="begin"/>
            </w:r>
            <w:r>
              <w:rPr>
                <w:webHidden/>
              </w:rPr>
              <w:instrText xml:space="preserve"> PAGEREF _Toc142565964 \h </w:instrText>
            </w:r>
            <w:r>
              <w:rPr>
                <w:webHidden/>
              </w:rPr>
            </w:r>
            <w:r>
              <w:rPr>
                <w:webHidden/>
              </w:rPr>
              <w:fldChar w:fldCharType="separate"/>
            </w:r>
            <w:r>
              <w:rPr>
                <w:webHidden/>
              </w:rPr>
              <w:t>242</w:t>
            </w:r>
            <w:r>
              <w:rPr>
                <w:webHidden/>
              </w:rPr>
              <w:fldChar w:fldCharType="end"/>
            </w:r>
          </w:hyperlink>
        </w:p>
        <w:p w14:paraId="3D799462" w14:textId="1C21A944" w:rsidR="00996743" w:rsidRDefault="00996743">
          <w:pPr>
            <w:pStyle w:val="Spistreci1"/>
            <w:rPr>
              <w:rFonts w:eastAsiaTheme="minorEastAsia"/>
              <w:b w:val="0"/>
              <w:bCs w:val="0"/>
              <w:lang w:eastAsia="pl-PL"/>
            </w:rPr>
          </w:pPr>
          <w:hyperlink w:anchor="_Toc142565965" w:history="1">
            <w:r w:rsidRPr="005E227E">
              <w:rPr>
                <w:rStyle w:val="Hipercze"/>
              </w:rPr>
              <w:t>Wnioski i rekomendacje</w:t>
            </w:r>
            <w:r>
              <w:rPr>
                <w:webHidden/>
              </w:rPr>
              <w:tab/>
            </w:r>
            <w:r>
              <w:rPr>
                <w:webHidden/>
              </w:rPr>
              <w:fldChar w:fldCharType="begin"/>
            </w:r>
            <w:r>
              <w:rPr>
                <w:webHidden/>
              </w:rPr>
              <w:instrText xml:space="preserve"> PAGEREF _Toc142565965 \h </w:instrText>
            </w:r>
            <w:r>
              <w:rPr>
                <w:webHidden/>
              </w:rPr>
            </w:r>
            <w:r>
              <w:rPr>
                <w:webHidden/>
              </w:rPr>
              <w:fldChar w:fldCharType="separate"/>
            </w:r>
            <w:r>
              <w:rPr>
                <w:webHidden/>
              </w:rPr>
              <w:t>322</w:t>
            </w:r>
            <w:r>
              <w:rPr>
                <w:webHidden/>
              </w:rPr>
              <w:fldChar w:fldCharType="end"/>
            </w:r>
          </w:hyperlink>
        </w:p>
        <w:p w14:paraId="7C3E359C" w14:textId="7927B3E4" w:rsidR="00996743" w:rsidRDefault="00996743">
          <w:pPr>
            <w:pStyle w:val="Spistreci1"/>
            <w:rPr>
              <w:rFonts w:eastAsiaTheme="minorEastAsia"/>
              <w:b w:val="0"/>
              <w:bCs w:val="0"/>
              <w:lang w:eastAsia="pl-PL"/>
            </w:rPr>
          </w:pPr>
          <w:hyperlink w:anchor="_Toc142565966" w:history="1">
            <w:r w:rsidRPr="005E227E">
              <w:rPr>
                <w:rStyle w:val="Hipercze"/>
              </w:rPr>
              <w:t>5.</w:t>
            </w:r>
            <w:r>
              <w:rPr>
                <w:rFonts w:eastAsiaTheme="minorEastAsia"/>
                <w:b w:val="0"/>
                <w:bCs w:val="0"/>
                <w:lang w:eastAsia="pl-PL"/>
              </w:rPr>
              <w:tab/>
            </w:r>
            <w:r w:rsidRPr="005E227E">
              <w:rPr>
                <w:rStyle w:val="Hipercze"/>
              </w:rPr>
              <w:t>Wykaz tabel</w:t>
            </w:r>
            <w:r>
              <w:rPr>
                <w:webHidden/>
              </w:rPr>
              <w:tab/>
            </w:r>
            <w:r>
              <w:rPr>
                <w:webHidden/>
              </w:rPr>
              <w:fldChar w:fldCharType="begin"/>
            </w:r>
            <w:r>
              <w:rPr>
                <w:webHidden/>
              </w:rPr>
              <w:instrText xml:space="preserve"> PAGEREF _Toc142565966 \h </w:instrText>
            </w:r>
            <w:r>
              <w:rPr>
                <w:webHidden/>
              </w:rPr>
            </w:r>
            <w:r>
              <w:rPr>
                <w:webHidden/>
              </w:rPr>
              <w:fldChar w:fldCharType="separate"/>
            </w:r>
            <w:r>
              <w:rPr>
                <w:webHidden/>
              </w:rPr>
              <w:t>324</w:t>
            </w:r>
            <w:r>
              <w:rPr>
                <w:webHidden/>
              </w:rPr>
              <w:fldChar w:fldCharType="end"/>
            </w:r>
          </w:hyperlink>
        </w:p>
        <w:p w14:paraId="6D27304F" w14:textId="799BA2D8" w:rsidR="00D56C73" w:rsidRDefault="00D56C73">
          <w:r>
            <w:rPr>
              <w:b/>
              <w:bCs/>
            </w:rPr>
            <w:fldChar w:fldCharType="end"/>
          </w:r>
        </w:p>
      </w:sdtContent>
    </w:sdt>
    <w:p w14:paraId="6ED30BE1" w14:textId="1D60BD5A" w:rsidR="006E32B0" w:rsidRDefault="006E32B0" w:rsidP="006E32B0">
      <w:pPr>
        <w:tabs>
          <w:tab w:val="left" w:pos="284"/>
        </w:tabs>
        <w:jc w:val="center"/>
        <w:rPr>
          <w:rFonts w:ascii="Times New Roman" w:hAnsi="Times New Roman" w:cs="Times New Roman"/>
          <w:sz w:val="24"/>
          <w:szCs w:val="24"/>
        </w:rPr>
        <w:sectPr w:rsidR="006E32B0" w:rsidSect="00A96D8C">
          <w:pgSz w:w="11906" w:h="16838"/>
          <w:pgMar w:top="1417" w:right="1417" w:bottom="1417" w:left="1417" w:header="708" w:footer="708" w:gutter="0"/>
          <w:cols w:space="708"/>
          <w:docGrid w:linePitch="360"/>
        </w:sectPr>
      </w:pPr>
    </w:p>
    <w:p w14:paraId="251464D2" w14:textId="3686DCD8" w:rsidR="00AE774D" w:rsidRPr="006E32B0" w:rsidRDefault="00AE774D" w:rsidP="00D56C73">
      <w:pPr>
        <w:tabs>
          <w:tab w:val="left" w:pos="284"/>
        </w:tabs>
        <w:rPr>
          <w:rFonts w:ascii="Times New Roman" w:hAnsi="Times New Roman" w:cs="Times New Roman"/>
          <w:sz w:val="24"/>
          <w:szCs w:val="24"/>
        </w:rPr>
      </w:pPr>
      <w:r w:rsidRPr="007E0C34">
        <w:rPr>
          <w:rFonts w:asciiTheme="majorHAnsi" w:hAnsiTheme="majorHAnsi"/>
          <w:b/>
          <w:bCs/>
          <w:color w:val="2F5496" w:themeColor="accent1" w:themeShade="BF"/>
          <w:sz w:val="32"/>
          <w:szCs w:val="32"/>
        </w:rPr>
        <w:lastRenderedPageBreak/>
        <w:t>Wprowadzenie</w:t>
      </w:r>
    </w:p>
    <w:p w14:paraId="1D70F8D5" w14:textId="77777777" w:rsidR="00C326B1" w:rsidRPr="00C326B1" w:rsidRDefault="00C326B1" w:rsidP="00C326B1">
      <w:pPr>
        <w:tabs>
          <w:tab w:val="left" w:pos="1260"/>
        </w:tabs>
        <w:spacing w:after="0" w:line="276" w:lineRule="auto"/>
        <w:jc w:val="both"/>
        <w:rPr>
          <w:rFonts w:ascii="Lato" w:hAnsi="Lato" w:cs="Times New Roman"/>
          <w:bCs/>
          <w:sz w:val="20"/>
          <w:szCs w:val="20"/>
        </w:rPr>
      </w:pPr>
      <w:r w:rsidRPr="00C326B1">
        <w:rPr>
          <w:rFonts w:ascii="Lato" w:eastAsia="Times New Roman" w:hAnsi="Lato" w:cs="Times New Roman"/>
          <w:sz w:val="20"/>
          <w:szCs w:val="20"/>
          <w:lang w:eastAsia="pl-PL"/>
        </w:rPr>
        <w:t xml:space="preserve">Proces starzenia się społeczeństw europejskich jest wynikiem wydłużania się długości życia, a także spadającego od lat 70 XX wieku wskaźnika urodzeń. Polska należy do krajów, w których proces ten jest już zaawansowany. </w:t>
      </w:r>
      <w:r w:rsidRPr="00C326B1">
        <w:rPr>
          <w:rFonts w:ascii="Lato" w:hAnsi="Lato" w:cs="Times New Roman"/>
          <w:sz w:val="20"/>
          <w:szCs w:val="20"/>
        </w:rPr>
        <w:t>Dlatego też, działania na rzecz osób starszych stały się priorytetem publicznej polityki społecznej, realizowanej przez Rząd RP.</w:t>
      </w:r>
      <w:r w:rsidRPr="00C326B1">
        <w:rPr>
          <w:rFonts w:ascii="Lato" w:eastAsia="Times New Roman" w:hAnsi="Lato" w:cs="Times New Roman"/>
          <w:sz w:val="20"/>
          <w:szCs w:val="20"/>
          <w:lang w:eastAsia="pl-PL"/>
        </w:rPr>
        <w:t xml:space="preserve"> </w:t>
      </w:r>
      <w:r w:rsidRPr="00C326B1">
        <w:rPr>
          <w:rFonts w:ascii="Lato" w:hAnsi="Lato" w:cs="Times New Roman"/>
          <w:bCs/>
          <w:sz w:val="20"/>
          <w:szCs w:val="20"/>
        </w:rPr>
        <w:t xml:space="preserve">Zmiany demograficzne zachodzące w polskim społeczeństwie, a także zjawiska społeczno-gospodarcze  tj.  pandemia COVID–19, wojna w Ukrainie czy utrzymująca się w Europie inflacja wymagają dostosowania prowadzonej polityki publicznej do stale zmieniających się potrzeb i oczekiwań osób starszych. Odpowiedzią na ten proces jest aktywna polityka społeczna wobec osób starszych prowadzona zarówno na poziomie centralnym jak i regionalnym. </w:t>
      </w:r>
      <w:r w:rsidRPr="00C326B1">
        <w:rPr>
          <w:rFonts w:ascii="Lato" w:hAnsi="Lato" w:cs="Times New Roman"/>
          <w:sz w:val="20"/>
          <w:szCs w:val="20"/>
        </w:rPr>
        <w:t>W związku z tym, w ramach polityki społecznej wobec osób starszych podejmowane są liczne działania związane z poprawą sytuacji materialnej i socjalnej seniorów, zapewnieniem dostępu do opieki zdrowotnej, jak również z umożliwieniem zachowania aktywności zawodowej, społecznej, edukacyjnej oraz kulturalnej i sportowej.</w:t>
      </w:r>
    </w:p>
    <w:p w14:paraId="7188855B" w14:textId="77777777" w:rsidR="00C326B1" w:rsidRPr="00C326B1" w:rsidRDefault="00C326B1" w:rsidP="00C326B1">
      <w:pPr>
        <w:autoSpaceDE w:val="0"/>
        <w:autoSpaceDN w:val="0"/>
        <w:adjustRightInd w:val="0"/>
        <w:spacing w:after="0" w:line="276" w:lineRule="auto"/>
        <w:jc w:val="both"/>
        <w:rPr>
          <w:rFonts w:ascii="Lato" w:hAnsi="Lato" w:cs="TimesNewRomanPSMT"/>
          <w:sz w:val="20"/>
          <w:szCs w:val="20"/>
        </w:rPr>
      </w:pPr>
    </w:p>
    <w:p w14:paraId="25BCEF84" w14:textId="402BF5FB" w:rsidR="00D77549" w:rsidRDefault="00D77549" w:rsidP="00C326B1">
      <w:pPr>
        <w:autoSpaceDE w:val="0"/>
        <w:autoSpaceDN w:val="0"/>
        <w:adjustRightInd w:val="0"/>
        <w:spacing w:after="0" w:line="276" w:lineRule="auto"/>
        <w:jc w:val="both"/>
        <w:rPr>
          <w:rFonts w:ascii="Lato" w:hAnsi="Lato" w:cs="Times New Roman"/>
          <w:bCs/>
          <w:sz w:val="20"/>
          <w:szCs w:val="20"/>
        </w:rPr>
      </w:pPr>
      <w:r w:rsidRPr="00D77549">
        <w:rPr>
          <w:rFonts w:ascii="Lato" w:hAnsi="Lato" w:cs="TimesNewRomanPSMT"/>
          <w:sz w:val="20"/>
          <w:szCs w:val="20"/>
        </w:rPr>
        <w:t>Realizując obowiązek nałożony przepis</w:t>
      </w:r>
      <w:r w:rsidRPr="00D77549">
        <w:rPr>
          <w:rFonts w:ascii="Lato" w:hAnsi="Lato" w:cs="Times New Roman"/>
          <w:sz w:val="20"/>
          <w:szCs w:val="20"/>
        </w:rPr>
        <w:t xml:space="preserve">em art. 5 ust. 1 </w:t>
      </w:r>
      <w:r w:rsidRPr="00D77549">
        <w:rPr>
          <w:rFonts w:ascii="Lato" w:hAnsi="Lato" w:cs="Times New Roman"/>
          <w:i/>
          <w:iCs/>
          <w:sz w:val="20"/>
          <w:szCs w:val="20"/>
        </w:rPr>
        <w:t xml:space="preserve">ustawy z dnia </w:t>
      </w:r>
      <w:r w:rsidRPr="00D77549">
        <w:rPr>
          <w:rFonts w:ascii="Lato" w:hAnsi="Lato" w:cs="TimesNewRomanPS-ItalicMT"/>
          <w:i/>
          <w:iCs/>
          <w:sz w:val="20"/>
          <w:szCs w:val="20"/>
        </w:rPr>
        <w:t>11 września 2015 r.</w:t>
      </w:r>
      <w:r>
        <w:rPr>
          <w:rFonts w:ascii="Lato" w:hAnsi="Lato" w:cs="TimesNewRomanPS-ItalicMT"/>
          <w:i/>
          <w:iCs/>
          <w:sz w:val="20"/>
          <w:szCs w:val="20"/>
        </w:rPr>
        <w:t xml:space="preserve"> </w:t>
      </w:r>
      <w:r w:rsidRPr="00D77549">
        <w:rPr>
          <w:rFonts w:ascii="Lato" w:hAnsi="Lato" w:cs="Times New Roman"/>
          <w:i/>
          <w:iCs/>
          <w:sz w:val="20"/>
          <w:szCs w:val="20"/>
        </w:rPr>
        <w:t xml:space="preserve">o osobach starszych </w:t>
      </w:r>
      <w:r w:rsidRPr="00D77549">
        <w:rPr>
          <w:rFonts w:ascii="Lato" w:hAnsi="Lato" w:cs="Times New Roman"/>
          <w:sz w:val="20"/>
          <w:szCs w:val="20"/>
        </w:rPr>
        <w:t xml:space="preserve">(Dz. U. </w:t>
      </w:r>
      <w:r w:rsidRPr="00D77549">
        <w:rPr>
          <w:rFonts w:ascii="Lato" w:hAnsi="Lato" w:cs="TimesNewRomanPSMT"/>
          <w:sz w:val="20"/>
          <w:szCs w:val="20"/>
        </w:rPr>
        <w:t>poz. 1705)</w:t>
      </w:r>
      <w:r w:rsidRPr="00D77549">
        <w:rPr>
          <w:rFonts w:ascii="Lato" w:hAnsi="Lato" w:cs="Times New Roman"/>
          <w:color w:val="000000"/>
          <w:sz w:val="20"/>
          <w:szCs w:val="20"/>
        </w:rPr>
        <w:t xml:space="preserve"> </w:t>
      </w:r>
      <w:r w:rsidRPr="00D77549">
        <w:rPr>
          <w:rFonts w:ascii="Lato" w:hAnsi="Lato" w:cs="Times New Roman"/>
          <w:bCs/>
          <w:sz w:val="20"/>
          <w:szCs w:val="20"/>
        </w:rPr>
        <w:t xml:space="preserve">Ministerstwo Rodziny i Polityki Społecznej, od wielu lat we współpracy z innymi resortami, instytucjami centralnymi oraz służbami społecznymi na szczeblu województw opracowuje </w:t>
      </w:r>
      <w:r w:rsidRPr="00D77549">
        <w:rPr>
          <w:rFonts w:ascii="Lato" w:hAnsi="Lato" w:cs="Times New Roman"/>
          <w:bCs/>
          <w:i/>
          <w:sz w:val="20"/>
          <w:szCs w:val="20"/>
        </w:rPr>
        <w:t>Informację o sytuacji osób starszych w Polsce</w:t>
      </w:r>
      <w:r w:rsidRPr="00D77549">
        <w:rPr>
          <w:rFonts w:ascii="Lato" w:hAnsi="Lato" w:cs="Times New Roman"/>
          <w:bCs/>
          <w:sz w:val="20"/>
          <w:szCs w:val="20"/>
        </w:rPr>
        <w:t xml:space="preserve">, która stanowi opis i diagnozę bieżącej sytuacji oraz potrzeb i oczekiwań seniorów. </w:t>
      </w:r>
    </w:p>
    <w:p w14:paraId="6BAC9838" w14:textId="77777777" w:rsidR="00D77549" w:rsidRPr="00D77549" w:rsidRDefault="00D77549" w:rsidP="00C326B1">
      <w:pPr>
        <w:autoSpaceDE w:val="0"/>
        <w:autoSpaceDN w:val="0"/>
        <w:adjustRightInd w:val="0"/>
        <w:spacing w:after="0" w:line="276" w:lineRule="auto"/>
        <w:jc w:val="both"/>
        <w:rPr>
          <w:rFonts w:ascii="Lato" w:hAnsi="Lato" w:cs="TimesNewRomanPS-ItalicMT"/>
          <w:i/>
          <w:iCs/>
          <w:sz w:val="20"/>
          <w:szCs w:val="20"/>
        </w:rPr>
      </w:pPr>
    </w:p>
    <w:p w14:paraId="32EBF441" w14:textId="2DC6AA92" w:rsidR="00D77549" w:rsidRPr="00C326B1" w:rsidRDefault="00D77549" w:rsidP="00C326B1">
      <w:pPr>
        <w:tabs>
          <w:tab w:val="left" w:pos="1260"/>
        </w:tabs>
        <w:spacing w:after="0" w:line="276" w:lineRule="auto"/>
        <w:jc w:val="both"/>
        <w:rPr>
          <w:rFonts w:ascii="Lato" w:hAnsi="Lato" w:cs="Times New Roman"/>
          <w:sz w:val="20"/>
          <w:szCs w:val="20"/>
        </w:rPr>
      </w:pPr>
      <w:r w:rsidRPr="0017498C">
        <w:rPr>
          <w:rFonts w:ascii="Lato" w:hAnsi="Lato" w:cs="Times New Roman"/>
          <w:i/>
          <w:sz w:val="20"/>
          <w:szCs w:val="20"/>
        </w:rPr>
        <w:t>Info</w:t>
      </w:r>
      <w:r w:rsidR="00C326B1">
        <w:rPr>
          <w:rFonts w:ascii="Lato" w:hAnsi="Lato" w:cs="Times New Roman"/>
          <w:i/>
          <w:sz w:val="20"/>
          <w:szCs w:val="20"/>
        </w:rPr>
        <w:t xml:space="preserve">rmacja </w:t>
      </w:r>
      <w:r w:rsidR="00C326B1">
        <w:rPr>
          <w:rFonts w:ascii="Lato" w:hAnsi="Lato" w:cs="Times New Roman"/>
          <w:sz w:val="20"/>
          <w:szCs w:val="20"/>
        </w:rPr>
        <w:t xml:space="preserve"> </w:t>
      </w:r>
      <w:r w:rsidRPr="0017498C">
        <w:rPr>
          <w:rFonts w:ascii="Lato" w:hAnsi="Lato" w:cs="Times New Roman"/>
          <w:sz w:val="20"/>
          <w:szCs w:val="20"/>
        </w:rPr>
        <w:t xml:space="preserve">prezentuje aktualną sytuację społeczno-ekonomiczną </w:t>
      </w:r>
      <w:r w:rsidR="00C326B1">
        <w:rPr>
          <w:rFonts w:ascii="Lato" w:hAnsi="Lato" w:cs="Times New Roman"/>
          <w:sz w:val="20"/>
          <w:szCs w:val="20"/>
        </w:rPr>
        <w:t>seniorów</w:t>
      </w:r>
      <w:r w:rsidRPr="0017498C">
        <w:rPr>
          <w:rFonts w:ascii="Lato" w:hAnsi="Lato" w:cs="Times New Roman"/>
          <w:sz w:val="20"/>
          <w:szCs w:val="20"/>
        </w:rPr>
        <w:t xml:space="preserve"> w Polsce.</w:t>
      </w:r>
      <w:r w:rsidR="00C326B1">
        <w:rPr>
          <w:rFonts w:ascii="Lato" w:hAnsi="Lato" w:cs="Times New Roman"/>
          <w:sz w:val="20"/>
          <w:szCs w:val="20"/>
        </w:rPr>
        <w:t xml:space="preserve"> </w:t>
      </w:r>
      <w:r w:rsidRPr="0017498C">
        <w:rPr>
          <w:rFonts w:ascii="Lato" w:hAnsi="Lato" w:cs="Times New Roman"/>
          <w:sz w:val="20"/>
          <w:szCs w:val="20"/>
        </w:rPr>
        <w:t xml:space="preserve">Przedstawione dane dotyczą w szczególności zagadnień z zakresu sytuacji demograficznej, ekonomicznej, rodzinnej, zdrowotnej, sytuacji na rynku pracy, dostępności i poziomu usług społecznych, czy też wszelkiego rodzaju aktywności podejmowanych przez osoby starsze. Dokument zawiera także opracowanie na temat stanu realizacji polityki społecznej wobec osób starszych w Polsce na szczeblu centralnym oraz na szczeblu regionalnym. </w:t>
      </w:r>
      <w:r w:rsidRPr="0017498C">
        <w:rPr>
          <w:rFonts w:ascii="Lato" w:hAnsi="Lato" w:cs="Times New Roman"/>
          <w:iCs/>
          <w:sz w:val="20"/>
          <w:szCs w:val="20"/>
        </w:rPr>
        <w:t>Ostatni rozdział to</w:t>
      </w:r>
      <w:r w:rsidRPr="0017498C">
        <w:rPr>
          <w:rFonts w:ascii="Lato" w:hAnsi="Lato" w:cs="Times New Roman"/>
          <w:sz w:val="20"/>
          <w:szCs w:val="20"/>
        </w:rPr>
        <w:t xml:space="preserve"> opracowanie na temat realizacji założeń zawartych w </w:t>
      </w:r>
      <w:r w:rsidRPr="0017498C">
        <w:rPr>
          <w:rFonts w:ascii="Lato" w:hAnsi="Lato" w:cs="Times New Roman"/>
          <w:i/>
          <w:iCs/>
          <w:sz w:val="20"/>
          <w:szCs w:val="20"/>
        </w:rPr>
        <w:t>Polityce społecznej wobec osób starszych</w:t>
      </w:r>
      <w:r w:rsidRPr="0017498C">
        <w:rPr>
          <w:rFonts w:ascii="Lato" w:hAnsi="Lato" w:cs="Times New Roman"/>
          <w:sz w:val="20"/>
          <w:szCs w:val="20"/>
        </w:rPr>
        <w:t xml:space="preserve"> </w:t>
      </w:r>
      <w:r w:rsidRPr="0017498C">
        <w:rPr>
          <w:rFonts w:ascii="Lato" w:hAnsi="Lato" w:cs="Times New Roman"/>
          <w:i/>
          <w:iCs/>
          <w:sz w:val="20"/>
          <w:szCs w:val="20"/>
        </w:rPr>
        <w:t xml:space="preserve">2030. Bezpieczeństwo – Uczestnictwo – Solidarność przyjętej uchwałą nr 161 Rady </w:t>
      </w:r>
      <w:r w:rsidRPr="00D77549">
        <w:rPr>
          <w:rFonts w:ascii="Lato" w:hAnsi="Lato" w:cs="Times New Roman"/>
          <w:i/>
          <w:iCs/>
          <w:sz w:val="20"/>
          <w:szCs w:val="20"/>
        </w:rPr>
        <w:t>Ministrów</w:t>
      </w:r>
      <w:r w:rsidRPr="00D77549">
        <w:rPr>
          <w:rFonts w:ascii="Lato" w:hAnsi="Lato" w:cs="Times New Roman"/>
          <w:sz w:val="20"/>
          <w:szCs w:val="20"/>
        </w:rPr>
        <w:t xml:space="preserve"> </w:t>
      </w:r>
      <w:r w:rsidRPr="00D77549">
        <w:rPr>
          <w:rFonts w:ascii="Lato" w:hAnsi="Lato" w:cs="Times New Roman"/>
          <w:i/>
          <w:iCs/>
          <w:sz w:val="20"/>
          <w:szCs w:val="20"/>
        </w:rPr>
        <w:t>z dnia 26 października 2018 r. (M.P. poz. 1169).</w:t>
      </w:r>
      <w:r w:rsidR="00C326B1">
        <w:rPr>
          <w:rFonts w:ascii="Lato" w:hAnsi="Lato" w:cs="Times New Roman"/>
          <w:sz w:val="20"/>
          <w:szCs w:val="20"/>
        </w:rPr>
        <w:t xml:space="preserve"> </w:t>
      </w:r>
      <w:r w:rsidRPr="00D77549">
        <w:rPr>
          <w:rFonts w:ascii="Lato" w:eastAsia="Times New Roman" w:hAnsi="Lato" w:cs="Times New Roman"/>
          <w:sz w:val="20"/>
          <w:szCs w:val="20"/>
          <w:lang w:eastAsia="pl-PL"/>
        </w:rPr>
        <w:t xml:space="preserve">Do tej pory przyjętych zostało 7 edycji dokumentu. </w:t>
      </w:r>
      <w:r>
        <w:rPr>
          <w:rFonts w:ascii="Lato" w:eastAsia="Times New Roman" w:hAnsi="Lato" w:cs="Times New Roman"/>
          <w:sz w:val="20"/>
          <w:szCs w:val="20"/>
          <w:lang w:eastAsia="pl-PL"/>
        </w:rPr>
        <w:t xml:space="preserve">Ostatnia </w:t>
      </w:r>
      <w:r w:rsidRPr="00D77549">
        <w:rPr>
          <w:rFonts w:ascii="Lato" w:hAnsi="Lato" w:cs="Times New Roman"/>
          <w:i/>
          <w:sz w:val="20"/>
          <w:szCs w:val="20"/>
        </w:rPr>
        <w:t>Informacja za 2021 r.</w:t>
      </w:r>
      <w:r w:rsidRPr="00D77549">
        <w:rPr>
          <w:rFonts w:ascii="Lato" w:hAnsi="Lato" w:cs="Times New Roman"/>
          <w:sz w:val="20"/>
          <w:szCs w:val="20"/>
        </w:rPr>
        <w:t xml:space="preserve"> została przyjęta przez Radę Ministrów w dniu 4 listopada </w:t>
      </w:r>
      <w:r w:rsidR="00726C01">
        <w:rPr>
          <w:rFonts w:ascii="Lato" w:hAnsi="Lato" w:cs="Times New Roman"/>
          <w:sz w:val="20"/>
          <w:szCs w:val="20"/>
        </w:rPr>
        <w:br/>
      </w:r>
      <w:r w:rsidRPr="00D77549">
        <w:rPr>
          <w:rFonts w:ascii="Lato" w:hAnsi="Lato" w:cs="Times New Roman"/>
          <w:sz w:val="20"/>
          <w:szCs w:val="20"/>
        </w:rPr>
        <w:t>2022 r.</w:t>
      </w:r>
    </w:p>
    <w:p w14:paraId="3300C3E5" w14:textId="685F3D76" w:rsidR="0017498C" w:rsidRPr="0017498C" w:rsidRDefault="00C326B1" w:rsidP="00C326B1">
      <w:pPr>
        <w:autoSpaceDE w:val="0"/>
        <w:autoSpaceDN w:val="0"/>
        <w:adjustRightInd w:val="0"/>
        <w:spacing w:before="240" w:after="240" w:line="276" w:lineRule="auto"/>
        <w:jc w:val="both"/>
        <w:rPr>
          <w:rFonts w:ascii="Lato" w:hAnsi="Lato" w:cs="Times New Roman"/>
          <w:sz w:val="20"/>
          <w:szCs w:val="20"/>
        </w:rPr>
      </w:pPr>
      <w:r>
        <w:rPr>
          <w:rFonts w:ascii="Lato" w:hAnsi="Lato" w:cs="Times New Roman"/>
          <w:sz w:val="20"/>
          <w:szCs w:val="20"/>
        </w:rPr>
        <w:t>Należy podkreślić, że</w:t>
      </w:r>
      <w:r w:rsidR="0017498C" w:rsidRPr="0017498C">
        <w:rPr>
          <w:rFonts w:ascii="Lato" w:hAnsi="Lato" w:cs="Times New Roman"/>
          <w:sz w:val="20"/>
          <w:szCs w:val="20"/>
        </w:rPr>
        <w:t xml:space="preserve"> niektóre badania, ze względu na częstotliwość ich prowadzenia lub zasady publikacji są publikowane w cyklu kilkuletnim. Jednocześnie, niniejsze opracowanie zawiera najbardziej aktualne i dostępne dane statystyczne istotne dla polityki senioralnej.</w:t>
      </w:r>
    </w:p>
    <w:p w14:paraId="3F67F7B1" w14:textId="72B8403F" w:rsidR="0017498C" w:rsidRPr="0017498C" w:rsidRDefault="0017498C" w:rsidP="00C326B1">
      <w:pPr>
        <w:autoSpaceDE w:val="0"/>
        <w:autoSpaceDN w:val="0"/>
        <w:adjustRightInd w:val="0"/>
        <w:spacing w:before="240" w:after="240" w:line="276" w:lineRule="auto"/>
        <w:jc w:val="both"/>
        <w:rPr>
          <w:rFonts w:ascii="Lato" w:hAnsi="Lato" w:cs="Times New Roman"/>
          <w:sz w:val="20"/>
          <w:szCs w:val="20"/>
        </w:rPr>
      </w:pPr>
      <w:r w:rsidRPr="0017498C">
        <w:rPr>
          <w:rFonts w:ascii="Lato" w:hAnsi="Lato" w:cs="Times New Roman"/>
          <w:sz w:val="20"/>
          <w:szCs w:val="20"/>
        </w:rPr>
        <w:t xml:space="preserve">Ministerstwo Rodziny i Polityki Społecznej wyraża podziękowanie wszystkim Osobom i Instytucjom za pomoc i współudział w przygotowaniu </w:t>
      </w:r>
      <w:r w:rsidRPr="0017498C">
        <w:rPr>
          <w:rFonts w:ascii="Lato" w:hAnsi="Lato" w:cs="Times New Roman"/>
          <w:i/>
          <w:iCs/>
          <w:sz w:val="20"/>
          <w:szCs w:val="20"/>
        </w:rPr>
        <w:t>Informacji o sytuacji osób starszych w Polsce za 2022 r.</w:t>
      </w:r>
    </w:p>
    <w:p w14:paraId="1296106E" w14:textId="77777777" w:rsidR="0017498C" w:rsidRDefault="0017498C" w:rsidP="0017498C">
      <w:pPr>
        <w:spacing w:before="120" w:after="120" w:line="276" w:lineRule="auto"/>
      </w:pPr>
    </w:p>
    <w:p w14:paraId="3B2A3C17" w14:textId="5E5024B5" w:rsidR="00B321FE" w:rsidRDefault="00B321FE" w:rsidP="00B321FE"/>
    <w:p w14:paraId="439D123D" w14:textId="7BD189DE" w:rsidR="00B321FE" w:rsidRDefault="00B321FE" w:rsidP="00B321FE"/>
    <w:p w14:paraId="30A31671" w14:textId="7BA0AC36" w:rsidR="00B321FE" w:rsidRDefault="00B321FE" w:rsidP="00B321FE"/>
    <w:p w14:paraId="5DFB988A" w14:textId="1817C8F7" w:rsidR="00B321FE" w:rsidRDefault="00B321FE" w:rsidP="00B321FE"/>
    <w:p w14:paraId="6385759C" w14:textId="11FDBF43" w:rsidR="00B321FE" w:rsidRDefault="00B321FE" w:rsidP="00B321FE"/>
    <w:p w14:paraId="4E9F1BCB" w14:textId="48FA2C43" w:rsidR="00B321FE" w:rsidRDefault="00B321FE" w:rsidP="00B321FE"/>
    <w:p w14:paraId="0852FFAA" w14:textId="62FF767B" w:rsidR="00B321FE" w:rsidRDefault="00B321FE" w:rsidP="00B321FE"/>
    <w:p w14:paraId="7D714670" w14:textId="4E1AA659" w:rsidR="00B321FE" w:rsidRDefault="00B321FE" w:rsidP="006B2B17">
      <w:pPr>
        <w:pStyle w:val="Nagwek1"/>
      </w:pPr>
      <w:bookmarkStart w:id="0" w:name="_Toc142565922"/>
      <w:r>
        <w:t>Sytuacja społeczno-ekonomiczna osób starszych w Polsce</w:t>
      </w:r>
      <w:bookmarkEnd w:id="0"/>
    </w:p>
    <w:p w14:paraId="45FEB0ED" w14:textId="67995301" w:rsidR="000F16AE" w:rsidRPr="00DB2792" w:rsidRDefault="00B321FE" w:rsidP="009E6F68">
      <w:pPr>
        <w:pStyle w:val="Nagwek2"/>
        <w:rPr>
          <w:b/>
          <w:bCs/>
        </w:rPr>
      </w:pPr>
      <w:bookmarkStart w:id="1" w:name="_Toc142565923"/>
      <w:r w:rsidRPr="00DB2792">
        <w:rPr>
          <w:b/>
          <w:bCs/>
        </w:rPr>
        <w:t>Sytuacja demograficzna</w:t>
      </w:r>
      <w:bookmarkEnd w:id="1"/>
    </w:p>
    <w:p w14:paraId="7ECA8369" w14:textId="21859F2F" w:rsidR="00AE588A" w:rsidRDefault="000F16AE" w:rsidP="009E6F68">
      <w:pPr>
        <w:pStyle w:val="Default"/>
        <w:jc w:val="both"/>
        <w:rPr>
          <w:rFonts w:ascii="Lato" w:hAnsi="Lato"/>
          <w:color w:val="auto"/>
          <w:sz w:val="20"/>
          <w:szCs w:val="20"/>
        </w:rPr>
      </w:pPr>
      <w:r w:rsidRPr="000F16AE">
        <w:rPr>
          <w:rFonts w:ascii="Lato" w:hAnsi="Lato"/>
          <w:color w:val="auto"/>
          <w:sz w:val="20"/>
          <w:szCs w:val="20"/>
        </w:rPr>
        <w:t xml:space="preserve">W końcu 2022 r. liczba ludności Polski wyniosła 37,8 mln, w tym blisko 9,8 mln stanowiły osoby w wieku 60 lat i więcej (25,9%). W stosunku do roku 2021 liczba osób w wieku senioralnym wzrosła o 67,6 tys. osób tj. o 0,7%. </w:t>
      </w:r>
    </w:p>
    <w:p w14:paraId="1E388FF0" w14:textId="77777777" w:rsidR="0017498C" w:rsidRPr="000F16AE" w:rsidRDefault="0017498C" w:rsidP="000F16AE">
      <w:pPr>
        <w:pStyle w:val="Default"/>
        <w:spacing w:line="276" w:lineRule="auto"/>
        <w:jc w:val="both"/>
        <w:rPr>
          <w:rFonts w:ascii="Lato" w:hAnsi="Lato"/>
          <w:color w:val="auto"/>
          <w:sz w:val="20"/>
          <w:szCs w:val="20"/>
        </w:rPr>
      </w:pPr>
    </w:p>
    <w:p w14:paraId="489F94BD" w14:textId="26DF9C24" w:rsidR="00AE588A" w:rsidRDefault="00AE588A" w:rsidP="00AE588A">
      <w:pPr>
        <w:pStyle w:val="Legenda"/>
        <w:keepNext/>
      </w:pPr>
      <w:bookmarkStart w:id="2" w:name="_Toc142565967"/>
      <w:r>
        <w:t xml:space="preserve">Tabela </w:t>
      </w:r>
      <w:fldSimple w:instr=" SEQ Tabela \* ARABIC ">
        <w:r w:rsidR="00AA385B">
          <w:rPr>
            <w:noProof/>
          </w:rPr>
          <w:t>1</w:t>
        </w:r>
      </w:fldSimple>
      <w:r>
        <w:t xml:space="preserve"> Ludność w 2022 r.</w:t>
      </w:r>
      <w:bookmarkEnd w:id="2"/>
    </w:p>
    <w:tbl>
      <w:tblPr>
        <w:tblW w:w="51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66"/>
        <w:gridCol w:w="853"/>
        <w:gridCol w:w="995"/>
        <w:gridCol w:w="849"/>
        <w:gridCol w:w="849"/>
        <w:gridCol w:w="995"/>
        <w:gridCol w:w="851"/>
        <w:gridCol w:w="847"/>
        <w:gridCol w:w="995"/>
        <w:gridCol w:w="851"/>
      </w:tblGrid>
      <w:tr w:rsidR="0017498C" w:rsidRPr="00C37663" w14:paraId="01173B86" w14:textId="77777777" w:rsidTr="00C37663">
        <w:trPr>
          <w:trHeight w:val="300"/>
        </w:trPr>
        <w:tc>
          <w:tcPr>
            <w:tcW w:w="677" w:type="pct"/>
            <w:vMerge w:val="restart"/>
            <w:shd w:val="clear" w:color="auto" w:fill="8EAADB" w:themeFill="accent1" w:themeFillTint="99"/>
            <w:vAlign w:val="center"/>
            <w:hideMark/>
          </w:tcPr>
          <w:p w14:paraId="28ABC9EE"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Grupy wieku</w:t>
            </w:r>
          </w:p>
        </w:tc>
        <w:tc>
          <w:tcPr>
            <w:tcW w:w="456" w:type="pct"/>
            <w:vMerge w:val="restart"/>
            <w:shd w:val="clear" w:color="auto" w:fill="8EAADB" w:themeFill="accent1" w:themeFillTint="99"/>
            <w:vAlign w:val="center"/>
            <w:hideMark/>
          </w:tcPr>
          <w:p w14:paraId="616E6914"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Ogółem</w:t>
            </w:r>
          </w:p>
        </w:tc>
        <w:tc>
          <w:tcPr>
            <w:tcW w:w="532" w:type="pct"/>
            <w:vMerge w:val="restart"/>
            <w:shd w:val="clear" w:color="auto" w:fill="8EAADB" w:themeFill="accent1" w:themeFillTint="99"/>
            <w:noWrap/>
            <w:vAlign w:val="center"/>
            <w:hideMark/>
          </w:tcPr>
          <w:p w14:paraId="63C21841"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Mężczyźni</w:t>
            </w:r>
          </w:p>
        </w:tc>
        <w:tc>
          <w:tcPr>
            <w:tcW w:w="454" w:type="pct"/>
            <w:vMerge w:val="restart"/>
            <w:shd w:val="clear" w:color="auto" w:fill="8EAADB" w:themeFill="accent1" w:themeFillTint="99"/>
            <w:vAlign w:val="center"/>
            <w:hideMark/>
          </w:tcPr>
          <w:p w14:paraId="28295659"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Kobiety </w:t>
            </w:r>
          </w:p>
        </w:tc>
        <w:tc>
          <w:tcPr>
            <w:tcW w:w="1441" w:type="pct"/>
            <w:gridSpan w:val="3"/>
            <w:shd w:val="clear" w:color="auto" w:fill="8EAADB" w:themeFill="accent1" w:themeFillTint="99"/>
            <w:noWrap/>
            <w:vAlign w:val="center"/>
            <w:hideMark/>
          </w:tcPr>
          <w:p w14:paraId="54E25AEA"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Miasta</w:t>
            </w:r>
          </w:p>
        </w:tc>
        <w:tc>
          <w:tcPr>
            <w:tcW w:w="1440" w:type="pct"/>
            <w:gridSpan w:val="3"/>
            <w:shd w:val="clear" w:color="auto" w:fill="8EAADB" w:themeFill="accent1" w:themeFillTint="99"/>
            <w:noWrap/>
            <w:vAlign w:val="center"/>
            <w:hideMark/>
          </w:tcPr>
          <w:p w14:paraId="0AC6A0E6"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Wieś </w:t>
            </w:r>
          </w:p>
        </w:tc>
      </w:tr>
      <w:tr w:rsidR="00C37663" w:rsidRPr="00C37663" w14:paraId="5A037FB2" w14:textId="77777777" w:rsidTr="00C37663">
        <w:trPr>
          <w:trHeight w:val="450"/>
        </w:trPr>
        <w:tc>
          <w:tcPr>
            <w:tcW w:w="677" w:type="pct"/>
            <w:vMerge/>
            <w:shd w:val="clear" w:color="auto" w:fill="8EAADB" w:themeFill="accent1" w:themeFillTint="99"/>
            <w:vAlign w:val="center"/>
            <w:hideMark/>
          </w:tcPr>
          <w:p w14:paraId="73533E59"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6" w:type="pct"/>
            <w:vMerge/>
            <w:shd w:val="clear" w:color="auto" w:fill="8EAADB" w:themeFill="accent1" w:themeFillTint="99"/>
            <w:vAlign w:val="center"/>
            <w:hideMark/>
          </w:tcPr>
          <w:p w14:paraId="5B8BBECA"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532" w:type="pct"/>
            <w:vMerge/>
            <w:shd w:val="clear" w:color="auto" w:fill="8EAADB" w:themeFill="accent1" w:themeFillTint="99"/>
            <w:vAlign w:val="center"/>
            <w:hideMark/>
          </w:tcPr>
          <w:p w14:paraId="1B232453"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4" w:type="pct"/>
            <w:vMerge/>
            <w:shd w:val="clear" w:color="auto" w:fill="8EAADB" w:themeFill="accent1" w:themeFillTint="99"/>
            <w:vAlign w:val="center"/>
            <w:hideMark/>
          </w:tcPr>
          <w:p w14:paraId="2E354EEF"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4" w:type="pct"/>
            <w:vMerge w:val="restart"/>
            <w:shd w:val="clear" w:color="auto" w:fill="8EAADB" w:themeFill="accent1" w:themeFillTint="99"/>
            <w:vAlign w:val="center"/>
            <w:hideMark/>
          </w:tcPr>
          <w:p w14:paraId="4E21E4F0"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razem</w:t>
            </w:r>
          </w:p>
        </w:tc>
        <w:tc>
          <w:tcPr>
            <w:tcW w:w="532" w:type="pct"/>
            <w:vMerge w:val="restart"/>
            <w:shd w:val="clear" w:color="auto" w:fill="8EAADB" w:themeFill="accent1" w:themeFillTint="99"/>
            <w:vAlign w:val="center"/>
            <w:hideMark/>
          </w:tcPr>
          <w:p w14:paraId="0558BB49"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mężczyźni</w:t>
            </w:r>
          </w:p>
        </w:tc>
        <w:tc>
          <w:tcPr>
            <w:tcW w:w="455" w:type="pct"/>
            <w:vMerge w:val="restart"/>
            <w:shd w:val="clear" w:color="auto" w:fill="8EAADB" w:themeFill="accent1" w:themeFillTint="99"/>
            <w:vAlign w:val="center"/>
            <w:hideMark/>
          </w:tcPr>
          <w:p w14:paraId="381588CE"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kobiety</w:t>
            </w:r>
          </w:p>
        </w:tc>
        <w:tc>
          <w:tcPr>
            <w:tcW w:w="453" w:type="pct"/>
            <w:vMerge w:val="restart"/>
            <w:shd w:val="clear" w:color="auto" w:fill="8EAADB" w:themeFill="accent1" w:themeFillTint="99"/>
            <w:vAlign w:val="center"/>
            <w:hideMark/>
          </w:tcPr>
          <w:p w14:paraId="2D2E23E6"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razem</w:t>
            </w:r>
          </w:p>
        </w:tc>
        <w:tc>
          <w:tcPr>
            <w:tcW w:w="532" w:type="pct"/>
            <w:vMerge w:val="restart"/>
            <w:shd w:val="clear" w:color="auto" w:fill="8EAADB" w:themeFill="accent1" w:themeFillTint="99"/>
            <w:vAlign w:val="center"/>
            <w:hideMark/>
          </w:tcPr>
          <w:p w14:paraId="5E23F8F5"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mężczyźni</w:t>
            </w:r>
          </w:p>
        </w:tc>
        <w:tc>
          <w:tcPr>
            <w:tcW w:w="455" w:type="pct"/>
            <w:vMerge w:val="restart"/>
            <w:shd w:val="clear" w:color="auto" w:fill="8EAADB" w:themeFill="accent1" w:themeFillTint="99"/>
            <w:vAlign w:val="center"/>
            <w:hideMark/>
          </w:tcPr>
          <w:p w14:paraId="2512B702" w14:textId="77777777" w:rsidR="00AE588A" w:rsidRPr="00C37663" w:rsidRDefault="00AE588A"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Kobiety</w:t>
            </w:r>
          </w:p>
        </w:tc>
      </w:tr>
      <w:tr w:rsidR="0017498C" w:rsidRPr="00C37663" w14:paraId="434FD2B7" w14:textId="77777777" w:rsidTr="00C37663">
        <w:trPr>
          <w:trHeight w:val="450"/>
        </w:trPr>
        <w:tc>
          <w:tcPr>
            <w:tcW w:w="677" w:type="pct"/>
            <w:vMerge/>
            <w:shd w:val="clear" w:color="auto" w:fill="8EAADB" w:themeFill="accent1" w:themeFillTint="99"/>
            <w:vAlign w:val="center"/>
            <w:hideMark/>
          </w:tcPr>
          <w:p w14:paraId="5346C3CD"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6" w:type="pct"/>
            <w:vMerge/>
            <w:shd w:val="clear" w:color="auto" w:fill="8EAADB" w:themeFill="accent1" w:themeFillTint="99"/>
            <w:vAlign w:val="center"/>
            <w:hideMark/>
          </w:tcPr>
          <w:p w14:paraId="5CD27E24"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532" w:type="pct"/>
            <w:vMerge/>
            <w:shd w:val="clear" w:color="auto" w:fill="8EAADB" w:themeFill="accent1" w:themeFillTint="99"/>
            <w:vAlign w:val="center"/>
            <w:hideMark/>
          </w:tcPr>
          <w:p w14:paraId="123E0FC9"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4" w:type="pct"/>
            <w:vMerge/>
            <w:shd w:val="clear" w:color="auto" w:fill="8EAADB" w:themeFill="accent1" w:themeFillTint="99"/>
            <w:vAlign w:val="center"/>
            <w:hideMark/>
          </w:tcPr>
          <w:p w14:paraId="71F04A4A"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4" w:type="pct"/>
            <w:vMerge/>
            <w:shd w:val="clear" w:color="auto" w:fill="8EAADB" w:themeFill="accent1" w:themeFillTint="99"/>
            <w:vAlign w:val="center"/>
            <w:hideMark/>
          </w:tcPr>
          <w:p w14:paraId="2A5EE289"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532" w:type="pct"/>
            <w:vMerge/>
            <w:shd w:val="clear" w:color="auto" w:fill="8EAADB" w:themeFill="accent1" w:themeFillTint="99"/>
            <w:vAlign w:val="center"/>
            <w:hideMark/>
          </w:tcPr>
          <w:p w14:paraId="152559BE"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5" w:type="pct"/>
            <w:vMerge/>
            <w:shd w:val="clear" w:color="auto" w:fill="8EAADB" w:themeFill="accent1" w:themeFillTint="99"/>
            <w:vAlign w:val="center"/>
            <w:hideMark/>
          </w:tcPr>
          <w:p w14:paraId="54F09BCC"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3" w:type="pct"/>
            <w:vMerge/>
            <w:shd w:val="clear" w:color="auto" w:fill="8EAADB" w:themeFill="accent1" w:themeFillTint="99"/>
            <w:vAlign w:val="center"/>
            <w:hideMark/>
          </w:tcPr>
          <w:p w14:paraId="2D95CFC8"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532" w:type="pct"/>
            <w:vMerge/>
            <w:shd w:val="clear" w:color="auto" w:fill="8EAADB" w:themeFill="accent1" w:themeFillTint="99"/>
            <w:vAlign w:val="center"/>
            <w:hideMark/>
          </w:tcPr>
          <w:p w14:paraId="6750E9FF" w14:textId="77777777" w:rsidR="00AE588A" w:rsidRPr="00C37663" w:rsidRDefault="00AE588A" w:rsidP="00BD02D7">
            <w:pPr>
              <w:spacing w:after="0" w:line="240" w:lineRule="auto"/>
              <w:rPr>
                <w:rFonts w:ascii="Lato" w:eastAsia="Times New Roman" w:hAnsi="Lato" w:cs="Arial"/>
                <w:sz w:val="18"/>
                <w:szCs w:val="18"/>
                <w:lang w:eastAsia="pl-PL"/>
              </w:rPr>
            </w:pPr>
          </w:p>
        </w:tc>
        <w:tc>
          <w:tcPr>
            <w:tcW w:w="455" w:type="pct"/>
            <w:vMerge/>
            <w:shd w:val="clear" w:color="auto" w:fill="8EAADB" w:themeFill="accent1" w:themeFillTint="99"/>
            <w:vAlign w:val="center"/>
            <w:hideMark/>
          </w:tcPr>
          <w:p w14:paraId="262DBA46" w14:textId="77777777" w:rsidR="00AE588A" w:rsidRPr="00C37663" w:rsidRDefault="00AE588A" w:rsidP="00BD02D7">
            <w:pPr>
              <w:spacing w:after="0" w:line="240" w:lineRule="auto"/>
              <w:rPr>
                <w:rFonts w:ascii="Lato" w:eastAsia="Times New Roman" w:hAnsi="Lato" w:cs="Arial"/>
                <w:sz w:val="18"/>
                <w:szCs w:val="18"/>
                <w:lang w:eastAsia="pl-PL"/>
              </w:rPr>
            </w:pPr>
          </w:p>
        </w:tc>
      </w:tr>
      <w:tr w:rsidR="00AE588A" w:rsidRPr="00C37663" w14:paraId="341F64EB" w14:textId="77777777" w:rsidTr="00C37663">
        <w:trPr>
          <w:trHeight w:val="300"/>
        </w:trPr>
        <w:tc>
          <w:tcPr>
            <w:tcW w:w="677" w:type="pct"/>
            <w:shd w:val="clear" w:color="auto" w:fill="8EAADB" w:themeFill="accent1" w:themeFillTint="99"/>
            <w:noWrap/>
            <w:vAlign w:val="center"/>
            <w:hideMark/>
          </w:tcPr>
          <w:p w14:paraId="685394AA" w14:textId="77777777" w:rsidR="00AE588A" w:rsidRPr="00C37663" w:rsidRDefault="00AE588A" w:rsidP="00BD02D7">
            <w:pPr>
              <w:spacing w:after="0" w:line="240" w:lineRule="auto"/>
              <w:rPr>
                <w:rFonts w:ascii="Lato" w:eastAsia="Times New Roman" w:hAnsi="Lato" w:cs="Arial"/>
                <w:b/>
                <w:bCs/>
                <w:color w:val="000000"/>
                <w:sz w:val="18"/>
                <w:szCs w:val="18"/>
                <w:lang w:eastAsia="pl-PL"/>
              </w:rPr>
            </w:pPr>
            <w:r w:rsidRPr="00C37663">
              <w:rPr>
                <w:rFonts w:ascii="Lato" w:eastAsia="Times New Roman" w:hAnsi="Lato" w:cs="Arial"/>
                <w:b/>
                <w:bCs/>
                <w:color w:val="000000"/>
                <w:sz w:val="18"/>
                <w:szCs w:val="18"/>
                <w:lang w:eastAsia="pl-PL"/>
              </w:rPr>
              <w:t> </w:t>
            </w:r>
          </w:p>
        </w:tc>
        <w:tc>
          <w:tcPr>
            <w:tcW w:w="4323" w:type="pct"/>
            <w:gridSpan w:val="9"/>
            <w:shd w:val="clear" w:color="auto" w:fill="8EAADB" w:themeFill="accent1" w:themeFillTint="99"/>
            <w:noWrap/>
            <w:vAlign w:val="center"/>
            <w:hideMark/>
          </w:tcPr>
          <w:p w14:paraId="697B23F5" w14:textId="77777777" w:rsidR="00AE588A" w:rsidRPr="00C37663" w:rsidRDefault="00AE588A"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w tysiącach</w:t>
            </w:r>
          </w:p>
        </w:tc>
      </w:tr>
      <w:tr w:rsidR="0017498C" w:rsidRPr="00C37663" w14:paraId="414559DA" w14:textId="77777777" w:rsidTr="00C37663">
        <w:trPr>
          <w:trHeight w:val="300"/>
        </w:trPr>
        <w:tc>
          <w:tcPr>
            <w:tcW w:w="677" w:type="pct"/>
            <w:shd w:val="clear" w:color="auto" w:fill="8EAADB" w:themeFill="accent1" w:themeFillTint="99"/>
            <w:noWrap/>
            <w:vAlign w:val="center"/>
            <w:hideMark/>
          </w:tcPr>
          <w:p w14:paraId="336F48F7"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Ogółem</w:t>
            </w:r>
          </w:p>
        </w:tc>
        <w:tc>
          <w:tcPr>
            <w:tcW w:w="456" w:type="pct"/>
            <w:shd w:val="clear" w:color="auto" w:fill="auto"/>
            <w:noWrap/>
            <w:vAlign w:val="center"/>
            <w:hideMark/>
          </w:tcPr>
          <w:p w14:paraId="4F4EEB0B"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37766,3</w:t>
            </w:r>
          </w:p>
        </w:tc>
        <w:tc>
          <w:tcPr>
            <w:tcW w:w="532" w:type="pct"/>
            <w:shd w:val="clear" w:color="auto" w:fill="auto"/>
            <w:noWrap/>
            <w:vAlign w:val="center"/>
            <w:hideMark/>
          </w:tcPr>
          <w:p w14:paraId="219BF17F"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18249,3</w:t>
            </w:r>
          </w:p>
        </w:tc>
        <w:tc>
          <w:tcPr>
            <w:tcW w:w="454" w:type="pct"/>
            <w:shd w:val="clear" w:color="auto" w:fill="auto"/>
            <w:noWrap/>
            <w:vAlign w:val="center"/>
            <w:hideMark/>
          </w:tcPr>
          <w:p w14:paraId="768C493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19517,0</w:t>
            </w:r>
          </w:p>
        </w:tc>
        <w:tc>
          <w:tcPr>
            <w:tcW w:w="454" w:type="pct"/>
            <w:shd w:val="clear" w:color="auto" w:fill="auto"/>
            <w:noWrap/>
            <w:vAlign w:val="center"/>
            <w:hideMark/>
          </w:tcPr>
          <w:p w14:paraId="7EE17FAB"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22489,9</w:t>
            </w:r>
          </w:p>
        </w:tc>
        <w:tc>
          <w:tcPr>
            <w:tcW w:w="532" w:type="pct"/>
            <w:shd w:val="clear" w:color="auto" w:fill="auto"/>
            <w:noWrap/>
            <w:vAlign w:val="center"/>
            <w:hideMark/>
          </w:tcPr>
          <w:p w14:paraId="2BEBC86C"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10630,7</w:t>
            </w:r>
          </w:p>
        </w:tc>
        <w:tc>
          <w:tcPr>
            <w:tcW w:w="455" w:type="pct"/>
            <w:shd w:val="clear" w:color="auto" w:fill="auto"/>
            <w:noWrap/>
            <w:vAlign w:val="center"/>
            <w:hideMark/>
          </w:tcPr>
          <w:p w14:paraId="0F74901C"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11859,3</w:t>
            </w:r>
          </w:p>
        </w:tc>
        <w:tc>
          <w:tcPr>
            <w:tcW w:w="453" w:type="pct"/>
            <w:shd w:val="clear" w:color="auto" w:fill="auto"/>
            <w:noWrap/>
            <w:vAlign w:val="center"/>
            <w:hideMark/>
          </w:tcPr>
          <w:p w14:paraId="05C9307B"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15276,4</w:t>
            </w:r>
          </w:p>
        </w:tc>
        <w:tc>
          <w:tcPr>
            <w:tcW w:w="532" w:type="pct"/>
            <w:shd w:val="clear" w:color="auto" w:fill="auto"/>
            <w:noWrap/>
            <w:vAlign w:val="center"/>
            <w:hideMark/>
          </w:tcPr>
          <w:p w14:paraId="12559BE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7618,7</w:t>
            </w:r>
          </w:p>
        </w:tc>
        <w:tc>
          <w:tcPr>
            <w:tcW w:w="455" w:type="pct"/>
            <w:shd w:val="clear" w:color="auto" w:fill="auto"/>
            <w:noWrap/>
            <w:vAlign w:val="bottom"/>
            <w:hideMark/>
          </w:tcPr>
          <w:p w14:paraId="794AAFC0"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7657,7</w:t>
            </w:r>
          </w:p>
        </w:tc>
      </w:tr>
      <w:tr w:rsidR="0017498C" w:rsidRPr="00C37663" w14:paraId="51C9B36E" w14:textId="77777777" w:rsidTr="00C37663">
        <w:trPr>
          <w:trHeight w:val="300"/>
        </w:trPr>
        <w:tc>
          <w:tcPr>
            <w:tcW w:w="677" w:type="pct"/>
            <w:shd w:val="clear" w:color="auto" w:fill="8EAADB" w:themeFill="accent1" w:themeFillTint="99"/>
            <w:noWrap/>
            <w:vAlign w:val="center"/>
            <w:hideMark/>
          </w:tcPr>
          <w:p w14:paraId="1C94D8D7"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 tym 60 lat i więcej </w:t>
            </w:r>
          </w:p>
        </w:tc>
        <w:tc>
          <w:tcPr>
            <w:tcW w:w="456" w:type="pct"/>
            <w:shd w:val="clear" w:color="auto" w:fill="auto"/>
            <w:noWrap/>
            <w:vAlign w:val="center"/>
            <w:hideMark/>
          </w:tcPr>
          <w:p w14:paraId="154F5F0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9797,7</w:t>
            </w:r>
          </w:p>
        </w:tc>
        <w:tc>
          <w:tcPr>
            <w:tcW w:w="532" w:type="pct"/>
            <w:shd w:val="clear" w:color="auto" w:fill="auto"/>
            <w:noWrap/>
            <w:vAlign w:val="center"/>
            <w:hideMark/>
          </w:tcPr>
          <w:p w14:paraId="20FCC4B1"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4103,2</w:t>
            </w:r>
          </w:p>
        </w:tc>
        <w:tc>
          <w:tcPr>
            <w:tcW w:w="454" w:type="pct"/>
            <w:shd w:val="clear" w:color="auto" w:fill="auto"/>
            <w:noWrap/>
            <w:vAlign w:val="center"/>
            <w:hideMark/>
          </w:tcPr>
          <w:p w14:paraId="1C12828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5694,5</w:t>
            </w:r>
          </w:p>
        </w:tc>
        <w:tc>
          <w:tcPr>
            <w:tcW w:w="454" w:type="pct"/>
            <w:shd w:val="clear" w:color="auto" w:fill="auto"/>
            <w:noWrap/>
            <w:vAlign w:val="center"/>
            <w:hideMark/>
          </w:tcPr>
          <w:p w14:paraId="0D26792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6278,9</w:t>
            </w:r>
          </w:p>
        </w:tc>
        <w:tc>
          <w:tcPr>
            <w:tcW w:w="532" w:type="pct"/>
            <w:shd w:val="clear" w:color="auto" w:fill="auto"/>
            <w:noWrap/>
            <w:vAlign w:val="center"/>
            <w:hideMark/>
          </w:tcPr>
          <w:p w14:paraId="18023CD6"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2532,7</w:t>
            </w:r>
          </w:p>
        </w:tc>
        <w:tc>
          <w:tcPr>
            <w:tcW w:w="455" w:type="pct"/>
            <w:shd w:val="clear" w:color="auto" w:fill="auto"/>
            <w:noWrap/>
            <w:vAlign w:val="center"/>
            <w:hideMark/>
          </w:tcPr>
          <w:p w14:paraId="28E4A0A8"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3746,3</w:t>
            </w:r>
          </w:p>
        </w:tc>
        <w:tc>
          <w:tcPr>
            <w:tcW w:w="453" w:type="pct"/>
            <w:shd w:val="clear" w:color="auto" w:fill="auto"/>
            <w:noWrap/>
            <w:vAlign w:val="center"/>
            <w:hideMark/>
          </w:tcPr>
          <w:p w14:paraId="65F4085F"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3518,8</w:t>
            </w:r>
          </w:p>
        </w:tc>
        <w:tc>
          <w:tcPr>
            <w:tcW w:w="532" w:type="pct"/>
            <w:shd w:val="clear" w:color="auto" w:fill="auto"/>
            <w:noWrap/>
            <w:vAlign w:val="center"/>
            <w:hideMark/>
          </w:tcPr>
          <w:p w14:paraId="5DF21F51"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1570,5</w:t>
            </w:r>
          </w:p>
        </w:tc>
        <w:tc>
          <w:tcPr>
            <w:tcW w:w="455" w:type="pct"/>
            <w:shd w:val="clear" w:color="auto" w:fill="auto"/>
            <w:noWrap/>
            <w:vAlign w:val="center"/>
            <w:hideMark/>
          </w:tcPr>
          <w:p w14:paraId="2CA85B7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1948,3</w:t>
            </w:r>
          </w:p>
        </w:tc>
      </w:tr>
      <w:tr w:rsidR="0017498C" w:rsidRPr="00C37663" w14:paraId="169A40C0" w14:textId="77777777" w:rsidTr="00C37663">
        <w:trPr>
          <w:trHeight w:val="300"/>
        </w:trPr>
        <w:tc>
          <w:tcPr>
            <w:tcW w:w="677" w:type="pct"/>
            <w:shd w:val="clear" w:color="auto" w:fill="8EAADB" w:themeFill="accent1" w:themeFillTint="99"/>
            <w:noWrap/>
            <w:vAlign w:val="center"/>
            <w:hideMark/>
          </w:tcPr>
          <w:p w14:paraId="41F55C93"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60-64 lata</w:t>
            </w:r>
          </w:p>
        </w:tc>
        <w:tc>
          <w:tcPr>
            <w:tcW w:w="456" w:type="pct"/>
            <w:shd w:val="clear" w:color="auto" w:fill="auto"/>
            <w:noWrap/>
            <w:vAlign w:val="center"/>
            <w:hideMark/>
          </w:tcPr>
          <w:p w14:paraId="7CED568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2444,3</w:t>
            </w:r>
          </w:p>
        </w:tc>
        <w:tc>
          <w:tcPr>
            <w:tcW w:w="532" w:type="pct"/>
            <w:shd w:val="clear" w:color="auto" w:fill="auto"/>
            <w:noWrap/>
            <w:vAlign w:val="center"/>
            <w:hideMark/>
          </w:tcPr>
          <w:p w14:paraId="381D852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1151,5</w:t>
            </w:r>
          </w:p>
        </w:tc>
        <w:tc>
          <w:tcPr>
            <w:tcW w:w="454" w:type="pct"/>
            <w:shd w:val="clear" w:color="auto" w:fill="auto"/>
            <w:noWrap/>
            <w:vAlign w:val="center"/>
            <w:hideMark/>
          </w:tcPr>
          <w:p w14:paraId="5F8A432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1292,7</w:t>
            </w:r>
          </w:p>
        </w:tc>
        <w:tc>
          <w:tcPr>
            <w:tcW w:w="454" w:type="pct"/>
            <w:shd w:val="clear" w:color="auto" w:fill="auto"/>
            <w:noWrap/>
            <w:vAlign w:val="center"/>
            <w:hideMark/>
          </w:tcPr>
          <w:p w14:paraId="563EC6B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1469,2</w:t>
            </w:r>
          </w:p>
        </w:tc>
        <w:tc>
          <w:tcPr>
            <w:tcW w:w="532" w:type="pct"/>
            <w:shd w:val="clear" w:color="auto" w:fill="auto"/>
            <w:noWrap/>
            <w:vAlign w:val="center"/>
            <w:hideMark/>
          </w:tcPr>
          <w:p w14:paraId="415975D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661,0</w:t>
            </w:r>
          </w:p>
        </w:tc>
        <w:tc>
          <w:tcPr>
            <w:tcW w:w="455" w:type="pct"/>
            <w:shd w:val="clear" w:color="auto" w:fill="auto"/>
            <w:noWrap/>
            <w:vAlign w:val="center"/>
            <w:hideMark/>
          </w:tcPr>
          <w:p w14:paraId="200B0836"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808,2</w:t>
            </w:r>
          </w:p>
        </w:tc>
        <w:tc>
          <w:tcPr>
            <w:tcW w:w="453" w:type="pct"/>
            <w:shd w:val="clear" w:color="auto" w:fill="auto"/>
            <w:noWrap/>
            <w:vAlign w:val="center"/>
            <w:hideMark/>
          </w:tcPr>
          <w:p w14:paraId="6246B53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975,1</w:t>
            </w:r>
          </w:p>
        </w:tc>
        <w:tc>
          <w:tcPr>
            <w:tcW w:w="532" w:type="pct"/>
            <w:shd w:val="clear" w:color="auto" w:fill="auto"/>
            <w:noWrap/>
            <w:vAlign w:val="center"/>
            <w:hideMark/>
          </w:tcPr>
          <w:p w14:paraId="4DA1EDC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490,6</w:t>
            </w:r>
          </w:p>
        </w:tc>
        <w:tc>
          <w:tcPr>
            <w:tcW w:w="455" w:type="pct"/>
            <w:shd w:val="clear" w:color="auto" w:fill="auto"/>
            <w:noWrap/>
            <w:vAlign w:val="bottom"/>
            <w:hideMark/>
          </w:tcPr>
          <w:p w14:paraId="582B77A8"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484,5</w:t>
            </w:r>
          </w:p>
        </w:tc>
      </w:tr>
      <w:tr w:rsidR="0017498C" w:rsidRPr="00C37663" w14:paraId="6280E13D" w14:textId="77777777" w:rsidTr="00C37663">
        <w:trPr>
          <w:trHeight w:val="300"/>
        </w:trPr>
        <w:tc>
          <w:tcPr>
            <w:tcW w:w="677" w:type="pct"/>
            <w:shd w:val="clear" w:color="auto" w:fill="8EAADB" w:themeFill="accent1" w:themeFillTint="99"/>
            <w:noWrap/>
            <w:vAlign w:val="center"/>
            <w:hideMark/>
          </w:tcPr>
          <w:p w14:paraId="36B2BBA0"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65-69</w:t>
            </w:r>
          </w:p>
        </w:tc>
        <w:tc>
          <w:tcPr>
            <w:tcW w:w="456" w:type="pct"/>
            <w:shd w:val="clear" w:color="auto" w:fill="auto"/>
            <w:noWrap/>
            <w:vAlign w:val="center"/>
            <w:hideMark/>
          </w:tcPr>
          <w:p w14:paraId="01D4B39C"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2513,6</w:t>
            </w:r>
          </w:p>
        </w:tc>
        <w:tc>
          <w:tcPr>
            <w:tcW w:w="532" w:type="pct"/>
            <w:shd w:val="clear" w:color="auto" w:fill="auto"/>
            <w:noWrap/>
            <w:vAlign w:val="center"/>
            <w:hideMark/>
          </w:tcPr>
          <w:p w14:paraId="57FB09E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1129,2</w:t>
            </w:r>
          </w:p>
        </w:tc>
        <w:tc>
          <w:tcPr>
            <w:tcW w:w="454" w:type="pct"/>
            <w:shd w:val="clear" w:color="auto" w:fill="auto"/>
            <w:noWrap/>
            <w:vAlign w:val="center"/>
            <w:hideMark/>
          </w:tcPr>
          <w:p w14:paraId="54B8303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1384,3</w:t>
            </w:r>
          </w:p>
        </w:tc>
        <w:tc>
          <w:tcPr>
            <w:tcW w:w="454" w:type="pct"/>
            <w:shd w:val="clear" w:color="auto" w:fill="auto"/>
            <w:noWrap/>
            <w:vAlign w:val="center"/>
            <w:hideMark/>
          </w:tcPr>
          <w:p w14:paraId="391EDFDC"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1612,8</w:t>
            </w:r>
          </w:p>
        </w:tc>
        <w:tc>
          <w:tcPr>
            <w:tcW w:w="532" w:type="pct"/>
            <w:shd w:val="clear" w:color="auto" w:fill="auto"/>
            <w:noWrap/>
            <w:vAlign w:val="center"/>
            <w:hideMark/>
          </w:tcPr>
          <w:p w14:paraId="707EDD0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690,7</w:t>
            </w:r>
          </w:p>
        </w:tc>
        <w:tc>
          <w:tcPr>
            <w:tcW w:w="455" w:type="pct"/>
            <w:shd w:val="clear" w:color="auto" w:fill="auto"/>
            <w:noWrap/>
            <w:vAlign w:val="center"/>
            <w:hideMark/>
          </w:tcPr>
          <w:p w14:paraId="4DF1404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922,1</w:t>
            </w:r>
          </w:p>
        </w:tc>
        <w:tc>
          <w:tcPr>
            <w:tcW w:w="453" w:type="pct"/>
            <w:shd w:val="clear" w:color="auto" w:fill="auto"/>
            <w:noWrap/>
            <w:vAlign w:val="center"/>
            <w:hideMark/>
          </w:tcPr>
          <w:p w14:paraId="3B3C10F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900,8</w:t>
            </w:r>
          </w:p>
        </w:tc>
        <w:tc>
          <w:tcPr>
            <w:tcW w:w="532" w:type="pct"/>
            <w:shd w:val="clear" w:color="auto" w:fill="auto"/>
            <w:noWrap/>
            <w:vAlign w:val="center"/>
            <w:hideMark/>
          </w:tcPr>
          <w:p w14:paraId="0A6331B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438,5</w:t>
            </w:r>
          </w:p>
        </w:tc>
        <w:tc>
          <w:tcPr>
            <w:tcW w:w="455" w:type="pct"/>
            <w:shd w:val="clear" w:color="auto" w:fill="auto"/>
            <w:noWrap/>
            <w:vAlign w:val="bottom"/>
            <w:hideMark/>
          </w:tcPr>
          <w:p w14:paraId="1A77017D"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462,3</w:t>
            </w:r>
          </w:p>
        </w:tc>
      </w:tr>
      <w:tr w:rsidR="0017498C" w:rsidRPr="00C37663" w14:paraId="2606B5BB" w14:textId="77777777" w:rsidTr="00C37663">
        <w:trPr>
          <w:trHeight w:val="300"/>
        </w:trPr>
        <w:tc>
          <w:tcPr>
            <w:tcW w:w="677" w:type="pct"/>
            <w:shd w:val="clear" w:color="auto" w:fill="8EAADB" w:themeFill="accent1" w:themeFillTint="99"/>
            <w:noWrap/>
            <w:vAlign w:val="center"/>
            <w:hideMark/>
          </w:tcPr>
          <w:p w14:paraId="054DD048"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70-74</w:t>
            </w:r>
          </w:p>
        </w:tc>
        <w:tc>
          <w:tcPr>
            <w:tcW w:w="456" w:type="pct"/>
            <w:shd w:val="clear" w:color="auto" w:fill="auto"/>
            <w:noWrap/>
            <w:vAlign w:val="center"/>
            <w:hideMark/>
          </w:tcPr>
          <w:p w14:paraId="153C1BF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2053,3</w:t>
            </w:r>
          </w:p>
        </w:tc>
        <w:tc>
          <w:tcPr>
            <w:tcW w:w="532" w:type="pct"/>
            <w:shd w:val="clear" w:color="auto" w:fill="auto"/>
            <w:noWrap/>
            <w:vAlign w:val="center"/>
            <w:hideMark/>
          </w:tcPr>
          <w:p w14:paraId="3E08D8D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866,1</w:t>
            </w:r>
          </w:p>
        </w:tc>
        <w:tc>
          <w:tcPr>
            <w:tcW w:w="454" w:type="pct"/>
            <w:shd w:val="clear" w:color="auto" w:fill="auto"/>
            <w:noWrap/>
            <w:vAlign w:val="center"/>
            <w:hideMark/>
          </w:tcPr>
          <w:p w14:paraId="7472DC2F"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1187,2</w:t>
            </w:r>
          </w:p>
        </w:tc>
        <w:tc>
          <w:tcPr>
            <w:tcW w:w="454" w:type="pct"/>
            <w:shd w:val="clear" w:color="auto" w:fill="auto"/>
            <w:noWrap/>
            <w:vAlign w:val="center"/>
            <w:hideMark/>
          </w:tcPr>
          <w:p w14:paraId="7575E67D"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1361,0</w:t>
            </w:r>
          </w:p>
        </w:tc>
        <w:tc>
          <w:tcPr>
            <w:tcW w:w="532" w:type="pct"/>
            <w:shd w:val="clear" w:color="auto" w:fill="auto"/>
            <w:noWrap/>
            <w:vAlign w:val="center"/>
            <w:hideMark/>
          </w:tcPr>
          <w:p w14:paraId="47184D8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553,4</w:t>
            </w:r>
          </w:p>
        </w:tc>
        <w:tc>
          <w:tcPr>
            <w:tcW w:w="455" w:type="pct"/>
            <w:shd w:val="clear" w:color="auto" w:fill="auto"/>
            <w:noWrap/>
            <w:vAlign w:val="center"/>
            <w:hideMark/>
          </w:tcPr>
          <w:p w14:paraId="0A62571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807,7</w:t>
            </w:r>
          </w:p>
        </w:tc>
        <w:tc>
          <w:tcPr>
            <w:tcW w:w="453" w:type="pct"/>
            <w:shd w:val="clear" w:color="auto" w:fill="auto"/>
            <w:noWrap/>
            <w:vAlign w:val="center"/>
            <w:hideMark/>
          </w:tcPr>
          <w:p w14:paraId="79B2A45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692,2</w:t>
            </w:r>
          </w:p>
        </w:tc>
        <w:tc>
          <w:tcPr>
            <w:tcW w:w="532" w:type="pct"/>
            <w:shd w:val="clear" w:color="auto" w:fill="auto"/>
            <w:noWrap/>
            <w:vAlign w:val="center"/>
            <w:hideMark/>
          </w:tcPr>
          <w:p w14:paraId="5557081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312,7</w:t>
            </w:r>
          </w:p>
        </w:tc>
        <w:tc>
          <w:tcPr>
            <w:tcW w:w="455" w:type="pct"/>
            <w:shd w:val="clear" w:color="auto" w:fill="auto"/>
            <w:noWrap/>
            <w:vAlign w:val="bottom"/>
            <w:hideMark/>
          </w:tcPr>
          <w:p w14:paraId="06DEA258"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379,5</w:t>
            </w:r>
          </w:p>
        </w:tc>
      </w:tr>
      <w:tr w:rsidR="0017498C" w:rsidRPr="00C37663" w14:paraId="1FE90FD6" w14:textId="77777777" w:rsidTr="00C37663">
        <w:trPr>
          <w:trHeight w:val="300"/>
        </w:trPr>
        <w:tc>
          <w:tcPr>
            <w:tcW w:w="677" w:type="pct"/>
            <w:shd w:val="clear" w:color="auto" w:fill="8EAADB" w:themeFill="accent1" w:themeFillTint="99"/>
            <w:noWrap/>
            <w:vAlign w:val="center"/>
            <w:hideMark/>
          </w:tcPr>
          <w:p w14:paraId="6A767D67"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75-79</w:t>
            </w:r>
          </w:p>
        </w:tc>
        <w:tc>
          <w:tcPr>
            <w:tcW w:w="456" w:type="pct"/>
            <w:shd w:val="clear" w:color="auto" w:fill="auto"/>
            <w:noWrap/>
            <w:vAlign w:val="center"/>
            <w:hideMark/>
          </w:tcPr>
          <w:p w14:paraId="5EB5DAA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1186,3</w:t>
            </w:r>
          </w:p>
        </w:tc>
        <w:tc>
          <w:tcPr>
            <w:tcW w:w="532" w:type="pct"/>
            <w:shd w:val="clear" w:color="auto" w:fill="auto"/>
            <w:noWrap/>
            <w:vAlign w:val="center"/>
            <w:hideMark/>
          </w:tcPr>
          <w:p w14:paraId="0191B9F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462,2</w:t>
            </w:r>
          </w:p>
        </w:tc>
        <w:tc>
          <w:tcPr>
            <w:tcW w:w="454" w:type="pct"/>
            <w:shd w:val="clear" w:color="auto" w:fill="auto"/>
            <w:noWrap/>
            <w:vAlign w:val="center"/>
            <w:hideMark/>
          </w:tcPr>
          <w:p w14:paraId="4E972FC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724,1</w:t>
            </w:r>
          </w:p>
        </w:tc>
        <w:tc>
          <w:tcPr>
            <w:tcW w:w="454" w:type="pct"/>
            <w:shd w:val="clear" w:color="auto" w:fill="auto"/>
            <w:noWrap/>
            <w:vAlign w:val="center"/>
            <w:hideMark/>
          </w:tcPr>
          <w:p w14:paraId="1910242F"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793,3</w:t>
            </w:r>
          </w:p>
        </w:tc>
        <w:tc>
          <w:tcPr>
            <w:tcW w:w="532" w:type="pct"/>
            <w:shd w:val="clear" w:color="auto" w:fill="auto"/>
            <w:noWrap/>
            <w:vAlign w:val="center"/>
            <w:hideMark/>
          </w:tcPr>
          <w:p w14:paraId="1B48E3F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304,3</w:t>
            </w:r>
          </w:p>
        </w:tc>
        <w:tc>
          <w:tcPr>
            <w:tcW w:w="455" w:type="pct"/>
            <w:shd w:val="clear" w:color="auto" w:fill="auto"/>
            <w:noWrap/>
            <w:vAlign w:val="center"/>
            <w:hideMark/>
          </w:tcPr>
          <w:p w14:paraId="565D1EE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489,1</w:t>
            </w:r>
          </w:p>
        </w:tc>
        <w:tc>
          <w:tcPr>
            <w:tcW w:w="453" w:type="pct"/>
            <w:shd w:val="clear" w:color="auto" w:fill="auto"/>
            <w:noWrap/>
            <w:vAlign w:val="center"/>
            <w:hideMark/>
          </w:tcPr>
          <w:p w14:paraId="4D76ED3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393,0</w:t>
            </w:r>
          </w:p>
        </w:tc>
        <w:tc>
          <w:tcPr>
            <w:tcW w:w="532" w:type="pct"/>
            <w:shd w:val="clear" w:color="auto" w:fill="auto"/>
            <w:noWrap/>
            <w:vAlign w:val="center"/>
            <w:hideMark/>
          </w:tcPr>
          <w:p w14:paraId="66772F6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158,0</w:t>
            </w:r>
          </w:p>
        </w:tc>
        <w:tc>
          <w:tcPr>
            <w:tcW w:w="455" w:type="pct"/>
            <w:shd w:val="clear" w:color="auto" w:fill="auto"/>
            <w:noWrap/>
            <w:vAlign w:val="bottom"/>
            <w:hideMark/>
          </w:tcPr>
          <w:p w14:paraId="05621C6C"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235,0</w:t>
            </w:r>
          </w:p>
        </w:tc>
      </w:tr>
      <w:tr w:rsidR="0017498C" w:rsidRPr="00C37663" w14:paraId="49BDC4CA" w14:textId="77777777" w:rsidTr="00C37663">
        <w:trPr>
          <w:trHeight w:val="300"/>
        </w:trPr>
        <w:tc>
          <w:tcPr>
            <w:tcW w:w="677" w:type="pct"/>
            <w:shd w:val="clear" w:color="auto" w:fill="8EAADB" w:themeFill="accent1" w:themeFillTint="99"/>
            <w:noWrap/>
            <w:vAlign w:val="center"/>
            <w:hideMark/>
          </w:tcPr>
          <w:p w14:paraId="4B114BD9"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80-84</w:t>
            </w:r>
          </w:p>
        </w:tc>
        <w:tc>
          <w:tcPr>
            <w:tcW w:w="456" w:type="pct"/>
            <w:shd w:val="clear" w:color="auto" w:fill="auto"/>
            <w:noWrap/>
            <w:vAlign w:val="center"/>
            <w:hideMark/>
          </w:tcPr>
          <w:p w14:paraId="7197AC21"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801,4</w:t>
            </w:r>
          </w:p>
        </w:tc>
        <w:tc>
          <w:tcPr>
            <w:tcW w:w="532" w:type="pct"/>
            <w:shd w:val="clear" w:color="auto" w:fill="auto"/>
            <w:noWrap/>
            <w:vAlign w:val="center"/>
            <w:hideMark/>
          </w:tcPr>
          <w:p w14:paraId="62B3683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272,5</w:t>
            </w:r>
          </w:p>
        </w:tc>
        <w:tc>
          <w:tcPr>
            <w:tcW w:w="454" w:type="pct"/>
            <w:shd w:val="clear" w:color="auto" w:fill="auto"/>
            <w:noWrap/>
            <w:vAlign w:val="center"/>
            <w:hideMark/>
          </w:tcPr>
          <w:p w14:paraId="17B129E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528,9</w:t>
            </w:r>
          </w:p>
        </w:tc>
        <w:tc>
          <w:tcPr>
            <w:tcW w:w="454" w:type="pct"/>
            <w:shd w:val="clear" w:color="auto" w:fill="auto"/>
            <w:noWrap/>
            <w:vAlign w:val="center"/>
            <w:hideMark/>
          </w:tcPr>
          <w:p w14:paraId="02A106F8"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524,0</w:t>
            </w:r>
          </w:p>
        </w:tc>
        <w:tc>
          <w:tcPr>
            <w:tcW w:w="532" w:type="pct"/>
            <w:shd w:val="clear" w:color="auto" w:fill="auto"/>
            <w:noWrap/>
            <w:vAlign w:val="center"/>
            <w:hideMark/>
          </w:tcPr>
          <w:p w14:paraId="7695043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176,9</w:t>
            </w:r>
          </w:p>
        </w:tc>
        <w:tc>
          <w:tcPr>
            <w:tcW w:w="455" w:type="pct"/>
            <w:shd w:val="clear" w:color="auto" w:fill="auto"/>
            <w:noWrap/>
            <w:vAlign w:val="center"/>
            <w:hideMark/>
          </w:tcPr>
          <w:p w14:paraId="4DCFFE6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347,1</w:t>
            </w:r>
          </w:p>
        </w:tc>
        <w:tc>
          <w:tcPr>
            <w:tcW w:w="453" w:type="pct"/>
            <w:shd w:val="clear" w:color="auto" w:fill="auto"/>
            <w:noWrap/>
            <w:vAlign w:val="center"/>
            <w:hideMark/>
          </w:tcPr>
          <w:p w14:paraId="3F5EFA4D"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277,5</w:t>
            </w:r>
          </w:p>
        </w:tc>
        <w:tc>
          <w:tcPr>
            <w:tcW w:w="532" w:type="pct"/>
            <w:shd w:val="clear" w:color="auto" w:fill="auto"/>
            <w:noWrap/>
            <w:vAlign w:val="center"/>
            <w:hideMark/>
          </w:tcPr>
          <w:p w14:paraId="39B529C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95,6</w:t>
            </w:r>
          </w:p>
        </w:tc>
        <w:tc>
          <w:tcPr>
            <w:tcW w:w="455" w:type="pct"/>
            <w:shd w:val="clear" w:color="auto" w:fill="auto"/>
            <w:noWrap/>
            <w:vAlign w:val="bottom"/>
            <w:hideMark/>
          </w:tcPr>
          <w:p w14:paraId="760F730E"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181,8</w:t>
            </w:r>
          </w:p>
        </w:tc>
      </w:tr>
      <w:tr w:rsidR="0017498C" w:rsidRPr="00C37663" w14:paraId="2F5DC89C" w14:textId="77777777" w:rsidTr="00C37663">
        <w:trPr>
          <w:trHeight w:val="300"/>
        </w:trPr>
        <w:tc>
          <w:tcPr>
            <w:tcW w:w="677" w:type="pct"/>
            <w:shd w:val="clear" w:color="auto" w:fill="8EAADB" w:themeFill="accent1" w:themeFillTint="99"/>
            <w:noWrap/>
            <w:vAlign w:val="center"/>
            <w:hideMark/>
          </w:tcPr>
          <w:p w14:paraId="10335805"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85 lat i więcej</w:t>
            </w:r>
          </w:p>
        </w:tc>
        <w:tc>
          <w:tcPr>
            <w:tcW w:w="456" w:type="pct"/>
            <w:shd w:val="clear" w:color="auto" w:fill="auto"/>
            <w:noWrap/>
            <w:vAlign w:val="center"/>
            <w:hideMark/>
          </w:tcPr>
          <w:p w14:paraId="1CC47B1B"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798,9</w:t>
            </w:r>
          </w:p>
        </w:tc>
        <w:tc>
          <w:tcPr>
            <w:tcW w:w="532" w:type="pct"/>
            <w:shd w:val="clear" w:color="auto" w:fill="auto"/>
            <w:noWrap/>
            <w:vAlign w:val="center"/>
            <w:hideMark/>
          </w:tcPr>
          <w:p w14:paraId="38B372A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221,6</w:t>
            </w:r>
          </w:p>
        </w:tc>
        <w:tc>
          <w:tcPr>
            <w:tcW w:w="454" w:type="pct"/>
            <w:shd w:val="clear" w:color="auto" w:fill="auto"/>
            <w:noWrap/>
            <w:vAlign w:val="center"/>
            <w:hideMark/>
          </w:tcPr>
          <w:p w14:paraId="574170B0"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577,3</w:t>
            </w:r>
          </w:p>
        </w:tc>
        <w:tc>
          <w:tcPr>
            <w:tcW w:w="454" w:type="pct"/>
            <w:shd w:val="clear" w:color="auto" w:fill="auto"/>
            <w:noWrap/>
            <w:vAlign w:val="center"/>
            <w:hideMark/>
          </w:tcPr>
          <w:p w14:paraId="048D06D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518,6</w:t>
            </w:r>
          </w:p>
        </w:tc>
        <w:tc>
          <w:tcPr>
            <w:tcW w:w="532" w:type="pct"/>
            <w:shd w:val="clear" w:color="auto" w:fill="auto"/>
            <w:noWrap/>
            <w:vAlign w:val="center"/>
            <w:hideMark/>
          </w:tcPr>
          <w:p w14:paraId="314C96C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146,5</w:t>
            </w:r>
          </w:p>
        </w:tc>
        <w:tc>
          <w:tcPr>
            <w:tcW w:w="455" w:type="pct"/>
            <w:shd w:val="clear" w:color="auto" w:fill="auto"/>
            <w:noWrap/>
            <w:vAlign w:val="center"/>
            <w:hideMark/>
          </w:tcPr>
          <w:p w14:paraId="624182B2"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372,1</w:t>
            </w:r>
          </w:p>
        </w:tc>
        <w:tc>
          <w:tcPr>
            <w:tcW w:w="453" w:type="pct"/>
            <w:shd w:val="clear" w:color="auto" w:fill="auto"/>
            <w:noWrap/>
            <w:vAlign w:val="center"/>
            <w:hideMark/>
          </w:tcPr>
          <w:p w14:paraId="063FD32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280,3</w:t>
            </w:r>
          </w:p>
        </w:tc>
        <w:tc>
          <w:tcPr>
            <w:tcW w:w="532" w:type="pct"/>
            <w:shd w:val="clear" w:color="auto" w:fill="auto"/>
            <w:noWrap/>
            <w:vAlign w:val="center"/>
            <w:hideMark/>
          </w:tcPr>
          <w:p w14:paraId="5994A65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75,1</w:t>
            </w:r>
          </w:p>
        </w:tc>
        <w:tc>
          <w:tcPr>
            <w:tcW w:w="455" w:type="pct"/>
            <w:shd w:val="clear" w:color="auto" w:fill="auto"/>
            <w:noWrap/>
            <w:vAlign w:val="bottom"/>
            <w:hideMark/>
          </w:tcPr>
          <w:p w14:paraId="36BDEDEF" w14:textId="77777777" w:rsidR="00AE588A" w:rsidRPr="00C37663" w:rsidRDefault="00AE588A"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205,2</w:t>
            </w:r>
          </w:p>
        </w:tc>
      </w:tr>
      <w:tr w:rsidR="00AE588A" w:rsidRPr="00C37663" w14:paraId="1AA98B4E" w14:textId="77777777" w:rsidTr="00C37663">
        <w:trPr>
          <w:trHeight w:val="300"/>
        </w:trPr>
        <w:tc>
          <w:tcPr>
            <w:tcW w:w="677" w:type="pct"/>
            <w:shd w:val="clear" w:color="auto" w:fill="8EAADB" w:themeFill="accent1" w:themeFillTint="99"/>
            <w:noWrap/>
            <w:vAlign w:val="center"/>
            <w:hideMark/>
          </w:tcPr>
          <w:p w14:paraId="3BE5D9E5" w14:textId="77777777" w:rsidR="00AE588A" w:rsidRPr="00C37663" w:rsidRDefault="00AE588A" w:rsidP="00BD02D7">
            <w:pPr>
              <w:spacing w:after="0" w:line="240" w:lineRule="auto"/>
              <w:rPr>
                <w:rFonts w:ascii="Lato" w:eastAsia="Times New Roman" w:hAnsi="Lato" w:cs="Arial"/>
                <w:b/>
                <w:bCs/>
                <w:color w:val="000000"/>
                <w:sz w:val="18"/>
                <w:szCs w:val="18"/>
                <w:lang w:eastAsia="pl-PL"/>
              </w:rPr>
            </w:pPr>
            <w:r w:rsidRPr="00C37663">
              <w:rPr>
                <w:rFonts w:ascii="Lato" w:eastAsia="Times New Roman" w:hAnsi="Lato" w:cs="Arial"/>
                <w:b/>
                <w:bCs/>
                <w:color w:val="000000"/>
                <w:sz w:val="18"/>
                <w:szCs w:val="18"/>
                <w:lang w:eastAsia="pl-PL"/>
              </w:rPr>
              <w:t> </w:t>
            </w:r>
          </w:p>
        </w:tc>
        <w:tc>
          <w:tcPr>
            <w:tcW w:w="4323" w:type="pct"/>
            <w:gridSpan w:val="9"/>
            <w:shd w:val="clear" w:color="auto" w:fill="8EAADB" w:themeFill="accent1" w:themeFillTint="99"/>
            <w:noWrap/>
            <w:vAlign w:val="center"/>
            <w:hideMark/>
          </w:tcPr>
          <w:p w14:paraId="7BE4FC21" w14:textId="77777777" w:rsidR="00AE588A" w:rsidRPr="00C37663" w:rsidRDefault="00AE588A"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shd w:val="clear" w:color="auto" w:fill="8EAADB" w:themeFill="accent1" w:themeFillTint="99"/>
                <w:lang w:eastAsia="pl-PL"/>
              </w:rPr>
              <w:t>w</w:t>
            </w:r>
            <w:r w:rsidRPr="00C37663">
              <w:rPr>
                <w:rFonts w:ascii="Lato" w:eastAsia="Times New Roman" w:hAnsi="Lato" w:cs="Arial"/>
                <w:color w:val="000000"/>
                <w:sz w:val="18"/>
                <w:szCs w:val="18"/>
                <w:lang w:eastAsia="pl-PL"/>
              </w:rPr>
              <w:t xml:space="preserve"> %</w:t>
            </w:r>
          </w:p>
        </w:tc>
      </w:tr>
      <w:tr w:rsidR="0017498C" w:rsidRPr="00C37663" w14:paraId="151D7791" w14:textId="77777777" w:rsidTr="00C37663">
        <w:trPr>
          <w:trHeight w:val="300"/>
        </w:trPr>
        <w:tc>
          <w:tcPr>
            <w:tcW w:w="677" w:type="pct"/>
            <w:shd w:val="clear" w:color="auto" w:fill="8EAADB" w:themeFill="accent1" w:themeFillTint="99"/>
            <w:noWrap/>
            <w:vAlign w:val="center"/>
            <w:hideMark/>
          </w:tcPr>
          <w:p w14:paraId="7551F8FD"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Ogółem</w:t>
            </w:r>
          </w:p>
        </w:tc>
        <w:tc>
          <w:tcPr>
            <w:tcW w:w="456" w:type="pct"/>
            <w:shd w:val="clear" w:color="auto" w:fill="auto"/>
            <w:noWrap/>
            <w:vAlign w:val="bottom"/>
            <w:hideMark/>
          </w:tcPr>
          <w:p w14:paraId="64C9F0F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2" w:type="pct"/>
            <w:shd w:val="clear" w:color="auto" w:fill="auto"/>
            <w:noWrap/>
            <w:vAlign w:val="bottom"/>
            <w:hideMark/>
          </w:tcPr>
          <w:p w14:paraId="322DA1F9"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454" w:type="pct"/>
            <w:shd w:val="clear" w:color="auto" w:fill="auto"/>
            <w:noWrap/>
            <w:vAlign w:val="bottom"/>
            <w:hideMark/>
          </w:tcPr>
          <w:p w14:paraId="1BABA56D"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454" w:type="pct"/>
            <w:shd w:val="clear" w:color="auto" w:fill="auto"/>
            <w:noWrap/>
            <w:vAlign w:val="bottom"/>
            <w:hideMark/>
          </w:tcPr>
          <w:p w14:paraId="22F6038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2" w:type="pct"/>
            <w:shd w:val="clear" w:color="auto" w:fill="auto"/>
            <w:noWrap/>
            <w:vAlign w:val="bottom"/>
            <w:hideMark/>
          </w:tcPr>
          <w:p w14:paraId="52F1AC4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455" w:type="pct"/>
            <w:shd w:val="clear" w:color="auto" w:fill="auto"/>
            <w:noWrap/>
            <w:vAlign w:val="bottom"/>
            <w:hideMark/>
          </w:tcPr>
          <w:p w14:paraId="1C6B0B0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453" w:type="pct"/>
            <w:shd w:val="clear" w:color="auto" w:fill="auto"/>
            <w:noWrap/>
            <w:vAlign w:val="bottom"/>
            <w:hideMark/>
          </w:tcPr>
          <w:p w14:paraId="51926F85"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2" w:type="pct"/>
            <w:shd w:val="clear" w:color="auto" w:fill="auto"/>
            <w:noWrap/>
            <w:vAlign w:val="bottom"/>
            <w:hideMark/>
          </w:tcPr>
          <w:p w14:paraId="79CD1DB3"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455" w:type="pct"/>
            <w:shd w:val="clear" w:color="auto" w:fill="auto"/>
            <w:noWrap/>
            <w:vAlign w:val="center"/>
            <w:hideMark/>
          </w:tcPr>
          <w:p w14:paraId="4CF95ACE"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r>
      <w:tr w:rsidR="0017498C" w:rsidRPr="00C37663" w14:paraId="5F3A87F3" w14:textId="77777777" w:rsidTr="00C37663">
        <w:trPr>
          <w:trHeight w:val="300"/>
        </w:trPr>
        <w:tc>
          <w:tcPr>
            <w:tcW w:w="677" w:type="pct"/>
            <w:shd w:val="clear" w:color="auto" w:fill="8EAADB" w:themeFill="accent1" w:themeFillTint="99"/>
            <w:noWrap/>
            <w:vAlign w:val="center"/>
            <w:hideMark/>
          </w:tcPr>
          <w:p w14:paraId="2680AA47" w14:textId="77777777" w:rsidR="00AE588A" w:rsidRPr="00C37663" w:rsidRDefault="00AE588A"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 tym 60 lat i więcej </w:t>
            </w:r>
          </w:p>
        </w:tc>
        <w:tc>
          <w:tcPr>
            <w:tcW w:w="456" w:type="pct"/>
            <w:shd w:val="clear" w:color="auto" w:fill="auto"/>
            <w:noWrap/>
            <w:vAlign w:val="center"/>
            <w:hideMark/>
          </w:tcPr>
          <w:p w14:paraId="31112CE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25,9</w:t>
            </w:r>
          </w:p>
        </w:tc>
        <w:tc>
          <w:tcPr>
            <w:tcW w:w="532" w:type="pct"/>
            <w:shd w:val="clear" w:color="auto" w:fill="auto"/>
            <w:noWrap/>
            <w:vAlign w:val="center"/>
            <w:hideMark/>
          </w:tcPr>
          <w:p w14:paraId="7AF45BD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22,5</w:t>
            </w:r>
          </w:p>
        </w:tc>
        <w:tc>
          <w:tcPr>
            <w:tcW w:w="454" w:type="pct"/>
            <w:shd w:val="clear" w:color="auto" w:fill="auto"/>
            <w:noWrap/>
            <w:vAlign w:val="center"/>
            <w:hideMark/>
          </w:tcPr>
          <w:p w14:paraId="0B74B468"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29,2</w:t>
            </w:r>
          </w:p>
        </w:tc>
        <w:tc>
          <w:tcPr>
            <w:tcW w:w="454" w:type="pct"/>
            <w:shd w:val="clear" w:color="auto" w:fill="auto"/>
            <w:noWrap/>
            <w:vAlign w:val="center"/>
            <w:hideMark/>
          </w:tcPr>
          <w:p w14:paraId="1739B726"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27,9</w:t>
            </w:r>
          </w:p>
        </w:tc>
        <w:tc>
          <w:tcPr>
            <w:tcW w:w="532" w:type="pct"/>
            <w:shd w:val="clear" w:color="auto" w:fill="auto"/>
            <w:noWrap/>
            <w:vAlign w:val="center"/>
            <w:hideMark/>
          </w:tcPr>
          <w:p w14:paraId="1C33FD9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23,8</w:t>
            </w:r>
          </w:p>
        </w:tc>
        <w:tc>
          <w:tcPr>
            <w:tcW w:w="455" w:type="pct"/>
            <w:shd w:val="clear" w:color="auto" w:fill="auto"/>
            <w:noWrap/>
            <w:vAlign w:val="center"/>
            <w:hideMark/>
          </w:tcPr>
          <w:p w14:paraId="1193E944"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31,6</w:t>
            </w:r>
          </w:p>
        </w:tc>
        <w:tc>
          <w:tcPr>
            <w:tcW w:w="453" w:type="pct"/>
            <w:shd w:val="clear" w:color="auto" w:fill="auto"/>
            <w:noWrap/>
            <w:vAlign w:val="center"/>
            <w:hideMark/>
          </w:tcPr>
          <w:p w14:paraId="726888A7"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23,0</w:t>
            </w:r>
          </w:p>
        </w:tc>
        <w:tc>
          <w:tcPr>
            <w:tcW w:w="532" w:type="pct"/>
            <w:shd w:val="clear" w:color="auto" w:fill="auto"/>
            <w:noWrap/>
            <w:vAlign w:val="center"/>
            <w:hideMark/>
          </w:tcPr>
          <w:p w14:paraId="2F4F5C4A"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20,6</w:t>
            </w:r>
          </w:p>
        </w:tc>
        <w:tc>
          <w:tcPr>
            <w:tcW w:w="455" w:type="pct"/>
            <w:shd w:val="clear" w:color="auto" w:fill="auto"/>
            <w:noWrap/>
            <w:vAlign w:val="center"/>
            <w:hideMark/>
          </w:tcPr>
          <w:p w14:paraId="129452D6" w14:textId="77777777" w:rsidR="00AE588A" w:rsidRPr="00C37663" w:rsidRDefault="00AE588A"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25,4</w:t>
            </w:r>
          </w:p>
        </w:tc>
      </w:tr>
    </w:tbl>
    <w:p w14:paraId="39C480E6" w14:textId="6552B705" w:rsidR="00AE588A" w:rsidRPr="009E6F68" w:rsidRDefault="00AE588A" w:rsidP="00AE588A">
      <w:pPr>
        <w:spacing w:after="0" w:line="240" w:lineRule="auto"/>
        <w:rPr>
          <w:rFonts w:ascii="Lato" w:hAnsi="Lato"/>
          <w:sz w:val="16"/>
          <w:szCs w:val="16"/>
        </w:rPr>
      </w:pPr>
      <w:r w:rsidRPr="009E6F68">
        <w:rPr>
          <w:rFonts w:ascii="Lato" w:hAnsi="Lato"/>
          <w:sz w:val="16"/>
          <w:szCs w:val="16"/>
        </w:rPr>
        <w:t>Stan w dniu 31 XII</w:t>
      </w:r>
    </w:p>
    <w:p w14:paraId="0272AE61" w14:textId="1DBB6954" w:rsidR="00AE588A" w:rsidRPr="009E6F68" w:rsidRDefault="00AE588A" w:rsidP="00AE588A">
      <w:pPr>
        <w:spacing w:after="0" w:line="240" w:lineRule="auto"/>
        <w:rPr>
          <w:rFonts w:ascii="Lato" w:hAnsi="Lato"/>
          <w:sz w:val="16"/>
          <w:szCs w:val="16"/>
        </w:rPr>
      </w:pPr>
      <w:r w:rsidRPr="009E6F68">
        <w:rPr>
          <w:rFonts w:ascii="Lato" w:hAnsi="Lato"/>
          <w:sz w:val="16"/>
          <w:szCs w:val="16"/>
        </w:rPr>
        <w:t>Źródło: Wyniki bieżących bilansów ludności, GUS</w:t>
      </w:r>
    </w:p>
    <w:p w14:paraId="7204CBAE" w14:textId="77777777" w:rsidR="000F16AE" w:rsidRDefault="000F16AE" w:rsidP="000F16AE">
      <w:pPr>
        <w:pStyle w:val="Default"/>
        <w:spacing w:line="276" w:lineRule="auto"/>
        <w:jc w:val="both"/>
        <w:rPr>
          <w:color w:val="auto"/>
        </w:rPr>
      </w:pPr>
    </w:p>
    <w:p w14:paraId="5FA7CD24" w14:textId="77777777" w:rsidR="00194AC4" w:rsidRDefault="000F16AE" w:rsidP="009E6F68">
      <w:pPr>
        <w:pStyle w:val="Default"/>
        <w:jc w:val="both"/>
        <w:rPr>
          <w:rFonts w:ascii="Lato" w:hAnsi="Lato"/>
          <w:color w:val="auto"/>
          <w:sz w:val="20"/>
          <w:szCs w:val="20"/>
        </w:rPr>
      </w:pPr>
      <w:r w:rsidRPr="000F16AE">
        <w:rPr>
          <w:rFonts w:ascii="Lato" w:hAnsi="Lato"/>
          <w:color w:val="auto"/>
          <w:sz w:val="20"/>
          <w:szCs w:val="20"/>
        </w:rPr>
        <w:t>W subpopulacji osób starszych najliczniejszą grupę (25,7%) stanowiły osoby w wieku 65-69 lat. Drugą pod względem liczebności grupę stanowiły osoby w wieku 60-64 lata, których udział zmniejszył się w stosunku do roku poprzedniego o 1,4 p. proc, osiągając wielkość 24,9%. Mniej liczną, ale rosnącą w ostatnich latach jest grupa osób w wieku 70-74 lata. W 2022 r. w stosunku do roku poprzedniego liczba osób w tym wieku wzrosła o 3,4%, a ich udział w populacji osób starszych osiągnął poziom 21,0%.  W 2022 roku w stosunku do roku poprzedniego najbardziej wzrosła liczba osób w wieku 75-79 lat (o 10,7%) i osiągnęła udział w populacji osób starszych na poziomie 12,1%. Należy zwrócić uwagę, że około 16,3% (wobec 16,7% w roku 2021) osób starszych stanowiły osoby w wieku co najmniej 80 lat.</w:t>
      </w:r>
      <w:r w:rsidR="00194AC4">
        <w:rPr>
          <w:rFonts w:ascii="Lato" w:hAnsi="Lato"/>
          <w:color w:val="auto"/>
          <w:sz w:val="20"/>
          <w:szCs w:val="20"/>
        </w:rPr>
        <w:t xml:space="preserve"> </w:t>
      </w:r>
    </w:p>
    <w:p w14:paraId="03FB439F" w14:textId="77777777" w:rsidR="00194AC4" w:rsidRDefault="00194AC4" w:rsidP="009E6F68">
      <w:pPr>
        <w:pStyle w:val="Default"/>
        <w:jc w:val="both"/>
        <w:rPr>
          <w:rFonts w:ascii="Lato" w:hAnsi="Lato"/>
          <w:color w:val="auto"/>
          <w:sz w:val="20"/>
          <w:szCs w:val="20"/>
        </w:rPr>
      </w:pPr>
    </w:p>
    <w:p w14:paraId="528B7DB2" w14:textId="6482AB87" w:rsidR="000F16AE" w:rsidRPr="000F16AE" w:rsidRDefault="000F16AE" w:rsidP="009E6F68">
      <w:pPr>
        <w:pStyle w:val="Default"/>
        <w:jc w:val="both"/>
        <w:rPr>
          <w:rFonts w:ascii="Lato" w:hAnsi="Lato"/>
          <w:color w:val="auto"/>
          <w:sz w:val="20"/>
          <w:szCs w:val="20"/>
        </w:rPr>
      </w:pPr>
      <w:r w:rsidRPr="000F16AE">
        <w:rPr>
          <w:rFonts w:ascii="Lato" w:hAnsi="Lato"/>
          <w:color w:val="auto"/>
          <w:sz w:val="20"/>
          <w:szCs w:val="20"/>
        </w:rPr>
        <w:t xml:space="preserve">W 2022 r. udział ludności w starszym wieku w miastach wyniósł 27,9% (wobec 27,7% w roku poprzednim). Na terenach wiejskich udział ten wyniósł 23,0% (tj. o 0,3 p. proc więcej niż w 2021 r.) </w:t>
      </w:r>
    </w:p>
    <w:p w14:paraId="46B241A3" w14:textId="77777777" w:rsidR="000F16AE" w:rsidRPr="000F16AE" w:rsidRDefault="000F16AE" w:rsidP="000F16AE">
      <w:pPr>
        <w:pStyle w:val="Default"/>
        <w:spacing w:line="276" w:lineRule="auto"/>
        <w:jc w:val="both"/>
        <w:rPr>
          <w:rFonts w:ascii="Lato" w:hAnsi="Lato"/>
          <w:color w:val="auto"/>
          <w:sz w:val="20"/>
          <w:szCs w:val="20"/>
        </w:rPr>
      </w:pPr>
    </w:p>
    <w:p w14:paraId="65B43AFE" w14:textId="3C9B3AAB" w:rsidR="00E54D23" w:rsidRDefault="00E54D23" w:rsidP="00E54D23">
      <w:pPr>
        <w:pStyle w:val="Legenda"/>
        <w:keepNext/>
      </w:pPr>
      <w:bookmarkStart w:id="3" w:name="_Toc142565968"/>
      <w:r>
        <w:t xml:space="preserve">Tabela </w:t>
      </w:r>
      <w:fldSimple w:instr=" SEQ Tabela \* ARABIC ">
        <w:r w:rsidR="00AA385B">
          <w:rPr>
            <w:noProof/>
          </w:rPr>
          <w:t>2</w:t>
        </w:r>
      </w:fldSimple>
      <w:r>
        <w:t xml:space="preserve"> Struktura ludności według </w:t>
      </w:r>
      <w:r w:rsidR="00452AAD">
        <w:t>płc</w:t>
      </w:r>
      <w:r>
        <w:t>i w 2022 r.</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0"/>
        <w:gridCol w:w="733"/>
        <w:gridCol w:w="954"/>
        <w:gridCol w:w="735"/>
        <w:gridCol w:w="733"/>
        <w:gridCol w:w="954"/>
        <w:gridCol w:w="735"/>
        <w:gridCol w:w="733"/>
        <w:gridCol w:w="954"/>
        <w:gridCol w:w="735"/>
      </w:tblGrid>
      <w:tr w:rsidR="00E54D23" w:rsidRPr="00C37663" w14:paraId="412F3D1C" w14:textId="77777777" w:rsidTr="00C37663">
        <w:trPr>
          <w:trHeight w:val="300"/>
        </w:trPr>
        <w:tc>
          <w:tcPr>
            <w:tcW w:w="1009" w:type="pct"/>
            <w:vMerge w:val="restart"/>
            <w:shd w:val="clear" w:color="auto" w:fill="8EAADB" w:themeFill="accent1" w:themeFillTint="99"/>
            <w:vAlign w:val="center"/>
            <w:hideMark/>
          </w:tcPr>
          <w:p w14:paraId="0E6DF50E" w14:textId="77777777" w:rsidR="00E54D23" w:rsidRPr="00C37663" w:rsidRDefault="00E54D23" w:rsidP="00BD02D7">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Grupy wieku</w:t>
            </w:r>
          </w:p>
        </w:tc>
        <w:tc>
          <w:tcPr>
            <w:tcW w:w="1330" w:type="pct"/>
            <w:gridSpan w:val="3"/>
            <w:shd w:val="clear" w:color="auto" w:fill="8EAADB" w:themeFill="accent1" w:themeFillTint="99"/>
            <w:noWrap/>
            <w:vAlign w:val="center"/>
            <w:hideMark/>
          </w:tcPr>
          <w:p w14:paraId="2B5EC6BF"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Ogółem</w:t>
            </w:r>
          </w:p>
        </w:tc>
        <w:tc>
          <w:tcPr>
            <w:tcW w:w="1330" w:type="pct"/>
            <w:gridSpan w:val="3"/>
            <w:shd w:val="clear" w:color="auto" w:fill="8EAADB" w:themeFill="accent1" w:themeFillTint="99"/>
            <w:noWrap/>
            <w:vAlign w:val="center"/>
            <w:hideMark/>
          </w:tcPr>
          <w:p w14:paraId="6DFB4AC0"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Miasta</w:t>
            </w:r>
          </w:p>
        </w:tc>
        <w:tc>
          <w:tcPr>
            <w:tcW w:w="1330" w:type="pct"/>
            <w:gridSpan w:val="3"/>
            <w:shd w:val="clear" w:color="auto" w:fill="8EAADB" w:themeFill="accent1" w:themeFillTint="99"/>
            <w:noWrap/>
            <w:vAlign w:val="center"/>
            <w:hideMark/>
          </w:tcPr>
          <w:p w14:paraId="5C6F9EE2"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Wieś</w:t>
            </w:r>
          </w:p>
        </w:tc>
      </w:tr>
      <w:tr w:rsidR="00E54D23" w:rsidRPr="00C37663" w14:paraId="342A5D65" w14:textId="77777777" w:rsidTr="00C37663">
        <w:trPr>
          <w:trHeight w:val="450"/>
        </w:trPr>
        <w:tc>
          <w:tcPr>
            <w:tcW w:w="1009" w:type="pct"/>
            <w:vMerge/>
            <w:shd w:val="clear" w:color="auto" w:fill="8EAADB" w:themeFill="accent1" w:themeFillTint="99"/>
            <w:vAlign w:val="center"/>
            <w:hideMark/>
          </w:tcPr>
          <w:p w14:paraId="4C48426C" w14:textId="77777777" w:rsidR="00E54D23" w:rsidRPr="00C37663" w:rsidRDefault="00E54D23" w:rsidP="00BD02D7">
            <w:pPr>
              <w:spacing w:after="0" w:line="240" w:lineRule="auto"/>
              <w:rPr>
                <w:rFonts w:ascii="Lato" w:eastAsia="Times New Roman" w:hAnsi="Lato" w:cs="Arial"/>
                <w:sz w:val="18"/>
                <w:szCs w:val="18"/>
                <w:lang w:eastAsia="pl-PL"/>
              </w:rPr>
            </w:pPr>
          </w:p>
        </w:tc>
        <w:tc>
          <w:tcPr>
            <w:tcW w:w="402" w:type="pct"/>
            <w:vMerge w:val="restart"/>
            <w:shd w:val="clear" w:color="auto" w:fill="8EAADB" w:themeFill="accent1" w:themeFillTint="99"/>
            <w:noWrap/>
            <w:vAlign w:val="center"/>
            <w:hideMark/>
          </w:tcPr>
          <w:p w14:paraId="0B290E9E"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ogółem</w:t>
            </w:r>
          </w:p>
        </w:tc>
        <w:tc>
          <w:tcPr>
            <w:tcW w:w="538" w:type="pct"/>
            <w:vMerge w:val="restart"/>
            <w:shd w:val="clear" w:color="auto" w:fill="8EAADB" w:themeFill="accent1" w:themeFillTint="99"/>
            <w:noWrap/>
            <w:vAlign w:val="center"/>
            <w:hideMark/>
          </w:tcPr>
          <w:p w14:paraId="41226DA9"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mężczyźni</w:t>
            </w:r>
          </w:p>
        </w:tc>
        <w:tc>
          <w:tcPr>
            <w:tcW w:w="390" w:type="pct"/>
            <w:vMerge w:val="restart"/>
            <w:shd w:val="clear" w:color="auto" w:fill="8EAADB" w:themeFill="accent1" w:themeFillTint="99"/>
            <w:noWrap/>
            <w:vAlign w:val="center"/>
            <w:hideMark/>
          </w:tcPr>
          <w:p w14:paraId="60D5B0F4"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kobiety</w:t>
            </w:r>
          </w:p>
        </w:tc>
        <w:tc>
          <w:tcPr>
            <w:tcW w:w="402" w:type="pct"/>
            <w:vMerge w:val="restart"/>
            <w:shd w:val="clear" w:color="auto" w:fill="8EAADB" w:themeFill="accent1" w:themeFillTint="99"/>
            <w:noWrap/>
            <w:vAlign w:val="center"/>
            <w:hideMark/>
          </w:tcPr>
          <w:p w14:paraId="00F26234"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ogółem</w:t>
            </w:r>
          </w:p>
        </w:tc>
        <w:tc>
          <w:tcPr>
            <w:tcW w:w="538" w:type="pct"/>
            <w:vMerge w:val="restart"/>
            <w:shd w:val="clear" w:color="auto" w:fill="8EAADB" w:themeFill="accent1" w:themeFillTint="99"/>
            <w:noWrap/>
            <w:vAlign w:val="center"/>
            <w:hideMark/>
          </w:tcPr>
          <w:p w14:paraId="6DAE0508"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mężczyźni</w:t>
            </w:r>
          </w:p>
        </w:tc>
        <w:tc>
          <w:tcPr>
            <w:tcW w:w="390" w:type="pct"/>
            <w:vMerge w:val="restart"/>
            <w:shd w:val="clear" w:color="auto" w:fill="8EAADB" w:themeFill="accent1" w:themeFillTint="99"/>
            <w:noWrap/>
            <w:vAlign w:val="center"/>
            <w:hideMark/>
          </w:tcPr>
          <w:p w14:paraId="48040130"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kobiety</w:t>
            </w:r>
          </w:p>
        </w:tc>
        <w:tc>
          <w:tcPr>
            <w:tcW w:w="402" w:type="pct"/>
            <w:vMerge w:val="restart"/>
            <w:shd w:val="clear" w:color="auto" w:fill="8EAADB" w:themeFill="accent1" w:themeFillTint="99"/>
            <w:noWrap/>
            <w:vAlign w:val="center"/>
            <w:hideMark/>
          </w:tcPr>
          <w:p w14:paraId="5CAE686D"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ogółem</w:t>
            </w:r>
          </w:p>
        </w:tc>
        <w:tc>
          <w:tcPr>
            <w:tcW w:w="538" w:type="pct"/>
            <w:vMerge w:val="restart"/>
            <w:shd w:val="clear" w:color="auto" w:fill="8EAADB" w:themeFill="accent1" w:themeFillTint="99"/>
            <w:noWrap/>
            <w:vAlign w:val="center"/>
            <w:hideMark/>
          </w:tcPr>
          <w:p w14:paraId="29E8FD35"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mężczyźni</w:t>
            </w:r>
          </w:p>
        </w:tc>
        <w:tc>
          <w:tcPr>
            <w:tcW w:w="390" w:type="pct"/>
            <w:vMerge w:val="restart"/>
            <w:shd w:val="clear" w:color="auto" w:fill="8EAADB" w:themeFill="accent1" w:themeFillTint="99"/>
            <w:noWrap/>
            <w:vAlign w:val="center"/>
            <w:hideMark/>
          </w:tcPr>
          <w:p w14:paraId="6A46AB66"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kobiety</w:t>
            </w:r>
          </w:p>
        </w:tc>
      </w:tr>
      <w:tr w:rsidR="00E54D23" w:rsidRPr="00C37663" w14:paraId="56CD4E6D" w14:textId="77777777" w:rsidTr="00C37663">
        <w:trPr>
          <w:trHeight w:val="450"/>
        </w:trPr>
        <w:tc>
          <w:tcPr>
            <w:tcW w:w="1009" w:type="pct"/>
            <w:vMerge/>
            <w:shd w:val="clear" w:color="auto" w:fill="8EAADB" w:themeFill="accent1" w:themeFillTint="99"/>
            <w:vAlign w:val="center"/>
            <w:hideMark/>
          </w:tcPr>
          <w:p w14:paraId="584DB066" w14:textId="77777777" w:rsidR="00E54D23" w:rsidRPr="00C37663" w:rsidRDefault="00E54D23" w:rsidP="00BD02D7">
            <w:pPr>
              <w:spacing w:after="0" w:line="240" w:lineRule="auto"/>
              <w:rPr>
                <w:rFonts w:ascii="Lato" w:eastAsia="Times New Roman" w:hAnsi="Lato" w:cs="Arial"/>
                <w:sz w:val="18"/>
                <w:szCs w:val="18"/>
                <w:lang w:eastAsia="pl-PL"/>
              </w:rPr>
            </w:pPr>
          </w:p>
        </w:tc>
        <w:tc>
          <w:tcPr>
            <w:tcW w:w="402" w:type="pct"/>
            <w:vMerge/>
            <w:shd w:val="clear" w:color="auto" w:fill="8EAADB" w:themeFill="accent1" w:themeFillTint="99"/>
            <w:vAlign w:val="center"/>
            <w:hideMark/>
          </w:tcPr>
          <w:p w14:paraId="3775288D"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538" w:type="pct"/>
            <w:vMerge/>
            <w:shd w:val="clear" w:color="auto" w:fill="8EAADB" w:themeFill="accent1" w:themeFillTint="99"/>
            <w:vAlign w:val="center"/>
            <w:hideMark/>
          </w:tcPr>
          <w:p w14:paraId="24A1677D"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390" w:type="pct"/>
            <w:vMerge/>
            <w:shd w:val="clear" w:color="auto" w:fill="8EAADB" w:themeFill="accent1" w:themeFillTint="99"/>
            <w:vAlign w:val="center"/>
            <w:hideMark/>
          </w:tcPr>
          <w:p w14:paraId="5F0BFE13"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402" w:type="pct"/>
            <w:vMerge/>
            <w:shd w:val="clear" w:color="auto" w:fill="8EAADB" w:themeFill="accent1" w:themeFillTint="99"/>
            <w:vAlign w:val="center"/>
            <w:hideMark/>
          </w:tcPr>
          <w:p w14:paraId="6A1F0CAC"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538" w:type="pct"/>
            <w:vMerge/>
            <w:shd w:val="clear" w:color="auto" w:fill="8EAADB" w:themeFill="accent1" w:themeFillTint="99"/>
            <w:vAlign w:val="center"/>
            <w:hideMark/>
          </w:tcPr>
          <w:p w14:paraId="4436004B"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390" w:type="pct"/>
            <w:vMerge/>
            <w:shd w:val="clear" w:color="auto" w:fill="8EAADB" w:themeFill="accent1" w:themeFillTint="99"/>
            <w:vAlign w:val="center"/>
            <w:hideMark/>
          </w:tcPr>
          <w:p w14:paraId="66B626F8"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402" w:type="pct"/>
            <w:vMerge/>
            <w:shd w:val="clear" w:color="auto" w:fill="8EAADB" w:themeFill="accent1" w:themeFillTint="99"/>
            <w:vAlign w:val="center"/>
            <w:hideMark/>
          </w:tcPr>
          <w:p w14:paraId="7501DD3E"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538" w:type="pct"/>
            <w:vMerge/>
            <w:shd w:val="clear" w:color="auto" w:fill="8EAADB" w:themeFill="accent1" w:themeFillTint="99"/>
            <w:vAlign w:val="center"/>
            <w:hideMark/>
          </w:tcPr>
          <w:p w14:paraId="63919BF7"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c>
          <w:tcPr>
            <w:tcW w:w="390" w:type="pct"/>
            <w:vMerge/>
            <w:shd w:val="clear" w:color="auto" w:fill="8EAADB" w:themeFill="accent1" w:themeFillTint="99"/>
            <w:vAlign w:val="center"/>
            <w:hideMark/>
          </w:tcPr>
          <w:p w14:paraId="64194A17" w14:textId="77777777" w:rsidR="00E54D23" w:rsidRPr="00C37663" w:rsidRDefault="00E54D23" w:rsidP="00BD02D7">
            <w:pPr>
              <w:spacing w:after="0" w:line="240" w:lineRule="auto"/>
              <w:rPr>
                <w:rFonts w:ascii="Lato" w:eastAsia="Times New Roman" w:hAnsi="Lato" w:cs="Arial"/>
                <w:color w:val="000000"/>
                <w:sz w:val="18"/>
                <w:szCs w:val="18"/>
                <w:lang w:eastAsia="pl-PL"/>
              </w:rPr>
            </w:pPr>
          </w:p>
        </w:tc>
      </w:tr>
      <w:tr w:rsidR="00E54D23" w:rsidRPr="00C37663" w14:paraId="4B36A897" w14:textId="77777777" w:rsidTr="00C37663">
        <w:trPr>
          <w:trHeight w:val="300"/>
        </w:trPr>
        <w:tc>
          <w:tcPr>
            <w:tcW w:w="1009" w:type="pct"/>
            <w:vMerge/>
            <w:shd w:val="clear" w:color="auto" w:fill="8EAADB" w:themeFill="accent1" w:themeFillTint="99"/>
            <w:vAlign w:val="center"/>
            <w:hideMark/>
          </w:tcPr>
          <w:p w14:paraId="1D469A58" w14:textId="77777777" w:rsidR="00E54D23" w:rsidRPr="00C37663" w:rsidRDefault="00E54D23" w:rsidP="00BD02D7">
            <w:pPr>
              <w:spacing w:after="0" w:line="240" w:lineRule="auto"/>
              <w:rPr>
                <w:rFonts w:ascii="Lato" w:eastAsia="Times New Roman" w:hAnsi="Lato" w:cs="Arial"/>
                <w:sz w:val="18"/>
                <w:szCs w:val="18"/>
                <w:lang w:eastAsia="pl-PL"/>
              </w:rPr>
            </w:pPr>
          </w:p>
        </w:tc>
        <w:tc>
          <w:tcPr>
            <w:tcW w:w="1330" w:type="pct"/>
            <w:gridSpan w:val="3"/>
            <w:shd w:val="clear" w:color="auto" w:fill="8EAADB" w:themeFill="accent1" w:themeFillTint="99"/>
            <w:noWrap/>
            <w:vAlign w:val="center"/>
            <w:hideMark/>
          </w:tcPr>
          <w:p w14:paraId="389BE747"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w odsetkach</w:t>
            </w:r>
          </w:p>
        </w:tc>
        <w:tc>
          <w:tcPr>
            <w:tcW w:w="1330" w:type="pct"/>
            <w:gridSpan w:val="3"/>
            <w:shd w:val="clear" w:color="auto" w:fill="8EAADB" w:themeFill="accent1" w:themeFillTint="99"/>
            <w:noWrap/>
            <w:vAlign w:val="center"/>
            <w:hideMark/>
          </w:tcPr>
          <w:p w14:paraId="5004694E"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w odsetkach</w:t>
            </w:r>
          </w:p>
        </w:tc>
        <w:tc>
          <w:tcPr>
            <w:tcW w:w="1330" w:type="pct"/>
            <w:gridSpan w:val="3"/>
            <w:shd w:val="clear" w:color="auto" w:fill="8EAADB" w:themeFill="accent1" w:themeFillTint="99"/>
            <w:noWrap/>
            <w:vAlign w:val="center"/>
            <w:hideMark/>
          </w:tcPr>
          <w:p w14:paraId="5448BF5C" w14:textId="77777777" w:rsidR="00E54D23" w:rsidRPr="00C37663" w:rsidRDefault="00E54D23" w:rsidP="00BD02D7">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w odsetkach</w:t>
            </w:r>
          </w:p>
        </w:tc>
      </w:tr>
      <w:tr w:rsidR="00E54D23" w:rsidRPr="00C37663" w14:paraId="724A6643" w14:textId="77777777" w:rsidTr="00C37663">
        <w:trPr>
          <w:trHeight w:val="300"/>
        </w:trPr>
        <w:tc>
          <w:tcPr>
            <w:tcW w:w="1009" w:type="pct"/>
            <w:shd w:val="clear" w:color="auto" w:fill="8EAADB" w:themeFill="accent1" w:themeFillTint="99"/>
            <w:noWrap/>
            <w:vAlign w:val="center"/>
            <w:hideMark/>
          </w:tcPr>
          <w:p w14:paraId="0AEE7B48"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lastRenderedPageBreak/>
              <w:t>Ogółem</w:t>
            </w:r>
          </w:p>
        </w:tc>
        <w:tc>
          <w:tcPr>
            <w:tcW w:w="402" w:type="pct"/>
            <w:shd w:val="clear" w:color="auto" w:fill="auto"/>
            <w:noWrap/>
            <w:vAlign w:val="center"/>
            <w:hideMark/>
          </w:tcPr>
          <w:p w14:paraId="79FC2523"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5929A174"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48,3</w:t>
            </w:r>
          </w:p>
        </w:tc>
        <w:tc>
          <w:tcPr>
            <w:tcW w:w="390" w:type="pct"/>
            <w:shd w:val="clear" w:color="auto" w:fill="auto"/>
            <w:noWrap/>
            <w:vAlign w:val="center"/>
            <w:hideMark/>
          </w:tcPr>
          <w:p w14:paraId="2D23D527"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51,7</w:t>
            </w:r>
          </w:p>
        </w:tc>
        <w:tc>
          <w:tcPr>
            <w:tcW w:w="402" w:type="pct"/>
            <w:shd w:val="clear" w:color="auto" w:fill="auto"/>
            <w:noWrap/>
            <w:vAlign w:val="center"/>
            <w:hideMark/>
          </w:tcPr>
          <w:p w14:paraId="52B5163A"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08229FD7"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47,3</w:t>
            </w:r>
          </w:p>
        </w:tc>
        <w:tc>
          <w:tcPr>
            <w:tcW w:w="390" w:type="pct"/>
            <w:shd w:val="clear" w:color="auto" w:fill="auto"/>
            <w:noWrap/>
            <w:vAlign w:val="center"/>
            <w:hideMark/>
          </w:tcPr>
          <w:p w14:paraId="335ABCBE"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52,7</w:t>
            </w:r>
          </w:p>
        </w:tc>
        <w:tc>
          <w:tcPr>
            <w:tcW w:w="402" w:type="pct"/>
            <w:shd w:val="clear" w:color="auto" w:fill="auto"/>
            <w:noWrap/>
            <w:vAlign w:val="center"/>
            <w:hideMark/>
          </w:tcPr>
          <w:p w14:paraId="3B07A35C"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2F12CE33"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49,9</w:t>
            </w:r>
          </w:p>
        </w:tc>
        <w:tc>
          <w:tcPr>
            <w:tcW w:w="390" w:type="pct"/>
            <w:shd w:val="clear" w:color="auto" w:fill="auto"/>
            <w:noWrap/>
            <w:vAlign w:val="center"/>
            <w:hideMark/>
          </w:tcPr>
          <w:p w14:paraId="7F7D42D4"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50,1</w:t>
            </w:r>
          </w:p>
        </w:tc>
      </w:tr>
      <w:tr w:rsidR="00E54D23" w:rsidRPr="00C37663" w14:paraId="61EA82E0" w14:textId="77777777" w:rsidTr="00C37663">
        <w:trPr>
          <w:trHeight w:val="300"/>
        </w:trPr>
        <w:tc>
          <w:tcPr>
            <w:tcW w:w="1009" w:type="pct"/>
            <w:shd w:val="clear" w:color="auto" w:fill="8EAADB" w:themeFill="accent1" w:themeFillTint="99"/>
            <w:noWrap/>
            <w:vAlign w:val="center"/>
            <w:hideMark/>
          </w:tcPr>
          <w:p w14:paraId="2B4201FE"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 tym 60 lat i więcej </w:t>
            </w:r>
          </w:p>
        </w:tc>
        <w:tc>
          <w:tcPr>
            <w:tcW w:w="402" w:type="pct"/>
            <w:shd w:val="clear" w:color="auto" w:fill="auto"/>
            <w:noWrap/>
            <w:vAlign w:val="center"/>
            <w:hideMark/>
          </w:tcPr>
          <w:p w14:paraId="1E53253F"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76C8AFA9"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41,9</w:t>
            </w:r>
          </w:p>
        </w:tc>
        <w:tc>
          <w:tcPr>
            <w:tcW w:w="390" w:type="pct"/>
            <w:shd w:val="clear" w:color="auto" w:fill="auto"/>
            <w:noWrap/>
            <w:vAlign w:val="center"/>
            <w:hideMark/>
          </w:tcPr>
          <w:p w14:paraId="0C07D511"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58,1</w:t>
            </w:r>
          </w:p>
        </w:tc>
        <w:tc>
          <w:tcPr>
            <w:tcW w:w="402" w:type="pct"/>
            <w:shd w:val="clear" w:color="auto" w:fill="auto"/>
            <w:noWrap/>
            <w:vAlign w:val="center"/>
            <w:hideMark/>
          </w:tcPr>
          <w:p w14:paraId="2385AB98"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5A14A57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40,3</w:t>
            </w:r>
          </w:p>
        </w:tc>
        <w:tc>
          <w:tcPr>
            <w:tcW w:w="390" w:type="pct"/>
            <w:shd w:val="clear" w:color="auto" w:fill="auto"/>
            <w:noWrap/>
            <w:vAlign w:val="center"/>
            <w:hideMark/>
          </w:tcPr>
          <w:p w14:paraId="651C5F08"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59,7</w:t>
            </w:r>
          </w:p>
        </w:tc>
        <w:tc>
          <w:tcPr>
            <w:tcW w:w="402" w:type="pct"/>
            <w:shd w:val="clear" w:color="auto" w:fill="auto"/>
            <w:noWrap/>
            <w:vAlign w:val="center"/>
            <w:hideMark/>
          </w:tcPr>
          <w:p w14:paraId="0C769478"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3C2A7BE9"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44,6</w:t>
            </w:r>
          </w:p>
        </w:tc>
        <w:tc>
          <w:tcPr>
            <w:tcW w:w="390" w:type="pct"/>
            <w:shd w:val="clear" w:color="auto" w:fill="auto"/>
            <w:noWrap/>
            <w:vAlign w:val="center"/>
            <w:hideMark/>
          </w:tcPr>
          <w:p w14:paraId="44E07BF3"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55,4</w:t>
            </w:r>
          </w:p>
        </w:tc>
      </w:tr>
      <w:tr w:rsidR="00E54D23" w:rsidRPr="00C37663" w14:paraId="08DC70FE" w14:textId="77777777" w:rsidTr="00C37663">
        <w:trPr>
          <w:trHeight w:val="300"/>
        </w:trPr>
        <w:tc>
          <w:tcPr>
            <w:tcW w:w="1009" w:type="pct"/>
            <w:shd w:val="clear" w:color="auto" w:fill="8EAADB" w:themeFill="accent1" w:themeFillTint="99"/>
            <w:noWrap/>
            <w:vAlign w:val="center"/>
            <w:hideMark/>
          </w:tcPr>
          <w:p w14:paraId="7CABC415"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60-64 lata</w:t>
            </w:r>
          </w:p>
        </w:tc>
        <w:tc>
          <w:tcPr>
            <w:tcW w:w="402" w:type="pct"/>
            <w:shd w:val="clear" w:color="auto" w:fill="auto"/>
            <w:noWrap/>
            <w:vAlign w:val="center"/>
            <w:hideMark/>
          </w:tcPr>
          <w:p w14:paraId="648E4B5E"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41EE4B29"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47,1</w:t>
            </w:r>
          </w:p>
        </w:tc>
        <w:tc>
          <w:tcPr>
            <w:tcW w:w="390" w:type="pct"/>
            <w:shd w:val="clear" w:color="auto" w:fill="auto"/>
            <w:noWrap/>
            <w:vAlign w:val="center"/>
            <w:hideMark/>
          </w:tcPr>
          <w:p w14:paraId="6DC640F4"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52,9</w:t>
            </w:r>
          </w:p>
        </w:tc>
        <w:tc>
          <w:tcPr>
            <w:tcW w:w="402" w:type="pct"/>
            <w:shd w:val="clear" w:color="auto" w:fill="auto"/>
            <w:noWrap/>
            <w:vAlign w:val="center"/>
            <w:hideMark/>
          </w:tcPr>
          <w:p w14:paraId="69B6C168"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23269ADC"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45,0</w:t>
            </w:r>
          </w:p>
        </w:tc>
        <w:tc>
          <w:tcPr>
            <w:tcW w:w="390" w:type="pct"/>
            <w:shd w:val="clear" w:color="auto" w:fill="auto"/>
            <w:noWrap/>
            <w:vAlign w:val="center"/>
            <w:hideMark/>
          </w:tcPr>
          <w:p w14:paraId="1B0FA8DD"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55,0</w:t>
            </w:r>
          </w:p>
        </w:tc>
        <w:tc>
          <w:tcPr>
            <w:tcW w:w="402" w:type="pct"/>
            <w:shd w:val="clear" w:color="auto" w:fill="auto"/>
            <w:noWrap/>
            <w:vAlign w:val="center"/>
            <w:hideMark/>
          </w:tcPr>
          <w:p w14:paraId="42CDEFF1"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717AB93B"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50,3</w:t>
            </w:r>
          </w:p>
        </w:tc>
        <w:tc>
          <w:tcPr>
            <w:tcW w:w="390" w:type="pct"/>
            <w:shd w:val="clear" w:color="auto" w:fill="auto"/>
            <w:noWrap/>
            <w:vAlign w:val="center"/>
            <w:hideMark/>
          </w:tcPr>
          <w:p w14:paraId="0C20ED9E"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49,7</w:t>
            </w:r>
          </w:p>
        </w:tc>
      </w:tr>
      <w:tr w:rsidR="00E54D23" w:rsidRPr="00C37663" w14:paraId="02C1964F" w14:textId="77777777" w:rsidTr="00C37663">
        <w:trPr>
          <w:trHeight w:val="300"/>
        </w:trPr>
        <w:tc>
          <w:tcPr>
            <w:tcW w:w="1009" w:type="pct"/>
            <w:shd w:val="clear" w:color="auto" w:fill="8EAADB" w:themeFill="accent1" w:themeFillTint="99"/>
            <w:noWrap/>
            <w:vAlign w:val="center"/>
            <w:hideMark/>
          </w:tcPr>
          <w:p w14:paraId="0BE788BC"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65-69</w:t>
            </w:r>
          </w:p>
        </w:tc>
        <w:tc>
          <w:tcPr>
            <w:tcW w:w="402" w:type="pct"/>
            <w:shd w:val="clear" w:color="auto" w:fill="auto"/>
            <w:noWrap/>
            <w:vAlign w:val="center"/>
            <w:hideMark/>
          </w:tcPr>
          <w:p w14:paraId="4C753A36"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48470002"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44,9</w:t>
            </w:r>
          </w:p>
        </w:tc>
        <w:tc>
          <w:tcPr>
            <w:tcW w:w="390" w:type="pct"/>
            <w:shd w:val="clear" w:color="auto" w:fill="auto"/>
            <w:noWrap/>
            <w:vAlign w:val="center"/>
            <w:hideMark/>
          </w:tcPr>
          <w:p w14:paraId="66D8371F"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55,1</w:t>
            </w:r>
          </w:p>
        </w:tc>
        <w:tc>
          <w:tcPr>
            <w:tcW w:w="402" w:type="pct"/>
            <w:shd w:val="clear" w:color="auto" w:fill="auto"/>
            <w:noWrap/>
            <w:vAlign w:val="center"/>
            <w:hideMark/>
          </w:tcPr>
          <w:p w14:paraId="0FC79DC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77FC4B8E"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42,8</w:t>
            </w:r>
          </w:p>
        </w:tc>
        <w:tc>
          <w:tcPr>
            <w:tcW w:w="390" w:type="pct"/>
            <w:shd w:val="clear" w:color="auto" w:fill="auto"/>
            <w:noWrap/>
            <w:vAlign w:val="center"/>
            <w:hideMark/>
          </w:tcPr>
          <w:p w14:paraId="24EB813F"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57,2</w:t>
            </w:r>
          </w:p>
        </w:tc>
        <w:tc>
          <w:tcPr>
            <w:tcW w:w="402" w:type="pct"/>
            <w:shd w:val="clear" w:color="auto" w:fill="auto"/>
            <w:noWrap/>
            <w:vAlign w:val="center"/>
            <w:hideMark/>
          </w:tcPr>
          <w:p w14:paraId="79CA0EB2"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57A2C770"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48,7</w:t>
            </w:r>
          </w:p>
        </w:tc>
        <w:tc>
          <w:tcPr>
            <w:tcW w:w="390" w:type="pct"/>
            <w:shd w:val="clear" w:color="auto" w:fill="auto"/>
            <w:noWrap/>
            <w:vAlign w:val="center"/>
            <w:hideMark/>
          </w:tcPr>
          <w:p w14:paraId="1AC9E86F"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51,3</w:t>
            </w:r>
          </w:p>
        </w:tc>
      </w:tr>
      <w:tr w:rsidR="00E54D23" w:rsidRPr="00C37663" w14:paraId="72E1CF16" w14:textId="77777777" w:rsidTr="00C37663">
        <w:trPr>
          <w:trHeight w:val="300"/>
        </w:trPr>
        <w:tc>
          <w:tcPr>
            <w:tcW w:w="1009" w:type="pct"/>
            <w:shd w:val="clear" w:color="auto" w:fill="8EAADB" w:themeFill="accent1" w:themeFillTint="99"/>
            <w:noWrap/>
            <w:vAlign w:val="center"/>
            <w:hideMark/>
          </w:tcPr>
          <w:p w14:paraId="57B00973"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70-74</w:t>
            </w:r>
          </w:p>
        </w:tc>
        <w:tc>
          <w:tcPr>
            <w:tcW w:w="402" w:type="pct"/>
            <w:shd w:val="clear" w:color="auto" w:fill="auto"/>
            <w:noWrap/>
            <w:vAlign w:val="center"/>
            <w:hideMark/>
          </w:tcPr>
          <w:p w14:paraId="176755D3"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72545059"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42,2</w:t>
            </w:r>
          </w:p>
        </w:tc>
        <w:tc>
          <w:tcPr>
            <w:tcW w:w="390" w:type="pct"/>
            <w:shd w:val="clear" w:color="auto" w:fill="auto"/>
            <w:noWrap/>
            <w:vAlign w:val="center"/>
            <w:hideMark/>
          </w:tcPr>
          <w:p w14:paraId="279B583A"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57,8</w:t>
            </w:r>
          </w:p>
        </w:tc>
        <w:tc>
          <w:tcPr>
            <w:tcW w:w="402" w:type="pct"/>
            <w:shd w:val="clear" w:color="auto" w:fill="auto"/>
            <w:noWrap/>
            <w:vAlign w:val="center"/>
            <w:hideMark/>
          </w:tcPr>
          <w:p w14:paraId="0D94602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10393254"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40,7</w:t>
            </w:r>
          </w:p>
        </w:tc>
        <w:tc>
          <w:tcPr>
            <w:tcW w:w="390" w:type="pct"/>
            <w:shd w:val="clear" w:color="auto" w:fill="auto"/>
            <w:noWrap/>
            <w:vAlign w:val="center"/>
            <w:hideMark/>
          </w:tcPr>
          <w:p w14:paraId="7D4C6D8B"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59,3</w:t>
            </w:r>
          </w:p>
        </w:tc>
        <w:tc>
          <w:tcPr>
            <w:tcW w:w="402" w:type="pct"/>
            <w:shd w:val="clear" w:color="auto" w:fill="auto"/>
            <w:noWrap/>
            <w:vAlign w:val="center"/>
            <w:hideMark/>
          </w:tcPr>
          <w:p w14:paraId="78137410"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1D5892B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45,2</w:t>
            </w:r>
          </w:p>
        </w:tc>
        <w:tc>
          <w:tcPr>
            <w:tcW w:w="390" w:type="pct"/>
            <w:shd w:val="clear" w:color="auto" w:fill="auto"/>
            <w:noWrap/>
            <w:vAlign w:val="center"/>
            <w:hideMark/>
          </w:tcPr>
          <w:p w14:paraId="6A00FE32"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54,8</w:t>
            </w:r>
          </w:p>
        </w:tc>
      </w:tr>
      <w:tr w:rsidR="00E54D23" w:rsidRPr="00C37663" w14:paraId="4D9FC48C" w14:textId="77777777" w:rsidTr="00C37663">
        <w:trPr>
          <w:trHeight w:val="300"/>
        </w:trPr>
        <w:tc>
          <w:tcPr>
            <w:tcW w:w="1009" w:type="pct"/>
            <w:shd w:val="clear" w:color="auto" w:fill="8EAADB" w:themeFill="accent1" w:themeFillTint="99"/>
            <w:noWrap/>
            <w:vAlign w:val="center"/>
            <w:hideMark/>
          </w:tcPr>
          <w:p w14:paraId="5BD27EF8"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75-79</w:t>
            </w:r>
          </w:p>
        </w:tc>
        <w:tc>
          <w:tcPr>
            <w:tcW w:w="402" w:type="pct"/>
            <w:shd w:val="clear" w:color="auto" w:fill="auto"/>
            <w:noWrap/>
            <w:vAlign w:val="center"/>
            <w:hideMark/>
          </w:tcPr>
          <w:p w14:paraId="355DD33A"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6B7D177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39,0</w:t>
            </w:r>
          </w:p>
        </w:tc>
        <w:tc>
          <w:tcPr>
            <w:tcW w:w="390" w:type="pct"/>
            <w:shd w:val="clear" w:color="auto" w:fill="auto"/>
            <w:noWrap/>
            <w:vAlign w:val="center"/>
            <w:hideMark/>
          </w:tcPr>
          <w:p w14:paraId="38F9D6F8"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61,0</w:t>
            </w:r>
          </w:p>
        </w:tc>
        <w:tc>
          <w:tcPr>
            <w:tcW w:w="402" w:type="pct"/>
            <w:shd w:val="clear" w:color="auto" w:fill="auto"/>
            <w:noWrap/>
            <w:vAlign w:val="center"/>
            <w:hideMark/>
          </w:tcPr>
          <w:p w14:paraId="63B8BE7C"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41708572"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38,4</w:t>
            </w:r>
          </w:p>
        </w:tc>
        <w:tc>
          <w:tcPr>
            <w:tcW w:w="390" w:type="pct"/>
            <w:shd w:val="clear" w:color="auto" w:fill="auto"/>
            <w:noWrap/>
            <w:vAlign w:val="center"/>
            <w:hideMark/>
          </w:tcPr>
          <w:p w14:paraId="14BC3D8F"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61,6</w:t>
            </w:r>
          </w:p>
        </w:tc>
        <w:tc>
          <w:tcPr>
            <w:tcW w:w="402" w:type="pct"/>
            <w:shd w:val="clear" w:color="auto" w:fill="auto"/>
            <w:noWrap/>
            <w:vAlign w:val="center"/>
            <w:hideMark/>
          </w:tcPr>
          <w:p w14:paraId="149253F2"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4CAB18D8"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40,2</w:t>
            </w:r>
          </w:p>
        </w:tc>
        <w:tc>
          <w:tcPr>
            <w:tcW w:w="390" w:type="pct"/>
            <w:shd w:val="clear" w:color="auto" w:fill="auto"/>
            <w:noWrap/>
            <w:vAlign w:val="center"/>
            <w:hideMark/>
          </w:tcPr>
          <w:p w14:paraId="5AE4FD92"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59,8</w:t>
            </w:r>
          </w:p>
        </w:tc>
      </w:tr>
      <w:tr w:rsidR="00E54D23" w:rsidRPr="00C37663" w14:paraId="7FEEFDD1" w14:textId="77777777" w:rsidTr="00C37663">
        <w:trPr>
          <w:trHeight w:val="300"/>
        </w:trPr>
        <w:tc>
          <w:tcPr>
            <w:tcW w:w="1009" w:type="pct"/>
            <w:shd w:val="clear" w:color="auto" w:fill="8EAADB" w:themeFill="accent1" w:themeFillTint="99"/>
            <w:noWrap/>
            <w:vAlign w:val="center"/>
            <w:hideMark/>
          </w:tcPr>
          <w:p w14:paraId="05441909"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80-84</w:t>
            </w:r>
          </w:p>
        </w:tc>
        <w:tc>
          <w:tcPr>
            <w:tcW w:w="402" w:type="pct"/>
            <w:shd w:val="clear" w:color="auto" w:fill="auto"/>
            <w:noWrap/>
            <w:vAlign w:val="center"/>
            <w:hideMark/>
          </w:tcPr>
          <w:p w14:paraId="20813082"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172EB496"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34,0</w:t>
            </w:r>
          </w:p>
        </w:tc>
        <w:tc>
          <w:tcPr>
            <w:tcW w:w="390" w:type="pct"/>
            <w:shd w:val="clear" w:color="auto" w:fill="auto"/>
            <w:noWrap/>
            <w:vAlign w:val="center"/>
            <w:hideMark/>
          </w:tcPr>
          <w:p w14:paraId="75D28B4C"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66,0</w:t>
            </w:r>
          </w:p>
        </w:tc>
        <w:tc>
          <w:tcPr>
            <w:tcW w:w="402" w:type="pct"/>
            <w:shd w:val="clear" w:color="auto" w:fill="auto"/>
            <w:noWrap/>
            <w:vAlign w:val="center"/>
            <w:hideMark/>
          </w:tcPr>
          <w:p w14:paraId="2936D447"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377A7066"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33,8</w:t>
            </w:r>
          </w:p>
        </w:tc>
        <w:tc>
          <w:tcPr>
            <w:tcW w:w="390" w:type="pct"/>
            <w:shd w:val="clear" w:color="auto" w:fill="auto"/>
            <w:noWrap/>
            <w:vAlign w:val="center"/>
            <w:hideMark/>
          </w:tcPr>
          <w:p w14:paraId="6F36D344"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66,2</w:t>
            </w:r>
          </w:p>
        </w:tc>
        <w:tc>
          <w:tcPr>
            <w:tcW w:w="402" w:type="pct"/>
            <w:shd w:val="clear" w:color="auto" w:fill="auto"/>
            <w:noWrap/>
            <w:vAlign w:val="center"/>
            <w:hideMark/>
          </w:tcPr>
          <w:p w14:paraId="2553CC38"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1ACE4535"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34,5</w:t>
            </w:r>
          </w:p>
        </w:tc>
        <w:tc>
          <w:tcPr>
            <w:tcW w:w="390" w:type="pct"/>
            <w:shd w:val="clear" w:color="auto" w:fill="auto"/>
            <w:noWrap/>
            <w:vAlign w:val="center"/>
            <w:hideMark/>
          </w:tcPr>
          <w:p w14:paraId="7641B2F4"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65,5</w:t>
            </w:r>
          </w:p>
        </w:tc>
      </w:tr>
      <w:tr w:rsidR="00E54D23" w:rsidRPr="00C37663" w14:paraId="679E6CA0" w14:textId="77777777" w:rsidTr="00C37663">
        <w:trPr>
          <w:trHeight w:val="300"/>
        </w:trPr>
        <w:tc>
          <w:tcPr>
            <w:tcW w:w="1009" w:type="pct"/>
            <w:shd w:val="clear" w:color="auto" w:fill="8EAADB" w:themeFill="accent1" w:themeFillTint="99"/>
            <w:noWrap/>
            <w:vAlign w:val="center"/>
            <w:hideMark/>
          </w:tcPr>
          <w:p w14:paraId="0E8C28A0" w14:textId="77777777" w:rsidR="00E54D23" w:rsidRPr="00C37663" w:rsidRDefault="00E54D23" w:rsidP="00BD02D7">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85 lat i więcej</w:t>
            </w:r>
          </w:p>
        </w:tc>
        <w:tc>
          <w:tcPr>
            <w:tcW w:w="402" w:type="pct"/>
            <w:shd w:val="clear" w:color="auto" w:fill="auto"/>
            <w:noWrap/>
            <w:vAlign w:val="center"/>
            <w:hideMark/>
          </w:tcPr>
          <w:p w14:paraId="31FF329B"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26452BCB"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27,7</w:t>
            </w:r>
          </w:p>
        </w:tc>
        <w:tc>
          <w:tcPr>
            <w:tcW w:w="390" w:type="pct"/>
            <w:shd w:val="clear" w:color="auto" w:fill="auto"/>
            <w:noWrap/>
            <w:vAlign w:val="center"/>
            <w:hideMark/>
          </w:tcPr>
          <w:p w14:paraId="46ADC929"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72,3</w:t>
            </w:r>
          </w:p>
        </w:tc>
        <w:tc>
          <w:tcPr>
            <w:tcW w:w="402" w:type="pct"/>
            <w:shd w:val="clear" w:color="auto" w:fill="auto"/>
            <w:noWrap/>
            <w:vAlign w:val="center"/>
            <w:hideMark/>
          </w:tcPr>
          <w:p w14:paraId="140B0F80"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075E60AB"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28,2</w:t>
            </w:r>
          </w:p>
        </w:tc>
        <w:tc>
          <w:tcPr>
            <w:tcW w:w="390" w:type="pct"/>
            <w:shd w:val="clear" w:color="auto" w:fill="auto"/>
            <w:noWrap/>
            <w:vAlign w:val="center"/>
            <w:hideMark/>
          </w:tcPr>
          <w:p w14:paraId="4AAF3851"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71,8</w:t>
            </w:r>
          </w:p>
        </w:tc>
        <w:tc>
          <w:tcPr>
            <w:tcW w:w="402" w:type="pct"/>
            <w:shd w:val="clear" w:color="auto" w:fill="auto"/>
            <w:noWrap/>
            <w:vAlign w:val="center"/>
            <w:hideMark/>
          </w:tcPr>
          <w:p w14:paraId="3F105E1B"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100,0</w:t>
            </w:r>
          </w:p>
        </w:tc>
        <w:tc>
          <w:tcPr>
            <w:tcW w:w="538" w:type="pct"/>
            <w:shd w:val="clear" w:color="auto" w:fill="auto"/>
            <w:noWrap/>
            <w:vAlign w:val="center"/>
            <w:hideMark/>
          </w:tcPr>
          <w:p w14:paraId="71F7141D" w14:textId="77777777" w:rsidR="00E54D23" w:rsidRPr="00C37663" w:rsidRDefault="00E54D23" w:rsidP="00BD02D7">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26,8</w:t>
            </w:r>
          </w:p>
        </w:tc>
        <w:tc>
          <w:tcPr>
            <w:tcW w:w="390" w:type="pct"/>
            <w:shd w:val="clear" w:color="auto" w:fill="auto"/>
            <w:noWrap/>
            <w:vAlign w:val="center"/>
            <w:hideMark/>
          </w:tcPr>
          <w:p w14:paraId="2ECB825D" w14:textId="77777777" w:rsidR="00E54D23" w:rsidRPr="00C37663" w:rsidRDefault="00E54D23" w:rsidP="00BD02D7">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73,2</w:t>
            </w:r>
          </w:p>
        </w:tc>
      </w:tr>
    </w:tbl>
    <w:p w14:paraId="54D7375A" w14:textId="77777777" w:rsidR="00E54D23" w:rsidRPr="009E6F68" w:rsidRDefault="00E54D23" w:rsidP="00E54D23">
      <w:pPr>
        <w:spacing w:after="0" w:line="240" w:lineRule="auto"/>
        <w:rPr>
          <w:rFonts w:ascii="Lato" w:hAnsi="Lato"/>
          <w:sz w:val="16"/>
          <w:szCs w:val="16"/>
        </w:rPr>
      </w:pPr>
      <w:r w:rsidRPr="009E6F68">
        <w:rPr>
          <w:rFonts w:ascii="Lato" w:hAnsi="Lato"/>
          <w:sz w:val="16"/>
          <w:szCs w:val="16"/>
        </w:rPr>
        <w:t>Stan w dniu 31 XII</w:t>
      </w:r>
    </w:p>
    <w:p w14:paraId="744483B5" w14:textId="1C5ABFB0" w:rsidR="00E54D23" w:rsidRPr="009E6F68" w:rsidRDefault="00E54D23" w:rsidP="000F16AE">
      <w:pPr>
        <w:spacing w:after="0" w:line="240" w:lineRule="auto"/>
        <w:rPr>
          <w:rFonts w:ascii="Lato" w:hAnsi="Lato"/>
          <w:sz w:val="16"/>
          <w:szCs w:val="16"/>
        </w:rPr>
      </w:pPr>
      <w:r w:rsidRPr="009E6F68">
        <w:rPr>
          <w:rFonts w:ascii="Lato" w:hAnsi="Lato"/>
          <w:sz w:val="16"/>
          <w:szCs w:val="16"/>
        </w:rPr>
        <w:t>Źródło: Wyniki bieżących bilansów ludności, GUS</w:t>
      </w:r>
    </w:p>
    <w:p w14:paraId="607878E2" w14:textId="77777777" w:rsidR="000F16AE" w:rsidRPr="000F16AE" w:rsidRDefault="000F16AE" w:rsidP="000F16AE">
      <w:pPr>
        <w:spacing w:after="0" w:line="240" w:lineRule="auto"/>
        <w:rPr>
          <w:sz w:val="20"/>
          <w:szCs w:val="20"/>
        </w:rPr>
      </w:pPr>
    </w:p>
    <w:p w14:paraId="01D3A041" w14:textId="76D3611E" w:rsidR="00E54D23" w:rsidRDefault="000F16AE" w:rsidP="009E6F68">
      <w:pPr>
        <w:pStyle w:val="Default"/>
        <w:jc w:val="both"/>
        <w:rPr>
          <w:rFonts w:ascii="Lato" w:hAnsi="Lato"/>
          <w:color w:val="auto"/>
          <w:sz w:val="20"/>
          <w:szCs w:val="20"/>
        </w:rPr>
      </w:pPr>
      <w:r w:rsidRPr="000F16AE">
        <w:rPr>
          <w:rFonts w:ascii="Lato" w:hAnsi="Lato"/>
          <w:color w:val="auto"/>
          <w:sz w:val="20"/>
          <w:szCs w:val="20"/>
        </w:rPr>
        <w:t xml:space="preserve">W populacji osób w starszym wieku większość stanowią kobiety. W 2022 r. podobnie jak rok wcześniej stanowiły one 58,1%. Na 100 mężczyzn przypadało ich 139 (dla ludności Polski wskaźnik feminizacji wyniósł 107). Przewaga liczebna kobiet wzrasta wraz z przechodzeniem do kolejnych grup wieku, np. w grupie 60-64 lata kobiety w 2022 r. stanowiły 52,9% zbiorowości, a współczynnik feminizacji wyniósł 112. Wśród osób co najmniej 85-letnich 72,3% to kobiety, a na 100 mężczyzn przypadało ich 261. </w:t>
      </w:r>
    </w:p>
    <w:p w14:paraId="2B5949D6" w14:textId="77777777" w:rsidR="000F16AE" w:rsidRPr="000F16AE" w:rsidRDefault="000F16AE" w:rsidP="000F16AE">
      <w:pPr>
        <w:pStyle w:val="Default"/>
        <w:spacing w:line="276" w:lineRule="auto"/>
        <w:jc w:val="both"/>
        <w:rPr>
          <w:rFonts w:ascii="Lato" w:hAnsi="Lato"/>
          <w:color w:val="auto"/>
          <w:sz w:val="20"/>
          <w:szCs w:val="20"/>
        </w:rPr>
      </w:pPr>
    </w:p>
    <w:p w14:paraId="723EB0B7" w14:textId="5030415C" w:rsidR="00E54D23" w:rsidRPr="00A254DA" w:rsidRDefault="00E54D23" w:rsidP="00E54D23">
      <w:pPr>
        <w:pStyle w:val="Legenda"/>
        <w:keepNext/>
        <w:rPr>
          <w:vertAlign w:val="superscript"/>
        </w:rPr>
      </w:pPr>
      <w:bookmarkStart w:id="4" w:name="_Toc142565969"/>
      <w:r>
        <w:t xml:space="preserve">Tabela </w:t>
      </w:r>
      <w:fldSimple w:instr=" SEQ Tabela \* ARABIC ">
        <w:r w:rsidR="00AA385B">
          <w:rPr>
            <w:noProof/>
          </w:rPr>
          <w:t>3</w:t>
        </w:r>
      </w:fldSimple>
      <w:r>
        <w:t xml:space="preserve"> Współczynnik feminizacji w 2022 r.</w:t>
      </w:r>
      <w:r w:rsidR="000F16AE">
        <w:t xml:space="preserve"> </w:t>
      </w:r>
      <w:r w:rsidR="00A254DA">
        <w:rPr>
          <w:vertAlign w:val="superscript"/>
        </w:rPr>
        <w:t>a</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9"/>
        <w:gridCol w:w="1516"/>
        <w:gridCol w:w="1516"/>
        <w:gridCol w:w="1525"/>
      </w:tblGrid>
      <w:tr w:rsidR="000F16AE" w:rsidRPr="00E54D23" w14:paraId="700E14E0" w14:textId="77777777" w:rsidTr="00C37663">
        <w:trPr>
          <w:trHeight w:val="450"/>
        </w:trPr>
        <w:tc>
          <w:tcPr>
            <w:tcW w:w="2487" w:type="pct"/>
            <w:vMerge w:val="restart"/>
            <w:shd w:val="clear" w:color="auto" w:fill="8EAADB" w:themeFill="accent1" w:themeFillTint="99"/>
            <w:vAlign w:val="center"/>
            <w:hideMark/>
          </w:tcPr>
          <w:p w14:paraId="7B88CCB1" w14:textId="77777777" w:rsidR="000F16AE" w:rsidRPr="00C37663" w:rsidRDefault="000F16AE" w:rsidP="00E54D23">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Grupy wieku</w:t>
            </w:r>
          </w:p>
        </w:tc>
        <w:tc>
          <w:tcPr>
            <w:tcW w:w="836" w:type="pct"/>
            <w:vMerge w:val="restart"/>
            <w:shd w:val="clear" w:color="auto" w:fill="8EAADB" w:themeFill="accent1" w:themeFillTint="99"/>
            <w:noWrap/>
            <w:vAlign w:val="center"/>
            <w:hideMark/>
          </w:tcPr>
          <w:p w14:paraId="4A21970A" w14:textId="77777777" w:rsidR="000F16AE" w:rsidRPr="00C37663" w:rsidRDefault="000F16AE" w:rsidP="00E54D23">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Ogółem   </w:t>
            </w:r>
          </w:p>
        </w:tc>
        <w:tc>
          <w:tcPr>
            <w:tcW w:w="836" w:type="pct"/>
            <w:vMerge w:val="restart"/>
            <w:shd w:val="clear" w:color="auto" w:fill="8EAADB" w:themeFill="accent1" w:themeFillTint="99"/>
            <w:noWrap/>
            <w:vAlign w:val="center"/>
            <w:hideMark/>
          </w:tcPr>
          <w:p w14:paraId="05AC347A" w14:textId="77777777" w:rsidR="000F16AE" w:rsidRPr="00C37663" w:rsidRDefault="000F16AE" w:rsidP="00E54D23">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Miasta</w:t>
            </w:r>
          </w:p>
        </w:tc>
        <w:tc>
          <w:tcPr>
            <w:tcW w:w="841" w:type="pct"/>
            <w:vMerge w:val="restart"/>
            <w:shd w:val="clear" w:color="auto" w:fill="8EAADB" w:themeFill="accent1" w:themeFillTint="99"/>
            <w:noWrap/>
            <w:vAlign w:val="center"/>
            <w:hideMark/>
          </w:tcPr>
          <w:p w14:paraId="3A65D7A1" w14:textId="77777777" w:rsidR="000F16AE" w:rsidRPr="00C37663" w:rsidRDefault="000F16AE" w:rsidP="00E54D23">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Wieś</w:t>
            </w:r>
          </w:p>
        </w:tc>
      </w:tr>
      <w:tr w:rsidR="000F16AE" w:rsidRPr="00E54D23" w14:paraId="30B1BC65" w14:textId="77777777" w:rsidTr="00C37663">
        <w:trPr>
          <w:trHeight w:val="450"/>
        </w:trPr>
        <w:tc>
          <w:tcPr>
            <w:tcW w:w="2487" w:type="pct"/>
            <w:vMerge/>
            <w:shd w:val="clear" w:color="auto" w:fill="8EAADB" w:themeFill="accent1" w:themeFillTint="99"/>
            <w:vAlign w:val="center"/>
            <w:hideMark/>
          </w:tcPr>
          <w:p w14:paraId="6743C9F6" w14:textId="77777777" w:rsidR="000F16AE" w:rsidRPr="00E54D23" w:rsidRDefault="000F16AE" w:rsidP="00E54D23">
            <w:pPr>
              <w:spacing w:after="0" w:line="240" w:lineRule="auto"/>
              <w:rPr>
                <w:rFonts w:ascii="Arial" w:eastAsia="Times New Roman" w:hAnsi="Arial" w:cs="Arial"/>
                <w:sz w:val="18"/>
                <w:szCs w:val="18"/>
                <w:lang w:eastAsia="pl-PL"/>
              </w:rPr>
            </w:pPr>
          </w:p>
        </w:tc>
        <w:tc>
          <w:tcPr>
            <w:tcW w:w="836" w:type="pct"/>
            <w:vMerge/>
            <w:shd w:val="clear" w:color="auto" w:fill="8EAADB" w:themeFill="accent1" w:themeFillTint="99"/>
            <w:vAlign w:val="center"/>
            <w:hideMark/>
          </w:tcPr>
          <w:p w14:paraId="2EA7D47C" w14:textId="77777777" w:rsidR="000F16AE" w:rsidRPr="00E54D23" w:rsidRDefault="000F16AE" w:rsidP="00E54D23">
            <w:pPr>
              <w:spacing w:after="0" w:line="240" w:lineRule="auto"/>
              <w:rPr>
                <w:rFonts w:ascii="Arial" w:eastAsia="Times New Roman" w:hAnsi="Arial" w:cs="Arial"/>
                <w:sz w:val="18"/>
                <w:szCs w:val="18"/>
                <w:lang w:eastAsia="pl-PL"/>
              </w:rPr>
            </w:pPr>
          </w:p>
        </w:tc>
        <w:tc>
          <w:tcPr>
            <w:tcW w:w="836" w:type="pct"/>
            <w:vMerge/>
            <w:shd w:val="clear" w:color="auto" w:fill="8EAADB" w:themeFill="accent1" w:themeFillTint="99"/>
            <w:vAlign w:val="center"/>
            <w:hideMark/>
          </w:tcPr>
          <w:p w14:paraId="778F6505" w14:textId="77777777" w:rsidR="000F16AE" w:rsidRPr="00E54D23" w:rsidRDefault="000F16AE" w:rsidP="00E54D23">
            <w:pPr>
              <w:spacing w:after="0" w:line="240" w:lineRule="auto"/>
              <w:rPr>
                <w:rFonts w:ascii="Arial" w:eastAsia="Times New Roman" w:hAnsi="Arial" w:cs="Arial"/>
                <w:sz w:val="18"/>
                <w:szCs w:val="18"/>
                <w:lang w:eastAsia="pl-PL"/>
              </w:rPr>
            </w:pPr>
          </w:p>
        </w:tc>
        <w:tc>
          <w:tcPr>
            <w:tcW w:w="841" w:type="pct"/>
            <w:vMerge/>
            <w:shd w:val="clear" w:color="auto" w:fill="8EAADB" w:themeFill="accent1" w:themeFillTint="99"/>
            <w:vAlign w:val="center"/>
            <w:hideMark/>
          </w:tcPr>
          <w:p w14:paraId="53237810" w14:textId="77777777" w:rsidR="000F16AE" w:rsidRPr="00E54D23" w:rsidRDefault="000F16AE" w:rsidP="00E54D23">
            <w:pPr>
              <w:spacing w:after="0" w:line="240" w:lineRule="auto"/>
              <w:rPr>
                <w:rFonts w:ascii="Arial" w:eastAsia="Times New Roman" w:hAnsi="Arial" w:cs="Arial"/>
                <w:sz w:val="18"/>
                <w:szCs w:val="18"/>
                <w:lang w:eastAsia="pl-PL"/>
              </w:rPr>
            </w:pPr>
          </w:p>
        </w:tc>
      </w:tr>
      <w:tr w:rsidR="000F16AE" w:rsidRPr="00E54D23" w14:paraId="419A1E7D" w14:textId="77777777" w:rsidTr="00C37663">
        <w:trPr>
          <w:trHeight w:val="300"/>
        </w:trPr>
        <w:tc>
          <w:tcPr>
            <w:tcW w:w="2487" w:type="pct"/>
            <w:shd w:val="clear" w:color="auto" w:fill="8EAADB" w:themeFill="accent1" w:themeFillTint="99"/>
            <w:noWrap/>
            <w:vAlign w:val="center"/>
            <w:hideMark/>
          </w:tcPr>
          <w:p w14:paraId="2D9535A6"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Ogółem</w:t>
            </w:r>
          </w:p>
        </w:tc>
        <w:tc>
          <w:tcPr>
            <w:tcW w:w="836" w:type="pct"/>
            <w:shd w:val="clear" w:color="auto" w:fill="auto"/>
            <w:noWrap/>
            <w:vAlign w:val="bottom"/>
            <w:hideMark/>
          </w:tcPr>
          <w:p w14:paraId="5037FBAB"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107</w:t>
            </w:r>
          </w:p>
        </w:tc>
        <w:tc>
          <w:tcPr>
            <w:tcW w:w="836" w:type="pct"/>
            <w:shd w:val="clear" w:color="auto" w:fill="auto"/>
            <w:noWrap/>
            <w:vAlign w:val="bottom"/>
            <w:hideMark/>
          </w:tcPr>
          <w:p w14:paraId="0EBEAB36"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112</w:t>
            </w:r>
          </w:p>
        </w:tc>
        <w:tc>
          <w:tcPr>
            <w:tcW w:w="841" w:type="pct"/>
            <w:shd w:val="clear" w:color="auto" w:fill="auto"/>
            <w:noWrap/>
            <w:vAlign w:val="center"/>
            <w:hideMark/>
          </w:tcPr>
          <w:p w14:paraId="43BAF329"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101</w:t>
            </w:r>
          </w:p>
        </w:tc>
      </w:tr>
      <w:tr w:rsidR="000F16AE" w:rsidRPr="00E54D23" w14:paraId="1B2960DF" w14:textId="77777777" w:rsidTr="00C37663">
        <w:trPr>
          <w:trHeight w:val="300"/>
        </w:trPr>
        <w:tc>
          <w:tcPr>
            <w:tcW w:w="2487" w:type="pct"/>
            <w:shd w:val="clear" w:color="auto" w:fill="8EAADB" w:themeFill="accent1" w:themeFillTint="99"/>
            <w:noWrap/>
            <w:vAlign w:val="center"/>
            <w:hideMark/>
          </w:tcPr>
          <w:p w14:paraId="509076C1"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w tym 60 lat i więcej </w:t>
            </w:r>
          </w:p>
        </w:tc>
        <w:tc>
          <w:tcPr>
            <w:tcW w:w="836" w:type="pct"/>
            <w:shd w:val="clear" w:color="auto" w:fill="auto"/>
            <w:noWrap/>
            <w:vAlign w:val="bottom"/>
            <w:hideMark/>
          </w:tcPr>
          <w:p w14:paraId="51289FAE"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139</w:t>
            </w:r>
          </w:p>
        </w:tc>
        <w:tc>
          <w:tcPr>
            <w:tcW w:w="836" w:type="pct"/>
            <w:shd w:val="clear" w:color="auto" w:fill="auto"/>
            <w:noWrap/>
            <w:vAlign w:val="bottom"/>
            <w:hideMark/>
          </w:tcPr>
          <w:p w14:paraId="1E82C0B0"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148</w:t>
            </w:r>
          </w:p>
        </w:tc>
        <w:tc>
          <w:tcPr>
            <w:tcW w:w="841" w:type="pct"/>
            <w:shd w:val="clear" w:color="auto" w:fill="auto"/>
            <w:noWrap/>
            <w:vAlign w:val="center"/>
            <w:hideMark/>
          </w:tcPr>
          <w:p w14:paraId="1926D7B0"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124</w:t>
            </w:r>
          </w:p>
        </w:tc>
      </w:tr>
      <w:tr w:rsidR="000F16AE" w:rsidRPr="00E54D23" w14:paraId="37429AD9" w14:textId="77777777" w:rsidTr="00C37663">
        <w:trPr>
          <w:trHeight w:val="300"/>
        </w:trPr>
        <w:tc>
          <w:tcPr>
            <w:tcW w:w="2487" w:type="pct"/>
            <w:shd w:val="clear" w:color="auto" w:fill="8EAADB" w:themeFill="accent1" w:themeFillTint="99"/>
            <w:noWrap/>
            <w:vAlign w:val="center"/>
            <w:hideMark/>
          </w:tcPr>
          <w:p w14:paraId="1D76083C"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60-64 lata</w:t>
            </w:r>
          </w:p>
        </w:tc>
        <w:tc>
          <w:tcPr>
            <w:tcW w:w="836" w:type="pct"/>
            <w:shd w:val="clear" w:color="auto" w:fill="auto"/>
            <w:noWrap/>
            <w:vAlign w:val="bottom"/>
            <w:hideMark/>
          </w:tcPr>
          <w:p w14:paraId="54269946"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112</w:t>
            </w:r>
          </w:p>
        </w:tc>
        <w:tc>
          <w:tcPr>
            <w:tcW w:w="836" w:type="pct"/>
            <w:shd w:val="clear" w:color="auto" w:fill="auto"/>
            <w:noWrap/>
            <w:vAlign w:val="bottom"/>
            <w:hideMark/>
          </w:tcPr>
          <w:p w14:paraId="67D2E419"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122</w:t>
            </w:r>
          </w:p>
        </w:tc>
        <w:tc>
          <w:tcPr>
            <w:tcW w:w="841" w:type="pct"/>
            <w:shd w:val="clear" w:color="auto" w:fill="auto"/>
            <w:noWrap/>
            <w:vAlign w:val="center"/>
            <w:hideMark/>
          </w:tcPr>
          <w:p w14:paraId="208592D6"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99</w:t>
            </w:r>
          </w:p>
        </w:tc>
      </w:tr>
      <w:tr w:rsidR="000F16AE" w:rsidRPr="00E54D23" w14:paraId="0F859A8D" w14:textId="77777777" w:rsidTr="00C37663">
        <w:trPr>
          <w:trHeight w:val="300"/>
        </w:trPr>
        <w:tc>
          <w:tcPr>
            <w:tcW w:w="2487" w:type="pct"/>
            <w:shd w:val="clear" w:color="auto" w:fill="8EAADB" w:themeFill="accent1" w:themeFillTint="99"/>
            <w:noWrap/>
            <w:vAlign w:val="center"/>
            <w:hideMark/>
          </w:tcPr>
          <w:p w14:paraId="113B42D0"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65-69</w:t>
            </w:r>
          </w:p>
        </w:tc>
        <w:tc>
          <w:tcPr>
            <w:tcW w:w="836" w:type="pct"/>
            <w:shd w:val="clear" w:color="auto" w:fill="auto"/>
            <w:noWrap/>
            <w:vAlign w:val="bottom"/>
            <w:hideMark/>
          </w:tcPr>
          <w:p w14:paraId="297EE015"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123</w:t>
            </w:r>
          </w:p>
        </w:tc>
        <w:tc>
          <w:tcPr>
            <w:tcW w:w="836" w:type="pct"/>
            <w:shd w:val="clear" w:color="auto" w:fill="auto"/>
            <w:noWrap/>
            <w:vAlign w:val="bottom"/>
            <w:hideMark/>
          </w:tcPr>
          <w:p w14:paraId="03675A27"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133</w:t>
            </w:r>
          </w:p>
        </w:tc>
        <w:tc>
          <w:tcPr>
            <w:tcW w:w="841" w:type="pct"/>
            <w:shd w:val="clear" w:color="auto" w:fill="auto"/>
            <w:noWrap/>
            <w:vAlign w:val="center"/>
            <w:hideMark/>
          </w:tcPr>
          <w:p w14:paraId="2EFA3973"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105</w:t>
            </w:r>
          </w:p>
        </w:tc>
      </w:tr>
      <w:tr w:rsidR="000F16AE" w:rsidRPr="00E54D23" w14:paraId="32797C84" w14:textId="77777777" w:rsidTr="00C37663">
        <w:trPr>
          <w:trHeight w:val="300"/>
        </w:trPr>
        <w:tc>
          <w:tcPr>
            <w:tcW w:w="2487" w:type="pct"/>
            <w:shd w:val="clear" w:color="auto" w:fill="8EAADB" w:themeFill="accent1" w:themeFillTint="99"/>
            <w:noWrap/>
            <w:vAlign w:val="center"/>
            <w:hideMark/>
          </w:tcPr>
          <w:p w14:paraId="1386CC79"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70-74</w:t>
            </w:r>
          </w:p>
        </w:tc>
        <w:tc>
          <w:tcPr>
            <w:tcW w:w="836" w:type="pct"/>
            <w:shd w:val="clear" w:color="auto" w:fill="auto"/>
            <w:noWrap/>
            <w:vAlign w:val="bottom"/>
            <w:hideMark/>
          </w:tcPr>
          <w:p w14:paraId="355EE8BE"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137</w:t>
            </w:r>
          </w:p>
        </w:tc>
        <w:tc>
          <w:tcPr>
            <w:tcW w:w="836" w:type="pct"/>
            <w:shd w:val="clear" w:color="auto" w:fill="auto"/>
            <w:noWrap/>
            <w:vAlign w:val="bottom"/>
            <w:hideMark/>
          </w:tcPr>
          <w:p w14:paraId="15139000"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146</w:t>
            </w:r>
          </w:p>
        </w:tc>
        <w:tc>
          <w:tcPr>
            <w:tcW w:w="841" w:type="pct"/>
            <w:shd w:val="clear" w:color="auto" w:fill="auto"/>
            <w:noWrap/>
            <w:vAlign w:val="center"/>
            <w:hideMark/>
          </w:tcPr>
          <w:p w14:paraId="2A8814B6"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121</w:t>
            </w:r>
          </w:p>
        </w:tc>
      </w:tr>
      <w:tr w:rsidR="000F16AE" w:rsidRPr="00E54D23" w14:paraId="52B0C0DB" w14:textId="77777777" w:rsidTr="00C37663">
        <w:trPr>
          <w:trHeight w:val="300"/>
        </w:trPr>
        <w:tc>
          <w:tcPr>
            <w:tcW w:w="2487" w:type="pct"/>
            <w:shd w:val="clear" w:color="auto" w:fill="8EAADB" w:themeFill="accent1" w:themeFillTint="99"/>
            <w:noWrap/>
            <w:vAlign w:val="center"/>
            <w:hideMark/>
          </w:tcPr>
          <w:p w14:paraId="79AAAB9E"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75-79</w:t>
            </w:r>
          </w:p>
        </w:tc>
        <w:tc>
          <w:tcPr>
            <w:tcW w:w="836" w:type="pct"/>
            <w:shd w:val="clear" w:color="auto" w:fill="auto"/>
            <w:noWrap/>
            <w:vAlign w:val="bottom"/>
            <w:hideMark/>
          </w:tcPr>
          <w:p w14:paraId="2386BA2C"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157</w:t>
            </w:r>
          </w:p>
        </w:tc>
        <w:tc>
          <w:tcPr>
            <w:tcW w:w="836" w:type="pct"/>
            <w:shd w:val="clear" w:color="auto" w:fill="auto"/>
            <w:noWrap/>
            <w:vAlign w:val="bottom"/>
            <w:hideMark/>
          </w:tcPr>
          <w:p w14:paraId="02A0E183"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161</w:t>
            </w:r>
          </w:p>
        </w:tc>
        <w:tc>
          <w:tcPr>
            <w:tcW w:w="841" w:type="pct"/>
            <w:shd w:val="clear" w:color="auto" w:fill="auto"/>
            <w:noWrap/>
            <w:vAlign w:val="center"/>
            <w:hideMark/>
          </w:tcPr>
          <w:p w14:paraId="70F8028E"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149</w:t>
            </w:r>
          </w:p>
        </w:tc>
      </w:tr>
      <w:tr w:rsidR="000F16AE" w:rsidRPr="00E54D23" w14:paraId="3DA6C52E" w14:textId="77777777" w:rsidTr="00C37663">
        <w:trPr>
          <w:trHeight w:val="300"/>
        </w:trPr>
        <w:tc>
          <w:tcPr>
            <w:tcW w:w="2487" w:type="pct"/>
            <w:shd w:val="clear" w:color="auto" w:fill="8EAADB" w:themeFill="accent1" w:themeFillTint="99"/>
            <w:noWrap/>
            <w:vAlign w:val="center"/>
            <w:hideMark/>
          </w:tcPr>
          <w:p w14:paraId="61E37C54"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80-84</w:t>
            </w:r>
          </w:p>
        </w:tc>
        <w:tc>
          <w:tcPr>
            <w:tcW w:w="836" w:type="pct"/>
            <w:shd w:val="clear" w:color="auto" w:fill="auto"/>
            <w:noWrap/>
            <w:vAlign w:val="bottom"/>
            <w:hideMark/>
          </w:tcPr>
          <w:p w14:paraId="6F259C7F"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194</w:t>
            </w:r>
          </w:p>
        </w:tc>
        <w:tc>
          <w:tcPr>
            <w:tcW w:w="836" w:type="pct"/>
            <w:shd w:val="clear" w:color="auto" w:fill="auto"/>
            <w:noWrap/>
            <w:vAlign w:val="bottom"/>
            <w:hideMark/>
          </w:tcPr>
          <w:p w14:paraId="10F1A941"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196</w:t>
            </w:r>
          </w:p>
        </w:tc>
        <w:tc>
          <w:tcPr>
            <w:tcW w:w="841" w:type="pct"/>
            <w:shd w:val="clear" w:color="auto" w:fill="auto"/>
            <w:noWrap/>
            <w:vAlign w:val="center"/>
            <w:hideMark/>
          </w:tcPr>
          <w:p w14:paraId="21F6D27F"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190</w:t>
            </w:r>
          </w:p>
        </w:tc>
      </w:tr>
      <w:tr w:rsidR="000F16AE" w:rsidRPr="00E54D23" w14:paraId="347EBA98" w14:textId="77777777" w:rsidTr="00C37663">
        <w:trPr>
          <w:trHeight w:val="300"/>
        </w:trPr>
        <w:tc>
          <w:tcPr>
            <w:tcW w:w="2487" w:type="pct"/>
            <w:shd w:val="clear" w:color="auto" w:fill="8EAADB" w:themeFill="accent1" w:themeFillTint="99"/>
            <w:noWrap/>
            <w:vAlign w:val="center"/>
            <w:hideMark/>
          </w:tcPr>
          <w:p w14:paraId="41E75851" w14:textId="77777777" w:rsidR="000F16AE" w:rsidRPr="00E54D23" w:rsidRDefault="000F16AE" w:rsidP="00E54D23">
            <w:pPr>
              <w:spacing w:after="0" w:line="240" w:lineRule="auto"/>
              <w:rPr>
                <w:rFonts w:ascii="Arial" w:eastAsia="Times New Roman" w:hAnsi="Arial" w:cs="Arial"/>
                <w:sz w:val="18"/>
                <w:szCs w:val="18"/>
                <w:lang w:eastAsia="pl-PL"/>
              </w:rPr>
            </w:pPr>
            <w:r w:rsidRPr="00E54D23">
              <w:rPr>
                <w:rFonts w:ascii="Arial" w:eastAsia="Times New Roman" w:hAnsi="Arial" w:cs="Arial"/>
                <w:sz w:val="18"/>
                <w:szCs w:val="18"/>
                <w:lang w:eastAsia="pl-PL"/>
              </w:rPr>
              <w:t xml:space="preserve">         85 lat i więcej</w:t>
            </w:r>
          </w:p>
        </w:tc>
        <w:tc>
          <w:tcPr>
            <w:tcW w:w="836" w:type="pct"/>
            <w:shd w:val="clear" w:color="auto" w:fill="auto"/>
            <w:noWrap/>
            <w:vAlign w:val="bottom"/>
            <w:hideMark/>
          </w:tcPr>
          <w:p w14:paraId="6333F6C3"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261</w:t>
            </w:r>
          </w:p>
        </w:tc>
        <w:tc>
          <w:tcPr>
            <w:tcW w:w="836" w:type="pct"/>
            <w:shd w:val="clear" w:color="auto" w:fill="auto"/>
            <w:noWrap/>
            <w:vAlign w:val="bottom"/>
            <w:hideMark/>
          </w:tcPr>
          <w:p w14:paraId="5B8E80C9" w14:textId="77777777" w:rsidR="000F16AE" w:rsidRPr="00E54D23" w:rsidRDefault="000F16AE" w:rsidP="00E54D23">
            <w:pPr>
              <w:spacing w:after="0" w:line="240" w:lineRule="auto"/>
              <w:jc w:val="right"/>
              <w:rPr>
                <w:rFonts w:ascii="Arial" w:eastAsia="Times New Roman" w:hAnsi="Arial" w:cs="Arial"/>
                <w:sz w:val="18"/>
                <w:szCs w:val="18"/>
                <w:lang w:eastAsia="pl-PL"/>
              </w:rPr>
            </w:pPr>
            <w:r w:rsidRPr="00E54D23">
              <w:rPr>
                <w:rFonts w:ascii="Arial" w:eastAsia="Times New Roman" w:hAnsi="Arial" w:cs="Arial"/>
                <w:sz w:val="18"/>
                <w:szCs w:val="18"/>
                <w:lang w:eastAsia="pl-PL"/>
              </w:rPr>
              <w:t>254</w:t>
            </w:r>
          </w:p>
        </w:tc>
        <w:tc>
          <w:tcPr>
            <w:tcW w:w="841" w:type="pct"/>
            <w:shd w:val="clear" w:color="auto" w:fill="auto"/>
            <w:noWrap/>
            <w:vAlign w:val="center"/>
            <w:hideMark/>
          </w:tcPr>
          <w:p w14:paraId="04EF9915" w14:textId="77777777" w:rsidR="000F16AE" w:rsidRPr="00E54D23" w:rsidRDefault="000F16AE" w:rsidP="00E54D23">
            <w:pPr>
              <w:spacing w:after="0" w:line="240" w:lineRule="auto"/>
              <w:jc w:val="right"/>
              <w:rPr>
                <w:rFonts w:ascii="Arial" w:eastAsia="Times New Roman" w:hAnsi="Arial" w:cs="Arial"/>
                <w:color w:val="000000"/>
                <w:sz w:val="18"/>
                <w:szCs w:val="18"/>
                <w:lang w:eastAsia="pl-PL"/>
              </w:rPr>
            </w:pPr>
            <w:r w:rsidRPr="00E54D23">
              <w:rPr>
                <w:rFonts w:ascii="Arial" w:eastAsia="Times New Roman" w:hAnsi="Arial" w:cs="Arial"/>
                <w:color w:val="000000"/>
                <w:sz w:val="18"/>
                <w:szCs w:val="18"/>
                <w:lang w:eastAsia="pl-PL"/>
              </w:rPr>
              <w:t>273</w:t>
            </w:r>
          </w:p>
        </w:tc>
      </w:tr>
    </w:tbl>
    <w:p w14:paraId="52DE75AF" w14:textId="1A39BF47" w:rsidR="00E54D23" w:rsidRPr="009E6F68" w:rsidRDefault="00A254DA" w:rsidP="00A254DA">
      <w:pPr>
        <w:spacing w:after="0" w:line="240" w:lineRule="auto"/>
        <w:rPr>
          <w:rFonts w:ascii="Lato" w:hAnsi="Lato"/>
          <w:sz w:val="16"/>
          <w:szCs w:val="16"/>
        </w:rPr>
      </w:pPr>
      <w:r w:rsidRPr="009E6F68">
        <w:rPr>
          <w:rFonts w:ascii="Lato" w:hAnsi="Lato"/>
          <w:sz w:val="16"/>
          <w:szCs w:val="16"/>
          <w:vertAlign w:val="superscript"/>
        </w:rPr>
        <w:t xml:space="preserve">a </w:t>
      </w:r>
      <w:r w:rsidR="00E54D23" w:rsidRPr="009E6F68">
        <w:rPr>
          <w:rFonts w:ascii="Lato" w:hAnsi="Lato"/>
          <w:sz w:val="16"/>
          <w:szCs w:val="16"/>
        </w:rPr>
        <w:t>Liczba kobiet na 100 mężczyzn (w dniu 31 XII)</w:t>
      </w:r>
    </w:p>
    <w:p w14:paraId="3F9D9693" w14:textId="2641A39A" w:rsidR="00E54D23" w:rsidRPr="009E6F68" w:rsidRDefault="00A254DA" w:rsidP="00A254DA">
      <w:pPr>
        <w:spacing w:after="0" w:line="240" w:lineRule="auto"/>
        <w:rPr>
          <w:rFonts w:ascii="Lato" w:hAnsi="Lato"/>
          <w:sz w:val="16"/>
          <w:szCs w:val="16"/>
        </w:rPr>
      </w:pPr>
      <w:r w:rsidRPr="009E6F68">
        <w:rPr>
          <w:rFonts w:ascii="Lato" w:hAnsi="Lato"/>
          <w:sz w:val="16"/>
          <w:szCs w:val="16"/>
        </w:rPr>
        <w:t>Źródło: Wyniki bieżących bilansów ludności, GUS</w:t>
      </w:r>
    </w:p>
    <w:p w14:paraId="3F2E0D68" w14:textId="64C52D0A" w:rsidR="000F16AE" w:rsidRDefault="000F16AE" w:rsidP="00A254DA">
      <w:pPr>
        <w:spacing w:after="0" w:line="240" w:lineRule="auto"/>
        <w:rPr>
          <w:rFonts w:ascii="Lato" w:hAnsi="Lato"/>
          <w:sz w:val="20"/>
          <w:szCs w:val="20"/>
        </w:rPr>
      </w:pPr>
    </w:p>
    <w:p w14:paraId="1132DB42" w14:textId="595DDB9D" w:rsidR="00452AAD" w:rsidRDefault="000F16AE" w:rsidP="009E6F68">
      <w:pPr>
        <w:pStyle w:val="Default"/>
        <w:jc w:val="both"/>
        <w:rPr>
          <w:rFonts w:ascii="Lato" w:hAnsi="Lato"/>
          <w:color w:val="auto"/>
          <w:sz w:val="20"/>
          <w:szCs w:val="20"/>
        </w:rPr>
      </w:pPr>
      <w:r w:rsidRPr="000F16AE">
        <w:rPr>
          <w:rFonts w:ascii="Lato" w:hAnsi="Lato"/>
          <w:color w:val="auto"/>
          <w:sz w:val="20"/>
          <w:szCs w:val="20"/>
        </w:rPr>
        <w:t xml:space="preserve">Poziom zróżnicowania międzypłciowego zależy od miejsca zamieszkania. W 2022 r. w miastach współczynnik feminizacji w grupie osób w wieku senioralnym wyniósł 148, natomiast na wsi - 124. Jedynie w najstarszej grupie wieku, tj. osób w wieku 85 lat i więcej współczynnik feminizacji na wsi jest wyższy niż w mieście i wyniósł odpowiednio 273 i 254.  Rosnący wraz z wiekiem udział kobiet w populacji jest konsekwencją dłuższego przeciętnego życia kobiet oraz nadumieralności mężczyzn. </w:t>
      </w:r>
    </w:p>
    <w:p w14:paraId="41901CD3" w14:textId="77777777" w:rsidR="00452AAD" w:rsidRDefault="00452AAD" w:rsidP="009E6F68">
      <w:pPr>
        <w:pStyle w:val="Default"/>
        <w:jc w:val="both"/>
        <w:rPr>
          <w:rFonts w:ascii="Lato" w:hAnsi="Lato"/>
          <w:color w:val="auto"/>
          <w:sz w:val="20"/>
          <w:szCs w:val="20"/>
        </w:rPr>
      </w:pPr>
    </w:p>
    <w:p w14:paraId="3036E7B8" w14:textId="33038D8F" w:rsidR="00452AAD" w:rsidRDefault="00452AAD" w:rsidP="009E6F68">
      <w:pPr>
        <w:autoSpaceDE w:val="0"/>
        <w:autoSpaceDN w:val="0"/>
        <w:adjustRightInd w:val="0"/>
        <w:spacing w:after="0" w:line="240" w:lineRule="auto"/>
        <w:jc w:val="both"/>
        <w:rPr>
          <w:rFonts w:ascii="Lato" w:hAnsi="Lato"/>
          <w:sz w:val="20"/>
          <w:szCs w:val="20"/>
        </w:rPr>
      </w:pPr>
      <w:r w:rsidRPr="00452AAD">
        <w:rPr>
          <w:rFonts w:ascii="Lato" w:hAnsi="Lato"/>
          <w:sz w:val="20"/>
          <w:szCs w:val="20"/>
        </w:rPr>
        <w:t>W 2022 r. przeciętne dalsze trwanie życia noworodka płci męskiej wynosiło 73,4 roku, natomiast płci żeńskiej 81,1, co oznacza polepszenie się tych wskaźników w porównaniu do roku poprzedniego odpowiednio o 1,6 i 1,4 roku. Kobiety osiągające wiek 60 lat w 2022 r. miały przed sobą blisko 5 lat więcej dalszego trwania życia niż mężczyźni. W 2022 r. mężczyzna w wieku 60 lat miał przed sobą jeszcze średnio 18,7 roku życia (w 2021 r. było to 17,3 roku), zaś kobieta w tym wieku 23,6 roku życia (w roku poprzednim 22,4 roku).</w:t>
      </w:r>
    </w:p>
    <w:p w14:paraId="2A5A6B49" w14:textId="77777777" w:rsidR="00452AAD" w:rsidRDefault="00452AAD" w:rsidP="009E6F68">
      <w:pPr>
        <w:autoSpaceDE w:val="0"/>
        <w:autoSpaceDN w:val="0"/>
        <w:adjustRightInd w:val="0"/>
        <w:spacing w:after="0" w:line="240" w:lineRule="auto"/>
        <w:jc w:val="both"/>
        <w:rPr>
          <w:rFonts w:ascii="Lato" w:hAnsi="Lato"/>
          <w:sz w:val="20"/>
          <w:szCs w:val="20"/>
        </w:rPr>
      </w:pPr>
    </w:p>
    <w:p w14:paraId="11CE50EF" w14:textId="77777777" w:rsidR="00452AAD" w:rsidRPr="00452AAD" w:rsidRDefault="00452AAD" w:rsidP="009E6F68">
      <w:pPr>
        <w:autoSpaceDE w:val="0"/>
        <w:autoSpaceDN w:val="0"/>
        <w:adjustRightInd w:val="0"/>
        <w:spacing w:after="0" w:line="240" w:lineRule="auto"/>
        <w:jc w:val="both"/>
        <w:rPr>
          <w:rFonts w:ascii="Lato" w:hAnsi="Lato"/>
          <w:sz w:val="20"/>
          <w:szCs w:val="20"/>
        </w:rPr>
      </w:pPr>
      <w:r w:rsidRPr="00452AAD">
        <w:rPr>
          <w:rFonts w:ascii="Lato" w:hAnsi="Lato"/>
          <w:sz w:val="20"/>
          <w:szCs w:val="20"/>
        </w:rPr>
        <w:t>Przeciętne dalsze trwanie życia mężczyzn mających 60 lat zamieszkałych w miastach wynosiło 18,9 roku tj. o 0,6 roku dłużej niż mężczyzn na wsi, natomiast dalsze trwanie życia kobiet w tym wieku zamieszkałych w miastach wyniosło 23,7 roku (tj. o 0,3 więcej niż na wsi).</w:t>
      </w:r>
    </w:p>
    <w:p w14:paraId="6749B5BF" w14:textId="29C52DBC" w:rsidR="00452AAD" w:rsidRDefault="00452AAD" w:rsidP="009E6F68">
      <w:pPr>
        <w:autoSpaceDE w:val="0"/>
        <w:autoSpaceDN w:val="0"/>
        <w:adjustRightInd w:val="0"/>
        <w:spacing w:after="0" w:line="240" w:lineRule="auto"/>
        <w:jc w:val="both"/>
        <w:rPr>
          <w:rFonts w:ascii="Lato" w:hAnsi="Lato"/>
          <w:sz w:val="20"/>
          <w:szCs w:val="20"/>
        </w:rPr>
      </w:pPr>
    </w:p>
    <w:p w14:paraId="2741860B" w14:textId="121E269C" w:rsidR="009E6F68" w:rsidRDefault="00877534" w:rsidP="009E6F68">
      <w:pPr>
        <w:spacing w:after="0" w:line="240" w:lineRule="auto"/>
        <w:jc w:val="both"/>
        <w:rPr>
          <w:rFonts w:ascii="Lato" w:hAnsi="Lato" w:cs="Times New Roman"/>
          <w:sz w:val="20"/>
          <w:szCs w:val="20"/>
        </w:rPr>
      </w:pPr>
      <w:r w:rsidRPr="00877534">
        <w:rPr>
          <w:rFonts w:ascii="Lato" w:hAnsi="Lato" w:cs="Times New Roman"/>
          <w:sz w:val="20"/>
          <w:szCs w:val="20"/>
        </w:rPr>
        <w:lastRenderedPageBreak/>
        <w:t xml:space="preserve">W strukturze ludności według stanu cywilnego najbardziej liczną grupą są osoby pozostające w związku małżeńskim. Jednakże wraz ze wzrostem wieku tendencja ta ulega znaczącym zmianom. Wśród osób w wieku sędziwym – aż 2/3 to osoby owdowiałe, w tym ponad 90% to samotnie żyjące kobiety. </w:t>
      </w:r>
    </w:p>
    <w:p w14:paraId="29BBD7A9" w14:textId="77777777" w:rsidR="009E6F68" w:rsidRDefault="009E6F68" w:rsidP="009E6F68">
      <w:pPr>
        <w:spacing w:after="0" w:line="240" w:lineRule="auto"/>
        <w:jc w:val="both"/>
        <w:rPr>
          <w:rFonts w:ascii="Lato" w:hAnsi="Lato" w:cs="Times New Roman"/>
          <w:sz w:val="20"/>
          <w:szCs w:val="20"/>
        </w:rPr>
      </w:pPr>
    </w:p>
    <w:p w14:paraId="0214F50B" w14:textId="1D2108D2" w:rsidR="00877534" w:rsidRDefault="00877534" w:rsidP="00877534">
      <w:pPr>
        <w:pStyle w:val="Legenda"/>
        <w:keepNext/>
      </w:pPr>
      <w:bookmarkStart w:id="5" w:name="_Toc142565970"/>
      <w:r>
        <w:t xml:space="preserve">Tabela </w:t>
      </w:r>
      <w:fldSimple w:instr=" SEQ Tabela \* ARABIC ">
        <w:r w:rsidR="00AA385B">
          <w:rPr>
            <w:noProof/>
          </w:rPr>
          <w:t>4</w:t>
        </w:r>
      </w:fldSimple>
      <w:r>
        <w:t xml:space="preserve"> </w:t>
      </w:r>
      <w:r w:rsidRPr="004D50D4">
        <w:t>Ludność w wieku 15 lat i więcej według stanu cywilnego i wieku w 2021 r.</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6"/>
        <w:gridCol w:w="1168"/>
        <w:gridCol w:w="1242"/>
        <w:gridCol w:w="1162"/>
        <w:gridCol w:w="1168"/>
        <w:gridCol w:w="1309"/>
        <w:gridCol w:w="1171"/>
      </w:tblGrid>
      <w:tr w:rsidR="00877534" w:rsidRPr="00C37663" w14:paraId="5DDA2735" w14:textId="77777777" w:rsidTr="00C37663">
        <w:trPr>
          <w:trHeight w:val="317"/>
        </w:trPr>
        <w:tc>
          <w:tcPr>
            <w:tcW w:w="1018" w:type="pct"/>
            <w:vMerge w:val="restart"/>
            <w:shd w:val="clear" w:color="auto" w:fill="8EAADB" w:themeFill="accent1" w:themeFillTint="99"/>
            <w:vAlign w:val="center"/>
            <w:hideMark/>
          </w:tcPr>
          <w:p w14:paraId="5B27688E"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Wiek</w:t>
            </w:r>
            <w:r w:rsidRPr="00C37663">
              <w:rPr>
                <w:rFonts w:ascii="Lato" w:eastAsia="Times New Roman" w:hAnsi="Lato" w:cs="Times New Roman"/>
                <w:sz w:val="18"/>
                <w:szCs w:val="18"/>
                <w:lang w:eastAsia="pl-PL"/>
              </w:rPr>
              <w:br/>
            </w:r>
          </w:p>
        </w:tc>
        <w:tc>
          <w:tcPr>
            <w:tcW w:w="644" w:type="pct"/>
            <w:vMerge w:val="restart"/>
            <w:shd w:val="clear" w:color="auto" w:fill="8EAADB" w:themeFill="accent1" w:themeFillTint="99"/>
            <w:vAlign w:val="center"/>
            <w:hideMark/>
          </w:tcPr>
          <w:p w14:paraId="11E2ED06"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Ogółem</w:t>
            </w:r>
            <w:r w:rsidRPr="00C37663">
              <w:rPr>
                <w:rFonts w:ascii="Lato" w:eastAsia="Times New Roman" w:hAnsi="Lato" w:cs="Times New Roman"/>
                <w:sz w:val="18"/>
                <w:szCs w:val="18"/>
                <w:lang w:eastAsia="pl-PL"/>
              </w:rPr>
              <w:br/>
            </w:r>
          </w:p>
        </w:tc>
        <w:tc>
          <w:tcPr>
            <w:tcW w:w="3338" w:type="pct"/>
            <w:gridSpan w:val="5"/>
            <w:shd w:val="clear" w:color="auto" w:fill="8EAADB" w:themeFill="accent1" w:themeFillTint="99"/>
            <w:vAlign w:val="center"/>
            <w:hideMark/>
          </w:tcPr>
          <w:p w14:paraId="49ABC610"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Stan cywilny</w:t>
            </w:r>
            <w:r w:rsidRPr="00C37663">
              <w:rPr>
                <w:rFonts w:ascii="Lato" w:eastAsia="Times New Roman" w:hAnsi="Lato" w:cs="Times New Roman"/>
                <w:sz w:val="18"/>
                <w:szCs w:val="18"/>
                <w:lang w:eastAsia="pl-PL"/>
              </w:rPr>
              <w:br/>
            </w:r>
          </w:p>
        </w:tc>
      </w:tr>
      <w:tr w:rsidR="00877534" w:rsidRPr="00C37663" w14:paraId="6532E9EE" w14:textId="77777777" w:rsidTr="00C37663">
        <w:trPr>
          <w:trHeight w:val="562"/>
        </w:trPr>
        <w:tc>
          <w:tcPr>
            <w:tcW w:w="1018" w:type="pct"/>
            <w:vMerge/>
            <w:shd w:val="clear" w:color="auto" w:fill="8EAADB" w:themeFill="accent1" w:themeFillTint="99"/>
            <w:vAlign w:val="center"/>
            <w:hideMark/>
          </w:tcPr>
          <w:p w14:paraId="151EFC77" w14:textId="77777777" w:rsidR="00877534" w:rsidRPr="00C37663" w:rsidRDefault="00877534" w:rsidP="00BD02D7">
            <w:pPr>
              <w:spacing w:after="0" w:line="240" w:lineRule="auto"/>
              <w:rPr>
                <w:rFonts w:ascii="Lato" w:eastAsia="Times New Roman" w:hAnsi="Lato" w:cs="Times New Roman"/>
                <w:sz w:val="18"/>
                <w:szCs w:val="18"/>
                <w:lang w:eastAsia="pl-PL"/>
              </w:rPr>
            </w:pPr>
          </w:p>
        </w:tc>
        <w:tc>
          <w:tcPr>
            <w:tcW w:w="644" w:type="pct"/>
            <w:vMerge/>
            <w:shd w:val="clear" w:color="auto" w:fill="8EAADB" w:themeFill="accent1" w:themeFillTint="99"/>
            <w:vAlign w:val="center"/>
            <w:hideMark/>
          </w:tcPr>
          <w:p w14:paraId="60C81D65" w14:textId="77777777" w:rsidR="00877534" w:rsidRPr="00C37663" w:rsidRDefault="00877534" w:rsidP="00BD02D7">
            <w:pPr>
              <w:spacing w:after="0" w:line="240" w:lineRule="auto"/>
              <w:rPr>
                <w:rFonts w:ascii="Lato" w:eastAsia="Times New Roman" w:hAnsi="Lato" w:cs="Times New Roman"/>
                <w:sz w:val="18"/>
                <w:szCs w:val="18"/>
                <w:lang w:eastAsia="pl-PL"/>
              </w:rPr>
            </w:pPr>
          </w:p>
        </w:tc>
        <w:tc>
          <w:tcPr>
            <w:tcW w:w="685" w:type="pct"/>
            <w:shd w:val="clear" w:color="auto" w:fill="8EAADB" w:themeFill="accent1" w:themeFillTint="99"/>
            <w:vAlign w:val="center"/>
            <w:hideMark/>
          </w:tcPr>
          <w:p w14:paraId="781CA66C"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kawalerowie / panny</w:t>
            </w:r>
            <w:r w:rsidRPr="00C37663">
              <w:rPr>
                <w:rFonts w:ascii="Lato" w:eastAsia="Times New Roman" w:hAnsi="Lato" w:cs="Times New Roman"/>
                <w:sz w:val="18"/>
                <w:szCs w:val="18"/>
                <w:lang w:eastAsia="pl-PL"/>
              </w:rPr>
              <w:br/>
            </w:r>
          </w:p>
        </w:tc>
        <w:tc>
          <w:tcPr>
            <w:tcW w:w="641" w:type="pct"/>
            <w:shd w:val="clear" w:color="auto" w:fill="8EAADB" w:themeFill="accent1" w:themeFillTint="99"/>
            <w:vAlign w:val="center"/>
            <w:hideMark/>
          </w:tcPr>
          <w:p w14:paraId="7E296B4D"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żonaci / zamężne</w:t>
            </w:r>
            <w:r w:rsidRPr="00C37663">
              <w:rPr>
                <w:rFonts w:ascii="Lato" w:eastAsia="Times New Roman" w:hAnsi="Lato" w:cs="Times New Roman"/>
                <w:sz w:val="18"/>
                <w:szCs w:val="18"/>
                <w:lang w:eastAsia="pl-PL"/>
              </w:rPr>
              <w:br/>
            </w:r>
          </w:p>
        </w:tc>
        <w:tc>
          <w:tcPr>
            <w:tcW w:w="644" w:type="pct"/>
            <w:shd w:val="clear" w:color="auto" w:fill="8EAADB" w:themeFill="accent1" w:themeFillTint="99"/>
            <w:vAlign w:val="center"/>
            <w:hideMark/>
          </w:tcPr>
          <w:p w14:paraId="160662BC"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wdowcy / wdowy</w:t>
            </w:r>
            <w:r w:rsidRPr="00C37663">
              <w:rPr>
                <w:rFonts w:ascii="Lato" w:eastAsia="Times New Roman" w:hAnsi="Lato" w:cs="Times New Roman"/>
                <w:sz w:val="18"/>
                <w:szCs w:val="18"/>
                <w:lang w:eastAsia="pl-PL"/>
              </w:rPr>
              <w:br/>
            </w:r>
          </w:p>
        </w:tc>
        <w:tc>
          <w:tcPr>
            <w:tcW w:w="722" w:type="pct"/>
            <w:shd w:val="clear" w:color="auto" w:fill="8EAADB" w:themeFill="accent1" w:themeFillTint="99"/>
            <w:vAlign w:val="center"/>
            <w:hideMark/>
          </w:tcPr>
          <w:p w14:paraId="0E068038"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rozwiedzeni / rozwiedzione</w:t>
            </w:r>
            <w:r w:rsidRPr="00C37663">
              <w:rPr>
                <w:rFonts w:ascii="Lato" w:eastAsia="Times New Roman" w:hAnsi="Lato" w:cs="Times New Roman"/>
                <w:sz w:val="18"/>
                <w:szCs w:val="18"/>
                <w:lang w:eastAsia="pl-PL"/>
              </w:rPr>
              <w:br/>
            </w:r>
          </w:p>
        </w:tc>
        <w:tc>
          <w:tcPr>
            <w:tcW w:w="646" w:type="pct"/>
            <w:shd w:val="clear" w:color="auto" w:fill="8EAADB" w:themeFill="accent1" w:themeFillTint="99"/>
            <w:vAlign w:val="center"/>
            <w:hideMark/>
          </w:tcPr>
          <w:p w14:paraId="2A71A77B" w14:textId="77777777" w:rsidR="00877534" w:rsidRPr="00C37663" w:rsidRDefault="00877534" w:rsidP="00BD02D7">
            <w:pPr>
              <w:spacing w:after="0" w:line="240" w:lineRule="auto"/>
              <w:jc w:val="center"/>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nieustalony</w:t>
            </w:r>
          </w:p>
        </w:tc>
      </w:tr>
      <w:tr w:rsidR="00877534" w:rsidRPr="00C37663" w14:paraId="1464BD15" w14:textId="77777777" w:rsidTr="00C37663">
        <w:trPr>
          <w:trHeight w:val="116"/>
        </w:trPr>
        <w:tc>
          <w:tcPr>
            <w:tcW w:w="5000" w:type="pct"/>
            <w:gridSpan w:val="7"/>
            <w:shd w:val="clear" w:color="auto" w:fill="8EAADB" w:themeFill="accent1" w:themeFillTint="99"/>
            <w:noWrap/>
            <w:vAlign w:val="center"/>
            <w:hideMark/>
          </w:tcPr>
          <w:p w14:paraId="6D453DE7" w14:textId="77777777" w:rsidR="00877534" w:rsidRPr="00C37663" w:rsidRDefault="00877534" w:rsidP="00BD02D7">
            <w:pPr>
              <w:spacing w:after="0" w:line="240" w:lineRule="auto"/>
              <w:jc w:val="center"/>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W  TYSIĄCACH</w:t>
            </w:r>
          </w:p>
        </w:tc>
      </w:tr>
      <w:tr w:rsidR="00877534" w:rsidRPr="00C37663" w14:paraId="4EA48AEF" w14:textId="77777777" w:rsidTr="00C37663">
        <w:trPr>
          <w:trHeight w:val="315"/>
        </w:trPr>
        <w:tc>
          <w:tcPr>
            <w:tcW w:w="1018" w:type="pct"/>
            <w:shd w:val="clear" w:color="auto" w:fill="8EAADB" w:themeFill="accent1" w:themeFillTint="99"/>
            <w:noWrap/>
            <w:vAlign w:val="bottom"/>
            <w:hideMark/>
          </w:tcPr>
          <w:p w14:paraId="77B69356" w14:textId="77777777" w:rsidR="00877534" w:rsidRPr="00C37663" w:rsidRDefault="00877534" w:rsidP="00BD02D7">
            <w:pPr>
              <w:spacing w:after="0" w:line="240" w:lineRule="auto"/>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 xml:space="preserve">Ogółem  </w:t>
            </w:r>
          </w:p>
        </w:tc>
        <w:tc>
          <w:tcPr>
            <w:tcW w:w="644" w:type="pct"/>
            <w:shd w:val="clear" w:color="auto" w:fill="8EAADB" w:themeFill="accent1" w:themeFillTint="99"/>
            <w:noWrap/>
            <w:vAlign w:val="bottom"/>
            <w:hideMark/>
          </w:tcPr>
          <w:p w14:paraId="323F39BD"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32 098,3</w:t>
            </w:r>
          </w:p>
        </w:tc>
        <w:tc>
          <w:tcPr>
            <w:tcW w:w="685" w:type="pct"/>
            <w:shd w:val="clear" w:color="auto" w:fill="8EAADB" w:themeFill="accent1" w:themeFillTint="99"/>
            <w:noWrap/>
            <w:vAlign w:val="bottom"/>
            <w:hideMark/>
          </w:tcPr>
          <w:p w14:paraId="3E96C5ED"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9 330,7</w:t>
            </w:r>
          </w:p>
        </w:tc>
        <w:tc>
          <w:tcPr>
            <w:tcW w:w="641" w:type="pct"/>
            <w:shd w:val="clear" w:color="auto" w:fill="8EAADB" w:themeFill="accent1" w:themeFillTint="99"/>
            <w:noWrap/>
            <w:vAlign w:val="bottom"/>
            <w:hideMark/>
          </w:tcPr>
          <w:p w14:paraId="3933ECC4"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17 339,0</w:t>
            </w:r>
          </w:p>
        </w:tc>
        <w:tc>
          <w:tcPr>
            <w:tcW w:w="644" w:type="pct"/>
            <w:shd w:val="clear" w:color="auto" w:fill="8EAADB" w:themeFill="accent1" w:themeFillTint="99"/>
            <w:noWrap/>
            <w:vAlign w:val="bottom"/>
            <w:hideMark/>
          </w:tcPr>
          <w:p w14:paraId="180EE29D"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2 737,1</w:t>
            </w:r>
          </w:p>
        </w:tc>
        <w:tc>
          <w:tcPr>
            <w:tcW w:w="722" w:type="pct"/>
            <w:shd w:val="clear" w:color="auto" w:fill="8EAADB" w:themeFill="accent1" w:themeFillTint="99"/>
            <w:noWrap/>
            <w:vAlign w:val="bottom"/>
            <w:hideMark/>
          </w:tcPr>
          <w:p w14:paraId="0E18587C"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2 442,9</w:t>
            </w:r>
          </w:p>
        </w:tc>
        <w:tc>
          <w:tcPr>
            <w:tcW w:w="646" w:type="pct"/>
            <w:shd w:val="clear" w:color="auto" w:fill="8EAADB" w:themeFill="accent1" w:themeFillTint="99"/>
            <w:noWrap/>
            <w:vAlign w:val="bottom"/>
            <w:hideMark/>
          </w:tcPr>
          <w:p w14:paraId="57075068" w14:textId="77777777" w:rsidR="00877534" w:rsidRPr="00C37663" w:rsidRDefault="00877534" w:rsidP="00BD02D7">
            <w:pPr>
              <w:spacing w:after="0" w:line="240" w:lineRule="auto"/>
              <w:jc w:val="right"/>
              <w:rPr>
                <w:rFonts w:ascii="Lato" w:eastAsia="Times New Roman" w:hAnsi="Lato" w:cs="Times New Roman"/>
                <w:b/>
                <w:bCs/>
                <w:sz w:val="18"/>
                <w:szCs w:val="18"/>
                <w:lang w:eastAsia="pl-PL"/>
              </w:rPr>
            </w:pPr>
            <w:r w:rsidRPr="00C37663">
              <w:rPr>
                <w:rFonts w:ascii="Lato" w:eastAsia="Times New Roman" w:hAnsi="Lato" w:cs="Times New Roman"/>
                <w:b/>
                <w:bCs/>
                <w:sz w:val="18"/>
                <w:szCs w:val="18"/>
                <w:lang w:eastAsia="pl-PL"/>
              </w:rPr>
              <w:t>248,6</w:t>
            </w:r>
          </w:p>
        </w:tc>
      </w:tr>
      <w:tr w:rsidR="00877534" w:rsidRPr="00C37663" w14:paraId="33D85B4D" w14:textId="77777777" w:rsidTr="00C37663">
        <w:trPr>
          <w:trHeight w:val="315"/>
        </w:trPr>
        <w:tc>
          <w:tcPr>
            <w:tcW w:w="1018" w:type="pct"/>
            <w:shd w:val="clear" w:color="auto" w:fill="8EAADB" w:themeFill="accent1" w:themeFillTint="99"/>
            <w:noWrap/>
            <w:vAlign w:val="bottom"/>
            <w:hideMark/>
          </w:tcPr>
          <w:p w14:paraId="1972D4E8"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15–19 lat</w:t>
            </w:r>
          </w:p>
        </w:tc>
        <w:tc>
          <w:tcPr>
            <w:tcW w:w="644" w:type="pct"/>
            <w:shd w:val="clear" w:color="auto" w:fill="auto"/>
            <w:noWrap/>
            <w:vAlign w:val="bottom"/>
            <w:hideMark/>
          </w:tcPr>
          <w:p w14:paraId="655E993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1 762,0</w:t>
            </w:r>
          </w:p>
        </w:tc>
        <w:tc>
          <w:tcPr>
            <w:tcW w:w="685" w:type="pct"/>
            <w:shd w:val="clear" w:color="auto" w:fill="auto"/>
            <w:noWrap/>
            <w:vAlign w:val="bottom"/>
            <w:hideMark/>
          </w:tcPr>
          <w:p w14:paraId="79284052"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1 743,2</w:t>
            </w:r>
          </w:p>
        </w:tc>
        <w:tc>
          <w:tcPr>
            <w:tcW w:w="641" w:type="pct"/>
            <w:shd w:val="clear" w:color="auto" w:fill="auto"/>
            <w:noWrap/>
            <w:vAlign w:val="bottom"/>
            <w:hideMark/>
          </w:tcPr>
          <w:p w14:paraId="1838813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w:t>
            </w:r>
          </w:p>
        </w:tc>
        <w:tc>
          <w:tcPr>
            <w:tcW w:w="644" w:type="pct"/>
            <w:shd w:val="clear" w:color="auto" w:fill="auto"/>
            <w:noWrap/>
            <w:vAlign w:val="bottom"/>
            <w:hideMark/>
          </w:tcPr>
          <w:p w14:paraId="4AC2563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0,0</w:t>
            </w:r>
          </w:p>
        </w:tc>
        <w:tc>
          <w:tcPr>
            <w:tcW w:w="722" w:type="pct"/>
            <w:shd w:val="clear" w:color="auto" w:fill="auto"/>
            <w:noWrap/>
            <w:vAlign w:val="bottom"/>
            <w:hideMark/>
          </w:tcPr>
          <w:p w14:paraId="1C72C5D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0,0</w:t>
            </w:r>
          </w:p>
        </w:tc>
        <w:tc>
          <w:tcPr>
            <w:tcW w:w="646" w:type="pct"/>
            <w:shd w:val="clear" w:color="auto" w:fill="auto"/>
            <w:noWrap/>
            <w:vAlign w:val="bottom"/>
            <w:hideMark/>
          </w:tcPr>
          <w:p w14:paraId="7A1C899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17,2</w:t>
            </w:r>
          </w:p>
        </w:tc>
      </w:tr>
      <w:tr w:rsidR="00877534" w:rsidRPr="00C37663" w14:paraId="0E8B9C28" w14:textId="77777777" w:rsidTr="00C37663">
        <w:trPr>
          <w:trHeight w:val="315"/>
        </w:trPr>
        <w:tc>
          <w:tcPr>
            <w:tcW w:w="1018" w:type="pct"/>
            <w:shd w:val="clear" w:color="auto" w:fill="8EAADB" w:themeFill="accent1" w:themeFillTint="99"/>
            <w:noWrap/>
            <w:vAlign w:val="bottom"/>
            <w:hideMark/>
          </w:tcPr>
          <w:p w14:paraId="0E3357D7"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20–24</w:t>
            </w:r>
          </w:p>
        </w:tc>
        <w:tc>
          <w:tcPr>
            <w:tcW w:w="644" w:type="pct"/>
            <w:shd w:val="clear" w:color="auto" w:fill="auto"/>
            <w:noWrap/>
            <w:vAlign w:val="bottom"/>
            <w:hideMark/>
          </w:tcPr>
          <w:p w14:paraId="62BD95C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1 928,5</w:t>
            </w:r>
          </w:p>
        </w:tc>
        <w:tc>
          <w:tcPr>
            <w:tcW w:w="685" w:type="pct"/>
            <w:shd w:val="clear" w:color="auto" w:fill="auto"/>
            <w:noWrap/>
            <w:vAlign w:val="bottom"/>
            <w:hideMark/>
          </w:tcPr>
          <w:p w14:paraId="1E28598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1 810,3</w:t>
            </w:r>
          </w:p>
        </w:tc>
        <w:tc>
          <w:tcPr>
            <w:tcW w:w="641" w:type="pct"/>
            <w:shd w:val="clear" w:color="auto" w:fill="auto"/>
            <w:noWrap/>
            <w:vAlign w:val="bottom"/>
            <w:hideMark/>
          </w:tcPr>
          <w:p w14:paraId="0D0030A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95,3</w:t>
            </w:r>
          </w:p>
        </w:tc>
        <w:tc>
          <w:tcPr>
            <w:tcW w:w="644" w:type="pct"/>
            <w:shd w:val="clear" w:color="auto" w:fill="auto"/>
            <w:noWrap/>
            <w:vAlign w:val="bottom"/>
            <w:hideMark/>
          </w:tcPr>
          <w:p w14:paraId="5B57DDA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0,2</w:t>
            </w:r>
          </w:p>
        </w:tc>
        <w:tc>
          <w:tcPr>
            <w:tcW w:w="722" w:type="pct"/>
            <w:shd w:val="clear" w:color="auto" w:fill="auto"/>
            <w:noWrap/>
            <w:vAlign w:val="bottom"/>
            <w:hideMark/>
          </w:tcPr>
          <w:p w14:paraId="54DFE93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2,2</w:t>
            </w:r>
          </w:p>
        </w:tc>
        <w:tc>
          <w:tcPr>
            <w:tcW w:w="646" w:type="pct"/>
            <w:shd w:val="clear" w:color="auto" w:fill="auto"/>
            <w:noWrap/>
            <w:vAlign w:val="bottom"/>
            <w:hideMark/>
          </w:tcPr>
          <w:p w14:paraId="2D0406F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20,5</w:t>
            </w:r>
          </w:p>
        </w:tc>
      </w:tr>
      <w:tr w:rsidR="00877534" w:rsidRPr="00C37663" w14:paraId="6E086DDF" w14:textId="77777777" w:rsidTr="00C37663">
        <w:trPr>
          <w:trHeight w:val="315"/>
        </w:trPr>
        <w:tc>
          <w:tcPr>
            <w:tcW w:w="1018" w:type="pct"/>
            <w:shd w:val="clear" w:color="auto" w:fill="8EAADB" w:themeFill="accent1" w:themeFillTint="99"/>
            <w:noWrap/>
            <w:vAlign w:val="bottom"/>
            <w:hideMark/>
          </w:tcPr>
          <w:p w14:paraId="1CF25205"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25–29</w:t>
            </w:r>
          </w:p>
        </w:tc>
        <w:tc>
          <w:tcPr>
            <w:tcW w:w="644" w:type="pct"/>
            <w:shd w:val="clear" w:color="auto" w:fill="auto"/>
            <w:noWrap/>
            <w:vAlign w:val="bottom"/>
            <w:hideMark/>
          </w:tcPr>
          <w:p w14:paraId="17415918"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2 353,5</w:t>
            </w:r>
          </w:p>
        </w:tc>
        <w:tc>
          <w:tcPr>
            <w:tcW w:w="685" w:type="pct"/>
            <w:shd w:val="clear" w:color="auto" w:fill="auto"/>
            <w:noWrap/>
            <w:vAlign w:val="bottom"/>
            <w:hideMark/>
          </w:tcPr>
          <w:p w14:paraId="4103A7F0"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1 571,3</w:t>
            </w:r>
          </w:p>
        </w:tc>
        <w:tc>
          <w:tcPr>
            <w:tcW w:w="641" w:type="pct"/>
            <w:shd w:val="clear" w:color="auto" w:fill="auto"/>
            <w:noWrap/>
            <w:vAlign w:val="bottom"/>
            <w:hideMark/>
          </w:tcPr>
          <w:p w14:paraId="444E8132"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720,5</w:t>
            </w:r>
          </w:p>
        </w:tc>
        <w:tc>
          <w:tcPr>
            <w:tcW w:w="644" w:type="pct"/>
            <w:shd w:val="clear" w:color="auto" w:fill="auto"/>
            <w:noWrap/>
            <w:vAlign w:val="bottom"/>
            <w:hideMark/>
          </w:tcPr>
          <w:p w14:paraId="12BF414B"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1,3</w:t>
            </w:r>
          </w:p>
        </w:tc>
        <w:tc>
          <w:tcPr>
            <w:tcW w:w="722" w:type="pct"/>
            <w:shd w:val="clear" w:color="auto" w:fill="auto"/>
            <w:noWrap/>
            <w:vAlign w:val="bottom"/>
            <w:hideMark/>
          </w:tcPr>
          <w:p w14:paraId="4E38A3D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28,1</w:t>
            </w:r>
          </w:p>
        </w:tc>
        <w:tc>
          <w:tcPr>
            <w:tcW w:w="646" w:type="pct"/>
            <w:shd w:val="clear" w:color="auto" w:fill="auto"/>
            <w:noWrap/>
            <w:vAlign w:val="bottom"/>
            <w:hideMark/>
          </w:tcPr>
          <w:p w14:paraId="6DF1BDB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32,3</w:t>
            </w:r>
          </w:p>
        </w:tc>
      </w:tr>
      <w:tr w:rsidR="00877534" w:rsidRPr="00C37663" w14:paraId="2C7457AF" w14:textId="77777777" w:rsidTr="00C37663">
        <w:trPr>
          <w:trHeight w:val="315"/>
        </w:trPr>
        <w:tc>
          <w:tcPr>
            <w:tcW w:w="1018" w:type="pct"/>
            <w:shd w:val="clear" w:color="auto" w:fill="8EAADB" w:themeFill="accent1" w:themeFillTint="99"/>
            <w:noWrap/>
            <w:vAlign w:val="bottom"/>
            <w:hideMark/>
          </w:tcPr>
          <w:p w14:paraId="546BF407"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30–34</w:t>
            </w:r>
          </w:p>
        </w:tc>
        <w:tc>
          <w:tcPr>
            <w:tcW w:w="644" w:type="pct"/>
            <w:shd w:val="clear" w:color="auto" w:fill="auto"/>
            <w:noWrap/>
            <w:vAlign w:val="bottom"/>
            <w:hideMark/>
          </w:tcPr>
          <w:p w14:paraId="4C7D9FA9"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2 786,3</w:t>
            </w:r>
          </w:p>
        </w:tc>
        <w:tc>
          <w:tcPr>
            <w:tcW w:w="685" w:type="pct"/>
            <w:shd w:val="clear" w:color="auto" w:fill="auto"/>
            <w:noWrap/>
            <w:vAlign w:val="bottom"/>
            <w:hideMark/>
          </w:tcPr>
          <w:p w14:paraId="0A62FE8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1 156,0</w:t>
            </w:r>
          </w:p>
        </w:tc>
        <w:tc>
          <w:tcPr>
            <w:tcW w:w="641" w:type="pct"/>
            <w:shd w:val="clear" w:color="auto" w:fill="auto"/>
            <w:noWrap/>
            <w:vAlign w:val="bottom"/>
            <w:hideMark/>
          </w:tcPr>
          <w:p w14:paraId="12CC06C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1 480,2</w:t>
            </w:r>
          </w:p>
        </w:tc>
        <w:tc>
          <w:tcPr>
            <w:tcW w:w="644" w:type="pct"/>
            <w:shd w:val="clear" w:color="auto" w:fill="auto"/>
            <w:noWrap/>
            <w:vAlign w:val="bottom"/>
            <w:hideMark/>
          </w:tcPr>
          <w:p w14:paraId="382C791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4,5</w:t>
            </w:r>
          </w:p>
        </w:tc>
        <w:tc>
          <w:tcPr>
            <w:tcW w:w="722" w:type="pct"/>
            <w:shd w:val="clear" w:color="auto" w:fill="auto"/>
            <w:noWrap/>
            <w:vAlign w:val="bottom"/>
            <w:hideMark/>
          </w:tcPr>
          <w:p w14:paraId="1D2EA38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111,3</w:t>
            </w:r>
          </w:p>
        </w:tc>
        <w:tc>
          <w:tcPr>
            <w:tcW w:w="646" w:type="pct"/>
            <w:shd w:val="clear" w:color="auto" w:fill="auto"/>
            <w:noWrap/>
            <w:vAlign w:val="bottom"/>
            <w:hideMark/>
          </w:tcPr>
          <w:p w14:paraId="2143432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34,4</w:t>
            </w:r>
          </w:p>
        </w:tc>
      </w:tr>
      <w:tr w:rsidR="00877534" w:rsidRPr="00C37663" w14:paraId="24985524" w14:textId="77777777" w:rsidTr="00C37663">
        <w:trPr>
          <w:trHeight w:val="315"/>
        </w:trPr>
        <w:tc>
          <w:tcPr>
            <w:tcW w:w="1018" w:type="pct"/>
            <w:shd w:val="clear" w:color="auto" w:fill="8EAADB" w:themeFill="accent1" w:themeFillTint="99"/>
            <w:noWrap/>
            <w:vAlign w:val="bottom"/>
            <w:hideMark/>
          </w:tcPr>
          <w:p w14:paraId="06549B9C"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35–39</w:t>
            </w:r>
          </w:p>
        </w:tc>
        <w:tc>
          <w:tcPr>
            <w:tcW w:w="644" w:type="pct"/>
            <w:shd w:val="clear" w:color="auto" w:fill="auto"/>
            <w:noWrap/>
            <w:vAlign w:val="bottom"/>
            <w:hideMark/>
          </w:tcPr>
          <w:p w14:paraId="76E26AA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3 214,6</w:t>
            </w:r>
          </w:p>
        </w:tc>
        <w:tc>
          <w:tcPr>
            <w:tcW w:w="685" w:type="pct"/>
            <w:shd w:val="clear" w:color="auto" w:fill="auto"/>
            <w:noWrap/>
            <w:vAlign w:val="bottom"/>
            <w:hideMark/>
          </w:tcPr>
          <w:p w14:paraId="6721ED8B"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920,4</w:t>
            </w:r>
          </w:p>
        </w:tc>
        <w:tc>
          <w:tcPr>
            <w:tcW w:w="641" w:type="pct"/>
            <w:shd w:val="clear" w:color="auto" w:fill="auto"/>
            <w:noWrap/>
            <w:vAlign w:val="bottom"/>
            <w:hideMark/>
          </w:tcPr>
          <w:p w14:paraId="1BA2D0E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2 011,1</w:t>
            </w:r>
          </w:p>
        </w:tc>
        <w:tc>
          <w:tcPr>
            <w:tcW w:w="644" w:type="pct"/>
            <w:shd w:val="clear" w:color="auto" w:fill="auto"/>
            <w:noWrap/>
            <w:vAlign w:val="bottom"/>
            <w:hideMark/>
          </w:tcPr>
          <w:p w14:paraId="5035EF5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11,5</w:t>
            </w:r>
          </w:p>
        </w:tc>
        <w:tc>
          <w:tcPr>
            <w:tcW w:w="722" w:type="pct"/>
            <w:shd w:val="clear" w:color="auto" w:fill="auto"/>
            <w:noWrap/>
            <w:vAlign w:val="bottom"/>
            <w:hideMark/>
          </w:tcPr>
          <w:p w14:paraId="402C7F6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236,9</w:t>
            </w:r>
          </w:p>
        </w:tc>
        <w:tc>
          <w:tcPr>
            <w:tcW w:w="646" w:type="pct"/>
            <w:shd w:val="clear" w:color="auto" w:fill="auto"/>
            <w:noWrap/>
            <w:vAlign w:val="bottom"/>
            <w:hideMark/>
          </w:tcPr>
          <w:p w14:paraId="06206A3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34,7</w:t>
            </w:r>
          </w:p>
        </w:tc>
      </w:tr>
      <w:tr w:rsidR="00877534" w:rsidRPr="00C37663" w14:paraId="2144165A" w14:textId="77777777" w:rsidTr="00C37663">
        <w:trPr>
          <w:trHeight w:val="315"/>
        </w:trPr>
        <w:tc>
          <w:tcPr>
            <w:tcW w:w="1018" w:type="pct"/>
            <w:shd w:val="clear" w:color="auto" w:fill="8EAADB" w:themeFill="accent1" w:themeFillTint="99"/>
            <w:noWrap/>
            <w:vAlign w:val="bottom"/>
            <w:hideMark/>
          </w:tcPr>
          <w:p w14:paraId="03071BA6"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40–44</w:t>
            </w:r>
          </w:p>
        </w:tc>
        <w:tc>
          <w:tcPr>
            <w:tcW w:w="644" w:type="pct"/>
            <w:shd w:val="clear" w:color="auto" w:fill="auto"/>
            <w:noWrap/>
            <w:vAlign w:val="bottom"/>
            <w:hideMark/>
          </w:tcPr>
          <w:p w14:paraId="42BC736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3 070,8</w:t>
            </w:r>
          </w:p>
        </w:tc>
        <w:tc>
          <w:tcPr>
            <w:tcW w:w="685" w:type="pct"/>
            <w:shd w:val="clear" w:color="auto" w:fill="auto"/>
            <w:noWrap/>
            <w:vAlign w:val="bottom"/>
            <w:hideMark/>
          </w:tcPr>
          <w:p w14:paraId="52A4879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632,5</w:t>
            </w:r>
          </w:p>
        </w:tc>
        <w:tc>
          <w:tcPr>
            <w:tcW w:w="641" w:type="pct"/>
            <w:shd w:val="clear" w:color="auto" w:fill="auto"/>
            <w:noWrap/>
            <w:vAlign w:val="bottom"/>
            <w:hideMark/>
          </w:tcPr>
          <w:p w14:paraId="0CF3AEA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2 061,0</w:t>
            </w:r>
          </w:p>
        </w:tc>
        <w:tc>
          <w:tcPr>
            <w:tcW w:w="644" w:type="pct"/>
            <w:shd w:val="clear" w:color="auto" w:fill="auto"/>
            <w:noWrap/>
            <w:vAlign w:val="bottom"/>
            <w:hideMark/>
          </w:tcPr>
          <w:p w14:paraId="7B7F6ED0"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22,4</w:t>
            </w:r>
          </w:p>
        </w:tc>
        <w:tc>
          <w:tcPr>
            <w:tcW w:w="722" w:type="pct"/>
            <w:shd w:val="clear" w:color="auto" w:fill="auto"/>
            <w:noWrap/>
            <w:vAlign w:val="bottom"/>
            <w:hideMark/>
          </w:tcPr>
          <w:p w14:paraId="62CB2C5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328,4</w:t>
            </w:r>
          </w:p>
        </w:tc>
        <w:tc>
          <w:tcPr>
            <w:tcW w:w="646" w:type="pct"/>
            <w:shd w:val="clear" w:color="auto" w:fill="auto"/>
            <w:noWrap/>
            <w:vAlign w:val="bottom"/>
            <w:hideMark/>
          </w:tcPr>
          <w:p w14:paraId="27707BA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26,5</w:t>
            </w:r>
          </w:p>
        </w:tc>
      </w:tr>
      <w:tr w:rsidR="00877534" w:rsidRPr="00C37663" w14:paraId="72A93617" w14:textId="77777777" w:rsidTr="00C37663">
        <w:trPr>
          <w:trHeight w:val="315"/>
        </w:trPr>
        <w:tc>
          <w:tcPr>
            <w:tcW w:w="1018" w:type="pct"/>
            <w:shd w:val="clear" w:color="auto" w:fill="8EAADB" w:themeFill="accent1" w:themeFillTint="99"/>
            <w:noWrap/>
            <w:vAlign w:val="bottom"/>
            <w:hideMark/>
          </w:tcPr>
          <w:p w14:paraId="4C1A3105"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45–49</w:t>
            </w:r>
          </w:p>
        </w:tc>
        <w:tc>
          <w:tcPr>
            <w:tcW w:w="644" w:type="pct"/>
            <w:shd w:val="clear" w:color="auto" w:fill="auto"/>
            <w:noWrap/>
            <w:vAlign w:val="bottom"/>
            <w:hideMark/>
          </w:tcPr>
          <w:p w14:paraId="23D75AB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2 711,9</w:t>
            </w:r>
          </w:p>
        </w:tc>
        <w:tc>
          <w:tcPr>
            <w:tcW w:w="685" w:type="pct"/>
            <w:shd w:val="clear" w:color="auto" w:fill="auto"/>
            <w:noWrap/>
            <w:vAlign w:val="bottom"/>
            <w:hideMark/>
          </w:tcPr>
          <w:p w14:paraId="17C1014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417,0</w:t>
            </w:r>
          </w:p>
        </w:tc>
        <w:tc>
          <w:tcPr>
            <w:tcW w:w="641" w:type="pct"/>
            <w:shd w:val="clear" w:color="auto" w:fill="auto"/>
            <w:noWrap/>
            <w:vAlign w:val="bottom"/>
            <w:hideMark/>
          </w:tcPr>
          <w:p w14:paraId="625A6A2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1 877,6</w:t>
            </w:r>
          </w:p>
        </w:tc>
        <w:tc>
          <w:tcPr>
            <w:tcW w:w="644" w:type="pct"/>
            <w:shd w:val="clear" w:color="auto" w:fill="auto"/>
            <w:noWrap/>
            <w:vAlign w:val="bottom"/>
            <w:hideMark/>
          </w:tcPr>
          <w:p w14:paraId="41A7ACA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41,7</w:t>
            </w:r>
          </w:p>
        </w:tc>
        <w:tc>
          <w:tcPr>
            <w:tcW w:w="722" w:type="pct"/>
            <w:shd w:val="clear" w:color="auto" w:fill="auto"/>
            <w:noWrap/>
            <w:vAlign w:val="bottom"/>
            <w:hideMark/>
          </w:tcPr>
          <w:p w14:paraId="5896F22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358,4</w:t>
            </w:r>
          </w:p>
        </w:tc>
        <w:tc>
          <w:tcPr>
            <w:tcW w:w="646" w:type="pct"/>
            <w:shd w:val="clear" w:color="auto" w:fill="auto"/>
            <w:noWrap/>
            <w:vAlign w:val="bottom"/>
            <w:hideMark/>
          </w:tcPr>
          <w:p w14:paraId="31D5D06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17,3</w:t>
            </w:r>
          </w:p>
        </w:tc>
      </w:tr>
      <w:tr w:rsidR="00877534" w:rsidRPr="00C37663" w14:paraId="6C2E0698" w14:textId="77777777" w:rsidTr="00C37663">
        <w:trPr>
          <w:trHeight w:val="315"/>
        </w:trPr>
        <w:tc>
          <w:tcPr>
            <w:tcW w:w="1018" w:type="pct"/>
            <w:shd w:val="clear" w:color="auto" w:fill="8EAADB" w:themeFill="accent1" w:themeFillTint="99"/>
            <w:noWrap/>
            <w:vAlign w:val="bottom"/>
            <w:hideMark/>
          </w:tcPr>
          <w:p w14:paraId="608D0A69"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50–54</w:t>
            </w:r>
          </w:p>
        </w:tc>
        <w:tc>
          <w:tcPr>
            <w:tcW w:w="644" w:type="pct"/>
            <w:shd w:val="clear" w:color="auto" w:fill="auto"/>
            <w:noWrap/>
            <w:vAlign w:val="bottom"/>
            <w:hideMark/>
          </w:tcPr>
          <w:p w14:paraId="1DD55A4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2 273,6</w:t>
            </w:r>
          </w:p>
        </w:tc>
        <w:tc>
          <w:tcPr>
            <w:tcW w:w="685" w:type="pct"/>
            <w:shd w:val="clear" w:color="auto" w:fill="auto"/>
            <w:noWrap/>
            <w:vAlign w:val="bottom"/>
            <w:hideMark/>
          </w:tcPr>
          <w:p w14:paraId="1CF614F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270,6</w:t>
            </w:r>
          </w:p>
        </w:tc>
        <w:tc>
          <w:tcPr>
            <w:tcW w:w="641" w:type="pct"/>
            <w:shd w:val="clear" w:color="auto" w:fill="auto"/>
            <w:noWrap/>
            <w:vAlign w:val="bottom"/>
            <w:hideMark/>
          </w:tcPr>
          <w:p w14:paraId="278FFFA9"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1 617,6</w:t>
            </w:r>
          </w:p>
        </w:tc>
        <w:tc>
          <w:tcPr>
            <w:tcW w:w="644" w:type="pct"/>
            <w:shd w:val="clear" w:color="auto" w:fill="auto"/>
            <w:noWrap/>
            <w:vAlign w:val="bottom"/>
            <w:hideMark/>
          </w:tcPr>
          <w:p w14:paraId="5A4FB06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70,8</w:t>
            </w:r>
          </w:p>
        </w:tc>
        <w:tc>
          <w:tcPr>
            <w:tcW w:w="722" w:type="pct"/>
            <w:shd w:val="clear" w:color="auto" w:fill="auto"/>
            <w:noWrap/>
            <w:vAlign w:val="bottom"/>
            <w:hideMark/>
          </w:tcPr>
          <w:p w14:paraId="3E2EB66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303,0</w:t>
            </w:r>
          </w:p>
        </w:tc>
        <w:tc>
          <w:tcPr>
            <w:tcW w:w="646" w:type="pct"/>
            <w:shd w:val="clear" w:color="auto" w:fill="auto"/>
            <w:noWrap/>
            <w:vAlign w:val="bottom"/>
            <w:hideMark/>
          </w:tcPr>
          <w:p w14:paraId="21198C7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11,6</w:t>
            </w:r>
          </w:p>
        </w:tc>
      </w:tr>
      <w:tr w:rsidR="00877534" w:rsidRPr="00C37663" w14:paraId="609529C3" w14:textId="77777777" w:rsidTr="00C37663">
        <w:trPr>
          <w:trHeight w:val="315"/>
        </w:trPr>
        <w:tc>
          <w:tcPr>
            <w:tcW w:w="1018" w:type="pct"/>
            <w:shd w:val="clear" w:color="auto" w:fill="8EAADB" w:themeFill="accent1" w:themeFillTint="99"/>
            <w:noWrap/>
            <w:vAlign w:val="bottom"/>
            <w:hideMark/>
          </w:tcPr>
          <w:p w14:paraId="3CBFE7DC"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55–59</w:t>
            </w:r>
          </w:p>
        </w:tc>
        <w:tc>
          <w:tcPr>
            <w:tcW w:w="644" w:type="pct"/>
            <w:shd w:val="clear" w:color="auto" w:fill="auto"/>
            <w:noWrap/>
            <w:vAlign w:val="bottom"/>
            <w:hideMark/>
          </w:tcPr>
          <w:p w14:paraId="292EB97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2 284,3</w:t>
            </w:r>
          </w:p>
        </w:tc>
        <w:tc>
          <w:tcPr>
            <w:tcW w:w="685" w:type="pct"/>
            <w:shd w:val="clear" w:color="auto" w:fill="auto"/>
            <w:noWrap/>
            <w:vAlign w:val="bottom"/>
            <w:hideMark/>
          </w:tcPr>
          <w:p w14:paraId="008DDC3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232,8</w:t>
            </w:r>
          </w:p>
        </w:tc>
        <w:tc>
          <w:tcPr>
            <w:tcW w:w="641" w:type="pct"/>
            <w:shd w:val="clear" w:color="auto" w:fill="auto"/>
            <w:noWrap/>
            <w:vAlign w:val="bottom"/>
            <w:hideMark/>
          </w:tcPr>
          <w:p w14:paraId="5D4585C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1 637,6</w:t>
            </w:r>
          </w:p>
        </w:tc>
        <w:tc>
          <w:tcPr>
            <w:tcW w:w="644" w:type="pct"/>
            <w:shd w:val="clear" w:color="auto" w:fill="auto"/>
            <w:noWrap/>
            <w:vAlign w:val="bottom"/>
            <w:hideMark/>
          </w:tcPr>
          <w:p w14:paraId="4F2A7A7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132,5</w:t>
            </w:r>
          </w:p>
        </w:tc>
        <w:tc>
          <w:tcPr>
            <w:tcW w:w="722" w:type="pct"/>
            <w:shd w:val="clear" w:color="auto" w:fill="auto"/>
            <w:noWrap/>
            <w:vAlign w:val="bottom"/>
            <w:hideMark/>
          </w:tcPr>
          <w:p w14:paraId="2BA9E620"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270,4</w:t>
            </w:r>
          </w:p>
        </w:tc>
        <w:tc>
          <w:tcPr>
            <w:tcW w:w="646" w:type="pct"/>
            <w:shd w:val="clear" w:color="auto" w:fill="auto"/>
            <w:noWrap/>
            <w:vAlign w:val="bottom"/>
            <w:hideMark/>
          </w:tcPr>
          <w:p w14:paraId="2FEE35D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11,0</w:t>
            </w:r>
          </w:p>
        </w:tc>
      </w:tr>
      <w:tr w:rsidR="00877534" w:rsidRPr="00C37663" w14:paraId="4DD2AD12" w14:textId="77777777" w:rsidTr="00C37663">
        <w:trPr>
          <w:trHeight w:val="315"/>
        </w:trPr>
        <w:tc>
          <w:tcPr>
            <w:tcW w:w="1018" w:type="pct"/>
            <w:shd w:val="clear" w:color="auto" w:fill="8EAADB" w:themeFill="accent1" w:themeFillTint="99"/>
            <w:noWrap/>
            <w:vAlign w:val="bottom"/>
            <w:hideMark/>
          </w:tcPr>
          <w:p w14:paraId="55700CCF"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60–64</w:t>
            </w:r>
          </w:p>
        </w:tc>
        <w:tc>
          <w:tcPr>
            <w:tcW w:w="644" w:type="pct"/>
            <w:shd w:val="clear" w:color="auto" w:fill="auto"/>
            <w:noWrap/>
            <w:vAlign w:val="bottom"/>
            <w:hideMark/>
          </w:tcPr>
          <w:p w14:paraId="46A83B6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2 624,3</w:t>
            </w:r>
          </w:p>
        </w:tc>
        <w:tc>
          <w:tcPr>
            <w:tcW w:w="685" w:type="pct"/>
            <w:shd w:val="clear" w:color="auto" w:fill="auto"/>
            <w:noWrap/>
            <w:vAlign w:val="bottom"/>
            <w:hideMark/>
          </w:tcPr>
          <w:p w14:paraId="3EFC1FA9"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217,4</w:t>
            </w:r>
          </w:p>
        </w:tc>
        <w:tc>
          <w:tcPr>
            <w:tcW w:w="641" w:type="pct"/>
            <w:shd w:val="clear" w:color="auto" w:fill="auto"/>
            <w:noWrap/>
            <w:vAlign w:val="bottom"/>
            <w:hideMark/>
          </w:tcPr>
          <w:p w14:paraId="69575B2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1 853,1</w:t>
            </w:r>
          </w:p>
        </w:tc>
        <w:tc>
          <w:tcPr>
            <w:tcW w:w="644" w:type="pct"/>
            <w:shd w:val="clear" w:color="auto" w:fill="auto"/>
            <w:noWrap/>
            <w:vAlign w:val="bottom"/>
            <w:hideMark/>
          </w:tcPr>
          <w:p w14:paraId="5751C3C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263,3</w:t>
            </w:r>
          </w:p>
        </w:tc>
        <w:tc>
          <w:tcPr>
            <w:tcW w:w="722" w:type="pct"/>
            <w:shd w:val="clear" w:color="auto" w:fill="auto"/>
            <w:noWrap/>
            <w:vAlign w:val="bottom"/>
            <w:hideMark/>
          </w:tcPr>
          <w:p w14:paraId="76D1BCB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279,7</w:t>
            </w:r>
          </w:p>
        </w:tc>
        <w:tc>
          <w:tcPr>
            <w:tcW w:w="646" w:type="pct"/>
            <w:shd w:val="clear" w:color="auto" w:fill="auto"/>
            <w:noWrap/>
            <w:vAlign w:val="bottom"/>
            <w:hideMark/>
          </w:tcPr>
          <w:p w14:paraId="674143CB"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10,8</w:t>
            </w:r>
          </w:p>
        </w:tc>
      </w:tr>
      <w:tr w:rsidR="00877534" w:rsidRPr="00C37663" w14:paraId="1D994A49" w14:textId="77777777" w:rsidTr="00C37663">
        <w:trPr>
          <w:trHeight w:val="315"/>
        </w:trPr>
        <w:tc>
          <w:tcPr>
            <w:tcW w:w="1018" w:type="pct"/>
            <w:shd w:val="clear" w:color="auto" w:fill="8EAADB" w:themeFill="accent1" w:themeFillTint="99"/>
            <w:noWrap/>
            <w:vAlign w:val="bottom"/>
            <w:hideMark/>
          </w:tcPr>
          <w:p w14:paraId="26465BB7"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65–69</w:t>
            </w:r>
          </w:p>
        </w:tc>
        <w:tc>
          <w:tcPr>
            <w:tcW w:w="644" w:type="pct"/>
            <w:shd w:val="clear" w:color="auto" w:fill="auto"/>
            <w:noWrap/>
            <w:vAlign w:val="bottom"/>
            <w:hideMark/>
          </w:tcPr>
          <w:p w14:paraId="74393C9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2 488,4</w:t>
            </w:r>
          </w:p>
        </w:tc>
        <w:tc>
          <w:tcPr>
            <w:tcW w:w="685" w:type="pct"/>
            <w:shd w:val="clear" w:color="auto" w:fill="auto"/>
            <w:noWrap/>
            <w:vAlign w:val="bottom"/>
            <w:hideMark/>
          </w:tcPr>
          <w:p w14:paraId="52D6672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160,7</w:t>
            </w:r>
          </w:p>
        </w:tc>
        <w:tc>
          <w:tcPr>
            <w:tcW w:w="641" w:type="pct"/>
            <w:shd w:val="clear" w:color="auto" w:fill="auto"/>
            <w:noWrap/>
            <w:vAlign w:val="bottom"/>
            <w:hideMark/>
          </w:tcPr>
          <w:p w14:paraId="063F945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1 688,6</w:t>
            </w:r>
          </w:p>
        </w:tc>
        <w:tc>
          <w:tcPr>
            <w:tcW w:w="644" w:type="pct"/>
            <w:shd w:val="clear" w:color="auto" w:fill="auto"/>
            <w:noWrap/>
            <w:vAlign w:val="bottom"/>
            <w:hideMark/>
          </w:tcPr>
          <w:p w14:paraId="502A934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396,3</w:t>
            </w:r>
          </w:p>
        </w:tc>
        <w:tc>
          <w:tcPr>
            <w:tcW w:w="722" w:type="pct"/>
            <w:shd w:val="clear" w:color="auto" w:fill="auto"/>
            <w:noWrap/>
            <w:vAlign w:val="bottom"/>
            <w:hideMark/>
          </w:tcPr>
          <w:p w14:paraId="0C6154E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233,7</w:t>
            </w:r>
          </w:p>
        </w:tc>
        <w:tc>
          <w:tcPr>
            <w:tcW w:w="646" w:type="pct"/>
            <w:shd w:val="clear" w:color="auto" w:fill="auto"/>
            <w:noWrap/>
            <w:vAlign w:val="bottom"/>
            <w:hideMark/>
          </w:tcPr>
          <w:p w14:paraId="0D01EAC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9,1</w:t>
            </w:r>
          </w:p>
        </w:tc>
      </w:tr>
      <w:tr w:rsidR="00877534" w:rsidRPr="00C37663" w14:paraId="5A0DAA7B" w14:textId="77777777" w:rsidTr="00C37663">
        <w:trPr>
          <w:trHeight w:val="315"/>
        </w:trPr>
        <w:tc>
          <w:tcPr>
            <w:tcW w:w="1018" w:type="pct"/>
            <w:shd w:val="clear" w:color="auto" w:fill="8EAADB" w:themeFill="accent1" w:themeFillTint="99"/>
            <w:noWrap/>
            <w:vAlign w:val="bottom"/>
            <w:hideMark/>
          </w:tcPr>
          <w:p w14:paraId="1CC39283"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70–74</w:t>
            </w:r>
          </w:p>
        </w:tc>
        <w:tc>
          <w:tcPr>
            <w:tcW w:w="644" w:type="pct"/>
            <w:shd w:val="clear" w:color="auto" w:fill="auto"/>
            <w:noWrap/>
            <w:vAlign w:val="bottom"/>
            <w:hideMark/>
          </w:tcPr>
          <w:p w14:paraId="15D863B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1 924,8</w:t>
            </w:r>
          </w:p>
        </w:tc>
        <w:tc>
          <w:tcPr>
            <w:tcW w:w="685" w:type="pct"/>
            <w:shd w:val="clear" w:color="auto" w:fill="auto"/>
            <w:noWrap/>
            <w:vAlign w:val="bottom"/>
            <w:hideMark/>
          </w:tcPr>
          <w:p w14:paraId="297618D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96,7</w:t>
            </w:r>
          </w:p>
        </w:tc>
        <w:tc>
          <w:tcPr>
            <w:tcW w:w="641" w:type="pct"/>
            <w:shd w:val="clear" w:color="auto" w:fill="auto"/>
            <w:noWrap/>
            <w:vAlign w:val="bottom"/>
            <w:hideMark/>
          </w:tcPr>
          <w:p w14:paraId="32A36372"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1 197,4</w:t>
            </w:r>
          </w:p>
        </w:tc>
        <w:tc>
          <w:tcPr>
            <w:tcW w:w="644" w:type="pct"/>
            <w:shd w:val="clear" w:color="auto" w:fill="auto"/>
            <w:noWrap/>
            <w:vAlign w:val="bottom"/>
            <w:hideMark/>
          </w:tcPr>
          <w:p w14:paraId="412ACB8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473,8</w:t>
            </w:r>
          </w:p>
        </w:tc>
        <w:tc>
          <w:tcPr>
            <w:tcW w:w="722" w:type="pct"/>
            <w:shd w:val="clear" w:color="auto" w:fill="auto"/>
            <w:noWrap/>
            <w:vAlign w:val="bottom"/>
            <w:hideMark/>
          </w:tcPr>
          <w:p w14:paraId="21CDEB7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150,8</w:t>
            </w:r>
          </w:p>
        </w:tc>
        <w:tc>
          <w:tcPr>
            <w:tcW w:w="646" w:type="pct"/>
            <w:shd w:val="clear" w:color="auto" w:fill="auto"/>
            <w:noWrap/>
            <w:vAlign w:val="bottom"/>
            <w:hideMark/>
          </w:tcPr>
          <w:p w14:paraId="73CEA7F0"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6,1</w:t>
            </w:r>
          </w:p>
        </w:tc>
      </w:tr>
      <w:tr w:rsidR="00877534" w:rsidRPr="00C37663" w14:paraId="34A6E468" w14:textId="77777777" w:rsidTr="00C37663">
        <w:trPr>
          <w:trHeight w:val="315"/>
        </w:trPr>
        <w:tc>
          <w:tcPr>
            <w:tcW w:w="1018" w:type="pct"/>
            <w:shd w:val="clear" w:color="auto" w:fill="8EAADB" w:themeFill="accent1" w:themeFillTint="99"/>
            <w:noWrap/>
            <w:vAlign w:val="bottom"/>
            <w:hideMark/>
          </w:tcPr>
          <w:p w14:paraId="59521A1B"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75–79</w:t>
            </w:r>
          </w:p>
        </w:tc>
        <w:tc>
          <w:tcPr>
            <w:tcW w:w="644" w:type="pct"/>
            <w:shd w:val="clear" w:color="auto" w:fill="auto"/>
            <w:noWrap/>
            <w:vAlign w:val="bottom"/>
            <w:hideMark/>
          </w:tcPr>
          <w:p w14:paraId="3DC06D7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1 022,9</w:t>
            </w:r>
          </w:p>
        </w:tc>
        <w:tc>
          <w:tcPr>
            <w:tcW w:w="685" w:type="pct"/>
            <w:shd w:val="clear" w:color="auto" w:fill="auto"/>
            <w:noWrap/>
            <w:vAlign w:val="bottom"/>
            <w:hideMark/>
          </w:tcPr>
          <w:p w14:paraId="1A33C758"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42,5</w:t>
            </w:r>
          </w:p>
        </w:tc>
        <w:tc>
          <w:tcPr>
            <w:tcW w:w="641" w:type="pct"/>
            <w:shd w:val="clear" w:color="auto" w:fill="auto"/>
            <w:noWrap/>
            <w:vAlign w:val="bottom"/>
            <w:hideMark/>
          </w:tcPr>
          <w:p w14:paraId="4F734A6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540,2</w:t>
            </w:r>
          </w:p>
        </w:tc>
        <w:tc>
          <w:tcPr>
            <w:tcW w:w="644" w:type="pct"/>
            <w:shd w:val="clear" w:color="auto" w:fill="auto"/>
            <w:noWrap/>
            <w:vAlign w:val="bottom"/>
            <w:hideMark/>
          </w:tcPr>
          <w:p w14:paraId="14F9CCD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373,7</w:t>
            </w:r>
          </w:p>
        </w:tc>
        <w:tc>
          <w:tcPr>
            <w:tcW w:w="722" w:type="pct"/>
            <w:shd w:val="clear" w:color="auto" w:fill="auto"/>
            <w:noWrap/>
            <w:vAlign w:val="bottom"/>
            <w:hideMark/>
          </w:tcPr>
          <w:p w14:paraId="4E347799"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63,0</w:t>
            </w:r>
          </w:p>
        </w:tc>
        <w:tc>
          <w:tcPr>
            <w:tcW w:w="646" w:type="pct"/>
            <w:shd w:val="clear" w:color="auto" w:fill="auto"/>
            <w:noWrap/>
            <w:vAlign w:val="bottom"/>
            <w:hideMark/>
          </w:tcPr>
          <w:p w14:paraId="4DDD0F7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3,5</w:t>
            </w:r>
          </w:p>
        </w:tc>
      </w:tr>
      <w:tr w:rsidR="00877534" w:rsidRPr="00C37663" w14:paraId="39A25597" w14:textId="77777777" w:rsidTr="00C37663">
        <w:trPr>
          <w:trHeight w:val="315"/>
        </w:trPr>
        <w:tc>
          <w:tcPr>
            <w:tcW w:w="1018" w:type="pct"/>
            <w:shd w:val="clear" w:color="auto" w:fill="8EAADB" w:themeFill="accent1" w:themeFillTint="99"/>
            <w:noWrap/>
            <w:vAlign w:val="bottom"/>
            <w:hideMark/>
          </w:tcPr>
          <w:p w14:paraId="019528A6"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80–84</w:t>
            </w:r>
          </w:p>
        </w:tc>
        <w:tc>
          <w:tcPr>
            <w:tcW w:w="644" w:type="pct"/>
            <w:shd w:val="clear" w:color="auto" w:fill="auto"/>
            <w:noWrap/>
            <w:vAlign w:val="bottom"/>
            <w:hideMark/>
          </w:tcPr>
          <w:p w14:paraId="52452AF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851,2</w:t>
            </w:r>
          </w:p>
        </w:tc>
        <w:tc>
          <w:tcPr>
            <w:tcW w:w="685" w:type="pct"/>
            <w:shd w:val="clear" w:color="auto" w:fill="auto"/>
            <w:noWrap/>
            <w:vAlign w:val="bottom"/>
            <w:hideMark/>
          </w:tcPr>
          <w:p w14:paraId="428F1F14"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30,5</w:t>
            </w:r>
          </w:p>
        </w:tc>
        <w:tc>
          <w:tcPr>
            <w:tcW w:w="641" w:type="pct"/>
            <w:shd w:val="clear" w:color="auto" w:fill="auto"/>
            <w:noWrap/>
            <w:vAlign w:val="bottom"/>
            <w:hideMark/>
          </w:tcPr>
          <w:p w14:paraId="07A8082D"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349,1</w:t>
            </w:r>
          </w:p>
        </w:tc>
        <w:tc>
          <w:tcPr>
            <w:tcW w:w="644" w:type="pct"/>
            <w:shd w:val="clear" w:color="auto" w:fill="auto"/>
            <w:noWrap/>
            <w:vAlign w:val="bottom"/>
            <w:hideMark/>
          </w:tcPr>
          <w:p w14:paraId="544E6BE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424,0</w:t>
            </w:r>
          </w:p>
        </w:tc>
        <w:tc>
          <w:tcPr>
            <w:tcW w:w="722" w:type="pct"/>
            <w:shd w:val="clear" w:color="auto" w:fill="auto"/>
            <w:noWrap/>
            <w:vAlign w:val="bottom"/>
            <w:hideMark/>
          </w:tcPr>
          <w:p w14:paraId="5F8D8628"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43,5</w:t>
            </w:r>
          </w:p>
        </w:tc>
        <w:tc>
          <w:tcPr>
            <w:tcW w:w="646" w:type="pct"/>
            <w:shd w:val="clear" w:color="auto" w:fill="auto"/>
            <w:noWrap/>
            <w:vAlign w:val="bottom"/>
            <w:hideMark/>
          </w:tcPr>
          <w:p w14:paraId="53608A3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4,2</w:t>
            </w:r>
          </w:p>
        </w:tc>
      </w:tr>
      <w:tr w:rsidR="00877534" w:rsidRPr="00C37663" w14:paraId="0D271550" w14:textId="77777777" w:rsidTr="00C37663">
        <w:trPr>
          <w:trHeight w:val="315"/>
        </w:trPr>
        <w:tc>
          <w:tcPr>
            <w:tcW w:w="1018" w:type="pct"/>
            <w:shd w:val="clear" w:color="auto" w:fill="8EAADB" w:themeFill="accent1" w:themeFillTint="99"/>
            <w:noWrap/>
            <w:vAlign w:val="bottom"/>
            <w:hideMark/>
          </w:tcPr>
          <w:p w14:paraId="23BA48E4"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85–89</w:t>
            </w:r>
          </w:p>
        </w:tc>
        <w:tc>
          <w:tcPr>
            <w:tcW w:w="644" w:type="pct"/>
            <w:shd w:val="clear" w:color="auto" w:fill="auto"/>
            <w:noWrap/>
            <w:vAlign w:val="bottom"/>
            <w:hideMark/>
          </w:tcPr>
          <w:p w14:paraId="3C8B0DC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531,3</w:t>
            </w:r>
          </w:p>
        </w:tc>
        <w:tc>
          <w:tcPr>
            <w:tcW w:w="685" w:type="pct"/>
            <w:shd w:val="clear" w:color="auto" w:fill="auto"/>
            <w:noWrap/>
            <w:vAlign w:val="bottom"/>
            <w:hideMark/>
          </w:tcPr>
          <w:p w14:paraId="3D9D231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18,2</w:t>
            </w:r>
          </w:p>
        </w:tc>
        <w:tc>
          <w:tcPr>
            <w:tcW w:w="641" w:type="pct"/>
            <w:shd w:val="clear" w:color="auto" w:fill="auto"/>
            <w:noWrap/>
            <w:vAlign w:val="bottom"/>
            <w:hideMark/>
          </w:tcPr>
          <w:p w14:paraId="5057732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157,0</w:t>
            </w:r>
          </w:p>
        </w:tc>
        <w:tc>
          <w:tcPr>
            <w:tcW w:w="644" w:type="pct"/>
            <w:shd w:val="clear" w:color="auto" w:fill="auto"/>
            <w:noWrap/>
            <w:vAlign w:val="bottom"/>
            <w:hideMark/>
          </w:tcPr>
          <w:p w14:paraId="45EA9F66"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328,3</w:t>
            </w:r>
          </w:p>
        </w:tc>
        <w:tc>
          <w:tcPr>
            <w:tcW w:w="722" w:type="pct"/>
            <w:shd w:val="clear" w:color="auto" w:fill="auto"/>
            <w:noWrap/>
            <w:vAlign w:val="bottom"/>
            <w:hideMark/>
          </w:tcPr>
          <w:p w14:paraId="54F1F74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23,5</w:t>
            </w:r>
          </w:p>
        </w:tc>
        <w:tc>
          <w:tcPr>
            <w:tcW w:w="646" w:type="pct"/>
            <w:shd w:val="clear" w:color="auto" w:fill="auto"/>
            <w:noWrap/>
            <w:vAlign w:val="bottom"/>
            <w:hideMark/>
          </w:tcPr>
          <w:p w14:paraId="61A835D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4,3</w:t>
            </w:r>
          </w:p>
        </w:tc>
      </w:tr>
      <w:tr w:rsidR="00877534" w:rsidRPr="00C37663" w14:paraId="746220B4" w14:textId="77777777" w:rsidTr="00C37663">
        <w:trPr>
          <w:trHeight w:val="285"/>
        </w:trPr>
        <w:tc>
          <w:tcPr>
            <w:tcW w:w="1018" w:type="pct"/>
            <w:shd w:val="clear" w:color="auto" w:fill="8EAADB" w:themeFill="accent1" w:themeFillTint="99"/>
            <w:noWrap/>
            <w:vAlign w:val="bottom"/>
            <w:hideMark/>
          </w:tcPr>
          <w:p w14:paraId="2F69501E"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90–94</w:t>
            </w:r>
          </w:p>
        </w:tc>
        <w:tc>
          <w:tcPr>
            <w:tcW w:w="644" w:type="pct"/>
            <w:shd w:val="clear" w:color="auto" w:fill="auto"/>
            <w:noWrap/>
            <w:vAlign w:val="bottom"/>
            <w:hideMark/>
          </w:tcPr>
          <w:p w14:paraId="76334F42"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217,9</w:t>
            </w:r>
          </w:p>
        </w:tc>
        <w:tc>
          <w:tcPr>
            <w:tcW w:w="685" w:type="pct"/>
            <w:shd w:val="clear" w:color="auto" w:fill="auto"/>
            <w:noWrap/>
            <w:vAlign w:val="bottom"/>
            <w:hideMark/>
          </w:tcPr>
          <w:p w14:paraId="2974984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8,2</w:t>
            </w:r>
          </w:p>
        </w:tc>
        <w:tc>
          <w:tcPr>
            <w:tcW w:w="641" w:type="pct"/>
            <w:shd w:val="clear" w:color="auto" w:fill="auto"/>
            <w:noWrap/>
            <w:vAlign w:val="bottom"/>
            <w:hideMark/>
          </w:tcPr>
          <w:p w14:paraId="7903AF97"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43,9</w:t>
            </w:r>
          </w:p>
        </w:tc>
        <w:tc>
          <w:tcPr>
            <w:tcW w:w="644" w:type="pct"/>
            <w:shd w:val="clear" w:color="auto" w:fill="auto"/>
            <w:noWrap/>
            <w:vAlign w:val="bottom"/>
            <w:hideMark/>
          </w:tcPr>
          <w:p w14:paraId="1D742A18"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154,5</w:t>
            </w:r>
          </w:p>
        </w:tc>
        <w:tc>
          <w:tcPr>
            <w:tcW w:w="722" w:type="pct"/>
            <w:shd w:val="clear" w:color="auto" w:fill="auto"/>
            <w:noWrap/>
            <w:vAlign w:val="bottom"/>
            <w:hideMark/>
          </w:tcPr>
          <w:p w14:paraId="0C7FA67A"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8,2</w:t>
            </w:r>
          </w:p>
        </w:tc>
        <w:tc>
          <w:tcPr>
            <w:tcW w:w="646" w:type="pct"/>
            <w:shd w:val="clear" w:color="auto" w:fill="auto"/>
            <w:noWrap/>
            <w:vAlign w:val="bottom"/>
            <w:hideMark/>
          </w:tcPr>
          <w:p w14:paraId="18223BF0"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3,1</w:t>
            </w:r>
          </w:p>
        </w:tc>
      </w:tr>
      <w:tr w:rsidR="00877534" w:rsidRPr="00C37663" w14:paraId="2200FC3E" w14:textId="77777777" w:rsidTr="00C37663">
        <w:trPr>
          <w:trHeight w:val="285"/>
        </w:trPr>
        <w:tc>
          <w:tcPr>
            <w:tcW w:w="1018" w:type="pct"/>
            <w:shd w:val="clear" w:color="auto" w:fill="8EAADB" w:themeFill="accent1" w:themeFillTint="99"/>
            <w:noWrap/>
            <w:vAlign w:val="bottom"/>
            <w:hideMark/>
          </w:tcPr>
          <w:p w14:paraId="738D9445" w14:textId="77777777"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95–99</w:t>
            </w:r>
          </w:p>
        </w:tc>
        <w:tc>
          <w:tcPr>
            <w:tcW w:w="644" w:type="pct"/>
            <w:shd w:val="clear" w:color="auto" w:fill="auto"/>
            <w:noWrap/>
            <w:vAlign w:val="bottom"/>
            <w:hideMark/>
          </w:tcPr>
          <w:p w14:paraId="197E1713"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47,5</w:t>
            </w:r>
          </w:p>
        </w:tc>
        <w:tc>
          <w:tcPr>
            <w:tcW w:w="685" w:type="pct"/>
            <w:shd w:val="clear" w:color="auto" w:fill="auto"/>
            <w:noWrap/>
            <w:vAlign w:val="bottom"/>
            <w:hideMark/>
          </w:tcPr>
          <w:p w14:paraId="1547FF0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2,3</w:t>
            </w:r>
          </w:p>
        </w:tc>
        <w:tc>
          <w:tcPr>
            <w:tcW w:w="641" w:type="pct"/>
            <w:shd w:val="clear" w:color="auto" w:fill="auto"/>
            <w:noWrap/>
            <w:vAlign w:val="bottom"/>
            <w:hideMark/>
          </w:tcPr>
          <w:p w14:paraId="06109D0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6,8</w:t>
            </w:r>
          </w:p>
        </w:tc>
        <w:tc>
          <w:tcPr>
            <w:tcW w:w="644" w:type="pct"/>
            <w:shd w:val="clear" w:color="auto" w:fill="auto"/>
            <w:noWrap/>
            <w:vAlign w:val="bottom"/>
            <w:hideMark/>
          </w:tcPr>
          <w:p w14:paraId="46658A7C"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35,2</w:t>
            </w:r>
          </w:p>
        </w:tc>
        <w:tc>
          <w:tcPr>
            <w:tcW w:w="722" w:type="pct"/>
            <w:shd w:val="clear" w:color="auto" w:fill="auto"/>
            <w:noWrap/>
            <w:vAlign w:val="bottom"/>
            <w:hideMark/>
          </w:tcPr>
          <w:p w14:paraId="407E8892"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1,5</w:t>
            </w:r>
          </w:p>
        </w:tc>
        <w:tc>
          <w:tcPr>
            <w:tcW w:w="646" w:type="pct"/>
            <w:shd w:val="clear" w:color="auto" w:fill="auto"/>
            <w:noWrap/>
            <w:vAlign w:val="bottom"/>
            <w:hideMark/>
          </w:tcPr>
          <w:p w14:paraId="514A147E"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1,8</w:t>
            </w:r>
          </w:p>
        </w:tc>
      </w:tr>
      <w:tr w:rsidR="00877534" w:rsidRPr="00C37663" w14:paraId="40989943" w14:textId="77777777" w:rsidTr="00C37663">
        <w:trPr>
          <w:trHeight w:val="202"/>
        </w:trPr>
        <w:tc>
          <w:tcPr>
            <w:tcW w:w="1018" w:type="pct"/>
            <w:shd w:val="clear" w:color="auto" w:fill="8EAADB" w:themeFill="accent1" w:themeFillTint="99"/>
            <w:hideMark/>
          </w:tcPr>
          <w:p w14:paraId="1AD9A187" w14:textId="22EB7EA2" w:rsidR="00877534" w:rsidRPr="00C37663" w:rsidRDefault="00877534" w:rsidP="00BD02D7">
            <w:pPr>
              <w:spacing w:after="0" w:line="240" w:lineRule="auto"/>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100 lat i więcej</w:t>
            </w:r>
          </w:p>
        </w:tc>
        <w:tc>
          <w:tcPr>
            <w:tcW w:w="644" w:type="pct"/>
            <w:shd w:val="clear" w:color="auto" w:fill="auto"/>
            <w:noWrap/>
            <w:hideMark/>
          </w:tcPr>
          <w:p w14:paraId="2A168B11" w14:textId="77777777" w:rsidR="00877534" w:rsidRPr="00C37663" w:rsidRDefault="00877534" w:rsidP="00C37663">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4,4</w:t>
            </w:r>
          </w:p>
        </w:tc>
        <w:tc>
          <w:tcPr>
            <w:tcW w:w="685" w:type="pct"/>
            <w:shd w:val="clear" w:color="auto" w:fill="auto"/>
            <w:noWrap/>
            <w:hideMark/>
          </w:tcPr>
          <w:p w14:paraId="3DE1C88B"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0,2</w:t>
            </w:r>
          </w:p>
        </w:tc>
        <w:tc>
          <w:tcPr>
            <w:tcW w:w="641" w:type="pct"/>
            <w:shd w:val="clear" w:color="auto" w:fill="auto"/>
            <w:noWrap/>
            <w:hideMark/>
          </w:tcPr>
          <w:p w14:paraId="19D74D45"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0,6</w:t>
            </w:r>
          </w:p>
        </w:tc>
        <w:tc>
          <w:tcPr>
            <w:tcW w:w="644" w:type="pct"/>
            <w:shd w:val="clear" w:color="auto" w:fill="auto"/>
            <w:noWrap/>
            <w:hideMark/>
          </w:tcPr>
          <w:p w14:paraId="73BC228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3,1</w:t>
            </w:r>
          </w:p>
        </w:tc>
        <w:tc>
          <w:tcPr>
            <w:tcW w:w="722" w:type="pct"/>
            <w:shd w:val="clear" w:color="auto" w:fill="auto"/>
            <w:noWrap/>
            <w:hideMark/>
          </w:tcPr>
          <w:p w14:paraId="1386C7A1"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0,1</w:t>
            </w:r>
          </w:p>
        </w:tc>
        <w:tc>
          <w:tcPr>
            <w:tcW w:w="646" w:type="pct"/>
            <w:shd w:val="clear" w:color="auto" w:fill="auto"/>
            <w:noWrap/>
            <w:hideMark/>
          </w:tcPr>
          <w:p w14:paraId="34A532BF" w14:textId="77777777" w:rsidR="00877534" w:rsidRPr="00C37663" w:rsidRDefault="00877534" w:rsidP="00BD02D7">
            <w:pPr>
              <w:spacing w:after="0" w:line="240" w:lineRule="auto"/>
              <w:jc w:val="right"/>
              <w:rPr>
                <w:rFonts w:ascii="Lato" w:eastAsia="Times New Roman" w:hAnsi="Lato" w:cs="Times New Roman"/>
                <w:sz w:val="18"/>
                <w:szCs w:val="18"/>
                <w:lang w:eastAsia="pl-PL"/>
              </w:rPr>
            </w:pPr>
            <w:r w:rsidRPr="00C37663">
              <w:rPr>
                <w:rFonts w:ascii="Lato" w:eastAsia="Times New Roman" w:hAnsi="Lato" w:cs="Times New Roman"/>
                <w:sz w:val="18"/>
                <w:szCs w:val="18"/>
                <w:lang w:eastAsia="pl-PL"/>
              </w:rPr>
              <w:t>0,3</w:t>
            </w:r>
          </w:p>
        </w:tc>
      </w:tr>
    </w:tbl>
    <w:p w14:paraId="1A45152D" w14:textId="76F50A53" w:rsidR="00877534" w:rsidRPr="00877534" w:rsidRDefault="00877534" w:rsidP="00877534">
      <w:pPr>
        <w:autoSpaceDE w:val="0"/>
        <w:autoSpaceDN w:val="0"/>
        <w:adjustRightInd w:val="0"/>
        <w:spacing w:after="0" w:line="240" w:lineRule="auto"/>
        <w:jc w:val="both"/>
        <w:rPr>
          <w:rFonts w:ascii="Lato" w:hAnsi="Lato" w:cs="Times New Roman"/>
          <w:sz w:val="18"/>
          <w:szCs w:val="18"/>
        </w:rPr>
      </w:pPr>
      <w:r w:rsidRPr="00877534">
        <w:rPr>
          <w:rFonts w:ascii="Lato" w:hAnsi="Lato" w:cs="Times New Roman"/>
          <w:sz w:val="18"/>
          <w:szCs w:val="18"/>
        </w:rPr>
        <w:t>Źródło: dane wstępne z Narodowego Spisu Powszechnego Ludności i Mieszkań 2021 r.</w:t>
      </w:r>
    </w:p>
    <w:p w14:paraId="1F67DE56" w14:textId="77777777" w:rsidR="00877534" w:rsidRDefault="00877534" w:rsidP="00877534">
      <w:pPr>
        <w:spacing w:after="0" w:line="240" w:lineRule="auto"/>
        <w:jc w:val="both"/>
        <w:rPr>
          <w:rFonts w:ascii="Lato" w:hAnsi="Lato" w:cs="Times New Roman"/>
          <w:sz w:val="20"/>
          <w:szCs w:val="20"/>
        </w:rPr>
      </w:pPr>
    </w:p>
    <w:p w14:paraId="14703892" w14:textId="7A274204" w:rsidR="00452AAD" w:rsidRDefault="00877534" w:rsidP="009E6F68">
      <w:pPr>
        <w:spacing w:after="0" w:line="240" w:lineRule="auto"/>
        <w:jc w:val="both"/>
        <w:rPr>
          <w:rFonts w:ascii="Lato" w:hAnsi="Lato" w:cs="Times New Roman"/>
          <w:sz w:val="20"/>
          <w:szCs w:val="20"/>
        </w:rPr>
      </w:pPr>
      <w:r w:rsidRPr="00877534">
        <w:rPr>
          <w:rFonts w:ascii="Lato" w:hAnsi="Lato" w:cs="Times New Roman"/>
          <w:sz w:val="20"/>
          <w:szCs w:val="20"/>
        </w:rPr>
        <w:t>Przedstawione tendencje wynikają ze zjawiska wyższej umieralności mężczyzn, która – w konsekwencji – powoduje częstsze owdowienia kobiet. W miarę przechodzenia do starszych grup wieku proces nasila się – w rezultacie starsi mężczyźni najczęściej do końca życia pozostają żonaci, a starsze kobiety są wdowami.</w:t>
      </w:r>
    </w:p>
    <w:p w14:paraId="4F1C79F4" w14:textId="77777777" w:rsidR="009E6F68" w:rsidRPr="009E6F68" w:rsidRDefault="009E6F68" w:rsidP="009E6F68">
      <w:pPr>
        <w:spacing w:after="0" w:line="240" w:lineRule="auto"/>
        <w:jc w:val="both"/>
        <w:rPr>
          <w:rFonts w:ascii="Lato" w:hAnsi="Lato" w:cs="Times New Roman"/>
          <w:sz w:val="20"/>
          <w:szCs w:val="20"/>
        </w:rPr>
      </w:pPr>
    </w:p>
    <w:p w14:paraId="5412D7BB" w14:textId="55266FE2" w:rsidR="00452AAD" w:rsidRPr="00452AAD" w:rsidRDefault="00452AAD" w:rsidP="00452AAD">
      <w:pPr>
        <w:pStyle w:val="Legenda"/>
        <w:keepNext/>
      </w:pPr>
      <w:bookmarkStart w:id="6" w:name="_Toc142565971"/>
      <w:r>
        <w:t xml:space="preserve">Tabela </w:t>
      </w:r>
      <w:fldSimple w:instr=" SEQ Tabela \* ARABIC ">
        <w:r w:rsidR="00AA385B">
          <w:rPr>
            <w:noProof/>
          </w:rPr>
          <w:t>5</w:t>
        </w:r>
      </w:fldSimple>
      <w:r>
        <w:t xml:space="preserve"> Współczynnik zgonów w 2022 r.</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5"/>
        <w:gridCol w:w="1131"/>
        <w:gridCol w:w="1133"/>
        <w:gridCol w:w="1133"/>
        <w:gridCol w:w="1133"/>
        <w:gridCol w:w="1141"/>
      </w:tblGrid>
      <w:tr w:rsidR="00452AAD" w:rsidRPr="00C37663" w14:paraId="1D09B173" w14:textId="77777777" w:rsidTr="00DC3810">
        <w:trPr>
          <w:trHeight w:val="450"/>
        </w:trPr>
        <w:tc>
          <w:tcPr>
            <w:tcW w:w="1872" w:type="pct"/>
            <w:vMerge w:val="restart"/>
            <w:shd w:val="clear" w:color="auto" w:fill="8EAADB" w:themeFill="accent1" w:themeFillTint="99"/>
            <w:noWrap/>
            <w:hideMark/>
          </w:tcPr>
          <w:p w14:paraId="5C33313C" w14:textId="4F271495" w:rsidR="00DC3810" w:rsidRPr="00DC3810" w:rsidRDefault="00452AAD" w:rsidP="00DC3810">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Grupy wieku</w:t>
            </w:r>
          </w:p>
        </w:tc>
        <w:tc>
          <w:tcPr>
            <w:tcW w:w="624" w:type="pct"/>
            <w:vMerge w:val="restart"/>
            <w:shd w:val="clear" w:color="auto" w:fill="8EAADB" w:themeFill="accent1" w:themeFillTint="99"/>
            <w:noWrap/>
            <w:hideMark/>
          </w:tcPr>
          <w:p w14:paraId="32F4BD10" w14:textId="77777777" w:rsidR="00452AAD" w:rsidRPr="00C37663" w:rsidRDefault="00452AAD" w:rsidP="00452AAD">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Ogółem   </w:t>
            </w:r>
          </w:p>
        </w:tc>
        <w:tc>
          <w:tcPr>
            <w:tcW w:w="625" w:type="pct"/>
            <w:vMerge w:val="restart"/>
            <w:shd w:val="clear" w:color="auto" w:fill="8EAADB" w:themeFill="accent1" w:themeFillTint="99"/>
            <w:noWrap/>
            <w:hideMark/>
          </w:tcPr>
          <w:p w14:paraId="7205E8B9" w14:textId="77777777" w:rsidR="00452AAD" w:rsidRPr="00C37663" w:rsidRDefault="00452AAD" w:rsidP="00452AAD">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Mężczyźni</w:t>
            </w:r>
          </w:p>
        </w:tc>
        <w:tc>
          <w:tcPr>
            <w:tcW w:w="625" w:type="pct"/>
            <w:vMerge w:val="restart"/>
            <w:shd w:val="clear" w:color="auto" w:fill="8EAADB" w:themeFill="accent1" w:themeFillTint="99"/>
            <w:noWrap/>
            <w:hideMark/>
          </w:tcPr>
          <w:p w14:paraId="67BE0035" w14:textId="77777777" w:rsidR="00452AAD" w:rsidRPr="00C37663" w:rsidRDefault="00452AAD" w:rsidP="00452AAD">
            <w:pPr>
              <w:spacing w:after="0" w:line="240" w:lineRule="auto"/>
              <w:jc w:val="center"/>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Kobiety</w:t>
            </w:r>
          </w:p>
        </w:tc>
        <w:tc>
          <w:tcPr>
            <w:tcW w:w="625" w:type="pct"/>
            <w:vMerge w:val="restart"/>
            <w:shd w:val="clear" w:color="auto" w:fill="8EAADB" w:themeFill="accent1" w:themeFillTint="99"/>
            <w:noWrap/>
            <w:hideMark/>
          </w:tcPr>
          <w:p w14:paraId="7F1AECF5" w14:textId="77777777" w:rsidR="00452AAD" w:rsidRPr="00C37663" w:rsidRDefault="00452AAD" w:rsidP="00452AAD">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Miasta</w:t>
            </w:r>
          </w:p>
        </w:tc>
        <w:tc>
          <w:tcPr>
            <w:tcW w:w="629" w:type="pct"/>
            <w:vMerge w:val="restart"/>
            <w:shd w:val="clear" w:color="auto" w:fill="8EAADB" w:themeFill="accent1" w:themeFillTint="99"/>
            <w:noWrap/>
            <w:hideMark/>
          </w:tcPr>
          <w:p w14:paraId="47016EEF" w14:textId="77777777" w:rsidR="00452AAD" w:rsidRPr="00C37663" w:rsidRDefault="00452AAD" w:rsidP="00452AAD">
            <w:pPr>
              <w:spacing w:after="0" w:line="240" w:lineRule="auto"/>
              <w:jc w:val="center"/>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Wieś</w:t>
            </w:r>
          </w:p>
        </w:tc>
      </w:tr>
      <w:tr w:rsidR="00452AAD" w:rsidRPr="00C37663" w14:paraId="130B520E" w14:textId="77777777" w:rsidTr="00DC3810">
        <w:trPr>
          <w:trHeight w:val="450"/>
        </w:trPr>
        <w:tc>
          <w:tcPr>
            <w:tcW w:w="1872" w:type="pct"/>
            <w:vMerge/>
            <w:shd w:val="clear" w:color="auto" w:fill="8EAADB" w:themeFill="accent1" w:themeFillTint="99"/>
            <w:hideMark/>
          </w:tcPr>
          <w:p w14:paraId="17E94E77" w14:textId="77777777" w:rsidR="00452AAD" w:rsidRPr="00C37663" w:rsidRDefault="00452AAD" w:rsidP="00452AAD">
            <w:pPr>
              <w:spacing w:after="0" w:line="240" w:lineRule="auto"/>
              <w:rPr>
                <w:rFonts w:ascii="Lato" w:eastAsia="Times New Roman" w:hAnsi="Lato" w:cs="Arial"/>
                <w:sz w:val="18"/>
                <w:szCs w:val="18"/>
                <w:lang w:eastAsia="pl-PL"/>
              </w:rPr>
            </w:pPr>
          </w:p>
        </w:tc>
        <w:tc>
          <w:tcPr>
            <w:tcW w:w="624" w:type="pct"/>
            <w:vMerge/>
            <w:shd w:val="clear" w:color="auto" w:fill="8EAADB" w:themeFill="accent1" w:themeFillTint="99"/>
            <w:hideMark/>
          </w:tcPr>
          <w:p w14:paraId="6C73DBDB" w14:textId="77777777" w:rsidR="00452AAD" w:rsidRPr="00C37663" w:rsidRDefault="00452AAD" w:rsidP="00452AAD">
            <w:pPr>
              <w:spacing w:after="0" w:line="240" w:lineRule="auto"/>
              <w:rPr>
                <w:rFonts w:ascii="Lato" w:eastAsia="Times New Roman" w:hAnsi="Lato" w:cs="Arial"/>
                <w:sz w:val="18"/>
                <w:szCs w:val="18"/>
                <w:lang w:eastAsia="pl-PL"/>
              </w:rPr>
            </w:pPr>
          </w:p>
        </w:tc>
        <w:tc>
          <w:tcPr>
            <w:tcW w:w="625" w:type="pct"/>
            <w:vMerge/>
            <w:shd w:val="clear" w:color="auto" w:fill="8EAADB" w:themeFill="accent1" w:themeFillTint="99"/>
            <w:hideMark/>
          </w:tcPr>
          <w:p w14:paraId="33C65C57" w14:textId="77777777" w:rsidR="00452AAD" w:rsidRPr="00C37663" w:rsidRDefault="00452AAD" w:rsidP="00452AAD">
            <w:pPr>
              <w:spacing w:after="0" w:line="240" w:lineRule="auto"/>
              <w:rPr>
                <w:rFonts w:ascii="Lato" w:eastAsia="Times New Roman" w:hAnsi="Lato" w:cs="Arial"/>
                <w:color w:val="000000"/>
                <w:sz w:val="18"/>
                <w:szCs w:val="18"/>
                <w:lang w:eastAsia="pl-PL"/>
              </w:rPr>
            </w:pPr>
          </w:p>
        </w:tc>
        <w:tc>
          <w:tcPr>
            <w:tcW w:w="625" w:type="pct"/>
            <w:vMerge/>
            <w:shd w:val="clear" w:color="auto" w:fill="8EAADB" w:themeFill="accent1" w:themeFillTint="99"/>
            <w:hideMark/>
          </w:tcPr>
          <w:p w14:paraId="5BD15224" w14:textId="77777777" w:rsidR="00452AAD" w:rsidRPr="00C37663" w:rsidRDefault="00452AAD" w:rsidP="00452AAD">
            <w:pPr>
              <w:spacing w:after="0" w:line="240" w:lineRule="auto"/>
              <w:rPr>
                <w:rFonts w:ascii="Lato" w:eastAsia="Times New Roman" w:hAnsi="Lato" w:cs="Arial"/>
                <w:color w:val="000000"/>
                <w:sz w:val="18"/>
                <w:szCs w:val="18"/>
                <w:lang w:eastAsia="pl-PL"/>
              </w:rPr>
            </w:pPr>
          </w:p>
        </w:tc>
        <w:tc>
          <w:tcPr>
            <w:tcW w:w="625" w:type="pct"/>
            <w:vMerge/>
            <w:shd w:val="clear" w:color="auto" w:fill="8EAADB" w:themeFill="accent1" w:themeFillTint="99"/>
            <w:hideMark/>
          </w:tcPr>
          <w:p w14:paraId="0849156F" w14:textId="77777777" w:rsidR="00452AAD" w:rsidRPr="00C37663" w:rsidRDefault="00452AAD" w:rsidP="00452AAD">
            <w:pPr>
              <w:spacing w:after="0" w:line="240" w:lineRule="auto"/>
              <w:rPr>
                <w:rFonts w:ascii="Lato" w:eastAsia="Times New Roman" w:hAnsi="Lato" w:cs="Arial"/>
                <w:sz w:val="18"/>
                <w:szCs w:val="18"/>
                <w:lang w:eastAsia="pl-PL"/>
              </w:rPr>
            </w:pPr>
          </w:p>
        </w:tc>
        <w:tc>
          <w:tcPr>
            <w:tcW w:w="629" w:type="pct"/>
            <w:vMerge/>
            <w:shd w:val="clear" w:color="auto" w:fill="8EAADB" w:themeFill="accent1" w:themeFillTint="99"/>
            <w:hideMark/>
          </w:tcPr>
          <w:p w14:paraId="76C7FB71" w14:textId="77777777" w:rsidR="00452AAD" w:rsidRPr="00C37663" w:rsidRDefault="00452AAD" w:rsidP="00452AAD">
            <w:pPr>
              <w:spacing w:after="0" w:line="240" w:lineRule="auto"/>
              <w:rPr>
                <w:rFonts w:ascii="Lato" w:eastAsia="Times New Roman" w:hAnsi="Lato" w:cs="Arial"/>
                <w:sz w:val="18"/>
                <w:szCs w:val="18"/>
                <w:lang w:eastAsia="pl-PL"/>
              </w:rPr>
            </w:pPr>
          </w:p>
        </w:tc>
      </w:tr>
      <w:tr w:rsidR="00452AAD" w:rsidRPr="00C37663" w14:paraId="42235739" w14:textId="77777777" w:rsidTr="00DC3810">
        <w:trPr>
          <w:trHeight w:val="300"/>
        </w:trPr>
        <w:tc>
          <w:tcPr>
            <w:tcW w:w="1872" w:type="pct"/>
            <w:shd w:val="clear" w:color="auto" w:fill="8EAADB" w:themeFill="accent1" w:themeFillTint="99"/>
            <w:noWrap/>
            <w:hideMark/>
          </w:tcPr>
          <w:p w14:paraId="3457A240"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Ogółem</w:t>
            </w:r>
          </w:p>
        </w:tc>
        <w:tc>
          <w:tcPr>
            <w:tcW w:w="624" w:type="pct"/>
            <w:shd w:val="clear" w:color="auto" w:fill="auto"/>
            <w:noWrap/>
            <w:hideMark/>
          </w:tcPr>
          <w:p w14:paraId="20F84FD0"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11,9</w:t>
            </w:r>
          </w:p>
        </w:tc>
        <w:tc>
          <w:tcPr>
            <w:tcW w:w="625" w:type="pct"/>
            <w:shd w:val="clear" w:color="auto" w:fill="auto"/>
            <w:noWrap/>
            <w:hideMark/>
          </w:tcPr>
          <w:p w14:paraId="711A9AE1"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12,6</w:t>
            </w:r>
          </w:p>
        </w:tc>
        <w:tc>
          <w:tcPr>
            <w:tcW w:w="625" w:type="pct"/>
            <w:shd w:val="clear" w:color="auto" w:fill="auto"/>
            <w:noWrap/>
            <w:hideMark/>
          </w:tcPr>
          <w:p w14:paraId="24B48C0C"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11,2</w:t>
            </w:r>
          </w:p>
        </w:tc>
        <w:tc>
          <w:tcPr>
            <w:tcW w:w="625" w:type="pct"/>
            <w:shd w:val="clear" w:color="auto" w:fill="auto"/>
            <w:noWrap/>
            <w:hideMark/>
          </w:tcPr>
          <w:p w14:paraId="3D6D67D3"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12,3</w:t>
            </w:r>
          </w:p>
        </w:tc>
        <w:tc>
          <w:tcPr>
            <w:tcW w:w="629" w:type="pct"/>
            <w:shd w:val="clear" w:color="auto" w:fill="auto"/>
            <w:noWrap/>
            <w:hideMark/>
          </w:tcPr>
          <w:p w14:paraId="2934DDB9"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11,1</w:t>
            </w:r>
          </w:p>
        </w:tc>
      </w:tr>
      <w:tr w:rsidR="00452AAD" w:rsidRPr="00C37663" w14:paraId="51A36E1E" w14:textId="77777777" w:rsidTr="00DC3810">
        <w:trPr>
          <w:trHeight w:val="300"/>
        </w:trPr>
        <w:tc>
          <w:tcPr>
            <w:tcW w:w="1872" w:type="pct"/>
            <w:shd w:val="clear" w:color="auto" w:fill="8EAADB" w:themeFill="accent1" w:themeFillTint="99"/>
            <w:noWrap/>
            <w:hideMark/>
          </w:tcPr>
          <w:p w14:paraId="60D5FD72"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w tym 60 lat i więcej </w:t>
            </w:r>
          </w:p>
        </w:tc>
        <w:tc>
          <w:tcPr>
            <w:tcW w:w="624" w:type="pct"/>
            <w:shd w:val="clear" w:color="auto" w:fill="auto"/>
            <w:noWrap/>
            <w:hideMark/>
          </w:tcPr>
          <w:p w14:paraId="0C68F328"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39,8</w:t>
            </w:r>
          </w:p>
        </w:tc>
        <w:tc>
          <w:tcPr>
            <w:tcW w:w="625" w:type="pct"/>
            <w:shd w:val="clear" w:color="auto" w:fill="auto"/>
            <w:noWrap/>
            <w:hideMark/>
          </w:tcPr>
          <w:p w14:paraId="3144F8DC"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45,5</w:t>
            </w:r>
          </w:p>
        </w:tc>
        <w:tc>
          <w:tcPr>
            <w:tcW w:w="625" w:type="pct"/>
            <w:shd w:val="clear" w:color="auto" w:fill="auto"/>
            <w:noWrap/>
            <w:hideMark/>
          </w:tcPr>
          <w:p w14:paraId="3E0BD3A8"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35,7</w:t>
            </w:r>
          </w:p>
        </w:tc>
        <w:tc>
          <w:tcPr>
            <w:tcW w:w="625" w:type="pct"/>
            <w:shd w:val="clear" w:color="auto" w:fill="auto"/>
            <w:noWrap/>
            <w:hideMark/>
          </w:tcPr>
          <w:p w14:paraId="66C3B5A9"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38,8</w:t>
            </w:r>
          </w:p>
        </w:tc>
        <w:tc>
          <w:tcPr>
            <w:tcW w:w="629" w:type="pct"/>
            <w:shd w:val="clear" w:color="auto" w:fill="auto"/>
            <w:noWrap/>
            <w:hideMark/>
          </w:tcPr>
          <w:p w14:paraId="7D1D083B"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41,5</w:t>
            </w:r>
          </w:p>
        </w:tc>
      </w:tr>
      <w:tr w:rsidR="00452AAD" w:rsidRPr="00C37663" w14:paraId="363A8060" w14:textId="77777777" w:rsidTr="00DC3810">
        <w:trPr>
          <w:trHeight w:val="300"/>
        </w:trPr>
        <w:tc>
          <w:tcPr>
            <w:tcW w:w="1872" w:type="pct"/>
            <w:shd w:val="clear" w:color="auto" w:fill="8EAADB" w:themeFill="accent1" w:themeFillTint="99"/>
            <w:noWrap/>
            <w:hideMark/>
          </w:tcPr>
          <w:p w14:paraId="05C45902"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60-64 lata</w:t>
            </w:r>
          </w:p>
        </w:tc>
        <w:tc>
          <w:tcPr>
            <w:tcW w:w="624" w:type="pct"/>
            <w:shd w:val="clear" w:color="auto" w:fill="auto"/>
            <w:noWrap/>
            <w:hideMark/>
          </w:tcPr>
          <w:p w14:paraId="5897489D"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13,6</w:t>
            </w:r>
          </w:p>
        </w:tc>
        <w:tc>
          <w:tcPr>
            <w:tcW w:w="625" w:type="pct"/>
            <w:shd w:val="clear" w:color="auto" w:fill="auto"/>
            <w:noWrap/>
            <w:hideMark/>
          </w:tcPr>
          <w:p w14:paraId="3EC9934A"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19,6</w:t>
            </w:r>
          </w:p>
        </w:tc>
        <w:tc>
          <w:tcPr>
            <w:tcW w:w="625" w:type="pct"/>
            <w:shd w:val="clear" w:color="auto" w:fill="auto"/>
            <w:noWrap/>
            <w:hideMark/>
          </w:tcPr>
          <w:p w14:paraId="56245912"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8,4</w:t>
            </w:r>
          </w:p>
        </w:tc>
        <w:tc>
          <w:tcPr>
            <w:tcW w:w="625" w:type="pct"/>
            <w:shd w:val="clear" w:color="auto" w:fill="auto"/>
            <w:noWrap/>
            <w:hideMark/>
          </w:tcPr>
          <w:p w14:paraId="4B79E38D"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13,4</w:t>
            </w:r>
          </w:p>
        </w:tc>
        <w:tc>
          <w:tcPr>
            <w:tcW w:w="629" w:type="pct"/>
            <w:shd w:val="clear" w:color="auto" w:fill="auto"/>
            <w:noWrap/>
            <w:hideMark/>
          </w:tcPr>
          <w:p w14:paraId="1E1B7429"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14,0</w:t>
            </w:r>
          </w:p>
        </w:tc>
      </w:tr>
      <w:tr w:rsidR="00452AAD" w:rsidRPr="00C37663" w14:paraId="7EAE4279" w14:textId="77777777" w:rsidTr="00DC3810">
        <w:trPr>
          <w:trHeight w:val="300"/>
        </w:trPr>
        <w:tc>
          <w:tcPr>
            <w:tcW w:w="1872" w:type="pct"/>
            <w:shd w:val="clear" w:color="auto" w:fill="8EAADB" w:themeFill="accent1" w:themeFillTint="99"/>
            <w:noWrap/>
            <w:hideMark/>
          </w:tcPr>
          <w:p w14:paraId="7D5BBB96"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65-69</w:t>
            </w:r>
          </w:p>
        </w:tc>
        <w:tc>
          <w:tcPr>
            <w:tcW w:w="624" w:type="pct"/>
            <w:shd w:val="clear" w:color="auto" w:fill="auto"/>
            <w:noWrap/>
            <w:hideMark/>
          </w:tcPr>
          <w:p w14:paraId="43386C18"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20,6</w:t>
            </w:r>
          </w:p>
        </w:tc>
        <w:tc>
          <w:tcPr>
            <w:tcW w:w="625" w:type="pct"/>
            <w:shd w:val="clear" w:color="auto" w:fill="auto"/>
            <w:noWrap/>
            <w:hideMark/>
          </w:tcPr>
          <w:p w14:paraId="66979F45"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30,0</w:t>
            </w:r>
          </w:p>
        </w:tc>
        <w:tc>
          <w:tcPr>
            <w:tcW w:w="625" w:type="pct"/>
            <w:shd w:val="clear" w:color="auto" w:fill="auto"/>
            <w:noWrap/>
            <w:hideMark/>
          </w:tcPr>
          <w:p w14:paraId="61C61000"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12,9</w:t>
            </w:r>
          </w:p>
        </w:tc>
        <w:tc>
          <w:tcPr>
            <w:tcW w:w="625" w:type="pct"/>
            <w:shd w:val="clear" w:color="auto" w:fill="auto"/>
            <w:noWrap/>
            <w:hideMark/>
          </w:tcPr>
          <w:p w14:paraId="0660CC76"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20,0</w:t>
            </w:r>
          </w:p>
        </w:tc>
        <w:tc>
          <w:tcPr>
            <w:tcW w:w="629" w:type="pct"/>
            <w:shd w:val="clear" w:color="auto" w:fill="auto"/>
            <w:noWrap/>
            <w:hideMark/>
          </w:tcPr>
          <w:p w14:paraId="4A907307"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21,7</w:t>
            </w:r>
          </w:p>
        </w:tc>
      </w:tr>
      <w:tr w:rsidR="00452AAD" w:rsidRPr="00C37663" w14:paraId="30E9DF61" w14:textId="77777777" w:rsidTr="00DC3810">
        <w:trPr>
          <w:trHeight w:val="300"/>
        </w:trPr>
        <w:tc>
          <w:tcPr>
            <w:tcW w:w="1872" w:type="pct"/>
            <w:shd w:val="clear" w:color="auto" w:fill="8EAADB" w:themeFill="accent1" w:themeFillTint="99"/>
            <w:noWrap/>
            <w:hideMark/>
          </w:tcPr>
          <w:p w14:paraId="7E3924B3"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70-74</w:t>
            </w:r>
          </w:p>
        </w:tc>
        <w:tc>
          <w:tcPr>
            <w:tcW w:w="624" w:type="pct"/>
            <w:shd w:val="clear" w:color="auto" w:fill="auto"/>
            <w:noWrap/>
            <w:hideMark/>
          </w:tcPr>
          <w:p w14:paraId="7141D3E5"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29,5</w:t>
            </w:r>
          </w:p>
        </w:tc>
        <w:tc>
          <w:tcPr>
            <w:tcW w:w="625" w:type="pct"/>
            <w:shd w:val="clear" w:color="auto" w:fill="auto"/>
            <w:noWrap/>
            <w:hideMark/>
          </w:tcPr>
          <w:p w14:paraId="056AF58D"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41,6</w:t>
            </w:r>
          </w:p>
        </w:tc>
        <w:tc>
          <w:tcPr>
            <w:tcW w:w="625" w:type="pct"/>
            <w:shd w:val="clear" w:color="auto" w:fill="auto"/>
            <w:noWrap/>
            <w:hideMark/>
          </w:tcPr>
          <w:p w14:paraId="735AD15A"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20,7</w:t>
            </w:r>
          </w:p>
        </w:tc>
        <w:tc>
          <w:tcPr>
            <w:tcW w:w="625" w:type="pct"/>
            <w:shd w:val="clear" w:color="auto" w:fill="auto"/>
            <w:noWrap/>
            <w:hideMark/>
          </w:tcPr>
          <w:p w14:paraId="7E1E4D32"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28,7</w:t>
            </w:r>
          </w:p>
        </w:tc>
        <w:tc>
          <w:tcPr>
            <w:tcW w:w="629" w:type="pct"/>
            <w:shd w:val="clear" w:color="auto" w:fill="auto"/>
            <w:noWrap/>
            <w:hideMark/>
          </w:tcPr>
          <w:p w14:paraId="6B847FC2"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31,0</w:t>
            </w:r>
          </w:p>
        </w:tc>
      </w:tr>
      <w:tr w:rsidR="00452AAD" w:rsidRPr="00C37663" w14:paraId="27C61D5B" w14:textId="77777777" w:rsidTr="00DC3810">
        <w:trPr>
          <w:trHeight w:val="300"/>
        </w:trPr>
        <w:tc>
          <w:tcPr>
            <w:tcW w:w="1872" w:type="pct"/>
            <w:shd w:val="clear" w:color="auto" w:fill="8EAADB" w:themeFill="accent1" w:themeFillTint="99"/>
            <w:noWrap/>
            <w:hideMark/>
          </w:tcPr>
          <w:p w14:paraId="172B60E9"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75-79</w:t>
            </w:r>
          </w:p>
        </w:tc>
        <w:tc>
          <w:tcPr>
            <w:tcW w:w="624" w:type="pct"/>
            <w:shd w:val="clear" w:color="auto" w:fill="auto"/>
            <w:noWrap/>
            <w:hideMark/>
          </w:tcPr>
          <w:p w14:paraId="763187DC"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43,7</w:t>
            </w:r>
          </w:p>
        </w:tc>
        <w:tc>
          <w:tcPr>
            <w:tcW w:w="625" w:type="pct"/>
            <w:shd w:val="clear" w:color="auto" w:fill="auto"/>
            <w:noWrap/>
            <w:hideMark/>
          </w:tcPr>
          <w:p w14:paraId="6535EC1F"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59,3</w:t>
            </w:r>
          </w:p>
        </w:tc>
        <w:tc>
          <w:tcPr>
            <w:tcW w:w="625" w:type="pct"/>
            <w:shd w:val="clear" w:color="auto" w:fill="auto"/>
            <w:noWrap/>
            <w:hideMark/>
          </w:tcPr>
          <w:p w14:paraId="60B03C00"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33,8</w:t>
            </w:r>
          </w:p>
        </w:tc>
        <w:tc>
          <w:tcPr>
            <w:tcW w:w="625" w:type="pct"/>
            <w:shd w:val="clear" w:color="auto" w:fill="auto"/>
            <w:noWrap/>
            <w:hideMark/>
          </w:tcPr>
          <w:p w14:paraId="63FAA490"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42,8</w:t>
            </w:r>
          </w:p>
        </w:tc>
        <w:tc>
          <w:tcPr>
            <w:tcW w:w="629" w:type="pct"/>
            <w:shd w:val="clear" w:color="auto" w:fill="auto"/>
            <w:noWrap/>
            <w:hideMark/>
          </w:tcPr>
          <w:p w14:paraId="21881CFA"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45,7</w:t>
            </w:r>
          </w:p>
        </w:tc>
      </w:tr>
      <w:tr w:rsidR="00452AAD" w:rsidRPr="00C37663" w14:paraId="13EAB424" w14:textId="77777777" w:rsidTr="00DC3810">
        <w:trPr>
          <w:trHeight w:val="300"/>
        </w:trPr>
        <w:tc>
          <w:tcPr>
            <w:tcW w:w="1872" w:type="pct"/>
            <w:shd w:val="clear" w:color="auto" w:fill="8EAADB" w:themeFill="accent1" w:themeFillTint="99"/>
            <w:noWrap/>
            <w:hideMark/>
          </w:tcPr>
          <w:p w14:paraId="7660E706"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t xml:space="preserve">         80-84</w:t>
            </w:r>
          </w:p>
        </w:tc>
        <w:tc>
          <w:tcPr>
            <w:tcW w:w="624" w:type="pct"/>
            <w:shd w:val="clear" w:color="auto" w:fill="auto"/>
            <w:noWrap/>
            <w:hideMark/>
          </w:tcPr>
          <w:p w14:paraId="7E8BCF81"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73,4</w:t>
            </w:r>
          </w:p>
        </w:tc>
        <w:tc>
          <w:tcPr>
            <w:tcW w:w="625" w:type="pct"/>
            <w:shd w:val="clear" w:color="auto" w:fill="auto"/>
            <w:noWrap/>
            <w:hideMark/>
          </w:tcPr>
          <w:p w14:paraId="54A491A8"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95,2</w:t>
            </w:r>
          </w:p>
        </w:tc>
        <w:tc>
          <w:tcPr>
            <w:tcW w:w="625" w:type="pct"/>
            <w:shd w:val="clear" w:color="auto" w:fill="auto"/>
            <w:noWrap/>
            <w:hideMark/>
          </w:tcPr>
          <w:p w14:paraId="4874B55E"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62,3</w:t>
            </w:r>
          </w:p>
        </w:tc>
        <w:tc>
          <w:tcPr>
            <w:tcW w:w="625" w:type="pct"/>
            <w:shd w:val="clear" w:color="auto" w:fill="auto"/>
            <w:noWrap/>
            <w:hideMark/>
          </w:tcPr>
          <w:p w14:paraId="405EC119"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70,9</w:t>
            </w:r>
          </w:p>
        </w:tc>
        <w:tc>
          <w:tcPr>
            <w:tcW w:w="629" w:type="pct"/>
            <w:shd w:val="clear" w:color="auto" w:fill="auto"/>
            <w:noWrap/>
            <w:hideMark/>
          </w:tcPr>
          <w:p w14:paraId="0E22AFC8"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78,2</w:t>
            </w:r>
          </w:p>
        </w:tc>
      </w:tr>
      <w:tr w:rsidR="00452AAD" w:rsidRPr="00C37663" w14:paraId="453F4A00" w14:textId="77777777" w:rsidTr="00DC3810">
        <w:trPr>
          <w:trHeight w:val="300"/>
        </w:trPr>
        <w:tc>
          <w:tcPr>
            <w:tcW w:w="1872" w:type="pct"/>
            <w:shd w:val="clear" w:color="auto" w:fill="8EAADB" w:themeFill="accent1" w:themeFillTint="99"/>
            <w:noWrap/>
            <w:hideMark/>
          </w:tcPr>
          <w:p w14:paraId="2E0D7896" w14:textId="77777777" w:rsidR="00452AAD" w:rsidRPr="00C37663" w:rsidRDefault="00452AAD" w:rsidP="00452AAD">
            <w:pPr>
              <w:spacing w:after="0" w:line="240" w:lineRule="auto"/>
              <w:rPr>
                <w:rFonts w:ascii="Lato" w:eastAsia="Times New Roman" w:hAnsi="Lato" w:cs="Arial"/>
                <w:sz w:val="18"/>
                <w:szCs w:val="18"/>
                <w:lang w:eastAsia="pl-PL"/>
              </w:rPr>
            </w:pPr>
            <w:r w:rsidRPr="00C37663">
              <w:rPr>
                <w:rFonts w:ascii="Lato" w:eastAsia="Times New Roman" w:hAnsi="Lato" w:cs="Arial"/>
                <w:sz w:val="18"/>
                <w:szCs w:val="18"/>
                <w:lang w:eastAsia="pl-PL"/>
              </w:rPr>
              <w:lastRenderedPageBreak/>
              <w:t xml:space="preserve">         85 lat i więcej</w:t>
            </w:r>
          </w:p>
        </w:tc>
        <w:tc>
          <w:tcPr>
            <w:tcW w:w="624" w:type="pct"/>
            <w:shd w:val="clear" w:color="auto" w:fill="auto"/>
            <w:noWrap/>
            <w:hideMark/>
          </w:tcPr>
          <w:p w14:paraId="55D7CC1C"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168,9</w:t>
            </w:r>
          </w:p>
        </w:tc>
        <w:tc>
          <w:tcPr>
            <w:tcW w:w="625" w:type="pct"/>
            <w:shd w:val="clear" w:color="auto" w:fill="auto"/>
            <w:noWrap/>
            <w:hideMark/>
          </w:tcPr>
          <w:p w14:paraId="52BE4229"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189,8</w:t>
            </w:r>
          </w:p>
        </w:tc>
        <w:tc>
          <w:tcPr>
            <w:tcW w:w="625" w:type="pct"/>
            <w:shd w:val="clear" w:color="auto" w:fill="auto"/>
            <w:noWrap/>
            <w:hideMark/>
          </w:tcPr>
          <w:p w14:paraId="67FCFFA0"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161,0</w:t>
            </w:r>
          </w:p>
        </w:tc>
        <w:tc>
          <w:tcPr>
            <w:tcW w:w="625" w:type="pct"/>
            <w:shd w:val="clear" w:color="auto" w:fill="auto"/>
            <w:noWrap/>
            <w:hideMark/>
          </w:tcPr>
          <w:p w14:paraId="6FE78A11" w14:textId="77777777" w:rsidR="00452AAD" w:rsidRPr="00C37663" w:rsidRDefault="00452AAD" w:rsidP="00452AAD">
            <w:pPr>
              <w:spacing w:after="0" w:line="240" w:lineRule="auto"/>
              <w:jc w:val="right"/>
              <w:rPr>
                <w:rFonts w:ascii="Lato" w:eastAsia="Times New Roman" w:hAnsi="Lato" w:cs="Arial"/>
                <w:sz w:val="18"/>
                <w:szCs w:val="18"/>
                <w:lang w:eastAsia="pl-PL"/>
              </w:rPr>
            </w:pPr>
            <w:r w:rsidRPr="00C37663">
              <w:rPr>
                <w:rFonts w:ascii="Lato" w:eastAsia="Times New Roman" w:hAnsi="Lato" w:cs="Arial"/>
                <w:sz w:val="18"/>
                <w:szCs w:val="18"/>
                <w:lang w:eastAsia="pl-PL"/>
              </w:rPr>
              <w:t>160,5</w:t>
            </w:r>
          </w:p>
        </w:tc>
        <w:tc>
          <w:tcPr>
            <w:tcW w:w="629" w:type="pct"/>
            <w:shd w:val="clear" w:color="auto" w:fill="auto"/>
            <w:noWrap/>
            <w:hideMark/>
          </w:tcPr>
          <w:p w14:paraId="20A8B26D" w14:textId="77777777" w:rsidR="00452AAD" w:rsidRPr="00C37663" w:rsidRDefault="00452AAD" w:rsidP="00452AAD">
            <w:pPr>
              <w:spacing w:after="0" w:line="240" w:lineRule="auto"/>
              <w:jc w:val="right"/>
              <w:rPr>
                <w:rFonts w:ascii="Lato" w:eastAsia="Times New Roman" w:hAnsi="Lato" w:cs="Arial"/>
                <w:color w:val="000000"/>
                <w:sz w:val="18"/>
                <w:szCs w:val="18"/>
                <w:lang w:eastAsia="pl-PL"/>
              </w:rPr>
            </w:pPr>
            <w:r w:rsidRPr="00C37663">
              <w:rPr>
                <w:rFonts w:ascii="Lato" w:eastAsia="Times New Roman" w:hAnsi="Lato" w:cs="Arial"/>
                <w:color w:val="000000"/>
                <w:sz w:val="18"/>
                <w:szCs w:val="18"/>
                <w:lang w:eastAsia="pl-PL"/>
              </w:rPr>
              <w:t>184,4</w:t>
            </w:r>
          </w:p>
        </w:tc>
      </w:tr>
    </w:tbl>
    <w:p w14:paraId="60B877E4" w14:textId="26262A7A" w:rsidR="00452AAD" w:rsidRPr="009E6F68" w:rsidRDefault="00452AAD" w:rsidP="009E6F68">
      <w:pPr>
        <w:pStyle w:val="Default"/>
        <w:jc w:val="both"/>
        <w:rPr>
          <w:rFonts w:ascii="Lato" w:hAnsi="Lato"/>
          <w:color w:val="auto"/>
          <w:sz w:val="16"/>
          <w:szCs w:val="16"/>
        </w:rPr>
      </w:pPr>
      <w:r w:rsidRPr="009E6F68">
        <w:rPr>
          <w:rFonts w:ascii="Lato" w:hAnsi="Lato"/>
          <w:color w:val="auto"/>
          <w:sz w:val="16"/>
          <w:szCs w:val="16"/>
          <w:vertAlign w:val="superscript"/>
        </w:rPr>
        <w:t xml:space="preserve">a </w:t>
      </w:r>
      <w:r w:rsidRPr="009E6F68">
        <w:rPr>
          <w:rFonts w:ascii="Lato" w:hAnsi="Lato"/>
          <w:color w:val="auto"/>
          <w:sz w:val="16"/>
          <w:szCs w:val="16"/>
        </w:rPr>
        <w:t>Liczba zgonów osób w danym wieku na 1000 ludności w danym wieku</w:t>
      </w:r>
    </w:p>
    <w:p w14:paraId="21384CA2" w14:textId="087D35ED" w:rsidR="00452AAD" w:rsidRPr="009E6F68" w:rsidRDefault="00452AAD" w:rsidP="009E6F68">
      <w:pPr>
        <w:pStyle w:val="Default"/>
        <w:jc w:val="both"/>
        <w:rPr>
          <w:rFonts w:ascii="Lato" w:hAnsi="Lato"/>
          <w:color w:val="auto"/>
          <w:sz w:val="16"/>
          <w:szCs w:val="16"/>
        </w:rPr>
      </w:pPr>
      <w:r w:rsidRPr="009E6F68">
        <w:rPr>
          <w:rFonts w:ascii="Lato" w:hAnsi="Lato"/>
          <w:color w:val="auto"/>
          <w:sz w:val="16"/>
          <w:szCs w:val="16"/>
        </w:rPr>
        <w:t>Źródło: Wyniki bieżących badań GUS</w:t>
      </w:r>
    </w:p>
    <w:p w14:paraId="49CC727C" w14:textId="77777777" w:rsidR="00452AAD" w:rsidRDefault="00452AAD" w:rsidP="00452AAD">
      <w:pPr>
        <w:autoSpaceDE w:val="0"/>
        <w:autoSpaceDN w:val="0"/>
        <w:adjustRightInd w:val="0"/>
        <w:spacing w:after="0" w:line="240" w:lineRule="auto"/>
        <w:jc w:val="both"/>
        <w:rPr>
          <w:rFonts w:ascii="Lato" w:hAnsi="Lato"/>
          <w:sz w:val="20"/>
          <w:szCs w:val="20"/>
        </w:rPr>
      </w:pPr>
    </w:p>
    <w:p w14:paraId="5AA35436" w14:textId="1999A12B" w:rsidR="00C63D82" w:rsidRDefault="00452AAD" w:rsidP="009E6F68">
      <w:pPr>
        <w:autoSpaceDE w:val="0"/>
        <w:autoSpaceDN w:val="0"/>
        <w:adjustRightInd w:val="0"/>
        <w:spacing w:after="0" w:line="240" w:lineRule="auto"/>
        <w:jc w:val="both"/>
        <w:rPr>
          <w:rFonts w:ascii="Lato" w:hAnsi="Lato"/>
          <w:sz w:val="20"/>
          <w:szCs w:val="20"/>
        </w:rPr>
      </w:pPr>
      <w:r w:rsidRPr="00452AAD">
        <w:rPr>
          <w:rFonts w:ascii="Lato" w:hAnsi="Lato"/>
          <w:sz w:val="20"/>
          <w:szCs w:val="20"/>
        </w:rPr>
        <w:t>W 2022 r. liczba zgonów osób w wieku 60 lat i więcej przypadająca na 1000 ludności w tym wieku wyniosła 39,8, co oznacza spadek w stosunku do roku poprzedniego o 6,6. Umieralność wśród mężczyzn jest zdecydowanie wyższa niż wśród kobiet i proces ten nasila się wraz z wiekiem. Współczynnik zgonów wśród mężczyzn w wieku senioralnym w 2022 r. wyniósł 45,5, a wśród kobiet ukształtował się na poziomie 35,7. Obserwuje się również wyższą umieralność wśród seniorów zamieszkałych na wsi niż w mieście. Współczynnik zgonów osób starszych na wsi wyniósł 41,5, podczas gdy w mieście ukształtował się na poziomie 38,8.</w:t>
      </w:r>
    </w:p>
    <w:p w14:paraId="35C8A1B9" w14:textId="6CF10B66" w:rsidR="00B306CA" w:rsidRDefault="00B306CA" w:rsidP="009E6F68">
      <w:pPr>
        <w:autoSpaceDE w:val="0"/>
        <w:autoSpaceDN w:val="0"/>
        <w:adjustRightInd w:val="0"/>
        <w:spacing w:after="0" w:line="240" w:lineRule="auto"/>
        <w:jc w:val="both"/>
        <w:rPr>
          <w:rFonts w:ascii="Lato" w:hAnsi="Lato"/>
          <w:sz w:val="20"/>
          <w:szCs w:val="20"/>
        </w:rPr>
      </w:pPr>
    </w:p>
    <w:p w14:paraId="5167A783" w14:textId="77777777" w:rsidR="00894B0E" w:rsidRDefault="00894B0E" w:rsidP="009E6F68">
      <w:pPr>
        <w:autoSpaceDE w:val="0"/>
        <w:autoSpaceDN w:val="0"/>
        <w:adjustRightInd w:val="0"/>
        <w:spacing w:after="0" w:line="240" w:lineRule="auto"/>
        <w:jc w:val="both"/>
        <w:rPr>
          <w:rFonts w:ascii="Lato" w:eastAsia="MS Mincho" w:hAnsi="Lato"/>
          <w:sz w:val="20"/>
          <w:szCs w:val="20"/>
          <w:lang w:eastAsia="ja-JP"/>
        </w:rPr>
      </w:pPr>
      <w:r w:rsidRPr="00C63D82">
        <w:rPr>
          <w:rFonts w:ascii="Lato" w:eastAsia="MS Mincho" w:hAnsi="Lato"/>
          <w:sz w:val="20"/>
          <w:szCs w:val="20"/>
          <w:lang w:eastAsia="ja-JP"/>
        </w:rPr>
        <w:t>Wyniki Prognozy ludności na lata 2014–2050</w:t>
      </w:r>
      <w:r w:rsidRPr="00C63D82">
        <w:rPr>
          <w:rStyle w:val="Odwoanieprzypisudolnego"/>
          <w:rFonts w:ascii="Lato" w:eastAsia="MS Mincho" w:hAnsi="Lato"/>
          <w:sz w:val="20"/>
          <w:szCs w:val="20"/>
          <w:lang w:eastAsia="ja-JP"/>
        </w:rPr>
        <w:footnoteReference w:id="1"/>
      </w:r>
      <w:r w:rsidRPr="00C63D82">
        <w:rPr>
          <w:rFonts w:ascii="Lato" w:eastAsia="MS Mincho" w:hAnsi="Lato"/>
          <w:sz w:val="20"/>
          <w:szCs w:val="20"/>
          <w:lang w:eastAsia="ja-JP"/>
        </w:rPr>
        <w:t xml:space="preserve"> wskazują na pogłębianie się procesu starzenia społeczeństwa. Mimo przewidywanego spadku liczby ludności o ponad 4 mln do 2050 r. spodziewany jest systematyczny wzrost liczby ludności w wieku 60 lat lub więcej. Populacja osób w tym wieku wzrośnie w końcu horyzontu prognozy do 13,7 miliona i będzie stanowiła ponad 40% ogółu ludności.</w:t>
      </w:r>
    </w:p>
    <w:p w14:paraId="53B38FC2" w14:textId="77777777" w:rsidR="00894B0E" w:rsidRPr="00894B0E" w:rsidRDefault="00894B0E" w:rsidP="00894B0E">
      <w:pPr>
        <w:autoSpaceDE w:val="0"/>
        <w:autoSpaceDN w:val="0"/>
        <w:adjustRightInd w:val="0"/>
        <w:spacing w:after="0" w:line="240" w:lineRule="auto"/>
        <w:rPr>
          <w:rFonts w:ascii="Lato" w:hAnsi="Lato" w:cs="TimesNewRomanPSMT"/>
          <w:sz w:val="20"/>
          <w:szCs w:val="20"/>
        </w:rPr>
      </w:pPr>
    </w:p>
    <w:p w14:paraId="680E7135" w14:textId="55B1BCF2" w:rsidR="00A254DA" w:rsidRDefault="00A254DA" w:rsidP="00A254DA">
      <w:pPr>
        <w:pStyle w:val="Legenda"/>
        <w:keepNext/>
      </w:pPr>
      <w:bookmarkStart w:id="7" w:name="_Toc142565972"/>
      <w:r>
        <w:t xml:space="preserve">Tabela </w:t>
      </w:r>
      <w:fldSimple w:instr=" SEQ Tabela \* ARABIC ">
        <w:r w:rsidR="00AA385B">
          <w:rPr>
            <w:noProof/>
          </w:rPr>
          <w:t>6</w:t>
        </w:r>
      </w:fldSimple>
      <w:r>
        <w:t xml:space="preserve"> Prognoza ludności</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3"/>
        <w:gridCol w:w="1842"/>
        <w:gridCol w:w="1153"/>
        <w:gridCol w:w="1153"/>
        <w:gridCol w:w="1153"/>
        <w:gridCol w:w="1153"/>
        <w:gridCol w:w="1159"/>
      </w:tblGrid>
      <w:tr w:rsidR="00A254DA" w:rsidRPr="00DC3810" w14:paraId="7F2C47C3" w14:textId="77777777" w:rsidTr="00DC3810">
        <w:trPr>
          <w:trHeight w:val="318"/>
        </w:trPr>
        <w:tc>
          <w:tcPr>
            <w:tcW w:w="801" w:type="pct"/>
            <w:vMerge w:val="restart"/>
            <w:shd w:val="clear" w:color="auto" w:fill="8EAADB" w:themeFill="accent1" w:themeFillTint="99"/>
            <w:vAlign w:val="center"/>
            <w:hideMark/>
          </w:tcPr>
          <w:p w14:paraId="4A8D2F12"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Rok prognozy</w:t>
            </w:r>
          </w:p>
        </w:tc>
        <w:tc>
          <w:tcPr>
            <w:tcW w:w="1016" w:type="pct"/>
            <w:vMerge w:val="restart"/>
            <w:shd w:val="clear" w:color="auto" w:fill="8EAADB" w:themeFill="accent1" w:themeFillTint="99"/>
            <w:vAlign w:val="center"/>
            <w:hideMark/>
          </w:tcPr>
          <w:p w14:paraId="2553AE71"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Grupy wieku</w:t>
            </w:r>
          </w:p>
        </w:tc>
        <w:tc>
          <w:tcPr>
            <w:tcW w:w="636" w:type="pct"/>
            <w:shd w:val="clear" w:color="auto" w:fill="8EAADB" w:themeFill="accent1" w:themeFillTint="99"/>
            <w:vAlign w:val="center"/>
            <w:hideMark/>
          </w:tcPr>
          <w:p w14:paraId="1657E3EB"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636" w:type="pct"/>
            <w:shd w:val="clear" w:color="auto" w:fill="8EAADB" w:themeFill="accent1" w:themeFillTint="99"/>
            <w:vAlign w:val="center"/>
            <w:hideMark/>
          </w:tcPr>
          <w:p w14:paraId="44CF710F"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36" w:type="pct"/>
            <w:shd w:val="clear" w:color="auto" w:fill="8EAADB" w:themeFill="accent1" w:themeFillTint="99"/>
            <w:vAlign w:val="center"/>
            <w:hideMark/>
          </w:tcPr>
          <w:p w14:paraId="65311940"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636" w:type="pct"/>
            <w:shd w:val="clear" w:color="auto" w:fill="8EAADB" w:themeFill="accent1" w:themeFillTint="99"/>
            <w:vAlign w:val="center"/>
            <w:hideMark/>
          </w:tcPr>
          <w:p w14:paraId="27A28D0F"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639" w:type="pct"/>
            <w:shd w:val="clear" w:color="auto" w:fill="8EAADB" w:themeFill="accent1" w:themeFillTint="99"/>
            <w:vAlign w:val="center"/>
            <w:hideMark/>
          </w:tcPr>
          <w:p w14:paraId="220A4601"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r>
      <w:tr w:rsidR="00A254DA" w:rsidRPr="00DC3810" w14:paraId="3A6808BF" w14:textId="77777777" w:rsidTr="00DC3810">
        <w:trPr>
          <w:trHeight w:val="58"/>
        </w:trPr>
        <w:tc>
          <w:tcPr>
            <w:tcW w:w="801" w:type="pct"/>
            <w:vMerge/>
            <w:shd w:val="clear" w:color="auto" w:fill="8EAADB" w:themeFill="accent1" w:themeFillTint="99"/>
            <w:vAlign w:val="center"/>
            <w:hideMark/>
          </w:tcPr>
          <w:p w14:paraId="60C9F4E8" w14:textId="77777777" w:rsidR="00A254DA" w:rsidRPr="00DC3810" w:rsidRDefault="00A254DA" w:rsidP="00A254DA">
            <w:pPr>
              <w:spacing w:after="0" w:line="240" w:lineRule="auto"/>
              <w:rPr>
                <w:rFonts w:ascii="Lato" w:eastAsia="Times New Roman" w:hAnsi="Lato" w:cs="Arial"/>
                <w:sz w:val="18"/>
                <w:szCs w:val="18"/>
                <w:lang w:eastAsia="pl-PL"/>
              </w:rPr>
            </w:pPr>
          </w:p>
        </w:tc>
        <w:tc>
          <w:tcPr>
            <w:tcW w:w="1016" w:type="pct"/>
            <w:vMerge/>
            <w:shd w:val="clear" w:color="auto" w:fill="8EAADB" w:themeFill="accent1" w:themeFillTint="99"/>
            <w:vAlign w:val="center"/>
            <w:hideMark/>
          </w:tcPr>
          <w:p w14:paraId="3EC545DE" w14:textId="77777777" w:rsidR="00A254DA" w:rsidRPr="00DC3810" w:rsidRDefault="00A254DA" w:rsidP="00A254DA">
            <w:pPr>
              <w:spacing w:after="0" w:line="240" w:lineRule="auto"/>
              <w:rPr>
                <w:rFonts w:ascii="Lato" w:eastAsia="Times New Roman" w:hAnsi="Lato" w:cs="Arial"/>
                <w:sz w:val="18"/>
                <w:szCs w:val="18"/>
                <w:lang w:eastAsia="pl-PL"/>
              </w:rPr>
            </w:pPr>
          </w:p>
        </w:tc>
        <w:tc>
          <w:tcPr>
            <w:tcW w:w="3183" w:type="pct"/>
            <w:gridSpan w:val="5"/>
            <w:shd w:val="clear" w:color="auto" w:fill="8EAADB" w:themeFill="accent1" w:themeFillTint="99"/>
            <w:vAlign w:val="center"/>
            <w:hideMark/>
          </w:tcPr>
          <w:p w14:paraId="31162A78"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tysiącach</w:t>
            </w:r>
          </w:p>
        </w:tc>
      </w:tr>
      <w:tr w:rsidR="00A254DA" w:rsidRPr="00DC3810" w14:paraId="6CBE38DB" w14:textId="77777777" w:rsidTr="00DC3810">
        <w:trPr>
          <w:trHeight w:val="300"/>
        </w:trPr>
        <w:tc>
          <w:tcPr>
            <w:tcW w:w="801" w:type="pct"/>
            <w:shd w:val="clear" w:color="auto" w:fill="8EAADB" w:themeFill="accent1" w:themeFillTint="99"/>
            <w:noWrap/>
            <w:vAlign w:val="center"/>
            <w:hideMark/>
          </w:tcPr>
          <w:p w14:paraId="44246858" w14:textId="77777777" w:rsidR="00A254DA" w:rsidRPr="00DC3810" w:rsidRDefault="00A254DA" w:rsidP="00A254DA">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2030</w:t>
            </w:r>
          </w:p>
        </w:tc>
        <w:tc>
          <w:tcPr>
            <w:tcW w:w="1016" w:type="pct"/>
            <w:shd w:val="clear" w:color="auto" w:fill="auto"/>
            <w:noWrap/>
            <w:vAlign w:val="center"/>
            <w:hideMark/>
          </w:tcPr>
          <w:p w14:paraId="43C3D375" w14:textId="77777777" w:rsidR="00A254DA" w:rsidRPr="00DC3810" w:rsidRDefault="00A254DA" w:rsidP="00A254DA">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Ogółem</w:t>
            </w:r>
          </w:p>
        </w:tc>
        <w:tc>
          <w:tcPr>
            <w:tcW w:w="636" w:type="pct"/>
            <w:shd w:val="clear" w:color="auto" w:fill="auto"/>
            <w:noWrap/>
            <w:vAlign w:val="center"/>
            <w:hideMark/>
          </w:tcPr>
          <w:p w14:paraId="4A940107"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37 185</w:t>
            </w:r>
          </w:p>
        </w:tc>
        <w:tc>
          <w:tcPr>
            <w:tcW w:w="636" w:type="pct"/>
            <w:shd w:val="clear" w:color="auto" w:fill="auto"/>
            <w:noWrap/>
            <w:vAlign w:val="center"/>
            <w:hideMark/>
          </w:tcPr>
          <w:p w14:paraId="2AF834FF"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21 618</w:t>
            </w:r>
          </w:p>
        </w:tc>
        <w:tc>
          <w:tcPr>
            <w:tcW w:w="636" w:type="pct"/>
            <w:shd w:val="clear" w:color="auto" w:fill="auto"/>
            <w:noWrap/>
            <w:vAlign w:val="center"/>
            <w:hideMark/>
          </w:tcPr>
          <w:p w14:paraId="0F15F11B"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15 567</w:t>
            </w:r>
          </w:p>
        </w:tc>
        <w:tc>
          <w:tcPr>
            <w:tcW w:w="636" w:type="pct"/>
            <w:shd w:val="clear" w:color="auto" w:fill="auto"/>
            <w:noWrap/>
            <w:vAlign w:val="center"/>
            <w:hideMark/>
          </w:tcPr>
          <w:p w14:paraId="57CF63D0"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18 002</w:t>
            </w:r>
          </w:p>
        </w:tc>
        <w:tc>
          <w:tcPr>
            <w:tcW w:w="639" w:type="pct"/>
            <w:shd w:val="clear" w:color="auto" w:fill="auto"/>
            <w:noWrap/>
            <w:vAlign w:val="center"/>
            <w:hideMark/>
          </w:tcPr>
          <w:p w14:paraId="4A34F595"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19 183</w:t>
            </w:r>
          </w:p>
        </w:tc>
      </w:tr>
      <w:tr w:rsidR="00A254DA" w:rsidRPr="00DC3810" w14:paraId="2B926BE3" w14:textId="77777777" w:rsidTr="00A254DA">
        <w:trPr>
          <w:trHeight w:val="300"/>
        </w:trPr>
        <w:tc>
          <w:tcPr>
            <w:tcW w:w="801" w:type="pct"/>
            <w:shd w:val="clear" w:color="auto" w:fill="auto"/>
            <w:noWrap/>
            <w:vAlign w:val="center"/>
            <w:hideMark/>
          </w:tcPr>
          <w:p w14:paraId="589820B2"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5F2B1F4F"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w tym 60 lat i więcej </w:t>
            </w:r>
          </w:p>
        </w:tc>
        <w:tc>
          <w:tcPr>
            <w:tcW w:w="636" w:type="pct"/>
            <w:shd w:val="clear" w:color="auto" w:fill="auto"/>
            <w:noWrap/>
            <w:vAlign w:val="center"/>
            <w:hideMark/>
          </w:tcPr>
          <w:p w14:paraId="145D00F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10 784</w:t>
            </w:r>
          </w:p>
        </w:tc>
        <w:tc>
          <w:tcPr>
            <w:tcW w:w="636" w:type="pct"/>
            <w:shd w:val="clear" w:color="auto" w:fill="auto"/>
            <w:noWrap/>
            <w:vAlign w:val="center"/>
            <w:hideMark/>
          </w:tcPr>
          <w:p w14:paraId="4EFA4FA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6 692</w:t>
            </w:r>
          </w:p>
        </w:tc>
        <w:tc>
          <w:tcPr>
            <w:tcW w:w="636" w:type="pct"/>
            <w:shd w:val="clear" w:color="auto" w:fill="auto"/>
            <w:noWrap/>
            <w:vAlign w:val="center"/>
            <w:hideMark/>
          </w:tcPr>
          <w:p w14:paraId="73CEB0A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4 092</w:t>
            </w:r>
          </w:p>
        </w:tc>
        <w:tc>
          <w:tcPr>
            <w:tcW w:w="636" w:type="pct"/>
            <w:shd w:val="clear" w:color="auto" w:fill="auto"/>
            <w:noWrap/>
            <w:vAlign w:val="center"/>
            <w:hideMark/>
          </w:tcPr>
          <w:p w14:paraId="5B5BE19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4 588</w:t>
            </w:r>
          </w:p>
        </w:tc>
        <w:tc>
          <w:tcPr>
            <w:tcW w:w="639" w:type="pct"/>
            <w:shd w:val="clear" w:color="auto" w:fill="auto"/>
            <w:noWrap/>
            <w:vAlign w:val="center"/>
            <w:hideMark/>
          </w:tcPr>
          <w:p w14:paraId="6EEA3F7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6 196</w:t>
            </w:r>
          </w:p>
        </w:tc>
      </w:tr>
      <w:tr w:rsidR="00A254DA" w:rsidRPr="00DC3810" w14:paraId="5B1DA1E1" w14:textId="77777777" w:rsidTr="00A254DA">
        <w:trPr>
          <w:trHeight w:val="300"/>
        </w:trPr>
        <w:tc>
          <w:tcPr>
            <w:tcW w:w="801" w:type="pct"/>
            <w:shd w:val="clear" w:color="auto" w:fill="auto"/>
            <w:noWrap/>
            <w:vAlign w:val="center"/>
            <w:hideMark/>
          </w:tcPr>
          <w:p w14:paraId="2B41B669"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12FFB6E9"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60-64 lata</w:t>
            </w:r>
          </w:p>
        </w:tc>
        <w:tc>
          <w:tcPr>
            <w:tcW w:w="636" w:type="pct"/>
            <w:shd w:val="clear" w:color="auto" w:fill="auto"/>
            <w:noWrap/>
            <w:vAlign w:val="center"/>
            <w:hideMark/>
          </w:tcPr>
          <w:p w14:paraId="7718B72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2 137</w:t>
            </w:r>
          </w:p>
        </w:tc>
        <w:tc>
          <w:tcPr>
            <w:tcW w:w="636" w:type="pct"/>
            <w:shd w:val="clear" w:color="auto" w:fill="auto"/>
            <w:noWrap/>
            <w:vAlign w:val="center"/>
            <w:hideMark/>
          </w:tcPr>
          <w:p w14:paraId="0A380B7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1 215</w:t>
            </w:r>
          </w:p>
        </w:tc>
        <w:tc>
          <w:tcPr>
            <w:tcW w:w="636" w:type="pct"/>
            <w:shd w:val="clear" w:color="auto" w:fill="auto"/>
            <w:noWrap/>
            <w:vAlign w:val="center"/>
            <w:hideMark/>
          </w:tcPr>
          <w:p w14:paraId="231CD76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923</w:t>
            </w:r>
          </w:p>
        </w:tc>
        <w:tc>
          <w:tcPr>
            <w:tcW w:w="636" w:type="pct"/>
            <w:shd w:val="clear" w:color="auto" w:fill="auto"/>
            <w:noWrap/>
            <w:vAlign w:val="center"/>
            <w:hideMark/>
          </w:tcPr>
          <w:p w14:paraId="248172D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1 034</w:t>
            </w:r>
          </w:p>
        </w:tc>
        <w:tc>
          <w:tcPr>
            <w:tcW w:w="639" w:type="pct"/>
            <w:shd w:val="clear" w:color="auto" w:fill="auto"/>
            <w:noWrap/>
            <w:vAlign w:val="center"/>
            <w:hideMark/>
          </w:tcPr>
          <w:p w14:paraId="151ED6A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1 103</w:t>
            </w:r>
          </w:p>
        </w:tc>
      </w:tr>
      <w:tr w:rsidR="00A254DA" w:rsidRPr="00DC3810" w14:paraId="61934053" w14:textId="77777777" w:rsidTr="00A254DA">
        <w:trPr>
          <w:trHeight w:val="300"/>
        </w:trPr>
        <w:tc>
          <w:tcPr>
            <w:tcW w:w="801" w:type="pct"/>
            <w:shd w:val="clear" w:color="auto" w:fill="auto"/>
            <w:noWrap/>
            <w:vAlign w:val="center"/>
            <w:hideMark/>
          </w:tcPr>
          <w:p w14:paraId="1AD80D15"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6D7A9806"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65-69</w:t>
            </w:r>
          </w:p>
        </w:tc>
        <w:tc>
          <w:tcPr>
            <w:tcW w:w="636" w:type="pct"/>
            <w:shd w:val="clear" w:color="auto" w:fill="auto"/>
            <w:noWrap/>
            <w:vAlign w:val="center"/>
            <w:hideMark/>
          </w:tcPr>
          <w:p w14:paraId="1326FD4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2 109</w:t>
            </w:r>
          </w:p>
        </w:tc>
        <w:tc>
          <w:tcPr>
            <w:tcW w:w="636" w:type="pct"/>
            <w:shd w:val="clear" w:color="auto" w:fill="auto"/>
            <w:noWrap/>
            <w:vAlign w:val="center"/>
            <w:hideMark/>
          </w:tcPr>
          <w:p w14:paraId="59CEE08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1 226</w:t>
            </w:r>
          </w:p>
        </w:tc>
        <w:tc>
          <w:tcPr>
            <w:tcW w:w="636" w:type="pct"/>
            <w:shd w:val="clear" w:color="auto" w:fill="auto"/>
            <w:noWrap/>
            <w:vAlign w:val="center"/>
            <w:hideMark/>
          </w:tcPr>
          <w:p w14:paraId="7087CE0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883</w:t>
            </w:r>
          </w:p>
        </w:tc>
        <w:tc>
          <w:tcPr>
            <w:tcW w:w="636" w:type="pct"/>
            <w:shd w:val="clear" w:color="auto" w:fill="auto"/>
            <w:noWrap/>
            <w:vAlign w:val="center"/>
            <w:hideMark/>
          </w:tcPr>
          <w:p w14:paraId="24F753C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987</w:t>
            </w:r>
          </w:p>
        </w:tc>
        <w:tc>
          <w:tcPr>
            <w:tcW w:w="639" w:type="pct"/>
            <w:shd w:val="clear" w:color="auto" w:fill="auto"/>
            <w:noWrap/>
            <w:vAlign w:val="center"/>
            <w:hideMark/>
          </w:tcPr>
          <w:p w14:paraId="3F5601E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1 122</w:t>
            </w:r>
          </w:p>
        </w:tc>
      </w:tr>
      <w:tr w:rsidR="00A254DA" w:rsidRPr="00DC3810" w14:paraId="761B04EF" w14:textId="77777777" w:rsidTr="00A254DA">
        <w:trPr>
          <w:trHeight w:val="300"/>
        </w:trPr>
        <w:tc>
          <w:tcPr>
            <w:tcW w:w="801" w:type="pct"/>
            <w:shd w:val="clear" w:color="auto" w:fill="auto"/>
            <w:noWrap/>
            <w:vAlign w:val="center"/>
            <w:hideMark/>
          </w:tcPr>
          <w:p w14:paraId="69178857"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46D669CA"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70-74</w:t>
            </w:r>
          </w:p>
        </w:tc>
        <w:tc>
          <w:tcPr>
            <w:tcW w:w="636" w:type="pct"/>
            <w:shd w:val="clear" w:color="auto" w:fill="auto"/>
            <w:noWrap/>
            <w:vAlign w:val="center"/>
            <w:hideMark/>
          </w:tcPr>
          <w:p w14:paraId="2AA551B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2 324</w:t>
            </w:r>
          </w:p>
        </w:tc>
        <w:tc>
          <w:tcPr>
            <w:tcW w:w="636" w:type="pct"/>
            <w:shd w:val="clear" w:color="auto" w:fill="auto"/>
            <w:noWrap/>
            <w:vAlign w:val="center"/>
            <w:hideMark/>
          </w:tcPr>
          <w:p w14:paraId="233C791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1 445</w:t>
            </w:r>
          </w:p>
        </w:tc>
        <w:tc>
          <w:tcPr>
            <w:tcW w:w="636" w:type="pct"/>
            <w:shd w:val="clear" w:color="auto" w:fill="auto"/>
            <w:noWrap/>
            <w:vAlign w:val="center"/>
            <w:hideMark/>
          </w:tcPr>
          <w:p w14:paraId="61FEA6F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878</w:t>
            </w:r>
          </w:p>
        </w:tc>
        <w:tc>
          <w:tcPr>
            <w:tcW w:w="636" w:type="pct"/>
            <w:shd w:val="clear" w:color="auto" w:fill="auto"/>
            <w:noWrap/>
            <w:vAlign w:val="center"/>
            <w:hideMark/>
          </w:tcPr>
          <w:p w14:paraId="01577D3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1 027</w:t>
            </w:r>
          </w:p>
        </w:tc>
        <w:tc>
          <w:tcPr>
            <w:tcW w:w="639" w:type="pct"/>
            <w:shd w:val="clear" w:color="auto" w:fill="auto"/>
            <w:noWrap/>
            <w:vAlign w:val="center"/>
            <w:hideMark/>
          </w:tcPr>
          <w:p w14:paraId="146B5EA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1 297</w:t>
            </w:r>
          </w:p>
        </w:tc>
      </w:tr>
      <w:tr w:rsidR="00A254DA" w:rsidRPr="00DC3810" w14:paraId="02127ABB" w14:textId="77777777" w:rsidTr="00A254DA">
        <w:trPr>
          <w:trHeight w:val="300"/>
        </w:trPr>
        <w:tc>
          <w:tcPr>
            <w:tcW w:w="801" w:type="pct"/>
            <w:shd w:val="clear" w:color="auto" w:fill="auto"/>
            <w:noWrap/>
            <w:vAlign w:val="center"/>
            <w:hideMark/>
          </w:tcPr>
          <w:p w14:paraId="0599291F"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5FCB2F80"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75-79</w:t>
            </w:r>
          </w:p>
        </w:tc>
        <w:tc>
          <w:tcPr>
            <w:tcW w:w="636" w:type="pct"/>
            <w:shd w:val="clear" w:color="auto" w:fill="auto"/>
            <w:noWrap/>
            <w:vAlign w:val="center"/>
            <w:hideMark/>
          </w:tcPr>
          <w:p w14:paraId="10EA25E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2 008</w:t>
            </w:r>
          </w:p>
        </w:tc>
        <w:tc>
          <w:tcPr>
            <w:tcW w:w="636" w:type="pct"/>
            <w:shd w:val="clear" w:color="auto" w:fill="auto"/>
            <w:noWrap/>
            <w:vAlign w:val="center"/>
            <w:hideMark/>
          </w:tcPr>
          <w:p w14:paraId="01BCF80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1 323</w:t>
            </w:r>
          </w:p>
        </w:tc>
        <w:tc>
          <w:tcPr>
            <w:tcW w:w="636" w:type="pct"/>
            <w:shd w:val="clear" w:color="auto" w:fill="auto"/>
            <w:noWrap/>
            <w:vAlign w:val="center"/>
            <w:hideMark/>
          </w:tcPr>
          <w:p w14:paraId="498491C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685</w:t>
            </w:r>
          </w:p>
        </w:tc>
        <w:tc>
          <w:tcPr>
            <w:tcW w:w="636" w:type="pct"/>
            <w:shd w:val="clear" w:color="auto" w:fill="auto"/>
            <w:noWrap/>
            <w:vAlign w:val="center"/>
            <w:hideMark/>
          </w:tcPr>
          <w:p w14:paraId="7DD8E8E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817</w:t>
            </w:r>
          </w:p>
        </w:tc>
        <w:tc>
          <w:tcPr>
            <w:tcW w:w="639" w:type="pct"/>
            <w:shd w:val="clear" w:color="auto" w:fill="auto"/>
            <w:noWrap/>
            <w:vAlign w:val="center"/>
            <w:hideMark/>
          </w:tcPr>
          <w:p w14:paraId="056B57C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1 191</w:t>
            </w:r>
          </w:p>
        </w:tc>
      </w:tr>
      <w:tr w:rsidR="00A254DA" w:rsidRPr="00DC3810" w14:paraId="0DB2A4B0" w14:textId="77777777" w:rsidTr="00A254DA">
        <w:trPr>
          <w:trHeight w:val="300"/>
        </w:trPr>
        <w:tc>
          <w:tcPr>
            <w:tcW w:w="801" w:type="pct"/>
            <w:shd w:val="clear" w:color="auto" w:fill="auto"/>
            <w:noWrap/>
            <w:vAlign w:val="center"/>
            <w:hideMark/>
          </w:tcPr>
          <w:p w14:paraId="19FB15D4"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50811AD7"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80-84</w:t>
            </w:r>
          </w:p>
        </w:tc>
        <w:tc>
          <w:tcPr>
            <w:tcW w:w="636" w:type="pct"/>
            <w:shd w:val="clear" w:color="auto" w:fill="auto"/>
            <w:noWrap/>
            <w:vAlign w:val="center"/>
            <w:hideMark/>
          </w:tcPr>
          <w:p w14:paraId="03EF9D2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1 315</w:t>
            </w:r>
          </w:p>
        </w:tc>
        <w:tc>
          <w:tcPr>
            <w:tcW w:w="636" w:type="pct"/>
            <w:shd w:val="clear" w:color="auto" w:fill="auto"/>
            <w:noWrap/>
            <w:vAlign w:val="center"/>
            <w:hideMark/>
          </w:tcPr>
          <w:p w14:paraId="1A6B812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887</w:t>
            </w:r>
          </w:p>
        </w:tc>
        <w:tc>
          <w:tcPr>
            <w:tcW w:w="636" w:type="pct"/>
            <w:shd w:val="clear" w:color="auto" w:fill="auto"/>
            <w:noWrap/>
            <w:vAlign w:val="center"/>
            <w:hideMark/>
          </w:tcPr>
          <w:p w14:paraId="2945CB2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428</w:t>
            </w:r>
          </w:p>
        </w:tc>
        <w:tc>
          <w:tcPr>
            <w:tcW w:w="636" w:type="pct"/>
            <w:shd w:val="clear" w:color="auto" w:fill="auto"/>
            <w:noWrap/>
            <w:vAlign w:val="center"/>
            <w:hideMark/>
          </w:tcPr>
          <w:p w14:paraId="758F237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476</w:t>
            </w:r>
          </w:p>
        </w:tc>
        <w:tc>
          <w:tcPr>
            <w:tcW w:w="639" w:type="pct"/>
            <w:shd w:val="clear" w:color="auto" w:fill="auto"/>
            <w:noWrap/>
            <w:vAlign w:val="center"/>
            <w:hideMark/>
          </w:tcPr>
          <w:p w14:paraId="0F50114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839</w:t>
            </w:r>
          </w:p>
        </w:tc>
      </w:tr>
      <w:tr w:rsidR="00A254DA" w:rsidRPr="00DC3810" w14:paraId="5FB19719" w14:textId="77777777" w:rsidTr="00A254DA">
        <w:trPr>
          <w:trHeight w:val="300"/>
        </w:trPr>
        <w:tc>
          <w:tcPr>
            <w:tcW w:w="801" w:type="pct"/>
            <w:shd w:val="clear" w:color="auto" w:fill="auto"/>
            <w:noWrap/>
            <w:vAlign w:val="center"/>
            <w:hideMark/>
          </w:tcPr>
          <w:p w14:paraId="19649EA6"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44270E50"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85 lat i więcej</w:t>
            </w:r>
          </w:p>
        </w:tc>
        <w:tc>
          <w:tcPr>
            <w:tcW w:w="636" w:type="pct"/>
            <w:shd w:val="clear" w:color="auto" w:fill="auto"/>
            <w:noWrap/>
            <w:vAlign w:val="center"/>
            <w:hideMark/>
          </w:tcPr>
          <w:p w14:paraId="295CDBE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891</w:t>
            </w:r>
          </w:p>
        </w:tc>
        <w:tc>
          <w:tcPr>
            <w:tcW w:w="636" w:type="pct"/>
            <w:shd w:val="clear" w:color="auto" w:fill="auto"/>
            <w:noWrap/>
            <w:vAlign w:val="center"/>
            <w:hideMark/>
          </w:tcPr>
          <w:p w14:paraId="6A6CA8F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595</w:t>
            </w:r>
          </w:p>
        </w:tc>
        <w:tc>
          <w:tcPr>
            <w:tcW w:w="636" w:type="pct"/>
            <w:shd w:val="clear" w:color="auto" w:fill="auto"/>
            <w:noWrap/>
            <w:vAlign w:val="center"/>
            <w:hideMark/>
          </w:tcPr>
          <w:p w14:paraId="659A341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296</w:t>
            </w:r>
          </w:p>
        </w:tc>
        <w:tc>
          <w:tcPr>
            <w:tcW w:w="636" w:type="pct"/>
            <w:shd w:val="clear" w:color="auto" w:fill="auto"/>
            <w:noWrap/>
            <w:vAlign w:val="center"/>
            <w:hideMark/>
          </w:tcPr>
          <w:p w14:paraId="67CC361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248</w:t>
            </w:r>
          </w:p>
        </w:tc>
        <w:tc>
          <w:tcPr>
            <w:tcW w:w="639" w:type="pct"/>
            <w:shd w:val="clear" w:color="auto" w:fill="auto"/>
            <w:noWrap/>
            <w:vAlign w:val="center"/>
            <w:hideMark/>
          </w:tcPr>
          <w:p w14:paraId="2043AF8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643</w:t>
            </w:r>
          </w:p>
        </w:tc>
      </w:tr>
      <w:tr w:rsidR="00A254DA" w:rsidRPr="00DC3810" w14:paraId="6CB4F6D7" w14:textId="77777777" w:rsidTr="00DC3810">
        <w:trPr>
          <w:trHeight w:val="300"/>
        </w:trPr>
        <w:tc>
          <w:tcPr>
            <w:tcW w:w="801" w:type="pct"/>
            <w:shd w:val="clear" w:color="auto" w:fill="8EAADB" w:themeFill="accent1" w:themeFillTint="99"/>
            <w:noWrap/>
            <w:vAlign w:val="center"/>
            <w:hideMark/>
          </w:tcPr>
          <w:p w14:paraId="3AFE77BE" w14:textId="77777777" w:rsidR="00A254DA" w:rsidRPr="00DC3810" w:rsidRDefault="00A254DA" w:rsidP="00A254DA">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2040</w:t>
            </w:r>
          </w:p>
        </w:tc>
        <w:tc>
          <w:tcPr>
            <w:tcW w:w="1016" w:type="pct"/>
            <w:shd w:val="clear" w:color="auto" w:fill="auto"/>
            <w:noWrap/>
            <w:vAlign w:val="center"/>
            <w:hideMark/>
          </w:tcPr>
          <w:p w14:paraId="4F448FCF" w14:textId="77777777" w:rsidR="00A254DA" w:rsidRPr="00DC3810" w:rsidRDefault="00A254DA" w:rsidP="00A254DA">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Ogółem</w:t>
            </w:r>
          </w:p>
        </w:tc>
        <w:tc>
          <w:tcPr>
            <w:tcW w:w="636" w:type="pct"/>
            <w:shd w:val="clear" w:color="auto" w:fill="auto"/>
            <w:noWrap/>
            <w:vAlign w:val="center"/>
            <w:hideMark/>
          </w:tcPr>
          <w:p w14:paraId="144DE599"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35 668</w:t>
            </w:r>
          </w:p>
        </w:tc>
        <w:tc>
          <w:tcPr>
            <w:tcW w:w="636" w:type="pct"/>
            <w:shd w:val="clear" w:color="auto" w:fill="auto"/>
            <w:noWrap/>
            <w:vAlign w:val="center"/>
            <w:hideMark/>
          </w:tcPr>
          <w:p w14:paraId="0B6DD98E"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20 234</w:t>
            </w:r>
          </w:p>
        </w:tc>
        <w:tc>
          <w:tcPr>
            <w:tcW w:w="636" w:type="pct"/>
            <w:shd w:val="clear" w:color="auto" w:fill="auto"/>
            <w:noWrap/>
            <w:vAlign w:val="center"/>
            <w:hideMark/>
          </w:tcPr>
          <w:p w14:paraId="103FCE31"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15 434</w:t>
            </w:r>
          </w:p>
        </w:tc>
        <w:tc>
          <w:tcPr>
            <w:tcW w:w="636" w:type="pct"/>
            <w:shd w:val="clear" w:color="auto" w:fill="auto"/>
            <w:noWrap/>
            <w:vAlign w:val="center"/>
            <w:hideMark/>
          </w:tcPr>
          <w:p w14:paraId="7AD5EAB7"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17 294</w:t>
            </w:r>
          </w:p>
        </w:tc>
        <w:tc>
          <w:tcPr>
            <w:tcW w:w="639" w:type="pct"/>
            <w:shd w:val="clear" w:color="auto" w:fill="auto"/>
            <w:noWrap/>
            <w:vAlign w:val="center"/>
            <w:hideMark/>
          </w:tcPr>
          <w:p w14:paraId="7B9A622B"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18 374</w:t>
            </w:r>
          </w:p>
        </w:tc>
      </w:tr>
      <w:tr w:rsidR="00A254DA" w:rsidRPr="00DC3810" w14:paraId="202B94B8" w14:textId="77777777" w:rsidTr="00A254DA">
        <w:trPr>
          <w:trHeight w:val="300"/>
        </w:trPr>
        <w:tc>
          <w:tcPr>
            <w:tcW w:w="801" w:type="pct"/>
            <w:shd w:val="clear" w:color="auto" w:fill="auto"/>
            <w:noWrap/>
            <w:vAlign w:val="center"/>
            <w:hideMark/>
          </w:tcPr>
          <w:p w14:paraId="756E939C"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2E21AB1A"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w tym 60 lat i więcej </w:t>
            </w:r>
          </w:p>
        </w:tc>
        <w:tc>
          <w:tcPr>
            <w:tcW w:w="636" w:type="pct"/>
            <w:shd w:val="clear" w:color="auto" w:fill="auto"/>
            <w:noWrap/>
            <w:vAlign w:val="center"/>
            <w:hideMark/>
          </w:tcPr>
          <w:p w14:paraId="5CADDFC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12 260</w:t>
            </w:r>
          </w:p>
        </w:tc>
        <w:tc>
          <w:tcPr>
            <w:tcW w:w="636" w:type="pct"/>
            <w:shd w:val="clear" w:color="auto" w:fill="auto"/>
            <w:noWrap/>
            <w:vAlign w:val="center"/>
            <w:hideMark/>
          </w:tcPr>
          <w:p w14:paraId="156EE59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7 356</w:t>
            </w:r>
          </w:p>
        </w:tc>
        <w:tc>
          <w:tcPr>
            <w:tcW w:w="636" w:type="pct"/>
            <w:shd w:val="clear" w:color="auto" w:fill="auto"/>
            <w:noWrap/>
            <w:vAlign w:val="center"/>
            <w:hideMark/>
          </w:tcPr>
          <w:p w14:paraId="5A6B3F0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4 904</w:t>
            </w:r>
          </w:p>
        </w:tc>
        <w:tc>
          <w:tcPr>
            <w:tcW w:w="636" w:type="pct"/>
            <w:shd w:val="clear" w:color="auto" w:fill="auto"/>
            <w:noWrap/>
            <w:vAlign w:val="center"/>
            <w:hideMark/>
          </w:tcPr>
          <w:p w14:paraId="5F5CDF1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5 346</w:t>
            </w:r>
          </w:p>
        </w:tc>
        <w:tc>
          <w:tcPr>
            <w:tcW w:w="639" w:type="pct"/>
            <w:shd w:val="clear" w:color="auto" w:fill="auto"/>
            <w:noWrap/>
            <w:vAlign w:val="center"/>
            <w:hideMark/>
          </w:tcPr>
          <w:p w14:paraId="08E6FAA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6 915</w:t>
            </w:r>
          </w:p>
        </w:tc>
      </w:tr>
      <w:tr w:rsidR="00A254DA" w:rsidRPr="00DC3810" w14:paraId="411DC220" w14:textId="77777777" w:rsidTr="00A254DA">
        <w:trPr>
          <w:trHeight w:val="300"/>
        </w:trPr>
        <w:tc>
          <w:tcPr>
            <w:tcW w:w="801" w:type="pct"/>
            <w:shd w:val="clear" w:color="auto" w:fill="auto"/>
            <w:noWrap/>
            <w:vAlign w:val="center"/>
            <w:hideMark/>
          </w:tcPr>
          <w:p w14:paraId="42F51077"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4E8572DB"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60-64 lata</w:t>
            </w:r>
          </w:p>
        </w:tc>
        <w:tc>
          <w:tcPr>
            <w:tcW w:w="636" w:type="pct"/>
            <w:shd w:val="clear" w:color="auto" w:fill="auto"/>
            <w:noWrap/>
            <w:vAlign w:val="center"/>
            <w:hideMark/>
          </w:tcPr>
          <w:p w14:paraId="70941C4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2 831</w:t>
            </w:r>
          </w:p>
        </w:tc>
        <w:tc>
          <w:tcPr>
            <w:tcW w:w="636" w:type="pct"/>
            <w:shd w:val="clear" w:color="auto" w:fill="auto"/>
            <w:noWrap/>
            <w:vAlign w:val="center"/>
            <w:hideMark/>
          </w:tcPr>
          <w:p w14:paraId="7D0E2FD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1 665</w:t>
            </w:r>
          </w:p>
        </w:tc>
        <w:tc>
          <w:tcPr>
            <w:tcW w:w="636" w:type="pct"/>
            <w:shd w:val="clear" w:color="auto" w:fill="auto"/>
            <w:noWrap/>
            <w:vAlign w:val="center"/>
            <w:hideMark/>
          </w:tcPr>
          <w:p w14:paraId="244DB60D"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1 166</w:t>
            </w:r>
          </w:p>
        </w:tc>
        <w:tc>
          <w:tcPr>
            <w:tcW w:w="636" w:type="pct"/>
            <w:shd w:val="clear" w:color="auto" w:fill="auto"/>
            <w:noWrap/>
            <w:vAlign w:val="center"/>
            <w:hideMark/>
          </w:tcPr>
          <w:p w14:paraId="544DE91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1 390</w:t>
            </w:r>
          </w:p>
        </w:tc>
        <w:tc>
          <w:tcPr>
            <w:tcW w:w="639" w:type="pct"/>
            <w:shd w:val="clear" w:color="auto" w:fill="auto"/>
            <w:noWrap/>
            <w:vAlign w:val="center"/>
            <w:hideMark/>
          </w:tcPr>
          <w:p w14:paraId="4BF2EA9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1 440</w:t>
            </w:r>
          </w:p>
        </w:tc>
      </w:tr>
      <w:tr w:rsidR="00A254DA" w:rsidRPr="00DC3810" w14:paraId="0F088BFB" w14:textId="77777777" w:rsidTr="00A254DA">
        <w:trPr>
          <w:trHeight w:val="300"/>
        </w:trPr>
        <w:tc>
          <w:tcPr>
            <w:tcW w:w="801" w:type="pct"/>
            <w:shd w:val="clear" w:color="auto" w:fill="auto"/>
            <w:noWrap/>
            <w:vAlign w:val="center"/>
            <w:hideMark/>
          </w:tcPr>
          <w:p w14:paraId="2DAD0C5C"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62BFEAE1"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65-69</w:t>
            </w:r>
          </w:p>
        </w:tc>
        <w:tc>
          <w:tcPr>
            <w:tcW w:w="636" w:type="pct"/>
            <w:shd w:val="clear" w:color="auto" w:fill="auto"/>
            <w:noWrap/>
            <w:vAlign w:val="center"/>
            <w:hideMark/>
          </w:tcPr>
          <w:p w14:paraId="77A2A22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2 394</w:t>
            </w:r>
          </w:p>
        </w:tc>
        <w:tc>
          <w:tcPr>
            <w:tcW w:w="636" w:type="pct"/>
            <w:shd w:val="clear" w:color="auto" w:fill="auto"/>
            <w:noWrap/>
            <w:vAlign w:val="center"/>
            <w:hideMark/>
          </w:tcPr>
          <w:p w14:paraId="3534ED3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1 375</w:t>
            </w:r>
          </w:p>
        </w:tc>
        <w:tc>
          <w:tcPr>
            <w:tcW w:w="636" w:type="pct"/>
            <w:shd w:val="clear" w:color="auto" w:fill="auto"/>
            <w:noWrap/>
            <w:vAlign w:val="center"/>
            <w:hideMark/>
          </w:tcPr>
          <w:p w14:paraId="4A7D58D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1 019</w:t>
            </w:r>
          </w:p>
        </w:tc>
        <w:tc>
          <w:tcPr>
            <w:tcW w:w="636" w:type="pct"/>
            <w:shd w:val="clear" w:color="auto" w:fill="auto"/>
            <w:noWrap/>
            <w:vAlign w:val="center"/>
            <w:hideMark/>
          </w:tcPr>
          <w:p w14:paraId="45C5B4E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1 150</w:t>
            </w:r>
          </w:p>
        </w:tc>
        <w:tc>
          <w:tcPr>
            <w:tcW w:w="639" w:type="pct"/>
            <w:shd w:val="clear" w:color="auto" w:fill="auto"/>
            <w:noWrap/>
            <w:vAlign w:val="center"/>
            <w:hideMark/>
          </w:tcPr>
          <w:p w14:paraId="4CB9CD5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1 244</w:t>
            </w:r>
          </w:p>
        </w:tc>
      </w:tr>
      <w:tr w:rsidR="00A254DA" w:rsidRPr="00DC3810" w14:paraId="0F567720" w14:textId="77777777" w:rsidTr="00A254DA">
        <w:trPr>
          <w:trHeight w:val="300"/>
        </w:trPr>
        <w:tc>
          <w:tcPr>
            <w:tcW w:w="801" w:type="pct"/>
            <w:shd w:val="clear" w:color="auto" w:fill="auto"/>
            <w:noWrap/>
            <w:vAlign w:val="center"/>
            <w:hideMark/>
          </w:tcPr>
          <w:p w14:paraId="55EEE730"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4927EF75"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70-74</w:t>
            </w:r>
          </w:p>
        </w:tc>
        <w:tc>
          <w:tcPr>
            <w:tcW w:w="636" w:type="pct"/>
            <w:shd w:val="clear" w:color="auto" w:fill="auto"/>
            <w:noWrap/>
            <w:vAlign w:val="center"/>
            <w:hideMark/>
          </w:tcPr>
          <w:p w14:paraId="1C1A3F3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1 914</w:t>
            </w:r>
          </w:p>
        </w:tc>
        <w:tc>
          <w:tcPr>
            <w:tcW w:w="636" w:type="pct"/>
            <w:shd w:val="clear" w:color="auto" w:fill="auto"/>
            <w:noWrap/>
            <w:vAlign w:val="center"/>
            <w:hideMark/>
          </w:tcPr>
          <w:p w14:paraId="35F8B19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1 086</w:t>
            </w:r>
          </w:p>
        </w:tc>
        <w:tc>
          <w:tcPr>
            <w:tcW w:w="636" w:type="pct"/>
            <w:shd w:val="clear" w:color="auto" w:fill="auto"/>
            <w:noWrap/>
            <w:vAlign w:val="center"/>
            <w:hideMark/>
          </w:tcPr>
          <w:p w14:paraId="20C1008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828</w:t>
            </w:r>
          </w:p>
        </w:tc>
        <w:tc>
          <w:tcPr>
            <w:tcW w:w="636" w:type="pct"/>
            <w:shd w:val="clear" w:color="auto" w:fill="auto"/>
            <w:noWrap/>
            <w:vAlign w:val="center"/>
            <w:hideMark/>
          </w:tcPr>
          <w:p w14:paraId="273E611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885</w:t>
            </w:r>
          </w:p>
        </w:tc>
        <w:tc>
          <w:tcPr>
            <w:tcW w:w="639" w:type="pct"/>
            <w:shd w:val="clear" w:color="auto" w:fill="auto"/>
            <w:noWrap/>
            <w:vAlign w:val="center"/>
            <w:hideMark/>
          </w:tcPr>
          <w:p w14:paraId="1F1F504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1 029</w:t>
            </w:r>
          </w:p>
        </w:tc>
      </w:tr>
      <w:tr w:rsidR="00A254DA" w:rsidRPr="00DC3810" w14:paraId="08478F44" w14:textId="77777777" w:rsidTr="00A254DA">
        <w:trPr>
          <w:trHeight w:val="300"/>
        </w:trPr>
        <w:tc>
          <w:tcPr>
            <w:tcW w:w="801" w:type="pct"/>
            <w:shd w:val="clear" w:color="auto" w:fill="auto"/>
            <w:noWrap/>
            <w:vAlign w:val="center"/>
            <w:hideMark/>
          </w:tcPr>
          <w:p w14:paraId="0324D23B"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36A1DF7A"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75-79</w:t>
            </w:r>
          </w:p>
        </w:tc>
        <w:tc>
          <w:tcPr>
            <w:tcW w:w="636" w:type="pct"/>
            <w:shd w:val="clear" w:color="auto" w:fill="auto"/>
            <w:noWrap/>
            <w:vAlign w:val="center"/>
            <w:hideMark/>
          </w:tcPr>
          <w:p w14:paraId="7B070E1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1 749</w:t>
            </w:r>
          </w:p>
        </w:tc>
        <w:tc>
          <w:tcPr>
            <w:tcW w:w="636" w:type="pct"/>
            <w:shd w:val="clear" w:color="auto" w:fill="auto"/>
            <w:noWrap/>
            <w:vAlign w:val="center"/>
            <w:hideMark/>
          </w:tcPr>
          <w:p w14:paraId="58B4266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1 023</w:t>
            </w:r>
          </w:p>
        </w:tc>
        <w:tc>
          <w:tcPr>
            <w:tcW w:w="636" w:type="pct"/>
            <w:shd w:val="clear" w:color="auto" w:fill="auto"/>
            <w:noWrap/>
            <w:vAlign w:val="center"/>
            <w:hideMark/>
          </w:tcPr>
          <w:p w14:paraId="1232111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726</w:t>
            </w:r>
          </w:p>
        </w:tc>
        <w:tc>
          <w:tcPr>
            <w:tcW w:w="636" w:type="pct"/>
            <w:shd w:val="clear" w:color="auto" w:fill="auto"/>
            <w:noWrap/>
            <w:vAlign w:val="center"/>
            <w:hideMark/>
          </w:tcPr>
          <w:p w14:paraId="25C75B4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756</w:t>
            </w:r>
          </w:p>
        </w:tc>
        <w:tc>
          <w:tcPr>
            <w:tcW w:w="639" w:type="pct"/>
            <w:shd w:val="clear" w:color="auto" w:fill="auto"/>
            <w:noWrap/>
            <w:vAlign w:val="center"/>
            <w:hideMark/>
          </w:tcPr>
          <w:p w14:paraId="6C049EA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992</w:t>
            </w:r>
          </w:p>
        </w:tc>
      </w:tr>
      <w:tr w:rsidR="00A254DA" w:rsidRPr="00DC3810" w14:paraId="74520D7A" w14:textId="77777777" w:rsidTr="00A254DA">
        <w:trPr>
          <w:trHeight w:val="300"/>
        </w:trPr>
        <w:tc>
          <w:tcPr>
            <w:tcW w:w="801" w:type="pct"/>
            <w:shd w:val="clear" w:color="auto" w:fill="auto"/>
            <w:noWrap/>
            <w:vAlign w:val="center"/>
            <w:hideMark/>
          </w:tcPr>
          <w:p w14:paraId="3C4FDD79"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5EF04685"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80-84</w:t>
            </w:r>
          </w:p>
        </w:tc>
        <w:tc>
          <w:tcPr>
            <w:tcW w:w="636" w:type="pct"/>
            <w:shd w:val="clear" w:color="auto" w:fill="auto"/>
            <w:noWrap/>
            <w:vAlign w:val="center"/>
            <w:hideMark/>
          </w:tcPr>
          <w:p w14:paraId="42CE34C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1 659</w:t>
            </w:r>
          </w:p>
        </w:tc>
        <w:tc>
          <w:tcPr>
            <w:tcW w:w="636" w:type="pct"/>
            <w:shd w:val="clear" w:color="auto" w:fill="auto"/>
            <w:noWrap/>
            <w:vAlign w:val="center"/>
            <w:hideMark/>
          </w:tcPr>
          <w:p w14:paraId="7BCCB08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1 045</w:t>
            </w:r>
          </w:p>
        </w:tc>
        <w:tc>
          <w:tcPr>
            <w:tcW w:w="636" w:type="pct"/>
            <w:shd w:val="clear" w:color="auto" w:fill="auto"/>
            <w:noWrap/>
            <w:vAlign w:val="center"/>
            <w:hideMark/>
          </w:tcPr>
          <w:p w14:paraId="769D283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614</w:t>
            </w:r>
          </w:p>
        </w:tc>
        <w:tc>
          <w:tcPr>
            <w:tcW w:w="636" w:type="pct"/>
            <w:shd w:val="clear" w:color="auto" w:fill="auto"/>
            <w:noWrap/>
            <w:vAlign w:val="center"/>
            <w:hideMark/>
          </w:tcPr>
          <w:p w14:paraId="061DE6C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641</w:t>
            </w:r>
          </w:p>
        </w:tc>
        <w:tc>
          <w:tcPr>
            <w:tcW w:w="639" w:type="pct"/>
            <w:shd w:val="clear" w:color="auto" w:fill="auto"/>
            <w:noWrap/>
            <w:vAlign w:val="center"/>
            <w:hideMark/>
          </w:tcPr>
          <w:p w14:paraId="442C58A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1 018</w:t>
            </w:r>
          </w:p>
        </w:tc>
      </w:tr>
      <w:tr w:rsidR="00A254DA" w:rsidRPr="00DC3810" w14:paraId="6B070166" w14:textId="77777777" w:rsidTr="00A254DA">
        <w:trPr>
          <w:trHeight w:val="300"/>
        </w:trPr>
        <w:tc>
          <w:tcPr>
            <w:tcW w:w="801" w:type="pct"/>
            <w:shd w:val="clear" w:color="auto" w:fill="auto"/>
            <w:noWrap/>
            <w:vAlign w:val="center"/>
            <w:hideMark/>
          </w:tcPr>
          <w:p w14:paraId="0ADC0978"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3663F5B8"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85 lat i więcej</w:t>
            </w:r>
          </w:p>
        </w:tc>
        <w:tc>
          <w:tcPr>
            <w:tcW w:w="636" w:type="pct"/>
            <w:shd w:val="clear" w:color="auto" w:fill="auto"/>
            <w:noWrap/>
            <w:vAlign w:val="center"/>
            <w:hideMark/>
          </w:tcPr>
          <w:p w14:paraId="33D6655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1 714</w:t>
            </w:r>
          </w:p>
        </w:tc>
        <w:tc>
          <w:tcPr>
            <w:tcW w:w="636" w:type="pct"/>
            <w:shd w:val="clear" w:color="auto" w:fill="auto"/>
            <w:noWrap/>
            <w:vAlign w:val="center"/>
            <w:hideMark/>
          </w:tcPr>
          <w:p w14:paraId="42FB929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1 162</w:t>
            </w:r>
          </w:p>
        </w:tc>
        <w:tc>
          <w:tcPr>
            <w:tcW w:w="636" w:type="pct"/>
            <w:shd w:val="clear" w:color="auto" w:fill="auto"/>
            <w:noWrap/>
            <w:vAlign w:val="center"/>
            <w:hideMark/>
          </w:tcPr>
          <w:p w14:paraId="4833F46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552</w:t>
            </w:r>
          </w:p>
        </w:tc>
        <w:tc>
          <w:tcPr>
            <w:tcW w:w="636" w:type="pct"/>
            <w:shd w:val="clear" w:color="auto" w:fill="auto"/>
            <w:noWrap/>
            <w:vAlign w:val="center"/>
            <w:hideMark/>
          </w:tcPr>
          <w:p w14:paraId="0C34518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523</w:t>
            </w:r>
          </w:p>
        </w:tc>
        <w:tc>
          <w:tcPr>
            <w:tcW w:w="639" w:type="pct"/>
            <w:shd w:val="clear" w:color="auto" w:fill="auto"/>
            <w:noWrap/>
            <w:vAlign w:val="center"/>
            <w:hideMark/>
          </w:tcPr>
          <w:p w14:paraId="4E27E19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1 190</w:t>
            </w:r>
          </w:p>
        </w:tc>
      </w:tr>
      <w:tr w:rsidR="00A254DA" w:rsidRPr="00DC3810" w14:paraId="0DDDF370" w14:textId="77777777" w:rsidTr="00DC3810">
        <w:trPr>
          <w:trHeight w:val="300"/>
        </w:trPr>
        <w:tc>
          <w:tcPr>
            <w:tcW w:w="801" w:type="pct"/>
            <w:shd w:val="clear" w:color="auto" w:fill="8EAADB" w:themeFill="accent1" w:themeFillTint="99"/>
            <w:noWrap/>
            <w:vAlign w:val="center"/>
            <w:hideMark/>
          </w:tcPr>
          <w:p w14:paraId="06CD9D32" w14:textId="77777777" w:rsidR="00A254DA" w:rsidRPr="00DC3810" w:rsidRDefault="00A254DA" w:rsidP="00A254DA">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2050</w:t>
            </w:r>
          </w:p>
        </w:tc>
        <w:tc>
          <w:tcPr>
            <w:tcW w:w="1016" w:type="pct"/>
            <w:shd w:val="clear" w:color="auto" w:fill="auto"/>
            <w:noWrap/>
            <w:vAlign w:val="center"/>
            <w:hideMark/>
          </w:tcPr>
          <w:p w14:paraId="19143373" w14:textId="77777777" w:rsidR="00A254DA" w:rsidRPr="00DC3810" w:rsidRDefault="00A254DA" w:rsidP="00A254DA">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Ogółem</w:t>
            </w:r>
          </w:p>
        </w:tc>
        <w:tc>
          <w:tcPr>
            <w:tcW w:w="636" w:type="pct"/>
            <w:shd w:val="clear" w:color="auto" w:fill="auto"/>
            <w:noWrap/>
            <w:vAlign w:val="center"/>
            <w:hideMark/>
          </w:tcPr>
          <w:p w14:paraId="370683AB"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33 951</w:t>
            </w:r>
          </w:p>
        </w:tc>
        <w:tc>
          <w:tcPr>
            <w:tcW w:w="636" w:type="pct"/>
            <w:shd w:val="clear" w:color="auto" w:fill="auto"/>
            <w:noWrap/>
            <w:vAlign w:val="center"/>
            <w:hideMark/>
          </w:tcPr>
          <w:p w14:paraId="0FF5F624"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18 826</w:t>
            </w:r>
          </w:p>
        </w:tc>
        <w:tc>
          <w:tcPr>
            <w:tcW w:w="636" w:type="pct"/>
            <w:shd w:val="clear" w:color="auto" w:fill="auto"/>
            <w:noWrap/>
            <w:vAlign w:val="center"/>
            <w:hideMark/>
          </w:tcPr>
          <w:p w14:paraId="69F06D56"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15 125</w:t>
            </w:r>
          </w:p>
        </w:tc>
        <w:tc>
          <w:tcPr>
            <w:tcW w:w="636" w:type="pct"/>
            <w:shd w:val="clear" w:color="auto" w:fill="auto"/>
            <w:noWrap/>
            <w:vAlign w:val="center"/>
            <w:hideMark/>
          </w:tcPr>
          <w:p w14:paraId="479F672A"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16 564</w:t>
            </w:r>
          </w:p>
        </w:tc>
        <w:tc>
          <w:tcPr>
            <w:tcW w:w="639" w:type="pct"/>
            <w:shd w:val="clear" w:color="auto" w:fill="auto"/>
            <w:noWrap/>
            <w:vAlign w:val="center"/>
            <w:hideMark/>
          </w:tcPr>
          <w:p w14:paraId="494597D0"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17 387</w:t>
            </w:r>
          </w:p>
        </w:tc>
      </w:tr>
      <w:tr w:rsidR="00A254DA" w:rsidRPr="00DC3810" w14:paraId="241F4C12" w14:textId="77777777" w:rsidTr="00A254DA">
        <w:trPr>
          <w:trHeight w:val="300"/>
        </w:trPr>
        <w:tc>
          <w:tcPr>
            <w:tcW w:w="801" w:type="pct"/>
            <w:shd w:val="clear" w:color="auto" w:fill="auto"/>
            <w:noWrap/>
            <w:vAlign w:val="center"/>
            <w:hideMark/>
          </w:tcPr>
          <w:p w14:paraId="16D0C03E"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616BD8F9"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w tym 60 lat i więcej </w:t>
            </w:r>
          </w:p>
        </w:tc>
        <w:tc>
          <w:tcPr>
            <w:tcW w:w="636" w:type="pct"/>
            <w:shd w:val="clear" w:color="auto" w:fill="auto"/>
            <w:noWrap/>
            <w:vAlign w:val="center"/>
            <w:hideMark/>
          </w:tcPr>
          <w:p w14:paraId="016FA91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13 700</w:t>
            </w:r>
          </w:p>
        </w:tc>
        <w:tc>
          <w:tcPr>
            <w:tcW w:w="636" w:type="pct"/>
            <w:shd w:val="clear" w:color="auto" w:fill="auto"/>
            <w:noWrap/>
            <w:vAlign w:val="center"/>
            <w:hideMark/>
          </w:tcPr>
          <w:p w14:paraId="33B7A38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7 983</w:t>
            </w:r>
          </w:p>
        </w:tc>
        <w:tc>
          <w:tcPr>
            <w:tcW w:w="636" w:type="pct"/>
            <w:shd w:val="clear" w:color="auto" w:fill="auto"/>
            <w:noWrap/>
            <w:vAlign w:val="center"/>
            <w:hideMark/>
          </w:tcPr>
          <w:p w14:paraId="2708BA9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5 717</w:t>
            </w:r>
          </w:p>
        </w:tc>
        <w:tc>
          <w:tcPr>
            <w:tcW w:w="636" w:type="pct"/>
            <w:shd w:val="clear" w:color="auto" w:fill="auto"/>
            <w:noWrap/>
            <w:vAlign w:val="center"/>
            <w:hideMark/>
          </w:tcPr>
          <w:p w14:paraId="14EB550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6 171</w:t>
            </w:r>
          </w:p>
        </w:tc>
        <w:tc>
          <w:tcPr>
            <w:tcW w:w="639" w:type="pct"/>
            <w:shd w:val="clear" w:color="auto" w:fill="auto"/>
            <w:noWrap/>
            <w:vAlign w:val="center"/>
            <w:hideMark/>
          </w:tcPr>
          <w:p w14:paraId="232A2D7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7 529</w:t>
            </w:r>
          </w:p>
        </w:tc>
      </w:tr>
      <w:tr w:rsidR="00A254DA" w:rsidRPr="00DC3810" w14:paraId="5223C6BA" w14:textId="77777777" w:rsidTr="00A254DA">
        <w:trPr>
          <w:trHeight w:val="300"/>
        </w:trPr>
        <w:tc>
          <w:tcPr>
            <w:tcW w:w="801" w:type="pct"/>
            <w:shd w:val="clear" w:color="auto" w:fill="auto"/>
            <w:noWrap/>
            <w:vAlign w:val="center"/>
            <w:hideMark/>
          </w:tcPr>
          <w:p w14:paraId="5FB606D9"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65318CC8"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60-64 lata</w:t>
            </w:r>
          </w:p>
        </w:tc>
        <w:tc>
          <w:tcPr>
            <w:tcW w:w="636" w:type="pct"/>
            <w:shd w:val="clear" w:color="auto" w:fill="auto"/>
            <w:noWrap/>
            <w:vAlign w:val="center"/>
            <w:hideMark/>
          </w:tcPr>
          <w:p w14:paraId="38F2C40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2 602</w:t>
            </w:r>
          </w:p>
        </w:tc>
        <w:tc>
          <w:tcPr>
            <w:tcW w:w="636" w:type="pct"/>
            <w:shd w:val="clear" w:color="auto" w:fill="auto"/>
            <w:noWrap/>
            <w:vAlign w:val="center"/>
            <w:hideMark/>
          </w:tcPr>
          <w:p w14:paraId="54560AB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1 449</w:t>
            </w:r>
          </w:p>
        </w:tc>
        <w:tc>
          <w:tcPr>
            <w:tcW w:w="636" w:type="pct"/>
            <w:shd w:val="clear" w:color="auto" w:fill="auto"/>
            <w:noWrap/>
            <w:vAlign w:val="center"/>
            <w:hideMark/>
          </w:tcPr>
          <w:p w14:paraId="03E5083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1 153</w:t>
            </w:r>
          </w:p>
        </w:tc>
        <w:tc>
          <w:tcPr>
            <w:tcW w:w="636" w:type="pct"/>
            <w:shd w:val="clear" w:color="auto" w:fill="auto"/>
            <w:noWrap/>
            <w:vAlign w:val="center"/>
            <w:hideMark/>
          </w:tcPr>
          <w:p w14:paraId="0478C64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1 295</w:t>
            </w:r>
          </w:p>
        </w:tc>
        <w:tc>
          <w:tcPr>
            <w:tcW w:w="639" w:type="pct"/>
            <w:shd w:val="clear" w:color="auto" w:fill="auto"/>
            <w:noWrap/>
            <w:vAlign w:val="center"/>
            <w:hideMark/>
          </w:tcPr>
          <w:p w14:paraId="285B504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1 307</w:t>
            </w:r>
          </w:p>
        </w:tc>
      </w:tr>
      <w:tr w:rsidR="00A254DA" w:rsidRPr="00DC3810" w14:paraId="75C0691F" w14:textId="77777777" w:rsidTr="00A254DA">
        <w:trPr>
          <w:trHeight w:val="300"/>
        </w:trPr>
        <w:tc>
          <w:tcPr>
            <w:tcW w:w="801" w:type="pct"/>
            <w:shd w:val="clear" w:color="auto" w:fill="auto"/>
            <w:noWrap/>
            <w:vAlign w:val="center"/>
            <w:hideMark/>
          </w:tcPr>
          <w:p w14:paraId="418BAEFA"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26C48BC2"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65-69</w:t>
            </w:r>
          </w:p>
        </w:tc>
        <w:tc>
          <w:tcPr>
            <w:tcW w:w="636" w:type="pct"/>
            <w:shd w:val="clear" w:color="auto" w:fill="auto"/>
            <w:noWrap/>
            <w:vAlign w:val="center"/>
            <w:hideMark/>
          </w:tcPr>
          <w:p w14:paraId="5D324A4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2 875</w:t>
            </w:r>
          </w:p>
        </w:tc>
        <w:tc>
          <w:tcPr>
            <w:tcW w:w="636" w:type="pct"/>
            <w:shd w:val="clear" w:color="auto" w:fill="auto"/>
            <w:noWrap/>
            <w:vAlign w:val="center"/>
            <w:hideMark/>
          </w:tcPr>
          <w:p w14:paraId="6D582D2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1 667</w:t>
            </w:r>
          </w:p>
        </w:tc>
        <w:tc>
          <w:tcPr>
            <w:tcW w:w="636" w:type="pct"/>
            <w:shd w:val="clear" w:color="auto" w:fill="auto"/>
            <w:noWrap/>
            <w:vAlign w:val="center"/>
            <w:hideMark/>
          </w:tcPr>
          <w:p w14:paraId="6AC832B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1 209</w:t>
            </w:r>
          </w:p>
        </w:tc>
        <w:tc>
          <w:tcPr>
            <w:tcW w:w="636" w:type="pct"/>
            <w:shd w:val="clear" w:color="auto" w:fill="auto"/>
            <w:noWrap/>
            <w:vAlign w:val="center"/>
            <w:hideMark/>
          </w:tcPr>
          <w:p w14:paraId="1D4D72C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1 404</w:t>
            </w:r>
          </w:p>
        </w:tc>
        <w:tc>
          <w:tcPr>
            <w:tcW w:w="639" w:type="pct"/>
            <w:shd w:val="clear" w:color="auto" w:fill="auto"/>
            <w:noWrap/>
            <w:vAlign w:val="center"/>
            <w:hideMark/>
          </w:tcPr>
          <w:p w14:paraId="3F38812D"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1 471</w:t>
            </w:r>
          </w:p>
        </w:tc>
      </w:tr>
      <w:tr w:rsidR="00A254DA" w:rsidRPr="00DC3810" w14:paraId="5DB934F6" w14:textId="77777777" w:rsidTr="00A254DA">
        <w:trPr>
          <w:trHeight w:val="300"/>
        </w:trPr>
        <w:tc>
          <w:tcPr>
            <w:tcW w:w="801" w:type="pct"/>
            <w:shd w:val="clear" w:color="auto" w:fill="auto"/>
            <w:noWrap/>
            <w:vAlign w:val="center"/>
            <w:hideMark/>
          </w:tcPr>
          <w:p w14:paraId="718DB8EE"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64FC673D"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70-74</w:t>
            </w:r>
          </w:p>
        </w:tc>
        <w:tc>
          <w:tcPr>
            <w:tcW w:w="636" w:type="pct"/>
            <w:shd w:val="clear" w:color="auto" w:fill="auto"/>
            <w:noWrap/>
            <w:vAlign w:val="center"/>
            <w:hideMark/>
          </w:tcPr>
          <w:p w14:paraId="421174D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2 605</w:t>
            </w:r>
          </w:p>
        </w:tc>
        <w:tc>
          <w:tcPr>
            <w:tcW w:w="636" w:type="pct"/>
            <w:shd w:val="clear" w:color="auto" w:fill="auto"/>
            <w:noWrap/>
            <w:vAlign w:val="center"/>
            <w:hideMark/>
          </w:tcPr>
          <w:p w14:paraId="32BC223D"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1 526</w:t>
            </w:r>
          </w:p>
        </w:tc>
        <w:tc>
          <w:tcPr>
            <w:tcW w:w="636" w:type="pct"/>
            <w:shd w:val="clear" w:color="auto" w:fill="auto"/>
            <w:noWrap/>
            <w:vAlign w:val="center"/>
            <w:hideMark/>
          </w:tcPr>
          <w:p w14:paraId="767A589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1 080</w:t>
            </w:r>
          </w:p>
        </w:tc>
        <w:tc>
          <w:tcPr>
            <w:tcW w:w="636" w:type="pct"/>
            <w:shd w:val="clear" w:color="auto" w:fill="auto"/>
            <w:noWrap/>
            <w:vAlign w:val="center"/>
            <w:hideMark/>
          </w:tcPr>
          <w:p w14:paraId="4EA5C8A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1 240</w:t>
            </w:r>
          </w:p>
        </w:tc>
        <w:tc>
          <w:tcPr>
            <w:tcW w:w="639" w:type="pct"/>
            <w:shd w:val="clear" w:color="auto" w:fill="auto"/>
            <w:noWrap/>
            <w:vAlign w:val="center"/>
            <w:hideMark/>
          </w:tcPr>
          <w:p w14:paraId="490EF42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1 366</w:t>
            </w:r>
          </w:p>
        </w:tc>
      </w:tr>
      <w:tr w:rsidR="00A254DA" w:rsidRPr="00DC3810" w14:paraId="73796614" w14:textId="77777777" w:rsidTr="00A254DA">
        <w:trPr>
          <w:trHeight w:val="300"/>
        </w:trPr>
        <w:tc>
          <w:tcPr>
            <w:tcW w:w="801" w:type="pct"/>
            <w:shd w:val="clear" w:color="auto" w:fill="auto"/>
            <w:noWrap/>
            <w:vAlign w:val="center"/>
            <w:hideMark/>
          </w:tcPr>
          <w:p w14:paraId="2531B56F"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7F0A24A8"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75-79</w:t>
            </w:r>
          </w:p>
        </w:tc>
        <w:tc>
          <w:tcPr>
            <w:tcW w:w="636" w:type="pct"/>
            <w:shd w:val="clear" w:color="auto" w:fill="auto"/>
            <w:noWrap/>
            <w:vAlign w:val="center"/>
            <w:hideMark/>
          </w:tcPr>
          <w:p w14:paraId="432D503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2 079</w:t>
            </w:r>
          </w:p>
        </w:tc>
        <w:tc>
          <w:tcPr>
            <w:tcW w:w="636" w:type="pct"/>
            <w:shd w:val="clear" w:color="auto" w:fill="auto"/>
            <w:noWrap/>
            <w:vAlign w:val="center"/>
            <w:hideMark/>
          </w:tcPr>
          <w:p w14:paraId="3C6B52A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1 198</w:t>
            </w:r>
          </w:p>
        </w:tc>
        <w:tc>
          <w:tcPr>
            <w:tcW w:w="636" w:type="pct"/>
            <w:shd w:val="clear" w:color="auto" w:fill="auto"/>
            <w:noWrap/>
            <w:vAlign w:val="center"/>
            <w:hideMark/>
          </w:tcPr>
          <w:p w14:paraId="7C4FAAF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881</w:t>
            </w:r>
          </w:p>
        </w:tc>
        <w:tc>
          <w:tcPr>
            <w:tcW w:w="636" w:type="pct"/>
            <w:shd w:val="clear" w:color="auto" w:fill="auto"/>
            <w:noWrap/>
            <w:vAlign w:val="center"/>
            <w:hideMark/>
          </w:tcPr>
          <w:p w14:paraId="175F743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945</w:t>
            </w:r>
          </w:p>
        </w:tc>
        <w:tc>
          <w:tcPr>
            <w:tcW w:w="639" w:type="pct"/>
            <w:shd w:val="clear" w:color="auto" w:fill="auto"/>
            <w:noWrap/>
            <w:vAlign w:val="center"/>
            <w:hideMark/>
          </w:tcPr>
          <w:p w14:paraId="43FA46C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1 135</w:t>
            </w:r>
          </w:p>
        </w:tc>
      </w:tr>
      <w:tr w:rsidR="00A254DA" w:rsidRPr="00DC3810" w14:paraId="12C797C8" w14:textId="77777777" w:rsidTr="00A254DA">
        <w:trPr>
          <w:trHeight w:val="300"/>
        </w:trPr>
        <w:tc>
          <w:tcPr>
            <w:tcW w:w="801" w:type="pct"/>
            <w:shd w:val="clear" w:color="auto" w:fill="auto"/>
            <w:noWrap/>
            <w:vAlign w:val="center"/>
            <w:hideMark/>
          </w:tcPr>
          <w:p w14:paraId="134DF2CC" w14:textId="77777777" w:rsidR="00A254DA" w:rsidRPr="00DC3810" w:rsidRDefault="00A254DA" w:rsidP="00A254DA">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1016" w:type="pct"/>
            <w:shd w:val="clear" w:color="auto" w:fill="auto"/>
            <w:noWrap/>
            <w:vAlign w:val="center"/>
            <w:hideMark/>
          </w:tcPr>
          <w:p w14:paraId="30683462"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80-84</w:t>
            </w:r>
          </w:p>
        </w:tc>
        <w:tc>
          <w:tcPr>
            <w:tcW w:w="636" w:type="pct"/>
            <w:shd w:val="clear" w:color="auto" w:fill="auto"/>
            <w:noWrap/>
            <w:vAlign w:val="center"/>
            <w:hideMark/>
          </w:tcPr>
          <w:p w14:paraId="28AE56E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1 466</w:t>
            </w:r>
          </w:p>
        </w:tc>
        <w:tc>
          <w:tcPr>
            <w:tcW w:w="636" w:type="pct"/>
            <w:shd w:val="clear" w:color="auto" w:fill="auto"/>
            <w:noWrap/>
            <w:vAlign w:val="bottom"/>
            <w:hideMark/>
          </w:tcPr>
          <w:p w14:paraId="434820A6" w14:textId="77777777" w:rsidR="00A254DA" w:rsidRPr="00DC3810" w:rsidRDefault="00A254DA" w:rsidP="00A254DA">
            <w:pPr>
              <w:spacing w:after="0" w:line="240" w:lineRule="auto"/>
              <w:jc w:val="right"/>
              <w:rPr>
                <w:rFonts w:ascii="Lato" w:eastAsia="Times New Roman" w:hAnsi="Lato" w:cs="Calibri"/>
                <w:color w:val="000000"/>
                <w:sz w:val="20"/>
                <w:szCs w:val="20"/>
                <w:lang w:eastAsia="pl-PL"/>
              </w:rPr>
            </w:pPr>
            <w:r w:rsidRPr="00DC3810">
              <w:rPr>
                <w:rFonts w:ascii="Lato" w:eastAsia="Times New Roman" w:hAnsi="Lato" w:cs="Calibri"/>
                <w:color w:val="000000"/>
                <w:sz w:val="20"/>
                <w:szCs w:val="20"/>
                <w:lang w:eastAsia="pl-PL"/>
              </w:rPr>
              <w:t>843</w:t>
            </w:r>
          </w:p>
        </w:tc>
        <w:tc>
          <w:tcPr>
            <w:tcW w:w="636" w:type="pct"/>
            <w:shd w:val="clear" w:color="auto" w:fill="auto"/>
            <w:noWrap/>
            <w:vAlign w:val="center"/>
            <w:hideMark/>
          </w:tcPr>
          <w:p w14:paraId="4119668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623</w:t>
            </w:r>
          </w:p>
        </w:tc>
        <w:tc>
          <w:tcPr>
            <w:tcW w:w="636" w:type="pct"/>
            <w:shd w:val="clear" w:color="auto" w:fill="auto"/>
            <w:noWrap/>
            <w:vAlign w:val="center"/>
            <w:hideMark/>
          </w:tcPr>
          <w:p w14:paraId="067E59C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613</w:t>
            </w:r>
          </w:p>
        </w:tc>
        <w:tc>
          <w:tcPr>
            <w:tcW w:w="639" w:type="pct"/>
            <w:shd w:val="clear" w:color="auto" w:fill="auto"/>
            <w:noWrap/>
            <w:vAlign w:val="center"/>
            <w:hideMark/>
          </w:tcPr>
          <w:p w14:paraId="3846E4E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853</w:t>
            </w:r>
          </w:p>
        </w:tc>
      </w:tr>
      <w:tr w:rsidR="00A254DA" w:rsidRPr="00DC3810" w14:paraId="7ABBF30B" w14:textId="77777777" w:rsidTr="00A254DA">
        <w:trPr>
          <w:trHeight w:val="300"/>
        </w:trPr>
        <w:tc>
          <w:tcPr>
            <w:tcW w:w="801" w:type="pct"/>
            <w:shd w:val="clear" w:color="auto" w:fill="auto"/>
            <w:noWrap/>
            <w:vAlign w:val="center"/>
            <w:hideMark/>
          </w:tcPr>
          <w:p w14:paraId="0E1699CB" w14:textId="77777777" w:rsidR="00A254DA" w:rsidRPr="00DC3810" w:rsidRDefault="00A254DA" w:rsidP="00A254DA">
            <w:pPr>
              <w:spacing w:after="0" w:line="240" w:lineRule="auto"/>
              <w:jc w:val="right"/>
              <w:rPr>
                <w:rFonts w:ascii="Lato" w:eastAsia="Times New Roman" w:hAnsi="Lato" w:cs="Arial"/>
                <w:sz w:val="18"/>
                <w:szCs w:val="18"/>
                <w:lang w:eastAsia="pl-PL"/>
              </w:rPr>
            </w:pPr>
          </w:p>
        </w:tc>
        <w:tc>
          <w:tcPr>
            <w:tcW w:w="1016" w:type="pct"/>
            <w:shd w:val="clear" w:color="auto" w:fill="auto"/>
            <w:noWrap/>
            <w:vAlign w:val="center"/>
            <w:hideMark/>
          </w:tcPr>
          <w:p w14:paraId="1416B4D3" w14:textId="77777777" w:rsidR="00A254DA" w:rsidRPr="00DC3810" w:rsidRDefault="00A254DA" w:rsidP="00A254DA">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85 lat i więcej</w:t>
            </w:r>
          </w:p>
        </w:tc>
        <w:tc>
          <w:tcPr>
            <w:tcW w:w="636" w:type="pct"/>
            <w:shd w:val="clear" w:color="auto" w:fill="auto"/>
            <w:noWrap/>
            <w:vAlign w:val="center"/>
            <w:hideMark/>
          </w:tcPr>
          <w:p w14:paraId="4623BF5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2 072</w:t>
            </w:r>
          </w:p>
        </w:tc>
        <w:tc>
          <w:tcPr>
            <w:tcW w:w="636" w:type="pct"/>
            <w:shd w:val="clear" w:color="auto" w:fill="auto"/>
            <w:noWrap/>
            <w:vAlign w:val="bottom"/>
            <w:hideMark/>
          </w:tcPr>
          <w:p w14:paraId="647071C0" w14:textId="77777777" w:rsidR="00A254DA" w:rsidRPr="00DC3810" w:rsidRDefault="00A254DA" w:rsidP="00A254DA">
            <w:pPr>
              <w:spacing w:after="0" w:line="240" w:lineRule="auto"/>
              <w:jc w:val="right"/>
              <w:rPr>
                <w:rFonts w:ascii="Lato" w:eastAsia="Times New Roman" w:hAnsi="Lato" w:cs="Calibri"/>
                <w:color w:val="000000"/>
                <w:sz w:val="20"/>
                <w:szCs w:val="20"/>
                <w:lang w:eastAsia="pl-PL"/>
              </w:rPr>
            </w:pPr>
            <w:r w:rsidRPr="00DC3810">
              <w:rPr>
                <w:rFonts w:ascii="Lato" w:eastAsia="Times New Roman" w:hAnsi="Lato" w:cs="Calibri"/>
                <w:color w:val="000000"/>
                <w:sz w:val="20"/>
                <w:szCs w:val="20"/>
                <w:lang w:eastAsia="pl-PL"/>
              </w:rPr>
              <w:t>1 300</w:t>
            </w:r>
          </w:p>
        </w:tc>
        <w:tc>
          <w:tcPr>
            <w:tcW w:w="636" w:type="pct"/>
            <w:shd w:val="clear" w:color="auto" w:fill="auto"/>
            <w:noWrap/>
            <w:vAlign w:val="center"/>
            <w:hideMark/>
          </w:tcPr>
          <w:p w14:paraId="48C8CA5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771</w:t>
            </w:r>
          </w:p>
        </w:tc>
        <w:tc>
          <w:tcPr>
            <w:tcW w:w="636" w:type="pct"/>
            <w:shd w:val="clear" w:color="auto" w:fill="auto"/>
            <w:noWrap/>
            <w:vAlign w:val="center"/>
            <w:hideMark/>
          </w:tcPr>
          <w:p w14:paraId="5A071B2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674</w:t>
            </w:r>
          </w:p>
        </w:tc>
        <w:tc>
          <w:tcPr>
            <w:tcW w:w="639" w:type="pct"/>
            <w:shd w:val="clear" w:color="auto" w:fill="auto"/>
            <w:noWrap/>
            <w:vAlign w:val="center"/>
            <w:hideMark/>
          </w:tcPr>
          <w:p w14:paraId="5DAAC10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1 398</w:t>
            </w:r>
          </w:p>
        </w:tc>
      </w:tr>
    </w:tbl>
    <w:p w14:paraId="41B7828B" w14:textId="7449E923" w:rsidR="00A254DA" w:rsidRPr="009E6F68" w:rsidRDefault="00A254DA" w:rsidP="009E6F68">
      <w:pPr>
        <w:spacing w:after="0" w:line="240" w:lineRule="auto"/>
        <w:rPr>
          <w:rFonts w:ascii="Lato" w:hAnsi="Lato"/>
          <w:sz w:val="16"/>
          <w:szCs w:val="16"/>
        </w:rPr>
      </w:pPr>
      <w:r w:rsidRPr="009E6F68">
        <w:rPr>
          <w:rFonts w:ascii="Lato" w:hAnsi="Lato"/>
          <w:sz w:val="16"/>
          <w:szCs w:val="16"/>
        </w:rPr>
        <w:t>Stan w dniu 31 XII</w:t>
      </w:r>
    </w:p>
    <w:p w14:paraId="5AE5B3B2" w14:textId="3F985DB3" w:rsidR="00C63D82" w:rsidRPr="009E6F68" w:rsidRDefault="00A254DA" w:rsidP="009E6F68">
      <w:pPr>
        <w:spacing w:line="240" w:lineRule="auto"/>
        <w:rPr>
          <w:rFonts w:ascii="Lato" w:hAnsi="Lato"/>
          <w:sz w:val="16"/>
          <w:szCs w:val="16"/>
        </w:rPr>
      </w:pPr>
      <w:r w:rsidRPr="009E6F68">
        <w:rPr>
          <w:rFonts w:ascii="Lato" w:hAnsi="Lato"/>
          <w:sz w:val="16"/>
          <w:szCs w:val="16"/>
        </w:rPr>
        <w:t>Źródło: Prognozy GUS</w:t>
      </w:r>
    </w:p>
    <w:p w14:paraId="1B19CA1E" w14:textId="20859D86" w:rsidR="00B306CA" w:rsidRPr="00DB2792" w:rsidRDefault="00781EA1" w:rsidP="00B306CA">
      <w:pPr>
        <w:pStyle w:val="Nagwek2"/>
        <w:rPr>
          <w:b/>
          <w:bCs/>
        </w:rPr>
      </w:pPr>
      <w:bookmarkStart w:id="8" w:name="_Toc142565924"/>
      <w:r w:rsidRPr="00DB2792">
        <w:rPr>
          <w:b/>
          <w:bCs/>
        </w:rPr>
        <w:lastRenderedPageBreak/>
        <w:t>Sytuacja ekonomiczna</w:t>
      </w:r>
      <w:r w:rsidR="007E036F" w:rsidRPr="00DB2792">
        <w:rPr>
          <w:b/>
          <w:bCs/>
        </w:rPr>
        <w:t xml:space="preserve"> i usługi społeczne</w:t>
      </w:r>
      <w:bookmarkEnd w:id="8"/>
    </w:p>
    <w:p w14:paraId="34F27159" w14:textId="07EB18BD" w:rsidR="00A254DA" w:rsidRDefault="00B306CA" w:rsidP="009E6F68">
      <w:pPr>
        <w:spacing w:after="0" w:line="240" w:lineRule="auto"/>
        <w:jc w:val="both"/>
        <w:rPr>
          <w:rFonts w:ascii="Lato" w:hAnsi="Lato"/>
          <w:sz w:val="20"/>
          <w:szCs w:val="20"/>
        </w:rPr>
      </w:pPr>
      <w:r w:rsidRPr="00B306CA">
        <w:rPr>
          <w:rFonts w:ascii="Lato" w:hAnsi="Lato"/>
          <w:sz w:val="20"/>
          <w:szCs w:val="20"/>
        </w:rPr>
        <w:t>Zgodnie z wynikami reprezentacyjnego Badania budżetów gospodarstw domowych w 2022 r. przeciętny miesięczny dochód rozporządzalny na 1 osobę w gospodarstwach domowych wyłącznie z osobami starszymi wyniósł 2 622,69 zł. Dochód ten był o 16,1% wyższy niż w gospodarstwach, w skład których wchodziły wyłącznie osoby młodsze, mające poniżej 60 lat.</w:t>
      </w:r>
      <w:r w:rsidRPr="00B306CA">
        <w:rPr>
          <w:rFonts w:ascii="Lato" w:hAnsi="Lato"/>
          <w:spacing w:val="-2"/>
          <w:sz w:val="20"/>
          <w:szCs w:val="20"/>
        </w:rPr>
        <w:t xml:space="preserve"> </w:t>
      </w:r>
    </w:p>
    <w:p w14:paraId="6120AD5A" w14:textId="69B32B9D" w:rsidR="00B306CA" w:rsidRDefault="00B306CA" w:rsidP="009E6F68">
      <w:pPr>
        <w:spacing w:after="0" w:line="240" w:lineRule="auto"/>
        <w:jc w:val="both"/>
        <w:rPr>
          <w:rFonts w:ascii="Lato" w:hAnsi="Lato"/>
          <w:sz w:val="20"/>
          <w:szCs w:val="20"/>
        </w:rPr>
      </w:pPr>
    </w:p>
    <w:p w14:paraId="3C88E711" w14:textId="77777777" w:rsidR="00B306CA" w:rsidRPr="00B306CA" w:rsidRDefault="00B306CA" w:rsidP="009E6F68">
      <w:pPr>
        <w:spacing w:after="0" w:line="240" w:lineRule="auto"/>
        <w:jc w:val="both"/>
        <w:rPr>
          <w:rFonts w:ascii="Lato" w:hAnsi="Lato"/>
          <w:sz w:val="20"/>
          <w:szCs w:val="20"/>
        </w:rPr>
      </w:pPr>
      <w:r w:rsidRPr="00B306CA">
        <w:rPr>
          <w:rFonts w:ascii="Lato" w:hAnsi="Lato"/>
          <w:sz w:val="20"/>
          <w:szCs w:val="20"/>
        </w:rPr>
        <w:t>Gospodarstwa domowe wyłącznie z osobami w wieku 60 lat i więcej utrzymują się przede wszystkim z emerytur lub rent, które w 2022 r. stanowiły 80,2% ich dochodów. Dochody z pracy najemnej w przypadku tych gospodarstw stanowiły 10,4% ogółu dochodów, a dochody z pracy na własny rachunek poza gospodarstwem rolnym – 2,7%.</w:t>
      </w:r>
    </w:p>
    <w:p w14:paraId="199D245E" w14:textId="77777777" w:rsidR="00B306CA" w:rsidRPr="00B306CA" w:rsidRDefault="00B306CA" w:rsidP="009E6F68">
      <w:pPr>
        <w:spacing w:after="0" w:line="240" w:lineRule="auto"/>
        <w:jc w:val="both"/>
        <w:rPr>
          <w:rFonts w:ascii="Lato" w:hAnsi="Lato"/>
          <w:sz w:val="20"/>
          <w:szCs w:val="20"/>
        </w:rPr>
      </w:pPr>
    </w:p>
    <w:p w14:paraId="76850DAB" w14:textId="325D52C4" w:rsidR="00A254DA" w:rsidRDefault="00A254DA" w:rsidP="00A254DA">
      <w:pPr>
        <w:pStyle w:val="Legenda"/>
        <w:keepNext/>
      </w:pPr>
      <w:bookmarkStart w:id="9" w:name="_Toc142565973"/>
      <w:r>
        <w:t xml:space="preserve">Tabela </w:t>
      </w:r>
      <w:fldSimple w:instr=" SEQ Tabela \* ARABIC ">
        <w:r w:rsidR="00AA385B">
          <w:rPr>
            <w:noProof/>
          </w:rPr>
          <w:t>7</w:t>
        </w:r>
      </w:fldSimple>
      <w:r>
        <w:t xml:space="preserve"> Przeciętne miesięczne dochody na 1 osobę w gospodarstwach domowych według liczby osób w wieku 60 lat i więcej w gospodarstwie domowym w 2022 r.</w:t>
      </w:r>
      <w:bookmarkEnd w:id="9"/>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8"/>
        <w:gridCol w:w="1418"/>
        <w:gridCol w:w="1418"/>
        <w:gridCol w:w="1033"/>
        <w:gridCol w:w="1179"/>
        <w:gridCol w:w="1183"/>
      </w:tblGrid>
      <w:tr w:rsidR="00A254DA" w:rsidRPr="00DC3810" w14:paraId="6091F51B" w14:textId="77777777" w:rsidTr="00DC3810">
        <w:trPr>
          <w:trHeight w:val="288"/>
        </w:trPr>
        <w:tc>
          <w:tcPr>
            <w:tcW w:w="1507" w:type="pct"/>
            <w:vMerge w:val="restart"/>
            <w:shd w:val="clear" w:color="auto" w:fill="8EAADB" w:themeFill="accent1" w:themeFillTint="99"/>
            <w:vAlign w:val="center"/>
            <w:hideMark/>
          </w:tcPr>
          <w:p w14:paraId="08A72E9D"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3493" w:type="pct"/>
            <w:gridSpan w:val="5"/>
            <w:shd w:val="clear" w:color="auto" w:fill="8EAADB" w:themeFill="accent1" w:themeFillTint="99"/>
            <w:vAlign w:val="center"/>
            <w:hideMark/>
          </w:tcPr>
          <w:p w14:paraId="10B3E62D"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t>
            </w:r>
          </w:p>
        </w:tc>
      </w:tr>
      <w:tr w:rsidR="00A254DA" w:rsidRPr="00DC3810" w14:paraId="7FAF5FB8" w14:textId="77777777" w:rsidTr="00DC3810">
        <w:trPr>
          <w:trHeight w:val="308"/>
        </w:trPr>
        <w:tc>
          <w:tcPr>
            <w:tcW w:w="1507" w:type="pct"/>
            <w:vMerge/>
            <w:shd w:val="clear" w:color="auto" w:fill="8EAADB" w:themeFill="accent1" w:themeFillTint="99"/>
            <w:vAlign w:val="center"/>
            <w:hideMark/>
          </w:tcPr>
          <w:p w14:paraId="5A7505D1"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val="restart"/>
            <w:shd w:val="clear" w:color="auto" w:fill="8EAADB" w:themeFill="accent1" w:themeFillTint="99"/>
            <w:vAlign w:val="center"/>
            <w:hideMark/>
          </w:tcPr>
          <w:p w14:paraId="566D0A2D"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bez osób </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c>
          <w:tcPr>
            <w:tcW w:w="795" w:type="pct"/>
            <w:vMerge w:val="restart"/>
            <w:shd w:val="clear" w:color="auto" w:fill="8EAADB" w:themeFill="accent1" w:themeFillTint="99"/>
            <w:vAlign w:val="center"/>
            <w:hideMark/>
          </w:tcPr>
          <w:p w14:paraId="302C45BA"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 przynajmniej </w:t>
            </w:r>
            <w:r w:rsidRPr="00DC3810">
              <w:rPr>
                <w:rFonts w:ascii="Lato" w:eastAsia="Times New Roman" w:hAnsi="Lato" w:cs="Arial"/>
                <w:color w:val="000000"/>
                <w:sz w:val="18"/>
                <w:szCs w:val="18"/>
                <w:lang w:eastAsia="pl-PL"/>
              </w:rPr>
              <w:br/>
              <w:t>1 osobą w wieku 60 lat i więcej</w:t>
            </w:r>
          </w:p>
        </w:tc>
        <w:tc>
          <w:tcPr>
            <w:tcW w:w="1903" w:type="pct"/>
            <w:gridSpan w:val="3"/>
            <w:shd w:val="clear" w:color="auto" w:fill="8EAADB" w:themeFill="accent1" w:themeFillTint="99"/>
            <w:vAlign w:val="center"/>
            <w:hideMark/>
          </w:tcPr>
          <w:p w14:paraId="2D7BC132"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wyłącznie z osobami w wieku 60 lat i więcej</w:t>
            </w:r>
          </w:p>
        </w:tc>
      </w:tr>
      <w:tr w:rsidR="00A254DA" w:rsidRPr="00DC3810" w14:paraId="4AC7C837" w14:textId="77777777" w:rsidTr="00DC3810">
        <w:trPr>
          <w:trHeight w:val="399"/>
        </w:trPr>
        <w:tc>
          <w:tcPr>
            <w:tcW w:w="1507" w:type="pct"/>
            <w:vMerge/>
            <w:shd w:val="clear" w:color="auto" w:fill="8EAADB" w:themeFill="accent1" w:themeFillTint="99"/>
            <w:vAlign w:val="center"/>
            <w:hideMark/>
          </w:tcPr>
          <w:p w14:paraId="05F81DC4"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1A9AAEDD"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3B3312C7"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579" w:type="pct"/>
            <w:vMerge w:val="restart"/>
            <w:shd w:val="clear" w:color="auto" w:fill="8EAADB" w:themeFill="accent1" w:themeFillTint="99"/>
            <w:vAlign w:val="center"/>
            <w:hideMark/>
          </w:tcPr>
          <w:p w14:paraId="31642281"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razem</w:t>
            </w:r>
          </w:p>
        </w:tc>
        <w:tc>
          <w:tcPr>
            <w:tcW w:w="1324" w:type="pct"/>
            <w:gridSpan w:val="2"/>
            <w:shd w:val="clear" w:color="auto" w:fill="8EAADB" w:themeFill="accent1" w:themeFillTint="99"/>
            <w:vAlign w:val="center"/>
            <w:hideMark/>
          </w:tcPr>
          <w:p w14:paraId="698C69E8"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tym</w:t>
            </w:r>
          </w:p>
        </w:tc>
      </w:tr>
      <w:tr w:rsidR="00A254DA" w:rsidRPr="00DC3810" w14:paraId="372813C0" w14:textId="77777777" w:rsidTr="00DC3810">
        <w:trPr>
          <w:trHeight w:val="450"/>
        </w:trPr>
        <w:tc>
          <w:tcPr>
            <w:tcW w:w="1507" w:type="pct"/>
            <w:vMerge/>
            <w:shd w:val="clear" w:color="auto" w:fill="8EAADB" w:themeFill="accent1" w:themeFillTint="99"/>
            <w:vAlign w:val="center"/>
            <w:hideMark/>
          </w:tcPr>
          <w:p w14:paraId="6D58C523"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018FC3C8"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03569113"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579" w:type="pct"/>
            <w:vMerge/>
            <w:shd w:val="clear" w:color="auto" w:fill="8EAADB" w:themeFill="accent1" w:themeFillTint="99"/>
            <w:vAlign w:val="center"/>
            <w:hideMark/>
          </w:tcPr>
          <w:p w14:paraId="2B0828F9"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661" w:type="pct"/>
            <w:vMerge w:val="restart"/>
            <w:shd w:val="clear" w:color="auto" w:fill="8EAADB" w:themeFill="accent1" w:themeFillTint="99"/>
            <w:vAlign w:val="center"/>
            <w:hideMark/>
          </w:tcPr>
          <w:p w14:paraId="731897BA"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1-osobowe</w:t>
            </w:r>
          </w:p>
        </w:tc>
        <w:tc>
          <w:tcPr>
            <w:tcW w:w="663" w:type="pct"/>
            <w:vMerge w:val="restart"/>
            <w:shd w:val="clear" w:color="auto" w:fill="8EAADB" w:themeFill="accent1" w:themeFillTint="99"/>
            <w:vAlign w:val="center"/>
            <w:hideMark/>
          </w:tcPr>
          <w:p w14:paraId="1181AF20"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2-osobowe (obydwie osoby</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r>
      <w:tr w:rsidR="00A254DA" w:rsidRPr="00DC3810" w14:paraId="768CB632" w14:textId="77777777" w:rsidTr="00DC3810">
        <w:trPr>
          <w:trHeight w:val="450"/>
        </w:trPr>
        <w:tc>
          <w:tcPr>
            <w:tcW w:w="1507" w:type="pct"/>
            <w:vMerge/>
            <w:shd w:val="clear" w:color="auto" w:fill="8EAADB" w:themeFill="accent1" w:themeFillTint="99"/>
            <w:vAlign w:val="center"/>
            <w:hideMark/>
          </w:tcPr>
          <w:p w14:paraId="178A7E46"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371B0EE2"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2416CA92"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579" w:type="pct"/>
            <w:vMerge/>
            <w:shd w:val="clear" w:color="auto" w:fill="8EAADB" w:themeFill="accent1" w:themeFillTint="99"/>
            <w:vAlign w:val="center"/>
            <w:hideMark/>
          </w:tcPr>
          <w:p w14:paraId="19660E0C"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661" w:type="pct"/>
            <w:vMerge/>
            <w:shd w:val="clear" w:color="auto" w:fill="8EAADB" w:themeFill="accent1" w:themeFillTint="99"/>
            <w:vAlign w:val="center"/>
            <w:hideMark/>
          </w:tcPr>
          <w:p w14:paraId="7B358F03"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663" w:type="pct"/>
            <w:vMerge/>
            <w:shd w:val="clear" w:color="auto" w:fill="8EAADB" w:themeFill="accent1" w:themeFillTint="99"/>
            <w:vAlign w:val="center"/>
            <w:hideMark/>
          </w:tcPr>
          <w:p w14:paraId="50BC702F"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r>
      <w:tr w:rsidR="00A254DA" w:rsidRPr="00DC3810" w14:paraId="7DF7C1E8" w14:textId="77777777" w:rsidTr="00DC3810">
        <w:trPr>
          <w:trHeight w:val="450"/>
        </w:trPr>
        <w:tc>
          <w:tcPr>
            <w:tcW w:w="1507" w:type="pct"/>
            <w:vMerge/>
            <w:shd w:val="clear" w:color="auto" w:fill="8EAADB" w:themeFill="accent1" w:themeFillTint="99"/>
            <w:vAlign w:val="center"/>
            <w:hideMark/>
          </w:tcPr>
          <w:p w14:paraId="0F3697B9"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3C675BEA"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795" w:type="pct"/>
            <w:vMerge/>
            <w:shd w:val="clear" w:color="auto" w:fill="8EAADB" w:themeFill="accent1" w:themeFillTint="99"/>
            <w:vAlign w:val="center"/>
            <w:hideMark/>
          </w:tcPr>
          <w:p w14:paraId="643DF354"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579" w:type="pct"/>
            <w:vMerge/>
            <w:shd w:val="clear" w:color="auto" w:fill="8EAADB" w:themeFill="accent1" w:themeFillTint="99"/>
            <w:vAlign w:val="center"/>
            <w:hideMark/>
          </w:tcPr>
          <w:p w14:paraId="37ACB6C2"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661" w:type="pct"/>
            <w:vMerge/>
            <w:shd w:val="clear" w:color="auto" w:fill="8EAADB" w:themeFill="accent1" w:themeFillTint="99"/>
            <w:vAlign w:val="center"/>
            <w:hideMark/>
          </w:tcPr>
          <w:p w14:paraId="77EBF0C3"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c>
          <w:tcPr>
            <w:tcW w:w="663" w:type="pct"/>
            <w:vMerge/>
            <w:shd w:val="clear" w:color="auto" w:fill="8EAADB" w:themeFill="accent1" w:themeFillTint="99"/>
            <w:vAlign w:val="center"/>
            <w:hideMark/>
          </w:tcPr>
          <w:p w14:paraId="31806333" w14:textId="77777777" w:rsidR="00A254DA" w:rsidRPr="00DC3810" w:rsidRDefault="00A254DA" w:rsidP="00A254DA">
            <w:pPr>
              <w:spacing w:after="0" w:line="240" w:lineRule="auto"/>
              <w:rPr>
                <w:rFonts w:ascii="Lato" w:eastAsia="Times New Roman" w:hAnsi="Lato" w:cs="Arial"/>
                <w:color w:val="000000"/>
                <w:sz w:val="18"/>
                <w:szCs w:val="18"/>
                <w:lang w:eastAsia="pl-PL"/>
              </w:rPr>
            </w:pPr>
          </w:p>
        </w:tc>
      </w:tr>
      <w:tr w:rsidR="00A254DA" w:rsidRPr="00DC3810" w14:paraId="26569CBA" w14:textId="77777777" w:rsidTr="00DC3810">
        <w:trPr>
          <w:trHeight w:val="166"/>
        </w:trPr>
        <w:tc>
          <w:tcPr>
            <w:tcW w:w="5000" w:type="pct"/>
            <w:gridSpan w:val="6"/>
            <w:shd w:val="clear" w:color="auto" w:fill="auto"/>
            <w:vAlign w:val="center"/>
            <w:hideMark/>
          </w:tcPr>
          <w:p w14:paraId="24D6DAE4"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r>
      <w:tr w:rsidR="00A254DA" w:rsidRPr="00DC3810" w14:paraId="27A39C68" w14:textId="77777777" w:rsidTr="00A254DA">
        <w:trPr>
          <w:trHeight w:val="300"/>
        </w:trPr>
        <w:tc>
          <w:tcPr>
            <w:tcW w:w="5000" w:type="pct"/>
            <w:gridSpan w:val="6"/>
            <w:shd w:val="clear" w:color="auto" w:fill="auto"/>
            <w:vAlign w:val="center"/>
            <w:hideMark/>
          </w:tcPr>
          <w:p w14:paraId="63C75B11"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A254DA" w:rsidRPr="00DC3810" w14:paraId="04091780" w14:textId="77777777" w:rsidTr="00DC3810">
        <w:trPr>
          <w:trHeight w:val="300"/>
        </w:trPr>
        <w:tc>
          <w:tcPr>
            <w:tcW w:w="1507" w:type="pct"/>
            <w:shd w:val="clear" w:color="auto" w:fill="auto"/>
            <w:vAlign w:val="center"/>
            <w:hideMark/>
          </w:tcPr>
          <w:p w14:paraId="4AB402BE"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Dochód rozporządzalny                                                                                                                                                                                     </w:t>
            </w:r>
          </w:p>
        </w:tc>
        <w:tc>
          <w:tcPr>
            <w:tcW w:w="795" w:type="pct"/>
            <w:shd w:val="clear" w:color="auto" w:fill="auto"/>
            <w:vAlign w:val="center"/>
            <w:hideMark/>
          </w:tcPr>
          <w:p w14:paraId="76DA1F5E" w14:textId="7B234570" w:rsidR="00A254DA" w:rsidRPr="00DC3810" w:rsidRDefault="00A254DA" w:rsidP="00DC3810">
            <w:pPr>
              <w:spacing w:after="0" w:line="240" w:lineRule="auto"/>
              <w:jc w:val="center"/>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2 258,76</w:t>
            </w:r>
          </w:p>
        </w:tc>
        <w:tc>
          <w:tcPr>
            <w:tcW w:w="795" w:type="pct"/>
            <w:shd w:val="clear" w:color="auto" w:fill="auto"/>
            <w:vAlign w:val="center"/>
            <w:hideMark/>
          </w:tcPr>
          <w:p w14:paraId="28F24C04" w14:textId="139AD9DB" w:rsidR="00A254DA" w:rsidRPr="00DC3810" w:rsidRDefault="00A254DA" w:rsidP="00DC3810">
            <w:pPr>
              <w:spacing w:after="0" w:line="240" w:lineRule="auto"/>
              <w:jc w:val="center"/>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2 236,90</w:t>
            </w:r>
          </w:p>
        </w:tc>
        <w:tc>
          <w:tcPr>
            <w:tcW w:w="579" w:type="pct"/>
            <w:shd w:val="clear" w:color="auto" w:fill="auto"/>
            <w:vAlign w:val="center"/>
            <w:hideMark/>
          </w:tcPr>
          <w:p w14:paraId="725AFA76" w14:textId="5A60F9F7" w:rsidR="00A254DA" w:rsidRPr="00DC3810" w:rsidRDefault="00A254DA" w:rsidP="00DC3810">
            <w:pPr>
              <w:spacing w:after="0" w:line="240" w:lineRule="auto"/>
              <w:jc w:val="center"/>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2 622,69</w:t>
            </w:r>
          </w:p>
        </w:tc>
        <w:tc>
          <w:tcPr>
            <w:tcW w:w="661" w:type="pct"/>
            <w:shd w:val="clear" w:color="auto" w:fill="auto"/>
            <w:vAlign w:val="center"/>
            <w:hideMark/>
          </w:tcPr>
          <w:p w14:paraId="274765DF" w14:textId="3B003A71" w:rsidR="00A254DA" w:rsidRPr="00DC3810" w:rsidRDefault="00A254DA" w:rsidP="00DC3810">
            <w:pPr>
              <w:spacing w:after="0" w:line="240" w:lineRule="auto"/>
              <w:jc w:val="center"/>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2 629,16</w:t>
            </w:r>
          </w:p>
        </w:tc>
        <w:tc>
          <w:tcPr>
            <w:tcW w:w="663" w:type="pct"/>
            <w:shd w:val="clear" w:color="auto" w:fill="auto"/>
            <w:vAlign w:val="center"/>
            <w:hideMark/>
          </w:tcPr>
          <w:p w14:paraId="791BF027" w14:textId="21EFEE30" w:rsidR="00A254DA" w:rsidRPr="00DC3810" w:rsidRDefault="00A254DA" w:rsidP="00DC3810">
            <w:pPr>
              <w:spacing w:after="0" w:line="240" w:lineRule="auto"/>
              <w:jc w:val="center"/>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2 628,33</w:t>
            </w:r>
          </w:p>
        </w:tc>
      </w:tr>
      <w:tr w:rsidR="00A254DA" w:rsidRPr="00DC3810" w14:paraId="01336B6C" w14:textId="77777777" w:rsidTr="00A254DA">
        <w:trPr>
          <w:trHeight w:val="300"/>
        </w:trPr>
        <w:tc>
          <w:tcPr>
            <w:tcW w:w="5000" w:type="pct"/>
            <w:gridSpan w:val="6"/>
            <w:shd w:val="clear" w:color="auto" w:fill="auto"/>
            <w:vAlign w:val="center"/>
            <w:hideMark/>
          </w:tcPr>
          <w:p w14:paraId="6BD74930"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A254DA" w:rsidRPr="00DC3810" w14:paraId="4BECB6FF" w14:textId="77777777" w:rsidTr="00DC3810">
        <w:trPr>
          <w:trHeight w:val="300"/>
        </w:trPr>
        <w:tc>
          <w:tcPr>
            <w:tcW w:w="1507" w:type="pct"/>
            <w:shd w:val="clear" w:color="auto" w:fill="auto"/>
            <w:vAlign w:val="center"/>
            <w:hideMark/>
          </w:tcPr>
          <w:p w14:paraId="2CACAD68"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Dochód rozporządzalny</w:t>
            </w:r>
          </w:p>
        </w:tc>
        <w:tc>
          <w:tcPr>
            <w:tcW w:w="795" w:type="pct"/>
            <w:shd w:val="clear" w:color="auto" w:fill="auto"/>
            <w:vAlign w:val="center"/>
            <w:hideMark/>
          </w:tcPr>
          <w:p w14:paraId="778537D6" w14:textId="77777777" w:rsidR="00A254DA" w:rsidRPr="00DC3810" w:rsidRDefault="00A254DA" w:rsidP="00A254DA">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100,0</w:t>
            </w:r>
          </w:p>
        </w:tc>
        <w:tc>
          <w:tcPr>
            <w:tcW w:w="795" w:type="pct"/>
            <w:shd w:val="clear" w:color="auto" w:fill="auto"/>
            <w:vAlign w:val="center"/>
            <w:hideMark/>
          </w:tcPr>
          <w:p w14:paraId="4CBBF5E7" w14:textId="77777777" w:rsidR="00A254DA" w:rsidRPr="00DC3810" w:rsidRDefault="00A254DA" w:rsidP="00A254DA">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100,0</w:t>
            </w:r>
          </w:p>
        </w:tc>
        <w:tc>
          <w:tcPr>
            <w:tcW w:w="579" w:type="pct"/>
            <w:shd w:val="clear" w:color="auto" w:fill="auto"/>
            <w:vAlign w:val="center"/>
            <w:hideMark/>
          </w:tcPr>
          <w:p w14:paraId="61D58964" w14:textId="77777777" w:rsidR="00A254DA" w:rsidRPr="00DC3810" w:rsidRDefault="00A254DA" w:rsidP="00A254DA">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100,0</w:t>
            </w:r>
          </w:p>
        </w:tc>
        <w:tc>
          <w:tcPr>
            <w:tcW w:w="661" w:type="pct"/>
            <w:shd w:val="clear" w:color="auto" w:fill="auto"/>
            <w:vAlign w:val="center"/>
            <w:hideMark/>
          </w:tcPr>
          <w:p w14:paraId="58049F70" w14:textId="77777777" w:rsidR="00A254DA" w:rsidRPr="00DC3810" w:rsidRDefault="00A254DA" w:rsidP="00A254DA">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100,0</w:t>
            </w:r>
          </w:p>
        </w:tc>
        <w:tc>
          <w:tcPr>
            <w:tcW w:w="663" w:type="pct"/>
            <w:shd w:val="clear" w:color="auto" w:fill="auto"/>
            <w:vAlign w:val="center"/>
            <w:hideMark/>
          </w:tcPr>
          <w:p w14:paraId="44656AEC" w14:textId="77777777" w:rsidR="00A254DA" w:rsidRPr="00DC3810" w:rsidRDefault="00A254DA" w:rsidP="00A254DA">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100,0</w:t>
            </w:r>
          </w:p>
        </w:tc>
      </w:tr>
      <w:tr w:rsidR="00A254DA" w:rsidRPr="00DC3810" w14:paraId="015AF61D" w14:textId="77777777" w:rsidTr="00DC3810">
        <w:trPr>
          <w:trHeight w:val="300"/>
        </w:trPr>
        <w:tc>
          <w:tcPr>
            <w:tcW w:w="1507" w:type="pct"/>
            <w:shd w:val="clear" w:color="auto" w:fill="auto"/>
            <w:vAlign w:val="center"/>
            <w:hideMark/>
          </w:tcPr>
          <w:p w14:paraId="53353DD6"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dochód do dyspozycji</w:t>
            </w:r>
          </w:p>
        </w:tc>
        <w:tc>
          <w:tcPr>
            <w:tcW w:w="795" w:type="pct"/>
            <w:shd w:val="clear" w:color="auto" w:fill="auto"/>
            <w:vAlign w:val="center"/>
            <w:hideMark/>
          </w:tcPr>
          <w:p w14:paraId="3C922C7C"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97,6</w:t>
            </w:r>
          </w:p>
        </w:tc>
        <w:tc>
          <w:tcPr>
            <w:tcW w:w="795" w:type="pct"/>
            <w:shd w:val="clear" w:color="auto" w:fill="auto"/>
            <w:vAlign w:val="center"/>
            <w:hideMark/>
          </w:tcPr>
          <w:p w14:paraId="4EC1608C"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97,4</w:t>
            </w:r>
          </w:p>
        </w:tc>
        <w:tc>
          <w:tcPr>
            <w:tcW w:w="579" w:type="pct"/>
            <w:shd w:val="clear" w:color="auto" w:fill="auto"/>
            <w:vAlign w:val="center"/>
            <w:hideMark/>
          </w:tcPr>
          <w:p w14:paraId="6BA1A9FB"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96,1</w:t>
            </w:r>
          </w:p>
        </w:tc>
        <w:tc>
          <w:tcPr>
            <w:tcW w:w="661" w:type="pct"/>
            <w:shd w:val="clear" w:color="auto" w:fill="auto"/>
            <w:vAlign w:val="center"/>
            <w:hideMark/>
          </w:tcPr>
          <w:p w14:paraId="3402FB32"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95,4</w:t>
            </w:r>
          </w:p>
        </w:tc>
        <w:tc>
          <w:tcPr>
            <w:tcW w:w="663" w:type="pct"/>
            <w:shd w:val="clear" w:color="auto" w:fill="auto"/>
            <w:vAlign w:val="center"/>
            <w:hideMark/>
          </w:tcPr>
          <w:p w14:paraId="716B6E20"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96,6</w:t>
            </w:r>
          </w:p>
        </w:tc>
      </w:tr>
      <w:tr w:rsidR="00A254DA" w:rsidRPr="00DC3810" w14:paraId="077DB7B5" w14:textId="77777777" w:rsidTr="00DC3810">
        <w:trPr>
          <w:trHeight w:val="300"/>
        </w:trPr>
        <w:tc>
          <w:tcPr>
            <w:tcW w:w="1507" w:type="pct"/>
            <w:shd w:val="clear" w:color="auto" w:fill="auto"/>
            <w:vAlign w:val="center"/>
            <w:hideMark/>
          </w:tcPr>
          <w:p w14:paraId="19A0630C"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pracy najemnej                                                                                                                                                                             </w:t>
            </w:r>
          </w:p>
        </w:tc>
        <w:tc>
          <w:tcPr>
            <w:tcW w:w="795" w:type="pct"/>
            <w:shd w:val="clear" w:color="auto" w:fill="auto"/>
            <w:vAlign w:val="center"/>
            <w:hideMark/>
          </w:tcPr>
          <w:p w14:paraId="390472CA"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69,2</w:t>
            </w:r>
          </w:p>
        </w:tc>
        <w:tc>
          <w:tcPr>
            <w:tcW w:w="795" w:type="pct"/>
            <w:shd w:val="clear" w:color="auto" w:fill="auto"/>
            <w:vAlign w:val="center"/>
            <w:hideMark/>
          </w:tcPr>
          <w:p w14:paraId="7AB493E5"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31,7</w:t>
            </w:r>
          </w:p>
        </w:tc>
        <w:tc>
          <w:tcPr>
            <w:tcW w:w="579" w:type="pct"/>
            <w:shd w:val="clear" w:color="auto" w:fill="auto"/>
            <w:vAlign w:val="center"/>
            <w:hideMark/>
          </w:tcPr>
          <w:p w14:paraId="7C9ABEE9"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10,4</w:t>
            </w:r>
          </w:p>
        </w:tc>
        <w:tc>
          <w:tcPr>
            <w:tcW w:w="661" w:type="pct"/>
            <w:shd w:val="clear" w:color="auto" w:fill="auto"/>
            <w:vAlign w:val="center"/>
            <w:hideMark/>
          </w:tcPr>
          <w:p w14:paraId="579AE143"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8,9</w:t>
            </w:r>
          </w:p>
        </w:tc>
        <w:tc>
          <w:tcPr>
            <w:tcW w:w="663" w:type="pct"/>
            <w:shd w:val="clear" w:color="auto" w:fill="auto"/>
            <w:vAlign w:val="center"/>
            <w:hideMark/>
          </w:tcPr>
          <w:p w14:paraId="6BC0A17A"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11,3</w:t>
            </w:r>
          </w:p>
        </w:tc>
      </w:tr>
      <w:tr w:rsidR="00A254DA" w:rsidRPr="00DC3810" w14:paraId="12E1833C" w14:textId="77777777" w:rsidTr="00DC3810">
        <w:trPr>
          <w:trHeight w:val="684"/>
        </w:trPr>
        <w:tc>
          <w:tcPr>
            <w:tcW w:w="1507" w:type="pct"/>
            <w:shd w:val="clear" w:color="auto" w:fill="auto"/>
            <w:vAlign w:val="center"/>
            <w:hideMark/>
          </w:tcPr>
          <w:p w14:paraId="7CFD520C"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Dochody z pracy na własny rachunek poza</w:t>
            </w:r>
            <w:r w:rsidRPr="00DC3810">
              <w:rPr>
                <w:rFonts w:ascii="Lato" w:eastAsia="Times New Roman" w:hAnsi="Lato" w:cs="Arial"/>
                <w:color w:val="000000"/>
                <w:sz w:val="18"/>
                <w:szCs w:val="18"/>
                <w:lang w:eastAsia="pl-PL"/>
              </w:rPr>
              <w:br/>
              <w:t xml:space="preserve">   gospodarstwem rolnym w użytkowaniu</w:t>
            </w:r>
            <w:r w:rsidRPr="00DC3810">
              <w:rPr>
                <w:rFonts w:ascii="Lato" w:eastAsia="Times New Roman" w:hAnsi="Lato" w:cs="Arial"/>
                <w:color w:val="000000"/>
                <w:sz w:val="18"/>
                <w:szCs w:val="18"/>
                <w:lang w:eastAsia="pl-PL"/>
              </w:rPr>
              <w:br/>
              <w:t xml:space="preserve">   indywidualnym                                                                                                     </w:t>
            </w:r>
          </w:p>
        </w:tc>
        <w:tc>
          <w:tcPr>
            <w:tcW w:w="795" w:type="pct"/>
            <w:shd w:val="clear" w:color="auto" w:fill="auto"/>
            <w:vAlign w:val="center"/>
            <w:hideMark/>
          </w:tcPr>
          <w:p w14:paraId="1D419883"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13,5</w:t>
            </w:r>
          </w:p>
        </w:tc>
        <w:tc>
          <w:tcPr>
            <w:tcW w:w="795" w:type="pct"/>
            <w:shd w:val="clear" w:color="auto" w:fill="auto"/>
            <w:vAlign w:val="center"/>
            <w:hideMark/>
          </w:tcPr>
          <w:p w14:paraId="7884A0B2"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4,1</w:t>
            </w:r>
          </w:p>
        </w:tc>
        <w:tc>
          <w:tcPr>
            <w:tcW w:w="579" w:type="pct"/>
            <w:shd w:val="clear" w:color="auto" w:fill="auto"/>
            <w:vAlign w:val="center"/>
            <w:hideMark/>
          </w:tcPr>
          <w:p w14:paraId="1315B4F8"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2,7</w:t>
            </w:r>
          </w:p>
        </w:tc>
        <w:tc>
          <w:tcPr>
            <w:tcW w:w="661" w:type="pct"/>
            <w:shd w:val="clear" w:color="auto" w:fill="auto"/>
            <w:vAlign w:val="center"/>
            <w:hideMark/>
          </w:tcPr>
          <w:p w14:paraId="42CC3B93"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1,9</w:t>
            </w:r>
          </w:p>
        </w:tc>
        <w:tc>
          <w:tcPr>
            <w:tcW w:w="663" w:type="pct"/>
            <w:shd w:val="clear" w:color="auto" w:fill="auto"/>
            <w:vAlign w:val="center"/>
            <w:hideMark/>
          </w:tcPr>
          <w:p w14:paraId="30165A0F"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3,2</w:t>
            </w:r>
          </w:p>
        </w:tc>
      </w:tr>
      <w:tr w:rsidR="00A254DA" w:rsidRPr="00DC3810" w14:paraId="5AD82B59" w14:textId="77777777" w:rsidTr="00DC3810">
        <w:trPr>
          <w:trHeight w:val="300"/>
        </w:trPr>
        <w:tc>
          <w:tcPr>
            <w:tcW w:w="1507" w:type="pct"/>
            <w:shd w:val="clear" w:color="auto" w:fill="auto"/>
            <w:vAlign w:val="center"/>
            <w:hideMark/>
          </w:tcPr>
          <w:p w14:paraId="7074475F"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gospodarstwa rolnego                                                                                                                                                                                              </w:t>
            </w:r>
          </w:p>
        </w:tc>
        <w:tc>
          <w:tcPr>
            <w:tcW w:w="795" w:type="pct"/>
            <w:shd w:val="clear" w:color="auto" w:fill="auto"/>
            <w:vAlign w:val="center"/>
            <w:hideMark/>
          </w:tcPr>
          <w:p w14:paraId="37E2F8A7"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2,3</w:t>
            </w:r>
          </w:p>
        </w:tc>
        <w:tc>
          <w:tcPr>
            <w:tcW w:w="795" w:type="pct"/>
            <w:shd w:val="clear" w:color="auto" w:fill="auto"/>
            <w:vAlign w:val="center"/>
            <w:hideMark/>
          </w:tcPr>
          <w:p w14:paraId="196A034D"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5,4</w:t>
            </w:r>
          </w:p>
        </w:tc>
        <w:tc>
          <w:tcPr>
            <w:tcW w:w="579" w:type="pct"/>
            <w:shd w:val="clear" w:color="auto" w:fill="auto"/>
            <w:vAlign w:val="center"/>
            <w:hideMark/>
          </w:tcPr>
          <w:p w14:paraId="130D5247"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0,3</w:t>
            </w:r>
          </w:p>
        </w:tc>
        <w:tc>
          <w:tcPr>
            <w:tcW w:w="661" w:type="pct"/>
            <w:shd w:val="clear" w:color="auto" w:fill="auto"/>
            <w:vAlign w:val="center"/>
            <w:hideMark/>
          </w:tcPr>
          <w:p w14:paraId="011A3534"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0,4</w:t>
            </w:r>
          </w:p>
        </w:tc>
        <w:tc>
          <w:tcPr>
            <w:tcW w:w="663" w:type="pct"/>
            <w:shd w:val="clear" w:color="auto" w:fill="auto"/>
            <w:vAlign w:val="center"/>
            <w:hideMark/>
          </w:tcPr>
          <w:p w14:paraId="6577C356"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0,2</w:t>
            </w:r>
          </w:p>
        </w:tc>
      </w:tr>
      <w:tr w:rsidR="00A254DA" w:rsidRPr="00DC3810" w14:paraId="245DC6C9" w14:textId="77777777" w:rsidTr="00DC3810">
        <w:trPr>
          <w:trHeight w:val="300"/>
        </w:trPr>
        <w:tc>
          <w:tcPr>
            <w:tcW w:w="1507" w:type="pct"/>
            <w:shd w:val="clear" w:color="auto" w:fill="auto"/>
            <w:vAlign w:val="center"/>
            <w:hideMark/>
          </w:tcPr>
          <w:p w14:paraId="3203CF66"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ze świadczeń społecznych                                                                                                                                                                                                                  </w:t>
            </w:r>
          </w:p>
        </w:tc>
        <w:tc>
          <w:tcPr>
            <w:tcW w:w="795" w:type="pct"/>
            <w:shd w:val="clear" w:color="auto" w:fill="auto"/>
            <w:vAlign w:val="center"/>
            <w:hideMark/>
          </w:tcPr>
          <w:p w14:paraId="57383C44"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12,8</w:t>
            </w:r>
          </w:p>
        </w:tc>
        <w:tc>
          <w:tcPr>
            <w:tcW w:w="795" w:type="pct"/>
            <w:shd w:val="clear" w:color="auto" w:fill="auto"/>
            <w:vAlign w:val="center"/>
            <w:hideMark/>
          </w:tcPr>
          <w:p w14:paraId="236CF018"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57,0</w:t>
            </w:r>
          </w:p>
        </w:tc>
        <w:tc>
          <w:tcPr>
            <w:tcW w:w="579" w:type="pct"/>
            <w:shd w:val="clear" w:color="auto" w:fill="auto"/>
            <w:vAlign w:val="center"/>
            <w:hideMark/>
          </w:tcPr>
          <w:p w14:paraId="25439812"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84,3</w:t>
            </w:r>
          </w:p>
        </w:tc>
        <w:tc>
          <w:tcPr>
            <w:tcW w:w="661" w:type="pct"/>
            <w:shd w:val="clear" w:color="auto" w:fill="auto"/>
            <w:vAlign w:val="center"/>
            <w:hideMark/>
          </w:tcPr>
          <w:p w14:paraId="2D2DABBA"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85,2</w:t>
            </w:r>
          </w:p>
        </w:tc>
        <w:tc>
          <w:tcPr>
            <w:tcW w:w="663" w:type="pct"/>
            <w:shd w:val="clear" w:color="auto" w:fill="auto"/>
            <w:vAlign w:val="center"/>
            <w:hideMark/>
          </w:tcPr>
          <w:p w14:paraId="4C21D975"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83,8</w:t>
            </w:r>
          </w:p>
        </w:tc>
      </w:tr>
      <w:tr w:rsidR="00A254DA" w:rsidRPr="00DC3810" w14:paraId="45A46AC5" w14:textId="77777777" w:rsidTr="00DC3810">
        <w:trPr>
          <w:trHeight w:val="228"/>
        </w:trPr>
        <w:tc>
          <w:tcPr>
            <w:tcW w:w="1507" w:type="pct"/>
            <w:shd w:val="clear" w:color="auto" w:fill="auto"/>
            <w:vAlign w:val="center"/>
            <w:hideMark/>
          </w:tcPr>
          <w:p w14:paraId="3C9FE07D"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ze świadczeń z ubezpieczeń społecznych                                                                       </w:t>
            </w:r>
          </w:p>
        </w:tc>
        <w:tc>
          <w:tcPr>
            <w:tcW w:w="795" w:type="pct"/>
            <w:shd w:val="clear" w:color="auto" w:fill="auto"/>
            <w:vAlign w:val="center"/>
            <w:hideMark/>
          </w:tcPr>
          <w:p w14:paraId="5C740296"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2,9</w:t>
            </w:r>
          </w:p>
        </w:tc>
        <w:tc>
          <w:tcPr>
            <w:tcW w:w="795" w:type="pct"/>
            <w:shd w:val="clear" w:color="auto" w:fill="auto"/>
            <w:vAlign w:val="center"/>
            <w:hideMark/>
          </w:tcPr>
          <w:p w14:paraId="699412E6"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52,3</w:t>
            </w:r>
          </w:p>
        </w:tc>
        <w:tc>
          <w:tcPr>
            <w:tcW w:w="579" w:type="pct"/>
            <w:shd w:val="clear" w:color="auto" w:fill="auto"/>
            <w:vAlign w:val="center"/>
            <w:hideMark/>
          </w:tcPr>
          <w:p w14:paraId="70A5FCA9"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83,5</w:t>
            </w:r>
          </w:p>
        </w:tc>
        <w:tc>
          <w:tcPr>
            <w:tcW w:w="661" w:type="pct"/>
            <w:shd w:val="clear" w:color="auto" w:fill="auto"/>
            <w:vAlign w:val="center"/>
            <w:hideMark/>
          </w:tcPr>
          <w:p w14:paraId="2ADAC9F2"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84,1</w:t>
            </w:r>
          </w:p>
        </w:tc>
        <w:tc>
          <w:tcPr>
            <w:tcW w:w="663" w:type="pct"/>
            <w:shd w:val="clear" w:color="auto" w:fill="auto"/>
            <w:vAlign w:val="center"/>
            <w:hideMark/>
          </w:tcPr>
          <w:p w14:paraId="268207C8"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83,2</w:t>
            </w:r>
          </w:p>
        </w:tc>
      </w:tr>
      <w:tr w:rsidR="00A254DA" w:rsidRPr="00DC3810" w14:paraId="1232174F" w14:textId="77777777" w:rsidTr="00DC3810">
        <w:trPr>
          <w:trHeight w:val="300"/>
        </w:trPr>
        <w:tc>
          <w:tcPr>
            <w:tcW w:w="1507" w:type="pct"/>
            <w:shd w:val="clear" w:color="auto" w:fill="auto"/>
            <w:vAlign w:val="center"/>
            <w:hideMark/>
          </w:tcPr>
          <w:p w14:paraId="4FA0E860"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emerytury i renty*                                                                                                                                                                               </w:t>
            </w:r>
          </w:p>
        </w:tc>
        <w:tc>
          <w:tcPr>
            <w:tcW w:w="795" w:type="pct"/>
            <w:shd w:val="clear" w:color="auto" w:fill="auto"/>
            <w:vAlign w:val="center"/>
            <w:hideMark/>
          </w:tcPr>
          <w:p w14:paraId="6AFF786C"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2,0</w:t>
            </w:r>
          </w:p>
        </w:tc>
        <w:tc>
          <w:tcPr>
            <w:tcW w:w="795" w:type="pct"/>
            <w:shd w:val="clear" w:color="auto" w:fill="auto"/>
            <w:vAlign w:val="center"/>
            <w:hideMark/>
          </w:tcPr>
          <w:p w14:paraId="65BBC75C"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49,8</w:t>
            </w:r>
          </w:p>
        </w:tc>
        <w:tc>
          <w:tcPr>
            <w:tcW w:w="579" w:type="pct"/>
            <w:shd w:val="clear" w:color="auto" w:fill="auto"/>
            <w:vAlign w:val="center"/>
            <w:hideMark/>
          </w:tcPr>
          <w:p w14:paraId="6FDC05A3"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80,2</w:t>
            </w:r>
          </w:p>
        </w:tc>
        <w:tc>
          <w:tcPr>
            <w:tcW w:w="661" w:type="pct"/>
            <w:shd w:val="clear" w:color="auto" w:fill="auto"/>
            <w:vAlign w:val="center"/>
            <w:hideMark/>
          </w:tcPr>
          <w:p w14:paraId="66D129A9"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76,1</w:t>
            </w:r>
          </w:p>
        </w:tc>
        <w:tc>
          <w:tcPr>
            <w:tcW w:w="663" w:type="pct"/>
            <w:shd w:val="clear" w:color="auto" w:fill="auto"/>
            <w:vAlign w:val="center"/>
            <w:hideMark/>
          </w:tcPr>
          <w:p w14:paraId="01382485"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82,7</w:t>
            </w:r>
          </w:p>
        </w:tc>
      </w:tr>
      <w:tr w:rsidR="00A254DA" w:rsidRPr="00DC3810" w14:paraId="06E0E82F" w14:textId="77777777" w:rsidTr="00DC3810">
        <w:trPr>
          <w:trHeight w:val="300"/>
        </w:trPr>
        <w:tc>
          <w:tcPr>
            <w:tcW w:w="1507" w:type="pct"/>
            <w:shd w:val="clear" w:color="auto" w:fill="auto"/>
            <w:vAlign w:val="center"/>
            <w:hideMark/>
          </w:tcPr>
          <w:p w14:paraId="26B4F3B7"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 pozostałych świadczeń społecznych                            </w:t>
            </w:r>
          </w:p>
        </w:tc>
        <w:tc>
          <w:tcPr>
            <w:tcW w:w="795" w:type="pct"/>
            <w:shd w:val="clear" w:color="auto" w:fill="auto"/>
            <w:vAlign w:val="center"/>
            <w:hideMark/>
          </w:tcPr>
          <w:p w14:paraId="06F667EF"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9,9</w:t>
            </w:r>
          </w:p>
        </w:tc>
        <w:tc>
          <w:tcPr>
            <w:tcW w:w="795" w:type="pct"/>
            <w:shd w:val="clear" w:color="auto" w:fill="auto"/>
            <w:vAlign w:val="center"/>
            <w:hideMark/>
          </w:tcPr>
          <w:p w14:paraId="35FDF4FF"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4,6</w:t>
            </w:r>
          </w:p>
        </w:tc>
        <w:tc>
          <w:tcPr>
            <w:tcW w:w="579" w:type="pct"/>
            <w:shd w:val="clear" w:color="auto" w:fill="auto"/>
            <w:vAlign w:val="center"/>
            <w:hideMark/>
          </w:tcPr>
          <w:p w14:paraId="6AACA4D0"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0,8</w:t>
            </w:r>
          </w:p>
        </w:tc>
        <w:tc>
          <w:tcPr>
            <w:tcW w:w="661" w:type="pct"/>
            <w:shd w:val="clear" w:color="auto" w:fill="auto"/>
            <w:vAlign w:val="center"/>
            <w:hideMark/>
          </w:tcPr>
          <w:p w14:paraId="7C3BB905"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w:t>
            </w:r>
          </w:p>
        </w:tc>
        <w:tc>
          <w:tcPr>
            <w:tcW w:w="663" w:type="pct"/>
            <w:shd w:val="clear" w:color="auto" w:fill="auto"/>
            <w:vAlign w:val="center"/>
            <w:hideMark/>
          </w:tcPr>
          <w:p w14:paraId="1A35DF84"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0,6</w:t>
            </w:r>
          </w:p>
        </w:tc>
      </w:tr>
      <w:tr w:rsidR="00A254DA" w:rsidRPr="00DC3810" w14:paraId="6FBFC01F" w14:textId="77777777" w:rsidTr="00DC3810">
        <w:trPr>
          <w:trHeight w:val="300"/>
        </w:trPr>
        <w:tc>
          <w:tcPr>
            <w:tcW w:w="1507" w:type="pct"/>
            <w:shd w:val="clear" w:color="auto" w:fill="auto"/>
            <w:vAlign w:val="center"/>
            <w:hideMark/>
          </w:tcPr>
          <w:p w14:paraId="7D380280"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Pozostałe dochody                                                                                                                          </w:t>
            </w:r>
          </w:p>
        </w:tc>
        <w:tc>
          <w:tcPr>
            <w:tcW w:w="795" w:type="pct"/>
            <w:shd w:val="clear" w:color="auto" w:fill="auto"/>
            <w:vAlign w:val="center"/>
            <w:hideMark/>
          </w:tcPr>
          <w:p w14:paraId="68C4E7E0"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1,9</w:t>
            </w:r>
          </w:p>
        </w:tc>
        <w:tc>
          <w:tcPr>
            <w:tcW w:w="795" w:type="pct"/>
            <w:shd w:val="clear" w:color="auto" w:fill="auto"/>
            <w:vAlign w:val="center"/>
            <w:hideMark/>
          </w:tcPr>
          <w:p w14:paraId="6500747C"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1,5</w:t>
            </w:r>
          </w:p>
        </w:tc>
        <w:tc>
          <w:tcPr>
            <w:tcW w:w="579" w:type="pct"/>
            <w:shd w:val="clear" w:color="auto" w:fill="auto"/>
            <w:vAlign w:val="center"/>
            <w:hideMark/>
          </w:tcPr>
          <w:p w14:paraId="5D819967"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1,9</w:t>
            </w:r>
          </w:p>
        </w:tc>
        <w:tc>
          <w:tcPr>
            <w:tcW w:w="661" w:type="pct"/>
            <w:shd w:val="clear" w:color="auto" w:fill="auto"/>
            <w:vAlign w:val="center"/>
            <w:hideMark/>
          </w:tcPr>
          <w:p w14:paraId="4FE6F4E2"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3,4</w:t>
            </w:r>
          </w:p>
        </w:tc>
        <w:tc>
          <w:tcPr>
            <w:tcW w:w="663" w:type="pct"/>
            <w:shd w:val="clear" w:color="auto" w:fill="auto"/>
            <w:vAlign w:val="center"/>
            <w:hideMark/>
          </w:tcPr>
          <w:p w14:paraId="6A4D7497"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w:t>
            </w:r>
          </w:p>
        </w:tc>
      </w:tr>
      <w:tr w:rsidR="00A254DA" w:rsidRPr="00DC3810" w14:paraId="1ED0C6BB" w14:textId="77777777" w:rsidTr="00DC3810">
        <w:trPr>
          <w:trHeight w:val="456"/>
        </w:trPr>
        <w:tc>
          <w:tcPr>
            <w:tcW w:w="1507" w:type="pct"/>
            <w:shd w:val="clear" w:color="auto" w:fill="auto"/>
            <w:vAlign w:val="center"/>
            <w:hideMark/>
          </w:tcPr>
          <w:p w14:paraId="2A3A6205"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dary otrzymane od osób prywatnych na</w:t>
            </w:r>
            <w:r w:rsidRPr="00DC3810">
              <w:rPr>
                <w:rFonts w:ascii="Lato" w:eastAsia="Times New Roman" w:hAnsi="Lato" w:cs="Arial"/>
                <w:color w:val="000000"/>
                <w:sz w:val="18"/>
                <w:szCs w:val="18"/>
                <w:lang w:eastAsia="pl-PL"/>
              </w:rPr>
              <w:br/>
              <w:t xml:space="preserve">               gospodarstwo domowe </w:t>
            </w:r>
          </w:p>
        </w:tc>
        <w:tc>
          <w:tcPr>
            <w:tcW w:w="795" w:type="pct"/>
            <w:shd w:val="clear" w:color="auto" w:fill="auto"/>
            <w:vAlign w:val="center"/>
            <w:hideMark/>
          </w:tcPr>
          <w:p w14:paraId="1CCF1DEE"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1,7</w:t>
            </w:r>
          </w:p>
        </w:tc>
        <w:tc>
          <w:tcPr>
            <w:tcW w:w="795" w:type="pct"/>
            <w:shd w:val="clear" w:color="auto" w:fill="auto"/>
            <w:vAlign w:val="center"/>
            <w:hideMark/>
          </w:tcPr>
          <w:p w14:paraId="50BBEB35"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1,3</w:t>
            </w:r>
          </w:p>
        </w:tc>
        <w:tc>
          <w:tcPr>
            <w:tcW w:w="579" w:type="pct"/>
            <w:shd w:val="clear" w:color="auto" w:fill="auto"/>
            <w:vAlign w:val="center"/>
            <w:hideMark/>
          </w:tcPr>
          <w:p w14:paraId="543B2F7D"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1,7</w:t>
            </w:r>
          </w:p>
        </w:tc>
        <w:tc>
          <w:tcPr>
            <w:tcW w:w="661" w:type="pct"/>
            <w:shd w:val="clear" w:color="auto" w:fill="auto"/>
            <w:vAlign w:val="center"/>
            <w:hideMark/>
          </w:tcPr>
          <w:p w14:paraId="7D99A313"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3,2</w:t>
            </w:r>
          </w:p>
        </w:tc>
        <w:tc>
          <w:tcPr>
            <w:tcW w:w="663" w:type="pct"/>
            <w:shd w:val="clear" w:color="auto" w:fill="auto"/>
            <w:vAlign w:val="center"/>
            <w:hideMark/>
          </w:tcPr>
          <w:p w14:paraId="0A1219D9" w14:textId="77777777" w:rsidR="00A254DA" w:rsidRPr="00DC3810" w:rsidRDefault="00A254DA" w:rsidP="00A254DA">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0,9</w:t>
            </w:r>
          </w:p>
        </w:tc>
      </w:tr>
      <w:tr w:rsidR="00A254DA" w:rsidRPr="00DC3810" w14:paraId="0BD18336" w14:textId="77777777" w:rsidTr="00DC3810">
        <w:trPr>
          <w:trHeight w:val="186"/>
        </w:trPr>
        <w:tc>
          <w:tcPr>
            <w:tcW w:w="5000" w:type="pct"/>
            <w:gridSpan w:val="6"/>
            <w:shd w:val="clear" w:color="auto" w:fill="auto"/>
            <w:noWrap/>
            <w:vAlign w:val="center"/>
            <w:hideMark/>
          </w:tcPr>
          <w:p w14:paraId="4A64C861"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MIASTA</w:t>
            </w:r>
          </w:p>
        </w:tc>
      </w:tr>
      <w:tr w:rsidR="00A254DA" w:rsidRPr="00DC3810" w14:paraId="099D0C20" w14:textId="77777777" w:rsidTr="00DC3810">
        <w:trPr>
          <w:trHeight w:val="246"/>
        </w:trPr>
        <w:tc>
          <w:tcPr>
            <w:tcW w:w="5000" w:type="pct"/>
            <w:gridSpan w:val="6"/>
            <w:shd w:val="clear" w:color="auto" w:fill="auto"/>
            <w:vAlign w:val="center"/>
            <w:hideMark/>
          </w:tcPr>
          <w:p w14:paraId="7FA361DD"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A254DA" w:rsidRPr="00DC3810" w14:paraId="591279A9" w14:textId="77777777" w:rsidTr="00DC3810">
        <w:trPr>
          <w:trHeight w:val="300"/>
        </w:trPr>
        <w:tc>
          <w:tcPr>
            <w:tcW w:w="1507" w:type="pct"/>
            <w:shd w:val="clear" w:color="auto" w:fill="auto"/>
            <w:vAlign w:val="center"/>
            <w:hideMark/>
          </w:tcPr>
          <w:p w14:paraId="68E6D554"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Dochód rozporządzalny                                                                                                                                                                                       </w:t>
            </w:r>
          </w:p>
        </w:tc>
        <w:tc>
          <w:tcPr>
            <w:tcW w:w="795" w:type="pct"/>
            <w:shd w:val="clear" w:color="auto" w:fill="auto"/>
            <w:vAlign w:val="center"/>
            <w:hideMark/>
          </w:tcPr>
          <w:p w14:paraId="7A92F012" w14:textId="77777777" w:rsidR="00A254DA" w:rsidRPr="00DC3810" w:rsidRDefault="00A254DA" w:rsidP="00DC3810">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2436,75</w:t>
            </w:r>
          </w:p>
        </w:tc>
        <w:tc>
          <w:tcPr>
            <w:tcW w:w="795" w:type="pct"/>
            <w:shd w:val="clear" w:color="auto" w:fill="auto"/>
            <w:vAlign w:val="center"/>
            <w:hideMark/>
          </w:tcPr>
          <w:p w14:paraId="7210ECB4" w14:textId="77777777" w:rsidR="00A254DA" w:rsidRPr="00DC3810" w:rsidRDefault="00A254DA" w:rsidP="00DC3810">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2439,93</w:t>
            </w:r>
          </w:p>
        </w:tc>
        <w:tc>
          <w:tcPr>
            <w:tcW w:w="579" w:type="pct"/>
            <w:shd w:val="clear" w:color="auto" w:fill="auto"/>
            <w:vAlign w:val="center"/>
            <w:hideMark/>
          </w:tcPr>
          <w:p w14:paraId="0E55B380" w14:textId="77777777" w:rsidR="00A254DA" w:rsidRPr="00DC3810" w:rsidRDefault="00A254DA" w:rsidP="00DC3810">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2726,50</w:t>
            </w:r>
          </w:p>
        </w:tc>
        <w:tc>
          <w:tcPr>
            <w:tcW w:w="661" w:type="pct"/>
            <w:shd w:val="clear" w:color="auto" w:fill="auto"/>
            <w:vAlign w:val="center"/>
            <w:hideMark/>
          </w:tcPr>
          <w:p w14:paraId="08D3DD97" w14:textId="77777777" w:rsidR="00A254DA" w:rsidRPr="00DC3810" w:rsidRDefault="00A254DA" w:rsidP="00DC3810">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2722,72</w:t>
            </w:r>
          </w:p>
        </w:tc>
        <w:tc>
          <w:tcPr>
            <w:tcW w:w="663" w:type="pct"/>
            <w:shd w:val="clear" w:color="auto" w:fill="auto"/>
            <w:vAlign w:val="center"/>
            <w:hideMark/>
          </w:tcPr>
          <w:p w14:paraId="42E8A426" w14:textId="77777777" w:rsidR="00A254DA" w:rsidRPr="00DC3810" w:rsidRDefault="00A254DA" w:rsidP="00DC3810">
            <w:pPr>
              <w:spacing w:after="0" w:line="240" w:lineRule="auto"/>
              <w:jc w:val="center"/>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2734,09</w:t>
            </w:r>
          </w:p>
        </w:tc>
      </w:tr>
      <w:tr w:rsidR="00A254DA" w:rsidRPr="00DC3810" w14:paraId="635FD12E" w14:textId="77777777" w:rsidTr="00DC3810">
        <w:trPr>
          <w:trHeight w:val="254"/>
        </w:trPr>
        <w:tc>
          <w:tcPr>
            <w:tcW w:w="5000" w:type="pct"/>
            <w:gridSpan w:val="6"/>
            <w:shd w:val="clear" w:color="auto" w:fill="auto"/>
            <w:vAlign w:val="center"/>
            <w:hideMark/>
          </w:tcPr>
          <w:p w14:paraId="34D238B7"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A254DA" w:rsidRPr="00DC3810" w14:paraId="702E4449" w14:textId="77777777" w:rsidTr="00DC3810">
        <w:trPr>
          <w:trHeight w:val="300"/>
        </w:trPr>
        <w:tc>
          <w:tcPr>
            <w:tcW w:w="1507" w:type="pct"/>
            <w:shd w:val="clear" w:color="auto" w:fill="auto"/>
            <w:vAlign w:val="center"/>
            <w:hideMark/>
          </w:tcPr>
          <w:p w14:paraId="6DE8C3AD"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Dochód rozporządzalny</w:t>
            </w:r>
          </w:p>
        </w:tc>
        <w:tc>
          <w:tcPr>
            <w:tcW w:w="795" w:type="pct"/>
            <w:shd w:val="clear" w:color="auto" w:fill="auto"/>
            <w:vAlign w:val="center"/>
            <w:hideMark/>
          </w:tcPr>
          <w:p w14:paraId="15A7A841"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795" w:type="pct"/>
            <w:shd w:val="clear" w:color="auto" w:fill="auto"/>
            <w:vAlign w:val="center"/>
            <w:hideMark/>
          </w:tcPr>
          <w:p w14:paraId="5BEE885F"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579" w:type="pct"/>
            <w:shd w:val="clear" w:color="auto" w:fill="auto"/>
            <w:vAlign w:val="center"/>
            <w:hideMark/>
          </w:tcPr>
          <w:p w14:paraId="68F29EA5"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1" w:type="pct"/>
            <w:shd w:val="clear" w:color="auto" w:fill="auto"/>
            <w:vAlign w:val="center"/>
            <w:hideMark/>
          </w:tcPr>
          <w:p w14:paraId="3EBCFCA1"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3" w:type="pct"/>
            <w:shd w:val="clear" w:color="auto" w:fill="auto"/>
            <w:vAlign w:val="center"/>
            <w:hideMark/>
          </w:tcPr>
          <w:p w14:paraId="73347A69"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A254DA" w:rsidRPr="00DC3810" w14:paraId="0973EC29" w14:textId="77777777" w:rsidTr="00DC3810">
        <w:trPr>
          <w:trHeight w:val="300"/>
        </w:trPr>
        <w:tc>
          <w:tcPr>
            <w:tcW w:w="1507" w:type="pct"/>
            <w:shd w:val="clear" w:color="auto" w:fill="auto"/>
            <w:vAlign w:val="center"/>
            <w:hideMark/>
          </w:tcPr>
          <w:p w14:paraId="39FE8ADF"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lastRenderedPageBreak/>
              <w:t xml:space="preserve">          w tym dochód do dyspozycji</w:t>
            </w:r>
          </w:p>
        </w:tc>
        <w:tc>
          <w:tcPr>
            <w:tcW w:w="795" w:type="pct"/>
            <w:shd w:val="clear" w:color="auto" w:fill="auto"/>
            <w:vAlign w:val="center"/>
            <w:hideMark/>
          </w:tcPr>
          <w:p w14:paraId="75226BA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97,4</w:t>
            </w:r>
          </w:p>
        </w:tc>
        <w:tc>
          <w:tcPr>
            <w:tcW w:w="795" w:type="pct"/>
            <w:shd w:val="clear" w:color="auto" w:fill="auto"/>
            <w:vAlign w:val="center"/>
            <w:hideMark/>
          </w:tcPr>
          <w:p w14:paraId="4488829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96,8</w:t>
            </w:r>
          </w:p>
        </w:tc>
        <w:tc>
          <w:tcPr>
            <w:tcW w:w="579" w:type="pct"/>
            <w:shd w:val="clear" w:color="auto" w:fill="auto"/>
            <w:vAlign w:val="center"/>
            <w:hideMark/>
          </w:tcPr>
          <w:p w14:paraId="4406B93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95,9</w:t>
            </w:r>
          </w:p>
        </w:tc>
        <w:tc>
          <w:tcPr>
            <w:tcW w:w="661" w:type="pct"/>
            <w:shd w:val="clear" w:color="auto" w:fill="auto"/>
            <w:vAlign w:val="center"/>
            <w:hideMark/>
          </w:tcPr>
          <w:p w14:paraId="50FB5A9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95,1</w:t>
            </w:r>
          </w:p>
        </w:tc>
        <w:tc>
          <w:tcPr>
            <w:tcW w:w="663" w:type="pct"/>
            <w:shd w:val="clear" w:color="auto" w:fill="auto"/>
            <w:vAlign w:val="center"/>
            <w:hideMark/>
          </w:tcPr>
          <w:p w14:paraId="55CEA81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96,4</w:t>
            </w:r>
          </w:p>
        </w:tc>
      </w:tr>
      <w:tr w:rsidR="00A254DA" w:rsidRPr="00DC3810" w14:paraId="2E0A47CA" w14:textId="77777777" w:rsidTr="00DC3810">
        <w:trPr>
          <w:trHeight w:val="300"/>
        </w:trPr>
        <w:tc>
          <w:tcPr>
            <w:tcW w:w="1507" w:type="pct"/>
            <w:shd w:val="clear" w:color="auto" w:fill="auto"/>
            <w:vAlign w:val="center"/>
            <w:hideMark/>
          </w:tcPr>
          <w:p w14:paraId="3F37A441"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pracy najemnej                                                                                                                                                                             </w:t>
            </w:r>
          </w:p>
        </w:tc>
        <w:tc>
          <w:tcPr>
            <w:tcW w:w="795" w:type="pct"/>
            <w:shd w:val="clear" w:color="auto" w:fill="auto"/>
            <w:vAlign w:val="center"/>
            <w:hideMark/>
          </w:tcPr>
          <w:p w14:paraId="54A536C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71,2</w:t>
            </w:r>
          </w:p>
        </w:tc>
        <w:tc>
          <w:tcPr>
            <w:tcW w:w="795" w:type="pct"/>
            <w:shd w:val="clear" w:color="auto" w:fill="auto"/>
            <w:vAlign w:val="center"/>
            <w:hideMark/>
          </w:tcPr>
          <w:p w14:paraId="6132DF4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29,1</w:t>
            </w:r>
          </w:p>
        </w:tc>
        <w:tc>
          <w:tcPr>
            <w:tcW w:w="579" w:type="pct"/>
            <w:shd w:val="clear" w:color="auto" w:fill="auto"/>
            <w:vAlign w:val="center"/>
            <w:hideMark/>
          </w:tcPr>
          <w:p w14:paraId="77ACC47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10,9</w:t>
            </w:r>
          </w:p>
        </w:tc>
        <w:tc>
          <w:tcPr>
            <w:tcW w:w="661" w:type="pct"/>
            <w:shd w:val="clear" w:color="auto" w:fill="auto"/>
            <w:vAlign w:val="center"/>
            <w:hideMark/>
          </w:tcPr>
          <w:p w14:paraId="39F9037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9,3</w:t>
            </w:r>
          </w:p>
        </w:tc>
        <w:tc>
          <w:tcPr>
            <w:tcW w:w="663" w:type="pct"/>
            <w:shd w:val="clear" w:color="auto" w:fill="auto"/>
            <w:vAlign w:val="center"/>
            <w:hideMark/>
          </w:tcPr>
          <w:p w14:paraId="21077D3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11,9</w:t>
            </w:r>
          </w:p>
        </w:tc>
      </w:tr>
      <w:tr w:rsidR="00A254DA" w:rsidRPr="00DC3810" w14:paraId="0D53593C" w14:textId="77777777" w:rsidTr="00DC3810">
        <w:trPr>
          <w:trHeight w:val="684"/>
        </w:trPr>
        <w:tc>
          <w:tcPr>
            <w:tcW w:w="1507" w:type="pct"/>
            <w:shd w:val="clear" w:color="auto" w:fill="auto"/>
            <w:vAlign w:val="center"/>
            <w:hideMark/>
          </w:tcPr>
          <w:p w14:paraId="5B70D983"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Dochody z pracy na własny rachunek poza</w:t>
            </w:r>
            <w:r w:rsidRPr="00DC3810">
              <w:rPr>
                <w:rFonts w:ascii="Lato" w:eastAsia="Times New Roman" w:hAnsi="Lato" w:cs="Arial"/>
                <w:color w:val="000000"/>
                <w:sz w:val="18"/>
                <w:szCs w:val="18"/>
                <w:lang w:eastAsia="pl-PL"/>
              </w:rPr>
              <w:br/>
              <w:t xml:space="preserve">   gospodarstwem rolnym w użytkowaniu</w:t>
            </w:r>
            <w:r w:rsidRPr="00DC3810">
              <w:rPr>
                <w:rFonts w:ascii="Lato" w:eastAsia="Times New Roman" w:hAnsi="Lato" w:cs="Arial"/>
                <w:color w:val="000000"/>
                <w:sz w:val="18"/>
                <w:szCs w:val="18"/>
                <w:lang w:eastAsia="pl-PL"/>
              </w:rPr>
              <w:br/>
              <w:t xml:space="preserve">   indywidualnym                                                                                                     </w:t>
            </w:r>
          </w:p>
        </w:tc>
        <w:tc>
          <w:tcPr>
            <w:tcW w:w="795" w:type="pct"/>
            <w:shd w:val="clear" w:color="auto" w:fill="auto"/>
            <w:vAlign w:val="center"/>
            <w:hideMark/>
          </w:tcPr>
          <w:p w14:paraId="13555B3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14,1</w:t>
            </w:r>
          </w:p>
        </w:tc>
        <w:tc>
          <w:tcPr>
            <w:tcW w:w="795" w:type="pct"/>
            <w:shd w:val="clear" w:color="auto" w:fill="auto"/>
            <w:vAlign w:val="center"/>
            <w:hideMark/>
          </w:tcPr>
          <w:p w14:paraId="4C994B0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4,0</w:t>
            </w:r>
          </w:p>
        </w:tc>
        <w:tc>
          <w:tcPr>
            <w:tcW w:w="579" w:type="pct"/>
            <w:shd w:val="clear" w:color="auto" w:fill="auto"/>
            <w:vAlign w:val="center"/>
            <w:hideMark/>
          </w:tcPr>
          <w:p w14:paraId="2FDF797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w:t>
            </w:r>
          </w:p>
        </w:tc>
        <w:tc>
          <w:tcPr>
            <w:tcW w:w="661" w:type="pct"/>
            <w:shd w:val="clear" w:color="auto" w:fill="auto"/>
            <w:vAlign w:val="center"/>
            <w:hideMark/>
          </w:tcPr>
          <w:p w14:paraId="2B44DAF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c>
          <w:tcPr>
            <w:tcW w:w="663" w:type="pct"/>
            <w:shd w:val="clear" w:color="auto" w:fill="auto"/>
            <w:vAlign w:val="center"/>
            <w:hideMark/>
          </w:tcPr>
          <w:p w14:paraId="0B905FA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w:t>
            </w:r>
          </w:p>
        </w:tc>
      </w:tr>
      <w:tr w:rsidR="00A254DA" w:rsidRPr="00DC3810" w14:paraId="5EA5E94C" w14:textId="77777777" w:rsidTr="00DC3810">
        <w:trPr>
          <w:trHeight w:val="300"/>
        </w:trPr>
        <w:tc>
          <w:tcPr>
            <w:tcW w:w="1507" w:type="pct"/>
            <w:shd w:val="clear" w:color="auto" w:fill="auto"/>
            <w:vAlign w:val="center"/>
            <w:hideMark/>
          </w:tcPr>
          <w:p w14:paraId="5192FD5B"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gospodarstwa rolnego                                                                                                                                                                                              </w:t>
            </w:r>
          </w:p>
        </w:tc>
        <w:tc>
          <w:tcPr>
            <w:tcW w:w="795" w:type="pct"/>
            <w:shd w:val="clear" w:color="auto" w:fill="auto"/>
            <w:vAlign w:val="center"/>
            <w:hideMark/>
          </w:tcPr>
          <w:p w14:paraId="0F0E6C7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0,4</w:t>
            </w:r>
          </w:p>
        </w:tc>
        <w:tc>
          <w:tcPr>
            <w:tcW w:w="795" w:type="pct"/>
            <w:shd w:val="clear" w:color="auto" w:fill="auto"/>
            <w:vAlign w:val="center"/>
            <w:hideMark/>
          </w:tcPr>
          <w:p w14:paraId="3764EED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579" w:type="pct"/>
            <w:shd w:val="clear" w:color="auto" w:fill="auto"/>
            <w:vAlign w:val="center"/>
            <w:hideMark/>
          </w:tcPr>
          <w:p w14:paraId="362BC2D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0,0</w:t>
            </w:r>
          </w:p>
        </w:tc>
        <w:tc>
          <w:tcPr>
            <w:tcW w:w="661" w:type="pct"/>
            <w:shd w:val="clear" w:color="auto" w:fill="auto"/>
            <w:vAlign w:val="center"/>
            <w:hideMark/>
          </w:tcPr>
          <w:p w14:paraId="47DE7AF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63" w:type="pct"/>
            <w:shd w:val="clear" w:color="auto" w:fill="auto"/>
            <w:vAlign w:val="center"/>
            <w:hideMark/>
          </w:tcPr>
          <w:p w14:paraId="3D1F11F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0,0</w:t>
            </w:r>
          </w:p>
        </w:tc>
      </w:tr>
      <w:tr w:rsidR="00A254DA" w:rsidRPr="00DC3810" w14:paraId="2B24B53B" w14:textId="77777777" w:rsidTr="00DC3810">
        <w:trPr>
          <w:trHeight w:val="300"/>
        </w:trPr>
        <w:tc>
          <w:tcPr>
            <w:tcW w:w="1507" w:type="pct"/>
            <w:shd w:val="clear" w:color="auto" w:fill="auto"/>
            <w:vAlign w:val="center"/>
            <w:hideMark/>
          </w:tcPr>
          <w:p w14:paraId="1DF3F495"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ze świadczeń społecznych                                                                                                                                                                                                                  </w:t>
            </w:r>
          </w:p>
        </w:tc>
        <w:tc>
          <w:tcPr>
            <w:tcW w:w="795" w:type="pct"/>
            <w:shd w:val="clear" w:color="auto" w:fill="auto"/>
            <w:vAlign w:val="center"/>
            <w:hideMark/>
          </w:tcPr>
          <w:p w14:paraId="32FAC82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11,8</w:t>
            </w:r>
          </w:p>
        </w:tc>
        <w:tc>
          <w:tcPr>
            <w:tcW w:w="795" w:type="pct"/>
            <w:shd w:val="clear" w:color="auto" w:fill="auto"/>
            <w:vAlign w:val="center"/>
            <w:hideMark/>
          </w:tcPr>
          <w:p w14:paraId="59DD59B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64,9</w:t>
            </w:r>
          </w:p>
        </w:tc>
        <w:tc>
          <w:tcPr>
            <w:tcW w:w="579" w:type="pct"/>
            <w:shd w:val="clear" w:color="auto" w:fill="auto"/>
            <w:vAlign w:val="center"/>
            <w:hideMark/>
          </w:tcPr>
          <w:p w14:paraId="1BC750EB"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84,2</w:t>
            </w:r>
          </w:p>
        </w:tc>
        <w:tc>
          <w:tcPr>
            <w:tcW w:w="661" w:type="pct"/>
            <w:shd w:val="clear" w:color="auto" w:fill="auto"/>
            <w:vAlign w:val="center"/>
            <w:hideMark/>
          </w:tcPr>
          <w:p w14:paraId="48780AE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85,3</w:t>
            </w:r>
          </w:p>
        </w:tc>
        <w:tc>
          <w:tcPr>
            <w:tcW w:w="663" w:type="pct"/>
            <w:shd w:val="clear" w:color="auto" w:fill="auto"/>
            <w:vAlign w:val="center"/>
            <w:hideMark/>
          </w:tcPr>
          <w:p w14:paraId="40464CD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83,5</w:t>
            </w:r>
          </w:p>
        </w:tc>
      </w:tr>
      <w:tr w:rsidR="00A254DA" w:rsidRPr="00DC3810" w14:paraId="62DC199C" w14:textId="77777777" w:rsidTr="00DC3810">
        <w:trPr>
          <w:trHeight w:val="228"/>
        </w:trPr>
        <w:tc>
          <w:tcPr>
            <w:tcW w:w="1507" w:type="pct"/>
            <w:shd w:val="clear" w:color="auto" w:fill="auto"/>
            <w:vAlign w:val="center"/>
            <w:hideMark/>
          </w:tcPr>
          <w:p w14:paraId="3A4971D3"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ze świadczeń z ubezpieczeń społecznych                                                                       </w:t>
            </w:r>
          </w:p>
        </w:tc>
        <w:tc>
          <w:tcPr>
            <w:tcW w:w="795" w:type="pct"/>
            <w:shd w:val="clear" w:color="auto" w:fill="auto"/>
            <w:vAlign w:val="center"/>
            <w:hideMark/>
          </w:tcPr>
          <w:p w14:paraId="2EA079E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w:t>
            </w:r>
          </w:p>
        </w:tc>
        <w:tc>
          <w:tcPr>
            <w:tcW w:w="795" w:type="pct"/>
            <w:shd w:val="clear" w:color="auto" w:fill="auto"/>
            <w:vAlign w:val="center"/>
            <w:hideMark/>
          </w:tcPr>
          <w:p w14:paraId="5D70787D"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61,8</w:t>
            </w:r>
          </w:p>
        </w:tc>
        <w:tc>
          <w:tcPr>
            <w:tcW w:w="579" w:type="pct"/>
            <w:shd w:val="clear" w:color="auto" w:fill="auto"/>
            <w:vAlign w:val="center"/>
            <w:hideMark/>
          </w:tcPr>
          <w:p w14:paraId="3ECB45C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83,6</w:t>
            </w:r>
          </w:p>
        </w:tc>
        <w:tc>
          <w:tcPr>
            <w:tcW w:w="661" w:type="pct"/>
            <w:shd w:val="clear" w:color="auto" w:fill="auto"/>
            <w:vAlign w:val="center"/>
            <w:hideMark/>
          </w:tcPr>
          <w:p w14:paraId="173FB7A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84,5</w:t>
            </w:r>
          </w:p>
        </w:tc>
        <w:tc>
          <w:tcPr>
            <w:tcW w:w="663" w:type="pct"/>
            <w:shd w:val="clear" w:color="auto" w:fill="auto"/>
            <w:vAlign w:val="center"/>
            <w:hideMark/>
          </w:tcPr>
          <w:p w14:paraId="0274966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83,0</w:t>
            </w:r>
          </w:p>
        </w:tc>
      </w:tr>
      <w:tr w:rsidR="00A254DA" w:rsidRPr="00DC3810" w14:paraId="2AE6D98B" w14:textId="77777777" w:rsidTr="00DC3810">
        <w:trPr>
          <w:trHeight w:val="300"/>
        </w:trPr>
        <w:tc>
          <w:tcPr>
            <w:tcW w:w="1507" w:type="pct"/>
            <w:shd w:val="clear" w:color="auto" w:fill="auto"/>
            <w:vAlign w:val="center"/>
            <w:hideMark/>
          </w:tcPr>
          <w:p w14:paraId="30CF66AA"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emerytury i renty*                                                                                                                                                         </w:t>
            </w:r>
          </w:p>
        </w:tc>
        <w:tc>
          <w:tcPr>
            <w:tcW w:w="795" w:type="pct"/>
            <w:shd w:val="clear" w:color="auto" w:fill="auto"/>
            <w:vAlign w:val="center"/>
            <w:hideMark/>
          </w:tcPr>
          <w:p w14:paraId="1FA25E4D"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w:t>
            </w:r>
          </w:p>
        </w:tc>
        <w:tc>
          <w:tcPr>
            <w:tcW w:w="795" w:type="pct"/>
            <w:shd w:val="clear" w:color="auto" w:fill="auto"/>
            <w:vAlign w:val="center"/>
            <w:hideMark/>
          </w:tcPr>
          <w:p w14:paraId="330881F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59,0</w:t>
            </w:r>
          </w:p>
        </w:tc>
        <w:tc>
          <w:tcPr>
            <w:tcW w:w="579" w:type="pct"/>
            <w:shd w:val="clear" w:color="auto" w:fill="auto"/>
            <w:vAlign w:val="center"/>
            <w:hideMark/>
          </w:tcPr>
          <w:p w14:paraId="686DEFD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80,4</w:t>
            </w:r>
          </w:p>
        </w:tc>
        <w:tc>
          <w:tcPr>
            <w:tcW w:w="661" w:type="pct"/>
            <w:shd w:val="clear" w:color="auto" w:fill="auto"/>
            <w:vAlign w:val="center"/>
            <w:hideMark/>
          </w:tcPr>
          <w:p w14:paraId="5C95E2A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76,8</w:t>
            </w:r>
          </w:p>
        </w:tc>
        <w:tc>
          <w:tcPr>
            <w:tcW w:w="663" w:type="pct"/>
            <w:shd w:val="clear" w:color="auto" w:fill="auto"/>
            <w:vAlign w:val="center"/>
            <w:hideMark/>
          </w:tcPr>
          <w:p w14:paraId="7D25875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82,6</w:t>
            </w:r>
          </w:p>
        </w:tc>
      </w:tr>
      <w:tr w:rsidR="00A254DA" w:rsidRPr="00DC3810" w14:paraId="569DF9B9" w14:textId="77777777" w:rsidTr="00DC3810">
        <w:trPr>
          <w:trHeight w:val="300"/>
        </w:trPr>
        <w:tc>
          <w:tcPr>
            <w:tcW w:w="1507" w:type="pct"/>
            <w:shd w:val="clear" w:color="auto" w:fill="auto"/>
            <w:vAlign w:val="center"/>
            <w:hideMark/>
          </w:tcPr>
          <w:p w14:paraId="75346D14"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 pozostałych świadczeń społecznych                            </w:t>
            </w:r>
          </w:p>
        </w:tc>
        <w:tc>
          <w:tcPr>
            <w:tcW w:w="795" w:type="pct"/>
            <w:shd w:val="clear" w:color="auto" w:fill="auto"/>
            <w:vAlign w:val="center"/>
            <w:hideMark/>
          </w:tcPr>
          <w:p w14:paraId="7749925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w:t>
            </w:r>
          </w:p>
        </w:tc>
        <w:tc>
          <w:tcPr>
            <w:tcW w:w="795" w:type="pct"/>
            <w:shd w:val="clear" w:color="auto" w:fill="auto"/>
            <w:vAlign w:val="center"/>
            <w:hideMark/>
          </w:tcPr>
          <w:p w14:paraId="5C7F4FF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w:t>
            </w:r>
          </w:p>
        </w:tc>
        <w:tc>
          <w:tcPr>
            <w:tcW w:w="579" w:type="pct"/>
            <w:shd w:val="clear" w:color="auto" w:fill="auto"/>
            <w:vAlign w:val="center"/>
            <w:hideMark/>
          </w:tcPr>
          <w:p w14:paraId="1B2AD00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0,6</w:t>
            </w:r>
          </w:p>
        </w:tc>
        <w:tc>
          <w:tcPr>
            <w:tcW w:w="661" w:type="pct"/>
            <w:shd w:val="clear" w:color="auto" w:fill="auto"/>
            <w:vAlign w:val="center"/>
            <w:hideMark/>
          </w:tcPr>
          <w:p w14:paraId="547A8F1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0,8</w:t>
            </w:r>
          </w:p>
        </w:tc>
        <w:tc>
          <w:tcPr>
            <w:tcW w:w="663" w:type="pct"/>
            <w:shd w:val="clear" w:color="auto" w:fill="auto"/>
            <w:vAlign w:val="center"/>
            <w:hideMark/>
          </w:tcPr>
          <w:p w14:paraId="7CCFCE8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0,5</w:t>
            </w:r>
          </w:p>
        </w:tc>
      </w:tr>
      <w:tr w:rsidR="00A254DA" w:rsidRPr="00DC3810" w14:paraId="60C88EB4" w14:textId="77777777" w:rsidTr="00DC3810">
        <w:trPr>
          <w:trHeight w:val="300"/>
        </w:trPr>
        <w:tc>
          <w:tcPr>
            <w:tcW w:w="1507" w:type="pct"/>
            <w:shd w:val="clear" w:color="auto" w:fill="auto"/>
            <w:vAlign w:val="center"/>
            <w:hideMark/>
          </w:tcPr>
          <w:p w14:paraId="0582165C"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Pozostałe dochody                                                                                                                          </w:t>
            </w:r>
          </w:p>
        </w:tc>
        <w:tc>
          <w:tcPr>
            <w:tcW w:w="795" w:type="pct"/>
            <w:shd w:val="clear" w:color="auto" w:fill="auto"/>
            <w:vAlign w:val="center"/>
            <w:hideMark/>
          </w:tcPr>
          <w:p w14:paraId="6AA08D5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w:t>
            </w:r>
          </w:p>
        </w:tc>
        <w:tc>
          <w:tcPr>
            <w:tcW w:w="795" w:type="pct"/>
            <w:shd w:val="clear" w:color="auto" w:fill="auto"/>
            <w:vAlign w:val="center"/>
            <w:hideMark/>
          </w:tcPr>
          <w:p w14:paraId="2C5ABB6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c>
          <w:tcPr>
            <w:tcW w:w="579" w:type="pct"/>
            <w:shd w:val="clear" w:color="auto" w:fill="auto"/>
            <w:vAlign w:val="center"/>
            <w:hideMark/>
          </w:tcPr>
          <w:p w14:paraId="2FD49A9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c>
          <w:tcPr>
            <w:tcW w:w="661" w:type="pct"/>
            <w:shd w:val="clear" w:color="auto" w:fill="auto"/>
            <w:vAlign w:val="center"/>
            <w:hideMark/>
          </w:tcPr>
          <w:p w14:paraId="0A3A63F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w:t>
            </w:r>
          </w:p>
        </w:tc>
        <w:tc>
          <w:tcPr>
            <w:tcW w:w="663" w:type="pct"/>
            <w:shd w:val="clear" w:color="auto" w:fill="auto"/>
            <w:vAlign w:val="center"/>
            <w:hideMark/>
          </w:tcPr>
          <w:p w14:paraId="7D1A233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0,9</w:t>
            </w:r>
          </w:p>
        </w:tc>
      </w:tr>
      <w:tr w:rsidR="00A254DA" w:rsidRPr="00DC3810" w14:paraId="47A337FB" w14:textId="77777777" w:rsidTr="00DC3810">
        <w:trPr>
          <w:trHeight w:val="456"/>
        </w:trPr>
        <w:tc>
          <w:tcPr>
            <w:tcW w:w="1507" w:type="pct"/>
            <w:shd w:val="clear" w:color="auto" w:fill="auto"/>
            <w:vAlign w:val="center"/>
            <w:hideMark/>
          </w:tcPr>
          <w:p w14:paraId="0917676F"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dary otrzymane od osób prywatnych na</w:t>
            </w:r>
            <w:r w:rsidRPr="00DC3810">
              <w:rPr>
                <w:rFonts w:ascii="Lato" w:eastAsia="Times New Roman" w:hAnsi="Lato" w:cs="Arial"/>
                <w:color w:val="000000"/>
                <w:sz w:val="18"/>
                <w:szCs w:val="18"/>
                <w:lang w:eastAsia="pl-PL"/>
              </w:rPr>
              <w:br/>
              <w:t xml:space="preserve">               gospodarstwo domowe </w:t>
            </w:r>
          </w:p>
        </w:tc>
        <w:tc>
          <w:tcPr>
            <w:tcW w:w="795" w:type="pct"/>
            <w:shd w:val="clear" w:color="auto" w:fill="auto"/>
            <w:vAlign w:val="center"/>
            <w:hideMark/>
          </w:tcPr>
          <w:p w14:paraId="61E7D13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c>
          <w:tcPr>
            <w:tcW w:w="795" w:type="pct"/>
            <w:shd w:val="clear" w:color="auto" w:fill="auto"/>
            <w:vAlign w:val="center"/>
            <w:hideMark/>
          </w:tcPr>
          <w:p w14:paraId="1551CDD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w:t>
            </w:r>
          </w:p>
        </w:tc>
        <w:tc>
          <w:tcPr>
            <w:tcW w:w="579" w:type="pct"/>
            <w:shd w:val="clear" w:color="auto" w:fill="auto"/>
            <w:vAlign w:val="center"/>
            <w:hideMark/>
          </w:tcPr>
          <w:p w14:paraId="7E51DCE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w:t>
            </w:r>
          </w:p>
        </w:tc>
        <w:tc>
          <w:tcPr>
            <w:tcW w:w="661" w:type="pct"/>
            <w:shd w:val="clear" w:color="auto" w:fill="auto"/>
            <w:vAlign w:val="center"/>
            <w:hideMark/>
          </w:tcPr>
          <w:p w14:paraId="2593C40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w:t>
            </w:r>
          </w:p>
        </w:tc>
        <w:tc>
          <w:tcPr>
            <w:tcW w:w="663" w:type="pct"/>
            <w:shd w:val="clear" w:color="auto" w:fill="auto"/>
            <w:vAlign w:val="center"/>
            <w:hideMark/>
          </w:tcPr>
          <w:p w14:paraId="30D36EF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0,8</w:t>
            </w:r>
          </w:p>
        </w:tc>
      </w:tr>
      <w:tr w:rsidR="00A254DA" w:rsidRPr="00DC3810" w14:paraId="13BE5FCC" w14:textId="77777777" w:rsidTr="00DC3810">
        <w:trPr>
          <w:trHeight w:val="194"/>
        </w:trPr>
        <w:tc>
          <w:tcPr>
            <w:tcW w:w="5000" w:type="pct"/>
            <w:gridSpan w:val="6"/>
            <w:shd w:val="clear" w:color="auto" w:fill="auto"/>
            <w:vAlign w:val="center"/>
            <w:hideMark/>
          </w:tcPr>
          <w:p w14:paraId="5BA77F95"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WIEŚ</w:t>
            </w:r>
          </w:p>
        </w:tc>
      </w:tr>
      <w:tr w:rsidR="00A254DA" w:rsidRPr="00DC3810" w14:paraId="657E3AA0" w14:textId="77777777" w:rsidTr="00DC3810">
        <w:trPr>
          <w:trHeight w:val="254"/>
        </w:trPr>
        <w:tc>
          <w:tcPr>
            <w:tcW w:w="5000" w:type="pct"/>
            <w:gridSpan w:val="6"/>
            <w:shd w:val="clear" w:color="auto" w:fill="auto"/>
            <w:vAlign w:val="center"/>
            <w:hideMark/>
          </w:tcPr>
          <w:p w14:paraId="096DDA6C"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A254DA" w:rsidRPr="00DC3810" w14:paraId="26706BEB" w14:textId="77777777" w:rsidTr="00DC3810">
        <w:trPr>
          <w:trHeight w:val="300"/>
        </w:trPr>
        <w:tc>
          <w:tcPr>
            <w:tcW w:w="1507" w:type="pct"/>
            <w:shd w:val="clear" w:color="auto" w:fill="auto"/>
            <w:vAlign w:val="center"/>
            <w:hideMark/>
          </w:tcPr>
          <w:p w14:paraId="369BE6CA"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Dochód rozporządzalny                                                                                                                                                                                       </w:t>
            </w:r>
          </w:p>
        </w:tc>
        <w:tc>
          <w:tcPr>
            <w:tcW w:w="795" w:type="pct"/>
            <w:shd w:val="clear" w:color="auto" w:fill="auto"/>
            <w:vAlign w:val="center"/>
            <w:hideMark/>
          </w:tcPr>
          <w:p w14:paraId="15F1A4FC"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1944,88</w:t>
            </w:r>
          </w:p>
        </w:tc>
        <w:tc>
          <w:tcPr>
            <w:tcW w:w="795" w:type="pct"/>
            <w:shd w:val="clear" w:color="auto" w:fill="auto"/>
            <w:vAlign w:val="center"/>
            <w:hideMark/>
          </w:tcPr>
          <w:p w14:paraId="7253039A"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1995,05</w:t>
            </w:r>
          </w:p>
        </w:tc>
        <w:tc>
          <w:tcPr>
            <w:tcW w:w="579" w:type="pct"/>
            <w:shd w:val="clear" w:color="auto" w:fill="auto"/>
            <w:vAlign w:val="center"/>
            <w:hideMark/>
          </w:tcPr>
          <w:p w14:paraId="75BE23A7"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2288,62</w:t>
            </w:r>
          </w:p>
        </w:tc>
        <w:tc>
          <w:tcPr>
            <w:tcW w:w="661" w:type="pct"/>
            <w:shd w:val="clear" w:color="auto" w:fill="auto"/>
            <w:vAlign w:val="center"/>
            <w:hideMark/>
          </w:tcPr>
          <w:p w14:paraId="1A6AAF7D"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2284,58</w:t>
            </w:r>
          </w:p>
        </w:tc>
        <w:tc>
          <w:tcPr>
            <w:tcW w:w="663" w:type="pct"/>
            <w:shd w:val="clear" w:color="auto" w:fill="auto"/>
            <w:vAlign w:val="center"/>
            <w:hideMark/>
          </w:tcPr>
          <w:p w14:paraId="09DAFE98"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2290,03</w:t>
            </w:r>
          </w:p>
        </w:tc>
      </w:tr>
      <w:tr w:rsidR="00A254DA" w:rsidRPr="00DC3810" w14:paraId="4C35E846" w14:textId="77777777" w:rsidTr="00DC3810">
        <w:trPr>
          <w:trHeight w:val="106"/>
        </w:trPr>
        <w:tc>
          <w:tcPr>
            <w:tcW w:w="5000" w:type="pct"/>
            <w:gridSpan w:val="6"/>
            <w:shd w:val="clear" w:color="auto" w:fill="auto"/>
            <w:vAlign w:val="center"/>
            <w:hideMark/>
          </w:tcPr>
          <w:p w14:paraId="41E8D41D" w14:textId="77777777" w:rsidR="00A254DA" w:rsidRPr="00DC3810" w:rsidRDefault="00A254DA" w:rsidP="00A254DA">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A254DA" w:rsidRPr="00DC3810" w14:paraId="4F09B1AE" w14:textId="77777777" w:rsidTr="00DC3810">
        <w:trPr>
          <w:trHeight w:val="300"/>
        </w:trPr>
        <w:tc>
          <w:tcPr>
            <w:tcW w:w="1507" w:type="pct"/>
            <w:shd w:val="clear" w:color="auto" w:fill="auto"/>
            <w:vAlign w:val="center"/>
            <w:hideMark/>
          </w:tcPr>
          <w:p w14:paraId="4B1CA09E" w14:textId="77777777" w:rsidR="00A254DA" w:rsidRPr="00DC3810" w:rsidRDefault="00A254DA" w:rsidP="00A254DA">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Dochód rozporządzalny</w:t>
            </w:r>
          </w:p>
        </w:tc>
        <w:tc>
          <w:tcPr>
            <w:tcW w:w="795" w:type="pct"/>
            <w:shd w:val="clear" w:color="auto" w:fill="auto"/>
            <w:vAlign w:val="center"/>
            <w:hideMark/>
          </w:tcPr>
          <w:p w14:paraId="244AA96A"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795" w:type="pct"/>
            <w:shd w:val="clear" w:color="auto" w:fill="auto"/>
            <w:vAlign w:val="center"/>
            <w:hideMark/>
          </w:tcPr>
          <w:p w14:paraId="5F51FD14"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579" w:type="pct"/>
            <w:shd w:val="clear" w:color="auto" w:fill="auto"/>
            <w:vAlign w:val="center"/>
            <w:hideMark/>
          </w:tcPr>
          <w:p w14:paraId="6766E398"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1" w:type="pct"/>
            <w:shd w:val="clear" w:color="auto" w:fill="auto"/>
            <w:vAlign w:val="center"/>
            <w:hideMark/>
          </w:tcPr>
          <w:p w14:paraId="71363DAB"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3" w:type="pct"/>
            <w:shd w:val="clear" w:color="auto" w:fill="auto"/>
            <w:vAlign w:val="center"/>
            <w:hideMark/>
          </w:tcPr>
          <w:p w14:paraId="48E8C833" w14:textId="77777777" w:rsidR="00A254DA" w:rsidRPr="00DC3810" w:rsidRDefault="00A254DA" w:rsidP="00A254DA">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A254DA" w:rsidRPr="00DC3810" w14:paraId="425C7A15" w14:textId="77777777" w:rsidTr="00DC3810">
        <w:trPr>
          <w:trHeight w:val="300"/>
        </w:trPr>
        <w:tc>
          <w:tcPr>
            <w:tcW w:w="1507" w:type="pct"/>
            <w:shd w:val="clear" w:color="auto" w:fill="auto"/>
            <w:vAlign w:val="center"/>
            <w:hideMark/>
          </w:tcPr>
          <w:p w14:paraId="41F24F2E"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dochód do dyspozycji</w:t>
            </w:r>
          </w:p>
        </w:tc>
        <w:tc>
          <w:tcPr>
            <w:tcW w:w="795" w:type="pct"/>
            <w:shd w:val="clear" w:color="auto" w:fill="auto"/>
            <w:vAlign w:val="center"/>
            <w:hideMark/>
          </w:tcPr>
          <w:p w14:paraId="07D471E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98,2</w:t>
            </w:r>
          </w:p>
        </w:tc>
        <w:tc>
          <w:tcPr>
            <w:tcW w:w="795" w:type="pct"/>
            <w:shd w:val="clear" w:color="auto" w:fill="auto"/>
            <w:vAlign w:val="center"/>
            <w:hideMark/>
          </w:tcPr>
          <w:p w14:paraId="7C235F3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98,3</w:t>
            </w:r>
          </w:p>
        </w:tc>
        <w:tc>
          <w:tcPr>
            <w:tcW w:w="579" w:type="pct"/>
            <w:shd w:val="clear" w:color="auto" w:fill="auto"/>
            <w:vAlign w:val="center"/>
            <w:hideMark/>
          </w:tcPr>
          <w:p w14:paraId="7409DF0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97,1</w:t>
            </w:r>
          </w:p>
        </w:tc>
        <w:tc>
          <w:tcPr>
            <w:tcW w:w="661" w:type="pct"/>
            <w:shd w:val="clear" w:color="auto" w:fill="auto"/>
            <w:vAlign w:val="center"/>
            <w:hideMark/>
          </w:tcPr>
          <w:p w14:paraId="39BE2C8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96,7</w:t>
            </w:r>
          </w:p>
        </w:tc>
        <w:tc>
          <w:tcPr>
            <w:tcW w:w="663" w:type="pct"/>
            <w:shd w:val="clear" w:color="auto" w:fill="auto"/>
            <w:vAlign w:val="center"/>
            <w:hideMark/>
          </w:tcPr>
          <w:p w14:paraId="4FBEB27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97,2</w:t>
            </w:r>
          </w:p>
        </w:tc>
      </w:tr>
      <w:tr w:rsidR="00A254DA" w:rsidRPr="00DC3810" w14:paraId="5AE3ECB3" w14:textId="77777777" w:rsidTr="00DC3810">
        <w:trPr>
          <w:trHeight w:val="300"/>
        </w:trPr>
        <w:tc>
          <w:tcPr>
            <w:tcW w:w="1507" w:type="pct"/>
            <w:shd w:val="clear" w:color="auto" w:fill="auto"/>
            <w:vAlign w:val="center"/>
            <w:hideMark/>
          </w:tcPr>
          <w:p w14:paraId="70C46087"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pracy najemnej                                                                                                                                                                             </w:t>
            </w:r>
          </w:p>
        </w:tc>
        <w:tc>
          <w:tcPr>
            <w:tcW w:w="795" w:type="pct"/>
            <w:shd w:val="clear" w:color="auto" w:fill="auto"/>
            <w:vAlign w:val="center"/>
            <w:hideMark/>
          </w:tcPr>
          <w:p w14:paraId="38B8004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64,5</w:t>
            </w:r>
          </w:p>
        </w:tc>
        <w:tc>
          <w:tcPr>
            <w:tcW w:w="795" w:type="pct"/>
            <w:shd w:val="clear" w:color="auto" w:fill="auto"/>
            <w:vAlign w:val="center"/>
            <w:hideMark/>
          </w:tcPr>
          <w:p w14:paraId="05EF403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35,6</w:t>
            </w:r>
          </w:p>
        </w:tc>
        <w:tc>
          <w:tcPr>
            <w:tcW w:w="579" w:type="pct"/>
            <w:shd w:val="clear" w:color="auto" w:fill="auto"/>
            <w:vAlign w:val="center"/>
            <w:hideMark/>
          </w:tcPr>
          <w:p w14:paraId="467E6B9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w:t>
            </w:r>
          </w:p>
        </w:tc>
        <w:tc>
          <w:tcPr>
            <w:tcW w:w="661" w:type="pct"/>
            <w:shd w:val="clear" w:color="auto" w:fill="auto"/>
            <w:vAlign w:val="center"/>
            <w:hideMark/>
          </w:tcPr>
          <w:p w14:paraId="7AF19CB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w:t>
            </w:r>
          </w:p>
        </w:tc>
        <w:tc>
          <w:tcPr>
            <w:tcW w:w="663" w:type="pct"/>
            <w:shd w:val="clear" w:color="auto" w:fill="auto"/>
            <w:vAlign w:val="center"/>
            <w:hideMark/>
          </w:tcPr>
          <w:p w14:paraId="2216597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r>
      <w:tr w:rsidR="00A254DA" w:rsidRPr="00DC3810" w14:paraId="0D27A614" w14:textId="77777777" w:rsidTr="00DC3810">
        <w:trPr>
          <w:trHeight w:val="684"/>
        </w:trPr>
        <w:tc>
          <w:tcPr>
            <w:tcW w:w="1507" w:type="pct"/>
            <w:shd w:val="clear" w:color="auto" w:fill="auto"/>
            <w:vAlign w:val="center"/>
            <w:hideMark/>
          </w:tcPr>
          <w:p w14:paraId="74FC6E68"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Dochody z pracy na własny rachunek poza</w:t>
            </w:r>
            <w:r w:rsidRPr="00DC3810">
              <w:rPr>
                <w:rFonts w:ascii="Lato" w:eastAsia="Times New Roman" w:hAnsi="Lato" w:cs="Arial"/>
                <w:color w:val="000000"/>
                <w:sz w:val="18"/>
                <w:szCs w:val="18"/>
                <w:lang w:eastAsia="pl-PL"/>
              </w:rPr>
              <w:br/>
              <w:t xml:space="preserve">   gospodarstwem rolnym w użytkowaniu</w:t>
            </w:r>
            <w:r w:rsidRPr="00DC3810">
              <w:rPr>
                <w:rFonts w:ascii="Lato" w:eastAsia="Times New Roman" w:hAnsi="Lato" w:cs="Arial"/>
                <w:color w:val="000000"/>
                <w:sz w:val="18"/>
                <w:szCs w:val="18"/>
                <w:lang w:eastAsia="pl-PL"/>
              </w:rPr>
              <w:br/>
              <w:t xml:space="preserve">   indywidualnym                                                                                                     </w:t>
            </w:r>
          </w:p>
        </w:tc>
        <w:tc>
          <w:tcPr>
            <w:tcW w:w="795" w:type="pct"/>
            <w:shd w:val="clear" w:color="auto" w:fill="auto"/>
            <w:vAlign w:val="center"/>
            <w:hideMark/>
          </w:tcPr>
          <w:p w14:paraId="132494C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12,0</w:t>
            </w:r>
          </w:p>
        </w:tc>
        <w:tc>
          <w:tcPr>
            <w:tcW w:w="795" w:type="pct"/>
            <w:shd w:val="clear" w:color="auto" w:fill="auto"/>
            <w:vAlign w:val="center"/>
            <w:hideMark/>
          </w:tcPr>
          <w:p w14:paraId="7D6B651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w:t>
            </w:r>
          </w:p>
        </w:tc>
        <w:tc>
          <w:tcPr>
            <w:tcW w:w="579" w:type="pct"/>
            <w:shd w:val="clear" w:color="auto" w:fill="auto"/>
            <w:vAlign w:val="center"/>
            <w:hideMark/>
          </w:tcPr>
          <w:p w14:paraId="1C11E6F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w:t>
            </w:r>
          </w:p>
        </w:tc>
        <w:tc>
          <w:tcPr>
            <w:tcW w:w="661" w:type="pct"/>
            <w:shd w:val="clear" w:color="auto" w:fill="auto"/>
            <w:vAlign w:val="center"/>
            <w:hideMark/>
          </w:tcPr>
          <w:p w14:paraId="75D57F6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w:t>
            </w:r>
          </w:p>
        </w:tc>
        <w:tc>
          <w:tcPr>
            <w:tcW w:w="663" w:type="pct"/>
            <w:shd w:val="clear" w:color="auto" w:fill="auto"/>
            <w:vAlign w:val="center"/>
            <w:hideMark/>
          </w:tcPr>
          <w:p w14:paraId="1A85295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w:t>
            </w:r>
          </w:p>
        </w:tc>
      </w:tr>
      <w:tr w:rsidR="00A254DA" w:rsidRPr="00DC3810" w14:paraId="0AA78CA2" w14:textId="77777777" w:rsidTr="00DC3810">
        <w:trPr>
          <w:trHeight w:val="300"/>
        </w:trPr>
        <w:tc>
          <w:tcPr>
            <w:tcW w:w="1507" w:type="pct"/>
            <w:shd w:val="clear" w:color="auto" w:fill="auto"/>
            <w:vAlign w:val="center"/>
            <w:hideMark/>
          </w:tcPr>
          <w:p w14:paraId="451AF79A"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 gospodarstwa rolnego                                                                                                                                                                                              </w:t>
            </w:r>
          </w:p>
        </w:tc>
        <w:tc>
          <w:tcPr>
            <w:tcW w:w="795" w:type="pct"/>
            <w:shd w:val="clear" w:color="auto" w:fill="auto"/>
            <w:vAlign w:val="center"/>
            <w:hideMark/>
          </w:tcPr>
          <w:p w14:paraId="3699A5FA"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w:t>
            </w:r>
          </w:p>
        </w:tc>
        <w:tc>
          <w:tcPr>
            <w:tcW w:w="795" w:type="pct"/>
            <w:shd w:val="clear" w:color="auto" w:fill="auto"/>
            <w:vAlign w:val="center"/>
            <w:hideMark/>
          </w:tcPr>
          <w:p w14:paraId="3F812D8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13,1</w:t>
            </w:r>
          </w:p>
        </w:tc>
        <w:tc>
          <w:tcPr>
            <w:tcW w:w="579" w:type="pct"/>
            <w:shd w:val="clear" w:color="auto" w:fill="auto"/>
            <w:vAlign w:val="center"/>
            <w:hideMark/>
          </w:tcPr>
          <w:p w14:paraId="59BB84DB"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w:t>
            </w:r>
          </w:p>
        </w:tc>
        <w:tc>
          <w:tcPr>
            <w:tcW w:w="661" w:type="pct"/>
            <w:shd w:val="clear" w:color="auto" w:fill="auto"/>
            <w:vAlign w:val="center"/>
            <w:hideMark/>
          </w:tcPr>
          <w:p w14:paraId="09E49AFB"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w:t>
            </w:r>
          </w:p>
        </w:tc>
        <w:tc>
          <w:tcPr>
            <w:tcW w:w="663" w:type="pct"/>
            <w:shd w:val="clear" w:color="auto" w:fill="auto"/>
            <w:vAlign w:val="center"/>
            <w:hideMark/>
          </w:tcPr>
          <w:p w14:paraId="221A455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0,8</w:t>
            </w:r>
          </w:p>
        </w:tc>
      </w:tr>
      <w:tr w:rsidR="00A254DA" w:rsidRPr="00DC3810" w14:paraId="170E140C" w14:textId="77777777" w:rsidTr="00DC3810">
        <w:trPr>
          <w:trHeight w:val="300"/>
        </w:trPr>
        <w:tc>
          <w:tcPr>
            <w:tcW w:w="1507" w:type="pct"/>
            <w:shd w:val="clear" w:color="auto" w:fill="auto"/>
            <w:vAlign w:val="center"/>
            <w:hideMark/>
          </w:tcPr>
          <w:p w14:paraId="58CAD833"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Dochody ze świadczeń społecznych                                                                                                                                                                                                                  </w:t>
            </w:r>
          </w:p>
        </w:tc>
        <w:tc>
          <w:tcPr>
            <w:tcW w:w="795" w:type="pct"/>
            <w:shd w:val="clear" w:color="auto" w:fill="auto"/>
            <w:vAlign w:val="center"/>
            <w:hideMark/>
          </w:tcPr>
          <w:p w14:paraId="78D502F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15,0</w:t>
            </w:r>
          </w:p>
        </w:tc>
        <w:tc>
          <w:tcPr>
            <w:tcW w:w="795" w:type="pct"/>
            <w:shd w:val="clear" w:color="auto" w:fill="auto"/>
            <w:vAlign w:val="center"/>
            <w:hideMark/>
          </w:tcPr>
          <w:p w14:paraId="1EDF3019"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45,4</w:t>
            </w:r>
          </w:p>
        </w:tc>
        <w:tc>
          <w:tcPr>
            <w:tcW w:w="579" w:type="pct"/>
            <w:shd w:val="clear" w:color="auto" w:fill="auto"/>
            <w:vAlign w:val="center"/>
            <w:hideMark/>
          </w:tcPr>
          <w:p w14:paraId="7344E075"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84,8</w:t>
            </w:r>
          </w:p>
        </w:tc>
        <w:tc>
          <w:tcPr>
            <w:tcW w:w="661" w:type="pct"/>
            <w:shd w:val="clear" w:color="auto" w:fill="auto"/>
            <w:vAlign w:val="center"/>
            <w:hideMark/>
          </w:tcPr>
          <w:p w14:paraId="3463DD3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85,1</w:t>
            </w:r>
          </w:p>
        </w:tc>
        <w:tc>
          <w:tcPr>
            <w:tcW w:w="663" w:type="pct"/>
            <w:shd w:val="clear" w:color="auto" w:fill="auto"/>
            <w:vAlign w:val="center"/>
            <w:hideMark/>
          </w:tcPr>
          <w:p w14:paraId="762B6D5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84,9</w:t>
            </w:r>
          </w:p>
        </w:tc>
      </w:tr>
      <w:tr w:rsidR="00A254DA" w:rsidRPr="00DC3810" w14:paraId="52EF9B9C" w14:textId="77777777" w:rsidTr="00DC3810">
        <w:trPr>
          <w:trHeight w:val="228"/>
        </w:trPr>
        <w:tc>
          <w:tcPr>
            <w:tcW w:w="1507" w:type="pct"/>
            <w:shd w:val="clear" w:color="auto" w:fill="auto"/>
            <w:vAlign w:val="center"/>
            <w:hideMark/>
          </w:tcPr>
          <w:p w14:paraId="1223C63C"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ze świadczeń z ubezpieczeń społecznych                                                                       </w:t>
            </w:r>
          </w:p>
        </w:tc>
        <w:tc>
          <w:tcPr>
            <w:tcW w:w="795" w:type="pct"/>
            <w:shd w:val="clear" w:color="auto" w:fill="auto"/>
            <w:vAlign w:val="center"/>
            <w:hideMark/>
          </w:tcPr>
          <w:p w14:paraId="0178B64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w:t>
            </w:r>
          </w:p>
        </w:tc>
        <w:tc>
          <w:tcPr>
            <w:tcW w:w="795" w:type="pct"/>
            <w:shd w:val="clear" w:color="auto" w:fill="auto"/>
            <w:vAlign w:val="center"/>
            <w:hideMark/>
          </w:tcPr>
          <w:p w14:paraId="0EF58A6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38,5</w:t>
            </w:r>
          </w:p>
        </w:tc>
        <w:tc>
          <w:tcPr>
            <w:tcW w:w="579" w:type="pct"/>
            <w:shd w:val="clear" w:color="auto" w:fill="auto"/>
            <w:vAlign w:val="center"/>
            <w:hideMark/>
          </w:tcPr>
          <w:p w14:paraId="7CCB454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83,1</w:t>
            </w:r>
          </w:p>
        </w:tc>
        <w:tc>
          <w:tcPr>
            <w:tcW w:w="661" w:type="pct"/>
            <w:shd w:val="clear" w:color="auto" w:fill="auto"/>
            <w:vAlign w:val="center"/>
            <w:hideMark/>
          </w:tcPr>
          <w:p w14:paraId="1D2D41B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82,3</w:t>
            </w:r>
          </w:p>
        </w:tc>
        <w:tc>
          <w:tcPr>
            <w:tcW w:w="663" w:type="pct"/>
            <w:shd w:val="clear" w:color="auto" w:fill="auto"/>
            <w:vAlign w:val="center"/>
            <w:hideMark/>
          </w:tcPr>
          <w:p w14:paraId="6C3F036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83,7</w:t>
            </w:r>
          </w:p>
        </w:tc>
      </w:tr>
      <w:tr w:rsidR="00A254DA" w:rsidRPr="00DC3810" w14:paraId="39FC25F2" w14:textId="77777777" w:rsidTr="00DC3810">
        <w:trPr>
          <w:trHeight w:val="300"/>
        </w:trPr>
        <w:tc>
          <w:tcPr>
            <w:tcW w:w="1507" w:type="pct"/>
            <w:shd w:val="clear" w:color="auto" w:fill="auto"/>
            <w:vAlign w:val="center"/>
            <w:hideMark/>
          </w:tcPr>
          <w:p w14:paraId="4D3192BA"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emerytury i renty*                                                                                                                                                                               </w:t>
            </w:r>
          </w:p>
        </w:tc>
        <w:tc>
          <w:tcPr>
            <w:tcW w:w="795" w:type="pct"/>
            <w:shd w:val="clear" w:color="auto" w:fill="auto"/>
            <w:vAlign w:val="center"/>
            <w:hideMark/>
          </w:tcPr>
          <w:p w14:paraId="01D6C85C"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c>
          <w:tcPr>
            <w:tcW w:w="795" w:type="pct"/>
            <w:shd w:val="clear" w:color="auto" w:fill="auto"/>
            <w:vAlign w:val="center"/>
            <w:hideMark/>
          </w:tcPr>
          <w:p w14:paraId="27D11C4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36,3</w:t>
            </w:r>
          </w:p>
        </w:tc>
        <w:tc>
          <w:tcPr>
            <w:tcW w:w="579" w:type="pct"/>
            <w:shd w:val="clear" w:color="auto" w:fill="auto"/>
            <w:vAlign w:val="center"/>
            <w:hideMark/>
          </w:tcPr>
          <w:p w14:paraId="1C36CC1B"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79,3</w:t>
            </w:r>
          </w:p>
        </w:tc>
        <w:tc>
          <w:tcPr>
            <w:tcW w:w="661" w:type="pct"/>
            <w:shd w:val="clear" w:color="auto" w:fill="auto"/>
            <w:vAlign w:val="center"/>
            <w:hideMark/>
          </w:tcPr>
          <w:p w14:paraId="7D40D908"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72,8</w:t>
            </w:r>
          </w:p>
        </w:tc>
        <w:tc>
          <w:tcPr>
            <w:tcW w:w="663" w:type="pct"/>
            <w:shd w:val="clear" w:color="auto" w:fill="auto"/>
            <w:vAlign w:val="center"/>
            <w:hideMark/>
          </w:tcPr>
          <w:p w14:paraId="3BD3151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83,1</w:t>
            </w:r>
          </w:p>
        </w:tc>
      </w:tr>
      <w:tr w:rsidR="00A254DA" w:rsidRPr="00DC3810" w14:paraId="09375863" w14:textId="77777777" w:rsidTr="00DC3810">
        <w:trPr>
          <w:trHeight w:val="300"/>
        </w:trPr>
        <w:tc>
          <w:tcPr>
            <w:tcW w:w="1507" w:type="pct"/>
            <w:shd w:val="clear" w:color="auto" w:fill="auto"/>
            <w:vAlign w:val="center"/>
            <w:hideMark/>
          </w:tcPr>
          <w:p w14:paraId="1948773A"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dochody z pozostałych świadczeń społecznych                            </w:t>
            </w:r>
          </w:p>
        </w:tc>
        <w:tc>
          <w:tcPr>
            <w:tcW w:w="795" w:type="pct"/>
            <w:shd w:val="clear" w:color="auto" w:fill="auto"/>
            <w:vAlign w:val="center"/>
            <w:hideMark/>
          </w:tcPr>
          <w:p w14:paraId="0C12BC66"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11,9</w:t>
            </w:r>
          </w:p>
        </w:tc>
        <w:tc>
          <w:tcPr>
            <w:tcW w:w="795" w:type="pct"/>
            <w:shd w:val="clear" w:color="auto" w:fill="auto"/>
            <w:vAlign w:val="center"/>
            <w:hideMark/>
          </w:tcPr>
          <w:p w14:paraId="45D23DBE"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w:t>
            </w:r>
          </w:p>
        </w:tc>
        <w:tc>
          <w:tcPr>
            <w:tcW w:w="579" w:type="pct"/>
            <w:shd w:val="clear" w:color="auto" w:fill="auto"/>
            <w:vAlign w:val="center"/>
            <w:hideMark/>
          </w:tcPr>
          <w:p w14:paraId="2D976DB4"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w:t>
            </w:r>
          </w:p>
        </w:tc>
        <w:tc>
          <w:tcPr>
            <w:tcW w:w="661" w:type="pct"/>
            <w:shd w:val="clear" w:color="auto" w:fill="auto"/>
            <w:vAlign w:val="center"/>
            <w:hideMark/>
          </w:tcPr>
          <w:p w14:paraId="25585767"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w:t>
            </w:r>
          </w:p>
        </w:tc>
        <w:tc>
          <w:tcPr>
            <w:tcW w:w="663" w:type="pct"/>
            <w:shd w:val="clear" w:color="auto" w:fill="auto"/>
            <w:vAlign w:val="center"/>
            <w:hideMark/>
          </w:tcPr>
          <w:p w14:paraId="491DC90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w:t>
            </w:r>
          </w:p>
        </w:tc>
      </w:tr>
      <w:tr w:rsidR="00A254DA" w:rsidRPr="00DC3810" w14:paraId="58F15AC0" w14:textId="77777777" w:rsidTr="00DC3810">
        <w:trPr>
          <w:trHeight w:val="300"/>
        </w:trPr>
        <w:tc>
          <w:tcPr>
            <w:tcW w:w="1507" w:type="pct"/>
            <w:shd w:val="clear" w:color="auto" w:fill="auto"/>
            <w:vAlign w:val="center"/>
            <w:hideMark/>
          </w:tcPr>
          <w:p w14:paraId="2B468749"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Pozostałe dochody                                                                                                                          </w:t>
            </w:r>
          </w:p>
        </w:tc>
        <w:tc>
          <w:tcPr>
            <w:tcW w:w="795" w:type="pct"/>
            <w:shd w:val="clear" w:color="auto" w:fill="auto"/>
            <w:vAlign w:val="center"/>
            <w:hideMark/>
          </w:tcPr>
          <w:p w14:paraId="4BC0D3A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w:t>
            </w:r>
          </w:p>
        </w:tc>
        <w:tc>
          <w:tcPr>
            <w:tcW w:w="795" w:type="pct"/>
            <w:shd w:val="clear" w:color="auto" w:fill="auto"/>
            <w:vAlign w:val="center"/>
            <w:hideMark/>
          </w:tcPr>
          <w:p w14:paraId="3F83DF1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c>
          <w:tcPr>
            <w:tcW w:w="579" w:type="pct"/>
            <w:shd w:val="clear" w:color="auto" w:fill="auto"/>
            <w:vAlign w:val="center"/>
            <w:hideMark/>
          </w:tcPr>
          <w:p w14:paraId="41117AA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w:t>
            </w:r>
          </w:p>
        </w:tc>
        <w:tc>
          <w:tcPr>
            <w:tcW w:w="661" w:type="pct"/>
            <w:shd w:val="clear" w:color="auto" w:fill="auto"/>
            <w:vAlign w:val="center"/>
            <w:hideMark/>
          </w:tcPr>
          <w:p w14:paraId="569A11BB"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w:t>
            </w:r>
          </w:p>
        </w:tc>
        <w:tc>
          <w:tcPr>
            <w:tcW w:w="663" w:type="pct"/>
            <w:shd w:val="clear" w:color="auto" w:fill="auto"/>
            <w:vAlign w:val="center"/>
            <w:hideMark/>
          </w:tcPr>
          <w:p w14:paraId="6FA7295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r>
      <w:tr w:rsidR="00A254DA" w:rsidRPr="00DC3810" w14:paraId="01F5EE01" w14:textId="77777777" w:rsidTr="00DC3810">
        <w:trPr>
          <w:trHeight w:val="456"/>
        </w:trPr>
        <w:tc>
          <w:tcPr>
            <w:tcW w:w="1507" w:type="pct"/>
            <w:shd w:val="clear" w:color="auto" w:fill="auto"/>
            <w:vAlign w:val="center"/>
            <w:hideMark/>
          </w:tcPr>
          <w:p w14:paraId="3E3368AB" w14:textId="77777777" w:rsidR="00A254DA" w:rsidRPr="00DC3810" w:rsidRDefault="00A254DA" w:rsidP="00A254DA">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dary otrzymane od osób prywatnych na</w:t>
            </w:r>
            <w:r w:rsidRPr="00DC3810">
              <w:rPr>
                <w:rFonts w:ascii="Lato" w:eastAsia="Times New Roman" w:hAnsi="Lato" w:cs="Arial"/>
                <w:color w:val="000000"/>
                <w:sz w:val="18"/>
                <w:szCs w:val="18"/>
                <w:lang w:eastAsia="pl-PL"/>
              </w:rPr>
              <w:br/>
              <w:t xml:space="preserve">               gospodarstwo domowe </w:t>
            </w:r>
          </w:p>
        </w:tc>
        <w:tc>
          <w:tcPr>
            <w:tcW w:w="795" w:type="pct"/>
            <w:shd w:val="clear" w:color="auto" w:fill="auto"/>
            <w:vAlign w:val="center"/>
            <w:hideMark/>
          </w:tcPr>
          <w:p w14:paraId="554337B2"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c>
          <w:tcPr>
            <w:tcW w:w="795" w:type="pct"/>
            <w:shd w:val="clear" w:color="auto" w:fill="auto"/>
            <w:vAlign w:val="center"/>
            <w:hideMark/>
          </w:tcPr>
          <w:p w14:paraId="0EBC7DC3"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w:t>
            </w:r>
          </w:p>
        </w:tc>
        <w:tc>
          <w:tcPr>
            <w:tcW w:w="579" w:type="pct"/>
            <w:shd w:val="clear" w:color="auto" w:fill="auto"/>
            <w:vAlign w:val="center"/>
            <w:hideMark/>
          </w:tcPr>
          <w:p w14:paraId="70314A00"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w:t>
            </w:r>
          </w:p>
        </w:tc>
        <w:tc>
          <w:tcPr>
            <w:tcW w:w="661" w:type="pct"/>
            <w:shd w:val="clear" w:color="auto" w:fill="auto"/>
            <w:vAlign w:val="center"/>
            <w:hideMark/>
          </w:tcPr>
          <w:p w14:paraId="2DF0C9A1"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3,6</w:t>
            </w:r>
          </w:p>
        </w:tc>
        <w:tc>
          <w:tcPr>
            <w:tcW w:w="663" w:type="pct"/>
            <w:shd w:val="clear" w:color="auto" w:fill="auto"/>
            <w:vAlign w:val="center"/>
            <w:hideMark/>
          </w:tcPr>
          <w:p w14:paraId="0973E10F" w14:textId="77777777" w:rsidR="00A254DA" w:rsidRPr="00DC3810" w:rsidRDefault="00A254DA" w:rsidP="00A254DA">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w:t>
            </w:r>
          </w:p>
        </w:tc>
      </w:tr>
    </w:tbl>
    <w:p w14:paraId="2DF818C0" w14:textId="3E93BD12" w:rsidR="00A254DA" w:rsidRPr="009A2986" w:rsidRDefault="00A254DA" w:rsidP="00A254DA">
      <w:pPr>
        <w:spacing w:after="0" w:line="240" w:lineRule="auto"/>
        <w:jc w:val="both"/>
        <w:rPr>
          <w:rFonts w:ascii="Lato" w:hAnsi="Lato"/>
          <w:sz w:val="16"/>
          <w:szCs w:val="16"/>
        </w:rPr>
      </w:pPr>
      <w:r w:rsidRPr="009A2986">
        <w:rPr>
          <w:rFonts w:ascii="Lato" w:hAnsi="Lato"/>
          <w:sz w:val="16"/>
          <w:szCs w:val="16"/>
        </w:rPr>
        <w:t>Źródło: Badanie budżetów gospodarstw domowych, GUS</w:t>
      </w:r>
    </w:p>
    <w:p w14:paraId="44C91F93" w14:textId="28E3D941" w:rsidR="00A254DA" w:rsidRPr="009A2986" w:rsidRDefault="00A254DA" w:rsidP="00A254DA">
      <w:pPr>
        <w:spacing w:after="0" w:line="240" w:lineRule="auto"/>
        <w:jc w:val="both"/>
        <w:rPr>
          <w:rFonts w:ascii="Lato" w:hAnsi="Lato"/>
          <w:sz w:val="16"/>
          <w:szCs w:val="16"/>
        </w:rPr>
      </w:pPr>
      <w:r w:rsidRPr="009A2986">
        <w:rPr>
          <w:rFonts w:ascii="Lato" w:hAnsi="Lato"/>
          <w:sz w:val="16"/>
          <w:szCs w:val="16"/>
        </w:rPr>
        <w:t>* Pozycja obejmuje emerytury krajowe, renty strukturalne za przekazanie gospodarstwo rolne, emerytury zagraniczne, emerytury z otwartych funduszy emerytalnych, krajowe renty z tytułu niezdolności do pracy, renty zagraniczne.</w:t>
      </w:r>
    </w:p>
    <w:p w14:paraId="481261D0" w14:textId="3F92BDCF" w:rsidR="00A254DA" w:rsidRPr="009A2986" w:rsidRDefault="00A254DA" w:rsidP="00A254DA">
      <w:pPr>
        <w:spacing w:after="0" w:line="240" w:lineRule="auto"/>
        <w:jc w:val="both"/>
        <w:rPr>
          <w:rFonts w:ascii="Lato" w:hAnsi="Lato"/>
          <w:sz w:val="16"/>
          <w:szCs w:val="16"/>
        </w:rPr>
      </w:pPr>
      <w:r w:rsidRPr="009A2986">
        <w:rPr>
          <w:rFonts w:ascii="Lato" w:hAnsi="Lato"/>
          <w:sz w:val="16"/>
          <w:szCs w:val="16"/>
        </w:rPr>
        <w:t>UWAGA: Dane za 2022 r. zostały uogólnione w oparciu o wstępne wyniki Narodowego Spisu Powszechnego Ludności i Mieszkań NSP 2021 i nie są wprost porównywalne z danymi za lata wcześniejsze, które zostały uogólnione w oparciu o wyniki Narodowego Spisu Powszechnego Ludności i Mieszkań NSP 2011.</w:t>
      </w:r>
    </w:p>
    <w:p w14:paraId="24C01570" w14:textId="75E6AF35" w:rsidR="00C72B3E" w:rsidRDefault="00C72B3E" w:rsidP="00A254DA">
      <w:pPr>
        <w:spacing w:after="0" w:line="240" w:lineRule="auto"/>
        <w:jc w:val="both"/>
        <w:rPr>
          <w:rFonts w:ascii="Lato" w:hAnsi="Lato"/>
          <w:sz w:val="18"/>
          <w:szCs w:val="18"/>
        </w:rPr>
      </w:pPr>
    </w:p>
    <w:p w14:paraId="7FACF001" w14:textId="77777777" w:rsidR="00B306CA" w:rsidRPr="00B306CA" w:rsidRDefault="00B306CA" w:rsidP="009E6F68">
      <w:pPr>
        <w:spacing w:after="0" w:line="240" w:lineRule="auto"/>
        <w:jc w:val="both"/>
        <w:rPr>
          <w:rFonts w:ascii="Lato" w:hAnsi="Lato"/>
          <w:sz w:val="20"/>
          <w:szCs w:val="20"/>
        </w:rPr>
      </w:pPr>
      <w:r w:rsidRPr="00B306CA">
        <w:rPr>
          <w:rFonts w:ascii="Lato" w:hAnsi="Lato"/>
          <w:sz w:val="20"/>
          <w:szCs w:val="20"/>
        </w:rPr>
        <w:t xml:space="preserve">Przeciętne miesięczne wydatki na 1 osobę w gospodarstwach domowych wyłącznie z osobami starszymi w 2022 roku wyniosły 1896,44 zł i były o 26,3% wyższe niż w gospodarstwach, w skład których wchodziły wyłącznie osoby młodsze. </w:t>
      </w:r>
    </w:p>
    <w:p w14:paraId="4DAB783B" w14:textId="77777777" w:rsidR="00B306CA" w:rsidRDefault="00B306CA" w:rsidP="009E6F68">
      <w:pPr>
        <w:spacing w:after="0" w:line="240" w:lineRule="auto"/>
        <w:jc w:val="both"/>
        <w:rPr>
          <w:rFonts w:ascii="Lato" w:hAnsi="Lato"/>
          <w:sz w:val="20"/>
          <w:szCs w:val="20"/>
        </w:rPr>
      </w:pPr>
    </w:p>
    <w:p w14:paraId="28804CE7" w14:textId="352453B1" w:rsidR="00B306CA" w:rsidRPr="00B306CA" w:rsidRDefault="00B306CA" w:rsidP="009E6F68">
      <w:pPr>
        <w:spacing w:after="0" w:line="240" w:lineRule="auto"/>
        <w:jc w:val="both"/>
        <w:rPr>
          <w:rFonts w:ascii="Lato" w:hAnsi="Lato"/>
          <w:sz w:val="20"/>
          <w:szCs w:val="20"/>
        </w:rPr>
      </w:pPr>
      <w:r w:rsidRPr="00B306CA">
        <w:rPr>
          <w:rFonts w:ascii="Lato" w:hAnsi="Lato"/>
          <w:sz w:val="20"/>
          <w:szCs w:val="20"/>
        </w:rPr>
        <w:t xml:space="preserve">W 2022 r. udział przeciętnych miesięcznych wydatków na 1 osobę w dochodzie rozporządzalnym w gospodarstwach domowych składających się wyłącznie z osób w wieku 60 lat i więcej ukształtował się </w:t>
      </w:r>
      <w:r w:rsidRPr="00B306CA">
        <w:rPr>
          <w:rFonts w:ascii="Lato" w:hAnsi="Lato"/>
          <w:sz w:val="20"/>
          <w:szCs w:val="20"/>
        </w:rPr>
        <w:lastRenderedPageBreak/>
        <w:t>na poziomie 72,3%, podczas gdy w gospodarstwach domowych wyłącznie z osobami poniżej 60 lat wyniósł 66,5%.</w:t>
      </w:r>
    </w:p>
    <w:p w14:paraId="526A05D8" w14:textId="77777777" w:rsidR="00B306CA" w:rsidRPr="00A254DA" w:rsidRDefault="00B306CA" w:rsidP="00A254DA">
      <w:pPr>
        <w:spacing w:after="0" w:line="240" w:lineRule="auto"/>
        <w:jc w:val="both"/>
        <w:rPr>
          <w:rFonts w:ascii="Lato" w:hAnsi="Lato"/>
          <w:sz w:val="18"/>
          <w:szCs w:val="18"/>
        </w:rPr>
      </w:pPr>
    </w:p>
    <w:p w14:paraId="3409CC6A" w14:textId="12B2AEFC" w:rsidR="00C72B3E" w:rsidRDefault="00C72B3E" w:rsidP="00C72B3E">
      <w:pPr>
        <w:pStyle w:val="Legenda"/>
        <w:keepNext/>
      </w:pPr>
      <w:bookmarkStart w:id="10" w:name="_Toc142565974"/>
      <w:r>
        <w:t xml:space="preserve">Tabela </w:t>
      </w:r>
      <w:fldSimple w:instr=" SEQ Tabela \* ARABIC ">
        <w:r w:rsidR="00AA385B">
          <w:rPr>
            <w:noProof/>
          </w:rPr>
          <w:t>8</w:t>
        </w:r>
      </w:fldSimple>
      <w:r>
        <w:t xml:space="preserve"> Przeciętne miesięczne wydatki na 1 osobę w gospodarstwach domowych według liczby osób w wieku 60 lat i więcej w gospodarstwie domowym w 2022 r.</w:t>
      </w:r>
      <w:bookmarkEnd w:id="10"/>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2"/>
        <w:gridCol w:w="1176"/>
        <w:gridCol w:w="1176"/>
        <w:gridCol w:w="1177"/>
        <w:gridCol w:w="1177"/>
        <w:gridCol w:w="1181"/>
      </w:tblGrid>
      <w:tr w:rsidR="00C72B3E" w:rsidRPr="00DC3810" w14:paraId="50F254C3" w14:textId="77777777" w:rsidTr="00DC3810">
        <w:trPr>
          <w:trHeight w:val="217"/>
        </w:trPr>
        <w:tc>
          <w:tcPr>
            <w:tcW w:w="1700" w:type="pct"/>
            <w:vMerge w:val="restart"/>
            <w:shd w:val="clear" w:color="auto" w:fill="8EAADB" w:themeFill="accent1" w:themeFillTint="99"/>
            <w:vAlign w:val="center"/>
            <w:hideMark/>
          </w:tcPr>
          <w:p w14:paraId="1A57B44E"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3300" w:type="pct"/>
            <w:gridSpan w:val="5"/>
            <w:shd w:val="clear" w:color="auto" w:fill="8EAADB" w:themeFill="accent1" w:themeFillTint="99"/>
            <w:vAlign w:val="center"/>
            <w:hideMark/>
          </w:tcPr>
          <w:p w14:paraId="31ACE5A2"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t>
            </w:r>
          </w:p>
        </w:tc>
      </w:tr>
      <w:tr w:rsidR="00C72B3E" w:rsidRPr="00DC3810" w14:paraId="2DEB1CD1" w14:textId="77777777" w:rsidTr="00DC3810">
        <w:trPr>
          <w:trHeight w:val="276"/>
        </w:trPr>
        <w:tc>
          <w:tcPr>
            <w:tcW w:w="1700" w:type="pct"/>
            <w:vMerge/>
            <w:shd w:val="clear" w:color="auto" w:fill="8EAADB" w:themeFill="accent1" w:themeFillTint="99"/>
            <w:vAlign w:val="center"/>
            <w:hideMark/>
          </w:tcPr>
          <w:p w14:paraId="7BAA9FAB"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val="restart"/>
            <w:shd w:val="clear" w:color="auto" w:fill="8EAADB" w:themeFill="accent1" w:themeFillTint="99"/>
            <w:vAlign w:val="center"/>
            <w:hideMark/>
          </w:tcPr>
          <w:p w14:paraId="5BBC535D"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bez osób </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c>
          <w:tcPr>
            <w:tcW w:w="659" w:type="pct"/>
            <w:vMerge w:val="restart"/>
            <w:shd w:val="clear" w:color="auto" w:fill="8EAADB" w:themeFill="accent1" w:themeFillTint="99"/>
            <w:vAlign w:val="center"/>
            <w:hideMark/>
          </w:tcPr>
          <w:p w14:paraId="62D6F485"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 przynajmniej </w:t>
            </w:r>
            <w:r w:rsidRPr="00DC3810">
              <w:rPr>
                <w:rFonts w:ascii="Lato" w:eastAsia="Times New Roman" w:hAnsi="Lato" w:cs="Arial"/>
                <w:color w:val="000000"/>
                <w:sz w:val="18"/>
                <w:szCs w:val="18"/>
                <w:lang w:eastAsia="pl-PL"/>
              </w:rPr>
              <w:br/>
              <w:t>1 osobą w wieku 60 lat i więcej</w:t>
            </w:r>
          </w:p>
        </w:tc>
        <w:tc>
          <w:tcPr>
            <w:tcW w:w="1982" w:type="pct"/>
            <w:gridSpan w:val="3"/>
            <w:shd w:val="clear" w:color="auto" w:fill="8EAADB" w:themeFill="accent1" w:themeFillTint="99"/>
            <w:vAlign w:val="center"/>
            <w:hideMark/>
          </w:tcPr>
          <w:p w14:paraId="6B6F7512"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wyłącznie z osobami w wieku 60 lat i więcej</w:t>
            </w:r>
          </w:p>
        </w:tc>
      </w:tr>
      <w:tr w:rsidR="00C72B3E" w:rsidRPr="00DC3810" w14:paraId="35240985" w14:textId="77777777" w:rsidTr="00DC3810">
        <w:trPr>
          <w:trHeight w:val="266"/>
        </w:trPr>
        <w:tc>
          <w:tcPr>
            <w:tcW w:w="1700" w:type="pct"/>
            <w:vMerge/>
            <w:shd w:val="clear" w:color="auto" w:fill="8EAADB" w:themeFill="accent1" w:themeFillTint="99"/>
            <w:vAlign w:val="center"/>
            <w:hideMark/>
          </w:tcPr>
          <w:p w14:paraId="2FBD3958"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094DC06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06DA3A29"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val="restart"/>
            <w:shd w:val="clear" w:color="auto" w:fill="8EAADB" w:themeFill="accent1" w:themeFillTint="99"/>
            <w:vAlign w:val="center"/>
            <w:hideMark/>
          </w:tcPr>
          <w:p w14:paraId="7CF5E01A"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razem</w:t>
            </w:r>
          </w:p>
        </w:tc>
        <w:tc>
          <w:tcPr>
            <w:tcW w:w="1322" w:type="pct"/>
            <w:gridSpan w:val="2"/>
            <w:shd w:val="clear" w:color="auto" w:fill="8EAADB" w:themeFill="accent1" w:themeFillTint="99"/>
            <w:vAlign w:val="center"/>
            <w:hideMark/>
          </w:tcPr>
          <w:p w14:paraId="7FA341E6"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tym</w:t>
            </w:r>
          </w:p>
        </w:tc>
      </w:tr>
      <w:tr w:rsidR="00C72B3E" w:rsidRPr="00DC3810" w14:paraId="4B332D02" w14:textId="77777777" w:rsidTr="00DC3810">
        <w:trPr>
          <w:trHeight w:val="450"/>
        </w:trPr>
        <w:tc>
          <w:tcPr>
            <w:tcW w:w="1700" w:type="pct"/>
            <w:vMerge/>
            <w:shd w:val="clear" w:color="auto" w:fill="8EAADB" w:themeFill="accent1" w:themeFillTint="99"/>
            <w:vAlign w:val="center"/>
            <w:hideMark/>
          </w:tcPr>
          <w:p w14:paraId="428DFB9F"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5BFAE777"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438E9EDD"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shd w:val="clear" w:color="auto" w:fill="8EAADB" w:themeFill="accent1" w:themeFillTint="99"/>
            <w:vAlign w:val="center"/>
            <w:hideMark/>
          </w:tcPr>
          <w:p w14:paraId="51716DEF"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val="restart"/>
            <w:shd w:val="clear" w:color="auto" w:fill="8EAADB" w:themeFill="accent1" w:themeFillTint="99"/>
            <w:vAlign w:val="center"/>
            <w:hideMark/>
          </w:tcPr>
          <w:p w14:paraId="07934803"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1-osobowe</w:t>
            </w:r>
          </w:p>
        </w:tc>
        <w:tc>
          <w:tcPr>
            <w:tcW w:w="662" w:type="pct"/>
            <w:vMerge w:val="restart"/>
            <w:shd w:val="clear" w:color="auto" w:fill="8EAADB" w:themeFill="accent1" w:themeFillTint="99"/>
            <w:vAlign w:val="center"/>
            <w:hideMark/>
          </w:tcPr>
          <w:p w14:paraId="383E5AEE"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2-osobowe (obydwie osoby </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r>
      <w:tr w:rsidR="00C72B3E" w:rsidRPr="00DC3810" w14:paraId="55D973CA" w14:textId="77777777" w:rsidTr="00DC3810">
        <w:trPr>
          <w:trHeight w:val="450"/>
        </w:trPr>
        <w:tc>
          <w:tcPr>
            <w:tcW w:w="1700" w:type="pct"/>
            <w:vMerge/>
            <w:shd w:val="clear" w:color="auto" w:fill="8EAADB" w:themeFill="accent1" w:themeFillTint="99"/>
            <w:vAlign w:val="center"/>
            <w:hideMark/>
          </w:tcPr>
          <w:p w14:paraId="055289AF"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4A78BDE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151999F7"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shd w:val="clear" w:color="auto" w:fill="8EAADB" w:themeFill="accent1" w:themeFillTint="99"/>
            <w:vAlign w:val="center"/>
            <w:hideMark/>
          </w:tcPr>
          <w:p w14:paraId="12344CCF"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shd w:val="clear" w:color="auto" w:fill="8EAADB" w:themeFill="accent1" w:themeFillTint="99"/>
            <w:vAlign w:val="center"/>
            <w:hideMark/>
          </w:tcPr>
          <w:p w14:paraId="7B735DE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2" w:type="pct"/>
            <w:vMerge/>
            <w:shd w:val="clear" w:color="auto" w:fill="8EAADB" w:themeFill="accent1" w:themeFillTint="99"/>
            <w:vAlign w:val="center"/>
            <w:hideMark/>
          </w:tcPr>
          <w:p w14:paraId="13E5D29E"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r>
      <w:tr w:rsidR="00C72B3E" w:rsidRPr="00DC3810" w14:paraId="3007FF9E" w14:textId="77777777" w:rsidTr="00DC3810">
        <w:trPr>
          <w:trHeight w:val="450"/>
        </w:trPr>
        <w:tc>
          <w:tcPr>
            <w:tcW w:w="1700" w:type="pct"/>
            <w:vMerge/>
            <w:shd w:val="clear" w:color="auto" w:fill="8EAADB" w:themeFill="accent1" w:themeFillTint="99"/>
            <w:vAlign w:val="center"/>
            <w:hideMark/>
          </w:tcPr>
          <w:p w14:paraId="123BEF37"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2054DADD"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59" w:type="pct"/>
            <w:vMerge/>
            <w:shd w:val="clear" w:color="auto" w:fill="8EAADB" w:themeFill="accent1" w:themeFillTint="99"/>
            <w:vAlign w:val="center"/>
            <w:hideMark/>
          </w:tcPr>
          <w:p w14:paraId="725D0781"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shd w:val="clear" w:color="auto" w:fill="8EAADB" w:themeFill="accent1" w:themeFillTint="99"/>
            <w:vAlign w:val="center"/>
            <w:hideMark/>
          </w:tcPr>
          <w:p w14:paraId="75F5DB0B"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0" w:type="pct"/>
            <w:vMerge/>
            <w:shd w:val="clear" w:color="auto" w:fill="8EAADB" w:themeFill="accent1" w:themeFillTint="99"/>
            <w:vAlign w:val="center"/>
            <w:hideMark/>
          </w:tcPr>
          <w:p w14:paraId="73E12682"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62" w:type="pct"/>
            <w:vMerge/>
            <w:shd w:val="clear" w:color="auto" w:fill="8EAADB" w:themeFill="accent1" w:themeFillTint="99"/>
            <w:vAlign w:val="center"/>
            <w:hideMark/>
          </w:tcPr>
          <w:p w14:paraId="1F8F50A0"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r>
      <w:tr w:rsidR="00C72B3E" w:rsidRPr="00DC3810" w14:paraId="52ADA63A" w14:textId="77777777" w:rsidTr="00DC3810">
        <w:trPr>
          <w:trHeight w:val="176"/>
        </w:trPr>
        <w:tc>
          <w:tcPr>
            <w:tcW w:w="5000" w:type="pct"/>
            <w:gridSpan w:val="6"/>
            <w:shd w:val="clear" w:color="auto" w:fill="auto"/>
            <w:vAlign w:val="center"/>
            <w:hideMark/>
          </w:tcPr>
          <w:p w14:paraId="3DE6181B"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r>
      <w:tr w:rsidR="00C72B3E" w:rsidRPr="00DC3810" w14:paraId="74409C31" w14:textId="77777777" w:rsidTr="00DC3810">
        <w:trPr>
          <w:trHeight w:val="223"/>
        </w:trPr>
        <w:tc>
          <w:tcPr>
            <w:tcW w:w="5000" w:type="pct"/>
            <w:gridSpan w:val="6"/>
            <w:shd w:val="clear" w:color="auto" w:fill="auto"/>
            <w:vAlign w:val="center"/>
            <w:hideMark/>
          </w:tcPr>
          <w:p w14:paraId="6ACEE5B8"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C72B3E" w:rsidRPr="00DC3810" w14:paraId="6CC70A28" w14:textId="77777777" w:rsidTr="00C72B3E">
        <w:trPr>
          <w:trHeight w:val="300"/>
        </w:trPr>
        <w:tc>
          <w:tcPr>
            <w:tcW w:w="1700" w:type="pct"/>
            <w:shd w:val="clear" w:color="auto" w:fill="auto"/>
            <w:vAlign w:val="center"/>
            <w:hideMark/>
          </w:tcPr>
          <w:p w14:paraId="6DB4F2B1"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Wydatki gospodarstwa domowego                                                                                                                                                                                                                                                                                                                                                                                                                              </w:t>
            </w:r>
          </w:p>
        </w:tc>
        <w:tc>
          <w:tcPr>
            <w:tcW w:w="659" w:type="pct"/>
            <w:shd w:val="clear" w:color="auto" w:fill="auto"/>
            <w:vAlign w:val="center"/>
            <w:hideMark/>
          </w:tcPr>
          <w:p w14:paraId="51CF69E9"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1501,15</w:t>
            </w:r>
          </w:p>
        </w:tc>
        <w:tc>
          <w:tcPr>
            <w:tcW w:w="659" w:type="pct"/>
            <w:shd w:val="clear" w:color="auto" w:fill="auto"/>
            <w:vAlign w:val="center"/>
            <w:hideMark/>
          </w:tcPr>
          <w:p w14:paraId="1D1EE1FE"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1437,93</w:t>
            </w:r>
          </w:p>
        </w:tc>
        <w:tc>
          <w:tcPr>
            <w:tcW w:w="660" w:type="pct"/>
            <w:shd w:val="clear" w:color="auto" w:fill="auto"/>
            <w:vAlign w:val="center"/>
            <w:hideMark/>
          </w:tcPr>
          <w:p w14:paraId="44D098A7"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1896,44</w:t>
            </w:r>
          </w:p>
        </w:tc>
        <w:tc>
          <w:tcPr>
            <w:tcW w:w="660" w:type="pct"/>
            <w:shd w:val="clear" w:color="auto" w:fill="auto"/>
            <w:vAlign w:val="center"/>
            <w:hideMark/>
          </w:tcPr>
          <w:p w14:paraId="117D0E2C"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2131,97</w:t>
            </w:r>
          </w:p>
        </w:tc>
        <w:tc>
          <w:tcPr>
            <w:tcW w:w="662" w:type="pct"/>
            <w:shd w:val="clear" w:color="auto" w:fill="auto"/>
            <w:vAlign w:val="center"/>
            <w:hideMark/>
          </w:tcPr>
          <w:p w14:paraId="059556C0"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1783,44</w:t>
            </w:r>
          </w:p>
        </w:tc>
      </w:tr>
      <w:tr w:rsidR="00C72B3E" w:rsidRPr="00DC3810" w14:paraId="7F51577E" w14:textId="77777777" w:rsidTr="00C72B3E">
        <w:trPr>
          <w:trHeight w:val="300"/>
        </w:trPr>
        <w:tc>
          <w:tcPr>
            <w:tcW w:w="5000" w:type="pct"/>
            <w:gridSpan w:val="6"/>
            <w:shd w:val="clear" w:color="auto" w:fill="auto"/>
            <w:vAlign w:val="center"/>
            <w:hideMark/>
          </w:tcPr>
          <w:p w14:paraId="2ADD85E9"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C72B3E" w:rsidRPr="00DC3810" w14:paraId="3A450349" w14:textId="77777777" w:rsidTr="00C72B3E">
        <w:trPr>
          <w:trHeight w:val="300"/>
        </w:trPr>
        <w:tc>
          <w:tcPr>
            <w:tcW w:w="1700" w:type="pct"/>
            <w:shd w:val="clear" w:color="auto" w:fill="auto"/>
            <w:vAlign w:val="center"/>
            <w:hideMark/>
          </w:tcPr>
          <w:p w14:paraId="6E968092"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Wydatki gospodarstwa domowego                                                                                                                                                                                                                                                                                                                                                                                                                                      </w:t>
            </w:r>
          </w:p>
        </w:tc>
        <w:tc>
          <w:tcPr>
            <w:tcW w:w="659" w:type="pct"/>
            <w:shd w:val="clear" w:color="auto" w:fill="auto"/>
            <w:vAlign w:val="center"/>
            <w:hideMark/>
          </w:tcPr>
          <w:p w14:paraId="1ECF4E5D"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59" w:type="pct"/>
            <w:shd w:val="clear" w:color="auto" w:fill="auto"/>
            <w:vAlign w:val="center"/>
            <w:hideMark/>
          </w:tcPr>
          <w:p w14:paraId="11FDF9DD"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57674FFA"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3174089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2" w:type="pct"/>
            <w:shd w:val="clear" w:color="auto" w:fill="auto"/>
            <w:vAlign w:val="center"/>
            <w:hideMark/>
          </w:tcPr>
          <w:p w14:paraId="4B7AF388"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4235168D" w14:textId="77777777" w:rsidTr="00C72B3E">
        <w:trPr>
          <w:trHeight w:val="300"/>
        </w:trPr>
        <w:tc>
          <w:tcPr>
            <w:tcW w:w="1700" w:type="pct"/>
            <w:shd w:val="clear" w:color="auto" w:fill="auto"/>
            <w:vAlign w:val="center"/>
            <w:hideMark/>
          </w:tcPr>
          <w:p w14:paraId="049BD10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w:t>
            </w:r>
          </w:p>
        </w:tc>
        <w:tc>
          <w:tcPr>
            <w:tcW w:w="659" w:type="pct"/>
            <w:shd w:val="clear" w:color="auto" w:fill="auto"/>
            <w:vAlign w:val="center"/>
            <w:hideMark/>
          </w:tcPr>
          <w:p w14:paraId="68AEB449"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59" w:type="pct"/>
            <w:shd w:val="clear" w:color="auto" w:fill="auto"/>
            <w:vAlign w:val="center"/>
            <w:hideMark/>
          </w:tcPr>
          <w:p w14:paraId="11473DF2"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75203631"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6FCBE85D"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2" w:type="pct"/>
            <w:shd w:val="clear" w:color="auto" w:fill="auto"/>
            <w:vAlign w:val="center"/>
            <w:hideMark/>
          </w:tcPr>
          <w:p w14:paraId="7C9E2DA5"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72B3E" w:rsidRPr="00DC3810" w14:paraId="5C702008" w14:textId="77777777" w:rsidTr="00C72B3E">
        <w:trPr>
          <w:trHeight w:val="300"/>
        </w:trPr>
        <w:tc>
          <w:tcPr>
            <w:tcW w:w="1700" w:type="pct"/>
            <w:shd w:val="clear" w:color="auto" w:fill="auto"/>
            <w:vAlign w:val="center"/>
            <w:hideMark/>
          </w:tcPr>
          <w:p w14:paraId="09AF0953"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żywność i napoje bezalkoholowe                                                                                                                                                                                                                                                                                                                                                                                                                               </w:t>
            </w:r>
          </w:p>
        </w:tc>
        <w:tc>
          <w:tcPr>
            <w:tcW w:w="659" w:type="pct"/>
            <w:shd w:val="clear" w:color="auto" w:fill="auto"/>
            <w:vAlign w:val="center"/>
            <w:hideMark/>
          </w:tcPr>
          <w:p w14:paraId="1B05706C"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25,0</w:t>
            </w:r>
          </w:p>
        </w:tc>
        <w:tc>
          <w:tcPr>
            <w:tcW w:w="659" w:type="pct"/>
            <w:shd w:val="clear" w:color="auto" w:fill="auto"/>
            <w:vAlign w:val="center"/>
            <w:hideMark/>
          </w:tcPr>
          <w:p w14:paraId="3AB6ACB6"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29,3</w:t>
            </w:r>
          </w:p>
        </w:tc>
        <w:tc>
          <w:tcPr>
            <w:tcW w:w="660" w:type="pct"/>
            <w:shd w:val="clear" w:color="auto" w:fill="auto"/>
            <w:vAlign w:val="center"/>
            <w:hideMark/>
          </w:tcPr>
          <w:p w14:paraId="0D0C94E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28,5</w:t>
            </w:r>
          </w:p>
        </w:tc>
        <w:tc>
          <w:tcPr>
            <w:tcW w:w="660" w:type="pct"/>
            <w:shd w:val="clear" w:color="auto" w:fill="auto"/>
            <w:vAlign w:val="center"/>
            <w:hideMark/>
          </w:tcPr>
          <w:p w14:paraId="36B9A3D5"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28,4</w:t>
            </w:r>
          </w:p>
        </w:tc>
        <w:tc>
          <w:tcPr>
            <w:tcW w:w="662" w:type="pct"/>
            <w:shd w:val="clear" w:color="auto" w:fill="auto"/>
            <w:vAlign w:val="center"/>
            <w:hideMark/>
          </w:tcPr>
          <w:p w14:paraId="0ACEFF85"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28,5</w:t>
            </w:r>
          </w:p>
        </w:tc>
      </w:tr>
      <w:tr w:rsidR="00C72B3E" w:rsidRPr="00DC3810" w14:paraId="4E518247" w14:textId="77777777" w:rsidTr="00C72B3E">
        <w:trPr>
          <w:trHeight w:val="228"/>
        </w:trPr>
        <w:tc>
          <w:tcPr>
            <w:tcW w:w="1700" w:type="pct"/>
            <w:shd w:val="clear" w:color="auto" w:fill="auto"/>
            <w:vAlign w:val="center"/>
            <w:hideMark/>
          </w:tcPr>
          <w:p w14:paraId="5489B19D"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użytkowanie mieszkania lub domu i nośniki energii </w:t>
            </w:r>
          </w:p>
        </w:tc>
        <w:tc>
          <w:tcPr>
            <w:tcW w:w="659" w:type="pct"/>
            <w:shd w:val="clear" w:color="auto" w:fill="auto"/>
            <w:vAlign w:val="center"/>
            <w:hideMark/>
          </w:tcPr>
          <w:p w14:paraId="416FC4A7"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w:t>
            </w:r>
          </w:p>
        </w:tc>
        <w:tc>
          <w:tcPr>
            <w:tcW w:w="659" w:type="pct"/>
            <w:shd w:val="clear" w:color="auto" w:fill="auto"/>
            <w:vAlign w:val="center"/>
            <w:hideMark/>
          </w:tcPr>
          <w:p w14:paraId="77D814B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21,2</w:t>
            </w:r>
          </w:p>
        </w:tc>
        <w:tc>
          <w:tcPr>
            <w:tcW w:w="660" w:type="pct"/>
            <w:shd w:val="clear" w:color="auto" w:fill="auto"/>
            <w:vAlign w:val="center"/>
            <w:hideMark/>
          </w:tcPr>
          <w:p w14:paraId="37A0308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23,6</w:t>
            </w:r>
          </w:p>
        </w:tc>
        <w:tc>
          <w:tcPr>
            <w:tcW w:w="660" w:type="pct"/>
            <w:shd w:val="clear" w:color="auto" w:fill="auto"/>
            <w:vAlign w:val="center"/>
            <w:hideMark/>
          </w:tcPr>
          <w:p w14:paraId="1771DEB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26,1</w:t>
            </w:r>
          </w:p>
        </w:tc>
        <w:tc>
          <w:tcPr>
            <w:tcW w:w="662" w:type="pct"/>
            <w:shd w:val="clear" w:color="auto" w:fill="auto"/>
            <w:vAlign w:val="center"/>
            <w:hideMark/>
          </w:tcPr>
          <w:p w14:paraId="0679029F"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21,8</w:t>
            </w:r>
          </w:p>
        </w:tc>
      </w:tr>
      <w:tr w:rsidR="00C72B3E" w:rsidRPr="00DC3810" w14:paraId="1873680E" w14:textId="77777777" w:rsidTr="00C72B3E">
        <w:trPr>
          <w:trHeight w:val="300"/>
        </w:trPr>
        <w:tc>
          <w:tcPr>
            <w:tcW w:w="1700" w:type="pct"/>
            <w:shd w:val="clear" w:color="auto" w:fill="auto"/>
            <w:vAlign w:val="center"/>
            <w:hideMark/>
          </w:tcPr>
          <w:p w14:paraId="27FFC0ED"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zdrowie                                                                                                                                                                                                                                                                                                                                                                                                                                                   </w:t>
            </w:r>
          </w:p>
        </w:tc>
        <w:tc>
          <w:tcPr>
            <w:tcW w:w="659" w:type="pct"/>
            <w:shd w:val="clear" w:color="auto" w:fill="auto"/>
            <w:vAlign w:val="center"/>
            <w:hideMark/>
          </w:tcPr>
          <w:p w14:paraId="1999037D"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w:t>
            </w:r>
          </w:p>
        </w:tc>
        <w:tc>
          <w:tcPr>
            <w:tcW w:w="659" w:type="pct"/>
            <w:shd w:val="clear" w:color="auto" w:fill="auto"/>
            <w:vAlign w:val="center"/>
            <w:hideMark/>
          </w:tcPr>
          <w:p w14:paraId="1E279F8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7,1</w:t>
            </w:r>
          </w:p>
        </w:tc>
        <w:tc>
          <w:tcPr>
            <w:tcW w:w="660" w:type="pct"/>
            <w:shd w:val="clear" w:color="auto" w:fill="auto"/>
            <w:vAlign w:val="center"/>
            <w:hideMark/>
          </w:tcPr>
          <w:p w14:paraId="711F3AE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w:t>
            </w:r>
          </w:p>
        </w:tc>
        <w:tc>
          <w:tcPr>
            <w:tcW w:w="660" w:type="pct"/>
            <w:shd w:val="clear" w:color="auto" w:fill="auto"/>
            <w:vAlign w:val="center"/>
            <w:hideMark/>
          </w:tcPr>
          <w:p w14:paraId="5623B9B6"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w:t>
            </w:r>
          </w:p>
        </w:tc>
        <w:tc>
          <w:tcPr>
            <w:tcW w:w="662" w:type="pct"/>
            <w:shd w:val="clear" w:color="auto" w:fill="auto"/>
            <w:vAlign w:val="center"/>
            <w:hideMark/>
          </w:tcPr>
          <w:p w14:paraId="33985675"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w:t>
            </w:r>
          </w:p>
        </w:tc>
      </w:tr>
      <w:tr w:rsidR="00C72B3E" w:rsidRPr="00DC3810" w14:paraId="09902BD8" w14:textId="77777777" w:rsidTr="00DC3810">
        <w:trPr>
          <w:trHeight w:val="244"/>
        </w:trPr>
        <w:tc>
          <w:tcPr>
            <w:tcW w:w="5000" w:type="pct"/>
            <w:gridSpan w:val="6"/>
            <w:shd w:val="clear" w:color="auto" w:fill="auto"/>
            <w:noWrap/>
            <w:vAlign w:val="center"/>
            <w:hideMark/>
          </w:tcPr>
          <w:p w14:paraId="1E6B9085"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MIASTA</w:t>
            </w:r>
          </w:p>
        </w:tc>
      </w:tr>
      <w:tr w:rsidR="00C72B3E" w:rsidRPr="00DC3810" w14:paraId="4C5C2172" w14:textId="77777777" w:rsidTr="00DC3810">
        <w:trPr>
          <w:trHeight w:val="134"/>
        </w:trPr>
        <w:tc>
          <w:tcPr>
            <w:tcW w:w="5000" w:type="pct"/>
            <w:gridSpan w:val="6"/>
            <w:shd w:val="clear" w:color="auto" w:fill="auto"/>
            <w:vAlign w:val="center"/>
            <w:hideMark/>
          </w:tcPr>
          <w:p w14:paraId="7AEEB776"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C72B3E" w:rsidRPr="00DC3810" w14:paraId="6041682A" w14:textId="77777777" w:rsidTr="00C72B3E">
        <w:trPr>
          <w:trHeight w:val="300"/>
        </w:trPr>
        <w:tc>
          <w:tcPr>
            <w:tcW w:w="1700" w:type="pct"/>
            <w:shd w:val="clear" w:color="auto" w:fill="auto"/>
            <w:vAlign w:val="center"/>
            <w:hideMark/>
          </w:tcPr>
          <w:p w14:paraId="057BE1D8"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Wydatki gospodarstwa domowego                                                                                                                                                                                                                                                                                                                                                                                                                                 </w:t>
            </w:r>
          </w:p>
        </w:tc>
        <w:tc>
          <w:tcPr>
            <w:tcW w:w="659" w:type="pct"/>
            <w:shd w:val="clear" w:color="auto" w:fill="auto"/>
            <w:vAlign w:val="center"/>
            <w:hideMark/>
          </w:tcPr>
          <w:p w14:paraId="7C93BD42"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1615,70</w:t>
            </w:r>
          </w:p>
        </w:tc>
        <w:tc>
          <w:tcPr>
            <w:tcW w:w="659" w:type="pct"/>
            <w:shd w:val="clear" w:color="auto" w:fill="auto"/>
            <w:vAlign w:val="center"/>
            <w:hideMark/>
          </w:tcPr>
          <w:p w14:paraId="4AD08A1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1624,66</w:t>
            </w:r>
          </w:p>
        </w:tc>
        <w:tc>
          <w:tcPr>
            <w:tcW w:w="660" w:type="pct"/>
            <w:shd w:val="clear" w:color="auto" w:fill="auto"/>
            <w:vAlign w:val="center"/>
            <w:hideMark/>
          </w:tcPr>
          <w:p w14:paraId="3D4F14D6"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1949,46</w:t>
            </w:r>
          </w:p>
        </w:tc>
        <w:tc>
          <w:tcPr>
            <w:tcW w:w="660" w:type="pct"/>
            <w:shd w:val="clear" w:color="auto" w:fill="auto"/>
            <w:vAlign w:val="center"/>
            <w:hideMark/>
          </w:tcPr>
          <w:p w14:paraId="1DDF2638"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2189,12</w:t>
            </w:r>
          </w:p>
        </w:tc>
        <w:tc>
          <w:tcPr>
            <w:tcW w:w="662" w:type="pct"/>
            <w:shd w:val="clear" w:color="auto" w:fill="auto"/>
            <w:vAlign w:val="center"/>
            <w:hideMark/>
          </w:tcPr>
          <w:p w14:paraId="14C9E8F8"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1818,18</w:t>
            </w:r>
          </w:p>
        </w:tc>
      </w:tr>
      <w:tr w:rsidR="00C72B3E" w:rsidRPr="00DC3810" w14:paraId="488EEA7D" w14:textId="77777777" w:rsidTr="00C72B3E">
        <w:trPr>
          <w:trHeight w:val="300"/>
        </w:trPr>
        <w:tc>
          <w:tcPr>
            <w:tcW w:w="5000" w:type="pct"/>
            <w:gridSpan w:val="6"/>
            <w:shd w:val="clear" w:color="auto" w:fill="auto"/>
            <w:vAlign w:val="center"/>
            <w:hideMark/>
          </w:tcPr>
          <w:p w14:paraId="4845F138"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C72B3E" w:rsidRPr="00DC3810" w14:paraId="7340646D" w14:textId="77777777" w:rsidTr="00C72B3E">
        <w:trPr>
          <w:trHeight w:val="300"/>
        </w:trPr>
        <w:tc>
          <w:tcPr>
            <w:tcW w:w="1700" w:type="pct"/>
            <w:shd w:val="clear" w:color="auto" w:fill="auto"/>
            <w:vAlign w:val="center"/>
            <w:hideMark/>
          </w:tcPr>
          <w:p w14:paraId="2DC6A03E"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Wydatki gospodarstwa domowego                                                                                                                                                                                                                                                                                                                                                                                                                                      </w:t>
            </w:r>
          </w:p>
        </w:tc>
        <w:tc>
          <w:tcPr>
            <w:tcW w:w="659" w:type="pct"/>
            <w:shd w:val="clear" w:color="auto" w:fill="auto"/>
            <w:vAlign w:val="center"/>
            <w:hideMark/>
          </w:tcPr>
          <w:p w14:paraId="37FE3467"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59" w:type="pct"/>
            <w:shd w:val="clear" w:color="auto" w:fill="auto"/>
            <w:vAlign w:val="center"/>
            <w:hideMark/>
          </w:tcPr>
          <w:p w14:paraId="2E2D3101"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16BDC82F"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09B57E3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2" w:type="pct"/>
            <w:shd w:val="clear" w:color="auto" w:fill="auto"/>
            <w:vAlign w:val="center"/>
            <w:hideMark/>
          </w:tcPr>
          <w:p w14:paraId="12B85808"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2CC61BE1" w14:textId="77777777" w:rsidTr="00C72B3E">
        <w:trPr>
          <w:trHeight w:val="300"/>
        </w:trPr>
        <w:tc>
          <w:tcPr>
            <w:tcW w:w="1700" w:type="pct"/>
            <w:shd w:val="clear" w:color="auto" w:fill="auto"/>
            <w:vAlign w:val="center"/>
            <w:hideMark/>
          </w:tcPr>
          <w:p w14:paraId="08599B6B"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w:t>
            </w:r>
          </w:p>
        </w:tc>
        <w:tc>
          <w:tcPr>
            <w:tcW w:w="659" w:type="pct"/>
            <w:shd w:val="clear" w:color="auto" w:fill="auto"/>
            <w:vAlign w:val="center"/>
            <w:hideMark/>
          </w:tcPr>
          <w:p w14:paraId="70AC080C"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59" w:type="pct"/>
            <w:shd w:val="clear" w:color="auto" w:fill="auto"/>
            <w:vAlign w:val="center"/>
            <w:hideMark/>
          </w:tcPr>
          <w:p w14:paraId="12BDACB3"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1196F7B7"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67A9F328"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2" w:type="pct"/>
            <w:shd w:val="clear" w:color="auto" w:fill="auto"/>
            <w:vAlign w:val="center"/>
            <w:hideMark/>
          </w:tcPr>
          <w:p w14:paraId="7DE230E6"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72B3E" w:rsidRPr="00DC3810" w14:paraId="0083911D" w14:textId="77777777" w:rsidTr="00C72B3E">
        <w:trPr>
          <w:trHeight w:val="300"/>
        </w:trPr>
        <w:tc>
          <w:tcPr>
            <w:tcW w:w="1700" w:type="pct"/>
            <w:shd w:val="clear" w:color="auto" w:fill="auto"/>
            <w:vAlign w:val="center"/>
            <w:hideMark/>
          </w:tcPr>
          <w:p w14:paraId="47285FE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żywność i napoje bezalkoholowe                                                                                                                                                                                                                                                                                                                                                                                                                               </w:t>
            </w:r>
          </w:p>
        </w:tc>
        <w:tc>
          <w:tcPr>
            <w:tcW w:w="659" w:type="pct"/>
            <w:shd w:val="clear" w:color="auto" w:fill="auto"/>
            <w:vAlign w:val="center"/>
            <w:hideMark/>
          </w:tcPr>
          <w:p w14:paraId="72F40099"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23,7</w:t>
            </w:r>
          </w:p>
        </w:tc>
        <w:tc>
          <w:tcPr>
            <w:tcW w:w="659" w:type="pct"/>
            <w:shd w:val="clear" w:color="auto" w:fill="auto"/>
            <w:vAlign w:val="center"/>
            <w:hideMark/>
          </w:tcPr>
          <w:p w14:paraId="15C7EC1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28,2</w:t>
            </w:r>
          </w:p>
        </w:tc>
        <w:tc>
          <w:tcPr>
            <w:tcW w:w="660" w:type="pct"/>
            <w:shd w:val="clear" w:color="auto" w:fill="auto"/>
            <w:vAlign w:val="center"/>
            <w:hideMark/>
          </w:tcPr>
          <w:p w14:paraId="31B7ECA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27,8</w:t>
            </w:r>
          </w:p>
        </w:tc>
        <w:tc>
          <w:tcPr>
            <w:tcW w:w="660" w:type="pct"/>
            <w:shd w:val="clear" w:color="auto" w:fill="auto"/>
            <w:vAlign w:val="center"/>
            <w:hideMark/>
          </w:tcPr>
          <w:p w14:paraId="77FF213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27,5</w:t>
            </w:r>
          </w:p>
        </w:tc>
        <w:tc>
          <w:tcPr>
            <w:tcW w:w="662" w:type="pct"/>
            <w:shd w:val="clear" w:color="auto" w:fill="auto"/>
            <w:vAlign w:val="center"/>
            <w:hideMark/>
          </w:tcPr>
          <w:p w14:paraId="11A9B3DE"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28,0</w:t>
            </w:r>
          </w:p>
        </w:tc>
      </w:tr>
      <w:tr w:rsidR="00C72B3E" w:rsidRPr="00DC3810" w14:paraId="4B470E2F" w14:textId="77777777" w:rsidTr="00C72B3E">
        <w:trPr>
          <w:trHeight w:val="228"/>
        </w:trPr>
        <w:tc>
          <w:tcPr>
            <w:tcW w:w="1700" w:type="pct"/>
            <w:shd w:val="clear" w:color="auto" w:fill="auto"/>
            <w:vAlign w:val="center"/>
            <w:hideMark/>
          </w:tcPr>
          <w:p w14:paraId="5262B736"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użytkowanie mieszkania lub domu i nośniki energii </w:t>
            </w:r>
          </w:p>
        </w:tc>
        <w:tc>
          <w:tcPr>
            <w:tcW w:w="659" w:type="pct"/>
            <w:shd w:val="clear" w:color="auto" w:fill="auto"/>
            <w:vAlign w:val="center"/>
            <w:hideMark/>
          </w:tcPr>
          <w:p w14:paraId="301B7CDE"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17,9</w:t>
            </w:r>
          </w:p>
        </w:tc>
        <w:tc>
          <w:tcPr>
            <w:tcW w:w="659" w:type="pct"/>
            <w:shd w:val="clear" w:color="auto" w:fill="auto"/>
            <w:vAlign w:val="center"/>
            <w:hideMark/>
          </w:tcPr>
          <w:p w14:paraId="2992255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22,2</w:t>
            </w:r>
          </w:p>
        </w:tc>
        <w:tc>
          <w:tcPr>
            <w:tcW w:w="660" w:type="pct"/>
            <w:shd w:val="clear" w:color="auto" w:fill="auto"/>
            <w:vAlign w:val="center"/>
            <w:hideMark/>
          </w:tcPr>
          <w:p w14:paraId="66AE7801"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23,3</w:t>
            </w:r>
          </w:p>
        </w:tc>
        <w:tc>
          <w:tcPr>
            <w:tcW w:w="660" w:type="pct"/>
            <w:shd w:val="clear" w:color="auto" w:fill="auto"/>
            <w:vAlign w:val="center"/>
            <w:hideMark/>
          </w:tcPr>
          <w:p w14:paraId="4E3EA79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25,9</w:t>
            </w:r>
          </w:p>
        </w:tc>
        <w:tc>
          <w:tcPr>
            <w:tcW w:w="662" w:type="pct"/>
            <w:shd w:val="clear" w:color="auto" w:fill="auto"/>
            <w:vAlign w:val="center"/>
            <w:hideMark/>
          </w:tcPr>
          <w:p w14:paraId="54AF1A0D"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21,3</w:t>
            </w:r>
          </w:p>
        </w:tc>
      </w:tr>
      <w:tr w:rsidR="00C72B3E" w:rsidRPr="00DC3810" w14:paraId="3C4B0FD0" w14:textId="77777777" w:rsidTr="00C72B3E">
        <w:trPr>
          <w:trHeight w:val="300"/>
        </w:trPr>
        <w:tc>
          <w:tcPr>
            <w:tcW w:w="1700" w:type="pct"/>
            <w:shd w:val="clear" w:color="auto" w:fill="auto"/>
            <w:vAlign w:val="center"/>
            <w:hideMark/>
          </w:tcPr>
          <w:p w14:paraId="7FF7F3CB"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zdrowie                                                                                                                                                                                                                                                                                                                                                                                                                                                   </w:t>
            </w:r>
          </w:p>
        </w:tc>
        <w:tc>
          <w:tcPr>
            <w:tcW w:w="659" w:type="pct"/>
            <w:shd w:val="clear" w:color="auto" w:fill="auto"/>
            <w:vAlign w:val="center"/>
            <w:hideMark/>
          </w:tcPr>
          <w:p w14:paraId="6650A0F7"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4,6</w:t>
            </w:r>
          </w:p>
        </w:tc>
        <w:tc>
          <w:tcPr>
            <w:tcW w:w="659" w:type="pct"/>
            <w:shd w:val="clear" w:color="auto" w:fill="auto"/>
            <w:vAlign w:val="center"/>
            <w:hideMark/>
          </w:tcPr>
          <w:p w14:paraId="3E3C051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w:t>
            </w:r>
          </w:p>
        </w:tc>
        <w:tc>
          <w:tcPr>
            <w:tcW w:w="660" w:type="pct"/>
            <w:shd w:val="clear" w:color="auto" w:fill="auto"/>
            <w:vAlign w:val="center"/>
            <w:hideMark/>
          </w:tcPr>
          <w:p w14:paraId="1F9B0EC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c>
          <w:tcPr>
            <w:tcW w:w="660" w:type="pct"/>
            <w:shd w:val="clear" w:color="auto" w:fill="auto"/>
            <w:vAlign w:val="center"/>
            <w:hideMark/>
          </w:tcPr>
          <w:p w14:paraId="1A92CB9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c>
          <w:tcPr>
            <w:tcW w:w="662" w:type="pct"/>
            <w:shd w:val="clear" w:color="auto" w:fill="auto"/>
            <w:vAlign w:val="center"/>
            <w:hideMark/>
          </w:tcPr>
          <w:p w14:paraId="0C9893B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r>
      <w:tr w:rsidR="00C72B3E" w:rsidRPr="00DC3810" w14:paraId="09C43108" w14:textId="77777777" w:rsidTr="00DC3810">
        <w:trPr>
          <w:trHeight w:val="156"/>
        </w:trPr>
        <w:tc>
          <w:tcPr>
            <w:tcW w:w="5000" w:type="pct"/>
            <w:gridSpan w:val="6"/>
            <w:shd w:val="clear" w:color="auto" w:fill="auto"/>
            <w:vAlign w:val="center"/>
            <w:hideMark/>
          </w:tcPr>
          <w:p w14:paraId="26AA7AF3"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WIEŚ</w:t>
            </w:r>
          </w:p>
        </w:tc>
      </w:tr>
      <w:tr w:rsidR="00C72B3E" w:rsidRPr="00DC3810" w14:paraId="62765D11" w14:textId="77777777" w:rsidTr="00DC3810">
        <w:trPr>
          <w:trHeight w:val="216"/>
        </w:trPr>
        <w:tc>
          <w:tcPr>
            <w:tcW w:w="5000" w:type="pct"/>
            <w:gridSpan w:val="6"/>
            <w:shd w:val="clear" w:color="auto" w:fill="auto"/>
            <w:vAlign w:val="center"/>
            <w:hideMark/>
          </w:tcPr>
          <w:p w14:paraId="4699B495"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złotych</w:t>
            </w:r>
          </w:p>
        </w:tc>
      </w:tr>
      <w:tr w:rsidR="00C72B3E" w:rsidRPr="00DC3810" w14:paraId="779EC154" w14:textId="77777777" w:rsidTr="00C72B3E">
        <w:trPr>
          <w:trHeight w:val="300"/>
        </w:trPr>
        <w:tc>
          <w:tcPr>
            <w:tcW w:w="1700" w:type="pct"/>
            <w:shd w:val="clear" w:color="auto" w:fill="auto"/>
            <w:vAlign w:val="center"/>
            <w:hideMark/>
          </w:tcPr>
          <w:p w14:paraId="71DD4FC1"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 xml:space="preserve">Wydatki gospodarstwa domowego                                                                                                                                                                                                                                                                                                                                                                                                                                 </w:t>
            </w:r>
          </w:p>
        </w:tc>
        <w:tc>
          <w:tcPr>
            <w:tcW w:w="659" w:type="pct"/>
            <w:shd w:val="clear" w:color="auto" w:fill="auto"/>
            <w:vAlign w:val="center"/>
            <w:hideMark/>
          </w:tcPr>
          <w:p w14:paraId="5249A59C"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1299,13</w:t>
            </w:r>
          </w:p>
        </w:tc>
        <w:tc>
          <w:tcPr>
            <w:tcW w:w="659" w:type="pct"/>
            <w:shd w:val="clear" w:color="auto" w:fill="auto"/>
            <w:vAlign w:val="center"/>
            <w:hideMark/>
          </w:tcPr>
          <w:p w14:paraId="6E632D4F"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1215,49</w:t>
            </w:r>
          </w:p>
        </w:tc>
        <w:tc>
          <w:tcPr>
            <w:tcW w:w="660" w:type="pct"/>
            <w:shd w:val="clear" w:color="auto" w:fill="auto"/>
            <w:vAlign w:val="center"/>
            <w:hideMark/>
          </w:tcPr>
          <w:p w14:paraId="6DCE0F28"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1725,81</w:t>
            </w:r>
          </w:p>
        </w:tc>
        <w:tc>
          <w:tcPr>
            <w:tcW w:w="660" w:type="pct"/>
            <w:shd w:val="clear" w:color="auto" w:fill="auto"/>
            <w:vAlign w:val="center"/>
            <w:hideMark/>
          </w:tcPr>
          <w:p w14:paraId="15285B42"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1921,47</w:t>
            </w:r>
          </w:p>
        </w:tc>
        <w:tc>
          <w:tcPr>
            <w:tcW w:w="662" w:type="pct"/>
            <w:shd w:val="clear" w:color="auto" w:fill="auto"/>
            <w:vAlign w:val="center"/>
            <w:hideMark/>
          </w:tcPr>
          <w:p w14:paraId="4841B1D7"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1672,30</w:t>
            </w:r>
          </w:p>
        </w:tc>
      </w:tr>
      <w:tr w:rsidR="00C72B3E" w:rsidRPr="00DC3810" w14:paraId="0BEFF82E" w14:textId="77777777" w:rsidTr="00C72B3E">
        <w:trPr>
          <w:trHeight w:val="300"/>
        </w:trPr>
        <w:tc>
          <w:tcPr>
            <w:tcW w:w="5000" w:type="pct"/>
            <w:gridSpan w:val="6"/>
            <w:shd w:val="clear" w:color="auto" w:fill="auto"/>
            <w:vAlign w:val="center"/>
            <w:hideMark/>
          </w:tcPr>
          <w:p w14:paraId="206BBAB0"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odsetkach</w:t>
            </w:r>
          </w:p>
        </w:tc>
      </w:tr>
      <w:tr w:rsidR="00C72B3E" w:rsidRPr="00DC3810" w14:paraId="5F4EFEE0" w14:textId="77777777" w:rsidTr="00C72B3E">
        <w:trPr>
          <w:trHeight w:val="300"/>
        </w:trPr>
        <w:tc>
          <w:tcPr>
            <w:tcW w:w="1700" w:type="pct"/>
            <w:shd w:val="clear" w:color="auto" w:fill="auto"/>
            <w:vAlign w:val="center"/>
            <w:hideMark/>
          </w:tcPr>
          <w:p w14:paraId="1010A10E"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Wydatki gospodarstwa domowego                                                                                                                                                                                                                                                                                                                                                                                                                                      </w:t>
            </w:r>
          </w:p>
        </w:tc>
        <w:tc>
          <w:tcPr>
            <w:tcW w:w="659" w:type="pct"/>
            <w:shd w:val="clear" w:color="auto" w:fill="auto"/>
            <w:vAlign w:val="center"/>
            <w:hideMark/>
          </w:tcPr>
          <w:p w14:paraId="68FF4D3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59" w:type="pct"/>
            <w:shd w:val="clear" w:color="auto" w:fill="auto"/>
            <w:vAlign w:val="center"/>
            <w:hideMark/>
          </w:tcPr>
          <w:p w14:paraId="2542C4A6"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0D7EE395"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0" w:type="pct"/>
            <w:shd w:val="clear" w:color="auto" w:fill="auto"/>
            <w:vAlign w:val="center"/>
            <w:hideMark/>
          </w:tcPr>
          <w:p w14:paraId="57ED8559"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62" w:type="pct"/>
            <w:shd w:val="clear" w:color="auto" w:fill="auto"/>
            <w:vAlign w:val="center"/>
            <w:hideMark/>
          </w:tcPr>
          <w:p w14:paraId="4E218657"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13E0E6F8" w14:textId="77777777" w:rsidTr="00C72B3E">
        <w:trPr>
          <w:trHeight w:val="300"/>
        </w:trPr>
        <w:tc>
          <w:tcPr>
            <w:tcW w:w="1700" w:type="pct"/>
            <w:shd w:val="clear" w:color="auto" w:fill="auto"/>
            <w:vAlign w:val="center"/>
            <w:hideMark/>
          </w:tcPr>
          <w:p w14:paraId="7494BF99"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w:t>
            </w:r>
          </w:p>
        </w:tc>
        <w:tc>
          <w:tcPr>
            <w:tcW w:w="659" w:type="pct"/>
            <w:shd w:val="clear" w:color="auto" w:fill="auto"/>
            <w:vAlign w:val="center"/>
            <w:hideMark/>
          </w:tcPr>
          <w:p w14:paraId="098743D3"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59" w:type="pct"/>
            <w:shd w:val="clear" w:color="auto" w:fill="auto"/>
            <w:vAlign w:val="center"/>
            <w:hideMark/>
          </w:tcPr>
          <w:p w14:paraId="2541B737"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651E9058"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0" w:type="pct"/>
            <w:shd w:val="clear" w:color="auto" w:fill="auto"/>
            <w:vAlign w:val="center"/>
            <w:hideMark/>
          </w:tcPr>
          <w:p w14:paraId="6094783A"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62" w:type="pct"/>
            <w:shd w:val="clear" w:color="auto" w:fill="auto"/>
            <w:vAlign w:val="center"/>
            <w:hideMark/>
          </w:tcPr>
          <w:p w14:paraId="3AD5375E" w14:textId="77777777" w:rsidR="00C72B3E" w:rsidRPr="00DC3810" w:rsidRDefault="00C72B3E" w:rsidP="00C72B3E">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72B3E" w:rsidRPr="00DC3810" w14:paraId="6BE4527C" w14:textId="77777777" w:rsidTr="00C72B3E">
        <w:trPr>
          <w:trHeight w:val="300"/>
        </w:trPr>
        <w:tc>
          <w:tcPr>
            <w:tcW w:w="1700" w:type="pct"/>
            <w:shd w:val="clear" w:color="auto" w:fill="auto"/>
            <w:vAlign w:val="center"/>
            <w:hideMark/>
          </w:tcPr>
          <w:p w14:paraId="36097982"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żywność i napoje bezalkoholowe                                                                                                                                                                                                                                                                                                                                                                                                                               </w:t>
            </w:r>
          </w:p>
        </w:tc>
        <w:tc>
          <w:tcPr>
            <w:tcW w:w="659" w:type="pct"/>
            <w:shd w:val="clear" w:color="auto" w:fill="auto"/>
            <w:vAlign w:val="center"/>
            <w:hideMark/>
          </w:tcPr>
          <w:p w14:paraId="248739A9"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27,9</w:t>
            </w:r>
          </w:p>
        </w:tc>
        <w:tc>
          <w:tcPr>
            <w:tcW w:w="659" w:type="pct"/>
            <w:shd w:val="clear" w:color="auto" w:fill="auto"/>
            <w:vAlign w:val="center"/>
            <w:hideMark/>
          </w:tcPr>
          <w:p w14:paraId="72BBBC2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31,0</w:t>
            </w:r>
          </w:p>
        </w:tc>
        <w:tc>
          <w:tcPr>
            <w:tcW w:w="660" w:type="pct"/>
            <w:shd w:val="clear" w:color="auto" w:fill="auto"/>
            <w:vAlign w:val="center"/>
            <w:hideMark/>
          </w:tcPr>
          <w:p w14:paraId="272EAB2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30,9</w:t>
            </w:r>
          </w:p>
        </w:tc>
        <w:tc>
          <w:tcPr>
            <w:tcW w:w="660" w:type="pct"/>
            <w:shd w:val="clear" w:color="auto" w:fill="auto"/>
            <w:vAlign w:val="center"/>
            <w:hideMark/>
          </w:tcPr>
          <w:p w14:paraId="446959AD"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32,0</w:t>
            </w:r>
          </w:p>
        </w:tc>
        <w:tc>
          <w:tcPr>
            <w:tcW w:w="662" w:type="pct"/>
            <w:shd w:val="clear" w:color="auto" w:fill="auto"/>
            <w:vAlign w:val="center"/>
            <w:hideMark/>
          </w:tcPr>
          <w:p w14:paraId="18A21F8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30,1</w:t>
            </w:r>
          </w:p>
        </w:tc>
      </w:tr>
      <w:tr w:rsidR="00C72B3E" w:rsidRPr="00DC3810" w14:paraId="6238317D" w14:textId="77777777" w:rsidTr="00C72B3E">
        <w:trPr>
          <w:trHeight w:val="228"/>
        </w:trPr>
        <w:tc>
          <w:tcPr>
            <w:tcW w:w="1700" w:type="pct"/>
            <w:shd w:val="clear" w:color="auto" w:fill="auto"/>
            <w:vAlign w:val="center"/>
            <w:hideMark/>
          </w:tcPr>
          <w:p w14:paraId="313D4061"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użytkowanie mieszkania lub domu i nośniki energii </w:t>
            </w:r>
          </w:p>
        </w:tc>
        <w:tc>
          <w:tcPr>
            <w:tcW w:w="659" w:type="pct"/>
            <w:shd w:val="clear" w:color="auto" w:fill="auto"/>
            <w:vAlign w:val="center"/>
            <w:hideMark/>
          </w:tcPr>
          <w:p w14:paraId="15DBA14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16,9</w:t>
            </w:r>
          </w:p>
        </w:tc>
        <w:tc>
          <w:tcPr>
            <w:tcW w:w="659" w:type="pct"/>
            <w:shd w:val="clear" w:color="auto" w:fill="auto"/>
            <w:vAlign w:val="center"/>
            <w:hideMark/>
          </w:tcPr>
          <w:p w14:paraId="25C70B0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19,6</w:t>
            </w:r>
          </w:p>
        </w:tc>
        <w:tc>
          <w:tcPr>
            <w:tcW w:w="660" w:type="pct"/>
            <w:shd w:val="clear" w:color="auto" w:fill="auto"/>
            <w:vAlign w:val="center"/>
            <w:hideMark/>
          </w:tcPr>
          <w:p w14:paraId="5FFF6E3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24,6</w:t>
            </w:r>
          </w:p>
        </w:tc>
        <w:tc>
          <w:tcPr>
            <w:tcW w:w="660" w:type="pct"/>
            <w:shd w:val="clear" w:color="auto" w:fill="auto"/>
            <w:vAlign w:val="center"/>
            <w:hideMark/>
          </w:tcPr>
          <w:p w14:paraId="6533861F"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26,7</w:t>
            </w:r>
          </w:p>
        </w:tc>
        <w:tc>
          <w:tcPr>
            <w:tcW w:w="662" w:type="pct"/>
            <w:shd w:val="clear" w:color="auto" w:fill="auto"/>
            <w:vAlign w:val="center"/>
            <w:hideMark/>
          </w:tcPr>
          <w:p w14:paraId="04AD4D2D"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23,6</w:t>
            </w:r>
          </w:p>
        </w:tc>
      </w:tr>
      <w:tr w:rsidR="00C72B3E" w:rsidRPr="00DC3810" w14:paraId="10C34722" w14:textId="77777777" w:rsidTr="00C72B3E">
        <w:trPr>
          <w:trHeight w:val="300"/>
        </w:trPr>
        <w:tc>
          <w:tcPr>
            <w:tcW w:w="1700" w:type="pct"/>
            <w:shd w:val="clear" w:color="auto" w:fill="auto"/>
            <w:vAlign w:val="center"/>
            <w:hideMark/>
          </w:tcPr>
          <w:p w14:paraId="20CF83E5"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zdrowie                                                                                                                                                                                                                                                                                                                                                                                                                                                   </w:t>
            </w:r>
          </w:p>
        </w:tc>
        <w:tc>
          <w:tcPr>
            <w:tcW w:w="659" w:type="pct"/>
            <w:shd w:val="clear" w:color="auto" w:fill="auto"/>
            <w:vAlign w:val="center"/>
            <w:hideMark/>
          </w:tcPr>
          <w:p w14:paraId="5403A8D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w:t>
            </w:r>
          </w:p>
        </w:tc>
        <w:tc>
          <w:tcPr>
            <w:tcW w:w="659" w:type="pct"/>
            <w:shd w:val="clear" w:color="auto" w:fill="auto"/>
            <w:vAlign w:val="center"/>
            <w:hideMark/>
          </w:tcPr>
          <w:p w14:paraId="2B71AA0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w:t>
            </w:r>
          </w:p>
        </w:tc>
        <w:tc>
          <w:tcPr>
            <w:tcW w:w="660" w:type="pct"/>
            <w:shd w:val="clear" w:color="auto" w:fill="auto"/>
            <w:vAlign w:val="center"/>
            <w:hideMark/>
          </w:tcPr>
          <w:p w14:paraId="4294D1E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7,9</w:t>
            </w:r>
          </w:p>
        </w:tc>
        <w:tc>
          <w:tcPr>
            <w:tcW w:w="660" w:type="pct"/>
            <w:shd w:val="clear" w:color="auto" w:fill="auto"/>
            <w:vAlign w:val="center"/>
            <w:hideMark/>
          </w:tcPr>
          <w:p w14:paraId="624501A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w:t>
            </w:r>
          </w:p>
        </w:tc>
        <w:tc>
          <w:tcPr>
            <w:tcW w:w="662" w:type="pct"/>
            <w:shd w:val="clear" w:color="auto" w:fill="auto"/>
            <w:vAlign w:val="center"/>
            <w:hideMark/>
          </w:tcPr>
          <w:p w14:paraId="0C5C434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w:t>
            </w:r>
          </w:p>
        </w:tc>
      </w:tr>
    </w:tbl>
    <w:p w14:paraId="09EF6217" w14:textId="0E548DDB" w:rsidR="00A254DA" w:rsidRPr="009E6F68" w:rsidRDefault="00C72B3E" w:rsidP="00A254DA">
      <w:pPr>
        <w:spacing w:after="0" w:line="240" w:lineRule="auto"/>
        <w:jc w:val="both"/>
        <w:rPr>
          <w:rFonts w:ascii="Lato" w:hAnsi="Lato"/>
          <w:sz w:val="16"/>
          <w:szCs w:val="16"/>
        </w:rPr>
      </w:pPr>
      <w:r w:rsidRPr="009E6F68">
        <w:rPr>
          <w:rFonts w:ascii="Lato" w:hAnsi="Lato"/>
          <w:sz w:val="16"/>
          <w:szCs w:val="16"/>
        </w:rPr>
        <w:t>Źródło: Badanie budżetów gospodarstw domowych, GUS</w:t>
      </w:r>
    </w:p>
    <w:p w14:paraId="4F150EDC" w14:textId="2820C4F0" w:rsidR="00C72B3E" w:rsidRPr="009E6F68" w:rsidRDefault="00C72B3E" w:rsidP="00A254DA">
      <w:pPr>
        <w:spacing w:after="0" w:line="240" w:lineRule="auto"/>
        <w:jc w:val="both"/>
        <w:rPr>
          <w:rFonts w:ascii="Lato" w:hAnsi="Lato"/>
          <w:sz w:val="16"/>
          <w:szCs w:val="16"/>
        </w:rPr>
      </w:pPr>
      <w:r w:rsidRPr="009E6F68">
        <w:rPr>
          <w:rFonts w:ascii="Lato" w:hAnsi="Lato"/>
          <w:sz w:val="16"/>
          <w:szCs w:val="16"/>
        </w:rPr>
        <w:t>UWAGA: Dane za 2022 r. zostały uogólnione w oparciu o wstępne wyniki Narodowego Spisu Powszechnego Ludności i Mieszkań NSP 2021 i nie są wprost porównywalne z danymi za lata wcześniejsze, które zostały</w:t>
      </w:r>
      <w:r w:rsidRPr="009E6F68">
        <w:rPr>
          <w:sz w:val="16"/>
          <w:szCs w:val="16"/>
        </w:rPr>
        <w:t xml:space="preserve"> </w:t>
      </w:r>
      <w:r w:rsidRPr="009E6F68">
        <w:rPr>
          <w:rFonts w:ascii="Lato" w:hAnsi="Lato"/>
          <w:sz w:val="16"/>
          <w:szCs w:val="16"/>
        </w:rPr>
        <w:t>uogólnione w oparciu o wyniki Narodowego Spisu Powszechnego Ludności i Mieszkań NSP 2011.</w:t>
      </w:r>
    </w:p>
    <w:p w14:paraId="0E50D70B" w14:textId="1F81534E" w:rsidR="00C72B3E" w:rsidRDefault="00C72B3E" w:rsidP="00A254DA">
      <w:pPr>
        <w:spacing w:after="0" w:line="240" w:lineRule="auto"/>
        <w:jc w:val="both"/>
        <w:rPr>
          <w:rFonts w:ascii="Lato" w:hAnsi="Lato"/>
          <w:sz w:val="20"/>
          <w:szCs w:val="20"/>
        </w:rPr>
      </w:pPr>
    </w:p>
    <w:p w14:paraId="513AD809" w14:textId="397736A4" w:rsidR="00AE6F64" w:rsidRDefault="00AE6F64" w:rsidP="009E6F68">
      <w:pPr>
        <w:spacing w:after="0" w:line="240" w:lineRule="auto"/>
        <w:jc w:val="both"/>
        <w:rPr>
          <w:rFonts w:ascii="Lato" w:hAnsi="Lato"/>
          <w:sz w:val="20"/>
          <w:szCs w:val="20"/>
        </w:rPr>
      </w:pPr>
      <w:r w:rsidRPr="00AE6F64">
        <w:rPr>
          <w:rFonts w:ascii="Lato" w:hAnsi="Lato"/>
          <w:sz w:val="20"/>
          <w:szCs w:val="20"/>
        </w:rPr>
        <w:t xml:space="preserve">W gospodarstwach domowych, w skład których wchodziły tylko osoby w wieku 60 lat i więcej, udział wydatków na żywność i napoje bezalkoholowe na 1 osobę, wyniósł w 2022 r. 28,5% (o 3,5 p. proc. więcej niż w gospodarstwach osób młodszych). Użytkowanie mieszkania lub domu i nośniki energii stanowiły </w:t>
      </w:r>
      <w:r w:rsidRPr="00AE6F64">
        <w:rPr>
          <w:rFonts w:ascii="Lato" w:hAnsi="Lato"/>
          <w:sz w:val="20"/>
          <w:szCs w:val="20"/>
        </w:rPr>
        <w:lastRenderedPageBreak/>
        <w:t xml:space="preserve">23,6% ogółu wydatków gospodarstw wyłącznie z osobami w wieku 60 lat i więcej a wydatki na zdrowie – 8,8%, odpowiednio o 6,0 i 4,3 p. proc więcej w porównaniu z gospodarstwami młodszymi. </w:t>
      </w:r>
    </w:p>
    <w:p w14:paraId="2D7811A3" w14:textId="77777777" w:rsidR="009E6F68" w:rsidRDefault="009E6F68" w:rsidP="009E6F68">
      <w:pPr>
        <w:spacing w:after="0" w:line="240" w:lineRule="auto"/>
        <w:jc w:val="both"/>
        <w:rPr>
          <w:rFonts w:ascii="Lato" w:hAnsi="Lato"/>
          <w:sz w:val="20"/>
          <w:szCs w:val="20"/>
        </w:rPr>
      </w:pPr>
    </w:p>
    <w:p w14:paraId="5A7B38BD" w14:textId="4BB09B18" w:rsidR="00AE6F64" w:rsidRPr="00AE6F64" w:rsidRDefault="00AE6F64" w:rsidP="009E6F68">
      <w:pPr>
        <w:spacing w:after="0" w:line="240" w:lineRule="auto"/>
        <w:jc w:val="both"/>
        <w:rPr>
          <w:rFonts w:ascii="Lato" w:hAnsi="Lato"/>
          <w:sz w:val="20"/>
          <w:szCs w:val="20"/>
        </w:rPr>
      </w:pPr>
      <w:r w:rsidRPr="00AE6F64">
        <w:rPr>
          <w:rFonts w:ascii="Lato" w:hAnsi="Lato"/>
          <w:sz w:val="20"/>
          <w:szCs w:val="20"/>
        </w:rPr>
        <w:t xml:space="preserve">Poziom, dynamika i struktura dochodów oraz wydatków są istotnie zróżnicowane ze względu na miejsce zamieszkania gospodarstwa domowego. Sytuacja dochodowa gospodarstw domowych zamieszkujących w miastach jest lepsza niż gospodarstw domowych na wsi. W miastach gospodarstwa domowe wyłącznie z osobami w wieku 60 lat i więcej miały dochody o 19,1% wyższe niż gospodarstwa na wsi. Również wydatki gospodarstw domowych wyłącznie osób starszych zamieszkujących w miastach były wyższe (o 13,0%), niż gospodarstw na wsi. </w:t>
      </w:r>
    </w:p>
    <w:p w14:paraId="4092C5B1" w14:textId="77777777" w:rsidR="00AE6F64" w:rsidRDefault="00AE6F64" w:rsidP="009E6F68">
      <w:pPr>
        <w:spacing w:after="0" w:line="240" w:lineRule="auto"/>
        <w:jc w:val="both"/>
        <w:rPr>
          <w:rFonts w:ascii="Lato" w:hAnsi="Lato"/>
          <w:sz w:val="20"/>
          <w:szCs w:val="20"/>
        </w:rPr>
      </w:pPr>
    </w:p>
    <w:p w14:paraId="2D1149C3" w14:textId="77777777" w:rsidR="00630CD6" w:rsidRPr="00630CD6" w:rsidRDefault="00630CD6" w:rsidP="009E6F68">
      <w:pPr>
        <w:spacing w:after="0" w:line="240" w:lineRule="auto"/>
        <w:jc w:val="both"/>
        <w:rPr>
          <w:rFonts w:ascii="Lato" w:hAnsi="Lato"/>
          <w:sz w:val="20"/>
          <w:szCs w:val="20"/>
        </w:rPr>
      </w:pPr>
      <w:r w:rsidRPr="00630CD6">
        <w:rPr>
          <w:rFonts w:ascii="Lato" w:hAnsi="Lato"/>
          <w:sz w:val="20"/>
          <w:szCs w:val="20"/>
        </w:rPr>
        <w:t>Gospodarstwa domowe wyłącznie z osobami starszymi rzadziej oceniały swoją sytuację materialną jako dobrą lub raczej dobrą w porównaniu z gospodarstwami bez osób starszych (38,7% wobec 57,4%), a częściej jako przeciętną (52,9% wobec 38,1%) oraz raczej złą lub złą (8,4% wobec 4,5%). Najgorzej swoją sytuację materialną oceniały osoby w wieku 60 lat i więcej mieszkające samotnie, w szczególności na wsi – 17,0% z nich oceniło swoją sytuację jako raczej złą lub złą.</w:t>
      </w:r>
    </w:p>
    <w:p w14:paraId="69540E5F" w14:textId="77777777" w:rsidR="00C72B3E" w:rsidRDefault="00C72B3E" w:rsidP="00A254DA">
      <w:pPr>
        <w:spacing w:after="0" w:line="240" w:lineRule="auto"/>
        <w:jc w:val="both"/>
        <w:rPr>
          <w:rFonts w:ascii="Lato" w:hAnsi="Lato"/>
          <w:sz w:val="20"/>
          <w:szCs w:val="20"/>
        </w:rPr>
      </w:pPr>
    </w:p>
    <w:p w14:paraId="25837608" w14:textId="6814196F" w:rsidR="00C72B3E" w:rsidRDefault="00C72B3E" w:rsidP="00C72B3E">
      <w:pPr>
        <w:pStyle w:val="Legenda"/>
        <w:keepNext/>
      </w:pPr>
      <w:bookmarkStart w:id="11" w:name="_Toc142565975"/>
      <w:r>
        <w:t xml:space="preserve">Tabela </w:t>
      </w:r>
      <w:fldSimple w:instr=" SEQ Tabela \* ARABIC ">
        <w:r w:rsidR="00AA385B">
          <w:rPr>
            <w:noProof/>
          </w:rPr>
          <w:t>9</w:t>
        </w:r>
      </w:fldSimple>
      <w:r>
        <w:t xml:space="preserve"> Subiektywna ocena sytuacji materialnej gospodarstwa domowego według liczby osób w wieku 60 lat i więcej w gospodarstwie domowym w 2022 r.</w:t>
      </w:r>
      <w:bookmarkEnd w:id="11"/>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6"/>
        <w:gridCol w:w="1102"/>
        <w:gridCol w:w="1159"/>
        <w:gridCol w:w="1102"/>
        <w:gridCol w:w="1105"/>
        <w:gridCol w:w="1105"/>
      </w:tblGrid>
      <w:tr w:rsidR="00C72B3E" w:rsidRPr="00DC3810" w14:paraId="6BFD050A" w14:textId="77777777" w:rsidTr="00DC3810">
        <w:trPr>
          <w:trHeight w:val="190"/>
        </w:trPr>
        <w:tc>
          <w:tcPr>
            <w:tcW w:w="1877" w:type="pct"/>
            <w:vMerge w:val="restart"/>
            <w:shd w:val="clear" w:color="auto" w:fill="8EAADB" w:themeFill="accent1" w:themeFillTint="99"/>
            <w:vAlign w:val="center"/>
            <w:hideMark/>
          </w:tcPr>
          <w:p w14:paraId="589B2A8B"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3123" w:type="pct"/>
            <w:gridSpan w:val="5"/>
            <w:shd w:val="clear" w:color="auto" w:fill="8EAADB" w:themeFill="accent1" w:themeFillTint="99"/>
            <w:vAlign w:val="center"/>
            <w:hideMark/>
          </w:tcPr>
          <w:p w14:paraId="53BBF042"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t>
            </w:r>
          </w:p>
        </w:tc>
      </w:tr>
      <w:tr w:rsidR="00C72B3E" w:rsidRPr="00DC3810" w14:paraId="760CA07D" w14:textId="77777777" w:rsidTr="00DC3810">
        <w:trPr>
          <w:trHeight w:val="250"/>
        </w:trPr>
        <w:tc>
          <w:tcPr>
            <w:tcW w:w="1877" w:type="pct"/>
            <w:vMerge/>
            <w:shd w:val="clear" w:color="auto" w:fill="8EAADB" w:themeFill="accent1" w:themeFillTint="99"/>
            <w:vAlign w:val="center"/>
            <w:hideMark/>
          </w:tcPr>
          <w:p w14:paraId="64B75481"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val="restart"/>
            <w:shd w:val="clear" w:color="auto" w:fill="8EAADB" w:themeFill="accent1" w:themeFillTint="99"/>
            <w:vAlign w:val="center"/>
            <w:hideMark/>
          </w:tcPr>
          <w:p w14:paraId="6831CD13"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bez osób </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c>
          <w:tcPr>
            <w:tcW w:w="645" w:type="pct"/>
            <w:vMerge w:val="restart"/>
            <w:shd w:val="clear" w:color="auto" w:fill="8EAADB" w:themeFill="accent1" w:themeFillTint="99"/>
            <w:vAlign w:val="center"/>
            <w:hideMark/>
          </w:tcPr>
          <w:p w14:paraId="5995478A"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 przynajmniej </w:t>
            </w:r>
            <w:r w:rsidRPr="00DC3810">
              <w:rPr>
                <w:rFonts w:ascii="Lato" w:eastAsia="Times New Roman" w:hAnsi="Lato" w:cs="Arial"/>
                <w:color w:val="000000"/>
                <w:sz w:val="18"/>
                <w:szCs w:val="18"/>
                <w:lang w:eastAsia="pl-PL"/>
              </w:rPr>
              <w:br/>
              <w:t>1 osobą w wieku 60 lat i więcej</w:t>
            </w:r>
          </w:p>
        </w:tc>
        <w:tc>
          <w:tcPr>
            <w:tcW w:w="1859" w:type="pct"/>
            <w:gridSpan w:val="3"/>
            <w:shd w:val="clear" w:color="auto" w:fill="8EAADB" w:themeFill="accent1" w:themeFillTint="99"/>
            <w:vAlign w:val="center"/>
            <w:hideMark/>
          </w:tcPr>
          <w:p w14:paraId="4EE659B7"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wyłącznie z osobami w wieku 60 lat i więcej</w:t>
            </w:r>
          </w:p>
        </w:tc>
      </w:tr>
      <w:tr w:rsidR="00C72B3E" w:rsidRPr="00DC3810" w14:paraId="2E137548" w14:textId="77777777" w:rsidTr="00DC3810">
        <w:trPr>
          <w:trHeight w:val="228"/>
        </w:trPr>
        <w:tc>
          <w:tcPr>
            <w:tcW w:w="1877" w:type="pct"/>
            <w:vMerge/>
            <w:shd w:val="clear" w:color="auto" w:fill="8EAADB" w:themeFill="accent1" w:themeFillTint="99"/>
            <w:vAlign w:val="center"/>
            <w:hideMark/>
          </w:tcPr>
          <w:p w14:paraId="5D75C189"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098E94CA"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3DEED210"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val="restart"/>
            <w:shd w:val="clear" w:color="auto" w:fill="8EAADB" w:themeFill="accent1" w:themeFillTint="99"/>
            <w:vAlign w:val="center"/>
            <w:hideMark/>
          </w:tcPr>
          <w:p w14:paraId="0DFD90FF"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razem</w:t>
            </w:r>
          </w:p>
        </w:tc>
        <w:tc>
          <w:tcPr>
            <w:tcW w:w="1240" w:type="pct"/>
            <w:gridSpan w:val="2"/>
            <w:shd w:val="clear" w:color="auto" w:fill="8EAADB" w:themeFill="accent1" w:themeFillTint="99"/>
            <w:vAlign w:val="center"/>
            <w:hideMark/>
          </w:tcPr>
          <w:p w14:paraId="53B050AA"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tym</w:t>
            </w:r>
          </w:p>
        </w:tc>
      </w:tr>
      <w:tr w:rsidR="00C72B3E" w:rsidRPr="00DC3810" w14:paraId="1D36F9D0" w14:textId="77777777" w:rsidTr="00DC3810">
        <w:trPr>
          <w:trHeight w:val="450"/>
        </w:trPr>
        <w:tc>
          <w:tcPr>
            <w:tcW w:w="1877" w:type="pct"/>
            <w:vMerge/>
            <w:shd w:val="clear" w:color="auto" w:fill="8EAADB" w:themeFill="accent1" w:themeFillTint="99"/>
            <w:vAlign w:val="center"/>
            <w:hideMark/>
          </w:tcPr>
          <w:p w14:paraId="3B8717BC"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48A6533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2FD2A571"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3F21B8B1"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20" w:type="pct"/>
            <w:vMerge w:val="restart"/>
            <w:shd w:val="clear" w:color="auto" w:fill="8EAADB" w:themeFill="accent1" w:themeFillTint="99"/>
            <w:vAlign w:val="center"/>
            <w:hideMark/>
          </w:tcPr>
          <w:p w14:paraId="0BB73393"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1-osobowe</w:t>
            </w:r>
          </w:p>
        </w:tc>
        <w:tc>
          <w:tcPr>
            <w:tcW w:w="620" w:type="pct"/>
            <w:vMerge w:val="restart"/>
            <w:shd w:val="clear" w:color="auto" w:fill="8EAADB" w:themeFill="accent1" w:themeFillTint="99"/>
            <w:vAlign w:val="center"/>
            <w:hideMark/>
          </w:tcPr>
          <w:p w14:paraId="0E4236A4"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2-osobowe (obydwie osoby </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r>
      <w:tr w:rsidR="00C72B3E" w:rsidRPr="00DC3810" w14:paraId="4F37484D" w14:textId="77777777" w:rsidTr="00DC3810">
        <w:trPr>
          <w:trHeight w:val="450"/>
        </w:trPr>
        <w:tc>
          <w:tcPr>
            <w:tcW w:w="1877" w:type="pct"/>
            <w:vMerge/>
            <w:shd w:val="clear" w:color="auto" w:fill="8EAADB" w:themeFill="accent1" w:themeFillTint="99"/>
            <w:vAlign w:val="center"/>
            <w:hideMark/>
          </w:tcPr>
          <w:p w14:paraId="611A57EF"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4AAC4E94"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4F4F6D0A"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3516FA57"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20" w:type="pct"/>
            <w:vMerge/>
            <w:shd w:val="clear" w:color="auto" w:fill="8EAADB" w:themeFill="accent1" w:themeFillTint="99"/>
            <w:vAlign w:val="center"/>
            <w:hideMark/>
          </w:tcPr>
          <w:p w14:paraId="4D8EB00D"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20" w:type="pct"/>
            <w:vMerge/>
            <w:shd w:val="clear" w:color="auto" w:fill="8EAADB" w:themeFill="accent1" w:themeFillTint="99"/>
            <w:vAlign w:val="center"/>
            <w:hideMark/>
          </w:tcPr>
          <w:p w14:paraId="7604B165"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r>
      <w:tr w:rsidR="00C72B3E" w:rsidRPr="00DC3810" w14:paraId="708E49BA" w14:textId="77777777" w:rsidTr="00DC3810">
        <w:trPr>
          <w:trHeight w:val="450"/>
        </w:trPr>
        <w:tc>
          <w:tcPr>
            <w:tcW w:w="1877" w:type="pct"/>
            <w:vMerge/>
            <w:shd w:val="clear" w:color="auto" w:fill="8EAADB" w:themeFill="accent1" w:themeFillTint="99"/>
            <w:vAlign w:val="center"/>
            <w:hideMark/>
          </w:tcPr>
          <w:p w14:paraId="16DD9C1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4EB9402C"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33DFA576"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19" w:type="pct"/>
            <w:vMerge/>
            <w:shd w:val="clear" w:color="auto" w:fill="8EAADB" w:themeFill="accent1" w:themeFillTint="99"/>
            <w:vAlign w:val="center"/>
            <w:hideMark/>
          </w:tcPr>
          <w:p w14:paraId="25DB72AA"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20" w:type="pct"/>
            <w:vMerge/>
            <w:shd w:val="clear" w:color="auto" w:fill="8EAADB" w:themeFill="accent1" w:themeFillTint="99"/>
            <w:vAlign w:val="center"/>
            <w:hideMark/>
          </w:tcPr>
          <w:p w14:paraId="6ECAB294"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620" w:type="pct"/>
            <w:vMerge/>
            <w:shd w:val="clear" w:color="auto" w:fill="8EAADB" w:themeFill="accent1" w:themeFillTint="99"/>
            <w:vAlign w:val="center"/>
            <w:hideMark/>
          </w:tcPr>
          <w:p w14:paraId="7131DB43"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r>
      <w:tr w:rsidR="00C72B3E" w:rsidRPr="00DC3810" w14:paraId="60279451" w14:textId="77777777" w:rsidTr="00DC3810">
        <w:trPr>
          <w:trHeight w:val="300"/>
        </w:trPr>
        <w:tc>
          <w:tcPr>
            <w:tcW w:w="1877" w:type="pct"/>
            <w:vMerge/>
            <w:shd w:val="clear" w:color="auto" w:fill="8EAADB" w:themeFill="accent1" w:themeFillTint="99"/>
            <w:vAlign w:val="center"/>
            <w:hideMark/>
          </w:tcPr>
          <w:p w14:paraId="1DAF4621" w14:textId="77777777" w:rsidR="00C72B3E" w:rsidRPr="00DC3810" w:rsidRDefault="00C72B3E" w:rsidP="00C72B3E">
            <w:pPr>
              <w:spacing w:after="0" w:line="240" w:lineRule="auto"/>
              <w:rPr>
                <w:rFonts w:ascii="Lato" w:eastAsia="Times New Roman" w:hAnsi="Lato" w:cs="Arial"/>
                <w:color w:val="000000"/>
                <w:sz w:val="18"/>
                <w:szCs w:val="18"/>
                <w:lang w:eastAsia="pl-PL"/>
              </w:rPr>
            </w:pPr>
          </w:p>
        </w:tc>
        <w:tc>
          <w:tcPr>
            <w:tcW w:w="3123" w:type="pct"/>
            <w:gridSpan w:val="5"/>
            <w:shd w:val="clear" w:color="auto" w:fill="8EAADB" w:themeFill="accent1" w:themeFillTint="99"/>
            <w:vAlign w:val="center"/>
            <w:hideMark/>
          </w:tcPr>
          <w:p w14:paraId="682226A5"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 danej grupy gospodarstw</w:t>
            </w:r>
          </w:p>
        </w:tc>
      </w:tr>
      <w:tr w:rsidR="00C72B3E" w:rsidRPr="00DC3810" w14:paraId="25101270" w14:textId="77777777" w:rsidTr="00DC3810">
        <w:trPr>
          <w:trHeight w:val="156"/>
        </w:trPr>
        <w:tc>
          <w:tcPr>
            <w:tcW w:w="5000" w:type="pct"/>
            <w:gridSpan w:val="6"/>
            <w:shd w:val="clear" w:color="auto" w:fill="auto"/>
            <w:vAlign w:val="center"/>
            <w:hideMark/>
          </w:tcPr>
          <w:p w14:paraId="6971C8D5"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r>
      <w:tr w:rsidR="00C72B3E" w:rsidRPr="00DC3810" w14:paraId="2124B0FE" w14:textId="77777777" w:rsidTr="00C72B3E">
        <w:trPr>
          <w:trHeight w:val="240"/>
        </w:trPr>
        <w:tc>
          <w:tcPr>
            <w:tcW w:w="1877" w:type="pct"/>
            <w:shd w:val="clear" w:color="auto" w:fill="auto"/>
            <w:vAlign w:val="center"/>
            <w:hideMark/>
          </w:tcPr>
          <w:p w14:paraId="74A00FAD"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Ocena sytuacji materialnej przez gospodarstwo domowe</w:t>
            </w:r>
          </w:p>
        </w:tc>
        <w:tc>
          <w:tcPr>
            <w:tcW w:w="619" w:type="pct"/>
            <w:shd w:val="clear" w:color="auto" w:fill="auto"/>
            <w:vAlign w:val="center"/>
            <w:hideMark/>
          </w:tcPr>
          <w:p w14:paraId="3B865A82"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45" w:type="pct"/>
            <w:shd w:val="clear" w:color="auto" w:fill="auto"/>
            <w:vAlign w:val="center"/>
            <w:hideMark/>
          </w:tcPr>
          <w:p w14:paraId="2C4AEE0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19" w:type="pct"/>
            <w:shd w:val="clear" w:color="auto" w:fill="auto"/>
            <w:vAlign w:val="center"/>
            <w:hideMark/>
          </w:tcPr>
          <w:p w14:paraId="519AD40B"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3BC57EBE"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229C0336"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3E2780F2" w14:textId="77777777" w:rsidTr="00C72B3E">
        <w:trPr>
          <w:trHeight w:val="300"/>
        </w:trPr>
        <w:tc>
          <w:tcPr>
            <w:tcW w:w="1877" w:type="pct"/>
            <w:shd w:val="clear" w:color="auto" w:fill="auto"/>
            <w:vAlign w:val="center"/>
            <w:hideMark/>
          </w:tcPr>
          <w:p w14:paraId="17A6D552"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Dobra i raczej dobra</w:t>
            </w:r>
          </w:p>
        </w:tc>
        <w:tc>
          <w:tcPr>
            <w:tcW w:w="619" w:type="pct"/>
            <w:shd w:val="clear" w:color="auto" w:fill="auto"/>
            <w:vAlign w:val="center"/>
            <w:hideMark/>
          </w:tcPr>
          <w:p w14:paraId="7652647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57,4</w:t>
            </w:r>
          </w:p>
        </w:tc>
        <w:tc>
          <w:tcPr>
            <w:tcW w:w="645" w:type="pct"/>
            <w:shd w:val="clear" w:color="auto" w:fill="auto"/>
            <w:vAlign w:val="center"/>
            <w:hideMark/>
          </w:tcPr>
          <w:p w14:paraId="51E5BDA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41,8</w:t>
            </w:r>
          </w:p>
        </w:tc>
        <w:tc>
          <w:tcPr>
            <w:tcW w:w="619" w:type="pct"/>
            <w:shd w:val="clear" w:color="auto" w:fill="auto"/>
            <w:vAlign w:val="center"/>
            <w:hideMark/>
          </w:tcPr>
          <w:p w14:paraId="75A9194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38,7</w:t>
            </w:r>
          </w:p>
        </w:tc>
        <w:tc>
          <w:tcPr>
            <w:tcW w:w="620" w:type="pct"/>
            <w:shd w:val="clear" w:color="auto" w:fill="auto"/>
            <w:vAlign w:val="center"/>
            <w:hideMark/>
          </w:tcPr>
          <w:p w14:paraId="733B13A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29,4</w:t>
            </w:r>
          </w:p>
        </w:tc>
        <w:tc>
          <w:tcPr>
            <w:tcW w:w="620" w:type="pct"/>
            <w:shd w:val="clear" w:color="auto" w:fill="auto"/>
            <w:vAlign w:val="center"/>
            <w:hideMark/>
          </w:tcPr>
          <w:p w14:paraId="3C6CDDB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49,2</w:t>
            </w:r>
          </w:p>
        </w:tc>
      </w:tr>
      <w:tr w:rsidR="00C72B3E" w:rsidRPr="00DC3810" w14:paraId="1F498E79" w14:textId="77777777" w:rsidTr="00C72B3E">
        <w:trPr>
          <w:trHeight w:val="300"/>
        </w:trPr>
        <w:tc>
          <w:tcPr>
            <w:tcW w:w="1877" w:type="pct"/>
            <w:shd w:val="clear" w:color="auto" w:fill="auto"/>
            <w:vAlign w:val="center"/>
            <w:hideMark/>
          </w:tcPr>
          <w:p w14:paraId="0C8AA26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w:t>
            </w:r>
          </w:p>
        </w:tc>
        <w:tc>
          <w:tcPr>
            <w:tcW w:w="619" w:type="pct"/>
            <w:shd w:val="clear" w:color="auto" w:fill="auto"/>
            <w:vAlign w:val="center"/>
            <w:hideMark/>
          </w:tcPr>
          <w:p w14:paraId="3D84FEC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38,1</w:t>
            </w:r>
          </w:p>
        </w:tc>
        <w:tc>
          <w:tcPr>
            <w:tcW w:w="645" w:type="pct"/>
            <w:shd w:val="clear" w:color="auto" w:fill="auto"/>
            <w:vAlign w:val="center"/>
            <w:hideMark/>
          </w:tcPr>
          <w:p w14:paraId="322E8BA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50,8</w:t>
            </w:r>
          </w:p>
        </w:tc>
        <w:tc>
          <w:tcPr>
            <w:tcW w:w="619" w:type="pct"/>
            <w:shd w:val="clear" w:color="auto" w:fill="auto"/>
            <w:vAlign w:val="center"/>
            <w:hideMark/>
          </w:tcPr>
          <w:p w14:paraId="3EAF84F1"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52,9</w:t>
            </w:r>
          </w:p>
        </w:tc>
        <w:tc>
          <w:tcPr>
            <w:tcW w:w="620" w:type="pct"/>
            <w:shd w:val="clear" w:color="auto" w:fill="auto"/>
            <w:vAlign w:val="center"/>
            <w:hideMark/>
          </w:tcPr>
          <w:p w14:paraId="6E8BE92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57,9</w:t>
            </w:r>
          </w:p>
        </w:tc>
        <w:tc>
          <w:tcPr>
            <w:tcW w:w="620" w:type="pct"/>
            <w:shd w:val="clear" w:color="auto" w:fill="auto"/>
            <w:vAlign w:val="center"/>
            <w:hideMark/>
          </w:tcPr>
          <w:p w14:paraId="087BF0E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47,4</w:t>
            </w:r>
          </w:p>
        </w:tc>
      </w:tr>
      <w:tr w:rsidR="00C72B3E" w:rsidRPr="00DC3810" w14:paraId="427975BC" w14:textId="77777777" w:rsidTr="00C72B3E">
        <w:trPr>
          <w:trHeight w:val="300"/>
        </w:trPr>
        <w:tc>
          <w:tcPr>
            <w:tcW w:w="1877" w:type="pct"/>
            <w:shd w:val="clear" w:color="auto" w:fill="auto"/>
            <w:vAlign w:val="center"/>
            <w:hideMark/>
          </w:tcPr>
          <w:p w14:paraId="63EB7A44"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Raczej zła i zła</w:t>
            </w:r>
          </w:p>
        </w:tc>
        <w:tc>
          <w:tcPr>
            <w:tcW w:w="619" w:type="pct"/>
            <w:shd w:val="clear" w:color="auto" w:fill="auto"/>
            <w:vAlign w:val="center"/>
            <w:hideMark/>
          </w:tcPr>
          <w:p w14:paraId="5BBE796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w:t>
            </w:r>
          </w:p>
        </w:tc>
        <w:tc>
          <w:tcPr>
            <w:tcW w:w="645" w:type="pct"/>
            <w:shd w:val="clear" w:color="auto" w:fill="auto"/>
            <w:vAlign w:val="center"/>
            <w:hideMark/>
          </w:tcPr>
          <w:p w14:paraId="3543C061"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w:t>
            </w:r>
          </w:p>
        </w:tc>
        <w:tc>
          <w:tcPr>
            <w:tcW w:w="619" w:type="pct"/>
            <w:shd w:val="clear" w:color="auto" w:fill="auto"/>
            <w:vAlign w:val="center"/>
            <w:hideMark/>
          </w:tcPr>
          <w:p w14:paraId="033814E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w:t>
            </w:r>
          </w:p>
        </w:tc>
        <w:tc>
          <w:tcPr>
            <w:tcW w:w="620" w:type="pct"/>
            <w:shd w:val="clear" w:color="auto" w:fill="auto"/>
            <w:vAlign w:val="center"/>
            <w:hideMark/>
          </w:tcPr>
          <w:p w14:paraId="1987406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12,7</w:t>
            </w:r>
          </w:p>
        </w:tc>
        <w:tc>
          <w:tcPr>
            <w:tcW w:w="620" w:type="pct"/>
            <w:shd w:val="clear" w:color="auto" w:fill="auto"/>
            <w:vAlign w:val="center"/>
            <w:hideMark/>
          </w:tcPr>
          <w:p w14:paraId="74BDAE3E"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3,4</w:t>
            </w:r>
          </w:p>
        </w:tc>
      </w:tr>
      <w:tr w:rsidR="00C72B3E" w:rsidRPr="00DC3810" w14:paraId="3D467645" w14:textId="77777777" w:rsidTr="00C72B3E">
        <w:trPr>
          <w:trHeight w:val="300"/>
        </w:trPr>
        <w:tc>
          <w:tcPr>
            <w:tcW w:w="5000" w:type="pct"/>
            <w:gridSpan w:val="6"/>
            <w:shd w:val="clear" w:color="auto" w:fill="auto"/>
            <w:vAlign w:val="center"/>
            <w:hideMark/>
          </w:tcPr>
          <w:p w14:paraId="48A67561"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MIASTA</w:t>
            </w:r>
          </w:p>
        </w:tc>
      </w:tr>
      <w:tr w:rsidR="00C72B3E" w:rsidRPr="00DC3810" w14:paraId="32758ABD" w14:textId="77777777" w:rsidTr="00C72B3E">
        <w:trPr>
          <w:trHeight w:val="240"/>
        </w:trPr>
        <w:tc>
          <w:tcPr>
            <w:tcW w:w="1877" w:type="pct"/>
            <w:shd w:val="clear" w:color="auto" w:fill="auto"/>
            <w:vAlign w:val="center"/>
            <w:hideMark/>
          </w:tcPr>
          <w:p w14:paraId="5333F73A"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Ocena sytuacji materialnej przez gospodarstwo domowe</w:t>
            </w:r>
          </w:p>
        </w:tc>
        <w:tc>
          <w:tcPr>
            <w:tcW w:w="619" w:type="pct"/>
            <w:shd w:val="clear" w:color="auto" w:fill="auto"/>
            <w:vAlign w:val="center"/>
            <w:hideMark/>
          </w:tcPr>
          <w:p w14:paraId="0BA054D3"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45" w:type="pct"/>
            <w:shd w:val="clear" w:color="auto" w:fill="auto"/>
            <w:vAlign w:val="center"/>
            <w:hideMark/>
          </w:tcPr>
          <w:p w14:paraId="20E2D395"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19" w:type="pct"/>
            <w:shd w:val="clear" w:color="auto" w:fill="auto"/>
            <w:vAlign w:val="center"/>
            <w:hideMark/>
          </w:tcPr>
          <w:p w14:paraId="38DBC60F"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6249F980"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4AF58B5A"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67182409" w14:textId="77777777" w:rsidTr="00C72B3E">
        <w:trPr>
          <w:trHeight w:val="300"/>
        </w:trPr>
        <w:tc>
          <w:tcPr>
            <w:tcW w:w="1877" w:type="pct"/>
            <w:shd w:val="clear" w:color="auto" w:fill="auto"/>
            <w:vAlign w:val="center"/>
            <w:hideMark/>
          </w:tcPr>
          <w:p w14:paraId="62583C3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Dobra i raczej dobra</w:t>
            </w:r>
          </w:p>
        </w:tc>
        <w:tc>
          <w:tcPr>
            <w:tcW w:w="619" w:type="pct"/>
            <w:shd w:val="clear" w:color="auto" w:fill="auto"/>
            <w:vAlign w:val="center"/>
            <w:hideMark/>
          </w:tcPr>
          <w:p w14:paraId="6E0AF5BA"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59,8</w:t>
            </w:r>
          </w:p>
        </w:tc>
        <w:tc>
          <w:tcPr>
            <w:tcW w:w="645" w:type="pct"/>
            <w:shd w:val="clear" w:color="auto" w:fill="auto"/>
            <w:vAlign w:val="center"/>
            <w:hideMark/>
          </w:tcPr>
          <w:p w14:paraId="3581C20E"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42,7</w:t>
            </w:r>
          </w:p>
        </w:tc>
        <w:tc>
          <w:tcPr>
            <w:tcW w:w="619" w:type="pct"/>
            <w:shd w:val="clear" w:color="auto" w:fill="auto"/>
            <w:vAlign w:val="center"/>
            <w:hideMark/>
          </w:tcPr>
          <w:p w14:paraId="4DFE52B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41,4</w:t>
            </w:r>
          </w:p>
        </w:tc>
        <w:tc>
          <w:tcPr>
            <w:tcW w:w="620" w:type="pct"/>
            <w:shd w:val="clear" w:color="auto" w:fill="auto"/>
            <w:vAlign w:val="center"/>
            <w:hideMark/>
          </w:tcPr>
          <w:p w14:paraId="30B77F09"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32,0</w:t>
            </w:r>
          </w:p>
        </w:tc>
        <w:tc>
          <w:tcPr>
            <w:tcW w:w="620" w:type="pct"/>
            <w:shd w:val="clear" w:color="auto" w:fill="auto"/>
            <w:vAlign w:val="center"/>
            <w:hideMark/>
          </w:tcPr>
          <w:p w14:paraId="0A91463A"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52,7</w:t>
            </w:r>
          </w:p>
        </w:tc>
      </w:tr>
      <w:tr w:rsidR="00C72B3E" w:rsidRPr="00DC3810" w14:paraId="6EF8EA6F" w14:textId="77777777" w:rsidTr="00C72B3E">
        <w:trPr>
          <w:trHeight w:val="300"/>
        </w:trPr>
        <w:tc>
          <w:tcPr>
            <w:tcW w:w="1877" w:type="pct"/>
            <w:shd w:val="clear" w:color="auto" w:fill="auto"/>
            <w:vAlign w:val="center"/>
            <w:hideMark/>
          </w:tcPr>
          <w:p w14:paraId="242B5F2A"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w:t>
            </w:r>
          </w:p>
        </w:tc>
        <w:tc>
          <w:tcPr>
            <w:tcW w:w="619" w:type="pct"/>
            <w:shd w:val="clear" w:color="auto" w:fill="auto"/>
            <w:vAlign w:val="center"/>
            <w:hideMark/>
          </w:tcPr>
          <w:p w14:paraId="2EEE9C56"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35,8</w:t>
            </w:r>
          </w:p>
        </w:tc>
        <w:tc>
          <w:tcPr>
            <w:tcW w:w="645" w:type="pct"/>
            <w:shd w:val="clear" w:color="auto" w:fill="auto"/>
            <w:vAlign w:val="center"/>
            <w:hideMark/>
          </w:tcPr>
          <w:p w14:paraId="12F04D1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49,9</w:t>
            </w:r>
          </w:p>
        </w:tc>
        <w:tc>
          <w:tcPr>
            <w:tcW w:w="619" w:type="pct"/>
            <w:shd w:val="clear" w:color="auto" w:fill="auto"/>
            <w:vAlign w:val="center"/>
            <w:hideMark/>
          </w:tcPr>
          <w:p w14:paraId="27C90CAC"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51,1</w:t>
            </w:r>
          </w:p>
        </w:tc>
        <w:tc>
          <w:tcPr>
            <w:tcW w:w="620" w:type="pct"/>
            <w:shd w:val="clear" w:color="auto" w:fill="auto"/>
            <w:vAlign w:val="center"/>
            <w:hideMark/>
          </w:tcPr>
          <w:p w14:paraId="66F7DC41"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56,5</w:t>
            </w:r>
          </w:p>
        </w:tc>
        <w:tc>
          <w:tcPr>
            <w:tcW w:w="620" w:type="pct"/>
            <w:shd w:val="clear" w:color="auto" w:fill="auto"/>
            <w:vAlign w:val="center"/>
            <w:hideMark/>
          </w:tcPr>
          <w:p w14:paraId="4DC9852D"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44,7</w:t>
            </w:r>
          </w:p>
        </w:tc>
      </w:tr>
      <w:tr w:rsidR="00C72B3E" w:rsidRPr="00DC3810" w14:paraId="05A5F096" w14:textId="77777777" w:rsidTr="00C72B3E">
        <w:trPr>
          <w:trHeight w:val="300"/>
        </w:trPr>
        <w:tc>
          <w:tcPr>
            <w:tcW w:w="1877" w:type="pct"/>
            <w:shd w:val="clear" w:color="auto" w:fill="auto"/>
            <w:vAlign w:val="center"/>
            <w:hideMark/>
          </w:tcPr>
          <w:p w14:paraId="5E46A18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Raczej zła i zła</w:t>
            </w:r>
          </w:p>
        </w:tc>
        <w:tc>
          <w:tcPr>
            <w:tcW w:w="619" w:type="pct"/>
            <w:shd w:val="clear" w:color="auto" w:fill="auto"/>
            <w:vAlign w:val="center"/>
            <w:hideMark/>
          </w:tcPr>
          <w:p w14:paraId="56AFA5F6"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w:t>
            </w:r>
          </w:p>
        </w:tc>
        <w:tc>
          <w:tcPr>
            <w:tcW w:w="645" w:type="pct"/>
            <w:shd w:val="clear" w:color="auto" w:fill="auto"/>
            <w:vAlign w:val="center"/>
            <w:hideMark/>
          </w:tcPr>
          <w:p w14:paraId="2B7EBA1E"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w:t>
            </w:r>
          </w:p>
        </w:tc>
        <w:tc>
          <w:tcPr>
            <w:tcW w:w="619" w:type="pct"/>
            <w:shd w:val="clear" w:color="auto" w:fill="auto"/>
            <w:vAlign w:val="center"/>
            <w:hideMark/>
          </w:tcPr>
          <w:p w14:paraId="37B6CC05"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w:t>
            </w:r>
          </w:p>
        </w:tc>
        <w:tc>
          <w:tcPr>
            <w:tcW w:w="620" w:type="pct"/>
            <w:shd w:val="clear" w:color="auto" w:fill="auto"/>
            <w:vAlign w:val="center"/>
            <w:hideMark/>
          </w:tcPr>
          <w:p w14:paraId="7ABD9B5A"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11,5</w:t>
            </w:r>
          </w:p>
        </w:tc>
        <w:tc>
          <w:tcPr>
            <w:tcW w:w="620" w:type="pct"/>
            <w:shd w:val="clear" w:color="auto" w:fill="auto"/>
            <w:vAlign w:val="center"/>
            <w:hideMark/>
          </w:tcPr>
          <w:p w14:paraId="56FDCD1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w:t>
            </w:r>
          </w:p>
        </w:tc>
      </w:tr>
      <w:tr w:rsidR="00C72B3E" w:rsidRPr="00DC3810" w14:paraId="5167A6CE" w14:textId="77777777" w:rsidTr="00C72B3E">
        <w:trPr>
          <w:trHeight w:val="300"/>
        </w:trPr>
        <w:tc>
          <w:tcPr>
            <w:tcW w:w="5000" w:type="pct"/>
            <w:gridSpan w:val="6"/>
            <w:shd w:val="clear" w:color="auto" w:fill="auto"/>
            <w:vAlign w:val="center"/>
            <w:hideMark/>
          </w:tcPr>
          <w:p w14:paraId="4A0B543A" w14:textId="77777777" w:rsidR="00C72B3E" w:rsidRPr="00DC3810" w:rsidRDefault="00C72B3E" w:rsidP="00C72B3E">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WIEŚ</w:t>
            </w:r>
          </w:p>
        </w:tc>
      </w:tr>
      <w:tr w:rsidR="00C72B3E" w:rsidRPr="00DC3810" w14:paraId="30AC0AC2" w14:textId="77777777" w:rsidTr="00C72B3E">
        <w:trPr>
          <w:trHeight w:val="240"/>
        </w:trPr>
        <w:tc>
          <w:tcPr>
            <w:tcW w:w="1877" w:type="pct"/>
            <w:shd w:val="clear" w:color="auto" w:fill="auto"/>
            <w:vAlign w:val="center"/>
            <w:hideMark/>
          </w:tcPr>
          <w:p w14:paraId="10771716" w14:textId="77777777" w:rsidR="00C72B3E" w:rsidRPr="00DC3810" w:rsidRDefault="00C72B3E" w:rsidP="00C72B3E">
            <w:pPr>
              <w:spacing w:after="0" w:line="240" w:lineRule="auto"/>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Ocena sytuacji materialnej przez gospodarstwo domowe</w:t>
            </w:r>
          </w:p>
        </w:tc>
        <w:tc>
          <w:tcPr>
            <w:tcW w:w="619" w:type="pct"/>
            <w:shd w:val="clear" w:color="auto" w:fill="auto"/>
            <w:vAlign w:val="center"/>
            <w:hideMark/>
          </w:tcPr>
          <w:p w14:paraId="43BD7032"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45" w:type="pct"/>
            <w:shd w:val="clear" w:color="auto" w:fill="auto"/>
            <w:vAlign w:val="center"/>
            <w:hideMark/>
          </w:tcPr>
          <w:p w14:paraId="558619C3"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19" w:type="pct"/>
            <w:shd w:val="clear" w:color="auto" w:fill="auto"/>
            <w:vAlign w:val="center"/>
            <w:hideMark/>
          </w:tcPr>
          <w:p w14:paraId="14972163"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04E89AC0"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20" w:type="pct"/>
            <w:shd w:val="clear" w:color="auto" w:fill="auto"/>
            <w:vAlign w:val="center"/>
            <w:hideMark/>
          </w:tcPr>
          <w:p w14:paraId="6A856BAC" w14:textId="77777777" w:rsidR="00C72B3E" w:rsidRPr="00DC3810" w:rsidRDefault="00C72B3E" w:rsidP="00C72B3E">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72B3E" w:rsidRPr="00DC3810" w14:paraId="3DCB4989" w14:textId="77777777" w:rsidTr="00C72B3E">
        <w:trPr>
          <w:trHeight w:val="300"/>
        </w:trPr>
        <w:tc>
          <w:tcPr>
            <w:tcW w:w="1877" w:type="pct"/>
            <w:shd w:val="clear" w:color="auto" w:fill="auto"/>
            <w:vAlign w:val="center"/>
            <w:hideMark/>
          </w:tcPr>
          <w:p w14:paraId="532584F3"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Dobra i raczej dobra</w:t>
            </w:r>
          </w:p>
        </w:tc>
        <w:tc>
          <w:tcPr>
            <w:tcW w:w="619" w:type="pct"/>
            <w:shd w:val="clear" w:color="auto" w:fill="auto"/>
            <w:vAlign w:val="center"/>
            <w:hideMark/>
          </w:tcPr>
          <w:p w14:paraId="616A3B4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52,3</w:t>
            </w:r>
          </w:p>
        </w:tc>
        <w:tc>
          <w:tcPr>
            <w:tcW w:w="645" w:type="pct"/>
            <w:shd w:val="clear" w:color="auto" w:fill="auto"/>
            <w:vAlign w:val="center"/>
            <w:hideMark/>
          </w:tcPr>
          <w:p w14:paraId="4370632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40,1</w:t>
            </w:r>
          </w:p>
        </w:tc>
        <w:tc>
          <w:tcPr>
            <w:tcW w:w="619" w:type="pct"/>
            <w:shd w:val="clear" w:color="auto" w:fill="auto"/>
            <w:vAlign w:val="center"/>
            <w:hideMark/>
          </w:tcPr>
          <w:p w14:paraId="499821D6"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29,6</w:t>
            </w:r>
          </w:p>
        </w:tc>
        <w:tc>
          <w:tcPr>
            <w:tcW w:w="620" w:type="pct"/>
            <w:shd w:val="clear" w:color="auto" w:fill="auto"/>
            <w:vAlign w:val="center"/>
            <w:hideMark/>
          </w:tcPr>
          <w:p w14:paraId="6C56ECB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20,0</w:t>
            </w:r>
          </w:p>
        </w:tc>
        <w:tc>
          <w:tcPr>
            <w:tcW w:w="620" w:type="pct"/>
            <w:shd w:val="clear" w:color="auto" w:fill="auto"/>
            <w:vAlign w:val="center"/>
            <w:hideMark/>
          </w:tcPr>
          <w:p w14:paraId="5DC386B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38,3</w:t>
            </w:r>
          </w:p>
        </w:tc>
      </w:tr>
      <w:tr w:rsidR="00C72B3E" w:rsidRPr="00DC3810" w14:paraId="6075232E" w14:textId="77777777" w:rsidTr="00C72B3E">
        <w:trPr>
          <w:trHeight w:val="300"/>
        </w:trPr>
        <w:tc>
          <w:tcPr>
            <w:tcW w:w="1877" w:type="pct"/>
            <w:shd w:val="clear" w:color="auto" w:fill="auto"/>
            <w:vAlign w:val="center"/>
            <w:hideMark/>
          </w:tcPr>
          <w:p w14:paraId="3AD0D287"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w:t>
            </w:r>
          </w:p>
        </w:tc>
        <w:tc>
          <w:tcPr>
            <w:tcW w:w="619" w:type="pct"/>
            <w:shd w:val="clear" w:color="auto" w:fill="auto"/>
            <w:vAlign w:val="center"/>
            <w:hideMark/>
          </w:tcPr>
          <w:p w14:paraId="7829630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43,0</w:t>
            </w:r>
          </w:p>
        </w:tc>
        <w:tc>
          <w:tcPr>
            <w:tcW w:w="645" w:type="pct"/>
            <w:shd w:val="clear" w:color="auto" w:fill="auto"/>
            <w:vAlign w:val="center"/>
            <w:hideMark/>
          </w:tcPr>
          <w:p w14:paraId="66C7EEA9"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52,5</w:t>
            </w:r>
          </w:p>
        </w:tc>
        <w:tc>
          <w:tcPr>
            <w:tcW w:w="619" w:type="pct"/>
            <w:shd w:val="clear" w:color="auto" w:fill="auto"/>
            <w:vAlign w:val="center"/>
            <w:hideMark/>
          </w:tcPr>
          <w:p w14:paraId="1F1BA662"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59,2</w:t>
            </w:r>
          </w:p>
        </w:tc>
        <w:tc>
          <w:tcPr>
            <w:tcW w:w="620" w:type="pct"/>
            <w:shd w:val="clear" w:color="auto" w:fill="auto"/>
            <w:vAlign w:val="center"/>
            <w:hideMark/>
          </w:tcPr>
          <w:p w14:paraId="02CAC10B"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63,0</w:t>
            </w:r>
          </w:p>
        </w:tc>
        <w:tc>
          <w:tcPr>
            <w:tcW w:w="620" w:type="pct"/>
            <w:shd w:val="clear" w:color="auto" w:fill="auto"/>
            <w:vAlign w:val="center"/>
            <w:hideMark/>
          </w:tcPr>
          <w:p w14:paraId="375C6264"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55,9</w:t>
            </w:r>
          </w:p>
        </w:tc>
      </w:tr>
      <w:tr w:rsidR="00C72B3E" w:rsidRPr="00DC3810" w14:paraId="5A8323C0" w14:textId="77777777" w:rsidTr="00C72B3E">
        <w:trPr>
          <w:trHeight w:val="300"/>
        </w:trPr>
        <w:tc>
          <w:tcPr>
            <w:tcW w:w="1877" w:type="pct"/>
            <w:shd w:val="clear" w:color="auto" w:fill="auto"/>
            <w:vAlign w:val="center"/>
            <w:hideMark/>
          </w:tcPr>
          <w:p w14:paraId="08D395EC" w14:textId="77777777" w:rsidR="00C72B3E" w:rsidRPr="00DC3810" w:rsidRDefault="00C72B3E" w:rsidP="00C72B3E">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Raczej zła i zła</w:t>
            </w:r>
          </w:p>
        </w:tc>
        <w:tc>
          <w:tcPr>
            <w:tcW w:w="619" w:type="pct"/>
            <w:shd w:val="clear" w:color="auto" w:fill="auto"/>
            <w:vAlign w:val="center"/>
            <w:hideMark/>
          </w:tcPr>
          <w:p w14:paraId="382B3C07"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w:t>
            </w:r>
          </w:p>
        </w:tc>
        <w:tc>
          <w:tcPr>
            <w:tcW w:w="645" w:type="pct"/>
            <w:shd w:val="clear" w:color="auto" w:fill="auto"/>
            <w:vAlign w:val="center"/>
            <w:hideMark/>
          </w:tcPr>
          <w:p w14:paraId="6DAAA25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w:t>
            </w:r>
          </w:p>
        </w:tc>
        <w:tc>
          <w:tcPr>
            <w:tcW w:w="619" w:type="pct"/>
            <w:shd w:val="clear" w:color="auto" w:fill="auto"/>
            <w:vAlign w:val="center"/>
            <w:hideMark/>
          </w:tcPr>
          <w:p w14:paraId="462306F3"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11,2</w:t>
            </w:r>
          </w:p>
        </w:tc>
        <w:tc>
          <w:tcPr>
            <w:tcW w:w="620" w:type="pct"/>
            <w:shd w:val="clear" w:color="auto" w:fill="auto"/>
            <w:vAlign w:val="center"/>
            <w:hideMark/>
          </w:tcPr>
          <w:p w14:paraId="48CE7138"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17,0</w:t>
            </w:r>
          </w:p>
        </w:tc>
        <w:tc>
          <w:tcPr>
            <w:tcW w:w="620" w:type="pct"/>
            <w:shd w:val="clear" w:color="auto" w:fill="auto"/>
            <w:vAlign w:val="center"/>
            <w:hideMark/>
          </w:tcPr>
          <w:p w14:paraId="32DA3C20" w14:textId="77777777" w:rsidR="00C72B3E" w:rsidRPr="00DC3810" w:rsidRDefault="00C72B3E" w:rsidP="00C72B3E">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w:t>
            </w:r>
          </w:p>
        </w:tc>
      </w:tr>
    </w:tbl>
    <w:p w14:paraId="4B83E1B7" w14:textId="3E656C4F" w:rsidR="00C72B3E" w:rsidRPr="009E6F68" w:rsidRDefault="00C72B3E" w:rsidP="00A254DA">
      <w:pPr>
        <w:spacing w:after="0" w:line="240" w:lineRule="auto"/>
        <w:jc w:val="both"/>
        <w:rPr>
          <w:rFonts w:ascii="Lato" w:hAnsi="Lato"/>
          <w:sz w:val="16"/>
          <w:szCs w:val="16"/>
        </w:rPr>
      </w:pPr>
      <w:r w:rsidRPr="009E6F68">
        <w:rPr>
          <w:rFonts w:ascii="Lato" w:hAnsi="Lato"/>
          <w:sz w:val="16"/>
          <w:szCs w:val="16"/>
        </w:rPr>
        <w:t>Źródło: Badanie budżetów gospodarstw domowych, GUS</w:t>
      </w:r>
    </w:p>
    <w:p w14:paraId="26CCEE5A" w14:textId="766F8068" w:rsidR="00C55902" w:rsidRDefault="00C72B3E" w:rsidP="00C55902">
      <w:pPr>
        <w:spacing w:after="0" w:line="240" w:lineRule="auto"/>
        <w:jc w:val="both"/>
        <w:rPr>
          <w:rFonts w:ascii="Lato" w:hAnsi="Lato"/>
          <w:sz w:val="18"/>
          <w:szCs w:val="18"/>
        </w:rPr>
      </w:pPr>
      <w:r w:rsidRPr="009E6F68">
        <w:rPr>
          <w:rFonts w:ascii="Lato" w:hAnsi="Lato"/>
          <w:sz w:val="16"/>
          <w:szCs w:val="16"/>
        </w:rPr>
        <w:t>UWAGA: Dane za 2022 r. zostały uogólnione w oparciu o wstępne wyniki Narodowego Spisu Powszechnego Ludności i Mieszkań NSP 2021 i nie są wprost porównywalne z danymi za lata wcześniejsze, które zostały uogólnione w oparciu o wyniki Narodowego Spisu Powszechnego Ludności i Mieszkań NSP 2011</w:t>
      </w:r>
      <w:r w:rsidRPr="00C72B3E">
        <w:rPr>
          <w:rFonts w:ascii="Lato" w:hAnsi="Lato"/>
          <w:sz w:val="18"/>
          <w:szCs w:val="18"/>
        </w:rPr>
        <w:t>.</w:t>
      </w:r>
    </w:p>
    <w:p w14:paraId="68437DFC" w14:textId="4753FCED" w:rsidR="00C55902" w:rsidRDefault="00C55902" w:rsidP="00A254DA">
      <w:pPr>
        <w:spacing w:after="0" w:line="240" w:lineRule="auto"/>
        <w:jc w:val="both"/>
        <w:rPr>
          <w:rFonts w:ascii="Lato" w:hAnsi="Lato"/>
          <w:sz w:val="18"/>
          <w:szCs w:val="18"/>
        </w:rPr>
      </w:pPr>
    </w:p>
    <w:p w14:paraId="1949BDCE" w14:textId="0098D947" w:rsidR="00630CD6" w:rsidRDefault="00630CD6" w:rsidP="00630CD6">
      <w:pPr>
        <w:spacing w:after="0" w:line="240" w:lineRule="auto"/>
        <w:jc w:val="both"/>
        <w:rPr>
          <w:rFonts w:ascii="Lato" w:hAnsi="Lato"/>
          <w:sz w:val="20"/>
          <w:szCs w:val="20"/>
        </w:rPr>
      </w:pPr>
      <w:r w:rsidRPr="00630CD6">
        <w:rPr>
          <w:rFonts w:ascii="Lato" w:hAnsi="Lato"/>
          <w:sz w:val="20"/>
          <w:szCs w:val="20"/>
        </w:rPr>
        <w:t xml:space="preserve">Gospodarstwa domowe składające się wyłącznie z osób starszych mieszkają w przeważającej części w budynkach wielorodzinnych (63,0% w 2022 r.). W domach jednorodzinnych w analizowanym roku </w:t>
      </w:r>
      <w:r w:rsidRPr="00630CD6">
        <w:rPr>
          <w:rFonts w:ascii="Lato" w:hAnsi="Lato"/>
          <w:sz w:val="20"/>
          <w:szCs w:val="20"/>
        </w:rPr>
        <w:lastRenderedPageBreak/>
        <w:t>mieszkało 36,8% tego typu gospodarstw. Przeciętna powierzchnia użytkowa mieszkania na 1 gospodarstwo domowe osób starszych wynosiła 71,2 m</w:t>
      </w:r>
      <w:r w:rsidRPr="00630CD6">
        <w:rPr>
          <w:rFonts w:ascii="Lato" w:hAnsi="Lato"/>
          <w:sz w:val="20"/>
          <w:szCs w:val="20"/>
          <w:vertAlign w:val="superscript"/>
        </w:rPr>
        <w:t>2</w:t>
      </w:r>
      <w:r w:rsidRPr="00630CD6">
        <w:rPr>
          <w:rFonts w:ascii="Lato" w:hAnsi="Lato"/>
          <w:sz w:val="20"/>
          <w:szCs w:val="20"/>
        </w:rPr>
        <w:t>, przy czym w miastach o 28,5 m</w:t>
      </w:r>
      <w:r w:rsidRPr="00630CD6">
        <w:rPr>
          <w:rFonts w:ascii="Lato" w:hAnsi="Lato"/>
          <w:sz w:val="20"/>
          <w:szCs w:val="20"/>
          <w:vertAlign w:val="superscript"/>
        </w:rPr>
        <w:t>2</w:t>
      </w:r>
      <w:r w:rsidRPr="00630CD6">
        <w:rPr>
          <w:rFonts w:ascii="Lato" w:hAnsi="Lato"/>
          <w:sz w:val="20"/>
          <w:szCs w:val="20"/>
        </w:rPr>
        <w:t xml:space="preserve"> mniej niż na wsi (64,7 m</w:t>
      </w:r>
      <w:r w:rsidRPr="00630CD6">
        <w:rPr>
          <w:rFonts w:ascii="Lato" w:hAnsi="Lato"/>
          <w:sz w:val="20"/>
          <w:szCs w:val="20"/>
          <w:vertAlign w:val="superscript"/>
        </w:rPr>
        <w:t xml:space="preserve">2 </w:t>
      </w:r>
      <w:r w:rsidRPr="00630CD6">
        <w:rPr>
          <w:rFonts w:ascii="Lato" w:hAnsi="Lato"/>
          <w:sz w:val="20"/>
          <w:szCs w:val="20"/>
        </w:rPr>
        <w:t>wobec 93,2 m</w:t>
      </w:r>
      <w:r w:rsidRPr="00630CD6">
        <w:rPr>
          <w:rFonts w:ascii="Lato" w:hAnsi="Lato"/>
          <w:sz w:val="20"/>
          <w:szCs w:val="20"/>
          <w:vertAlign w:val="superscript"/>
        </w:rPr>
        <w:t>2</w:t>
      </w:r>
      <w:r w:rsidRPr="00630CD6">
        <w:rPr>
          <w:rFonts w:ascii="Lato" w:hAnsi="Lato"/>
          <w:sz w:val="20"/>
          <w:szCs w:val="20"/>
        </w:rPr>
        <w:t xml:space="preserve">). </w:t>
      </w:r>
    </w:p>
    <w:p w14:paraId="02D42D79" w14:textId="77777777" w:rsidR="00630CD6" w:rsidRPr="00630CD6" w:rsidRDefault="00630CD6" w:rsidP="00630CD6">
      <w:pPr>
        <w:spacing w:after="0" w:line="240" w:lineRule="auto"/>
        <w:jc w:val="both"/>
        <w:rPr>
          <w:rFonts w:ascii="Lato" w:hAnsi="Lato"/>
          <w:sz w:val="20"/>
          <w:szCs w:val="20"/>
        </w:rPr>
      </w:pPr>
    </w:p>
    <w:p w14:paraId="7C1AEE34" w14:textId="20E122AC" w:rsidR="00630CD6" w:rsidRPr="00630CD6" w:rsidRDefault="00630CD6" w:rsidP="00A254DA">
      <w:pPr>
        <w:spacing w:after="0" w:line="240" w:lineRule="auto"/>
        <w:jc w:val="both"/>
        <w:rPr>
          <w:rFonts w:ascii="Lato" w:hAnsi="Lato"/>
          <w:sz w:val="20"/>
          <w:szCs w:val="20"/>
        </w:rPr>
      </w:pPr>
      <w:r w:rsidRPr="00630CD6">
        <w:rPr>
          <w:rFonts w:ascii="Lato" w:hAnsi="Lato"/>
          <w:sz w:val="20"/>
          <w:szCs w:val="20"/>
        </w:rPr>
        <w:t>Mieszkania wyposażone w wodociąg miało w 2022 r. 99,8% gospodarstw osób starszych. Mieszkania mające łazienkę, ustęp spłukiwany, ciepłą wodę bieżącą - użytkowało około 99% gospodarstw osób starszych.</w:t>
      </w:r>
      <w:r w:rsidRPr="00630CD6">
        <w:rPr>
          <w:rFonts w:ascii="Lato" w:hAnsi="Lato"/>
          <w:spacing w:val="-2"/>
          <w:sz w:val="20"/>
          <w:szCs w:val="20"/>
        </w:rPr>
        <w:t xml:space="preserve"> </w:t>
      </w:r>
      <w:r w:rsidRPr="00630CD6">
        <w:rPr>
          <w:rFonts w:ascii="Lato" w:hAnsi="Lato"/>
          <w:sz w:val="20"/>
          <w:szCs w:val="20"/>
        </w:rPr>
        <w:t>Gaz z sieci miało doprowadzone do mieszkań 67,8% gospodarstw osób starszych, a 23,7% korzystało z gazu z butli. Z ogrzewania centralnego (z elektrociepłowni, kotłowni osiedlowej lub lokalnego) korzystało 86,4% gospodarstw osób starszych.</w:t>
      </w:r>
      <w:r w:rsidRPr="00630CD6">
        <w:rPr>
          <w:rFonts w:ascii="Lato" w:hAnsi="Lato"/>
          <w:spacing w:val="-2"/>
          <w:sz w:val="20"/>
          <w:szCs w:val="20"/>
        </w:rPr>
        <w:t xml:space="preserve"> </w:t>
      </w:r>
      <w:r w:rsidRPr="00630CD6">
        <w:rPr>
          <w:rFonts w:ascii="Lato" w:hAnsi="Lato"/>
          <w:sz w:val="20"/>
          <w:szCs w:val="20"/>
        </w:rPr>
        <w:t>Najwięcej gospodarstw domowych osób starszych używających jeszcze do ogrzewania mieszkania pieca było wśród 1-osobowych gospodarstw osób w wieku 60 lat lub więcej mieszkających na wsi – 24,5% (wobec 14,0% gospodarstw domowych też zamieszkujących na wsi, ale bez osób starszych).</w:t>
      </w:r>
    </w:p>
    <w:p w14:paraId="6D69FE27" w14:textId="77777777" w:rsidR="00630CD6" w:rsidRDefault="00630CD6" w:rsidP="00A254DA">
      <w:pPr>
        <w:spacing w:after="0" w:line="240" w:lineRule="auto"/>
        <w:jc w:val="both"/>
        <w:rPr>
          <w:rFonts w:ascii="Lato" w:hAnsi="Lato"/>
          <w:sz w:val="18"/>
          <w:szCs w:val="18"/>
        </w:rPr>
      </w:pPr>
    </w:p>
    <w:p w14:paraId="2B2D37FD" w14:textId="78B5F9C9" w:rsidR="00C55902" w:rsidRDefault="00C55902" w:rsidP="00C55902">
      <w:pPr>
        <w:pStyle w:val="Legenda"/>
        <w:keepNext/>
      </w:pPr>
      <w:bookmarkStart w:id="12" w:name="_Toc142565976"/>
      <w:r>
        <w:t xml:space="preserve">Tabela </w:t>
      </w:r>
      <w:fldSimple w:instr=" SEQ Tabela \* ARABIC ">
        <w:r w:rsidR="00AA385B">
          <w:rPr>
            <w:noProof/>
          </w:rPr>
          <w:t>10</w:t>
        </w:r>
      </w:fldSimple>
      <w:r>
        <w:t xml:space="preserve"> Sytuacja mieszkaniowa gospodarstw domowych według liczby osób w wieku 60 lat i więcej w gospodarstwie domowym w 2022 r.</w:t>
      </w:r>
      <w:bookmarkEnd w:id="12"/>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1215"/>
        <w:gridCol w:w="1225"/>
        <w:gridCol w:w="1215"/>
        <w:gridCol w:w="1220"/>
        <w:gridCol w:w="1224"/>
      </w:tblGrid>
      <w:tr w:rsidR="00C55902" w:rsidRPr="00DC3810" w14:paraId="1F540EBD" w14:textId="77777777" w:rsidTr="00DC3810">
        <w:trPr>
          <w:trHeight w:val="222"/>
        </w:trPr>
        <w:tc>
          <w:tcPr>
            <w:tcW w:w="1581" w:type="pct"/>
            <w:vMerge w:val="restart"/>
            <w:shd w:val="clear" w:color="auto" w:fill="8EAADB" w:themeFill="accent1" w:themeFillTint="99"/>
            <w:vAlign w:val="center"/>
            <w:hideMark/>
          </w:tcPr>
          <w:p w14:paraId="4927848E"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3419" w:type="pct"/>
            <w:gridSpan w:val="5"/>
            <w:shd w:val="clear" w:color="auto" w:fill="8EAADB" w:themeFill="accent1" w:themeFillTint="99"/>
            <w:vAlign w:val="center"/>
            <w:hideMark/>
          </w:tcPr>
          <w:p w14:paraId="0C1511AF"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t>
            </w:r>
          </w:p>
        </w:tc>
      </w:tr>
      <w:tr w:rsidR="00C55902" w:rsidRPr="00DC3810" w14:paraId="4B6AFBF3" w14:textId="77777777" w:rsidTr="00DC3810">
        <w:trPr>
          <w:trHeight w:val="282"/>
        </w:trPr>
        <w:tc>
          <w:tcPr>
            <w:tcW w:w="1581" w:type="pct"/>
            <w:vMerge/>
            <w:shd w:val="clear" w:color="auto" w:fill="8EAADB" w:themeFill="accent1" w:themeFillTint="99"/>
            <w:vAlign w:val="center"/>
            <w:hideMark/>
          </w:tcPr>
          <w:p w14:paraId="76C629EB"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val="restart"/>
            <w:shd w:val="clear" w:color="auto" w:fill="8EAADB" w:themeFill="accent1" w:themeFillTint="99"/>
            <w:vAlign w:val="center"/>
            <w:hideMark/>
          </w:tcPr>
          <w:p w14:paraId="2B432498"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bez osób </w:t>
            </w:r>
            <w:r w:rsidRPr="00DC3810">
              <w:rPr>
                <w:rFonts w:ascii="Lato" w:eastAsia="Times New Roman" w:hAnsi="Lato" w:cs="Arial"/>
                <w:color w:val="000000"/>
                <w:sz w:val="18"/>
                <w:szCs w:val="18"/>
                <w:lang w:eastAsia="pl-PL"/>
              </w:rPr>
              <w:br/>
              <w:t>w wieku 60 lat i więcej</w:t>
            </w:r>
          </w:p>
        </w:tc>
        <w:tc>
          <w:tcPr>
            <w:tcW w:w="687" w:type="pct"/>
            <w:vMerge w:val="restart"/>
            <w:shd w:val="clear" w:color="auto" w:fill="8EAADB" w:themeFill="accent1" w:themeFillTint="99"/>
            <w:vAlign w:val="center"/>
            <w:hideMark/>
          </w:tcPr>
          <w:p w14:paraId="49DF9763"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 przynajmniej 1 osobą </w:t>
            </w:r>
            <w:r w:rsidRPr="00DC3810">
              <w:rPr>
                <w:rFonts w:ascii="Lato" w:eastAsia="Times New Roman" w:hAnsi="Lato" w:cs="Arial"/>
                <w:color w:val="000000"/>
                <w:sz w:val="18"/>
                <w:szCs w:val="18"/>
                <w:lang w:eastAsia="pl-PL"/>
              </w:rPr>
              <w:br/>
              <w:t>w wieku 60 lat i więcej</w:t>
            </w:r>
          </w:p>
        </w:tc>
        <w:tc>
          <w:tcPr>
            <w:tcW w:w="2051" w:type="pct"/>
            <w:gridSpan w:val="3"/>
            <w:shd w:val="clear" w:color="auto" w:fill="8EAADB" w:themeFill="accent1" w:themeFillTint="99"/>
            <w:vAlign w:val="center"/>
            <w:hideMark/>
          </w:tcPr>
          <w:p w14:paraId="21BF8556"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wyłącznie z osobami w wieku 60 lat i więcej</w:t>
            </w:r>
          </w:p>
        </w:tc>
      </w:tr>
      <w:tr w:rsidR="00C55902" w:rsidRPr="00DC3810" w14:paraId="3806B2CA" w14:textId="77777777" w:rsidTr="00DC3810">
        <w:trPr>
          <w:trHeight w:val="131"/>
        </w:trPr>
        <w:tc>
          <w:tcPr>
            <w:tcW w:w="1581" w:type="pct"/>
            <w:vMerge/>
            <w:shd w:val="clear" w:color="auto" w:fill="8EAADB" w:themeFill="accent1" w:themeFillTint="99"/>
            <w:vAlign w:val="center"/>
            <w:hideMark/>
          </w:tcPr>
          <w:p w14:paraId="62506C99"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426302D2"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7" w:type="pct"/>
            <w:vMerge/>
            <w:shd w:val="clear" w:color="auto" w:fill="8EAADB" w:themeFill="accent1" w:themeFillTint="99"/>
            <w:vAlign w:val="center"/>
            <w:hideMark/>
          </w:tcPr>
          <w:p w14:paraId="6B7018F0"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val="restart"/>
            <w:shd w:val="clear" w:color="auto" w:fill="8EAADB" w:themeFill="accent1" w:themeFillTint="99"/>
            <w:vAlign w:val="center"/>
            <w:hideMark/>
          </w:tcPr>
          <w:p w14:paraId="4679A98C" w14:textId="77777777" w:rsidR="00C55902" w:rsidRPr="00DC3810" w:rsidRDefault="00C55902" w:rsidP="00C55902">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1370" w:type="pct"/>
            <w:gridSpan w:val="2"/>
            <w:shd w:val="clear" w:color="auto" w:fill="8EAADB" w:themeFill="accent1" w:themeFillTint="99"/>
            <w:vAlign w:val="center"/>
            <w:hideMark/>
          </w:tcPr>
          <w:p w14:paraId="446A2B2A"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tym</w:t>
            </w:r>
          </w:p>
        </w:tc>
      </w:tr>
      <w:tr w:rsidR="00C55902" w:rsidRPr="00DC3810" w14:paraId="689EB6F5" w14:textId="77777777" w:rsidTr="00DC3810">
        <w:trPr>
          <w:trHeight w:val="450"/>
        </w:trPr>
        <w:tc>
          <w:tcPr>
            <w:tcW w:w="1581" w:type="pct"/>
            <w:vMerge/>
            <w:shd w:val="clear" w:color="auto" w:fill="8EAADB" w:themeFill="accent1" w:themeFillTint="99"/>
            <w:vAlign w:val="center"/>
            <w:hideMark/>
          </w:tcPr>
          <w:p w14:paraId="7405C2A0"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1C086CC3"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7" w:type="pct"/>
            <w:vMerge/>
            <w:shd w:val="clear" w:color="auto" w:fill="8EAADB" w:themeFill="accent1" w:themeFillTint="99"/>
            <w:vAlign w:val="center"/>
            <w:hideMark/>
          </w:tcPr>
          <w:p w14:paraId="0A413967"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0343DF9E" w14:textId="77777777" w:rsidR="00C55902" w:rsidRPr="00DC3810" w:rsidRDefault="00C55902" w:rsidP="00C55902">
            <w:pPr>
              <w:spacing w:after="0" w:line="240" w:lineRule="auto"/>
              <w:rPr>
                <w:rFonts w:ascii="Lato" w:eastAsia="Times New Roman" w:hAnsi="Lato" w:cs="Arial"/>
                <w:sz w:val="18"/>
                <w:szCs w:val="18"/>
                <w:lang w:eastAsia="pl-PL"/>
              </w:rPr>
            </w:pPr>
          </w:p>
        </w:tc>
        <w:tc>
          <w:tcPr>
            <w:tcW w:w="684" w:type="pct"/>
            <w:vMerge w:val="restart"/>
            <w:shd w:val="clear" w:color="auto" w:fill="8EAADB" w:themeFill="accent1" w:themeFillTint="99"/>
            <w:vAlign w:val="center"/>
            <w:hideMark/>
          </w:tcPr>
          <w:p w14:paraId="5DE6508B"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1-osobowe</w:t>
            </w:r>
          </w:p>
        </w:tc>
        <w:tc>
          <w:tcPr>
            <w:tcW w:w="686" w:type="pct"/>
            <w:vMerge w:val="restart"/>
            <w:shd w:val="clear" w:color="auto" w:fill="8EAADB" w:themeFill="accent1" w:themeFillTint="99"/>
            <w:vAlign w:val="center"/>
            <w:hideMark/>
          </w:tcPr>
          <w:p w14:paraId="67ACBB6A"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2-osobowe (obydwie osoby</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r>
      <w:tr w:rsidR="00C55902" w:rsidRPr="00DC3810" w14:paraId="3A38996E" w14:textId="77777777" w:rsidTr="00DC3810">
        <w:trPr>
          <w:trHeight w:val="450"/>
        </w:trPr>
        <w:tc>
          <w:tcPr>
            <w:tcW w:w="1581" w:type="pct"/>
            <w:vMerge/>
            <w:shd w:val="clear" w:color="auto" w:fill="8EAADB" w:themeFill="accent1" w:themeFillTint="99"/>
            <w:vAlign w:val="center"/>
            <w:hideMark/>
          </w:tcPr>
          <w:p w14:paraId="2BDDD2F6"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77F2E7CD"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7" w:type="pct"/>
            <w:vMerge/>
            <w:shd w:val="clear" w:color="auto" w:fill="8EAADB" w:themeFill="accent1" w:themeFillTint="99"/>
            <w:vAlign w:val="center"/>
            <w:hideMark/>
          </w:tcPr>
          <w:p w14:paraId="3CB3ABC5"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53D167A0" w14:textId="77777777" w:rsidR="00C55902" w:rsidRPr="00DC3810" w:rsidRDefault="00C55902" w:rsidP="00C55902">
            <w:pPr>
              <w:spacing w:after="0" w:line="240" w:lineRule="auto"/>
              <w:rPr>
                <w:rFonts w:ascii="Lato" w:eastAsia="Times New Roman" w:hAnsi="Lato" w:cs="Arial"/>
                <w:sz w:val="18"/>
                <w:szCs w:val="18"/>
                <w:lang w:eastAsia="pl-PL"/>
              </w:rPr>
            </w:pPr>
          </w:p>
        </w:tc>
        <w:tc>
          <w:tcPr>
            <w:tcW w:w="684" w:type="pct"/>
            <w:vMerge/>
            <w:shd w:val="clear" w:color="auto" w:fill="8EAADB" w:themeFill="accent1" w:themeFillTint="99"/>
            <w:vAlign w:val="center"/>
            <w:hideMark/>
          </w:tcPr>
          <w:p w14:paraId="238154C5"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6" w:type="pct"/>
            <w:vMerge/>
            <w:shd w:val="clear" w:color="auto" w:fill="8EAADB" w:themeFill="accent1" w:themeFillTint="99"/>
            <w:vAlign w:val="center"/>
            <w:hideMark/>
          </w:tcPr>
          <w:p w14:paraId="339DD5C5"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r>
      <w:tr w:rsidR="00C55902" w:rsidRPr="00DC3810" w14:paraId="69F279BF" w14:textId="77777777" w:rsidTr="00DC3810">
        <w:trPr>
          <w:trHeight w:val="450"/>
        </w:trPr>
        <w:tc>
          <w:tcPr>
            <w:tcW w:w="1581" w:type="pct"/>
            <w:vMerge/>
            <w:shd w:val="clear" w:color="auto" w:fill="8EAADB" w:themeFill="accent1" w:themeFillTint="99"/>
            <w:vAlign w:val="center"/>
            <w:hideMark/>
          </w:tcPr>
          <w:p w14:paraId="2862E7BB"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7560B172"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7" w:type="pct"/>
            <w:vMerge/>
            <w:shd w:val="clear" w:color="auto" w:fill="8EAADB" w:themeFill="accent1" w:themeFillTint="99"/>
            <w:vAlign w:val="center"/>
            <w:hideMark/>
          </w:tcPr>
          <w:p w14:paraId="19844B51"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1" w:type="pct"/>
            <w:vMerge/>
            <w:shd w:val="clear" w:color="auto" w:fill="8EAADB" w:themeFill="accent1" w:themeFillTint="99"/>
            <w:vAlign w:val="center"/>
            <w:hideMark/>
          </w:tcPr>
          <w:p w14:paraId="034A214B" w14:textId="77777777" w:rsidR="00C55902" w:rsidRPr="00DC3810" w:rsidRDefault="00C55902" w:rsidP="00C55902">
            <w:pPr>
              <w:spacing w:after="0" w:line="240" w:lineRule="auto"/>
              <w:rPr>
                <w:rFonts w:ascii="Lato" w:eastAsia="Times New Roman" w:hAnsi="Lato" w:cs="Arial"/>
                <w:sz w:val="18"/>
                <w:szCs w:val="18"/>
                <w:lang w:eastAsia="pl-PL"/>
              </w:rPr>
            </w:pPr>
          </w:p>
        </w:tc>
        <w:tc>
          <w:tcPr>
            <w:tcW w:w="684" w:type="pct"/>
            <w:vMerge/>
            <w:shd w:val="clear" w:color="auto" w:fill="8EAADB" w:themeFill="accent1" w:themeFillTint="99"/>
            <w:vAlign w:val="center"/>
            <w:hideMark/>
          </w:tcPr>
          <w:p w14:paraId="4DEBFCEF"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686" w:type="pct"/>
            <w:vMerge/>
            <w:shd w:val="clear" w:color="auto" w:fill="8EAADB" w:themeFill="accent1" w:themeFillTint="99"/>
            <w:vAlign w:val="center"/>
            <w:hideMark/>
          </w:tcPr>
          <w:p w14:paraId="715329A0"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r>
      <w:tr w:rsidR="00C55902" w:rsidRPr="00DC3810" w14:paraId="68D7F79E" w14:textId="77777777" w:rsidTr="00DC3810">
        <w:trPr>
          <w:trHeight w:val="300"/>
        </w:trPr>
        <w:tc>
          <w:tcPr>
            <w:tcW w:w="1581" w:type="pct"/>
            <w:vMerge/>
            <w:shd w:val="clear" w:color="auto" w:fill="8EAADB" w:themeFill="accent1" w:themeFillTint="99"/>
            <w:vAlign w:val="center"/>
            <w:hideMark/>
          </w:tcPr>
          <w:p w14:paraId="163575F2" w14:textId="77777777" w:rsidR="00C55902" w:rsidRPr="00DC3810" w:rsidRDefault="00C55902" w:rsidP="00C55902">
            <w:pPr>
              <w:spacing w:after="0" w:line="240" w:lineRule="auto"/>
              <w:rPr>
                <w:rFonts w:ascii="Lato" w:eastAsia="Times New Roman" w:hAnsi="Lato" w:cs="Arial"/>
                <w:color w:val="000000"/>
                <w:sz w:val="18"/>
                <w:szCs w:val="18"/>
                <w:lang w:eastAsia="pl-PL"/>
              </w:rPr>
            </w:pPr>
          </w:p>
        </w:tc>
        <w:tc>
          <w:tcPr>
            <w:tcW w:w="3419" w:type="pct"/>
            <w:gridSpan w:val="5"/>
            <w:shd w:val="clear" w:color="auto" w:fill="8EAADB" w:themeFill="accent1" w:themeFillTint="99"/>
            <w:vAlign w:val="center"/>
            <w:hideMark/>
          </w:tcPr>
          <w:p w14:paraId="1BFA8B6D"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 danej grupy gospodarstw</w:t>
            </w:r>
          </w:p>
        </w:tc>
      </w:tr>
      <w:tr w:rsidR="00C55902" w:rsidRPr="00DC3810" w14:paraId="305BA5B6" w14:textId="77777777" w:rsidTr="00DC3810">
        <w:trPr>
          <w:trHeight w:val="200"/>
        </w:trPr>
        <w:tc>
          <w:tcPr>
            <w:tcW w:w="5000" w:type="pct"/>
            <w:gridSpan w:val="6"/>
            <w:shd w:val="clear" w:color="auto" w:fill="auto"/>
            <w:vAlign w:val="center"/>
            <w:hideMark/>
          </w:tcPr>
          <w:p w14:paraId="40434922"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r>
      <w:tr w:rsidR="00C55902" w:rsidRPr="00DC3810" w14:paraId="60D50658" w14:textId="77777777" w:rsidTr="00C55902">
        <w:trPr>
          <w:trHeight w:val="300"/>
        </w:trPr>
        <w:tc>
          <w:tcPr>
            <w:tcW w:w="1581" w:type="pct"/>
            <w:shd w:val="clear" w:color="auto" w:fill="auto"/>
            <w:noWrap/>
            <w:vAlign w:val="center"/>
            <w:hideMark/>
          </w:tcPr>
          <w:p w14:paraId="46F10185" w14:textId="77777777" w:rsidR="00C55902" w:rsidRPr="00DC3810" w:rsidRDefault="00C55902" w:rsidP="00C55902">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81" w:type="pct"/>
            <w:shd w:val="clear" w:color="auto" w:fill="auto"/>
            <w:vAlign w:val="center"/>
            <w:hideMark/>
          </w:tcPr>
          <w:p w14:paraId="26D43352"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7" w:type="pct"/>
            <w:shd w:val="clear" w:color="auto" w:fill="auto"/>
            <w:vAlign w:val="center"/>
            <w:hideMark/>
          </w:tcPr>
          <w:p w14:paraId="35C188C3"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1" w:type="pct"/>
            <w:shd w:val="clear" w:color="auto" w:fill="auto"/>
            <w:vAlign w:val="center"/>
            <w:hideMark/>
          </w:tcPr>
          <w:p w14:paraId="5CA86E9D"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4" w:type="pct"/>
            <w:shd w:val="clear" w:color="auto" w:fill="auto"/>
            <w:vAlign w:val="center"/>
            <w:hideMark/>
          </w:tcPr>
          <w:p w14:paraId="44A86BB4"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6" w:type="pct"/>
            <w:shd w:val="clear" w:color="auto" w:fill="auto"/>
            <w:vAlign w:val="center"/>
            <w:hideMark/>
          </w:tcPr>
          <w:p w14:paraId="0C38BD19"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55902" w:rsidRPr="00DC3810" w14:paraId="7B54E996" w14:textId="77777777" w:rsidTr="00C55902">
        <w:trPr>
          <w:trHeight w:val="300"/>
        </w:trPr>
        <w:tc>
          <w:tcPr>
            <w:tcW w:w="1581" w:type="pct"/>
            <w:shd w:val="clear" w:color="auto" w:fill="auto"/>
            <w:vAlign w:val="center"/>
            <w:hideMark/>
          </w:tcPr>
          <w:p w14:paraId="67613C4D"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Rodzaj budynku:                   </w:t>
            </w:r>
          </w:p>
        </w:tc>
        <w:tc>
          <w:tcPr>
            <w:tcW w:w="681" w:type="pct"/>
            <w:shd w:val="clear" w:color="auto" w:fill="auto"/>
            <w:vAlign w:val="center"/>
            <w:hideMark/>
          </w:tcPr>
          <w:p w14:paraId="18534A1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4E4F02D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482CD6C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7B39A1D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6D02520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363BF729" w14:textId="77777777" w:rsidTr="00C55902">
        <w:trPr>
          <w:trHeight w:val="300"/>
        </w:trPr>
        <w:tc>
          <w:tcPr>
            <w:tcW w:w="1581" w:type="pct"/>
            <w:shd w:val="clear" w:color="auto" w:fill="auto"/>
            <w:vAlign w:val="center"/>
            <w:hideMark/>
          </w:tcPr>
          <w:p w14:paraId="03921522"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budynek wielorodzinny</w:t>
            </w:r>
          </w:p>
        </w:tc>
        <w:tc>
          <w:tcPr>
            <w:tcW w:w="681" w:type="pct"/>
            <w:shd w:val="clear" w:color="auto" w:fill="auto"/>
            <w:vAlign w:val="center"/>
            <w:hideMark/>
          </w:tcPr>
          <w:p w14:paraId="164173B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54,5</w:t>
            </w:r>
          </w:p>
        </w:tc>
        <w:tc>
          <w:tcPr>
            <w:tcW w:w="687" w:type="pct"/>
            <w:shd w:val="clear" w:color="auto" w:fill="auto"/>
            <w:vAlign w:val="center"/>
            <w:hideMark/>
          </w:tcPr>
          <w:p w14:paraId="680146C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50,9</w:t>
            </w:r>
          </w:p>
        </w:tc>
        <w:tc>
          <w:tcPr>
            <w:tcW w:w="681" w:type="pct"/>
            <w:shd w:val="clear" w:color="auto" w:fill="auto"/>
            <w:vAlign w:val="center"/>
            <w:hideMark/>
          </w:tcPr>
          <w:p w14:paraId="1405914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63,0</w:t>
            </w:r>
          </w:p>
        </w:tc>
        <w:tc>
          <w:tcPr>
            <w:tcW w:w="684" w:type="pct"/>
            <w:shd w:val="clear" w:color="auto" w:fill="auto"/>
            <w:vAlign w:val="center"/>
            <w:hideMark/>
          </w:tcPr>
          <w:p w14:paraId="34A2CE6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69,6</w:t>
            </w:r>
          </w:p>
        </w:tc>
        <w:tc>
          <w:tcPr>
            <w:tcW w:w="686" w:type="pct"/>
            <w:shd w:val="clear" w:color="auto" w:fill="auto"/>
            <w:vAlign w:val="center"/>
            <w:hideMark/>
          </w:tcPr>
          <w:p w14:paraId="64D4D9B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56,5</w:t>
            </w:r>
          </w:p>
        </w:tc>
      </w:tr>
      <w:tr w:rsidR="00C55902" w:rsidRPr="00DC3810" w14:paraId="27C8FD14" w14:textId="77777777" w:rsidTr="00C55902">
        <w:trPr>
          <w:trHeight w:val="300"/>
        </w:trPr>
        <w:tc>
          <w:tcPr>
            <w:tcW w:w="1581" w:type="pct"/>
            <w:shd w:val="clear" w:color="auto" w:fill="auto"/>
            <w:vAlign w:val="center"/>
            <w:hideMark/>
          </w:tcPr>
          <w:p w14:paraId="3585ABB9"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dom 1-rodzinny</w:t>
            </w:r>
          </w:p>
        </w:tc>
        <w:tc>
          <w:tcPr>
            <w:tcW w:w="681" w:type="pct"/>
            <w:shd w:val="clear" w:color="auto" w:fill="auto"/>
            <w:vAlign w:val="center"/>
            <w:hideMark/>
          </w:tcPr>
          <w:p w14:paraId="6419AB2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45,4</w:t>
            </w:r>
          </w:p>
        </w:tc>
        <w:tc>
          <w:tcPr>
            <w:tcW w:w="687" w:type="pct"/>
            <w:shd w:val="clear" w:color="auto" w:fill="auto"/>
            <w:vAlign w:val="center"/>
            <w:hideMark/>
          </w:tcPr>
          <w:p w14:paraId="47C7D3E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49,0</w:t>
            </w:r>
          </w:p>
        </w:tc>
        <w:tc>
          <w:tcPr>
            <w:tcW w:w="681" w:type="pct"/>
            <w:shd w:val="clear" w:color="auto" w:fill="auto"/>
            <w:vAlign w:val="center"/>
            <w:hideMark/>
          </w:tcPr>
          <w:p w14:paraId="581A265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36,8</w:t>
            </w:r>
          </w:p>
        </w:tc>
        <w:tc>
          <w:tcPr>
            <w:tcW w:w="684" w:type="pct"/>
            <w:shd w:val="clear" w:color="auto" w:fill="auto"/>
            <w:vAlign w:val="center"/>
            <w:hideMark/>
          </w:tcPr>
          <w:p w14:paraId="7E3E432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30,0</w:t>
            </w:r>
          </w:p>
        </w:tc>
        <w:tc>
          <w:tcPr>
            <w:tcW w:w="686" w:type="pct"/>
            <w:shd w:val="clear" w:color="auto" w:fill="auto"/>
            <w:vAlign w:val="center"/>
            <w:hideMark/>
          </w:tcPr>
          <w:p w14:paraId="35A4188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43,5</w:t>
            </w:r>
          </w:p>
        </w:tc>
      </w:tr>
      <w:tr w:rsidR="00C55902" w:rsidRPr="00DC3810" w14:paraId="0E1E12B4" w14:textId="77777777" w:rsidTr="00C55902">
        <w:trPr>
          <w:trHeight w:val="300"/>
        </w:trPr>
        <w:tc>
          <w:tcPr>
            <w:tcW w:w="1581" w:type="pct"/>
            <w:shd w:val="clear" w:color="auto" w:fill="auto"/>
            <w:vAlign w:val="center"/>
            <w:hideMark/>
          </w:tcPr>
          <w:p w14:paraId="64A1C181"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inny</w:t>
            </w:r>
          </w:p>
        </w:tc>
        <w:tc>
          <w:tcPr>
            <w:tcW w:w="681" w:type="pct"/>
            <w:shd w:val="clear" w:color="auto" w:fill="auto"/>
            <w:vAlign w:val="center"/>
            <w:hideMark/>
          </w:tcPr>
          <w:p w14:paraId="2C89588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87" w:type="pct"/>
            <w:shd w:val="clear" w:color="auto" w:fill="auto"/>
            <w:vAlign w:val="center"/>
            <w:hideMark/>
          </w:tcPr>
          <w:p w14:paraId="2C1593F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81" w:type="pct"/>
            <w:shd w:val="clear" w:color="auto" w:fill="auto"/>
            <w:vAlign w:val="center"/>
            <w:hideMark/>
          </w:tcPr>
          <w:p w14:paraId="52D99C8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0,2</w:t>
            </w:r>
          </w:p>
        </w:tc>
        <w:tc>
          <w:tcPr>
            <w:tcW w:w="684" w:type="pct"/>
            <w:shd w:val="clear" w:color="auto" w:fill="auto"/>
            <w:vAlign w:val="center"/>
            <w:hideMark/>
          </w:tcPr>
          <w:p w14:paraId="0155E8C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0,4</w:t>
            </w:r>
          </w:p>
        </w:tc>
        <w:tc>
          <w:tcPr>
            <w:tcW w:w="686" w:type="pct"/>
            <w:shd w:val="clear" w:color="auto" w:fill="auto"/>
            <w:vAlign w:val="center"/>
            <w:hideMark/>
          </w:tcPr>
          <w:p w14:paraId="57D064C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0,0</w:t>
            </w:r>
          </w:p>
        </w:tc>
      </w:tr>
      <w:tr w:rsidR="00C55902" w:rsidRPr="00DC3810" w14:paraId="08E74715" w14:textId="77777777" w:rsidTr="00C55902">
        <w:trPr>
          <w:trHeight w:val="300"/>
        </w:trPr>
        <w:tc>
          <w:tcPr>
            <w:tcW w:w="1581" w:type="pct"/>
            <w:shd w:val="clear" w:color="auto" w:fill="auto"/>
            <w:vAlign w:val="center"/>
            <w:hideMark/>
          </w:tcPr>
          <w:p w14:paraId="32C03D5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wyposażone w: </w:t>
            </w:r>
          </w:p>
        </w:tc>
        <w:tc>
          <w:tcPr>
            <w:tcW w:w="681" w:type="pct"/>
            <w:shd w:val="clear" w:color="auto" w:fill="auto"/>
            <w:vAlign w:val="center"/>
            <w:hideMark/>
          </w:tcPr>
          <w:p w14:paraId="13FCE93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688B19C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3B68AF6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3A1CC5A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7CD8427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12D3B544" w14:textId="77777777" w:rsidTr="00C55902">
        <w:trPr>
          <w:trHeight w:val="300"/>
        </w:trPr>
        <w:tc>
          <w:tcPr>
            <w:tcW w:w="1581" w:type="pct"/>
            <w:shd w:val="clear" w:color="auto" w:fill="auto"/>
            <w:vAlign w:val="center"/>
            <w:hideMark/>
          </w:tcPr>
          <w:p w14:paraId="2B9EA887"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wodociąg</w:t>
            </w:r>
          </w:p>
        </w:tc>
        <w:tc>
          <w:tcPr>
            <w:tcW w:w="681" w:type="pct"/>
            <w:shd w:val="clear" w:color="auto" w:fill="auto"/>
            <w:vAlign w:val="center"/>
            <w:hideMark/>
          </w:tcPr>
          <w:p w14:paraId="00B409D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87" w:type="pct"/>
            <w:shd w:val="clear" w:color="auto" w:fill="auto"/>
            <w:vAlign w:val="center"/>
            <w:hideMark/>
          </w:tcPr>
          <w:p w14:paraId="15EABCA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99,9</w:t>
            </w:r>
          </w:p>
        </w:tc>
        <w:tc>
          <w:tcPr>
            <w:tcW w:w="681" w:type="pct"/>
            <w:shd w:val="clear" w:color="auto" w:fill="auto"/>
            <w:vAlign w:val="center"/>
            <w:hideMark/>
          </w:tcPr>
          <w:p w14:paraId="6953041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99,8</w:t>
            </w:r>
          </w:p>
        </w:tc>
        <w:tc>
          <w:tcPr>
            <w:tcW w:w="684" w:type="pct"/>
            <w:shd w:val="clear" w:color="auto" w:fill="auto"/>
            <w:vAlign w:val="center"/>
            <w:hideMark/>
          </w:tcPr>
          <w:p w14:paraId="30D0D40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99,8</w:t>
            </w:r>
          </w:p>
        </w:tc>
        <w:tc>
          <w:tcPr>
            <w:tcW w:w="686" w:type="pct"/>
            <w:shd w:val="clear" w:color="auto" w:fill="auto"/>
            <w:vAlign w:val="center"/>
            <w:hideMark/>
          </w:tcPr>
          <w:p w14:paraId="56625D9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99,9</w:t>
            </w:r>
          </w:p>
        </w:tc>
      </w:tr>
      <w:tr w:rsidR="00C55902" w:rsidRPr="00DC3810" w14:paraId="112BD3A5" w14:textId="77777777" w:rsidTr="00C55902">
        <w:trPr>
          <w:trHeight w:val="300"/>
        </w:trPr>
        <w:tc>
          <w:tcPr>
            <w:tcW w:w="1581" w:type="pct"/>
            <w:shd w:val="clear" w:color="auto" w:fill="auto"/>
            <w:vAlign w:val="center"/>
            <w:hideMark/>
          </w:tcPr>
          <w:p w14:paraId="5EDDB284"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ustęp spłukiwany</w:t>
            </w:r>
          </w:p>
        </w:tc>
        <w:tc>
          <w:tcPr>
            <w:tcW w:w="681" w:type="pct"/>
            <w:shd w:val="clear" w:color="auto" w:fill="auto"/>
            <w:vAlign w:val="center"/>
            <w:hideMark/>
          </w:tcPr>
          <w:p w14:paraId="7A16505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c>
          <w:tcPr>
            <w:tcW w:w="687" w:type="pct"/>
            <w:shd w:val="clear" w:color="auto" w:fill="auto"/>
            <w:vAlign w:val="center"/>
            <w:hideMark/>
          </w:tcPr>
          <w:p w14:paraId="4515D48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98,9</w:t>
            </w:r>
          </w:p>
        </w:tc>
        <w:tc>
          <w:tcPr>
            <w:tcW w:w="681" w:type="pct"/>
            <w:shd w:val="clear" w:color="auto" w:fill="auto"/>
            <w:vAlign w:val="center"/>
            <w:hideMark/>
          </w:tcPr>
          <w:p w14:paraId="718729A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98,8</w:t>
            </w:r>
          </w:p>
        </w:tc>
        <w:tc>
          <w:tcPr>
            <w:tcW w:w="684" w:type="pct"/>
            <w:shd w:val="clear" w:color="auto" w:fill="auto"/>
            <w:vAlign w:val="center"/>
            <w:hideMark/>
          </w:tcPr>
          <w:p w14:paraId="69564AC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98,2</w:t>
            </w:r>
          </w:p>
        </w:tc>
        <w:tc>
          <w:tcPr>
            <w:tcW w:w="686" w:type="pct"/>
            <w:shd w:val="clear" w:color="auto" w:fill="auto"/>
            <w:vAlign w:val="center"/>
            <w:hideMark/>
          </w:tcPr>
          <w:p w14:paraId="2E8097F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r>
      <w:tr w:rsidR="00C55902" w:rsidRPr="00DC3810" w14:paraId="00B46EBA" w14:textId="77777777" w:rsidTr="00C55902">
        <w:trPr>
          <w:trHeight w:val="300"/>
        </w:trPr>
        <w:tc>
          <w:tcPr>
            <w:tcW w:w="1581" w:type="pct"/>
            <w:shd w:val="clear" w:color="auto" w:fill="auto"/>
            <w:vAlign w:val="center"/>
            <w:hideMark/>
          </w:tcPr>
          <w:p w14:paraId="596321AE"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łazienkę</w:t>
            </w:r>
          </w:p>
        </w:tc>
        <w:tc>
          <w:tcPr>
            <w:tcW w:w="681" w:type="pct"/>
            <w:shd w:val="clear" w:color="auto" w:fill="auto"/>
            <w:vAlign w:val="center"/>
            <w:hideMark/>
          </w:tcPr>
          <w:p w14:paraId="4B0FE7A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99,2</w:t>
            </w:r>
          </w:p>
        </w:tc>
        <w:tc>
          <w:tcPr>
            <w:tcW w:w="687" w:type="pct"/>
            <w:shd w:val="clear" w:color="auto" w:fill="auto"/>
            <w:vAlign w:val="center"/>
            <w:hideMark/>
          </w:tcPr>
          <w:p w14:paraId="3C36CA8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98,8</w:t>
            </w:r>
          </w:p>
        </w:tc>
        <w:tc>
          <w:tcPr>
            <w:tcW w:w="681" w:type="pct"/>
            <w:shd w:val="clear" w:color="auto" w:fill="auto"/>
            <w:vAlign w:val="center"/>
            <w:hideMark/>
          </w:tcPr>
          <w:p w14:paraId="1D04AD9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98,6</w:t>
            </w:r>
          </w:p>
        </w:tc>
        <w:tc>
          <w:tcPr>
            <w:tcW w:w="684" w:type="pct"/>
            <w:shd w:val="clear" w:color="auto" w:fill="auto"/>
            <w:vAlign w:val="center"/>
            <w:hideMark/>
          </w:tcPr>
          <w:p w14:paraId="5783EF5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97,9</w:t>
            </w:r>
          </w:p>
        </w:tc>
        <w:tc>
          <w:tcPr>
            <w:tcW w:w="686" w:type="pct"/>
            <w:shd w:val="clear" w:color="auto" w:fill="auto"/>
            <w:vAlign w:val="center"/>
            <w:hideMark/>
          </w:tcPr>
          <w:p w14:paraId="7B82B28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r>
      <w:tr w:rsidR="00C55902" w:rsidRPr="00DC3810" w14:paraId="2C2D6C4E" w14:textId="77777777" w:rsidTr="00C55902">
        <w:trPr>
          <w:trHeight w:val="300"/>
        </w:trPr>
        <w:tc>
          <w:tcPr>
            <w:tcW w:w="1581" w:type="pct"/>
            <w:shd w:val="clear" w:color="auto" w:fill="auto"/>
            <w:vAlign w:val="center"/>
            <w:hideMark/>
          </w:tcPr>
          <w:p w14:paraId="250885AD"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ciepłą wodę bieżącą</w:t>
            </w:r>
          </w:p>
        </w:tc>
        <w:tc>
          <w:tcPr>
            <w:tcW w:w="681" w:type="pct"/>
            <w:shd w:val="clear" w:color="auto" w:fill="auto"/>
            <w:vAlign w:val="center"/>
            <w:hideMark/>
          </w:tcPr>
          <w:p w14:paraId="52FD08D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99,6</w:t>
            </w:r>
          </w:p>
        </w:tc>
        <w:tc>
          <w:tcPr>
            <w:tcW w:w="687" w:type="pct"/>
            <w:shd w:val="clear" w:color="auto" w:fill="auto"/>
            <w:vAlign w:val="center"/>
            <w:hideMark/>
          </w:tcPr>
          <w:p w14:paraId="504971B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99,3</w:t>
            </w:r>
          </w:p>
        </w:tc>
        <w:tc>
          <w:tcPr>
            <w:tcW w:w="681" w:type="pct"/>
            <w:shd w:val="clear" w:color="auto" w:fill="auto"/>
            <w:vAlign w:val="center"/>
            <w:hideMark/>
          </w:tcPr>
          <w:p w14:paraId="2C9C6BD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99,0</w:t>
            </w:r>
          </w:p>
        </w:tc>
        <w:tc>
          <w:tcPr>
            <w:tcW w:w="684" w:type="pct"/>
            <w:shd w:val="clear" w:color="auto" w:fill="auto"/>
            <w:vAlign w:val="center"/>
            <w:hideMark/>
          </w:tcPr>
          <w:p w14:paraId="07E1382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98,5</w:t>
            </w:r>
          </w:p>
        </w:tc>
        <w:tc>
          <w:tcPr>
            <w:tcW w:w="686" w:type="pct"/>
            <w:shd w:val="clear" w:color="auto" w:fill="auto"/>
            <w:vAlign w:val="center"/>
            <w:hideMark/>
          </w:tcPr>
          <w:p w14:paraId="6634C48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99,6</w:t>
            </w:r>
          </w:p>
        </w:tc>
      </w:tr>
      <w:tr w:rsidR="00C55902" w:rsidRPr="00DC3810" w14:paraId="35804C5A" w14:textId="77777777" w:rsidTr="00C55902">
        <w:trPr>
          <w:trHeight w:val="300"/>
        </w:trPr>
        <w:tc>
          <w:tcPr>
            <w:tcW w:w="1581" w:type="pct"/>
            <w:shd w:val="clear" w:color="auto" w:fill="auto"/>
            <w:vAlign w:val="center"/>
            <w:hideMark/>
          </w:tcPr>
          <w:p w14:paraId="65A0C653"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w:t>
            </w:r>
          </w:p>
        </w:tc>
        <w:tc>
          <w:tcPr>
            <w:tcW w:w="681" w:type="pct"/>
            <w:shd w:val="clear" w:color="auto" w:fill="auto"/>
            <w:vAlign w:val="center"/>
            <w:hideMark/>
          </w:tcPr>
          <w:p w14:paraId="63E53DC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80,6</w:t>
            </w:r>
          </w:p>
        </w:tc>
        <w:tc>
          <w:tcPr>
            <w:tcW w:w="687" w:type="pct"/>
            <w:shd w:val="clear" w:color="auto" w:fill="auto"/>
            <w:vAlign w:val="center"/>
            <w:hideMark/>
          </w:tcPr>
          <w:p w14:paraId="6C7F32F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91,9</w:t>
            </w:r>
          </w:p>
        </w:tc>
        <w:tc>
          <w:tcPr>
            <w:tcW w:w="681" w:type="pct"/>
            <w:shd w:val="clear" w:color="auto" w:fill="auto"/>
            <w:vAlign w:val="center"/>
            <w:hideMark/>
          </w:tcPr>
          <w:p w14:paraId="66D3E2E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91,5</w:t>
            </w:r>
          </w:p>
        </w:tc>
        <w:tc>
          <w:tcPr>
            <w:tcW w:w="684" w:type="pct"/>
            <w:shd w:val="clear" w:color="auto" w:fill="auto"/>
            <w:vAlign w:val="center"/>
            <w:hideMark/>
          </w:tcPr>
          <w:p w14:paraId="69B3E35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90,9</w:t>
            </w:r>
          </w:p>
        </w:tc>
        <w:tc>
          <w:tcPr>
            <w:tcW w:w="686" w:type="pct"/>
            <w:shd w:val="clear" w:color="auto" w:fill="auto"/>
            <w:vAlign w:val="center"/>
            <w:hideMark/>
          </w:tcPr>
          <w:p w14:paraId="3524BE3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92,1</w:t>
            </w:r>
          </w:p>
        </w:tc>
      </w:tr>
      <w:tr w:rsidR="00C55902" w:rsidRPr="00DC3810" w14:paraId="0A4BAFCB" w14:textId="77777777" w:rsidTr="00C55902">
        <w:trPr>
          <w:trHeight w:val="300"/>
        </w:trPr>
        <w:tc>
          <w:tcPr>
            <w:tcW w:w="1581" w:type="pct"/>
            <w:shd w:val="clear" w:color="auto" w:fill="auto"/>
            <w:vAlign w:val="center"/>
            <w:hideMark/>
          </w:tcPr>
          <w:p w14:paraId="15FDD91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sieci</w:t>
            </w:r>
          </w:p>
        </w:tc>
        <w:tc>
          <w:tcPr>
            <w:tcW w:w="681" w:type="pct"/>
            <w:shd w:val="clear" w:color="auto" w:fill="auto"/>
            <w:vAlign w:val="center"/>
            <w:hideMark/>
          </w:tcPr>
          <w:p w14:paraId="467CEF6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54,5</w:t>
            </w:r>
          </w:p>
        </w:tc>
        <w:tc>
          <w:tcPr>
            <w:tcW w:w="687" w:type="pct"/>
            <w:shd w:val="clear" w:color="auto" w:fill="auto"/>
            <w:vAlign w:val="center"/>
            <w:hideMark/>
          </w:tcPr>
          <w:p w14:paraId="41F97C9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60,3</w:t>
            </w:r>
          </w:p>
        </w:tc>
        <w:tc>
          <w:tcPr>
            <w:tcW w:w="681" w:type="pct"/>
            <w:shd w:val="clear" w:color="auto" w:fill="auto"/>
            <w:vAlign w:val="center"/>
            <w:hideMark/>
          </w:tcPr>
          <w:p w14:paraId="1B2E7B5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67,8</w:t>
            </w:r>
          </w:p>
        </w:tc>
        <w:tc>
          <w:tcPr>
            <w:tcW w:w="684" w:type="pct"/>
            <w:shd w:val="clear" w:color="auto" w:fill="auto"/>
            <w:vAlign w:val="center"/>
            <w:hideMark/>
          </w:tcPr>
          <w:p w14:paraId="613E661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66,3</w:t>
            </w:r>
          </w:p>
        </w:tc>
        <w:tc>
          <w:tcPr>
            <w:tcW w:w="686" w:type="pct"/>
            <w:shd w:val="clear" w:color="auto" w:fill="auto"/>
            <w:vAlign w:val="center"/>
            <w:hideMark/>
          </w:tcPr>
          <w:p w14:paraId="31DF3DA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69,8</w:t>
            </w:r>
          </w:p>
        </w:tc>
      </w:tr>
      <w:tr w:rsidR="00C55902" w:rsidRPr="00DC3810" w14:paraId="48214801" w14:textId="77777777" w:rsidTr="00C55902">
        <w:trPr>
          <w:trHeight w:val="300"/>
        </w:trPr>
        <w:tc>
          <w:tcPr>
            <w:tcW w:w="1581" w:type="pct"/>
            <w:shd w:val="clear" w:color="auto" w:fill="auto"/>
            <w:vAlign w:val="center"/>
            <w:hideMark/>
          </w:tcPr>
          <w:p w14:paraId="14A3B153"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butli</w:t>
            </w:r>
          </w:p>
        </w:tc>
        <w:tc>
          <w:tcPr>
            <w:tcW w:w="681" w:type="pct"/>
            <w:shd w:val="clear" w:color="auto" w:fill="auto"/>
            <w:vAlign w:val="center"/>
            <w:hideMark/>
          </w:tcPr>
          <w:p w14:paraId="66D687E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26,1</w:t>
            </w:r>
          </w:p>
        </w:tc>
        <w:tc>
          <w:tcPr>
            <w:tcW w:w="687" w:type="pct"/>
            <w:shd w:val="clear" w:color="auto" w:fill="auto"/>
            <w:vAlign w:val="center"/>
            <w:hideMark/>
          </w:tcPr>
          <w:p w14:paraId="4F2999F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31,6</w:t>
            </w:r>
          </w:p>
        </w:tc>
        <w:tc>
          <w:tcPr>
            <w:tcW w:w="681" w:type="pct"/>
            <w:shd w:val="clear" w:color="auto" w:fill="auto"/>
            <w:vAlign w:val="center"/>
            <w:hideMark/>
          </w:tcPr>
          <w:p w14:paraId="0A037C4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23,7</w:t>
            </w:r>
          </w:p>
        </w:tc>
        <w:tc>
          <w:tcPr>
            <w:tcW w:w="684" w:type="pct"/>
            <w:shd w:val="clear" w:color="auto" w:fill="auto"/>
            <w:vAlign w:val="center"/>
            <w:hideMark/>
          </w:tcPr>
          <w:p w14:paraId="42C3A5C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24,6</w:t>
            </w:r>
          </w:p>
        </w:tc>
        <w:tc>
          <w:tcPr>
            <w:tcW w:w="686" w:type="pct"/>
            <w:shd w:val="clear" w:color="auto" w:fill="auto"/>
            <w:vAlign w:val="center"/>
            <w:hideMark/>
          </w:tcPr>
          <w:p w14:paraId="66BCACE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22,3</w:t>
            </w:r>
          </w:p>
        </w:tc>
      </w:tr>
      <w:tr w:rsidR="00C55902" w:rsidRPr="00DC3810" w14:paraId="146C0D10" w14:textId="77777777" w:rsidTr="00C55902">
        <w:trPr>
          <w:trHeight w:val="300"/>
        </w:trPr>
        <w:tc>
          <w:tcPr>
            <w:tcW w:w="1581" w:type="pct"/>
            <w:shd w:val="clear" w:color="auto" w:fill="auto"/>
            <w:vAlign w:val="center"/>
            <w:hideMark/>
          </w:tcPr>
          <w:p w14:paraId="3FD42CB3"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klimatyzację</w:t>
            </w:r>
          </w:p>
        </w:tc>
        <w:tc>
          <w:tcPr>
            <w:tcW w:w="681" w:type="pct"/>
            <w:shd w:val="clear" w:color="auto" w:fill="auto"/>
            <w:vAlign w:val="center"/>
            <w:hideMark/>
          </w:tcPr>
          <w:p w14:paraId="49C39CC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w:t>
            </w:r>
          </w:p>
        </w:tc>
        <w:tc>
          <w:tcPr>
            <w:tcW w:w="687" w:type="pct"/>
            <w:shd w:val="clear" w:color="auto" w:fill="auto"/>
            <w:vAlign w:val="center"/>
            <w:hideMark/>
          </w:tcPr>
          <w:p w14:paraId="7063532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c>
          <w:tcPr>
            <w:tcW w:w="681" w:type="pct"/>
            <w:shd w:val="clear" w:color="auto" w:fill="auto"/>
            <w:vAlign w:val="center"/>
            <w:hideMark/>
          </w:tcPr>
          <w:p w14:paraId="2D7970C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w:t>
            </w:r>
          </w:p>
        </w:tc>
        <w:tc>
          <w:tcPr>
            <w:tcW w:w="684" w:type="pct"/>
            <w:shd w:val="clear" w:color="auto" w:fill="auto"/>
            <w:vAlign w:val="center"/>
            <w:hideMark/>
          </w:tcPr>
          <w:p w14:paraId="26E8874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c>
          <w:tcPr>
            <w:tcW w:w="686" w:type="pct"/>
            <w:shd w:val="clear" w:color="auto" w:fill="auto"/>
            <w:vAlign w:val="center"/>
            <w:hideMark/>
          </w:tcPr>
          <w:p w14:paraId="419B0B8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w:t>
            </w:r>
          </w:p>
        </w:tc>
      </w:tr>
      <w:tr w:rsidR="00C55902" w:rsidRPr="00DC3810" w14:paraId="664F8116" w14:textId="77777777" w:rsidTr="00C55902">
        <w:trPr>
          <w:trHeight w:val="300"/>
        </w:trPr>
        <w:tc>
          <w:tcPr>
            <w:tcW w:w="1581" w:type="pct"/>
            <w:shd w:val="clear" w:color="auto" w:fill="auto"/>
            <w:vAlign w:val="center"/>
            <w:hideMark/>
          </w:tcPr>
          <w:p w14:paraId="103DC90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ogrzewanie centralne</w:t>
            </w:r>
          </w:p>
        </w:tc>
        <w:tc>
          <w:tcPr>
            <w:tcW w:w="681" w:type="pct"/>
            <w:shd w:val="clear" w:color="auto" w:fill="auto"/>
            <w:vAlign w:val="center"/>
            <w:hideMark/>
          </w:tcPr>
          <w:p w14:paraId="2D54C29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87,0</w:t>
            </w:r>
          </w:p>
        </w:tc>
        <w:tc>
          <w:tcPr>
            <w:tcW w:w="687" w:type="pct"/>
            <w:shd w:val="clear" w:color="auto" w:fill="auto"/>
            <w:vAlign w:val="center"/>
            <w:hideMark/>
          </w:tcPr>
          <w:p w14:paraId="27BA008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86,3</w:t>
            </w:r>
          </w:p>
        </w:tc>
        <w:tc>
          <w:tcPr>
            <w:tcW w:w="681" w:type="pct"/>
            <w:shd w:val="clear" w:color="auto" w:fill="auto"/>
            <w:vAlign w:val="center"/>
            <w:hideMark/>
          </w:tcPr>
          <w:p w14:paraId="25B34DE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86,4</w:t>
            </w:r>
          </w:p>
        </w:tc>
        <w:tc>
          <w:tcPr>
            <w:tcW w:w="684" w:type="pct"/>
            <w:shd w:val="clear" w:color="auto" w:fill="auto"/>
            <w:vAlign w:val="center"/>
            <w:hideMark/>
          </w:tcPr>
          <w:p w14:paraId="6AC0715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85,0</w:t>
            </w:r>
          </w:p>
        </w:tc>
        <w:tc>
          <w:tcPr>
            <w:tcW w:w="686" w:type="pct"/>
            <w:shd w:val="clear" w:color="auto" w:fill="auto"/>
            <w:vAlign w:val="center"/>
            <w:hideMark/>
          </w:tcPr>
          <w:p w14:paraId="73C9931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88,1</w:t>
            </w:r>
          </w:p>
        </w:tc>
      </w:tr>
      <w:tr w:rsidR="00C55902" w:rsidRPr="00DC3810" w14:paraId="641725ED" w14:textId="77777777" w:rsidTr="00C55902">
        <w:trPr>
          <w:trHeight w:val="300"/>
        </w:trPr>
        <w:tc>
          <w:tcPr>
            <w:tcW w:w="1581" w:type="pct"/>
            <w:shd w:val="clear" w:color="auto" w:fill="auto"/>
            <w:vAlign w:val="center"/>
            <w:hideMark/>
          </w:tcPr>
          <w:p w14:paraId="131805E8"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piece </w:t>
            </w:r>
          </w:p>
        </w:tc>
        <w:tc>
          <w:tcPr>
            <w:tcW w:w="681" w:type="pct"/>
            <w:shd w:val="clear" w:color="auto" w:fill="auto"/>
            <w:vAlign w:val="center"/>
            <w:hideMark/>
          </w:tcPr>
          <w:p w14:paraId="1BA751C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12,8</w:t>
            </w:r>
          </w:p>
        </w:tc>
        <w:tc>
          <w:tcPr>
            <w:tcW w:w="687" w:type="pct"/>
            <w:shd w:val="clear" w:color="auto" w:fill="auto"/>
            <w:vAlign w:val="center"/>
            <w:hideMark/>
          </w:tcPr>
          <w:p w14:paraId="7CF7FCA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13,5</w:t>
            </w:r>
          </w:p>
        </w:tc>
        <w:tc>
          <w:tcPr>
            <w:tcW w:w="681" w:type="pct"/>
            <w:shd w:val="clear" w:color="auto" w:fill="auto"/>
            <w:vAlign w:val="center"/>
            <w:hideMark/>
          </w:tcPr>
          <w:p w14:paraId="50A38A1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13,5</w:t>
            </w:r>
          </w:p>
        </w:tc>
        <w:tc>
          <w:tcPr>
            <w:tcW w:w="684" w:type="pct"/>
            <w:shd w:val="clear" w:color="auto" w:fill="auto"/>
            <w:vAlign w:val="center"/>
            <w:hideMark/>
          </w:tcPr>
          <w:p w14:paraId="2CF4CFC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14,8</w:t>
            </w:r>
          </w:p>
        </w:tc>
        <w:tc>
          <w:tcPr>
            <w:tcW w:w="686" w:type="pct"/>
            <w:shd w:val="clear" w:color="auto" w:fill="auto"/>
            <w:vAlign w:val="center"/>
            <w:hideMark/>
          </w:tcPr>
          <w:p w14:paraId="46D4973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11,8</w:t>
            </w:r>
          </w:p>
        </w:tc>
      </w:tr>
      <w:tr w:rsidR="00C55902" w:rsidRPr="00DC3810" w14:paraId="12FC0D1D" w14:textId="77777777" w:rsidTr="00C55902">
        <w:trPr>
          <w:trHeight w:val="720"/>
        </w:trPr>
        <w:tc>
          <w:tcPr>
            <w:tcW w:w="1581" w:type="pct"/>
            <w:shd w:val="clear" w:color="auto" w:fill="auto"/>
            <w:vAlign w:val="center"/>
            <w:hideMark/>
          </w:tcPr>
          <w:p w14:paraId="6716E976"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 powierzchnia użytkowa mieszkania zajmowana przez gosp. domowe w m</w:t>
            </w:r>
            <w:r w:rsidRPr="00DC3810">
              <w:rPr>
                <w:rFonts w:ascii="Lato" w:eastAsia="Times New Roman" w:hAnsi="Lato" w:cs="Arial"/>
                <w:color w:val="000000"/>
                <w:sz w:val="18"/>
                <w:szCs w:val="18"/>
                <w:vertAlign w:val="superscript"/>
                <w:lang w:eastAsia="pl-PL"/>
              </w:rPr>
              <w:t>2</w:t>
            </w:r>
            <w:r w:rsidRPr="00DC3810">
              <w:rPr>
                <w:rFonts w:ascii="Lato" w:eastAsia="Times New Roman" w:hAnsi="Lato" w:cs="Arial"/>
                <w:color w:val="000000"/>
                <w:sz w:val="18"/>
                <w:szCs w:val="18"/>
                <w:lang w:eastAsia="pl-PL"/>
              </w:rPr>
              <w:t xml:space="preserve"> na 1 gospodarstwo domowe</w:t>
            </w:r>
          </w:p>
        </w:tc>
        <w:tc>
          <w:tcPr>
            <w:tcW w:w="681" w:type="pct"/>
            <w:shd w:val="clear" w:color="auto" w:fill="auto"/>
            <w:vAlign w:val="center"/>
            <w:hideMark/>
          </w:tcPr>
          <w:p w14:paraId="7507311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86,4</w:t>
            </w:r>
          </w:p>
        </w:tc>
        <w:tc>
          <w:tcPr>
            <w:tcW w:w="687" w:type="pct"/>
            <w:shd w:val="clear" w:color="auto" w:fill="auto"/>
            <w:vAlign w:val="center"/>
            <w:hideMark/>
          </w:tcPr>
          <w:p w14:paraId="2FF2A49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86,0</w:t>
            </w:r>
          </w:p>
        </w:tc>
        <w:tc>
          <w:tcPr>
            <w:tcW w:w="681" w:type="pct"/>
            <w:shd w:val="clear" w:color="auto" w:fill="auto"/>
            <w:vAlign w:val="center"/>
            <w:hideMark/>
          </w:tcPr>
          <w:p w14:paraId="0AA1AE2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71,2</w:t>
            </w:r>
          </w:p>
        </w:tc>
        <w:tc>
          <w:tcPr>
            <w:tcW w:w="684" w:type="pct"/>
            <w:shd w:val="clear" w:color="auto" w:fill="auto"/>
            <w:vAlign w:val="center"/>
            <w:hideMark/>
          </w:tcPr>
          <w:p w14:paraId="77A2812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60,8</w:t>
            </w:r>
          </w:p>
        </w:tc>
        <w:tc>
          <w:tcPr>
            <w:tcW w:w="686" w:type="pct"/>
            <w:shd w:val="clear" w:color="auto" w:fill="auto"/>
            <w:vAlign w:val="center"/>
            <w:hideMark/>
          </w:tcPr>
          <w:p w14:paraId="3040B7F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82,3</w:t>
            </w:r>
          </w:p>
        </w:tc>
      </w:tr>
      <w:tr w:rsidR="00C55902" w:rsidRPr="00DC3810" w14:paraId="409D93BE" w14:textId="77777777" w:rsidTr="00DC3810">
        <w:trPr>
          <w:trHeight w:val="104"/>
        </w:trPr>
        <w:tc>
          <w:tcPr>
            <w:tcW w:w="5000" w:type="pct"/>
            <w:gridSpan w:val="6"/>
            <w:shd w:val="clear" w:color="auto" w:fill="auto"/>
            <w:vAlign w:val="center"/>
            <w:hideMark/>
          </w:tcPr>
          <w:p w14:paraId="6A8FDA97"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MIASTA</w:t>
            </w:r>
          </w:p>
        </w:tc>
      </w:tr>
      <w:tr w:rsidR="00C55902" w:rsidRPr="00DC3810" w14:paraId="0A8F56BF" w14:textId="77777777" w:rsidTr="00C55902">
        <w:trPr>
          <w:trHeight w:val="300"/>
        </w:trPr>
        <w:tc>
          <w:tcPr>
            <w:tcW w:w="1581" w:type="pct"/>
            <w:shd w:val="clear" w:color="auto" w:fill="auto"/>
            <w:noWrap/>
            <w:vAlign w:val="center"/>
            <w:hideMark/>
          </w:tcPr>
          <w:p w14:paraId="7839A70D" w14:textId="77777777" w:rsidR="00C55902" w:rsidRPr="00DC3810" w:rsidRDefault="00C55902" w:rsidP="00C55902">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81" w:type="pct"/>
            <w:shd w:val="clear" w:color="auto" w:fill="auto"/>
            <w:vAlign w:val="center"/>
            <w:hideMark/>
          </w:tcPr>
          <w:p w14:paraId="56CAA56B"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7" w:type="pct"/>
            <w:shd w:val="clear" w:color="auto" w:fill="auto"/>
            <w:vAlign w:val="center"/>
            <w:hideMark/>
          </w:tcPr>
          <w:p w14:paraId="3738D1EA"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1" w:type="pct"/>
            <w:shd w:val="clear" w:color="auto" w:fill="auto"/>
            <w:vAlign w:val="center"/>
            <w:hideMark/>
          </w:tcPr>
          <w:p w14:paraId="19D9C1E5"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4" w:type="pct"/>
            <w:shd w:val="clear" w:color="auto" w:fill="auto"/>
            <w:vAlign w:val="center"/>
            <w:hideMark/>
          </w:tcPr>
          <w:p w14:paraId="51F03765"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6" w:type="pct"/>
            <w:shd w:val="clear" w:color="auto" w:fill="auto"/>
            <w:vAlign w:val="center"/>
            <w:hideMark/>
          </w:tcPr>
          <w:p w14:paraId="078A094B"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55902" w:rsidRPr="00DC3810" w14:paraId="5A585A5E" w14:textId="77777777" w:rsidTr="00C55902">
        <w:trPr>
          <w:trHeight w:val="300"/>
        </w:trPr>
        <w:tc>
          <w:tcPr>
            <w:tcW w:w="1581" w:type="pct"/>
            <w:shd w:val="clear" w:color="auto" w:fill="auto"/>
            <w:vAlign w:val="center"/>
            <w:hideMark/>
          </w:tcPr>
          <w:p w14:paraId="37FF915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Rodzaj budynku:                   </w:t>
            </w:r>
          </w:p>
        </w:tc>
        <w:tc>
          <w:tcPr>
            <w:tcW w:w="681" w:type="pct"/>
            <w:shd w:val="clear" w:color="auto" w:fill="auto"/>
            <w:vAlign w:val="center"/>
            <w:hideMark/>
          </w:tcPr>
          <w:p w14:paraId="62767F2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76F9EEB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6D48992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15278A7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28F8AED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2821510A" w14:textId="77777777" w:rsidTr="00C55902">
        <w:trPr>
          <w:trHeight w:val="300"/>
        </w:trPr>
        <w:tc>
          <w:tcPr>
            <w:tcW w:w="1581" w:type="pct"/>
            <w:shd w:val="clear" w:color="auto" w:fill="auto"/>
            <w:vAlign w:val="center"/>
            <w:hideMark/>
          </w:tcPr>
          <w:p w14:paraId="0A8FB925"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budynek wielorodzinny</w:t>
            </w:r>
          </w:p>
        </w:tc>
        <w:tc>
          <w:tcPr>
            <w:tcW w:w="681" w:type="pct"/>
            <w:shd w:val="clear" w:color="auto" w:fill="auto"/>
            <w:vAlign w:val="center"/>
            <w:hideMark/>
          </w:tcPr>
          <w:p w14:paraId="46BE709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74,9</w:t>
            </w:r>
          </w:p>
        </w:tc>
        <w:tc>
          <w:tcPr>
            <w:tcW w:w="687" w:type="pct"/>
            <w:shd w:val="clear" w:color="auto" w:fill="auto"/>
            <w:vAlign w:val="center"/>
            <w:hideMark/>
          </w:tcPr>
          <w:p w14:paraId="12F355B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71,7</w:t>
            </w:r>
          </w:p>
        </w:tc>
        <w:tc>
          <w:tcPr>
            <w:tcW w:w="681" w:type="pct"/>
            <w:shd w:val="clear" w:color="auto" w:fill="auto"/>
            <w:vAlign w:val="center"/>
            <w:hideMark/>
          </w:tcPr>
          <w:p w14:paraId="1C2CDC3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77,0</w:t>
            </w:r>
          </w:p>
        </w:tc>
        <w:tc>
          <w:tcPr>
            <w:tcW w:w="684" w:type="pct"/>
            <w:shd w:val="clear" w:color="auto" w:fill="auto"/>
            <w:vAlign w:val="center"/>
            <w:hideMark/>
          </w:tcPr>
          <w:p w14:paraId="00084E4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83,7</w:t>
            </w:r>
          </w:p>
        </w:tc>
        <w:tc>
          <w:tcPr>
            <w:tcW w:w="686" w:type="pct"/>
            <w:shd w:val="clear" w:color="auto" w:fill="auto"/>
            <w:vAlign w:val="center"/>
            <w:hideMark/>
          </w:tcPr>
          <w:p w14:paraId="59AF7A5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69,5</w:t>
            </w:r>
          </w:p>
        </w:tc>
      </w:tr>
      <w:tr w:rsidR="00C55902" w:rsidRPr="00DC3810" w14:paraId="2955A219" w14:textId="77777777" w:rsidTr="00C55902">
        <w:trPr>
          <w:trHeight w:val="300"/>
        </w:trPr>
        <w:tc>
          <w:tcPr>
            <w:tcW w:w="1581" w:type="pct"/>
            <w:shd w:val="clear" w:color="auto" w:fill="auto"/>
            <w:vAlign w:val="center"/>
            <w:hideMark/>
          </w:tcPr>
          <w:p w14:paraId="212EA488"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lastRenderedPageBreak/>
              <w:t xml:space="preserve">   dom 1-rodzinny</w:t>
            </w:r>
          </w:p>
        </w:tc>
        <w:tc>
          <w:tcPr>
            <w:tcW w:w="681" w:type="pct"/>
            <w:shd w:val="clear" w:color="auto" w:fill="auto"/>
            <w:vAlign w:val="center"/>
            <w:hideMark/>
          </w:tcPr>
          <w:p w14:paraId="156ABC3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24,9</w:t>
            </w:r>
          </w:p>
        </w:tc>
        <w:tc>
          <w:tcPr>
            <w:tcW w:w="687" w:type="pct"/>
            <w:shd w:val="clear" w:color="auto" w:fill="auto"/>
            <w:vAlign w:val="center"/>
            <w:hideMark/>
          </w:tcPr>
          <w:p w14:paraId="3AC3566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28,2</w:t>
            </w:r>
          </w:p>
        </w:tc>
        <w:tc>
          <w:tcPr>
            <w:tcW w:w="681" w:type="pct"/>
            <w:shd w:val="clear" w:color="auto" w:fill="auto"/>
            <w:vAlign w:val="center"/>
            <w:hideMark/>
          </w:tcPr>
          <w:p w14:paraId="72D6B81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22,8</w:t>
            </w:r>
          </w:p>
        </w:tc>
        <w:tc>
          <w:tcPr>
            <w:tcW w:w="684" w:type="pct"/>
            <w:shd w:val="clear" w:color="auto" w:fill="auto"/>
            <w:vAlign w:val="center"/>
            <w:hideMark/>
          </w:tcPr>
          <w:p w14:paraId="3261EC5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16,0</w:t>
            </w:r>
          </w:p>
        </w:tc>
        <w:tc>
          <w:tcPr>
            <w:tcW w:w="686" w:type="pct"/>
            <w:shd w:val="clear" w:color="auto" w:fill="auto"/>
            <w:vAlign w:val="center"/>
            <w:hideMark/>
          </w:tcPr>
          <w:p w14:paraId="71B42A8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30,5</w:t>
            </w:r>
          </w:p>
        </w:tc>
      </w:tr>
      <w:tr w:rsidR="00C55902" w:rsidRPr="00DC3810" w14:paraId="6FE1A0CF" w14:textId="77777777" w:rsidTr="00C55902">
        <w:trPr>
          <w:trHeight w:val="300"/>
        </w:trPr>
        <w:tc>
          <w:tcPr>
            <w:tcW w:w="1581" w:type="pct"/>
            <w:shd w:val="clear" w:color="auto" w:fill="auto"/>
            <w:vAlign w:val="center"/>
            <w:hideMark/>
          </w:tcPr>
          <w:p w14:paraId="55386C4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inny</w:t>
            </w:r>
          </w:p>
        </w:tc>
        <w:tc>
          <w:tcPr>
            <w:tcW w:w="681" w:type="pct"/>
            <w:shd w:val="clear" w:color="auto" w:fill="auto"/>
            <w:vAlign w:val="center"/>
            <w:hideMark/>
          </w:tcPr>
          <w:p w14:paraId="709DC4E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0,2</w:t>
            </w:r>
          </w:p>
        </w:tc>
        <w:tc>
          <w:tcPr>
            <w:tcW w:w="687" w:type="pct"/>
            <w:shd w:val="clear" w:color="auto" w:fill="auto"/>
            <w:vAlign w:val="center"/>
            <w:hideMark/>
          </w:tcPr>
          <w:p w14:paraId="6F9833E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81" w:type="pct"/>
            <w:shd w:val="clear" w:color="auto" w:fill="auto"/>
            <w:vAlign w:val="center"/>
            <w:hideMark/>
          </w:tcPr>
          <w:p w14:paraId="3D0BF82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0,2</w:t>
            </w:r>
          </w:p>
        </w:tc>
        <w:tc>
          <w:tcPr>
            <w:tcW w:w="684" w:type="pct"/>
            <w:shd w:val="clear" w:color="auto" w:fill="auto"/>
            <w:vAlign w:val="center"/>
            <w:hideMark/>
          </w:tcPr>
          <w:p w14:paraId="0F3C359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686" w:type="pct"/>
            <w:shd w:val="clear" w:color="auto" w:fill="auto"/>
            <w:vAlign w:val="center"/>
            <w:hideMark/>
          </w:tcPr>
          <w:p w14:paraId="13E146B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0,0</w:t>
            </w:r>
          </w:p>
        </w:tc>
      </w:tr>
      <w:tr w:rsidR="00C55902" w:rsidRPr="00DC3810" w14:paraId="0DD0EF8B" w14:textId="77777777" w:rsidTr="00C55902">
        <w:trPr>
          <w:trHeight w:val="300"/>
        </w:trPr>
        <w:tc>
          <w:tcPr>
            <w:tcW w:w="1581" w:type="pct"/>
            <w:shd w:val="clear" w:color="auto" w:fill="auto"/>
            <w:vAlign w:val="center"/>
            <w:hideMark/>
          </w:tcPr>
          <w:p w14:paraId="3DE31E35"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wyposażone w: </w:t>
            </w:r>
          </w:p>
        </w:tc>
        <w:tc>
          <w:tcPr>
            <w:tcW w:w="681" w:type="pct"/>
            <w:shd w:val="clear" w:color="auto" w:fill="auto"/>
            <w:vAlign w:val="center"/>
            <w:hideMark/>
          </w:tcPr>
          <w:p w14:paraId="4D0ABE9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303E201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5A62C50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1A2DD59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6B66F9B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0B3F8DEC" w14:textId="77777777" w:rsidTr="00C55902">
        <w:trPr>
          <w:trHeight w:val="300"/>
        </w:trPr>
        <w:tc>
          <w:tcPr>
            <w:tcW w:w="1581" w:type="pct"/>
            <w:shd w:val="clear" w:color="auto" w:fill="auto"/>
            <w:vAlign w:val="center"/>
            <w:hideMark/>
          </w:tcPr>
          <w:p w14:paraId="23827247"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wodociąg</w:t>
            </w:r>
          </w:p>
        </w:tc>
        <w:tc>
          <w:tcPr>
            <w:tcW w:w="681" w:type="pct"/>
            <w:shd w:val="clear" w:color="auto" w:fill="auto"/>
            <w:vAlign w:val="center"/>
            <w:hideMark/>
          </w:tcPr>
          <w:p w14:paraId="5E66CBE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87" w:type="pct"/>
            <w:shd w:val="clear" w:color="auto" w:fill="auto"/>
            <w:vAlign w:val="center"/>
            <w:hideMark/>
          </w:tcPr>
          <w:p w14:paraId="28A9736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81" w:type="pct"/>
            <w:shd w:val="clear" w:color="auto" w:fill="auto"/>
            <w:vAlign w:val="center"/>
            <w:hideMark/>
          </w:tcPr>
          <w:p w14:paraId="07BBF98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84" w:type="pct"/>
            <w:shd w:val="clear" w:color="auto" w:fill="auto"/>
            <w:vAlign w:val="center"/>
            <w:hideMark/>
          </w:tcPr>
          <w:p w14:paraId="516066B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99,9</w:t>
            </w:r>
          </w:p>
        </w:tc>
        <w:tc>
          <w:tcPr>
            <w:tcW w:w="686" w:type="pct"/>
            <w:shd w:val="clear" w:color="auto" w:fill="auto"/>
            <w:vAlign w:val="center"/>
            <w:hideMark/>
          </w:tcPr>
          <w:p w14:paraId="7A52516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r>
      <w:tr w:rsidR="00C55902" w:rsidRPr="00DC3810" w14:paraId="09D20100" w14:textId="77777777" w:rsidTr="00C55902">
        <w:trPr>
          <w:trHeight w:val="300"/>
        </w:trPr>
        <w:tc>
          <w:tcPr>
            <w:tcW w:w="1581" w:type="pct"/>
            <w:shd w:val="clear" w:color="auto" w:fill="auto"/>
            <w:vAlign w:val="center"/>
            <w:hideMark/>
          </w:tcPr>
          <w:p w14:paraId="20343E26"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ustęp spłukiwany</w:t>
            </w:r>
          </w:p>
        </w:tc>
        <w:tc>
          <w:tcPr>
            <w:tcW w:w="681" w:type="pct"/>
            <w:shd w:val="clear" w:color="auto" w:fill="auto"/>
            <w:vAlign w:val="center"/>
            <w:hideMark/>
          </w:tcPr>
          <w:p w14:paraId="0F41001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99,5</w:t>
            </w:r>
          </w:p>
        </w:tc>
        <w:tc>
          <w:tcPr>
            <w:tcW w:w="687" w:type="pct"/>
            <w:shd w:val="clear" w:color="auto" w:fill="auto"/>
            <w:vAlign w:val="center"/>
            <w:hideMark/>
          </w:tcPr>
          <w:p w14:paraId="4BAE16E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c>
          <w:tcPr>
            <w:tcW w:w="681" w:type="pct"/>
            <w:shd w:val="clear" w:color="auto" w:fill="auto"/>
            <w:vAlign w:val="center"/>
            <w:hideMark/>
          </w:tcPr>
          <w:p w14:paraId="70B06E0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c>
          <w:tcPr>
            <w:tcW w:w="684" w:type="pct"/>
            <w:shd w:val="clear" w:color="auto" w:fill="auto"/>
            <w:vAlign w:val="center"/>
            <w:hideMark/>
          </w:tcPr>
          <w:p w14:paraId="3B792C6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99,1</w:t>
            </w:r>
          </w:p>
        </w:tc>
        <w:tc>
          <w:tcPr>
            <w:tcW w:w="686" w:type="pct"/>
            <w:shd w:val="clear" w:color="auto" w:fill="auto"/>
            <w:vAlign w:val="center"/>
            <w:hideMark/>
          </w:tcPr>
          <w:p w14:paraId="32A83D3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99,7</w:t>
            </w:r>
          </w:p>
        </w:tc>
      </w:tr>
      <w:tr w:rsidR="00C55902" w:rsidRPr="00DC3810" w14:paraId="387F3614" w14:textId="77777777" w:rsidTr="00C55902">
        <w:trPr>
          <w:trHeight w:val="300"/>
        </w:trPr>
        <w:tc>
          <w:tcPr>
            <w:tcW w:w="1581" w:type="pct"/>
            <w:shd w:val="clear" w:color="auto" w:fill="auto"/>
            <w:vAlign w:val="center"/>
            <w:hideMark/>
          </w:tcPr>
          <w:p w14:paraId="587D1B6A"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łazienkę</w:t>
            </w:r>
          </w:p>
        </w:tc>
        <w:tc>
          <w:tcPr>
            <w:tcW w:w="681" w:type="pct"/>
            <w:shd w:val="clear" w:color="auto" w:fill="auto"/>
            <w:vAlign w:val="center"/>
            <w:hideMark/>
          </w:tcPr>
          <w:p w14:paraId="5291971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c>
          <w:tcPr>
            <w:tcW w:w="687" w:type="pct"/>
            <w:shd w:val="clear" w:color="auto" w:fill="auto"/>
            <w:vAlign w:val="center"/>
            <w:hideMark/>
          </w:tcPr>
          <w:p w14:paraId="365EF2B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99,1</w:t>
            </w:r>
          </w:p>
        </w:tc>
        <w:tc>
          <w:tcPr>
            <w:tcW w:w="681" w:type="pct"/>
            <w:shd w:val="clear" w:color="auto" w:fill="auto"/>
            <w:vAlign w:val="center"/>
            <w:hideMark/>
          </w:tcPr>
          <w:p w14:paraId="73919B9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99,1</w:t>
            </w:r>
          </w:p>
        </w:tc>
        <w:tc>
          <w:tcPr>
            <w:tcW w:w="684" w:type="pct"/>
            <w:shd w:val="clear" w:color="auto" w:fill="auto"/>
            <w:vAlign w:val="center"/>
            <w:hideMark/>
          </w:tcPr>
          <w:p w14:paraId="340AAC2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98,8</w:t>
            </w:r>
          </w:p>
        </w:tc>
        <w:tc>
          <w:tcPr>
            <w:tcW w:w="686" w:type="pct"/>
            <w:shd w:val="clear" w:color="auto" w:fill="auto"/>
            <w:vAlign w:val="center"/>
            <w:hideMark/>
          </w:tcPr>
          <w:p w14:paraId="187BF65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99,5</w:t>
            </w:r>
          </w:p>
        </w:tc>
      </w:tr>
      <w:tr w:rsidR="00C55902" w:rsidRPr="00DC3810" w14:paraId="645451A2" w14:textId="77777777" w:rsidTr="00C55902">
        <w:trPr>
          <w:trHeight w:val="300"/>
        </w:trPr>
        <w:tc>
          <w:tcPr>
            <w:tcW w:w="1581" w:type="pct"/>
            <w:shd w:val="clear" w:color="auto" w:fill="auto"/>
            <w:vAlign w:val="center"/>
            <w:hideMark/>
          </w:tcPr>
          <w:p w14:paraId="034A6FD7"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ciepłą wodę bieżącą</w:t>
            </w:r>
          </w:p>
        </w:tc>
        <w:tc>
          <w:tcPr>
            <w:tcW w:w="681" w:type="pct"/>
            <w:shd w:val="clear" w:color="auto" w:fill="auto"/>
            <w:vAlign w:val="center"/>
            <w:hideMark/>
          </w:tcPr>
          <w:p w14:paraId="59B1450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99,7</w:t>
            </w:r>
          </w:p>
        </w:tc>
        <w:tc>
          <w:tcPr>
            <w:tcW w:w="687" w:type="pct"/>
            <w:shd w:val="clear" w:color="auto" w:fill="auto"/>
            <w:vAlign w:val="center"/>
            <w:hideMark/>
          </w:tcPr>
          <w:p w14:paraId="00B1E0A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99,6</w:t>
            </w:r>
          </w:p>
        </w:tc>
        <w:tc>
          <w:tcPr>
            <w:tcW w:w="681" w:type="pct"/>
            <w:shd w:val="clear" w:color="auto" w:fill="auto"/>
            <w:vAlign w:val="center"/>
            <w:hideMark/>
          </w:tcPr>
          <w:p w14:paraId="43055A7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99,5</w:t>
            </w:r>
          </w:p>
        </w:tc>
        <w:tc>
          <w:tcPr>
            <w:tcW w:w="684" w:type="pct"/>
            <w:shd w:val="clear" w:color="auto" w:fill="auto"/>
            <w:vAlign w:val="center"/>
            <w:hideMark/>
          </w:tcPr>
          <w:p w14:paraId="3F6C463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99,3</w:t>
            </w:r>
          </w:p>
        </w:tc>
        <w:tc>
          <w:tcPr>
            <w:tcW w:w="686" w:type="pct"/>
            <w:shd w:val="clear" w:color="auto" w:fill="auto"/>
            <w:vAlign w:val="center"/>
            <w:hideMark/>
          </w:tcPr>
          <w:p w14:paraId="37CFBAF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99,8</w:t>
            </w:r>
          </w:p>
        </w:tc>
      </w:tr>
      <w:tr w:rsidR="00C55902" w:rsidRPr="00DC3810" w14:paraId="2D15839C" w14:textId="77777777" w:rsidTr="00C55902">
        <w:trPr>
          <w:trHeight w:val="300"/>
        </w:trPr>
        <w:tc>
          <w:tcPr>
            <w:tcW w:w="1581" w:type="pct"/>
            <w:shd w:val="clear" w:color="auto" w:fill="auto"/>
            <w:vAlign w:val="center"/>
            <w:hideMark/>
          </w:tcPr>
          <w:p w14:paraId="11CC8D52"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w:t>
            </w:r>
          </w:p>
        </w:tc>
        <w:tc>
          <w:tcPr>
            <w:tcW w:w="681" w:type="pct"/>
            <w:shd w:val="clear" w:color="auto" w:fill="auto"/>
            <w:vAlign w:val="center"/>
            <w:hideMark/>
          </w:tcPr>
          <w:p w14:paraId="6F56319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78,9</w:t>
            </w:r>
          </w:p>
        </w:tc>
        <w:tc>
          <w:tcPr>
            <w:tcW w:w="687" w:type="pct"/>
            <w:shd w:val="clear" w:color="auto" w:fill="auto"/>
            <w:vAlign w:val="center"/>
            <w:hideMark/>
          </w:tcPr>
          <w:p w14:paraId="58BA686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91,6</w:t>
            </w:r>
          </w:p>
        </w:tc>
        <w:tc>
          <w:tcPr>
            <w:tcW w:w="681" w:type="pct"/>
            <w:shd w:val="clear" w:color="auto" w:fill="auto"/>
            <w:vAlign w:val="center"/>
            <w:hideMark/>
          </w:tcPr>
          <w:p w14:paraId="0243B70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91,5</w:t>
            </w:r>
          </w:p>
        </w:tc>
        <w:tc>
          <w:tcPr>
            <w:tcW w:w="684" w:type="pct"/>
            <w:shd w:val="clear" w:color="auto" w:fill="auto"/>
            <w:vAlign w:val="center"/>
            <w:hideMark/>
          </w:tcPr>
          <w:p w14:paraId="7AD1FE5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90,7</w:t>
            </w:r>
          </w:p>
        </w:tc>
        <w:tc>
          <w:tcPr>
            <w:tcW w:w="686" w:type="pct"/>
            <w:shd w:val="clear" w:color="auto" w:fill="auto"/>
            <w:vAlign w:val="center"/>
            <w:hideMark/>
          </w:tcPr>
          <w:p w14:paraId="6517CF5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92,5</w:t>
            </w:r>
          </w:p>
        </w:tc>
      </w:tr>
      <w:tr w:rsidR="00C55902" w:rsidRPr="00DC3810" w14:paraId="6FD47A37" w14:textId="77777777" w:rsidTr="00C55902">
        <w:trPr>
          <w:trHeight w:val="300"/>
        </w:trPr>
        <w:tc>
          <w:tcPr>
            <w:tcW w:w="1581" w:type="pct"/>
            <w:shd w:val="clear" w:color="auto" w:fill="auto"/>
            <w:vAlign w:val="center"/>
            <w:hideMark/>
          </w:tcPr>
          <w:p w14:paraId="2D66B83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sieci</w:t>
            </w:r>
          </w:p>
        </w:tc>
        <w:tc>
          <w:tcPr>
            <w:tcW w:w="681" w:type="pct"/>
            <w:shd w:val="clear" w:color="auto" w:fill="auto"/>
            <w:vAlign w:val="center"/>
            <w:hideMark/>
          </w:tcPr>
          <w:p w14:paraId="58B4CBF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67,3</w:t>
            </w:r>
          </w:p>
        </w:tc>
        <w:tc>
          <w:tcPr>
            <w:tcW w:w="687" w:type="pct"/>
            <w:shd w:val="clear" w:color="auto" w:fill="auto"/>
            <w:vAlign w:val="center"/>
            <w:hideMark/>
          </w:tcPr>
          <w:p w14:paraId="2B01F4B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78,2</w:t>
            </w:r>
          </w:p>
        </w:tc>
        <w:tc>
          <w:tcPr>
            <w:tcW w:w="681" w:type="pct"/>
            <w:shd w:val="clear" w:color="auto" w:fill="auto"/>
            <w:vAlign w:val="center"/>
            <w:hideMark/>
          </w:tcPr>
          <w:p w14:paraId="0514C6A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79,6</w:t>
            </w:r>
          </w:p>
        </w:tc>
        <w:tc>
          <w:tcPr>
            <w:tcW w:w="684" w:type="pct"/>
            <w:shd w:val="clear" w:color="auto" w:fill="auto"/>
            <w:vAlign w:val="center"/>
            <w:hideMark/>
          </w:tcPr>
          <w:p w14:paraId="0914B4E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78,2</w:t>
            </w:r>
          </w:p>
        </w:tc>
        <w:tc>
          <w:tcPr>
            <w:tcW w:w="686" w:type="pct"/>
            <w:shd w:val="clear" w:color="auto" w:fill="auto"/>
            <w:vAlign w:val="center"/>
            <w:hideMark/>
          </w:tcPr>
          <w:p w14:paraId="7A6DC8E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81,5</w:t>
            </w:r>
          </w:p>
        </w:tc>
      </w:tr>
      <w:tr w:rsidR="00C55902" w:rsidRPr="00DC3810" w14:paraId="456C61F4" w14:textId="77777777" w:rsidTr="00C55902">
        <w:trPr>
          <w:trHeight w:val="300"/>
        </w:trPr>
        <w:tc>
          <w:tcPr>
            <w:tcW w:w="1581" w:type="pct"/>
            <w:shd w:val="clear" w:color="auto" w:fill="auto"/>
            <w:vAlign w:val="center"/>
            <w:hideMark/>
          </w:tcPr>
          <w:p w14:paraId="45618804"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butli</w:t>
            </w:r>
          </w:p>
        </w:tc>
        <w:tc>
          <w:tcPr>
            <w:tcW w:w="681" w:type="pct"/>
            <w:shd w:val="clear" w:color="auto" w:fill="auto"/>
            <w:vAlign w:val="center"/>
            <w:hideMark/>
          </w:tcPr>
          <w:p w14:paraId="49ABDAF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11,6</w:t>
            </w:r>
          </w:p>
        </w:tc>
        <w:tc>
          <w:tcPr>
            <w:tcW w:w="687" w:type="pct"/>
            <w:shd w:val="clear" w:color="auto" w:fill="auto"/>
            <w:vAlign w:val="center"/>
            <w:hideMark/>
          </w:tcPr>
          <w:p w14:paraId="60FD1E6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13,4</w:t>
            </w:r>
          </w:p>
        </w:tc>
        <w:tc>
          <w:tcPr>
            <w:tcW w:w="681" w:type="pct"/>
            <w:shd w:val="clear" w:color="auto" w:fill="auto"/>
            <w:vAlign w:val="center"/>
            <w:hideMark/>
          </w:tcPr>
          <w:p w14:paraId="6985723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11,9</w:t>
            </w:r>
          </w:p>
        </w:tc>
        <w:tc>
          <w:tcPr>
            <w:tcW w:w="684" w:type="pct"/>
            <w:shd w:val="clear" w:color="auto" w:fill="auto"/>
            <w:vAlign w:val="center"/>
            <w:hideMark/>
          </w:tcPr>
          <w:p w14:paraId="3F7ADB4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12,5</w:t>
            </w:r>
          </w:p>
        </w:tc>
        <w:tc>
          <w:tcPr>
            <w:tcW w:w="686" w:type="pct"/>
            <w:shd w:val="clear" w:color="auto" w:fill="auto"/>
            <w:vAlign w:val="center"/>
            <w:hideMark/>
          </w:tcPr>
          <w:p w14:paraId="673A267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11,0</w:t>
            </w:r>
          </w:p>
        </w:tc>
      </w:tr>
      <w:tr w:rsidR="00C55902" w:rsidRPr="00DC3810" w14:paraId="26DD2C6B" w14:textId="77777777" w:rsidTr="00C55902">
        <w:trPr>
          <w:trHeight w:val="300"/>
        </w:trPr>
        <w:tc>
          <w:tcPr>
            <w:tcW w:w="1581" w:type="pct"/>
            <w:shd w:val="clear" w:color="auto" w:fill="auto"/>
            <w:vAlign w:val="center"/>
            <w:hideMark/>
          </w:tcPr>
          <w:p w14:paraId="69F69BDD"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klimatyzację</w:t>
            </w:r>
          </w:p>
        </w:tc>
        <w:tc>
          <w:tcPr>
            <w:tcW w:w="681" w:type="pct"/>
            <w:shd w:val="clear" w:color="auto" w:fill="auto"/>
            <w:vAlign w:val="center"/>
            <w:hideMark/>
          </w:tcPr>
          <w:p w14:paraId="34C65F6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w:t>
            </w:r>
          </w:p>
        </w:tc>
        <w:tc>
          <w:tcPr>
            <w:tcW w:w="687" w:type="pct"/>
            <w:shd w:val="clear" w:color="auto" w:fill="auto"/>
            <w:vAlign w:val="center"/>
            <w:hideMark/>
          </w:tcPr>
          <w:p w14:paraId="3946BE6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w:t>
            </w:r>
          </w:p>
        </w:tc>
        <w:tc>
          <w:tcPr>
            <w:tcW w:w="681" w:type="pct"/>
            <w:shd w:val="clear" w:color="auto" w:fill="auto"/>
            <w:vAlign w:val="center"/>
            <w:hideMark/>
          </w:tcPr>
          <w:p w14:paraId="6A03099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w:t>
            </w:r>
          </w:p>
        </w:tc>
        <w:tc>
          <w:tcPr>
            <w:tcW w:w="684" w:type="pct"/>
            <w:shd w:val="clear" w:color="auto" w:fill="auto"/>
            <w:vAlign w:val="center"/>
            <w:hideMark/>
          </w:tcPr>
          <w:p w14:paraId="119320E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c>
          <w:tcPr>
            <w:tcW w:w="686" w:type="pct"/>
            <w:shd w:val="clear" w:color="auto" w:fill="auto"/>
            <w:vAlign w:val="center"/>
            <w:hideMark/>
          </w:tcPr>
          <w:p w14:paraId="5462D36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w:t>
            </w:r>
          </w:p>
        </w:tc>
      </w:tr>
      <w:tr w:rsidR="00C55902" w:rsidRPr="00DC3810" w14:paraId="0630DD9A" w14:textId="77777777" w:rsidTr="00C55902">
        <w:trPr>
          <w:trHeight w:val="300"/>
        </w:trPr>
        <w:tc>
          <w:tcPr>
            <w:tcW w:w="1581" w:type="pct"/>
            <w:shd w:val="clear" w:color="auto" w:fill="auto"/>
            <w:vAlign w:val="center"/>
            <w:hideMark/>
          </w:tcPr>
          <w:p w14:paraId="0DFDBE32"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ogrzewanie centralne</w:t>
            </w:r>
          </w:p>
        </w:tc>
        <w:tc>
          <w:tcPr>
            <w:tcW w:w="681" w:type="pct"/>
            <w:shd w:val="clear" w:color="auto" w:fill="auto"/>
            <w:vAlign w:val="center"/>
            <w:hideMark/>
          </w:tcPr>
          <w:p w14:paraId="5A7635E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87,5</w:t>
            </w:r>
          </w:p>
        </w:tc>
        <w:tc>
          <w:tcPr>
            <w:tcW w:w="687" w:type="pct"/>
            <w:shd w:val="clear" w:color="auto" w:fill="auto"/>
            <w:vAlign w:val="center"/>
            <w:hideMark/>
          </w:tcPr>
          <w:p w14:paraId="03FF433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87,5</w:t>
            </w:r>
          </w:p>
        </w:tc>
        <w:tc>
          <w:tcPr>
            <w:tcW w:w="681" w:type="pct"/>
            <w:shd w:val="clear" w:color="auto" w:fill="auto"/>
            <w:vAlign w:val="center"/>
            <w:hideMark/>
          </w:tcPr>
          <w:p w14:paraId="72C2CD2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88,3</w:t>
            </w:r>
          </w:p>
        </w:tc>
        <w:tc>
          <w:tcPr>
            <w:tcW w:w="684" w:type="pct"/>
            <w:shd w:val="clear" w:color="auto" w:fill="auto"/>
            <w:vAlign w:val="center"/>
            <w:hideMark/>
          </w:tcPr>
          <w:p w14:paraId="36453D2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87,7</w:t>
            </w:r>
          </w:p>
        </w:tc>
        <w:tc>
          <w:tcPr>
            <w:tcW w:w="686" w:type="pct"/>
            <w:shd w:val="clear" w:color="auto" w:fill="auto"/>
            <w:vAlign w:val="center"/>
            <w:hideMark/>
          </w:tcPr>
          <w:p w14:paraId="19475E2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89,1</w:t>
            </w:r>
          </w:p>
        </w:tc>
      </w:tr>
      <w:tr w:rsidR="00C55902" w:rsidRPr="00DC3810" w14:paraId="4B08A84C" w14:textId="77777777" w:rsidTr="00C55902">
        <w:trPr>
          <w:trHeight w:val="300"/>
        </w:trPr>
        <w:tc>
          <w:tcPr>
            <w:tcW w:w="1581" w:type="pct"/>
            <w:shd w:val="clear" w:color="auto" w:fill="auto"/>
            <w:vAlign w:val="center"/>
            <w:hideMark/>
          </w:tcPr>
          <w:p w14:paraId="1BB220D5"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piece </w:t>
            </w:r>
          </w:p>
        </w:tc>
        <w:tc>
          <w:tcPr>
            <w:tcW w:w="681" w:type="pct"/>
            <w:shd w:val="clear" w:color="auto" w:fill="auto"/>
            <w:vAlign w:val="center"/>
            <w:hideMark/>
          </w:tcPr>
          <w:p w14:paraId="1BA2549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12,3</w:t>
            </w:r>
          </w:p>
        </w:tc>
        <w:tc>
          <w:tcPr>
            <w:tcW w:w="687" w:type="pct"/>
            <w:shd w:val="clear" w:color="auto" w:fill="auto"/>
            <w:vAlign w:val="center"/>
            <w:hideMark/>
          </w:tcPr>
          <w:p w14:paraId="3D93C3B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12,4</w:t>
            </w:r>
          </w:p>
        </w:tc>
        <w:tc>
          <w:tcPr>
            <w:tcW w:w="681" w:type="pct"/>
            <w:shd w:val="clear" w:color="auto" w:fill="auto"/>
            <w:vAlign w:val="center"/>
            <w:hideMark/>
          </w:tcPr>
          <w:p w14:paraId="68C88A1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11,6</w:t>
            </w:r>
          </w:p>
        </w:tc>
        <w:tc>
          <w:tcPr>
            <w:tcW w:w="684" w:type="pct"/>
            <w:shd w:val="clear" w:color="auto" w:fill="auto"/>
            <w:vAlign w:val="center"/>
            <w:hideMark/>
          </w:tcPr>
          <w:p w14:paraId="706768A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12,1</w:t>
            </w:r>
          </w:p>
        </w:tc>
        <w:tc>
          <w:tcPr>
            <w:tcW w:w="686" w:type="pct"/>
            <w:shd w:val="clear" w:color="auto" w:fill="auto"/>
            <w:vAlign w:val="center"/>
            <w:hideMark/>
          </w:tcPr>
          <w:p w14:paraId="4A27B58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10,8</w:t>
            </w:r>
          </w:p>
        </w:tc>
      </w:tr>
      <w:tr w:rsidR="00C55902" w:rsidRPr="00DC3810" w14:paraId="518FC6C1" w14:textId="77777777" w:rsidTr="00C55902">
        <w:trPr>
          <w:trHeight w:val="720"/>
        </w:trPr>
        <w:tc>
          <w:tcPr>
            <w:tcW w:w="1581" w:type="pct"/>
            <w:shd w:val="clear" w:color="auto" w:fill="auto"/>
            <w:vAlign w:val="center"/>
            <w:hideMark/>
          </w:tcPr>
          <w:p w14:paraId="262D37F7"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 powierzchnia użytkowa mieszkania zajmowana przez gosp. domowe w m</w:t>
            </w:r>
            <w:r w:rsidRPr="00DC3810">
              <w:rPr>
                <w:rFonts w:ascii="Lato" w:eastAsia="Times New Roman" w:hAnsi="Lato" w:cs="Arial"/>
                <w:color w:val="000000"/>
                <w:sz w:val="18"/>
                <w:szCs w:val="18"/>
                <w:vertAlign w:val="superscript"/>
                <w:lang w:eastAsia="pl-PL"/>
              </w:rPr>
              <w:t>2</w:t>
            </w:r>
            <w:r w:rsidRPr="00DC3810">
              <w:rPr>
                <w:rFonts w:ascii="Lato" w:eastAsia="Times New Roman" w:hAnsi="Lato" w:cs="Arial"/>
                <w:color w:val="000000"/>
                <w:sz w:val="18"/>
                <w:szCs w:val="18"/>
                <w:lang w:eastAsia="pl-PL"/>
              </w:rPr>
              <w:t xml:space="preserve"> na 1 gospodarstwo domowe</w:t>
            </w:r>
          </w:p>
        </w:tc>
        <w:tc>
          <w:tcPr>
            <w:tcW w:w="681" w:type="pct"/>
            <w:shd w:val="clear" w:color="auto" w:fill="auto"/>
            <w:vAlign w:val="center"/>
            <w:hideMark/>
          </w:tcPr>
          <w:p w14:paraId="2FC8B5B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72,3</w:t>
            </w:r>
          </w:p>
        </w:tc>
        <w:tc>
          <w:tcPr>
            <w:tcW w:w="687" w:type="pct"/>
            <w:shd w:val="clear" w:color="auto" w:fill="auto"/>
            <w:vAlign w:val="center"/>
            <w:hideMark/>
          </w:tcPr>
          <w:p w14:paraId="41F086D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71,5</w:t>
            </w:r>
          </w:p>
        </w:tc>
        <w:tc>
          <w:tcPr>
            <w:tcW w:w="681" w:type="pct"/>
            <w:shd w:val="clear" w:color="auto" w:fill="auto"/>
            <w:vAlign w:val="center"/>
            <w:hideMark/>
          </w:tcPr>
          <w:p w14:paraId="43720A5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64,7</w:t>
            </w:r>
          </w:p>
        </w:tc>
        <w:tc>
          <w:tcPr>
            <w:tcW w:w="684" w:type="pct"/>
            <w:shd w:val="clear" w:color="auto" w:fill="auto"/>
            <w:vAlign w:val="center"/>
            <w:hideMark/>
          </w:tcPr>
          <w:p w14:paraId="0903D82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54,9</w:t>
            </w:r>
          </w:p>
        </w:tc>
        <w:tc>
          <w:tcPr>
            <w:tcW w:w="686" w:type="pct"/>
            <w:shd w:val="clear" w:color="auto" w:fill="auto"/>
            <w:vAlign w:val="center"/>
            <w:hideMark/>
          </w:tcPr>
          <w:p w14:paraId="7388A94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75,9</w:t>
            </w:r>
          </w:p>
        </w:tc>
      </w:tr>
      <w:tr w:rsidR="00C55902" w:rsidRPr="00DC3810" w14:paraId="629AAB1A" w14:textId="77777777" w:rsidTr="00DC3810">
        <w:trPr>
          <w:trHeight w:val="198"/>
        </w:trPr>
        <w:tc>
          <w:tcPr>
            <w:tcW w:w="5000" w:type="pct"/>
            <w:gridSpan w:val="6"/>
            <w:shd w:val="clear" w:color="auto" w:fill="auto"/>
            <w:vAlign w:val="center"/>
            <w:hideMark/>
          </w:tcPr>
          <w:p w14:paraId="13C8C603" w14:textId="77777777" w:rsidR="00C55902" w:rsidRPr="00DC3810" w:rsidRDefault="00C55902" w:rsidP="00C55902">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WIEŚ</w:t>
            </w:r>
          </w:p>
        </w:tc>
      </w:tr>
      <w:tr w:rsidR="00C55902" w:rsidRPr="00DC3810" w14:paraId="1DDB8AB2" w14:textId="77777777" w:rsidTr="00C55902">
        <w:trPr>
          <w:trHeight w:val="300"/>
        </w:trPr>
        <w:tc>
          <w:tcPr>
            <w:tcW w:w="1581" w:type="pct"/>
            <w:shd w:val="clear" w:color="auto" w:fill="auto"/>
            <w:noWrap/>
            <w:vAlign w:val="center"/>
            <w:hideMark/>
          </w:tcPr>
          <w:p w14:paraId="62A2E03B" w14:textId="77777777" w:rsidR="00C55902" w:rsidRPr="00DC3810" w:rsidRDefault="00C55902" w:rsidP="00C55902">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81" w:type="pct"/>
            <w:shd w:val="clear" w:color="auto" w:fill="auto"/>
            <w:vAlign w:val="center"/>
            <w:hideMark/>
          </w:tcPr>
          <w:p w14:paraId="1D8124D5"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7" w:type="pct"/>
            <w:shd w:val="clear" w:color="auto" w:fill="auto"/>
            <w:vAlign w:val="center"/>
            <w:hideMark/>
          </w:tcPr>
          <w:p w14:paraId="7E6EBA58"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1" w:type="pct"/>
            <w:shd w:val="clear" w:color="auto" w:fill="auto"/>
            <w:vAlign w:val="center"/>
            <w:hideMark/>
          </w:tcPr>
          <w:p w14:paraId="78EFC04B"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4" w:type="pct"/>
            <w:shd w:val="clear" w:color="auto" w:fill="auto"/>
            <w:vAlign w:val="center"/>
            <w:hideMark/>
          </w:tcPr>
          <w:p w14:paraId="20B1070B"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686" w:type="pct"/>
            <w:shd w:val="clear" w:color="auto" w:fill="auto"/>
            <w:vAlign w:val="center"/>
            <w:hideMark/>
          </w:tcPr>
          <w:p w14:paraId="4267E5F8" w14:textId="77777777" w:rsidR="00C55902" w:rsidRPr="00DC3810" w:rsidRDefault="00C55902" w:rsidP="00C55902">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r>
      <w:tr w:rsidR="00C55902" w:rsidRPr="00DC3810" w14:paraId="6DF9CF96" w14:textId="77777777" w:rsidTr="00C55902">
        <w:trPr>
          <w:trHeight w:val="300"/>
        </w:trPr>
        <w:tc>
          <w:tcPr>
            <w:tcW w:w="1581" w:type="pct"/>
            <w:shd w:val="clear" w:color="auto" w:fill="auto"/>
            <w:vAlign w:val="center"/>
            <w:hideMark/>
          </w:tcPr>
          <w:p w14:paraId="0A647E06"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Rodzaj budynku:                   </w:t>
            </w:r>
          </w:p>
        </w:tc>
        <w:tc>
          <w:tcPr>
            <w:tcW w:w="681" w:type="pct"/>
            <w:shd w:val="clear" w:color="auto" w:fill="auto"/>
            <w:vAlign w:val="center"/>
            <w:hideMark/>
          </w:tcPr>
          <w:p w14:paraId="4C4357D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4E8E8F2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4E16AB2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56B0C4C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567A807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250E36AA" w14:textId="77777777" w:rsidTr="00C55902">
        <w:trPr>
          <w:trHeight w:val="300"/>
        </w:trPr>
        <w:tc>
          <w:tcPr>
            <w:tcW w:w="1581" w:type="pct"/>
            <w:shd w:val="clear" w:color="auto" w:fill="auto"/>
            <w:vAlign w:val="center"/>
            <w:hideMark/>
          </w:tcPr>
          <w:p w14:paraId="239D9E30"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budynek wielorodzinny</w:t>
            </w:r>
          </w:p>
        </w:tc>
        <w:tc>
          <w:tcPr>
            <w:tcW w:w="681" w:type="pct"/>
            <w:shd w:val="clear" w:color="auto" w:fill="auto"/>
            <w:vAlign w:val="center"/>
            <w:hideMark/>
          </w:tcPr>
          <w:p w14:paraId="70CA521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10,4</w:t>
            </w:r>
          </w:p>
        </w:tc>
        <w:tc>
          <w:tcPr>
            <w:tcW w:w="687" w:type="pct"/>
            <w:shd w:val="clear" w:color="auto" w:fill="auto"/>
            <w:vAlign w:val="center"/>
            <w:hideMark/>
          </w:tcPr>
          <w:p w14:paraId="1CBCB84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10,9</w:t>
            </w:r>
          </w:p>
        </w:tc>
        <w:tc>
          <w:tcPr>
            <w:tcW w:w="681" w:type="pct"/>
            <w:shd w:val="clear" w:color="auto" w:fill="auto"/>
            <w:vAlign w:val="center"/>
            <w:hideMark/>
          </w:tcPr>
          <w:p w14:paraId="0EF5D64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16,0</w:t>
            </w:r>
          </w:p>
        </w:tc>
        <w:tc>
          <w:tcPr>
            <w:tcW w:w="684" w:type="pct"/>
            <w:shd w:val="clear" w:color="auto" w:fill="auto"/>
            <w:vAlign w:val="center"/>
            <w:hideMark/>
          </w:tcPr>
          <w:p w14:paraId="0829556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w:t>
            </w:r>
          </w:p>
        </w:tc>
        <w:tc>
          <w:tcPr>
            <w:tcW w:w="686" w:type="pct"/>
            <w:shd w:val="clear" w:color="auto" w:fill="auto"/>
            <w:vAlign w:val="center"/>
            <w:hideMark/>
          </w:tcPr>
          <w:p w14:paraId="34BD34F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15,1</w:t>
            </w:r>
          </w:p>
        </w:tc>
      </w:tr>
      <w:tr w:rsidR="00C55902" w:rsidRPr="00DC3810" w14:paraId="6F3EF7CC" w14:textId="77777777" w:rsidTr="00C55902">
        <w:trPr>
          <w:trHeight w:val="300"/>
        </w:trPr>
        <w:tc>
          <w:tcPr>
            <w:tcW w:w="1581" w:type="pct"/>
            <w:shd w:val="clear" w:color="auto" w:fill="auto"/>
            <w:vAlign w:val="center"/>
            <w:hideMark/>
          </w:tcPr>
          <w:p w14:paraId="2D53E709"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dom 1-rodzinny</w:t>
            </w:r>
          </w:p>
        </w:tc>
        <w:tc>
          <w:tcPr>
            <w:tcW w:w="681" w:type="pct"/>
            <w:shd w:val="clear" w:color="auto" w:fill="auto"/>
            <w:vAlign w:val="center"/>
            <w:hideMark/>
          </w:tcPr>
          <w:p w14:paraId="06D2FE7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89,5</w:t>
            </w:r>
          </w:p>
        </w:tc>
        <w:tc>
          <w:tcPr>
            <w:tcW w:w="687" w:type="pct"/>
            <w:shd w:val="clear" w:color="auto" w:fill="auto"/>
            <w:vAlign w:val="center"/>
            <w:hideMark/>
          </w:tcPr>
          <w:p w14:paraId="6779E06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89,0</w:t>
            </w:r>
          </w:p>
        </w:tc>
        <w:tc>
          <w:tcPr>
            <w:tcW w:w="681" w:type="pct"/>
            <w:shd w:val="clear" w:color="auto" w:fill="auto"/>
            <w:vAlign w:val="center"/>
            <w:hideMark/>
          </w:tcPr>
          <w:p w14:paraId="49A34F0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83,7</w:t>
            </w:r>
          </w:p>
        </w:tc>
        <w:tc>
          <w:tcPr>
            <w:tcW w:w="684" w:type="pct"/>
            <w:shd w:val="clear" w:color="auto" w:fill="auto"/>
            <w:vAlign w:val="center"/>
            <w:hideMark/>
          </w:tcPr>
          <w:p w14:paraId="191A7C9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81,9</w:t>
            </w:r>
          </w:p>
        </w:tc>
        <w:tc>
          <w:tcPr>
            <w:tcW w:w="686" w:type="pct"/>
            <w:shd w:val="clear" w:color="auto" w:fill="auto"/>
            <w:vAlign w:val="center"/>
            <w:hideMark/>
          </w:tcPr>
          <w:p w14:paraId="282A21D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84,9</w:t>
            </w:r>
          </w:p>
        </w:tc>
      </w:tr>
      <w:tr w:rsidR="00C55902" w:rsidRPr="00DC3810" w14:paraId="15C9FE29" w14:textId="77777777" w:rsidTr="00C55902">
        <w:trPr>
          <w:trHeight w:val="300"/>
        </w:trPr>
        <w:tc>
          <w:tcPr>
            <w:tcW w:w="1581" w:type="pct"/>
            <w:shd w:val="clear" w:color="auto" w:fill="auto"/>
            <w:vAlign w:val="center"/>
            <w:hideMark/>
          </w:tcPr>
          <w:p w14:paraId="5DB53C3A"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inny</w:t>
            </w:r>
          </w:p>
        </w:tc>
        <w:tc>
          <w:tcPr>
            <w:tcW w:w="681" w:type="pct"/>
            <w:shd w:val="clear" w:color="auto" w:fill="auto"/>
            <w:vAlign w:val="center"/>
            <w:hideMark/>
          </w:tcPr>
          <w:p w14:paraId="0CD4654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87" w:type="pct"/>
            <w:shd w:val="clear" w:color="auto" w:fill="auto"/>
            <w:vAlign w:val="center"/>
            <w:hideMark/>
          </w:tcPr>
          <w:p w14:paraId="4B3EE17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0,1</w:t>
            </w:r>
          </w:p>
        </w:tc>
        <w:tc>
          <w:tcPr>
            <w:tcW w:w="681" w:type="pct"/>
            <w:shd w:val="clear" w:color="auto" w:fill="auto"/>
            <w:vAlign w:val="center"/>
            <w:hideMark/>
          </w:tcPr>
          <w:p w14:paraId="465D39D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684" w:type="pct"/>
            <w:shd w:val="clear" w:color="auto" w:fill="auto"/>
            <w:vAlign w:val="center"/>
            <w:hideMark/>
          </w:tcPr>
          <w:p w14:paraId="01801D1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0,5</w:t>
            </w:r>
          </w:p>
        </w:tc>
        <w:tc>
          <w:tcPr>
            <w:tcW w:w="686" w:type="pct"/>
            <w:shd w:val="clear" w:color="auto" w:fill="auto"/>
            <w:vAlign w:val="center"/>
            <w:hideMark/>
          </w:tcPr>
          <w:p w14:paraId="2AE888C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0,0</w:t>
            </w:r>
          </w:p>
        </w:tc>
      </w:tr>
      <w:tr w:rsidR="00C55902" w:rsidRPr="00DC3810" w14:paraId="7624931D" w14:textId="77777777" w:rsidTr="00C55902">
        <w:trPr>
          <w:trHeight w:val="300"/>
        </w:trPr>
        <w:tc>
          <w:tcPr>
            <w:tcW w:w="1581" w:type="pct"/>
            <w:shd w:val="clear" w:color="auto" w:fill="auto"/>
            <w:vAlign w:val="center"/>
            <w:hideMark/>
          </w:tcPr>
          <w:p w14:paraId="012822F2"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wyposażone w: </w:t>
            </w:r>
          </w:p>
        </w:tc>
        <w:tc>
          <w:tcPr>
            <w:tcW w:w="681" w:type="pct"/>
            <w:shd w:val="clear" w:color="auto" w:fill="auto"/>
            <w:vAlign w:val="center"/>
            <w:hideMark/>
          </w:tcPr>
          <w:p w14:paraId="7BD14C4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7" w:type="pct"/>
            <w:shd w:val="clear" w:color="auto" w:fill="auto"/>
            <w:vAlign w:val="center"/>
            <w:hideMark/>
          </w:tcPr>
          <w:p w14:paraId="2768C3C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1" w:type="pct"/>
            <w:shd w:val="clear" w:color="auto" w:fill="auto"/>
            <w:vAlign w:val="center"/>
            <w:hideMark/>
          </w:tcPr>
          <w:p w14:paraId="792C335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4" w:type="pct"/>
            <w:shd w:val="clear" w:color="auto" w:fill="auto"/>
            <w:vAlign w:val="center"/>
            <w:hideMark/>
          </w:tcPr>
          <w:p w14:paraId="2FBB50D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686" w:type="pct"/>
            <w:shd w:val="clear" w:color="auto" w:fill="auto"/>
            <w:vAlign w:val="center"/>
            <w:hideMark/>
          </w:tcPr>
          <w:p w14:paraId="40197B8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C55902" w:rsidRPr="00DC3810" w14:paraId="1E122AEC" w14:textId="77777777" w:rsidTr="00C55902">
        <w:trPr>
          <w:trHeight w:val="300"/>
        </w:trPr>
        <w:tc>
          <w:tcPr>
            <w:tcW w:w="1581" w:type="pct"/>
            <w:shd w:val="clear" w:color="auto" w:fill="auto"/>
            <w:vAlign w:val="center"/>
            <w:hideMark/>
          </w:tcPr>
          <w:p w14:paraId="742CA7D5"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wodociąg</w:t>
            </w:r>
          </w:p>
        </w:tc>
        <w:tc>
          <w:tcPr>
            <w:tcW w:w="681" w:type="pct"/>
            <w:shd w:val="clear" w:color="auto" w:fill="auto"/>
            <w:vAlign w:val="center"/>
            <w:hideMark/>
          </w:tcPr>
          <w:p w14:paraId="702F909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99,9</w:t>
            </w:r>
          </w:p>
        </w:tc>
        <w:tc>
          <w:tcPr>
            <w:tcW w:w="687" w:type="pct"/>
            <w:shd w:val="clear" w:color="auto" w:fill="auto"/>
            <w:vAlign w:val="center"/>
            <w:hideMark/>
          </w:tcPr>
          <w:p w14:paraId="6BCAAE3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99,7</w:t>
            </w:r>
          </w:p>
        </w:tc>
        <w:tc>
          <w:tcPr>
            <w:tcW w:w="681" w:type="pct"/>
            <w:shd w:val="clear" w:color="auto" w:fill="auto"/>
            <w:vAlign w:val="center"/>
            <w:hideMark/>
          </w:tcPr>
          <w:p w14:paraId="598A918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99,4</w:t>
            </w:r>
          </w:p>
        </w:tc>
        <w:tc>
          <w:tcPr>
            <w:tcW w:w="684" w:type="pct"/>
            <w:shd w:val="clear" w:color="auto" w:fill="auto"/>
            <w:vAlign w:val="center"/>
            <w:hideMark/>
          </w:tcPr>
          <w:p w14:paraId="33FECE2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99,1</w:t>
            </w:r>
          </w:p>
        </w:tc>
        <w:tc>
          <w:tcPr>
            <w:tcW w:w="686" w:type="pct"/>
            <w:shd w:val="clear" w:color="auto" w:fill="auto"/>
            <w:vAlign w:val="center"/>
            <w:hideMark/>
          </w:tcPr>
          <w:p w14:paraId="51367DC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99,7</w:t>
            </w:r>
          </w:p>
        </w:tc>
      </w:tr>
      <w:tr w:rsidR="00C55902" w:rsidRPr="00DC3810" w14:paraId="0BFAD269" w14:textId="77777777" w:rsidTr="00C55902">
        <w:trPr>
          <w:trHeight w:val="300"/>
        </w:trPr>
        <w:tc>
          <w:tcPr>
            <w:tcW w:w="1581" w:type="pct"/>
            <w:shd w:val="clear" w:color="auto" w:fill="auto"/>
            <w:vAlign w:val="center"/>
            <w:hideMark/>
          </w:tcPr>
          <w:p w14:paraId="3A055336"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ustęp spłukiwany</w:t>
            </w:r>
          </w:p>
        </w:tc>
        <w:tc>
          <w:tcPr>
            <w:tcW w:w="681" w:type="pct"/>
            <w:shd w:val="clear" w:color="auto" w:fill="auto"/>
            <w:vAlign w:val="center"/>
            <w:hideMark/>
          </w:tcPr>
          <w:p w14:paraId="7956104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99,0</w:t>
            </w:r>
          </w:p>
        </w:tc>
        <w:tc>
          <w:tcPr>
            <w:tcW w:w="687" w:type="pct"/>
            <w:shd w:val="clear" w:color="auto" w:fill="auto"/>
            <w:vAlign w:val="center"/>
            <w:hideMark/>
          </w:tcPr>
          <w:p w14:paraId="75BBC04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98,1</w:t>
            </w:r>
          </w:p>
        </w:tc>
        <w:tc>
          <w:tcPr>
            <w:tcW w:w="681" w:type="pct"/>
            <w:shd w:val="clear" w:color="auto" w:fill="auto"/>
            <w:vAlign w:val="center"/>
            <w:hideMark/>
          </w:tcPr>
          <w:p w14:paraId="3ECC0BB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96,8</w:t>
            </w:r>
          </w:p>
        </w:tc>
        <w:tc>
          <w:tcPr>
            <w:tcW w:w="684" w:type="pct"/>
            <w:shd w:val="clear" w:color="auto" w:fill="auto"/>
            <w:vAlign w:val="center"/>
            <w:hideMark/>
          </w:tcPr>
          <w:p w14:paraId="34EAD7B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95,1</w:t>
            </w:r>
          </w:p>
        </w:tc>
        <w:tc>
          <w:tcPr>
            <w:tcW w:w="686" w:type="pct"/>
            <w:shd w:val="clear" w:color="auto" w:fill="auto"/>
            <w:vAlign w:val="center"/>
            <w:hideMark/>
          </w:tcPr>
          <w:p w14:paraId="3062EFC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98,6</w:t>
            </w:r>
          </w:p>
        </w:tc>
      </w:tr>
      <w:tr w:rsidR="00C55902" w:rsidRPr="00DC3810" w14:paraId="204723CB" w14:textId="77777777" w:rsidTr="00C55902">
        <w:trPr>
          <w:trHeight w:val="300"/>
        </w:trPr>
        <w:tc>
          <w:tcPr>
            <w:tcW w:w="1581" w:type="pct"/>
            <w:shd w:val="clear" w:color="auto" w:fill="auto"/>
            <w:vAlign w:val="center"/>
            <w:hideMark/>
          </w:tcPr>
          <w:p w14:paraId="3066C3A9"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łazienkę</w:t>
            </w:r>
          </w:p>
        </w:tc>
        <w:tc>
          <w:tcPr>
            <w:tcW w:w="681" w:type="pct"/>
            <w:shd w:val="clear" w:color="auto" w:fill="auto"/>
            <w:vAlign w:val="center"/>
            <w:hideMark/>
          </w:tcPr>
          <w:p w14:paraId="716D091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98,9</w:t>
            </w:r>
          </w:p>
        </w:tc>
        <w:tc>
          <w:tcPr>
            <w:tcW w:w="687" w:type="pct"/>
            <w:shd w:val="clear" w:color="auto" w:fill="auto"/>
            <w:vAlign w:val="center"/>
            <w:hideMark/>
          </w:tcPr>
          <w:p w14:paraId="7F031B0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98,2</w:t>
            </w:r>
          </w:p>
        </w:tc>
        <w:tc>
          <w:tcPr>
            <w:tcW w:w="681" w:type="pct"/>
            <w:shd w:val="clear" w:color="auto" w:fill="auto"/>
            <w:vAlign w:val="center"/>
            <w:hideMark/>
          </w:tcPr>
          <w:p w14:paraId="35320EF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96,7</w:t>
            </w:r>
          </w:p>
        </w:tc>
        <w:tc>
          <w:tcPr>
            <w:tcW w:w="684" w:type="pct"/>
            <w:shd w:val="clear" w:color="auto" w:fill="auto"/>
            <w:vAlign w:val="center"/>
            <w:hideMark/>
          </w:tcPr>
          <w:p w14:paraId="5C746DE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94,7</w:t>
            </w:r>
          </w:p>
        </w:tc>
        <w:tc>
          <w:tcPr>
            <w:tcW w:w="686" w:type="pct"/>
            <w:shd w:val="clear" w:color="auto" w:fill="auto"/>
            <w:vAlign w:val="center"/>
            <w:hideMark/>
          </w:tcPr>
          <w:p w14:paraId="79A8E06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98,7</w:t>
            </w:r>
          </w:p>
        </w:tc>
      </w:tr>
      <w:tr w:rsidR="00C55902" w:rsidRPr="00DC3810" w14:paraId="3310F53F" w14:textId="77777777" w:rsidTr="00C55902">
        <w:trPr>
          <w:trHeight w:val="300"/>
        </w:trPr>
        <w:tc>
          <w:tcPr>
            <w:tcW w:w="1581" w:type="pct"/>
            <w:shd w:val="clear" w:color="auto" w:fill="auto"/>
            <w:vAlign w:val="center"/>
            <w:hideMark/>
          </w:tcPr>
          <w:p w14:paraId="6434EC79"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ciepłą wodę bieżącą</w:t>
            </w:r>
          </w:p>
        </w:tc>
        <w:tc>
          <w:tcPr>
            <w:tcW w:w="681" w:type="pct"/>
            <w:shd w:val="clear" w:color="auto" w:fill="auto"/>
            <w:vAlign w:val="center"/>
            <w:hideMark/>
          </w:tcPr>
          <w:p w14:paraId="5D60D3F8"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99,3</w:t>
            </w:r>
          </w:p>
        </w:tc>
        <w:tc>
          <w:tcPr>
            <w:tcW w:w="687" w:type="pct"/>
            <w:shd w:val="clear" w:color="auto" w:fill="auto"/>
            <w:vAlign w:val="center"/>
            <w:hideMark/>
          </w:tcPr>
          <w:p w14:paraId="66B0AE2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98,7</w:t>
            </w:r>
          </w:p>
        </w:tc>
        <w:tc>
          <w:tcPr>
            <w:tcW w:w="681" w:type="pct"/>
            <w:shd w:val="clear" w:color="auto" w:fill="auto"/>
            <w:vAlign w:val="center"/>
            <w:hideMark/>
          </w:tcPr>
          <w:p w14:paraId="2315FEF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97,3</w:t>
            </w:r>
          </w:p>
        </w:tc>
        <w:tc>
          <w:tcPr>
            <w:tcW w:w="684" w:type="pct"/>
            <w:shd w:val="clear" w:color="auto" w:fill="auto"/>
            <w:vAlign w:val="center"/>
            <w:hideMark/>
          </w:tcPr>
          <w:p w14:paraId="1DE1FED4"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95,5</w:t>
            </w:r>
          </w:p>
        </w:tc>
        <w:tc>
          <w:tcPr>
            <w:tcW w:w="686" w:type="pct"/>
            <w:shd w:val="clear" w:color="auto" w:fill="auto"/>
            <w:vAlign w:val="center"/>
            <w:hideMark/>
          </w:tcPr>
          <w:p w14:paraId="01F9C2F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99,1</w:t>
            </w:r>
          </w:p>
        </w:tc>
      </w:tr>
      <w:tr w:rsidR="00C55902" w:rsidRPr="00DC3810" w14:paraId="0ACFAC2C" w14:textId="77777777" w:rsidTr="00C55902">
        <w:trPr>
          <w:trHeight w:val="300"/>
        </w:trPr>
        <w:tc>
          <w:tcPr>
            <w:tcW w:w="1581" w:type="pct"/>
            <w:shd w:val="clear" w:color="auto" w:fill="auto"/>
            <w:vAlign w:val="center"/>
            <w:hideMark/>
          </w:tcPr>
          <w:p w14:paraId="2C9D473B"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w:t>
            </w:r>
          </w:p>
        </w:tc>
        <w:tc>
          <w:tcPr>
            <w:tcW w:w="681" w:type="pct"/>
            <w:shd w:val="clear" w:color="auto" w:fill="auto"/>
            <w:vAlign w:val="center"/>
            <w:hideMark/>
          </w:tcPr>
          <w:p w14:paraId="28C2780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84,3</w:t>
            </w:r>
          </w:p>
        </w:tc>
        <w:tc>
          <w:tcPr>
            <w:tcW w:w="687" w:type="pct"/>
            <w:shd w:val="clear" w:color="auto" w:fill="auto"/>
            <w:vAlign w:val="center"/>
            <w:hideMark/>
          </w:tcPr>
          <w:p w14:paraId="4782827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92,3</w:t>
            </w:r>
          </w:p>
        </w:tc>
        <w:tc>
          <w:tcPr>
            <w:tcW w:w="681" w:type="pct"/>
            <w:shd w:val="clear" w:color="auto" w:fill="auto"/>
            <w:vAlign w:val="center"/>
            <w:hideMark/>
          </w:tcPr>
          <w:p w14:paraId="74D43A1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91,5</w:t>
            </w:r>
          </w:p>
        </w:tc>
        <w:tc>
          <w:tcPr>
            <w:tcW w:w="684" w:type="pct"/>
            <w:shd w:val="clear" w:color="auto" w:fill="auto"/>
            <w:vAlign w:val="center"/>
            <w:hideMark/>
          </w:tcPr>
          <w:p w14:paraId="0CC47D6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91,8</w:t>
            </w:r>
          </w:p>
        </w:tc>
        <w:tc>
          <w:tcPr>
            <w:tcW w:w="686" w:type="pct"/>
            <w:shd w:val="clear" w:color="auto" w:fill="auto"/>
            <w:vAlign w:val="center"/>
            <w:hideMark/>
          </w:tcPr>
          <w:p w14:paraId="690BF9E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90,9</w:t>
            </w:r>
          </w:p>
        </w:tc>
      </w:tr>
      <w:tr w:rsidR="00C55902" w:rsidRPr="00DC3810" w14:paraId="06226EB9" w14:textId="77777777" w:rsidTr="00C55902">
        <w:trPr>
          <w:trHeight w:val="300"/>
        </w:trPr>
        <w:tc>
          <w:tcPr>
            <w:tcW w:w="1581" w:type="pct"/>
            <w:shd w:val="clear" w:color="auto" w:fill="auto"/>
            <w:vAlign w:val="center"/>
            <w:hideMark/>
          </w:tcPr>
          <w:p w14:paraId="5C0CC8BC"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sieci</w:t>
            </w:r>
          </w:p>
        </w:tc>
        <w:tc>
          <w:tcPr>
            <w:tcW w:w="681" w:type="pct"/>
            <w:shd w:val="clear" w:color="auto" w:fill="auto"/>
            <w:vAlign w:val="center"/>
            <w:hideMark/>
          </w:tcPr>
          <w:p w14:paraId="717DA95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26,7</w:t>
            </w:r>
          </w:p>
        </w:tc>
        <w:tc>
          <w:tcPr>
            <w:tcW w:w="687" w:type="pct"/>
            <w:shd w:val="clear" w:color="auto" w:fill="auto"/>
            <w:vAlign w:val="center"/>
            <w:hideMark/>
          </w:tcPr>
          <w:p w14:paraId="7CD64EA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25,7</w:t>
            </w:r>
          </w:p>
        </w:tc>
        <w:tc>
          <w:tcPr>
            <w:tcW w:w="681" w:type="pct"/>
            <w:shd w:val="clear" w:color="auto" w:fill="auto"/>
            <w:vAlign w:val="center"/>
            <w:hideMark/>
          </w:tcPr>
          <w:p w14:paraId="4494A48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27,7</w:t>
            </w:r>
          </w:p>
        </w:tc>
        <w:tc>
          <w:tcPr>
            <w:tcW w:w="684" w:type="pct"/>
            <w:shd w:val="clear" w:color="auto" w:fill="auto"/>
            <w:vAlign w:val="center"/>
            <w:hideMark/>
          </w:tcPr>
          <w:p w14:paraId="1577AD20"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22,7</w:t>
            </w:r>
          </w:p>
        </w:tc>
        <w:tc>
          <w:tcPr>
            <w:tcW w:w="686" w:type="pct"/>
            <w:shd w:val="clear" w:color="auto" w:fill="auto"/>
            <w:vAlign w:val="center"/>
            <w:hideMark/>
          </w:tcPr>
          <w:p w14:paraId="2B396A4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32,4</w:t>
            </w:r>
          </w:p>
        </w:tc>
      </w:tr>
      <w:tr w:rsidR="00C55902" w:rsidRPr="00DC3810" w14:paraId="31C31DE2" w14:textId="77777777" w:rsidTr="00C55902">
        <w:trPr>
          <w:trHeight w:val="300"/>
        </w:trPr>
        <w:tc>
          <w:tcPr>
            <w:tcW w:w="1581" w:type="pct"/>
            <w:shd w:val="clear" w:color="auto" w:fill="auto"/>
            <w:vAlign w:val="center"/>
            <w:hideMark/>
          </w:tcPr>
          <w:p w14:paraId="71FE6561"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gaz z butli</w:t>
            </w:r>
          </w:p>
        </w:tc>
        <w:tc>
          <w:tcPr>
            <w:tcW w:w="681" w:type="pct"/>
            <w:shd w:val="clear" w:color="auto" w:fill="auto"/>
            <w:vAlign w:val="center"/>
            <w:hideMark/>
          </w:tcPr>
          <w:p w14:paraId="4784209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57,6</w:t>
            </w:r>
          </w:p>
        </w:tc>
        <w:tc>
          <w:tcPr>
            <w:tcW w:w="687" w:type="pct"/>
            <w:shd w:val="clear" w:color="auto" w:fill="auto"/>
            <w:vAlign w:val="center"/>
            <w:hideMark/>
          </w:tcPr>
          <w:p w14:paraId="32E31F7E"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66,6</w:t>
            </w:r>
          </w:p>
        </w:tc>
        <w:tc>
          <w:tcPr>
            <w:tcW w:w="681" w:type="pct"/>
            <w:shd w:val="clear" w:color="auto" w:fill="auto"/>
            <w:vAlign w:val="center"/>
            <w:hideMark/>
          </w:tcPr>
          <w:p w14:paraId="4E3BE80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63,8</w:t>
            </w:r>
          </w:p>
        </w:tc>
        <w:tc>
          <w:tcPr>
            <w:tcW w:w="684" w:type="pct"/>
            <w:shd w:val="clear" w:color="auto" w:fill="auto"/>
            <w:vAlign w:val="center"/>
            <w:hideMark/>
          </w:tcPr>
          <w:p w14:paraId="6B4265A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69,1</w:t>
            </w:r>
          </w:p>
        </w:tc>
        <w:tc>
          <w:tcPr>
            <w:tcW w:w="686" w:type="pct"/>
            <w:shd w:val="clear" w:color="auto" w:fill="auto"/>
            <w:vAlign w:val="center"/>
            <w:hideMark/>
          </w:tcPr>
          <w:p w14:paraId="6D41DE0D"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58,5</w:t>
            </w:r>
          </w:p>
        </w:tc>
      </w:tr>
      <w:tr w:rsidR="00C55902" w:rsidRPr="00DC3810" w14:paraId="0E8CA331" w14:textId="77777777" w:rsidTr="00C55902">
        <w:trPr>
          <w:trHeight w:val="300"/>
        </w:trPr>
        <w:tc>
          <w:tcPr>
            <w:tcW w:w="1581" w:type="pct"/>
            <w:shd w:val="clear" w:color="auto" w:fill="auto"/>
            <w:vAlign w:val="center"/>
            <w:hideMark/>
          </w:tcPr>
          <w:p w14:paraId="255E2D63"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klimatyzację</w:t>
            </w:r>
          </w:p>
        </w:tc>
        <w:tc>
          <w:tcPr>
            <w:tcW w:w="681" w:type="pct"/>
            <w:shd w:val="clear" w:color="auto" w:fill="auto"/>
            <w:vAlign w:val="center"/>
            <w:hideMark/>
          </w:tcPr>
          <w:p w14:paraId="28FFF0F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w:t>
            </w:r>
          </w:p>
        </w:tc>
        <w:tc>
          <w:tcPr>
            <w:tcW w:w="687" w:type="pct"/>
            <w:shd w:val="clear" w:color="auto" w:fill="auto"/>
            <w:vAlign w:val="center"/>
            <w:hideMark/>
          </w:tcPr>
          <w:p w14:paraId="7DCC81A1"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c>
          <w:tcPr>
            <w:tcW w:w="681" w:type="pct"/>
            <w:shd w:val="clear" w:color="auto" w:fill="auto"/>
            <w:vAlign w:val="center"/>
            <w:hideMark/>
          </w:tcPr>
          <w:p w14:paraId="2996036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w:t>
            </w:r>
          </w:p>
        </w:tc>
        <w:tc>
          <w:tcPr>
            <w:tcW w:w="684" w:type="pct"/>
            <w:shd w:val="clear" w:color="auto" w:fill="auto"/>
            <w:vAlign w:val="center"/>
            <w:hideMark/>
          </w:tcPr>
          <w:p w14:paraId="7B0CB73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0,8</w:t>
            </w:r>
          </w:p>
        </w:tc>
        <w:tc>
          <w:tcPr>
            <w:tcW w:w="686" w:type="pct"/>
            <w:shd w:val="clear" w:color="auto" w:fill="auto"/>
            <w:vAlign w:val="center"/>
            <w:hideMark/>
          </w:tcPr>
          <w:p w14:paraId="31DDB96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w:t>
            </w:r>
          </w:p>
        </w:tc>
      </w:tr>
      <w:tr w:rsidR="00C55902" w:rsidRPr="00DC3810" w14:paraId="11958016" w14:textId="77777777" w:rsidTr="00C55902">
        <w:trPr>
          <w:trHeight w:val="300"/>
        </w:trPr>
        <w:tc>
          <w:tcPr>
            <w:tcW w:w="1581" w:type="pct"/>
            <w:shd w:val="clear" w:color="auto" w:fill="auto"/>
            <w:vAlign w:val="center"/>
            <w:hideMark/>
          </w:tcPr>
          <w:p w14:paraId="445D55E8"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ogrzewanie centralne</w:t>
            </w:r>
          </w:p>
        </w:tc>
        <w:tc>
          <w:tcPr>
            <w:tcW w:w="681" w:type="pct"/>
            <w:shd w:val="clear" w:color="auto" w:fill="auto"/>
            <w:vAlign w:val="center"/>
            <w:hideMark/>
          </w:tcPr>
          <w:p w14:paraId="4BB58D9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85,9</w:t>
            </w:r>
          </w:p>
        </w:tc>
        <w:tc>
          <w:tcPr>
            <w:tcW w:w="687" w:type="pct"/>
            <w:shd w:val="clear" w:color="auto" w:fill="auto"/>
            <w:vAlign w:val="center"/>
            <w:hideMark/>
          </w:tcPr>
          <w:p w14:paraId="0F0560FA"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84,2</w:t>
            </w:r>
          </w:p>
        </w:tc>
        <w:tc>
          <w:tcPr>
            <w:tcW w:w="681" w:type="pct"/>
            <w:shd w:val="clear" w:color="auto" w:fill="auto"/>
            <w:vAlign w:val="center"/>
            <w:hideMark/>
          </w:tcPr>
          <w:p w14:paraId="5C66141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80,0</w:t>
            </w:r>
          </w:p>
        </w:tc>
        <w:tc>
          <w:tcPr>
            <w:tcW w:w="684" w:type="pct"/>
            <w:shd w:val="clear" w:color="auto" w:fill="auto"/>
            <w:vAlign w:val="center"/>
            <w:hideMark/>
          </w:tcPr>
          <w:p w14:paraId="531E6657"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75,2</w:t>
            </w:r>
          </w:p>
        </w:tc>
        <w:tc>
          <w:tcPr>
            <w:tcW w:w="686" w:type="pct"/>
            <w:shd w:val="clear" w:color="auto" w:fill="auto"/>
            <w:vAlign w:val="center"/>
            <w:hideMark/>
          </w:tcPr>
          <w:p w14:paraId="5048EE39"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85,0</w:t>
            </w:r>
          </w:p>
        </w:tc>
      </w:tr>
      <w:tr w:rsidR="00C55902" w:rsidRPr="00DC3810" w14:paraId="526E6CB3" w14:textId="77777777" w:rsidTr="00C55902">
        <w:trPr>
          <w:trHeight w:val="300"/>
        </w:trPr>
        <w:tc>
          <w:tcPr>
            <w:tcW w:w="1581" w:type="pct"/>
            <w:shd w:val="clear" w:color="auto" w:fill="auto"/>
            <w:vAlign w:val="center"/>
            <w:hideMark/>
          </w:tcPr>
          <w:p w14:paraId="2F5F8A1C"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piece </w:t>
            </w:r>
          </w:p>
        </w:tc>
        <w:tc>
          <w:tcPr>
            <w:tcW w:w="681" w:type="pct"/>
            <w:shd w:val="clear" w:color="auto" w:fill="auto"/>
            <w:vAlign w:val="center"/>
            <w:hideMark/>
          </w:tcPr>
          <w:p w14:paraId="7F421DE6"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14,0</w:t>
            </w:r>
          </w:p>
        </w:tc>
        <w:tc>
          <w:tcPr>
            <w:tcW w:w="687" w:type="pct"/>
            <w:shd w:val="clear" w:color="auto" w:fill="auto"/>
            <w:vAlign w:val="center"/>
            <w:hideMark/>
          </w:tcPr>
          <w:p w14:paraId="2681F692"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15,6</w:t>
            </w:r>
          </w:p>
        </w:tc>
        <w:tc>
          <w:tcPr>
            <w:tcW w:w="681" w:type="pct"/>
            <w:shd w:val="clear" w:color="auto" w:fill="auto"/>
            <w:vAlign w:val="center"/>
            <w:hideMark/>
          </w:tcPr>
          <w:p w14:paraId="62DCF5C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19,7</w:t>
            </w:r>
          </w:p>
        </w:tc>
        <w:tc>
          <w:tcPr>
            <w:tcW w:w="684" w:type="pct"/>
            <w:shd w:val="clear" w:color="auto" w:fill="auto"/>
            <w:vAlign w:val="center"/>
            <w:hideMark/>
          </w:tcPr>
          <w:p w14:paraId="51CEFDE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24,5</w:t>
            </w:r>
          </w:p>
        </w:tc>
        <w:tc>
          <w:tcPr>
            <w:tcW w:w="686" w:type="pct"/>
            <w:shd w:val="clear" w:color="auto" w:fill="auto"/>
            <w:vAlign w:val="center"/>
            <w:hideMark/>
          </w:tcPr>
          <w:p w14:paraId="0CF09DB5"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14,8</w:t>
            </w:r>
          </w:p>
        </w:tc>
      </w:tr>
      <w:tr w:rsidR="00C55902" w:rsidRPr="00DC3810" w14:paraId="07B6D30A" w14:textId="77777777" w:rsidTr="00C55902">
        <w:trPr>
          <w:trHeight w:val="720"/>
        </w:trPr>
        <w:tc>
          <w:tcPr>
            <w:tcW w:w="1581" w:type="pct"/>
            <w:shd w:val="clear" w:color="auto" w:fill="auto"/>
            <w:vAlign w:val="center"/>
            <w:hideMark/>
          </w:tcPr>
          <w:p w14:paraId="714CE917" w14:textId="77777777" w:rsidR="00C55902" w:rsidRPr="00DC3810" w:rsidRDefault="00C55902" w:rsidP="00C55902">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Przeciętna powierzchnia użytkowa mieszkania zajmowana przez gosp. domowe w m</w:t>
            </w:r>
            <w:r w:rsidRPr="00DC3810">
              <w:rPr>
                <w:rFonts w:ascii="Lato" w:eastAsia="Times New Roman" w:hAnsi="Lato" w:cs="Arial"/>
                <w:color w:val="000000"/>
                <w:sz w:val="18"/>
                <w:szCs w:val="18"/>
                <w:vertAlign w:val="superscript"/>
                <w:lang w:eastAsia="pl-PL"/>
              </w:rPr>
              <w:t>2</w:t>
            </w:r>
            <w:r w:rsidRPr="00DC3810">
              <w:rPr>
                <w:rFonts w:ascii="Lato" w:eastAsia="Times New Roman" w:hAnsi="Lato" w:cs="Arial"/>
                <w:color w:val="000000"/>
                <w:sz w:val="18"/>
                <w:szCs w:val="18"/>
                <w:lang w:eastAsia="pl-PL"/>
              </w:rPr>
              <w:t xml:space="preserve"> na 1 gospodarstwo domowe</w:t>
            </w:r>
          </w:p>
        </w:tc>
        <w:tc>
          <w:tcPr>
            <w:tcW w:w="681" w:type="pct"/>
            <w:shd w:val="clear" w:color="auto" w:fill="auto"/>
            <w:vAlign w:val="center"/>
            <w:hideMark/>
          </w:tcPr>
          <w:p w14:paraId="2E96FDE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116,6</w:t>
            </w:r>
          </w:p>
        </w:tc>
        <w:tc>
          <w:tcPr>
            <w:tcW w:w="687" w:type="pct"/>
            <w:shd w:val="clear" w:color="auto" w:fill="auto"/>
            <w:vAlign w:val="center"/>
            <w:hideMark/>
          </w:tcPr>
          <w:p w14:paraId="719886EC"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113,7</w:t>
            </w:r>
          </w:p>
        </w:tc>
        <w:tc>
          <w:tcPr>
            <w:tcW w:w="681" w:type="pct"/>
            <w:shd w:val="clear" w:color="auto" w:fill="auto"/>
            <w:vAlign w:val="center"/>
            <w:hideMark/>
          </w:tcPr>
          <w:p w14:paraId="037D086B"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93,2</w:t>
            </w:r>
          </w:p>
        </w:tc>
        <w:tc>
          <w:tcPr>
            <w:tcW w:w="684" w:type="pct"/>
            <w:shd w:val="clear" w:color="auto" w:fill="auto"/>
            <w:vAlign w:val="center"/>
            <w:hideMark/>
          </w:tcPr>
          <w:p w14:paraId="6EB8ADEF"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82,6</w:t>
            </w:r>
          </w:p>
        </w:tc>
        <w:tc>
          <w:tcPr>
            <w:tcW w:w="686" w:type="pct"/>
            <w:shd w:val="clear" w:color="auto" w:fill="auto"/>
            <w:vAlign w:val="center"/>
            <w:hideMark/>
          </w:tcPr>
          <w:p w14:paraId="3DF5AB73" w14:textId="77777777" w:rsidR="00C55902" w:rsidRPr="00DC3810" w:rsidRDefault="00C55902" w:rsidP="00C55902">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102,7</w:t>
            </w:r>
          </w:p>
        </w:tc>
      </w:tr>
    </w:tbl>
    <w:p w14:paraId="73B98E22" w14:textId="68A8160E" w:rsidR="00C55902" w:rsidRPr="009E6F68" w:rsidRDefault="00C55902" w:rsidP="00A254DA">
      <w:pPr>
        <w:spacing w:after="0" w:line="240" w:lineRule="auto"/>
        <w:jc w:val="both"/>
        <w:rPr>
          <w:rFonts w:ascii="Lato" w:hAnsi="Lato"/>
          <w:sz w:val="16"/>
          <w:szCs w:val="16"/>
        </w:rPr>
      </w:pPr>
      <w:r w:rsidRPr="009E6F68">
        <w:rPr>
          <w:rFonts w:ascii="Lato" w:hAnsi="Lato"/>
          <w:sz w:val="16"/>
          <w:szCs w:val="16"/>
        </w:rPr>
        <w:t>Źródło: Badanie budżetów gospodarstw domowych, GUS</w:t>
      </w:r>
    </w:p>
    <w:p w14:paraId="13630C0D" w14:textId="6E9AE6E9" w:rsidR="00C55902" w:rsidRPr="009E6F68" w:rsidRDefault="00C55902" w:rsidP="00A254DA">
      <w:pPr>
        <w:spacing w:after="0" w:line="240" w:lineRule="auto"/>
        <w:jc w:val="both"/>
        <w:rPr>
          <w:rFonts w:ascii="Lato" w:hAnsi="Lato"/>
          <w:sz w:val="16"/>
          <w:szCs w:val="16"/>
        </w:rPr>
      </w:pPr>
      <w:r w:rsidRPr="009E6F68">
        <w:rPr>
          <w:rFonts w:ascii="Lato" w:hAnsi="Lato"/>
          <w:sz w:val="16"/>
          <w:szCs w:val="16"/>
        </w:rPr>
        <w:t>UWAGA: Dane za 2022 r. zostały uogólnione w oparciu o wstępne wyniki Narodowego Spisu Powszechnego Ludności i Mieszkań NSP 2021 i nie są wprost porównywalne z danymi za lata wcześniejsze, które zostały uogólnione w oparciu o wyniki Narodowego Spisu Powszechnego Ludności i Mieszkań NSP 2011.</w:t>
      </w:r>
    </w:p>
    <w:p w14:paraId="3CD2D010" w14:textId="7E84C6A8" w:rsidR="00C95F98" w:rsidRDefault="00C95F98" w:rsidP="00A254DA">
      <w:pPr>
        <w:spacing w:after="0" w:line="240" w:lineRule="auto"/>
        <w:jc w:val="both"/>
        <w:rPr>
          <w:rFonts w:ascii="Lato" w:hAnsi="Lato"/>
          <w:sz w:val="20"/>
          <w:szCs w:val="20"/>
        </w:rPr>
      </w:pPr>
    </w:p>
    <w:p w14:paraId="328DB2A5" w14:textId="77777777" w:rsidR="00AE6F64" w:rsidRPr="00AE6F64" w:rsidRDefault="00AE6F64" w:rsidP="00AE6F64">
      <w:pPr>
        <w:spacing w:after="0" w:line="240" w:lineRule="auto"/>
        <w:jc w:val="both"/>
        <w:rPr>
          <w:rFonts w:ascii="Lato" w:hAnsi="Lato"/>
          <w:sz w:val="20"/>
          <w:szCs w:val="20"/>
        </w:rPr>
      </w:pPr>
      <w:r w:rsidRPr="00AE6F64">
        <w:rPr>
          <w:rFonts w:ascii="Lato" w:hAnsi="Lato"/>
          <w:sz w:val="20"/>
          <w:szCs w:val="20"/>
        </w:rPr>
        <w:t xml:space="preserve">Użytkowanie mieszkań posiadających odpowiednie warunki techniczno-sanitarne zadeklarowało w 2022 r. 96,0% gospodarstw osób w wieku 60 lat lub więcej (96,8% w miastach i 93,4% na wsi). Osoby starsze w większości zadeklarowały, że ich mieszkania wyposażone były w balkon, taras lub ogródek (78,9%), że jest wystarczająco ciepłe w zimie i wystarczająco chłodne w lecie (odpowiednio 96,4% i 96,0% ). Na zamieszkiwanie w hałaśliwym lub zanieczyszczonym otoczeniu uskarżało się 8,6% gospodarstw osób starszych, 2,9% oceniło, że zamieszkuje w rejonie o złej infrastrukturze, a 1,8% wskazało na szczególne </w:t>
      </w:r>
      <w:r w:rsidRPr="00AE6F64">
        <w:rPr>
          <w:rFonts w:ascii="Lato" w:hAnsi="Lato"/>
          <w:sz w:val="20"/>
          <w:szCs w:val="20"/>
        </w:rPr>
        <w:lastRenderedPageBreak/>
        <w:t xml:space="preserve">zagrożenie przestępczością (także przemocą, wandalizmem, bliskością melin). Szczególną uwagę należy zwrócić na fakt, że 28,8% mieszkań osób będących w wieku 60 lat lub więcej znajdowała się w budynkach posiadających bariery architektoniczne utrudniające dostęp do mieszkania i problem ten sygnalizowały częściej gospodarstwa domowe zamieszkujące w miastach – 32,3 % niż na wsi – 16,8%. </w:t>
      </w:r>
    </w:p>
    <w:p w14:paraId="46C61ADC" w14:textId="77777777" w:rsidR="00C95F98" w:rsidRDefault="00C95F98" w:rsidP="00A254DA">
      <w:pPr>
        <w:spacing w:after="0" w:line="240" w:lineRule="auto"/>
        <w:jc w:val="both"/>
        <w:rPr>
          <w:rFonts w:ascii="Lato" w:hAnsi="Lato"/>
          <w:sz w:val="20"/>
          <w:szCs w:val="20"/>
        </w:rPr>
      </w:pPr>
    </w:p>
    <w:p w14:paraId="2D48FF60" w14:textId="0E4FBEA5" w:rsidR="00C95F98" w:rsidRDefault="00C95F98" w:rsidP="00C95F98">
      <w:pPr>
        <w:pStyle w:val="Legenda"/>
        <w:keepNext/>
      </w:pPr>
      <w:bookmarkStart w:id="13" w:name="_Toc142565977"/>
      <w:r>
        <w:t xml:space="preserve">Tabela </w:t>
      </w:r>
      <w:fldSimple w:instr=" SEQ Tabela \* ARABIC ">
        <w:r w:rsidR="00AA385B">
          <w:rPr>
            <w:noProof/>
          </w:rPr>
          <w:t>11</w:t>
        </w:r>
      </w:fldSimple>
      <w:r>
        <w:t xml:space="preserve"> Subiektywna opinia na temat użytkowanego przez gospodarstwo domowe mieszkania </w:t>
      </w:r>
      <w:r w:rsidR="00630CD6">
        <w:t>według</w:t>
      </w:r>
      <w:r>
        <w:t xml:space="preserve"> liczby osób w wieku 60 lat i więcej w 2022 r.</w:t>
      </w:r>
      <w:bookmarkEnd w:id="13"/>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6"/>
        <w:gridCol w:w="1068"/>
        <w:gridCol w:w="1159"/>
        <w:gridCol w:w="1068"/>
        <w:gridCol w:w="1073"/>
        <w:gridCol w:w="1075"/>
      </w:tblGrid>
      <w:tr w:rsidR="00C95F98" w:rsidRPr="00DC3810" w14:paraId="5C56B4CC" w14:textId="77777777" w:rsidTr="00DC3810">
        <w:trPr>
          <w:trHeight w:val="138"/>
        </w:trPr>
        <w:tc>
          <w:tcPr>
            <w:tcW w:w="1950" w:type="pct"/>
            <w:vMerge w:val="restart"/>
            <w:shd w:val="clear" w:color="auto" w:fill="8EAADB" w:themeFill="accent1" w:themeFillTint="99"/>
            <w:vAlign w:val="center"/>
            <w:hideMark/>
          </w:tcPr>
          <w:p w14:paraId="5F9E3268"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3050" w:type="pct"/>
            <w:gridSpan w:val="5"/>
            <w:shd w:val="clear" w:color="auto" w:fill="8EAADB" w:themeFill="accent1" w:themeFillTint="99"/>
            <w:vAlign w:val="center"/>
            <w:hideMark/>
          </w:tcPr>
          <w:p w14:paraId="5300AF6C"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Gospodarstwa domowe  </w:t>
            </w:r>
          </w:p>
        </w:tc>
      </w:tr>
      <w:tr w:rsidR="00C95F98" w:rsidRPr="00DC3810" w14:paraId="2FE4A5B9" w14:textId="77777777" w:rsidTr="00DC3810">
        <w:trPr>
          <w:trHeight w:val="340"/>
        </w:trPr>
        <w:tc>
          <w:tcPr>
            <w:tcW w:w="1950" w:type="pct"/>
            <w:vMerge/>
            <w:shd w:val="clear" w:color="auto" w:fill="8EAADB" w:themeFill="accent1" w:themeFillTint="99"/>
            <w:vAlign w:val="center"/>
            <w:hideMark/>
          </w:tcPr>
          <w:p w14:paraId="0562EBE7"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val="restart"/>
            <w:shd w:val="clear" w:color="auto" w:fill="8EAADB" w:themeFill="accent1" w:themeFillTint="99"/>
            <w:vAlign w:val="center"/>
            <w:hideMark/>
          </w:tcPr>
          <w:p w14:paraId="3F009EB6"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bez osób </w:t>
            </w:r>
            <w:r w:rsidRPr="00DC3810">
              <w:rPr>
                <w:rFonts w:ascii="Lato" w:eastAsia="Times New Roman" w:hAnsi="Lato" w:cs="Arial"/>
                <w:color w:val="000000"/>
                <w:sz w:val="18"/>
                <w:szCs w:val="18"/>
                <w:lang w:eastAsia="pl-PL"/>
              </w:rPr>
              <w:br/>
              <w:t>w wieku 60 lat i więcej</w:t>
            </w:r>
          </w:p>
        </w:tc>
        <w:tc>
          <w:tcPr>
            <w:tcW w:w="645" w:type="pct"/>
            <w:vMerge w:val="restart"/>
            <w:shd w:val="clear" w:color="auto" w:fill="8EAADB" w:themeFill="accent1" w:themeFillTint="99"/>
            <w:vAlign w:val="center"/>
            <w:hideMark/>
          </w:tcPr>
          <w:p w14:paraId="15D582E3"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 przynajmniej 1 osobą </w:t>
            </w:r>
            <w:r w:rsidRPr="00DC3810">
              <w:rPr>
                <w:rFonts w:ascii="Lato" w:eastAsia="Times New Roman" w:hAnsi="Lato" w:cs="Arial"/>
                <w:color w:val="000000"/>
                <w:sz w:val="18"/>
                <w:szCs w:val="18"/>
                <w:lang w:eastAsia="pl-PL"/>
              </w:rPr>
              <w:br/>
              <w:t>w wieku 60 lat i więcej</w:t>
            </w:r>
          </w:p>
        </w:tc>
        <w:tc>
          <w:tcPr>
            <w:tcW w:w="1805" w:type="pct"/>
            <w:gridSpan w:val="3"/>
            <w:shd w:val="clear" w:color="auto" w:fill="8EAADB" w:themeFill="accent1" w:themeFillTint="99"/>
            <w:vAlign w:val="center"/>
            <w:hideMark/>
          </w:tcPr>
          <w:p w14:paraId="3B0AFEFB"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wyłącznie z osobami w wieku 60 lat i więcej</w:t>
            </w:r>
          </w:p>
        </w:tc>
      </w:tr>
      <w:tr w:rsidR="00C95F98" w:rsidRPr="00DC3810" w14:paraId="1D85F818" w14:textId="77777777" w:rsidTr="00DC3810">
        <w:trPr>
          <w:trHeight w:val="176"/>
        </w:trPr>
        <w:tc>
          <w:tcPr>
            <w:tcW w:w="1950" w:type="pct"/>
            <w:vMerge/>
            <w:shd w:val="clear" w:color="auto" w:fill="8EAADB" w:themeFill="accent1" w:themeFillTint="99"/>
            <w:vAlign w:val="center"/>
            <w:hideMark/>
          </w:tcPr>
          <w:p w14:paraId="71B66912"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7DE9C096"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0B8E2DCF"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val="restart"/>
            <w:shd w:val="clear" w:color="auto" w:fill="8EAADB" w:themeFill="accent1" w:themeFillTint="99"/>
            <w:vAlign w:val="center"/>
            <w:hideMark/>
          </w:tcPr>
          <w:p w14:paraId="688026A7"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razem</w:t>
            </w:r>
          </w:p>
        </w:tc>
        <w:tc>
          <w:tcPr>
            <w:tcW w:w="1205" w:type="pct"/>
            <w:gridSpan w:val="2"/>
            <w:shd w:val="clear" w:color="auto" w:fill="8EAADB" w:themeFill="accent1" w:themeFillTint="99"/>
            <w:vAlign w:val="center"/>
            <w:hideMark/>
          </w:tcPr>
          <w:p w14:paraId="1757C750"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tym</w:t>
            </w:r>
          </w:p>
        </w:tc>
      </w:tr>
      <w:tr w:rsidR="00C95F98" w:rsidRPr="00DC3810" w14:paraId="0754F3AC" w14:textId="77777777" w:rsidTr="00DC3810">
        <w:trPr>
          <w:trHeight w:val="450"/>
        </w:trPr>
        <w:tc>
          <w:tcPr>
            <w:tcW w:w="1950" w:type="pct"/>
            <w:vMerge/>
            <w:shd w:val="clear" w:color="auto" w:fill="8EAADB" w:themeFill="accent1" w:themeFillTint="99"/>
            <w:vAlign w:val="center"/>
            <w:hideMark/>
          </w:tcPr>
          <w:p w14:paraId="378B74C1"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7C0AE740"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49568BF8"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18447D8A"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2" w:type="pct"/>
            <w:vMerge w:val="restart"/>
            <w:shd w:val="clear" w:color="auto" w:fill="8EAADB" w:themeFill="accent1" w:themeFillTint="99"/>
            <w:vAlign w:val="center"/>
            <w:hideMark/>
          </w:tcPr>
          <w:p w14:paraId="1690E5CF"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1-osobowe</w:t>
            </w:r>
          </w:p>
        </w:tc>
        <w:tc>
          <w:tcPr>
            <w:tcW w:w="603" w:type="pct"/>
            <w:vMerge w:val="restart"/>
            <w:shd w:val="clear" w:color="auto" w:fill="8EAADB" w:themeFill="accent1" w:themeFillTint="99"/>
            <w:vAlign w:val="center"/>
            <w:hideMark/>
          </w:tcPr>
          <w:p w14:paraId="4FCD0566"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2-osobowe (obydwie osoby</w:t>
            </w:r>
            <w:r w:rsidRPr="00DC3810">
              <w:rPr>
                <w:rFonts w:ascii="Lato" w:eastAsia="Times New Roman" w:hAnsi="Lato" w:cs="Arial"/>
                <w:color w:val="000000"/>
                <w:sz w:val="18"/>
                <w:szCs w:val="18"/>
                <w:lang w:eastAsia="pl-PL"/>
              </w:rPr>
              <w:br/>
              <w:t xml:space="preserve">w wieku 60 lat </w:t>
            </w:r>
            <w:r w:rsidRPr="00DC3810">
              <w:rPr>
                <w:rFonts w:ascii="Lato" w:eastAsia="Times New Roman" w:hAnsi="Lato" w:cs="Arial"/>
                <w:color w:val="000000"/>
                <w:sz w:val="18"/>
                <w:szCs w:val="18"/>
                <w:lang w:eastAsia="pl-PL"/>
              </w:rPr>
              <w:br/>
              <w:t>i więcej)</w:t>
            </w:r>
          </w:p>
        </w:tc>
      </w:tr>
      <w:tr w:rsidR="00C95F98" w:rsidRPr="00DC3810" w14:paraId="7B68856B" w14:textId="77777777" w:rsidTr="00DC3810">
        <w:trPr>
          <w:trHeight w:val="450"/>
        </w:trPr>
        <w:tc>
          <w:tcPr>
            <w:tcW w:w="1950" w:type="pct"/>
            <w:vMerge/>
            <w:shd w:val="clear" w:color="auto" w:fill="8EAADB" w:themeFill="accent1" w:themeFillTint="99"/>
            <w:vAlign w:val="center"/>
            <w:hideMark/>
          </w:tcPr>
          <w:p w14:paraId="6114CA40"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759FDF00"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113AF678"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1E0E09A0"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2" w:type="pct"/>
            <w:vMerge/>
            <w:shd w:val="clear" w:color="auto" w:fill="8EAADB" w:themeFill="accent1" w:themeFillTint="99"/>
            <w:vAlign w:val="center"/>
            <w:hideMark/>
          </w:tcPr>
          <w:p w14:paraId="1B94032A"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3" w:type="pct"/>
            <w:vMerge/>
            <w:shd w:val="clear" w:color="auto" w:fill="8EAADB" w:themeFill="accent1" w:themeFillTint="99"/>
            <w:vAlign w:val="center"/>
            <w:hideMark/>
          </w:tcPr>
          <w:p w14:paraId="184A130A"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r>
      <w:tr w:rsidR="00C95F98" w:rsidRPr="00DC3810" w14:paraId="6AE03EBF" w14:textId="77777777" w:rsidTr="00DC3810">
        <w:trPr>
          <w:trHeight w:val="450"/>
        </w:trPr>
        <w:tc>
          <w:tcPr>
            <w:tcW w:w="1950" w:type="pct"/>
            <w:vMerge/>
            <w:shd w:val="clear" w:color="auto" w:fill="8EAADB" w:themeFill="accent1" w:themeFillTint="99"/>
            <w:vAlign w:val="center"/>
            <w:hideMark/>
          </w:tcPr>
          <w:p w14:paraId="73D3410B"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0A7347D9"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45" w:type="pct"/>
            <w:vMerge/>
            <w:shd w:val="clear" w:color="auto" w:fill="8EAADB" w:themeFill="accent1" w:themeFillTint="99"/>
            <w:vAlign w:val="center"/>
            <w:hideMark/>
          </w:tcPr>
          <w:p w14:paraId="03980543"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0" w:type="pct"/>
            <w:vMerge/>
            <w:shd w:val="clear" w:color="auto" w:fill="8EAADB" w:themeFill="accent1" w:themeFillTint="99"/>
            <w:vAlign w:val="center"/>
            <w:hideMark/>
          </w:tcPr>
          <w:p w14:paraId="7A0E7C01"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2" w:type="pct"/>
            <w:vMerge/>
            <w:shd w:val="clear" w:color="auto" w:fill="8EAADB" w:themeFill="accent1" w:themeFillTint="99"/>
            <w:vAlign w:val="center"/>
            <w:hideMark/>
          </w:tcPr>
          <w:p w14:paraId="18B83A10"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603" w:type="pct"/>
            <w:vMerge/>
            <w:shd w:val="clear" w:color="auto" w:fill="8EAADB" w:themeFill="accent1" w:themeFillTint="99"/>
            <w:vAlign w:val="center"/>
            <w:hideMark/>
          </w:tcPr>
          <w:p w14:paraId="6E98297D"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r>
      <w:tr w:rsidR="00C95F98" w:rsidRPr="00DC3810" w14:paraId="7129E148" w14:textId="77777777" w:rsidTr="00DC3810">
        <w:trPr>
          <w:trHeight w:val="128"/>
        </w:trPr>
        <w:tc>
          <w:tcPr>
            <w:tcW w:w="1950" w:type="pct"/>
            <w:vMerge/>
            <w:shd w:val="clear" w:color="auto" w:fill="8EAADB" w:themeFill="accent1" w:themeFillTint="99"/>
            <w:vAlign w:val="center"/>
            <w:hideMark/>
          </w:tcPr>
          <w:p w14:paraId="37D41EEC" w14:textId="77777777" w:rsidR="00C95F98" w:rsidRPr="00DC3810" w:rsidRDefault="00C95F98" w:rsidP="00C95F98">
            <w:pPr>
              <w:spacing w:after="0" w:line="240" w:lineRule="auto"/>
              <w:rPr>
                <w:rFonts w:ascii="Lato" w:eastAsia="Times New Roman" w:hAnsi="Lato" w:cs="Arial"/>
                <w:color w:val="000000"/>
                <w:sz w:val="18"/>
                <w:szCs w:val="18"/>
                <w:lang w:eastAsia="pl-PL"/>
              </w:rPr>
            </w:pPr>
          </w:p>
        </w:tc>
        <w:tc>
          <w:tcPr>
            <w:tcW w:w="3050" w:type="pct"/>
            <w:gridSpan w:val="5"/>
            <w:shd w:val="clear" w:color="auto" w:fill="8EAADB" w:themeFill="accent1" w:themeFillTint="99"/>
            <w:vAlign w:val="center"/>
            <w:hideMark/>
          </w:tcPr>
          <w:p w14:paraId="5FB30F30"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 % danej grupy gospodarstw</w:t>
            </w:r>
          </w:p>
        </w:tc>
      </w:tr>
      <w:tr w:rsidR="00C95F98" w:rsidRPr="00DC3810" w14:paraId="0E6765E6" w14:textId="77777777" w:rsidTr="00DC3810">
        <w:trPr>
          <w:trHeight w:val="188"/>
        </w:trPr>
        <w:tc>
          <w:tcPr>
            <w:tcW w:w="5000" w:type="pct"/>
            <w:gridSpan w:val="6"/>
            <w:shd w:val="clear" w:color="auto" w:fill="auto"/>
            <w:vAlign w:val="center"/>
            <w:hideMark/>
          </w:tcPr>
          <w:p w14:paraId="6EB4809D"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r>
      <w:tr w:rsidR="00C95F98" w:rsidRPr="00DC3810" w14:paraId="453B19E6" w14:textId="77777777" w:rsidTr="00C95F98">
        <w:trPr>
          <w:trHeight w:val="462"/>
        </w:trPr>
        <w:tc>
          <w:tcPr>
            <w:tcW w:w="1950" w:type="pct"/>
            <w:shd w:val="clear" w:color="auto" w:fill="auto"/>
            <w:hideMark/>
          </w:tcPr>
          <w:p w14:paraId="2FBCD7E9"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odpowiednie warunki techniczno-sanitarne                                                      </w:t>
            </w:r>
          </w:p>
        </w:tc>
        <w:tc>
          <w:tcPr>
            <w:tcW w:w="600" w:type="pct"/>
            <w:shd w:val="clear" w:color="000000" w:fill="FFFFFF"/>
            <w:hideMark/>
          </w:tcPr>
          <w:p w14:paraId="7AB3D7B0"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96,4</w:t>
            </w:r>
          </w:p>
        </w:tc>
        <w:tc>
          <w:tcPr>
            <w:tcW w:w="645" w:type="pct"/>
            <w:shd w:val="clear" w:color="000000" w:fill="FFFFFF"/>
            <w:hideMark/>
          </w:tcPr>
          <w:p w14:paraId="6066772B"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96,0</w:t>
            </w:r>
          </w:p>
        </w:tc>
        <w:tc>
          <w:tcPr>
            <w:tcW w:w="600" w:type="pct"/>
            <w:shd w:val="clear" w:color="000000" w:fill="FFFFFF"/>
            <w:hideMark/>
          </w:tcPr>
          <w:p w14:paraId="55F68CC1"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96,0</w:t>
            </w:r>
          </w:p>
        </w:tc>
        <w:tc>
          <w:tcPr>
            <w:tcW w:w="602" w:type="pct"/>
            <w:shd w:val="clear" w:color="000000" w:fill="FFFFFF"/>
            <w:hideMark/>
          </w:tcPr>
          <w:p w14:paraId="6E82A3AC"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94,2</w:t>
            </w:r>
          </w:p>
        </w:tc>
        <w:tc>
          <w:tcPr>
            <w:tcW w:w="603" w:type="pct"/>
            <w:shd w:val="clear" w:color="000000" w:fill="FFFFFF"/>
            <w:hideMark/>
          </w:tcPr>
          <w:p w14:paraId="24CDFC57"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98,1</w:t>
            </w:r>
          </w:p>
        </w:tc>
      </w:tr>
      <w:tr w:rsidR="00C95F98" w:rsidRPr="00DC3810" w14:paraId="4FADF277" w14:textId="77777777" w:rsidTr="00C95F98">
        <w:trPr>
          <w:trHeight w:val="462"/>
        </w:trPr>
        <w:tc>
          <w:tcPr>
            <w:tcW w:w="1950" w:type="pct"/>
            <w:shd w:val="clear" w:color="auto" w:fill="auto"/>
            <w:hideMark/>
          </w:tcPr>
          <w:p w14:paraId="075D7648"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hałaśliwym lub zanieczyszczonym otoczeniu                                             </w:t>
            </w:r>
          </w:p>
        </w:tc>
        <w:tc>
          <w:tcPr>
            <w:tcW w:w="600" w:type="pct"/>
            <w:shd w:val="clear" w:color="000000" w:fill="FFFFFF"/>
            <w:hideMark/>
          </w:tcPr>
          <w:p w14:paraId="278F66F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8,4</w:t>
            </w:r>
          </w:p>
        </w:tc>
        <w:tc>
          <w:tcPr>
            <w:tcW w:w="645" w:type="pct"/>
            <w:shd w:val="clear" w:color="000000" w:fill="FFFFFF"/>
            <w:hideMark/>
          </w:tcPr>
          <w:p w14:paraId="436D33FF"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8,5</w:t>
            </w:r>
          </w:p>
        </w:tc>
        <w:tc>
          <w:tcPr>
            <w:tcW w:w="600" w:type="pct"/>
            <w:shd w:val="clear" w:color="000000" w:fill="FFFFFF"/>
            <w:hideMark/>
          </w:tcPr>
          <w:p w14:paraId="4F708E8F"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8,6</w:t>
            </w:r>
          </w:p>
        </w:tc>
        <w:tc>
          <w:tcPr>
            <w:tcW w:w="602" w:type="pct"/>
            <w:shd w:val="clear" w:color="000000" w:fill="FFFFFF"/>
            <w:hideMark/>
          </w:tcPr>
          <w:p w14:paraId="2C19E462"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8,9</w:t>
            </w:r>
          </w:p>
        </w:tc>
        <w:tc>
          <w:tcPr>
            <w:tcW w:w="603" w:type="pct"/>
            <w:shd w:val="clear" w:color="000000" w:fill="FFFFFF"/>
            <w:hideMark/>
          </w:tcPr>
          <w:p w14:paraId="785B54AC"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8,3</w:t>
            </w:r>
          </w:p>
        </w:tc>
      </w:tr>
      <w:tr w:rsidR="00C95F98" w:rsidRPr="00DC3810" w14:paraId="14733483" w14:textId="77777777" w:rsidTr="00C95F98">
        <w:trPr>
          <w:trHeight w:val="462"/>
        </w:trPr>
        <w:tc>
          <w:tcPr>
            <w:tcW w:w="1950" w:type="pct"/>
            <w:shd w:val="clear" w:color="auto" w:fill="auto"/>
            <w:hideMark/>
          </w:tcPr>
          <w:p w14:paraId="5F3B8EF4"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szczególnie zagrożonym </w:t>
            </w:r>
            <w:r w:rsidRPr="00DC3810">
              <w:rPr>
                <w:rFonts w:ascii="Lato" w:eastAsia="Times New Roman" w:hAnsi="Lato" w:cs="Arial"/>
                <w:color w:val="000000"/>
                <w:sz w:val="18"/>
                <w:szCs w:val="18"/>
                <w:lang w:eastAsia="pl-PL"/>
              </w:rPr>
              <w:br/>
              <w:t xml:space="preserve">    przestępczością, przemocą, wandalizmem, w pobliżu melin</w:t>
            </w:r>
          </w:p>
        </w:tc>
        <w:tc>
          <w:tcPr>
            <w:tcW w:w="600" w:type="pct"/>
            <w:shd w:val="clear" w:color="000000" w:fill="FFFFFF"/>
            <w:hideMark/>
          </w:tcPr>
          <w:p w14:paraId="0AE80AAC"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2,0</w:t>
            </w:r>
          </w:p>
        </w:tc>
        <w:tc>
          <w:tcPr>
            <w:tcW w:w="645" w:type="pct"/>
            <w:shd w:val="clear" w:color="000000" w:fill="FFFFFF"/>
            <w:hideMark/>
          </w:tcPr>
          <w:p w14:paraId="02EE2EC5"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1,5</w:t>
            </w:r>
          </w:p>
        </w:tc>
        <w:tc>
          <w:tcPr>
            <w:tcW w:w="600" w:type="pct"/>
            <w:shd w:val="clear" w:color="000000" w:fill="FFFFFF"/>
            <w:hideMark/>
          </w:tcPr>
          <w:p w14:paraId="0684FD95"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1,8</w:t>
            </w:r>
          </w:p>
        </w:tc>
        <w:tc>
          <w:tcPr>
            <w:tcW w:w="602" w:type="pct"/>
            <w:shd w:val="clear" w:color="000000" w:fill="FFFFFF"/>
            <w:hideMark/>
          </w:tcPr>
          <w:p w14:paraId="3700F195"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2,3</w:t>
            </w:r>
          </w:p>
        </w:tc>
        <w:tc>
          <w:tcPr>
            <w:tcW w:w="603" w:type="pct"/>
            <w:shd w:val="clear" w:color="000000" w:fill="FFFFFF"/>
            <w:hideMark/>
          </w:tcPr>
          <w:p w14:paraId="3A40B14B"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1,3</w:t>
            </w:r>
          </w:p>
        </w:tc>
      </w:tr>
      <w:tr w:rsidR="00C95F98" w:rsidRPr="00DC3810" w14:paraId="3AB0B0F6" w14:textId="77777777" w:rsidTr="00C95F98">
        <w:trPr>
          <w:trHeight w:val="462"/>
        </w:trPr>
        <w:tc>
          <w:tcPr>
            <w:tcW w:w="1950" w:type="pct"/>
            <w:shd w:val="clear" w:color="auto" w:fill="auto"/>
            <w:hideMark/>
          </w:tcPr>
          <w:p w14:paraId="22B2468E"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złej infrastrukturze                                                        </w:t>
            </w:r>
          </w:p>
        </w:tc>
        <w:tc>
          <w:tcPr>
            <w:tcW w:w="600" w:type="pct"/>
            <w:shd w:val="clear" w:color="000000" w:fill="FFFFFF"/>
            <w:hideMark/>
          </w:tcPr>
          <w:p w14:paraId="2C497B92"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3,2</w:t>
            </w:r>
          </w:p>
        </w:tc>
        <w:tc>
          <w:tcPr>
            <w:tcW w:w="645" w:type="pct"/>
            <w:shd w:val="clear" w:color="000000" w:fill="FFFFFF"/>
            <w:hideMark/>
          </w:tcPr>
          <w:p w14:paraId="1A165C8B"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3,7</w:t>
            </w:r>
          </w:p>
        </w:tc>
        <w:tc>
          <w:tcPr>
            <w:tcW w:w="600" w:type="pct"/>
            <w:shd w:val="clear" w:color="000000" w:fill="FFFFFF"/>
            <w:hideMark/>
          </w:tcPr>
          <w:p w14:paraId="66E9056E"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2,9</w:t>
            </w:r>
          </w:p>
        </w:tc>
        <w:tc>
          <w:tcPr>
            <w:tcW w:w="602" w:type="pct"/>
            <w:shd w:val="clear" w:color="000000" w:fill="FFFFFF"/>
            <w:hideMark/>
          </w:tcPr>
          <w:p w14:paraId="14822B00"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3,0</w:t>
            </w:r>
          </w:p>
        </w:tc>
        <w:tc>
          <w:tcPr>
            <w:tcW w:w="603" w:type="pct"/>
            <w:shd w:val="clear" w:color="000000" w:fill="FFFFFF"/>
            <w:hideMark/>
          </w:tcPr>
          <w:p w14:paraId="60B850E7"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2,7</w:t>
            </w:r>
          </w:p>
        </w:tc>
      </w:tr>
      <w:tr w:rsidR="00C95F98" w:rsidRPr="00DC3810" w14:paraId="75C09FBE" w14:textId="77777777" w:rsidTr="00C95F98">
        <w:trPr>
          <w:trHeight w:val="462"/>
        </w:trPr>
        <w:tc>
          <w:tcPr>
            <w:tcW w:w="1950" w:type="pct"/>
            <w:shd w:val="clear" w:color="auto" w:fill="auto"/>
            <w:hideMark/>
          </w:tcPr>
          <w:p w14:paraId="278193BA"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szczególnych zaletach                                                       </w:t>
            </w:r>
          </w:p>
        </w:tc>
        <w:tc>
          <w:tcPr>
            <w:tcW w:w="600" w:type="pct"/>
            <w:shd w:val="clear" w:color="000000" w:fill="FFFFFF"/>
            <w:hideMark/>
          </w:tcPr>
          <w:p w14:paraId="310D0F8D"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8,8</w:t>
            </w:r>
          </w:p>
        </w:tc>
        <w:tc>
          <w:tcPr>
            <w:tcW w:w="645" w:type="pct"/>
            <w:shd w:val="clear" w:color="000000" w:fill="FFFFFF"/>
            <w:hideMark/>
          </w:tcPr>
          <w:p w14:paraId="5D1A6AEA"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7,2</w:t>
            </w:r>
          </w:p>
        </w:tc>
        <w:tc>
          <w:tcPr>
            <w:tcW w:w="600" w:type="pct"/>
            <w:shd w:val="clear" w:color="000000" w:fill="FFFFFF"/>
            <w:hideMark/>
          </w:tcPr>
          <w:p w14:paraId="598472EA"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8,6</w:t>
            </w:r>
          </w:p>
        </w:tc>
        <w:tc>
          <w:tcPr>
            <w:tcW w:w="602" w:type="pct"/>
            <w:shd w:val="clear" w:color="000000" w:fill="FFFFFF"/>
            <w:hideMark/>
          </w:tcPr>
          <w:p w14:paraId="49396807"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9,0</w:t>
            </w:r>
          </w:p>
        </w:tc>
        <w:tc>
          <w:tcPr>
            <w:tcW w:w="603" w:type="pct"/>
            <w:shd w:val="clear" w:color="000000" w:fill="FFFFFF"/>
            <w:hideMark/>
          </w:tcPr>
          <w:p w14:paraId="3A58B966"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8,4</w:t>
            </w:r>
          </w:p>
        </w:tc>
      </w:tr>
      <w:tr w:rsidR="00C95F98" w:rsidRPr="00DC3810" w14:paraId="60A3DD4F" w14:textId="77777777" w:rsidTr="00C95F98">
        <w:trPr>
          <w:trHeight w:val="462"/>
        </w:trPr>
        <w:tc>
          <w:tcPr>
            <w:tcW w:w="1950" w:type="pct"/>
            <w:shd w:val="clear" w:color="auto" w:fill="auto"/>
            <w:hideMark/>
          </w:tcPr>
          <w:p w14:paraId="79BD4151"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balkon (taras), ogródek                                                                       </w:t>
            </w:r>
          </w:p>
        </w:tc>
        <w:tc>
          <w:tcPr>
            <w:tcW w:w="600" w:type="pct"/>
            <w:shd w:val="clear" w:color="000000" w:fill="FFFFFF"/>
            <w:hideMark/>
          </w:tcPr>
          <w:p w14:paraId="6C7FC605"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82,2</w:t>
            </w:r>
          </w:p>
        </w:tc>
        <w:tc>
          <w:tcPr>
            <w:tcW w:w="645" w:type="pct"/>
            <w:shd w:val="clear" w:color="000000" w:fill="FFFFFF"/>
            <w:hideMark/>
          </w:tcPr>
          <w:p w14:paraId="7CDCA8EC"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82,8</w:t>
            </w:r>
          </w:p>
        </w:tc>
        <w:tc>
          <w:tcPr>
            <w:tcW w:w="600" w:type="pct"/>
            <w:shd w:val="clear" w:color="000000" w:fill="FFFFFF"/>
            <w:hideMark/>
          </w:tcPr>
          <w:p w14:paraId="3849505C"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78,9</w:t>
            </w:r>
          </w:p>
        </w:tc>
        <w:tc>
          <w:tcPr>
            <w:tcW w:w="602" w:type="pct"/>
            <w:shd w:val="clear" w:color="000000" w:fill="FFFFFF"/>
            <w:hideMark/>
          </w:tcPr>
          <w:p w14:paraId="6F9C9F2D"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72,8</w:t>
            </w:r>
          </w:p>
        </w:tc>
        <w:tc>
          <w:tcPr>
            <w:tcW w:w="603" w:type="pct"/>
            <w:shd w:val="clear" w:color="000000" w:fill="FFFFFF"/>
            <w:hideMark/>
          </w:tcPr>
          <w:p w14:paraId="669385AB"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85,8</w:t>
            </w:r>
          </w:p>
        </w:tc>
      </w:tr>
      <w:tr w:rsidR="00C95F98" w:rsidRPr="00DC3810" w14:paraId="5D93FCF5" w14:textId="77777777" w:rsidTr="00C95F98">
        <w:trPr>
          <w:trHeight w:val="462"/>
        </w:trPr>
        <w:tc>
          <w:tcPr>
            <w:tcW w:w="1950" w:type="pct"/>
            <w:shd w:val="clear" w:color="auto" w:fill="auto"/>
            <w:hideMark/>
          </w:tcPr>
          <w:p w14:paraId="096DFA4B"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wystarczająco ciepłe w zimie                                                               </w:t>
            </w:r>
          </w:p>
        </w:tc>
        <w:tc>
          <w:tcPr>
            <w:tcW w:w="600" w:type="pct"/>
            <w:shd w:val="clear" w:color="000000" w:fill="FFFFFF"/>
            <w:hideMark/>
          </w:tcPr>
          <w:p w14:paraId="5B27B38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96,7</w:t>
            </w:r>
          </w:p>
        </w:tc>
        <w:tc>
          <w:tcPr>
            <w:tcW w:w="645" w:type="pct"/>
            <w:shd w:val="clear" w:color="000000" w:fill="FFFFFF"/>
            <w:hideMark/>
          </w:tcPr>
          <w:p w14:paraId="1D1E7F22"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96,5</w:t>
            </w:r>
          </w:p>
        </w:tc>
        <w:tc>
          <w:tcPr>
            <w:tcW w:w="600" w:type="pct"/>
            <w:shd w:val="clear" w:color="000000" w:fill="FFFFFF"/>
            <w:hideMark/>
          </w:tcPr>
          <w:p w14:paraId="36000D5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96,4</w:t>
            </w:r>
          </w:p>
        </w:tc>
        <w:tc>
          <w:tcPr>
            <w:tcW w:w="602" w:type="pct"/>
            <w:shd w:val="clear" w:color="000000" w:fill="FFFFFF"/>
            <w:hideMark/>
          </w:tcPr>
          <w:p w14:paraId="3B0BF80D"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94,8</w:t>
            </w:r>
          </w:p>
        </w:tc>
        <w:tc>
          <w:tcPr>
            <w:tcW w:w="603" w:type="pct"/>
            <w:shd w:val="clear" w:color="000000" w:fill="FFFFFF"/>
            <w:hideMark/>
          </w:tcPr>
          <w:p w14:paraId="5537EED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98,2</w:t>
            </w:r>
          </w:p>
        </w:tc>
      </w:tr>
      <w:tr w:rsidR="00C95F98" w:rsidRPr="00DC3810" w14:paraId="0517FC26" w14:textId="77777777" w:rsidTr="00C95F98">
        <w:trPr>
          <w:trHeight w:val="462"/>
        </w:trPr>
        <w:tc>
          <w:tcPr>
            <w:tcW w:w="1950" w:type="pct"/>
            <w:shd w:val="clear" w:color="auto" w:fill="auto"/>
            <w:hideMark/>
          </w:tcPr>
          <w:p w14:paraId="115C1E32"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wystarczająco chłodne w lecie                                                         </w:t>
            </w:r>
          </w:p>
        </w:tc>
        <w:tc>
          <w:tcPr>
            <w:tcW w:w="600" w:type="pct"/>
            <w:shd w:val="clear" w:color="000000" w:fill="FFFFFF"/>
            <w:hideMark/>
          </w:tcPr>
          <w:p w14:paraId="15FF19D1"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95,8</w:t>
            </w:r>
          </w:p>
        </w:tc>
        <w:tc>
          <w:tcPr>
            <w:tcW w:w="645" w:type="pct"/>
            <w:shd w:val="clear" w:color="000000" w:fill="FFFFFF"/>
            <w:hideMark/>
          </w:tcPr>
          <w:p w14:paraId="768E1C7F"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96,2</w:t>
            </w:r>
          </w:p>
        </w:tc>
        <w:tc>
          <w:tcPr>
            <w:tcW w:w="600" w:type="pct"/>
            <w:shd w:val="clear" w:color="000000" w:fill="FFFFFF"/>
            <w:hideMark/>
          </w:tcPr>
          <w:p w14:paraId="44E82F78"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96,0</w:t>
            </w:r>
          </w:p>
        </w:tc>
        <w:tc>
          <w:tcPr>
            <w:tcW w:w="602" w:type="pct"/>
            <w:shd w:val="clear" w:color="000000" w:fill="FFFFFF"/>
            <w:hideMark/>
          </w:tcPr>
          <w:p w14:paraId="1A71E7D6"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95,2</w:t>
            </w:r>
          </w:p>
        </w:tc>
        <w:tc>
          <w:tcPr>
            <w:tcW w:w="603" w:type="pct"/>
            <w:shd w:val="clear" w:color="000000" w:fill="FFFFFF"/>
            <w:hideMark/>
          </w:tcPr>
          <w:p w14:paraId="1ED7BD08"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97,1</w:t>
            </w:r>
          </w:p>
        </w:tc>
      </w:tr>
      <w:tr w:rsidR="00C95F98" w:rsidRPr="00DC3810" w14:paraId="17EC2DDC" w14:textId="77777777" w:rsidTr="00C95F98">
        <w:trPr>
          <w:trHeight w:val="462"/>
        </w:trPr>
        <w:tc>
          <w:tcPr>
            <w:tcW w:w="1950" w:type="pct"/>
            <w:shd w:val="clear" w:color="auto" w:fill="auto"/>
            <w:hideMark/>
          </w:tcPr>
          <w:p w14:paraId="0430FF5F"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Znajduje się w budynku posiadającym bariery architektoniczne utrudniające </w:t>
            </w:r>
            <w:proofErr w:type="spellStart"/>
            <w:r w:rsidRPr="00DC3810">
              <w:rPr>
                <w:rFonts w:ascii="Lato" w:eastAsia="Times New Roman" w:hAnsi="Lato" w:cs="Arial"/>
                <w:color w:val="000000"/>
                <w:sz w:val="18"/>
                <w:szCs w:val="18"/>
                <w:lang w:eastAsia="pl-PL"/>
              </w:rPr>
              <w:t>dostep</w:t>
            </w:r>
            <w:proofErr w:type="spellEnd"/>
            <w:r w:rsidRPr="00DC3810">
              <w:rPr>
                <w:rFonts w:ascii="Lato" w:eastAsia="Times New Roman" w:hAnsi="Lato" w:cs="Arial"/>
                <w:color w:val="000000"/>
                <w:sz w:val="18"/>
                <w:szCs w:val="18"/>
                <w:lang w:eastAsia="pl-PL"/>
              </w:rPr>
              <w:t xml:space="preserve"> do mieszkania        </w:t>
            </w:r>
          </w:p>
        </w:tc>
        <w:tc>
          <w:tcPr>
            <w:tcW w:w="600" w:type="pct"/>
            <w:shd w:val="clear" w:color="000000" w:fill="FFFFFF"/>
            <w:hideMark/>
          </w:tcPr>
          <w:p w14:paraId="66C1908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24,2</w:t>
            </w:r>
          </w:p>
        </w:tc>
        <w:tc>
          <w:tcPr>
            <w:tcW w:w="645" w:type="pct"/>
            <w:shd w:val="clear" w:color="000000" w:fill="FFFFFF"/>
            <w:hideMark/>
          </w:tcPr>
          <w:p w14:paraId="2AD1E9DA"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25,7</w:t>
            </w:r>
          </w:p>
        </w:tc>
        <w:tc>
          <w:tcPr>
            <w:tcW w:w="600" w:type="pct"/>
            <w:shd w:val="clear" w:color="000000" w:fill="FFFFFF"/>
            <w:hideMark/>
          </w:tcPr>
          <w:p w14:paraId="52051820"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28,8</w:t>
            </w:r>
          </w:p>
        </w:tc>
        <w:tc>
          <w:tcPr>
            <w:tcW w:w="602" w:type="pct"/>
            <w:shd w:val="clear" w:color="000000" w:fill="FFFFFF"/>
            <w:hideMark/>
          </w:tcPr>
          <w:p w14:paraId="287B6BDA"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30,2</w:t>
            </w:r>
          </w:p>
        </w:tc>
        <w:tc>
          <w:tcPr>
            <w:tcW w:w="603" w:type="pct"/>
            <w:shd w:val="clear" w:color="000000" w:fill="FFFFFF"/>
            <w:hideMark/>
          </w:tcPr>
          <w:p w14:paraId="21E55713" w14:textId="77777777" w:rsidR="00C95F98" w:rsidRPr="00DC3810" w:rsidRDefault="00C95F98" w:rsidP="00C95F98">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27,2</w:t>
            </w:r>
          </w:p>
        </w:tc>
      </w:tr>
      <w:tr w:rsidR="00C95F98" w:rsidRPr="00DC3810" w14:paraId="0E32F687" w14:textId="77777777" w:rsidTr="00DC3810">
        <w:trPr>
          <w:trHeight w:val="232"/>
        </w:trPr>
        <w:tc>
          <w:tcPr>
            <w:tcW w:w="5000" w:type="pct"/>
            <w:gridSpan w:val="6"/>
            <w:shd w:val="clear" w:color="auto" w:fill="auto"/>
            <w:vAlign w:val="center"/>
            <w:hideMark/>
          </w:tcPr>
          <w:p w14:paraId="5AA804B2"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MIASTA</w:t>
            </w:r>
          </w:p>
        </w:tc>
      </w:tr>
      <w:tr w:rsidR="00C95F98" w:rsidRPr="00DC3810" w14:paraId="7626FB9E" w14:textId="77777777" w:rsidTr="00C95F98">
        <w:trPr>
          <w:trHeight w:val="462"/>
        </w:trPr>
        <w:tc>
          <w:tcPr>
            <w:tcW w:w="1950" w:type="pct"/>
            <w:shd w:val="clear" w:color="auto" w:fill="auto"/>
            <w:hideMark/>
          </w:tcPr>
          <w:p w14:paraId="5428427A"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odpowiednie warunki techniczno-sanitarne                                                      </w:t>
            </w:r>
          </w:p>
        </w:tc>
        <w:tc>
          <w:tcPr>
            <w:tcW w:w="600" w:type="pct"/>
            <w:shd w:val="clear" w:color="000000" w:fill="FFFFFF"/>
            <w:hideMark/>
          </w:tcPr>
          <w:p w14:paraId="278B2D5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96,3</w:t>
            </w:r>
          </w:p>
        </w:tc>
        <w:tc>
          <w:tcPr>
            <w:tcW w:w="645" w:type="pct"/>
            <w:shd w:val="clear" w:color="000000" w:fill="FFFFFF"/>
            <w:hideMark/>
          </w:tcPr>
          <w:p w14:paraId="215664F4"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96,5</w:t>
            </w:r>
          </w:p>
        </w:tc>
        <w:tc>
          <w:tcPr>
            <w:tcW w:w="600" w:type="pct"/>
            <w:shd w:val="clear" w:color="000000" w:fill="FFFFFF"/>
            <w:hideMark/>
          </w:tcPr>
          <w:p w14:paraId="0A6BA70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96,8</w:t>
            </w:r>
          </w:p>
        </w:tc>
        <w:tc>
          <w:tcPr>
            <w:tcW w:w="602" w:type="pct"/>
            <w:shd w:val="clear" w:color="000000" w:fill="FFFFFF"/>
            <w:hideMark/>
          </w:tcPr>
          <w:p w14:paraId="5EF38ED5"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95,4</w:t>
            </w:r>
          </w:p>
        </w:tc>
        <w:tc>
          <w:tcPr>
            <w:tcW w:w="603" w:type="pct"/>
            <w:shd w:val="clear" w:color="000000" w:fill="FFFFFF"/>
            <w:hideMark/>
          </w:tcPr>
          <w:p w14:paraId="40BB72A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98,4</w:t>
            </w:r>
          </w:p>
        </w:tc>
      </w:tr>
      <w:tr w:rsidR="00C95F98" w:rsidRPr="00DC3810" w14:paraId="749A19EE" w14:textId="77777777" w:rsidTr="00C95F98">
        <w:trPr>
          <w:trHeight w:val="462"/>
        </w:trPr>
        <w:tc>
          <w:tcPr>
            <w:tcW w:w="1950" w:type="pct"/>
            <w:shd w:val="clear" w:color="auto" w:fill="auto"/>
            <w:hideMark/>
          </w:tcPr>
          <w:p w14:paraId="508FD34F"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hałaśliwym lub zanieczyszczonym otoczeniu                                             </w:t>
            </w:r>
          </w:p>
        </w:tc>
        <w:tc>
          <w:tcPr>
            <w:tcW w:w="600" w:type="pct"/>
            <w:shd w:val="clear" w:color="000000" w:fill="FFFFFF"/>
            <w:hideMark/>
          </w:tcPr>
          <w:p w14:paraId="38AA61B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w:t>
            </w:r>
          </w:p>
        </w:tc>
        <w:tc>
          <w:tcPr>
            <w:tcW w:w="645" w:type="pct"/>
            <w:shd w:val="clear" w:color="000000" w:fill="FFFFFF"/>
            <w:hideMark/>
          </w:tcPr>
          <w:p w14:paraId="7B74093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w:t>
            </w:r>
          </w:p>
        </w:tc>
        <w:tc>
          <w:tcPr>
            <w:tcW w:w="600" w:type="pct"/>
            <w:shd w:val="clear" w:color="000000" w:fill="FFFFFF"/>
            <w:hideMark/>
          </w:tcPr>
          <w:p w14:paraId="2D926B5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w:t>
            </w:r>
          </w:p>
        </w:tc>
        <w:tc>
          <w:tcPr>
            <w:tcW w:w="602" w:type="pct"/>
            <w:shd w:val="clear" w:color="000000" w:fill="FFFFFF"/>
            <w:hideMark/>
          </w:tcPr>
          <w:p w14:paraId="652D5CF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w:t>
            </w:r>
          </w:p>
        </w:tc>
        <w:tc>
          <w:tcPr>
            <w:tcW w:w="603" w:type="pct"/>
            <w:shd w:val="clear" w:color="000000" w:fill="FFFFFF"/>
            <w:hideMark/>
          </w:tcPr>
          <w:p w14:paraId="1853966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8,8</w:t>
            </w:r>
          </w:p>
        </w:tc>
      </w:tr>
      <w:tr w:rsidR="00C95F98" w:rsidRPr="00DC3810" w14:paraId="1CCB33D8" w14:textId="77777777" w:rsidTr="00C95F98">
        <w:trPr>
          <w:trHeight w:val="462"/>
        </w:trPr>
        <w:tc>
          <w:tcPr>
            <w:tcW w:w="1950" w:type="pct"/>
            <w:shd w:val="clear" w:color="auto" w:fill="auto"/>
            <w:hideMark/>
          </w:tcPr>
          <w:p w14:paraId="56E1A6A3"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szczególnie zagrożonym </w:t>
            </w:r>
            <w:r w:rsidRPr="00DC3810">
              <w:rPr>
                <w:rFonts w:ascii="Lato" w:eastAsia="Times New Roman" w:hAnsi="Lato" w:cs="Arial"/>
                <w:color w:val="000000"/>
                <w:sz w:val="18"/>
                <w:szCs w:val="18"/>
                <w:lang w:eastAsia="pl-PL"/>
              </w:rPr>
              <w:br/>
              <w:t xml:space="preserve">    przestępczością, przemocą, wandalizmem, w pobliżu melin</w:t>
            </w:r>
          </w:p>
        </w:tc>
        <w:tc>
          <w:tcPr>
            <w:tcW w:w="600" w:type="pct"/>
            <w:shd w:val="clear" w:color="000000" w:fill="FFFFFF"/>
            <w:hideMark/>
          </w:tcPr>
          <w:p w14:paraId="29C299B3"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w:t>
            </w:r>
          </w:p>
        </w:tc>
        <w:tc>
          <w:tcPr>
            <w:tcW w:w="645" w:type="pct"/>
            <w:shd w:val="clear" w:color="000000" w:fill="FFFFFF"/>
            <w:hideMark/>
          </w:tcPr>
          <w:p w14:paraId="298F43BE"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c>
          <w:tcPr>
            <w:tcW w:w="600" w:type="pct"/>
            <w:shd w:val="clear" w:color="000000" w:fill="FFFFFF"/>
            <w:hideMark/>
          </w:tcPr>
          <w:p w14:paraId="7826901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w:t>
            </w:r>
          </w:p>
        </w:tc>
        <w:tc>
          <w:tcPr>
            <w:tcW w:w="602" w:type="pct"/>
            <w:shd w:val="clear" w:color="000000" w:fill="FFFFFF"/>
            <w:hideMark/>
          </w:tcPr>
          <w:p w14:paraId="7A728171"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w:t>
            </w:r>
          </w:p>
        </w:tc>
        <w:tc>
          <w:tcPr>
            <w:tcW w:w="603" w:type="pct"/>
            <w:shd w:val="clear" w:color="000000" w:fill="FFFFFF"/>
            <w:hideMark/>
          </w:tcPr>
          <w:p w14:paraId="15DCCA2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r>
      <w:tr w:rsidR="00C95F98" w:rsidRPr="00DC3810" w14:paraId="70313EB0" w14:textId="77777777" w:rsidTr="00C95F98">
        <w:trPr>
          <w:trHeight w:val="462"/>
        </w:trPr>
        <w:tc>
          <w:tcPr>
            <w:tcW w:w="1950" w:type="pct"/>
            <w:shd w:val="clear" w:color="auto" w:fill="auto"/>
            <w:hideMark/>
          </w:tcPr>
          <w:p w14:paraId="3A90A515"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złej infrastrukturze                                                        </w:t>
            </w:r>
          </w:p>
        </w:tc>
        <w:tc>
          <w:tcPr>
            <w:tcW w:w="600" w:type="pct"/>
            <w:shd w:val="clear" w:color="000000" w:fill="FFFFFF"/>
            <w:hideMark/>
          </w:tcPr>
          <w:p w14:paraId="5A19F8A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c>
          <w:tcPr>
            <w:tcW w:w="645" w:type="pct"/>
            <w:shd w:val="clear" w:color="000000" w:fill="FFFFFF"/>
            <w:hideMark/>
          </w:tcPr>
          <w:p w14:paraId="31644F2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w:t>
            </w:r>
          </w:p>
        </w:tc>
        <w:tc>
          <w:tcPr>
            <w:tcW w:w="600" w:type="pct"/>
            <w:shd w:val="clear" w:color="000000" w:fill="FFFFFF"/>
            <w:hideMark/>
          </w:tcPr>
          <w:p w14:paraId="703E092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w:t>
            </w:r>
          </w:p>
        </w:tc>
        <w:tc>
          <w:tcPr>
            <w:tcW w:w="602" w:type="pct"/>
            <w:shd w:val="clear" w:color="000000" w:fill="FFFFFF"/>
            <w:hideMark/>
          </w:tcPr>
          <w:p w14:paraId="16F2D40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w:t>
            </w:r>
          </w:p>
        </w:tc>
        <w:tc>
          <w:tcPr>
            <w:tcW w:w="603" w:type="pct"/>
            <w:shd w:val="clear" w:color="000000" w:fill="FFFFFF"/>
            <w:hideMark/>
          </w:tcPr>
          <w:p w14:paraId="7CBD9BF5"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w:t>
            </w:r>
          </w:p>
        </w:tc>
      </w:tr>
      <w:tr w:rsidR="00C95F98" w:rsidRPr="00DC3810" w14:paraId="146CF41B" w14:textId="77777777" w:rsidTr="00C95F98">
        <w:trPr>
          <w:trHeight w:val="462"/>
        </w:trPr>
        <w:tc>
          <w:tcPr>
            <w:tcW w:w="1950" w:type="pct"/>
            <w:shd w:val="clear" w:color="auto" w:fill="auto"/>
            <w:hideMark/>
          </w:tcPr>
          <w:p w14:paraId="2C3EE012"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szczególnych zaletach                                                       </w:t>
            </w:r>
          </w:p>
        </w:tc>
        <w:tc>
          <w:tcPr>
            <w:tcW w:w="600" w:type="pct"/>
            <w:shd w:val="clear" w:color="000000" w:fill="FFFFFF"/>
            <w:hideMark/>
          </w:tcPr>
          <w:p w14:paraId="0326EF61"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10,5</w:t>
            </w:r>
          </w:p>
        </w:tc>
        <w:tc>
          <w:tcPr>
            <w:tcW w:w="645" w:type="pct"/>
            <w:shd w:val="clear" w:color="000000" w:fill="FFFFFF"/>
            <w:hideMark/>
          </w:tcPr>
          <w:p w14:paraId="07BA11BE"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w:t>
            </w:r>
          </w:p>
        </w:tc>
        <w:tc>
          <w:tcPr>
            <w:tcW w:w="600" w:type="pct"/>
            <w:shd w:val="clear" w:color="000000" w:fill="FFFFFF"/>
            <w:hideMark/>
          </w:tcPr>
          <w:p w14:paraId="08474DA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w:t>
            </w:r>
          </w:p>
        </w:tc>
        <w:tc>
          <w:tcPr>
            <w:tcW w:w="602" w:type="pct"/>
            <w:shd w:val="clear" w:color="000000" w:fill="FFFFFF"/>
            <w:hideMark/>
          </w:tcPr>
          <w:p w14:paraId="327B409A"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603" w:type="pct"/>
            <w:shd w:val="clear" w:color="000000" w:fill="FFFFFF"/>
            <w:hideMark/>
          </w:tcPr>
          <w:p w14:paraId="3D6A13F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r>
      <w:tr w:rsidR="00C95F98" w:rsidRPr="00DC3810" w14:paraId="43F9A519" w14:textId="77777777" w:rsidTr="00C95F98">
        <w:trPr>
          <w:trHeight w:val="462"/>
        </w:trPr>
        <w:tc>
          <w:tcPr>
            <w:tcW w:w="1950" w:type="pct"/>
            <w:shd w:val="clear" w:color="auto" w:fill="auto"/>
            <w:hideMark/>
          </w:tcPr>
          <w:p w14:paraId="32DD7DE3"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balkon (taras), ogródek                                                                       </w:t>
            </w:r>
          </w:p>
        </w:tc>
        <w:tc>
          <w:tcPr>
            <w:tcW w:w="600" w:type="pct"/>
            <w:shd w:val="clear" w:color="000000" w:fill="FFFFFF"/>
            <w:hideMark/>
          </w:tcPr>
          <w:p w14:paraId="76332B4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76,4</w:t>
            </w:r>
          </w:p>
        </w:tc>
        <w:tc>
          <w:tcPr>
            <w:tcW w:w="645" w:type="pct"/>
            <w:shd w:val="clear" w:color="000000" w:fill="FFFFFF"/>
            <w:hideMark/>
          </w:tcPr>
          <w:p w14:paraId="24103D61"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77,0</w:t>
            </w:r>
          </w:p>
        </w:tc>
        <w:tc>
          <w:tcPr>
            <w:tcW w:w="600" w:type="pct"/>
            <w:shd w:val="clear" w:color="000000" w:fill="FFFFFF"/>
            <w:hideMark/>
          </w:tcPr>
          <w:p w14:paraId="1E0F6C03"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75,2</w:t>
            </w:r>
          </w:p>
        </w:tc>
        <w:tc>
          <w:tcPr>
            <w:tcW w:w="602" w:type="pct"/>
            <w:shd w:val="clear" w:color="000000" w:fill="FFFFFF"/>
            <w:hideMark/>
          </w:tcPr>
          <w:p w14:paraId="50AF644A"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68,8</w:t>
            </w:r>
          </w:p>
        </w:tc>
        <w:tc>
          <w:tcPr>
            <w:tcW w:w="603" w:type="pct"/>
            <w:shd w:val="clear" w:color="000000" w:fill="FFFFFF"/>
            <w:hideMark/>
          </w:tcPr>
          <w:p w14:paraId="73A7435F"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83,1</w:t>
            </w:r>
          </w:p>
        </w:tc>
      </w:tr>
      <w:tr w:rsidR="00C95F98" w:rsidRPr="00DC3810" w14:paraId="28C58088" w14:textId="77777777" w:rsidTr="00C95F98">
        <w:trPr>
          <w:trHeight w:val="462"/>
        </w:trPr>
        <w:tc>
          <w:tcPr>
            <w:tcW w:w="1950" w:type="pct"/>
            <w:shd w:val="clear" w:color="auto" w:fill="auto"/>
            <w:hideMark/>
          </w:tcPr>
          <w:p w14:paraId="5B3F77A3"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wystarczająco ciepłe w zimie                                                               </w:t>
            </w:r>
          </w:p>
        </w:tc>
        <w:tc>
          <w:tcPr>
            <w:tcW w:w="600" w:type="pct"/>
            <w:shd w:val="clear" w:color="000000" w:fill="FFFFFF"/>
            <w:hideMark/>
          </w:tcPr>
          <w:p w14:paraId="2CDD93F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96,1</w:t>
            </w:r>
          </w:p>
        </w:tc>
        <w:tc>
          <w:tcPr>
            <w:tcW w:w="645" w:type="pct"/>
            <w:shd w:val="clear" w:color="000000" w:fill="FFFFFF"/>
            <w:hideMark/>
          </w:tcPr>
          <w:p w14:paraId="4B8225D9"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96,1</w:t>
            </w:r>
          </w:p>
        </w:tc>
        <w:tc>
          <w:tcPr>
            <w:tcW w:w="600" w:type="pct"/>
            <w:shd w:val="clear" w:color="000000" w:fill="FFFFFF"/>
            <w:hideMark/>
          </w:tcPr>
          <w:p w14:paraId="5AF2DBB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96,5</w:t>
            </w:r>
          </w:p>
        </w:tc>
        <w:tc>
          <w:tcPr>
            <w:tcW w:w="602" w:type="pct"/>
            <w:shd w:val="clear" w:color="000000" w:fill="FFFFFF"/>
            <w:hideMark/>
          </w:tcPr>
          <w:p w14:paraId="31E4965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95,1</w:t>
            </w:r>
          </w:p>
        </w:tc>
        <w:tc>
          <w:tcPr>
            <w:tcW w:w="603" w:type="pct"/>
            <w:shd w:val="clear" w:color="000000" w:fill="FFFFFF"/>
            <w:hideMark/>
          </w:tcPr>
          <w:p w14:paraId="29682F5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98,2</w:t>
            </w:r>
          </w:p>
        </w:tc>
      </w:tr>
      <w:tr w:rsidR="00C95F98" w:rsidRPr="00DC3810" w14:paraId="5572DF7C" w14:textId="77777777" w:rsidTr="00C95F98">
        <w:trPr>
          <w:trHeight w:val="462"/>
        </w:trPr>
        <w:tc>
          <w:tcPr>
            <w:tcW w:w="1950" w:type="pct"/>
            <w:shd w:val="clear" w:color="auto" w:fill="auto"/>
            <w:hideMark/>
          </w:tcPr>
          <w:p w14:paraId="3BE09B2D"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lastRenderedPageBreak/>
              <w:t xml:space="preserve">Jest wystarczająco chłodne w lecie                                                         </w:t>
            </w:r>
          </w:p>
        </w:tc>
        <w:tc>
          <w:tcPr>
            <w:tcW w:w="600" w:type="pct"/>
            <w:shd w:val="clear" w:color="000000" w:fill="FFFFFF"/>
            <w:hideMark/>
          </w:tcPr>
          <w:p w14:paraId="32ADE8E9"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95,0</w:t>
            </w:r>
          </w:p>
        </w:tc>
        <w:tc>
          <w:tcPr>
            <w:tcW w:w="645" w:type="pct"/>
            <w:shd w:val="clear" w:color="000000" w:fill="FFFFFF"/>
            <w:hideMark/>
          </w:tcPr>
          <w:p w14:paraId="54CD0B2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95,6</w:t>
            </w:r>
          </w:p>
        </w:tc>
        <w:tc>
          <w:tcPr>
            <w:tcW w:w="600" w:type="pct"/>
            <w:shd w:val="clear" w:color="000000" w:fill="FFFFFF"/>
            <w:hideMark/>
          </w:tcPr>
          <w:p w14:paraId="5931050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95,8</w:t>
            </w:r>
          </w:p>
        </w:tc>
        <w:tc>
          <w:tcPr>
            <w:tcW w:w="602" w:type="pct"/>
            <w:shd w:val="clear" w:color="000000" w:fill="FFFFFF"/>
            <w:hideMark/>
          </w:tcPr>
          <w:p w14:paraId="489B7433"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95,1</w:t>
            </w:r>
          </w:p>
        </w:tc>
        <w:tc>
          <w:tcPr>
            <w:tcW w:w="603" w:type="pct"/>
            <w:shd w:val="clear" w:color="000000" w:fill="FFFFFF"/>
            <w:hideMark/>
          </w:tcPr>
          <w:p w14:paraId="0EC5B66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96,9</w:t>
            </w:r>
          </w:p>
        </w:tc>
      </w:tr>
      <w:tr w:rsidR="00C95F98" w:rsidRPr="00DC3810" w14:paraId="012FF209" w14:textId="77777777" w:rsidTr="00C95F98">
        <w:trPr>
          <w:trHeight w:val="462"/>
        </w:trPr>
        <w:tc>
          <w:tcPr>
            <w:tcW w:w="1950" w:type="pct"/>
            <w:shd w:val="clear" w:color="auto" w:fill="auto"/>
            <w:hideMark/>
          </w:tcPr>
          <w:p w14:paraId="32F47D93"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Znajduje się w budynku posiadającym bariery architektoniczne</w:t>
            </w:r>
            <w:r w:rsidRPr="00DC3810">
              <w:rPr>
                <w:rFonts w:ascii="Lato" w:eastAsia="Times New Roman" w:hAnsi="Lato" w:cs="Arial"/>
                <w:color w:val="000000"/>
                <w:sz w:val="18"/>
                <w:szCs w:val="18"/>
                <w:lang w:eastAsia="pl-PL"/>
              </w:rPr>
              <w:br/>
              <w:t xml:space="preserve">    utrudniające </w:t>
            </w:r>
            <w:proofErr w:type="spellStart"/>
            <w:r w:rsidRPr="00DC3810">
              <w:rPr>
                <w:rFonts w:ascii="Lato" w:eastAsia="Times New Roman" w:hAnsi="Lato" w:cs="Arial"/>
                <w:color w:val="000000"/>
                <w:sz w:val="18"/>
                <w:szCs w:val="18"/>
                <w:lang w:eastAsia="pl-PL"/>
              </w:rPr>
              <w:t>dostep</w:t>
            </w:r>
            <w:proofErr w:type="spellEnd"/>
            <w:r w:rsidRPr="00DC3810">
              <w:rPr>
                <w:rFonts w:ascii="Lato" w:eastAsia="Times New Roman" w:hAnsi="Lato" w:cs="Arial"/>
                <w:color w:val="000000"/>
                <w:sz w:val="18"/>
                <w:szCs w:val="18"/>
                <w:lang w:eastAsia="pl-PL"/>
              </w:rPr>
              <w:t xml:space="preserve"> do mieszkania        </w:t>
            </w:r>
          </w:p>
        </w:tc>
        <w:tc>
          <w:tcPr>
            <w:tcW w:w="600" w:type="pct"/>
            <w:shd w:val="clear" w:color="000000" w:fill="FFFFFF"/>
            <w:hideMark/>
          </w:tcPr>
          <w:p w14:paraId="68824EF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28,2</w:t>
            </w:r>
          </w:p>
        </w:tc>
        <w:tc>
          <w:tcPr>
            <w:tcW w:w="645" w:type="pct"/>
            <w:shd w:val="clear" w:color="000000" w:fill="FFFFFF"/>
            <w:hideMark/>
          </w:tcPr>
          <w:p w14:paraId="6A1C160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31,1</w:t>
            </w:r>
          </w:p>
        </w:tc>
        <w:tc>
          <w:tcPr>
            <w:tcW w:w="600" w:type="pct"/>
            <w:shd w:val="clear" w:color="000000" w:fill="FFFFFF"/>
            <w:hideMark/>
          </w:tcPr>
          <w:p w14:paraId="5286ACAA"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32,3</w:t>
            </w:r>
          </w:p>
        </w:tc>
        <w:tc>
          <w:tcPr>
            <w:tcW w:w="602" w:type="pct"/>
            <w:shd w:val="clear" w:color="000000" w:fill="FFFFFF"/>
            <w:hideMark/>
          </w:tcPr>
          <w:p w14:paraId="139ADB9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34,0</w:t>
            </w:r>
          </w:p>
        </w:tc>
        <w:tc>
          <w:tcPr>
            <w:tcW w:w="603" w:type="pct"/>
            <w:shd w:val="clear" w:color="000000" w:fill="FFFFFF"/>
            <w:hideMark/>
          </w:tcPr>
          <w:p w14:paraId="36E6DD9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30,2</w:t>
            </w:r>
          </w:p>
        </w:tc>
      </w:tr>
      <w:tr w:rsidR="00C95F98" w:rsidRPr="00DC3810" w14:paraId="1212C268" w14:textId="77777777" w:rsidTr="00DC3810">
        <w:trPr>
          <w:trHeight w:val="143"/>
        </w:trPr>
        <w:tc>
          <w:tcPr>
            <w:tcW w:w="5000" w:type="pct"/>
            <w:gridSpan w:val="6"/>
            <w:shd w:val="clear" w:color="auto" w:fill="auto"/>
            <w:vAlign w:val="center"/>
            <w:hideMark/>
          </w:tcPr>
          <w:p w14:paraId="2764F4A6" w14:textId="77777777" w:rsidR="00C95F98" w:rsidRPr="00DC3810" w:rsidRDefault="00C95F98" w:rsidP="00C95F98">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WIEŚ</w:t>
            </w:r>
          </w:p>
        </w:tc>
      </w:tr>
      <w:tr w:rsidR="00C95F98" w:rsidRPr="00DC3810" w14:paraId="6C50CAB5" w14:textId="77777777" w:rsidTr="00C95F98">
        <w:trPr>
          <w:trHeight w:val="462"/>
        </w:trPr>
        <w:tc>
          <w:tcPr>
            <w:tcW w:w="1950" w:type="pct"/>
            <w:shd w:val="clear" w:color="auto" w:fill="auto"/>
            <w:hideMark/>
          </w:tcPr>
          <w:p w14:paraId="74B8BBD6"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odpowiednie warunki techniczno-sanitarne                                                      </w:t>
            </w:r>
          </w:p>
        </w:tc>
        <w:tc>
          <w:tcPr>
            <w:tcW w:w="600" w:type="pct"/>
            <w:shd w:val="clear" w:color="000000" w:fill="FFFFFF"/>
            <w:hideMark/>
          </w:tcPr>
          <w:p w14:paraId="6E0AF973"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96,7</w:t>
            </w:r>
          </w:p>
        </w:tc>
        <w:tc>
          <w:tcPr>
            <w:tcW w:w="645" w:type="pct"/>
            <w:shd w:val="clear" w:color="000000" w:fill="FFFFFF"/>
            <w:hideMark/>
          </w:tcPr>
          <w:p w14:paraId="3610A29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95,2</w:t>
            </w:r>
          </w:p>
        </w:tc>
        <w:tc>
          <w:tcPr>
            <w:tcW w:w="600" w:type="pct"/>
            <w:shd w:val="clear" w:color="000000" w:fill="FFFFFF"/>
            <w:hideMark/>
          </w:tcPr>
          <w:p w14:paraId="373A77C3"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93,4</w:t>
            </w:r>
          </w:p>
        </w:tc>
        <w:tc>
          <w:tcPr>
            <w:tcW w:w="602" w:type="pct"/>
            <w:shd w:val="clear" w:color="000000" w:fill="FFFFFF"/>
            <w:hideMark/>
          </w:tcPr>
          <w:p w14:paraId="591145CF"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89,9</w:t>
            </w:r>
          </w:p>
        </w:tc>
        <w:tc>
          <w:tcPr>
            <w:tcW w:w="603" w:type="pct"/>
            <w:shd w:val="clear" w:color="000000" w:fill="FFFFFF"/>
            <w:hideMark/>
          </w:tcPr>
          <w:p w14:paraId="06B00B7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97,0</w:t>
            </w:r>
          </w:p>
        </w:tc>
      </w:tr>
      <w:tr w:rsidR="00C95F98" w:rsidRPr="00DC3810" w14:paraId="1827E0CF" w14:textId="77777777" w:rsidTr="00C95F98">
        <w:trPr>
          <w:trHeight w:val="462"/>
        </w:trPr>
        <w:tc>
          <w:tcPr>
            <w:tcW w:w="1950" w:type="pct"/>
            <w:shd w:val="clear" w:color="auto" w:fill="auto"/>
            <w:hideMark/>
          </w:tcPr>
          <w:p w14:paraId="727D6601"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hałaśliwym lub zanieczyszczonym otoczeniu                                             </w:t>
            </w:r>
          </w:p>
        </w:tc>
        <w:tc>
          <w:tcPr>
            <w:tcW w:w="600" w:type="pct"/>
            <w:shd w:val="clear" w:color="000000" w:fill="FFFFFF"/>
            <w:hideMark/>
          </w:tcPr>
          <w:p w14:paraId="4FBF361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5,5</w:t>
            </w:r>
          </w:p>
        </w:tc>
        <w:tc>
          <w:tcPr>
            <w:tcW w:w="645" w:type="pct"/>
            <w:shd w:val="clear" w:color="000000" w:fill="FFFFFF"/>
            <w:hideMark/>
          </w:tcPr>
          <w:p w14:paraId="7589EDD5"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6,2</w:t>
            </w:r>
          </w:p>
        </w:tc>
        <w:tc>
          <w:tcPr>
            <w:tcW w:w="600" w:type="pct"/>
            <w:shd w:val="clear" w:color="000000" w:fill="FFFFFF"/>
            <w:hideMark/>
          </w:tcPr>
          <w:p w14:paraId="4776056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6,1</w:t>
            </w:r>
          </w:p>
        </w:tc>
        <w:tc>
          <w:tcPr>
            <w:tcW w:w="602" w:type="pct"/>
            <w:shd w:val="clear" w:color="000000" w:fill="FFFFFF"/>
            <w:hideMark/>
          </w:tcPr>
          <w:p w14:paraId="15BA388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w:t>
            </w:r>
          </w:p>
        </w:tc>
        <w:tc>
          <w:tcPr>
            <w:tcW w:w="603" w:type="pct"/>
            <w:shd w:val="clear" w:color="000000" w:fill="FFFFFF"/>
            <w:hideMark/>
          </w:tcPr>
          <w:p w14:paraId="2417736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w:t>
            </w:r>
          </w:p>
        </w:tc>
      </w:tr>
      <w:tr w:rsidR="00C95F98" w:rsidRPr="00DC3810" w14:paraId="650D3784" w14:textId="77777777" w:rsidTr="00C95F98">
        <w:trPr>
          <w:trHeight w:val="462"/>
        </w:trPr>
        <w:tc>
          <w:tcPr>
            <w:tcW w:w="1950" w:type="pct"/>
            <w:shd w:val="clear" w:color="auto" w:fill="auto"/>
            <w:hideMark/>
          </w:tcPr>
          <w:p w14:paraId="4CE82DA8"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szczególnie zagrożonym </w:t>
            </w:r>
            <w:r w:rsidRPr="00DC3810">
              <w:rPr>
                <w:rFonts w:ascii="Lato" w:eastAsia="Times New Roman" w:hAnsi="Lato" w:cs="Arial"/>
                <w:color w:val="000000"/>
                <w:sz w:val="18"/>
                <w:szCs w:val="18"/>
                <w:lang w:eastAsia="pl-PL"/>
              </w:rPr>
              <w:br/>
              <w:t xml:space="preserve">    przestępczością, przemocą, wandalizmem, w pobliżu melin</w:t>
            </w:r>
          </w:p>
        </w:tc>
        <w:tc>
          <w:tcPr>
            <w:tcW w:w="600" w:type="pct"/>
            <w:shd w:val="clear" w:color="000000" w:fill="FFFFFF"/>
            <w:hideMark/>
          </w:tcPr>
          <w:p w14:paraId="022C525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0,4</w:t>
            </w:r>
          </w:p>
        </w:tc>
        <w:tc>
          <w:tcPr>
            <w:tcW w:w="645" w:type="pct"/>
            <w:shd w:val="clear" w:color="000000" w:fill="FFFFFF"/>
            <w:hideMark/>
          </w:tcPr>
          <w:p w14:paraId="795E771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0,4</w:t>
            </w:r>
          </w:p>
        </w:tc>
        <w:tc>
          <w:tcPr>
            <w:tcW w:w="600" w:type="pct"/>
            <w:shd w:val="clear" w:color="000000" w:fill="FFFFFF"/>
            <w:hideMark/>
          </w:tcPr>
          <w:p w14:paraId="380B97C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0,4</w:t>
            </w:r>
          </w:p>
        </w:tc>
        <w:tc>
          <w:tcPr>
            <w:tcW w:w="602" w:type="pct"/>
            <w:shd w:val="clear" w:color="000000" w:fill="FFFFFF"/>
            <w:hideMark/>
          </w:tcPr>
          <w:p w14:paraId="2FC9B55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603" w:type="pct"/>
            <w:shd w:val="clear" w:color="000000" w:fill="FFFFFF"/>
            <w:hideMark/>
          </w:tcPr>
          <w:p w14:paraId="683E5F2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0,5</w:t>
            </w:r>
          </w:p>
        </w:tc>
      </w:tr>
      <w:tr w:rsidR="00C95F98" w:rsidRPr="00DC3810" w14:paraId="1B81807D" w14:textId="77777777" w:rsidTr="00C95F98">
        <w:trPr>
          <w:trHeight w:val="462"/>
        </w:trPr>
        <w:tc>
          <w:tcPr>
            <w:tcW w:w="1950" w:type="pct"/>
            <w:shd w:val="clear" w:color="auto" w:fill="auto"/>
            <w:hideMark/>
          </w:tcPr>
          <w:p w14:paraId="4717B645"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złej infrastrukturze                                                        </w:t>
            </w:r>
          </w:p>
        </w:tc>
        <w:tc>
          <w:tcPr>
            <w:tcW w:w="600" w:type="pct"/>
            <w:shd w:val="clear" w:color="000000" w:fill="FFFFFF"/>
            <w:hideMark/>
          </w:tcPr>
          <w:p w14:paraId="73B83D7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w:t>
            </w:r>
          </w:p>
        </w:tc>
        <w:tc>
          <w:tcPr>
            <w:tcW w:w="645" w:type="pct"/>
            <w:shd w:val="clear" w:color="000000" w:fill="FFFFFF"/>
            <w:hideMark/>
          </w:tcPr>
          <w:p w14:paraId="7E1A2A15"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w:t>
            </w:r>
          </w:p>
        </w:tc>
        <w:tc>
          <w:tcPr>
            <w:tcW w:w="600" w:type="pct"/>
            <w:shd w:val="clear" w:color="000000" w:fill="FFFFFF"/>
            <w:hideMark/>
          </w:tcPr>
          <w:p w14:paraId="4CCD6894"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w:t>
            </w:r>
          </w:p>
        </w:tc>
        <w:tc>
          <w:tcPr>
            <w:tcW w:w="602" w:type="pct"/>
            <w:shd w:val="clear" w:color="000000" w:fill="FFFFFF"/>
            <w:hideMark/>
          </w:tcPr>
          <w:p w14:paraId="7F31E6D4"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w:t>
            </w:r>
          </w:p>
        </w:tc>
        <w:tc>
          <w:tcPr>
            <w:tcW w:w="603" w:type="pct"/>
            <w:shd w:val="clear" w:color="000000" w:fill="FFFFFF"/>
            <w:hideMark/>
          </w:tcPr>
          <w:p w14:paraId="387156E4"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w:t>
            </w:r>
          </w:p>
        </w:tc>
      </w:tr>
      <w:tr w:rsidR="00C95F98" w:rsidRPr="00DC3810" w14:paraId="1D55B7C5" w14:textId="77777777" w:rsidTr="00C95F98">
        <w:trPr>
          <w:trHeight w:val="462"/>
        </w:trPr>
        <w:tc>
          <w:tcPr>
            <w:tcW w:w="1950" w:type="pct"/>
            <w:shd w:val="clear" w:color="auto" w:fill="auto"/>
            <w:hideMark/>
          </w:tcPr>
          <w:p w14:paraId="522AF5C7"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położone w rejonie o szczególnych zaletach                                                       </w:t>
            </w:r>
          </w:p>
        </w:tc>
        <w:tc>
          <w:tcPr>
            <w:tcW w:w="600" w:type="pct"/>
            <w:shd w:val="clear" w:color="000000" w:fill="FFFFFF"/>
            <w:hideMark/>
          </w:tcPr>
          <w:p w14:paraId="5523C03D"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w:t>
            </w:r>
          </w:p>
        </w:tc>
        <w:tc>
          <w:tcPr>
            <w:tcW w:w="645" w:type="pct"/>
            <w:shd w:val="clear" w:color="000000" w:fill="FFFFFF"/>
            <w:hideMark/>
          </w:tcPr>
          <w:p w14:paraId="5792C20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w:t>
            </w:r>
          </w:p>
        </w:tc>
        <w:tc>
          <w:tcPr>
            <w:tcW w:w="600" w:type="pct"/>
            <w:shd w:val="clear" w:color="000000" w:fill="FFFFFF"/>
            <w:hideMark/>
          </w:tcPr>
          <w:p w14:paraId="342B10B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w:t>
            </w:r>
          </w:p>
        </w:tc>
        <w:tc>
          <w:tcPr>
            <w:tcW w:w="602" w:type="pct"/>
            <w:shd w:val="clear" w:color="000000" w:fill="FFFFFF"/>
            <w:hideMark/>
          </w:tcPr>
          <w:p w14:paraId="732C10F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w:t>
            </w:r>
          </w:p>
        </w:tc>
        <w:tc>
          <w:tcPr>
            <w:tcW w:w="603" w:type="pct"/>
            <w:shd w:val="clear" w:color="000000" w:fill="FFFFFF"/>
            <w:hideMark/>
          </w:tcPr>
          <w:p w14:paraId="7C93DC8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w:t>
            </w:r>
          </w:p>
        </w:tc>
      </w:tr>
      <w:tr w:rsidR="00C95F98" w:rsidRPr="00DC3810" w14:paraId="3AE4D23A" w14:textId="77777777" w:rsidTr="00C95F98">
        <w:trPr>
          <w:trHeight w:val="462"/>
        </w:trPr>
        <w:tc>
          <w:tcPr>
            <w:tcW w:w="1950" w:type="pct"/>
            <w:shd w:val="clear" w:color="auto" w:fill="auto"/>
            <w:hideMark/>
          </w:tcPr>
          <w:p w14:paraId="7C77D23C"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Posiada balkon (taras), ogródek                                                                       </w:t>
            </w:r>
          </w:p>
        </w:tc>
        <w:tc>
          <w:tcPr>
            <w:tcW w:w="600" w:type="pct"/>
            <w:shd w:val="clear" w:color="000000" w:fill="FFFFFF"/>
            <w:hideMark/>
          </w:tcPr>
          <w:p w14:paraId="1BC9478D"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94,6</w:t>
            </w:r>
          </w:p>
        </w:tc>
        <w:tc>
          <w:tcPr>
            <w:tcW w:w="645" w:type="pct"/>
            <w:shd w:val="clear" w:color="000000" w:fill="FFFFFF"/>
            <w:hideMark/>
          </w:tcPr>
          <w:p w14:paraId="13CABA8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94,2</w:t>
            </w:r>
          </w:p>
        </w:tc>
        <w:tc>
          <w:tcPr>
            <w:tcW w:w="600" w:type="pct"/>
            <w:shd w:val="clear" w:color="000000" w:fill="FFFFFF"/>
            <w:hideMark/>
          </w:tcPr>
          <w:p w14:paraId="6362796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91,0</w:t>
            </w:r>
          </w:p>
        </w:tc>
        <w:tc>
          <w:tcPr>
            <w:tcW w:w="602" w:type="pct"/>
            <w:shd w:val="clear" w:color="000000" w:fill="FFFFFF"/>
            <w:hideMark/>
          </w:tcPr>
          <w:p w14:paraId="53D82C4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87,5</w:t>
            </w:r>
          </w:p>
        </w:tc>
        <w:tc>
          <w:tcPr>
            <w:tcW w:w="603" w:type="pct"/>
            <w:shd w:val="clear" w:color="000000" w:fill="FFFFFF"/>
            <w:hideMark/>
          </w:tcPr>
          <w:p w14:paraId="27275AB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94,5</w:t>
            </w:r>
          </w:p>
        </w:tc>
      </w:tr>
      <w:tr w:rsidR="00C95F98" w:rsidRPr="00DC3810" w14:paraId="440FB9ED" w14:textId="77777777" w:rsidTr="00C95F98">
        <w:trPr>
          <w:trHeight w:val="462"/>
        </w:trPr>
        <w:tc>
          <w:tcPr>
            <w:tcW w:w="1950" w:type="pct"/>
            <w:shd w:val="clear" w:color="auto" w:fill="auto"/>
            <w:hideMark/>
          </w:tcPr>
          <w:p w14:paraId="7761C805"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wystarczająco ciepłe w zimie                                                               </w:t>
            </w:r>
          </w:p>
        </w:tc>
        <w:tc>
          <w:tcPr>
            <w:tcW w:w="600" w:type="pct"/>
            <w:shd w:val="clear" w:color="000000" w:fill="FFFFFF"/>
            <w:hideMark/>
          </w:tcPr>
          <w:p w14:paraId="7D43568F"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98,0</w:t>
            </w:r>
          </w:p>
        </w:tc>
        <w:tc>
          <w:tcPr>
            <w:tcW w:w="645" w:type="pct"/>
            <w:shd w:val="clear" w:color="000000" w:fill="FFFFFF"/>
            <w:hideMark/>
          </w:tcPr>
          <w:p w14:paraId="1B5C97C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97,2</w:t>
            </w:r>
          </w:p>
        </w:tc>
        <w:tc>
          <w:tcPr>
            <w:tcW w:w="600" w:type="pct"/>
            <w:shd w:val="clear" w:color="000000" w:fill="FFFFFF"/>
            <w:hideMark/>
          </w:tcPr>
          <w:p w14:paraId="4A374917"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96,0</w:t>
            </w:r>
          </w:p>
        </w:tc>
        <w:tc>
          <w:tcPr>
            <w:tcW w:w="602" w:type="pct"/>
            <w:shd w:val="clear" w:color="000000" w:fill="FFFFFF"/>
            <w:hideMark/>
          </w:tcPr>
          <w:p w14:paraId="45FBE01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93,8</w:t>
            </w:r>
          </w:p>
        </w:tc>
        <w:tc>
          <w:tcPr>
            <w:tcW w:w="603" w:type="pct"/>
            <w:shd w:val="clear" w:color="000000" w:fill="FFFFFF"/>
            <w:hideMark/>
          </w:tcPr>
          <w:p w14:paraId="6AD14319"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98,2</w:t>
            </w:r>
          </w:p>
        </w:tc>
      </w:tr>
      <w:tr w:rsidR="00C95F98" w:rsidRPr="00DC3810" w14:paraId="6C6348A2" w14:textId="77777777" w:rsidTr="00C95F98">
        <w:trPr>
          <w:trHeight w:val="462"/>
        </w:trPr>
        <w:tc>
          <w:tcPr>
            <w:tcW w:w="1950" w:type="pct"/>
            <w:shd w:val="clear" w:color="auto" w:fill="auto"/>
            <w:hideMark/>
          </w:tcPr>
          <w:p w14:paraId="2A5CA106"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Jest wystarczająco chłodne w lecie                                                         </w:t>
            </w:r>
          </w:p>
        </w:tc>
        <w:tc>
          <w:tcPr>
            <w:tcW w:w="600" w:type="pct"/>
            <w:shd w:val="clear" w:color="000000" w:fill="FFFFFF"/>
            <w:hideMark/>
          </w:tcPr>
          <w:p w14:paraId="3E9A3A8C"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97,7</w:t>
            </w:r>
          </w:p>
        </w:tc>
        <w:tc>
          <w:tcPr>
            <w:tcW w:w="645" w:type="pct"/>
            <w:shd w:val="clear" w:color="000000" w:fill="FFFFFF"/>
            <w:hideMark/>
          </w:tcPr>
          <w:p w14:paraId="3DC4DEC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97,5</w:t>
            </w:r>
          </w:p>
        </w:tc>
        <w:tc>
          <w:tcPr>
            <w:tcW w:w="600" w:type="pct"/>
            <w:shd w:val="clear" w:color="000000" w:fill="FFFFFF"/>
            <w:hideMark/>
          </w:tcPr>
          <w:p w14:paraId="44A2806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96,7</w:t>
            </w:r>
          </w:p>
        </w:tc>
        <w:tc>
          <w:tcPr>
            <w:tcW w:w="602" w:type="pct"/>
            <w:shd w:val="clear" w:color="000000" w:fill="FFFFFF"/>
            <w:hideMark/>
          </w:tcPr>
          <w:p w14:paraId="2924FE02"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95,7</w:t>
            </w:r>
          </w:p>
        </w:tc>
        <w:tc>
          <w:tcPr>
            <w:tcW w:w="603" w:type="pct"/>
            <w:shd w:val="clear" w:color="000000" w:fill="FFFFFF"/>
            <w:hideMark/>
          </w:tcPr>
          <w:p w14:paraId="0B315F9B"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97,8</w:t>
            </w:r>
          </w:p>
        </w:tc>
      </w:tr>
      <w:tr w:rsidR="00C95F98" w:rsidRPr="00DC3810" w14:paraId="48002D0F" w14:textId="77777777" w:rsidTr="00C95F98">
        <w:trPr>
          <w:trHeight w:val="462"/>
        </w:trPr>
        <w:tc>
          <w:tcPr>
            <w:tcW w:w="1950" w:type="pct"/>
            <w:shd w:val="clear" w:color="auto" w:fill="auto"/>
            <w:hideMark/>
          </w:tcPr>
          <w:p w14:paraId="37E66F5B" w14:textId="77777777" w:rsidR="00C95F98" w:rsidRPr="00DC3810" w:rsidRDefault="00C95F98" w:rsidP="00C95F98">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Znajduje się w budynku posiadającym bariery architektoniczne</w:t>
            </w:r>
            <w:r w:rsidRPr="00DC3810">
              <w:rPr>
                <w:rFonts w:ascii="Lato" w:eastAsia="Times New Roman" w:hAnsi="Lato" w:cs="Arial"/>
                <w:color w:val="000000"/>
                <w:sz w:val="18"/>
                <w:szCs w:val="18"/>
                <w:lang w:eastAsia="pl-PL"/>
              </w:rPr>
              <w:br/>
              <w:t xml:space="preserve">    utrudniające </w:t>
            </w:r>
            <w:proofErr w:type="spellStart"/>
            <w:r w:rsidRPr="00DC3810">
              <w:rPr>
                <w:rFonts w:ascii="Lato" w:eastAsia="Times New Roman" w:hAnsi="Lato" w:cs="Arial"/>
                <w:color w:val="000000"/>
                <w:sz w:val="18"/>
                <w:szCs w:val="18"/>
                <w:lang w:eastAsia="pl-PL"/>
              </w:rPr>
              <w:t>dostep</w:t>
            </w:r>
            <w:proofErr w:type="spellEnd"/>
            <w:r w:rsidRPr="00DC3810">
              <w:rPr>
                <w:rFonts w:ascii="Lato" w:eastAsia="Times New Roman" w:hAnsi="Lato" w:cs="Arial"/>
                <w:color w:val="000000"/>
                <w:sz w:val="18"/>
                <w:szCs w:val="18"/>
                <w:lang w:eastAsia="pl-PL"/>
              </w:rPr>
              <w:t xml:space="preserve"> do mieszkania        </w:t>
            </w:r>
          </w:p>
        </w:tc>
        <w:tc>
          <w:tcPr>
            <w:tcW w:w="600" w:type="pct"/>
            <w:shd w:val="clear" w:color="000000" w:fill="FFFFFF"/>
            <w:hideMark/>
          </w:tcPr>
          <w:p w14:paraId="1E4ACBB4"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15,6</w:t>
            </w:r>
          </w:p>
        </w:tc>
        <w:tc>
          <w:tcPr>
            <w:tcW w:w="645" w:type="pct"/>
            <w:shd w:val="clear" w:color="000000" w:fill="FFFFFF"/>
            <w:hideMark/>
          </w:tcPr>
          <w:p w14:paraId="36758378"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15,4</w:t>
            </w:r>
          </w:p>
        </w:tc>
        <w:tc>
          <w:tcPr>
            <w:tcW w:w="600" w:type="pct"/>
            <w:shd w:val="clear" w:color="000000" w:fill="FFFFFF"/>
            <w:hideMark/>
          </w:tcPr>
          <w:p w14:paraId="55416C95"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16,8</w:t>
            </w:r>
          </w:p>
        </w:tc>
        <w:tc>
          <w:tcPr>
            <w:tcW w:w="602" w:type="pct"/>
            <w:shd w:val="clear" w:color="000000" w:fill="FFFFFF"/>
            <w:hideMark/>
          </w:tcPr>
          <w:p w14:paraId="49EF6FBD"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16,2</w:t>
            </w:r>
          </w:p>
        </w:tc>
        <w:tc>
          <w:tcPr>
            <w:tcW w:w="603" w:type="pct"/>
            <w:shd w:val="clear" w:color="000000" w:fill="FFFFFF"/>
            <w:hideMark/>
          </w:tcPr>
          <w:p w14:paraId="019E76D0"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17,7</w:t>
            </w:r>
          </w:p>
        </w:tc>
      </w:tr>
    </w:tbl>
    <w:p w14:paraId="1AF273DE" w14:textId="2D71142C" w:rsidR="00C95F98" w:rsidRPr="00DC3810" w:rsidRDefault="00C95F98" w:rsidP="009E6F68">
      <w:pPr>
        <w:spacing w:after="0" w:line="240" w:lineRule="auto"/>
        <w:jc w:val="both"/>
        <w:rPr>
          <w:rFonts w:ascii="Lato" w:hAnsi="Lato"/>
          <w:sz w:val="16"/>
          <w:szCs w:val="16"/>
        </w:rPr>
      </w:pPr>
      <w:r w:rsidRPr="00DC3810">
        <w:rPr>
          <w:rFonts w:ascii="Lato" w:hAnsi="Lato"/>
          <w:sz w:val="16"/>
          <w:szCs w:val="16"/>
        </w:rPr>
        <w:t>Źródło: Badanie budżetów gospodarstw domowych, GUS</w:t>
      </w:r>
    </w:p>
    <w:p w14:paraId="441CA62C" w14:textId="13F9391A" w:rsidR="00C95F98" w:rsidRPr="00DC3810" w:rsidRDefault="00C95F98" w:rsidP="009E6F68">
      <w:pPr>
        <w:spacing w:after="0" w:line="240" w:lineRule="auto"/>
        <w:jc w:val="both"/>
        <w:rPr>
          <w:rFonts w:ascii="Lato" w:hAnsi="Lato"/>
          <w:sz w:val="16"/>
          <w:szCs w:val="16"/>
        </w:rPr>
      </w:pPr>
      <w:r w:rsidRPr="00DC3810">
        <w:rPr>
          <w:rFonts w:ascii="Lato" w:hAnsi="Lato"/>
          <w:sz w:val="16"/>
          <w:szCs w:val="16"/>
        </w:rPr>
        <w:t>UWAGA: Dane za 2022 r. zostały uogólnione w oparciu o wstępne wyniki Narodowego Spisu Powszechnego Ludności i Mieszkań NSP 2021 i nie są wprost porównywalne z danymi za lata wcześniejsze, które zostały uogólnione w oparciu o wyniki Narodowego Spisu Powszechnego Ludności i Mieszkań NSP 2011.</w:t>
      </w:r>
    </w:p>
    <w:p w14:paraId="5B104A79" w14:textId="1B05EE5C" w:rsidR="00AE6F64" w:rsidRDefault="00AE6F64" w:rsidP="00A254DA">
      <w:pPr>
        <w:spacing w:after="0" w:line="240" w:lineRule="auto"/>
        <w:jc w:val="both"/>
        <w:rPr>
          <w:rFonts w:ascii="Lato" w:hAnsi="Lato"/>
          <w:sz w:val="18"/>
          <w:szCs w:val="18"/>
        </w:rPr>
      </w:pPr>
    </w:p>
    <w:p w14:paraId="50141806" w14:textId="0E713D22" w:rsidR="00B77F75" w:rsidRPr="00901279" w:rsidRDefault="00B77F75" w:rsidP="009E6F68">
      <w:pPr>
        <w:spacing w:after="0" w:line="240" w:lineRule="auto"/>
        <w:jc w:val="both"/>
        <w:rPr>
          <w:rFonts w:ascii="Lato" w:hAnsi="Lato" w:cs="Helv"/>
          <w:color w:val="000000"/>
          <w:sz w:val="20"/>
          <w:szCs w:val="20"/>
        </w:rPr>
      </w:pPr>
      <w:r w:rsidRPr="00B77F75">
        <w:rPr>
          <w:rFonts w:ascii="Lato" w:hAnsi="Lato" w:cs="Helv"/>
          <w:color w:val="000000"/>
          <w:sz w:val="20"/>
          <w:szCs w:val="20"/>
        </w:rPr>
        <w:t xml:space="preserve">Zasięg ubóstwa skrajnego wśród osób starszych w ostatnich latach nie zmieniał się istotnie. W latach 2010-2022 stopa ubóstwa skrajnego wynosiła </w:t>
      </w:r>
      <w:r w:rsidRPr="00B77F75">
        <w:rPr>
          <w:rFonts w:ascii="Lato" w:hAnsi="Lato" w:cs="Fira Sans"/>
          <w:color w:val="000000"/>
          <w:sz w:val="20"/>
          <w:szCs w:val="20"/>
        </w:rPr>
        <w:t>ok. 3-4%.</w:t>
      </w:r>
      <w:r w:rsidRPr="00B77F75">
        <w:rPr>
          <w:rFonts w:ascii="Lato" w:hAnsi="Lato" w:cs="Helv"/>
          <w:color w:val="000000"/>
          <w:sz w:val="20"/>
          <w:szCs w:val="20"/>
        </w:rPr>
        <w:t xml:space="preserve"> </w:t>
      </w:r>
      <w:r w:rsidR="00AE6F64" w:rsidRPr="00AE6F64">
        <w:rPr>
          <w:rFonts w:ascii="Lato" w:hAnsi="Lato"/>
          <w:sz w:val="20"/>
          <w:szCs w:val="20"/>
        </w:rPr>
        <w:t xml:space="preserve">Stopa ubóstwa skrajnego, oznaczająca odsetek osób żyjących w gospodarstwach domowych, których poziom wydatków jest niższy od minimum egzystencji, dla osób w wieku 60 lat i więcej lat była w 2021 r. niższa niż dla ogółu społeczeństwa, tj. 3,3% wobec 4,2% ogółem. Co więcej wartość ta spadła względem 2020 r., kiedy to wynosiła 4,4%. </w:t>
      </w:r>
      <w:r w:rsidRPr="00B77F75">
        <w:rPr>
          <w:rFonts w:ascii="Lato" w:hAnsi="Lato" w:cs="Helv"/>
          <w:color w:val="000000"/>
          <w:sz w:val="20"/>
          <w:szCs w:val="20"/>
        </w:rPr>
        <w:t>Należy przy tym mieć na uwadze, że w warunkach starzejącego się społeczeństwa, udział osób starszych</w:t>
      </w:r>
      <w:r w:rsidRPr="00B77F75">
        <w:rPr>
          <w:rFonts w:ascii="Lato" w:hAnsi="Lato" w:cs="Fira Sans"/>
          <w:color w:val="000000"/>
          <w:sz w:val="20"/>
          <w:szCs w:val="20"/>
        </w:rPr>
        <w:t xml:space="preserve"> w populacji osób ubogich w Polsce </w:t>
      </w:r>
      <w:r w:rsidRPr="00B77F75">
        <w:rPr>
          <w:rFonts w:ascii="Lato" w:hAnsi="Lato" w:cs="Helv"/>
          <w:color w:val="000000"/>
          <w:sz w:val="20"/>
          <w:szCs w:val="20"/>
        </w:rPr>
        <w:t>rośnie.</w:t>
      </w:r>
    </w:p>
    <w:p w14:paraId="3D9BDD30" w14:textId="77777777" w:rsidR="00AE6F64" w:rsidRPr="00C95F98" w:rsidRDefault="00AE6F64" w:rsidP="009E6F68">
      <w:pPr>
        <w:spacing w:after="0" w:line="240" w:lineRule="auto"/>
        <w:jc w:val="both"/>
        <w:rPr>
          <w:rFonts w:ascii="Lato" w:hAnsi="Lato"/>
          <w:sz w:val="18"/>
          <w:szCs w:val="18"/>
        </w:rPr>
      </w:pPr>
    </w:p>
    <w:p w14:paraId="04AF387C" w14:textId="3FBE73F6" w:rsidR="00C95F98" w:rsidRPr="00894B0E" w:rsidRDefault="00C95F98" w:rsidP="00C95F98">
      <w:pPr>
        <w:pStyle w:val="Legenda"/>
        <w:keepNext/>
        <w:rPr>
          <w:color w:val="auto"/>
        </w:rPr>
      </w:pPr>
      <w:bookmarkStart w:id="14" w:name="_Toc142565978"/>
      <w:r>
        <w:t xml:space="preserve">Tabela </w:t>
      </w:r>
      <w:fldSimple w:instr=" SEQ Tabela \* ARABIC ">
        <w:r w:rsidR="00AA385B">
          <w:rPr>
            <w:noProof/>
          </w:rPr>
          <w:t>12</w:t>
        </w:r>
      </w:fldSimple>
      <w:r>
        <w:t xml:space="preserve"> Zasięg ubóstwa w gospodarstwach domowych </w:t>
      </w:r>
      <w:r w:rsidRPr="00894B0E">
        <w:rPr>
          <w:color w:val="auto"/>
        </w:rPr>
        <w:t>w 2021 r. (dane za 2022 r. w lipcu)</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0"/>
        <w:gridCol w:w="1509"/>
        <w:gridCol w:w="1761"/>
        <w:gridCol w:w="1509"/>
        <w:gridCol w:w="1737"/>
      </w:tblGrid>
      <w:tr w:rsidR="00C95F98" w:rsidRPr="00DC3810" w14:paraId="232B347B" w14:textId="77777777" w:rsidTr="00DC3810">
        <w:trPr>
          <w:trHeight w:val="399"/>
        </w:trPr>
        <w:tc>
          <w:tcPr>
            <w:tcW w:w="1407" w:type="pct"/>
            <w:vMerge w:val="restart"/>
            <w:shd w:val="clear" w:color="auto" w:fill="8EAADB" w:themeFill="accent1" w:themeFillTint="99"/>
            <w:vAlign w:val="center"/>
            <w:hideMark/>
          </w:tcPr>
          <w:p w14:paraId="0D67A7A0"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832" w:type="pct"/>
            <w:shd w:val="clear" w:color="auto" w:fill="8EAADB" w:themeFill="accent1" w:themeFillTint="99"/>
            <w:noWrap/>
            <w:vAlign w:val="center"/>
            <w:hideMark/>
          </w:tcPr>
          <w:p w14:paraId="5C9651B5"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971" w:type="pct"/>
            <w:shd w:val="clear" w:color="auto" w:fill="8EAADB" w:themeFill="accent1" w:themeFillTint="99"/>
            <w:noWrap/>
            <w:vAlign w:val="center"/>
            <w:hideMark/>
          </w:tcPr>
          <w:p w14:paraId="0DC96985"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0-17</w:t>
            </w:r>
          </w:p>
        </w:tc>
        <w:tc>
          <w:tcPr>
            <w:tcW w:w="832" w:type="pct"/>
            <w:shd w:val="clear" w:color="auto" w:fill="8EAADB" w:themeFill="accent1" w:themeFillTint="99"/>
            <w:vAlign w:val="center"/>
            <w:hideMark/>
          </w:tcPr>
          <w:p w14:paraId="02E1C1DA"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18-59</w:t>
            </w:r>
          </w:p>
        </w:tc>
        <w:tc>
          <w:tcPr>
            <w:tcW w:w="957" w:type="pct"/>
            <w:shd w:val="clear" w:color="auto" w:fill="8EAADB" w:themeFill="accent1" w:themeFillTint="99"/>
            <w:vAlign w:val="center"/>
            <w:hideMark/>
          </w:tcPr>
          <w:p w14:paraId="29D673F5"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r>
      <w:tr w:rsidR="00C95F98" w:rsidRPr="00DC3810" w14:paraId="136BCF8D" w14:textId="77777777" w:rsidTr="00DC3810">
        <w:trPr>
          <w:trHeight w:val="288"/>
        </w:trPr>
        <w:tc>
          <w:tcPr>
            <w:tcW w:w="1407" w:type="pct"/>
            <w:vMerge/>
            <w:shd w:val="clear" w:color="auto" w:fill="8EAADB" w:themeFill="accent1" w:themeFillTint="99"/>
            <w:vAlign w:val="center"/>
            <w:hideMark/>
          </w:tcPr>
          <w:p w14:paraId="4B891F2F" w14:textId="77777777" w:rsidR="00C95F98" w:rsidRPr="00DC3810" w:rsidRDefault="00C95F98" w:rsidP="00C95F98">
            <w:pPr>
              <w:spacing w:after="0" w:line="240" w:lineRule="auto"/>
              <w:rPr>
                <w:rFonts w:ascii="Lato" w:eastAsia="Times New Roman" w:hAnsi="Lato" w:cs="Arial"/>
                <w:sz w:val="18"/>
                <w:szCs w:val="18"/>
                <w:lang w:eastAsia="pl-PL"/>
              </w:rPr>
            </w:pPr>
          </w:p>
        </w:tc>
        <w:tc>
          <w:tcPr>
            <w:tcW w:w="3593" w:type="pct"/>
            <w:gridSpan w:val="4"/>
            <w:shd w:val="clear" w:color="auto" w:fill="8EAADB" w:themeFill="accent1" w:themeFillTint="99"/>
            <w:noWrap/>
            <w:vAlign w:val="center"/>
            <w:hideMark/>
          </w:tcPr>
          <w:p w14:paraId="667E395F" w14:textId="77777777" w:rsidR="00C95F98" w:rsidRPr="00DC3810" w:rsidRDefault="00C95F98" w:rsidP="00C95F98">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osób</w:t>
            </w:r>
          </w:p>
        </w:tc>
      </w:tr>
      <w:tr w:rsidR="000F16AE" w:rsidRPr="00DC3810" w14:paraId="70E1EC8D" w14:textId="77777777" w:rsidTr="00C95F98">
        <w:trPr>
          <w:trHeight w:val="300"/>
        </w:trPr>
        <w:tc>
          <w:tcPr>
            <w:tcW w:w="1407" w:type="pct"/>
            <w:shd w:val="clear" w:color="auto" w:fill="auto"/>
            <w:vAlign w:val="center"/>
            <w:hideMark/>
          </w:tcPr>
          <w:p w14:paraId="2A060620" w14:textId="77777777" w:rsidR="00C95F98" w:rsidRPr="00DC3810" w:rsidRDefault="00C95F98" w:rsidP="00C95F98">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Stopa ubóstwa skrajnego</w:t>
            </w:r>
          </w:p>
        </w:tc>
        <w:tc>
          <w:tcPr>
            <w:tcW w:w="832" w:type="pct"/>
            <w:shd w:val="clear" w:color="auto" w:fill="auto"/>
            <w:noWrap/>
            <w:vAlign w:val="center"/>
            <w:hideMark/>
          </w:tcPr>
          <w:p w14:paraId="4425D26A"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w:t>
            </w:r>
          </w:p>
        </w:tc>
        <w:tc>
          <w:tcPr>
            <w:tcW w:w="971" w:type="pct"/>
            <w:shd w:val="clear" w:color="auto" w:fill="auto"/>
            <w:noWrap/>
            <w:vAlign w:val="center"/>
            <w:hideMark/>
          </w:tcPr>
          <w:p w14:paraId="7A060FB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w:t>
            </w:r>
          </w:p>
        </w:tc>
        <w:tc>
          <w:tcPr>
            <w:tcW w:w="832" w:type="pct"/>
            <w:shd w:val="clear" w:color="auto" w:fill="auto"/>
            <w:vAlign w:val="center"/>
            <w:hideMark/>
          </w:tcPr>
          <w:p w14:paraId="5595A5D6"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w:t>
            </w:r>
          </w:p>
        </w:tc>
        <w:tc>
          <w:tcPr>
            <w:tcW w:w="957" w:type="pct"/>
            <w:shd w:val="clear" w:color="auto" w:fill="auto"/>
            <w:vAlign w:val="center"/>
            <w:hideMark/>
          </w:tcPr>
          <w:p w14:paraId="6907F229" w14:textId="77777777" w:rsidR="00C95F98" w:rsidRPr="00DC3810" w:rsidRDefault="00C95F98" w:rsidP="00C95F98">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3,3</w:t>
            </w:r>
          </w:p>
        </w:tc>
      </w:tr>
    </w:tbl>
    <w:p w14:paraId="50B8402F" w14:textId="0D9DA981" w:rsidR="00C95F98" w:rsidRPr="009E6F68" w:rsidRDefault="00C95F98" w:rsidP="00A254DA">
      <w:pPr>
        <w:spacing w:after="0" w:line="240" w:lineRule="auto"/>
        <w:jc w:val="both"/>
        <w:rPr>
          <w:rFonts w:ascii="Lato" w:hAnsi="Lato"/>
          <w:sz w:val="16"/>
          <w:szCs w:val="16"/>
        </w:rPr>
      </w:pPr>
      <w:r w:rsidRPr="009E6F68">
        <w:rPr>
          <w:rFonts w:ascii="Lato" w:hAnsi="Lato"/>
          <w:sz w:val="16"/>
          <w:szCs w:val="16"/>
        </w:rPr>
        <w:t>Źródła: stopa ubóstwa skrajnego – Badanie budżetów gospodarstw domowych , GUS</w:t>
      </w:r>
    </w:p>
    <w:p w14:paraId="24B97B03" w14:textId="02A838F5" w:rsidR="00A94E37" w:rsidRDefault="00A94E37" w:rsidP="009E6F68">
      <w:pPr>
        <w:spacing w:after="0" w:line="240" w:lineRule="auto"/>
        <w:jc w:val="both"/>
        <w:rPr>
          <w:rFonts w:ascii="Lato" w:hAnsi="Lato" w:cstheme="minorHAnsi"/>
          <w:sz w:val="20"/>
          <w:szCs w:val="20"/>
        </w:rPr>
      </w:pPr>
    </w:p>
    <w:p w14:paraId="61B934AA" w14:textId="77777777" w:rsidR="001D2A93" w:rsidRPr="00050138" w:rsidRDefault="001D2A93" w:rsidP="001D2A93">
      <w:pPr>
        <w:spacing w:after="0" w:line="240" w:lineRule="auto"/>
        <w:jc w:val="both"/>
        <w:rPr>
          <w:rFonts w:ascii="Lato" w:hAnsi="Lato"/>
          <w:color w:val="FF0000"/>
          <w:sz w:val="20"/>
          <w:szCs w:val="20"/>
        </w:rPr>
      </w:pPr>
      <w:r w:rsidRPr="00050138">
        <w:rPr>
          <w:rFonts w:ascii="Lato" w:hAnsi="Lato"/>
          <w:color w:val="FF0000"/>
          <w:sz w:val="20"/>
          <w:szCs w:val="20"/>
        </w:rPr>
        <w:t>W zakładach stacjonarnych pomocy społecznej w 2022 r. mieszkało 87 tys. osób.</w:t>
      </w:r>
    </w:p>
    <w:p w14:paraId="16658CEB" w14:textId="77777777" w:rsidR="00050138" w:rsidRPr="00050138" w:rsidRDefault="00050138" w:rsidP="00050138">
      <w:pPr>
        <w:spacing w:after="0" w:line="240" w:lineRule="auto"/>
        <w:jc w:val="both"/>
        <w:rPr>
          <w:rFonts w:ascii="Lato" w:hAnsi="Lato" w:cstheme="minorHAnsi"/>
          <w:b/>
          <w:sz w:val="20"/>
          <w:szCs w:val="20"/>
        </w:rPr>
      </w:pPr>
      <w:r w:rsidRPr="00050138">
        <w:rPr>
          <w:rFonts w:ascii="Lato" w:hAnsi="Lato" w:cstheme="minorHAnsi"/>
          <w:b/>
          <w:sz w:val="20"/>
          <w:szCs w:val="20"/>
        </w:rPr>
        <w:t>System pomocy społecznej</w:t>
      </w:r>
    </w:p>
    <w:p w14:paraId="50DBD1C9" w14:textId="77590797" w:rsidR="00050138" w:rsidRDefault="00050138" w:rsidP="00050138">
      <w:pPr>
        <w:spacing w:after="0" w:line="240" w:lineRule="auto"/>
        <w:jc w:val="both"/>
        <w:rPr>
          <w:rFonts w:ascii="Lato" w:hAnsi="Lato" w:cstheme="minorHAnsi"/>
          <w:sz w:val="20"/>
          <w:szCs w:val="20"/>
        </w:rPr>
      </w:pPr>
      <w:r>
        <w:rPr>
          <w:rFonts w:ascii="Lato" w:hAnsi="Lato" w:cstheme="minorHAnsi"/>
          <w:sz w:val="20"/>
          <w:szCs w:val="20"/>
        </w:rPr>
        <w:t>P</w:t>
      </w:r>
      <w:r w:rsidRPr="00D73CE4">
        <w:rPr>
          <w:rFonts w:ascii="Lato" w:hAnsi="Lato" w:cstheme="minorHAnsi"/>
          <w:sz w:val="20"/>
          <w:szCs w:val="20"/>
        </w:rPr>
        <w:t>omoc społeczna jest instytucją polityki społecznej państwa, która ma na celu umożliwienie osobom i rodzinom przezwyciężenie trudnych sytuacji życiowych, których sami nie są w stanie pokonać.</w:t>
      </w:r>
      <w:r>
        <w:rPr>
          <w:rFonts w:ascii="Lato" w:hAnsi="Lato" w:cstheme="minorHAnsi"/>
          <w:sz w:val="20"/>
          <w:szCs w:val="20"/>
        </w:rPr>
        <w:t xml:space="preserve"> </w:t>
      </w:r>
    </w:p>
    <w:p w14:paraId="2D8535CD" w14:textId="77777777" w:rsidR="00050138" w:rsidRDefault="00050138" w:rsidP="00050138">
      <w:pPr>
        <w:spacing w:after="0" w:line="240" w:lineRule="auto"/>
        <w:jc w:val="both"/>
        <w:rPr>
          <w:rFonts w:ascii="Lato" w:hAnsi="Lato" w:cstheme="minorHAnsi"/>
          <w:sz w:val="20"/>
          <w:szCs w:val="20"/>
        </w:rPr>
      </w:pPr>
    </w:p>
    <w:p w14:paraId="1C0BF1A0" w14:textId="77777777" w:rsidR="00050138" w:rsidRDefault="00050138" w:rsidP="00050138">
      <w:pPr>
        <w:spacing w:after="0" w:line="240" w:lineRule="auto"/>
        <w:jc w:val="both"/>
        <w:rPr>
          <w:rFonts w:ascii="Lato" w:hAnsi="Lato" w:cstheme="minorHAnsi"/>
          <w:sz w:val="20"/>
          <w:szCs w:val="20"/>
        </w:rPr>
      </w:pPr>
      <w:r w:rsidRPr="00D73CE4">
        <w:rPr>
          <w:rFonts w:ascii="Lato" w:hAnsi="Lato" w:cstheme="minorHAnsi"/>
          <w:sz w:val="20"/>
          <w:szCs w:val="20"/>
        </w:rPr>
        <w:t>W ramach pomocy społecznej podejmowane są działania zmierzające do życiowego usamodzielnienia tych osób i rodzin oraz integracji ze środowiskiem, polegające na wzmacnianiu i rozwijaniu umiejętności koniecznych do samodzielnego, aktywnego życia; wspomaganiu środowiska społecznego osoby starszej w tym rodziny, osób z otoczenia, współdziałania organizacji społecznych i instytucji a także na udzielaniu pomocy finansowej, rzeczowej oraz świadczeń pomocy społecznej.</w:t>
      </w:r>
    </w:p>
    <w:p w14:paraId="1141464B" w14:textId="77777777" w:rsidR="00050138" w:rsidRPr="00456B75" w:rsidRDefault="00050138" w:rsidP="00050138">
      <w:pPr>
        <w:spacing w:after="0" w:line="240" w:lineRule="auto"/>
        <w:jc w:val="both"/>
        <w:rPr>
          <w:rFonts w:ascii="Lato" w:hAnsi="Lato" w:cstheme="minorHAnsi"/>
          <w:sz w:val="20"/>
          <w:szCs w:val="20"/>
        </w:rPr>
      </w:pPr>
      <w:r w:rsidRPr="00456B75">
        <w:rPr>
          <w:rFonts w:ascii="Lato" w:hAnsi="Lato" w:cstheme="minorHAnsi"/>
          <w:sz w:val="20"/>
          <w:szCs w:val="20"/>
        </w:rPr>
        <w:lastRenderedPageBreak/>
        <w:t xml:space="preserve">System pomocy społecznej oferuje osobom </w:t>
      </w:r>
      <w:r>
        <w:rPr>
          <w:rFonts w:ascii="Lato" w:hAnsi="Lato" w:cstheme="minorHAnsi"/>
          <w:sz w:val="20"/>
          <w:szCs w:val="20"/>
        </w:rPr>
        <w:t xml:space="preserve">starszym formy wsparcia środowiskowego. </w:t>
      </w:r>
      <w:r w:rsidRPr="00456B75">
        <w:rPr>
          <w:rFonts w:ascii="Lato" w:hAnsi="Lato" w:cstheme="minorHAnsi"/>
          <w:sz w:val="20"/>
          <w:szCs w:val="20"/>
        </w:rPr>
        <w:t>Należą do nich usługi opiekuńcze lub specjalistyczne usługi opiekuńcze świadczone:</w:t>
      </w:r>
    </w:p>
    <w:p w14:paraId="10326372" w14:textId="77777777" w:rsidR="00050138" w:rsidRPr="009E4A08" w:rsidRDefault="00050138" w:rsidP="00050138">
      <w:pPr>
        <w:pStyle w:val="Akapitzlist"/>
        <w:numPr>
          <w:ilvl w:val="0"/>
          <w:numId w:val="248"/>
        </w:numPr>
        <w:spacing w:after="0" w:line="240" w:lineRule="auto"/>
        <w:jc w:val="both"/>
        <w:rPr>
          <w:rFonts w:ascii="Lato" w:hAnsi="Lato" w:cstheme="minorHAnsi"/>
          <w:sz w:val="20"/>
          <w:szCs w:val="20"/>
        </w:rPr>
      </w:pPr>
      <w:r w:rsidRPr="009E4A08">
        <w:rPr>
          <w:rFonts w:ascii="Lato" w:hAnsi="Lato" w:cstheme="minorHAnsi"/>
          <w:sz w:val="20"/>
          <w:szCs w:val="20"/>
        </w:rPr>
        <w:t xml:space="preserve">w miejscu zamieszkania, </w:t>
      </w:r>
    </w:p>
    <w:p w14:paraId="781DC8BA" w14:textId="77777777" w:rsidR="00050138" w:rsidRDefault="00050138" w:rsidP="00050138">
      <w:pPr>
        <w:pStyle w:val="Akapitzlist"/>
        <w:numPr>
          <w:ilvl w:val="0"/>
          <w:numId w:val="248"/>
        </w:numPr>
        <w:spacing w:after="0" w:line="240" w:lineRule="auto"/>
        <w:jc w:val="both"/>
        <w:rPr>
          <w:rFonts w:ascii="Lato" w:hAnsi="Lato" w:cstheme="minorHAnsi"/>
          <w:sz w:val="20"/>
          <w:szCs w:val="20"/>
        </w:rPr>
      </w:pPr>
      <w:r>
        <w:rPr>
          <w:rFonts w:ascii="Lato" w:hAnsi="Lato" w:cstheme="minorHAnsi"/>
          <w:sz w:val="20"/>
          <w:szCs w:val="20"/>
        </w:rPr>
        <w:t xml:space="preserve">w </w:t>
      </w:r>
      <w:r w:rsidRPr="00456B75">
        <w:rPr>
          <w:rFonts w:ascii="Lato" w:hAnsi="Lato" w:cstheme="minorHAnsi"/>
          <w:sz w:val="20"/>
          <w:szCs w:val="20"/>
        </w:rPr>
        <w:t>domach pomocy społeczne</w:t>
      </w:r>
      <w:r>
        <w:rPr>
          <w:rFonts w:ascii="Lato" w:hAnsi="Lato" w:cstheme="minorHAnsi"/>
          <w:sz w:val="20"/>
          <w:szCs w:val="20"/>
        </w:rPr>
        <w:t>j,</w:t>
      </w:r>
    </w:p>
    <w:p w14:paraId="29AA903E" w14:textId="77777777" w:rsidR="00050138" w:rsidRDefault="00050138" w:rsidP="00050138">
      <w:pPr>
        <w:pStyle w:val="Akapitzlist"/>
        <w:numPr>
          <w:ilvl w:val="0"/>
          <w:numId w:val="248"/>
        </w:numPr>
        <w:spacing w:after="0" w:line="240" w:lineRule="auto"/>
        <w:jc w:val="both"/>
        <w:rPr>
          <w:rFonts w:ascii="Lato" w:hAnsi="Lato" w:cstheme="minorHAnsi"/>
          <w:sz w:val="20"/>
          <w:szCs w:val="20"/>
        </w:rPr>
      </w:pPr>
      <w:r w:rsidRPr="00456B75">
        <w:rPr>
          <w:rFonts w:ascii="Lato" w:hAnsi="Lato" w:cstheme="minorHAnsi"/>
          <w:sz w:val="20"/>
          <w:szCs w:val="20"/>
        </w:rPr>
        <w:t>w mieszkaniach chronionych,</w:t>
      </w:r>
    </w:p>
    <w:p w14:paraId="0F6C59FE" w14:textId="77777777" w:rsidR="00050138" w:rsidRDefault="00050138" w:rsidP="00050138">
      <w:pPr>
        <w:pStyle w:val="Akapitzlist"/>
        <w:numPr>
          <w:ilvl w:val="0"/>
          <w:numId w:val="248"/>
        </w:numPr>
        <w:spacing w:after="0" w:line="240" w:lineRule="auto"/>
        <w:jc w:val="both"/>
        <w:rPr>
          <w:rFonts w:ascii="Lato" w:hAnsi="Lato" w:cstheme="minorHAnsi"/>
          <w:sz w:val="20"/>
          <w:szCs w:val="20"/>
        </w:rPr>
      </w:pPr>
      <w:r>
        <w:rPr>
          <w:rFonts w:ascii="Lato" w:hAnsi="Lato" w:cstheme="minorHAnsi"/>
          <w:sz w:val="20"/>
          <w:szCs w:val="20"/>
        </w:rPr>
        <w:t>w ośrodkach wsparcia dziennego,</w:t>
      </w:r>
    </w:p>
    <w:p w14:paraId="4AC512FB" w14:textId="77777777" w:rsidR="00050138" w:rsidRPr="009E4A08" w:rsidRDefault="00050138" w:rsidP="00050138">
      <w:pPr>
        <w:pStyle w:val="Akapitzlist"/>
        <w:numPr>
          <w:ilvl w:val="0"/>
          <w:numId w:val="248"/>
        </w:numPr>
        <w:spacing w:after="0" w:line="240" w:lineRule="auto"/>
        <w:jc w:val="both"/>
        <w:rPr>
          <w:rFonts w:ascii="Lato" w:hAnsi="Lato" w:cstheme="minorHAnsi"/>
          <w:sz w:val="20"/>
          <w:szCs w:val="20"/>
        </w:rPr>
      </w:pPr>
      <w:r w:rsidRPr="009E4A08">
        <w:rPr>
          <w:rFonts w:ascii="Lato" w:hAnsi="Lato" w:cstheme="minorHAnsi"/>
          <w:sz w:val="20"/>
          <w:szCs w:val="20"/>
        </w:rPr>
        <w:t>w ośrodkach wsparcia dla osób z zaburzeniami psychicznymi, w szczególności w  środowiskowych domach samopomocy</w:t>
      </w:r>
      <w:r>
        <w:rPr>
          <w:rFonts w:ascii="Lato" w:hAnsi="Lato" w:cstheme="minorHAnsi"/>
          <w:sz w:val="20"/>
          <w:szCs w:val="20"/>
        </w:rPr>
        <w:t>.</w:t>
      </w:r>
    </w:p>
    <w:p w14:paraId="0A9DC5C8" w14:textId="58F3C79B" w:rsidR="001D2A93" w:rsidRDefault="001D2A93" w:rsidP="009E6F68">
      <w:pPr>
        <w:spacing w:after="0" w:line="240" w:lineRule="auto"/>
        <w:jc w:val="both"/>
        <w:rPr>
          <w:rFonts w:ascii="Lato" w:hAnsi="Lato" w:cstheme="minorHAnsi"/>
          <w:sz w:val="20"/>
          <w:szCs w:val="20"/>
        </w:rPr>
      </w:pPr>
    </w:p>
    <w:p w14:paraId="1D8645C9" w14:textId="77777777" w:rsidR="00050138" w:rsidRPr="00050138" w:rsidRDefault="00050138" w:rsidP="00050138">
      <w:pPr>
        <w:spacing w:after="0" w:line="240" w:lineRule="auto"/>
        <w:jc w:val="both"/>
        <w:rPr>
          <w:rFonts w:ascii="Lato" w:hAnsi="Lato" w:cstheme="minorHAnsi"/>
          <w:b/>
          <w:sz w:val="20"/>
          <w:szCs w:val="20"/>
        </w:rPr>
      </w:pPr>
      <w:r w:rsidRPr="00050138">
        <w:rPr>
          <w:rFonts w:ascii="Lato" w:hAnsi="Lato" w:cstheme="minorHAnsi"/>
          <w:b/>
          <w:sz w:val="20"/>
          <w:szCs w:val="20"/>
        </w:rPr>
        <w:t xml:space="preserve">Usługi opiekuńcze i specjalistyczne usługi opiekuńcze </w:t>
      </w:r>
    </w:p>
    <w:p w14:paraId="432FFDA5" w14:textId="77777777" w:rsidR="00050138" w:rsidRPr="00470E1C" w:rsidRDefault="00050138" w:rsidP="00050138">
      <w:pPr>
        <w:spacing w:after="0" w:line="240" w:lineRule="auto"/>
        <w:jc w:val="both"/>
        <w:rPr>
          <w:rFonts w:ascii="Lato" w:hAnsi="Lato" w:cstheme="minorHAnsi"/>
          <w:bCs/>
          <w:sz w:val="20"/>
          <w:szCs w:val="20"/>
        </w:rPr>
      </w:pPr>
      <w:r w:rsidRPr="00470E1C">
        <w:rPr>
          <w:rFonts w:ascii="Lato" w:hAnsi="Lato" w:cstheme="minorHAnsi"/>
          <w:bCs/>
          <w:sz w:val="20"/>
          <w:szCs w:val="20"/>
        </w:rPr>
        <w:t xml:space="preserve">Usługi opiekuńcze i specjalistyczne usługi opiekuńcze jest to  forma wsparcia realizowana w oparciu o przepisy ustawy z dnia 12 marca 2004 r.  o </w:t>
      </w:r>
      <w:r>
        <w:rPr>
          <w:rFonts w:ascii="Lato" w:hAnsi="Lato" w:cstheme="minorHAnsi"/>
          <w:bCs/>
          <w:sz w:val="20"/>
          <w:szCs w:val="20"/>
        </w:rPr>
        <w:t>pomocy społecznej (Dz. U. z 2023</w:t>
      </w:r>
      <w:r w:rsidRPr="00470E1C">
        <w:rPr>
          <w:rFonts w:ascii="Lato" w:hAnsi="Lato" w:cstheme="minorHAnsi"/>
          <w:bCs/>
          <w:sz w:val="20"/>
          <w:szCs w:val="20"/>
        </w:rPr>
        <w:t xml:space="preserve"> r. poz. </w:t>
      </w:r>
      <w:r>
        <w:rPr>
          <w:rFonts w:ascii="Lato" w:hAnsi="Lato" w:cstheme="minorHAnsi"/>
          <w:bCs/>
          <w:sz w:val="20"/>
          <w:szCs w:val="20"/>
        </w:rPr>
        <w:t>901</w:t>
      </w:r>
      <w:r w:rsidRPr="00470E1C">
        <w:rPr>
          <w:rFonts w:ascii="Lato" w:hAnsi="Lato" w:cstheme="minorHAnsi"/>
          <w:bCs/>
          <w:sz w:val="20"/>
          <w:szCs w:val="20"/>
        </w:rPr>
        <w:t>) oraz rozporządzenia Ministra Polityki Społecznej z dnia 22 września 2005 r. w sprawie specjalistycznych usług opiekuńczych (Dz. U. z 2005 r. poz. 1598, ze zm.) oraz w ramach Programu „ Opieka 75+” i przysługuje:</w:t>
      </w:r>
    </w:p>
    <w:p w14:paraId="75A5AC24" w14:textId="77777777" w:rsidR="00050138" w:rsidRDefault="00050138" w:rsidP="00050138">
      <w:pPr>
        <w:pStyle w:val="Akapitzlist"/>
        <w:numPr>
          <w:ilvl w:val="0"/>
          <w:numId w:val="249"/>
        </w:numPr>
        <w:spacing w:after="0" w:line="240" w:lineRule="auto"/>
        <w:jc w:val="both"/>
        <w:rPr>
          <w:rFonts w:ascii="Lato" w:hAnsi="Lato" w:cstheme="minorHAnsi"/>
          <w:bCs/>
          <w:sz w:val="20"/>
          <w:szCs w:val="20"/>
        </w:rPr>
      </w:pPr>
      <w:r w:rsidRPr="00050138">
        <w:rPr>
          <w:rFonts w:ascii="Lato" w:hAnsi="Lato" w:cstheme="minorHAnsi"/>
          <w:bCs/>
          <w:sz w:val="20"/>
          <w:szCs w:val="20"/>
        </w:rPr>
        <w:t>osobie samotnej, która z powodu wieku, choroby lub niepełnosprawności wymaga pomocy innych osób,</w:t>
      </w:r>
    </w:p>
    <w:p w14:paraId="7E224A6D" w14:textId="708D3E8D" w:rsidR="00050138" w:rsidRPr="00050138" w:rsidRDefault="00050138" w:rsidP="00050138">
      <w:pPr>
        <w:pStyle w:val="Akapitzlist"/>
        <w:numPr>
          <w:ilvl w:val="0"/>
          <w:numId w:val="249"/>
        </w:numPr>
        <w:spacing w:after="0" w:line="240" w:lineRule="auto"/>
        <w:jc w:val="both"/>
        <w:rPr>
          <w:rFonts w:ascii="Lato" w:hAnsi="Lato" w:cstheme="minorHAnsi"/>
          <w:bCs/>
          <w:sz w:val="20"/>
          <w:szCs w:val="20"/>
        </w:rPr>
      </w:pPr>
      <w:r w:rsidRPr="00050138">
        <w:rPr>
          <w:rFonts w:ascii="Lato" w:hAnsi="Lato" w:cstheme="minorHAnsi"/>
          <w:bCs/>
          <w:sz w:val="20"/>
          <w:szCs w:val="20"/>
        </w:rPr>
        <w:t>osobie w rodzinie, która wymaga pomocy innych osób, jednak rodzina, a także wspólnie nie zamieszkujący małżonek, wstępni i zstępni nie są w stanie takiej pomocy zapewnić.</w:t>
      </w:r>
    </w:p>
    <w:p w14:paraId="302D4963" w14:textId="77777777" w:rsidR="00050138" w:rsidRDefault="00050138" w:rsidP="00050138">
      <w:pPr>
        <w:spacing w:after="0" w:line="240" w:lineRule="auto"/>
        <w:jc w:val="both"/>
        <w:rPr>
          <w:rFonts w:ascii="Lato" w:hAnsi="Lato" w:cstheme="minorHAnsi"/>
          <w:bCs/>
          <w:sz w:val="20"/>
          <w:szCs w:val="20"/>
        </w:rPr>
      </w:pPr>
    </w:p>
    <w:p w14:paraId="048E3BDA" w14:textId="6FC9EA45" w:rsidR="00050138" w:rsidRPr="00470E1C" w:rsidRDefault="00050138" w:rsidP="00050138">
      <w:pPr>
        <w:spacing w:after="0" w:line="240" w:lineRule="auto"/>
        <w:jc w:val="both"/>
        <w:rPr>
          <w:rFonts w:ascii="Lato" w:hAnsi="Lato" w:cstheme="minorHAnsi"/>
          <w:bCs/>
          <w:sz w:val="20"/>
          <w:szCs w:val="20"/>
        </w:rPr>
      </w:pPr>
      <w:r w:rsidRPr="00470E1C">
        <w:rPr>
          <w:rFonts w:ascii="Lato" w:hAnsi="Lato" w:cstheme="minorHAnsi"/>
          <w:bCs/>
          <w:sz w:val="20"/>
          <w:szCs w:val="20"/>
        </w:rPr>
        <w:t xml:space="preserve">Usługi opiekuńcze </w:t>
      </w:r>
      <w:r>
        <w:rPr>
          <w:rFonts w:ascii="Lato" w:hAnsi="Lato" w:cstheme="minorHAnsi"/>
          <w:bCs/>
          <w:sz w:val="20"/>
          <w:szCs w:val="20"/>
        </w:rPr>
        <w:t xml:space="preserve">realizowane </w:t>
      </w:r>
      <w:proofErr w:type="spellStart"/>
      <w:r>
        <w:rPr>
          <w:rFonts w:ascii="Lato" w:hAnsi="Lato" w:cstheme="minorHAnsi"/>
          <w:bCs/>
          <w:sz w:val="20"/>
          <w:szCs w:val="20"/>
        </w:rPr>
        <w:t>sa</w:t>
      </w:r>
      <w:proofErr w:type="spellEnd"/>
      <w:r>
        <w:rPr>
          <w:rFonts w:ascii="Lato" w:hAnsi="Lato" w:cstheme="minorHAnsi"/>
          <w:bCs/>
          <w:sz w:val="20"/>
          <w:szCs w:val="20"/>
        </w:rPr>
        <w:t xml:space="preserve"> w ramach zadań własnych gminy i </w:t>
      </w:r>
      <w:r w:rsidRPr="00470E1C">
        <w:rPr>
          <w:rFonts w:ascii="Lato" w:hAnsi="Lato" w:cstheme="minorHAnsi"/>
          <w:bCs/>
          <w:sz w:val="20"/>
          <w:szCs w:val="20"/>
        </w:rPr>
        <w:t xml:space="preserve">obejmują: zaspokajanie codziennych potrzeb życiowych (sprzątanie, pranie, zakupy, sporządzanie posiłków), opiekę higieniczną, zaleconą przez lekarza pielęgnację, zapewnianie kontaktów z otoczeniem. </w:t>
      </w:r>
    </w:p>
    <w:p w14:paraId="4585C41A" w14:textId="77777777" w:rsidR="00050138" w:rsidRDefault="00050138" w:rsidP="00050138">
      <w:pPr>
        <w:spacing w:after="0" w:line="240" w:lineRule="auto"/>
        <w:jc w:val="both"/>
        <w:rPr>
          <w:rFonts w:ascii="Lato" w:hAnsi="Lato" w:cstheme="minorHAnsi"/>
          <w:bCs/>
          <w:sz w:val="20"/>
          <w:szCs w:val="20"/>
        </w:rPr>
      </w:pPr>
    </w:p>
    <w:p w14:paraId="5F9ABE3C" w14:textId="5465193B" w:rsidR="00050138" w:rsidRPr="00470E1C" w:rsidRDefault="00050138" w:rsidP="00050138">
      <w:pPr>
        <w:spacing w:after="0" w:line="240" w:lineRule="auto"/>
        <w:jc w:val="both"/>
        <w:rPr>
          <w:rFonts w:ascii="Lato" w:hAnsi="Lato" w:cstheme="minorHAnsi"/>
          <w:bCs/>
          <w:sz w:val="20"/>
          <w:szCs w:val="20"/>
        </w:rPr>
      </w:pPr>
      <w:r w:rsidRPr="00470E1C">
        <w:rPr>
          <w:rFonts w:ascii="Lato" w:hAnsi="Lato" w:cstheme="minorHAnsi"/>
          <w:bCs/>
          <w:sz w:val="20"/>
          <w:szCs w:val="20"/>
        </w:rPr>
        <w:t xml:space="preserve">Specjalistyczne usługi opiekuńcze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w:t>
      </w:r>
    </w:p>
    <w:p w14:paraId="4E80EBCC" w14:textId="77777777" w:rsidR="00050138" w:rsidRPr="00470E1C" w:rsidRDefault="00050138" w:rsidP="00050138">
      <w:pPr>
        <w:spacing w:after="0" w:line="240" w:lineRule="auto"/>
        <w:jc w:val="both"/>
        <w:rPr>
          <w:rFonts w:ascii="Lato" w:hAnsi="Lato" w:cstheme="minorHAnsi"/>
          <w:bCs/>
          <w:sz w:val="20"/>
          <w:szCs w:val="20"/>
        </w:rPr>
      </w:pPr>
      <w:r w:rsidRPr="00470E1C">
        <w:rPr>
          <w:rFonts w:ascii="Lato" w:hAnsi="Lato" w:cstheme="minorHAnsi"/>
          <w:bCs/>
          <w:sz w:val="20"/>
          <w:szCs w:val="20"/>
        </w:rPr>
        <w:t>Specjalistyczne usługi opiekuńcze dla osób z zaburzeniami psychicznymi są natomiast zadaniem zleconym gminie, finansowanym z budżetu państwa.</w:t>
      </w:r>
    </w:p>
    <w:p w14:paraId="42E2CF72" w14:textId="77777777" w:rsidR="00050138" w:rsidRPr="00470E1C" w:rsidRDefault="00050138" w:rsidP="00050138">
      <w:pPr>
        <w:spacing w:after="0" w:line="240" w:lineRule="auto"/>
        <w:jc w:val="both"/>
        <w:rPr>
          <w:rFonts w:ascii="Lato" w:hAnsi="Lato" w:cstheme="minorHAnsi"/>
          <w:bCs/>
          <w:sz w:val="20"/>
          <w:szCs w:val="20"/>
        </w:rPr>
      </w:pPr>
    </w:p>
    <w:p w14:paraId="123D1631" w14:textId="77777777" w:rsidR="00050138" w:rsidRDefault="00050138" w:rsidP="00050138">
      <w:pPr>
        <w:spacing w:after="0" w:line="240" w:lineRule="auto"/>
        <w:jc w:val="both"/>
        <w:rPr>
          <w:rFonts w:ascii="Lato" w:hAnsi="Lato" w:cstheme="minorHAnsi"/>
          <w:bCs/>
          <w:sz w:val="20"/>
          <w:szCs w:val="20"/>
        </w:rPr>
      </w:pPr>
      <w:r w:rsidRPr="00470E1C">
        <w:rPr>
          <w:rFonts w:ascii="Lato" w:hAnsi="Lato" w:cstheme="minorHAnsi"/>
          <w:bCs/>
          <w:sz w:val="20"/>
          <w:szCs w:val="20"/>
        </w:rPr>
        <w:t xml:space="preserve">Usługi opiekuńcze i specjalistyczne usługi opiekuńcze mogą być także świadczone w ośrodkach wsparcia. </w:t>
      </w:r>
    </w:p>
    <w:p w14:paraId="4C891E1B" w14:textId="77777777" w:rsidR="00050138" w:rsidRDefault="00050138" w:rsidP="00050138">
      <w:pPr>
        <w:spacing w:after="0" w:line="240" w:lineRule="auto"/>
        <w:jc w:val="both"/>
        <w:rPr>
          <w:rFonts w:ascii="Lato" w:hAnsi="Lato" w:cstheme="minorHAnsi"/>
          <w:sz w:val="20"/>
          <w:szCs w:val="20"/>
        </w:rPr>
      </w:pPr>
    </w:p>
    <w:p w14:paraId="28B63E3A" w14:textId="37C0E0DA" w:rsidR="00050138" w:rsidRPr="00050138" w:rsidRDefault="00050138" w:rsidP="00050138">
      <w:pPr>
        <w:spacing w:after="0" w:line="240" w:lineRule="auto"/>
        <w:jc w:val="both"/>
        <w:rPr>
          <w:rFonts w:ascii="Lato" w:hAnsi="Lato" w:cstheme="minorHAnsi"/>
          <w:b/>
          <w:bCs/>
          <w:sz w:val="20"/>
          <w:szCs w:val="20"/>
        </w:rPr>
      </w:pPr>
      <w:r w:rsidRPr="00050138">
        <w:rPr>
          <w:rFonts w:ascii="Lato" w:hAnsi="Lato" w:cstheme="minorHAnsi"/>
          <w:b/>
          <w:bCs/>
          <w:sz w:val="20"/>
          <w:szCs w:val="20"/>
        </w:rPr>
        <w:t>Ośrodki wsparcia dla osób z zaburzeniami psychicznymi – prowadzone w ramach zadania zleconego z zakresu administracji rządowej</w:t>
      </w:r>
    </w:p>
    <w:p w14:paraId="727DFA5A" w14:textId="77777777" w:rsidR="00050138" w:rsidRDefault="00050138" w:rsidP="00050138">
      <w:pPr>
        <w:spacing w:after="0" w:line="240" w:lineRule="auto"/>
        <w:jc w:val="both"/>
        <w:rPr>
          <w:rFonts w:ascii="Lato" w:hAnsi="Lato" w:cstheme="minorHAnsi"/>
          <w:sz w:val="20"/>
          <w:szCs w:val="20"/>
        </w:rPr>
      </w:pPr>
      <w:r w:rsidRPr="00903C14">
        <w:rPr>
          <w:rFonts w:ascii="Lato" w:hAnsi="Lato" w:cstheme="minorHAnsi"/>
          <w:sz w:val="20"/>
          <w:szCs w:val="20"/>
        </w:rPr>
        <w:t>Ośrodkami wsparcia dla osób z zaburzeniami psychicznymi są: środowiskowy dom samopomocy lub klub samopomocy dla osób z zaburzeniami psychicznymi, które w wyniku upośledzenia niektórych funkcji organizmu lub zdolności adaptacyjnych wymagają pomocy do życia w środowisku rodzinnym i społecznym, w szczególności w celu zwiększania zaradności i samodzielności życiowej, a także ich integracji społecznej.</w:t>
      </w:r>
    </w:p>
    <w:p w14:paraId="65FA533E" w14:textId="77777777" w:rsidR="00050138" w:rsidRPr="009E6F68" w:rsidRDefault="00050138" w:rsidP="00050138">
      <w:pPr>
        <w:spacing w:after="0" w:line="240" w:lineRule="auto"/>
        <w:jc w:val="both"/>
        <w:rPr>
          <w:rFonts w:ascii="Lato" w:hAnsi="Lato" w:cstheme="minorHAnsi"/>
          <w:sz w:val="20"/>
          <w:szCs w:val="20"/>
        </w:rPr>
      </w:pPr>
    </w:p>
    <w:p w14:paraId="478E4C30" w14:textId="77777777" w:rsidR="00050138" w:rsidRPr="00AF4822" w:rsidRDefault="00050138" w:rsidP="00050138">
      <w:pPr>
        <w:spacing w:after="0" w:line="240" w:lineRule="auto"/>
        <w:jc w:val="both"/>
        <w:rPr>
          <w:rFonts w:ascii="Lato" w:hAnsi="Lato" w:cstheme="minorHAnsi"/>
          <w:sz w:val="20"/>
          <w:szCs w:val="20"/>
        </w:rPr>
      </w:pPr>
      <w:r w:rsidRPr="00AF4822">
        <w:rPr>
          <w:rFonts w:ascii="Lato" w:hAnsi="Lato" w:cstheme="minorHAnsi"/>
          <w:sz w:val="20"/>
          <w:szCs w:val="20"/>
        </w:rPr>
        <w:t xml:space="preserve">Domy pomocy społecznej to placówki całodobowej opieki dla osób niemogących funkcjonować w codziennym życiu z powodu wieku, choroby lub niepełnosprawności. </w:t>
      </w:r>
      <w:r>
        <w:rPr>
          <w:rFonts w:ascii="Lato" w:hAnsi="Lato" w:cstheme="minorHAnsi"/>
          <w:sz w:val="20"/>
          <w:szCs w:val="20"/>
        </w:rPr>
        <w:t xml:space="preserve">Domy </w:t>
      </w:r>
      <w:r w:rsidRPr="00AF4822">
        <w:rPr>
          <w:rFonts w:ascii="Lato" w:hAnsi="Lato" w:cstheme="minorHAnsi"/>
          <w:sz w:val="20"/>
          <w:szCs w:val="20"/>
        </w:rPr>
        <w:t xml:space="preserve">działają na podstawie ustawy o pomocy społecznej  oraz rozporządzenia Ministra Pracy i Polityki Społecznej z dnia 23 sierpnia 2012 r. </w:t>
      </w:r>
    </w:p>
    <w:p w14:paraId="390DA9FA" w14:textId="77777777" w:rsidR="00050138" w:rsidRPr="00AF4822" w:rsidRDefault="00050138" w:rsidP="00050138">
      <w:pPr>
        <w:spacing w:after="0" w:line="240" w:lineRule="auto"/>
        <w:jc w:val="both"/>
        <w:rPr>
          <w:rFonts w:ascii="Lato" w:hAnsi="Lato" w:cstheme="minorHAnsi"/>
          <w:sz w:val="20"/>
          <w:szCs w:val="20"/>
        </w:rPr>
      </w:pPr>
      <w:r w:rsidRPr="00AF4822">
        <w:rPr>
          <w:rFonts w:ascii="Lato" w:hAnsi="Lato" w:cstheme="minorHAnsi"/>
          <w:sz w:val="20"/>
          <w:szCs w:val="20"/>
        </w:rPr>
        <w:t xml:space="preserve">w sprawie domów pomocy społecznej. </w:t>
      </w:r>
      <w:r w:rsidRPr="009B70D5">
        <w:rPr>
          <w:rFonts w:ascii="Lato" w:hAnsi="Lato" w:cstheme="minorHAnsi"/>
          <w:sz w:val="20"/>
          <w:szCs w:val="20"/>
        </w:rPr>
        <w:t>Należy jednak podkreślić, że umieszczenie osoby w domu pomocy społecznej jest ostatecznością. Poprzedzone powinno być ono rzetelną oceną możliwości udzielenia pomocy w miejscu jej zamieszkania oraz zbadaniem jej sytuacji rodzinnej. Skierowanie do domu pomocy społecznej wymaga oceny stanu zdrowia oraz uprzedniego ustalenia zakresu możliwości korzystania przez daną osobę z pomocy środowiskowej, zwłaszcza zbadania możliwości zorganizowania usług opiekuńczych lub specjalistycznych usług opiekuńczych w miejscu zamieszkania.</w:t>
      </w:r>
    </w:p>
    <w:p w14:paraId="5C3E9BCF" w14:textId="77777777" w:rsidR="00050138" w:rsidRPr="00AF4822" w:rsidRDefault="00050138" w:rsidP="00050138">
      <w:pPr>
        <w:spacing w:after="0" w:line="240" w:lineRule="auto"/>
        <w:jc w:val="both"/>
        <w:rPr>
          <w:rFonts w:ascii="Lato" w:hAnsi="Lato" w:cstheme="minorHAnsi"/>
          <w:sz w:val="20"/>
          <w:szCs w:val="20"/>
        </w:rPr>
      </w:pPr>
      <w:r w:rsidRPr="00AF4822">
        <w:rPr>
          <w:rFonts w:ascii="Lato" w:hAnsi="Lato" w:cstheme="minorHAnsi"/>
          <w:sz w:val="20"/>
          <w:szCs w:val="20"/>
        </w:rPr>
        <w:t>Rozróżnia się następujące typy domów:</w:t>
      </w:r>
    </w:p>
    <w:p w14:paraId="20C7442B"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osób w podeszłym wieku;</w:t>
      </w:r>
    </w:p>
    <w:p w14:paraId="0CC0F0D7"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osób przewlekle somatycznie chorych;</w:t>
      </w:r>
    </w:p>
    <w:p w14:paraId="7D480BA0"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osób przewlekle psychicznie chorych;</w:t>
      </w:r>
    </w:p>
    <w:p w14:paraId="55628AD6"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osób niepełnosprawnych intelektualnie;</w:t>
      </w:r>
    </w:p>
    <w:p w14:paraId="3B7B2FC3"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dzieci i młodzieży niepełnosprawnych intelektualnie;</w:t>
      </w:r>
    </w:p>
    <w:p w14:paraId="5E3CCAD4" w14:textId="77777777" w:rsid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t>dla osób niepełnosprawnych fizycznie;</w:t>
      </w:r>
    </w:p>
    <w:p w14:paraId="028430CD" w14:textId="67A273AE" w:rsidR="00050138" w:rsidRPr="00050138" w:rsidRDefault="00050138" w:rsidP="00050138">
      <w:pPr>
        <w:pStyle w:val="Akapitzlist"/>
        <w:numPr>
          <w:ilvl w:val="0"/>
          <w:numId w:val="250"/>
        </w:numPr>
        <w:spacing w:after="0" w:line="240" w:lineRule="auto"/>
        <w:jc w:val="both"/>
        <w:rPr>
          <w:rFonts w:ascii="Lato" w:hAnsi="Lato" w:cstheme="minorHAnsi"/>
          <w:sz w:val="20"/>
          <w:szCs w:val="20"/>
        </w:rPr>
      </w:pPr>
      <w:r w:rsidRPr="00050138">
        <w:rPr>
          <w:rFonts w:ascii="Lato" w:hAnsi="Lato" w:cstheme="minorHAnsi"/>
          <w:sz w:val="20"/>
          <w:szCs w:val="20"/>
        </w:rPr>
        <w:lastRenderedPageBreak/>
        <w:t>dla osób uzależnionych od alkoholu.</w:t>
      </w:r>
    </w:p>
    <w:p w14:paraId="2EBC42D8" w14:textId="77777777" w:rsidR="00050138" w:rsidRDefault="00050138" w:rsidP="00050138">
      <w:pPr>
        <w:spacing w:after="0" w:line="240" w:lineRule="auto"/>
        <w:jc w:val="both"/>
        <w:rPr>
          <w:rFonts w:ascii="Lato" w:hAnsi="Lato" w:cstheme="minorHAnsi"/>
          <w:sz w:val="20"/>
          <w:szCs w:val="20"/>
        </w:rPr>
      </w:pPr>
    </w:p>
    <w:p w14:paraId="2450EB76" w14:textId="5D3E0114" w:rsidR="00050138" w:rsidRDefault="00050138" w:rsidP="00050138">
      <w:pPr>
        <w:spacing w:after="0" w:line="240" w:lineRule="auto"/>
        <w:jc w:val="both"/>
        <w:rPr>
          <w:rFonts w:ascii="Lato" w:hAnsi="Lato" w:cstheme="minorHAnsi"/>
          <w:sz w:val="20"/>
          <w:szCs w:val="20"/>
        </w:rPr>
      </w:pPr>
      <w:r w:rsidRPr="00AF4822">
        <w:rPr>
          <w:rFonts w:ascii="Lato" w:hAnsi="Lato" w:cstheme="minorHAnsi"/>
          <w:sz w:val="20"/>
          <w:szCs w:val="20"/>
        </w:rPr>
        <w:t>Występują również domy łączące dwa typy domów.</w:t>
      </w:r>
    </w:p>
    <w:p w14:paraId="4F65D02E" w14:textId="77777777" w:rsidR="00050138" w:rsidRDefault="00050138" w:rsidP="00050138">
      <w:pPr>
        <w:spacing w:after="0" w:line="240" w:lineRule="auto"/>
        <w:jc w:val="both"/>
        <w:rPr>
          <w:rFonts w:ascii="Lato" w:hAnsi="Lato" w:cstheme="minorHAnsi"/>
          <w:sz w:val="20"/>
          <w:szCs w:val="20"/>
        </w:rPr>
      </w:pPr>
      <w:r>
        <w:rPr>
          <w:rFonts w:ascii="Lato" w:hAnsi="Lato" w:cstheme="minorHAnsi"/>
          <w:sz w:val="20"/>
          <w:szCs w:val="20"/>
        </w:rPr>
        <w:t xml:space="preserve">W 2022 r. w Polsce funkcjonowały 822 domy pomocy społecznej na 80 115, z których skorzystało 87 207 osób. </w:t>
      </w:r>
    </w:p>
    <w:p w14:paraId="1B3D6632" w14:textId="77777777" w:rsidR="00050138" w:rsidRPr="009E6F68" w:rsidRDefault="00050138" w:rsidP="009E6F68">
      <w:pPr>
        <w:spacing w:after="0" w:line="240" w:lineRule="auto"/>
        <w:jc w:val="both"/>
        <w:rPr>
          <w:rFonts w:ascii="Lato" w:hAnsi="Lato" w:cstheme="minorHAnsi"/>
          <w:sz w:val="20"/>
          <w:szCs w:val="20"/>
        </w:rPr>
      </w:pPr>
    </w:p>
    <w:p w14:paraId="1C31F58D" w14:textId="7E831705"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b/>
          <w:bCs/>
          <w:sz w:val="20"/>
          <w:szCs w:val="20"/>
        </w:rPr>
      </w:pPr>
      <w:r w:rsidRPr="00947895">
        <w:rPr>
          <w:rFonts w:ascii="Lato" w:hAnsi="Lato" w:cstheme="minorHAnsi"/>
          <w:b/>
          <w:bCs/>
          <w:sz w:val="20"/>
          <w:szCs w:val="20"/>
        </w:rPr>
        <w:t>Usługi świadczone w rodzinnym domu pomocy lub mieszkaniu chronionym</w:t>
      </w:r>
    </w:p>
    <w:p w14:paraId="43A5ED00" w14:textId="061722BD"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Osoby niepełnosprawne, w tym osoby starsze, mogą korzystać również z form wsparcia jakimi są mieszkania chronione i rodzinne domy pomocy.</w:t>
      </w:r>
    </w:p>
    <w:p w14:paraId="409C7351"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4F81FD7A" w14:textId="4D00CF47"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 xml:space="preserve">Mieszkanie chronione to miejsce (mieszkanie), w którym osoba — ze względu na trudną sytuację życiową, wiek, niepełnosprawność lub chorobę otrzymuje okresowe  (w wyjątkowych sytuacjach — stałe) wsparcie w funkcjonowaniu w codziennym życiu, przygotowujące ją do prowadzenia samodzielnego życia w integracji ze społecznością lokalną. </w:t>
      </w:r>
    </w:p>
    <w:p w14:paraId="331CC35D"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48E6216A" w14:textId="717FA830"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 xml:space="preserve">Ta forma pomocy społecznej przeznaczona jest także dla osób, które wymagają stałego  wsparcia, ale nie wymagają usług w takim wymiarze i zakresie jaki jest świadczony w placówkach opieki całodobowej. </w:t>
      </w:r>
    </w:p>
    <w:p w14:paraId="49643EBC"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3F9CAF28" w14:textId="0ADDDEF6"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Mieszkania chronione dzielą się na: mieszkania chronione treningowe oraz wspierane. W mieszkaniu chronionym treningowym zapewnia się usługi bytowe oraz naukę, rozwijanie lub utrwalanie</w:t>
      </w:r>
      <w:r>
        <w:rPr>
          <w:rFonts w:ascii="Lato" w:hAnsi="Lato" w:cstheme="minorHAnsi"/>
          <w:sz w:val="20"/>
          <w:szCs w:val="20"/>
        </w:rPr>
        <w:t xml:space="preserve"> </w:t>
      </w:r>
      <w:r w:rsidRPr="00947895">
        <w:rPr>
          <w:rFonts w:ascii="Lato" w:hAnsi="Lato" w:cstheme="minorHAnsi"/>
          <w:sz w:val="20"/>
          <w:szCs w:val="20"/>
        </w:rPr>
        <w:t>samodzielności, sprawności w zakresie samoobsługi, pełnienia ról społecznych w integracji ze społecznością lokalną, w celu umożliwienia prowadzenia samodzielnego życia.</w:t>
      </w:r>
    </w:p>
    <w:p w14:paraId="7426E313"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78F86E97" w14:textId="7CBF3EB5"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 xml:space="preserve">Natomiast w mieszkaniu chronionym wspieranym zapewnia się usługi bytowe oraz pomoc w wykonywaniu czynności niezbędnych w życiu codziennym i realizacji kontaktów społecznych, w celu utrzymania lub rozwijania samodzielności osoby na poziomie jej psychofizycznych możliwości. </w:t>
      </w:r>
    </w:p>
    <w:p w14:paraId="4FD5A090"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6DB7879F" w14:textId="517D8310" w:rsid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 xml:space="preserve">Jeśli chodzi o osoby starsze, to są one kierowane przede wszystkim do mieszkań chronionych wspieranych, gdzie zapewnia się usługi bytowe oraz pomoc w wykonywaniu czynności niezbędnych w życiu codziennym i realizacji kontaktów społecznych, w celu utrzymania lub rozwijania samodzielności osoby na poziomie jej psychofizycznych możliwości. </w:t>
      </w:r>
    </w:p>
    <w:p w14:paraId="5719D2FB"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34DAC6D7" w14:textId="77777777" w:rsidR="00947895" w:rsidRPr="00947895" w:rsidRDefault="00947895" w:rsidP="009478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947895">
        <w:rPr>
          <w:rFonts w:ascii="Lato" w:hAnsi="Lato" w:cstheme="minorHAnsi"/>
          <w:sz w:val="20"/>
          <w:szCs w:val="20"/>
        </w:rPr>
        <w:t xml:space="preserve">Rodzinne domy pomocy służą zapewnieniu pobytu stałego lub okresowego osobom wymagającym pomocy innych osób, z powodu wieku lub niepełnosprawności, którym nie można zapewnić usług opiekuńczych w miejscu zamieszkania. Tego rodzaju wsparcie zapewnia usługi opiekuńcze i bytowe i jest świadczone przez osoby fizyczne lub organizacje pożytku publicznego. </w:t>
      </w:r>
    </w:p>
    <w:p w14:paraId="499B3670" w14:textId="77777777" w:rsidR="00A94E37" w:rsidRPr="009E6F68" w:rsidRDefault="00A94E37" w:rsidP="009E6F6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p>
    <w:p w14:paraId="034256A8" w14:textId="1EB89953" w:rsidR="00D87B9A" w:rsidRPr="009E6F68" w:rsidRDefault="00D87B9A" w:rsidP="009E6F68">
      <w:pPr>
        <w:spacing w:after="0" w:line="240" w:lineRule="auto"/>
        <w:ind w:right="-2"/>
        <w:jc w:val="both"/>
        <w:rPr>
          <w:rFonts w:ascii="Lato" w:hAnsi="Lato" w:cs="Calibri"/>
          <w:sz w:val="20"/>
          <w:szCs w:val="20"/>
        </w:rPr>
      </w:pPr>
      <w:r w:rsidRPr="009E6F68">
        <w:rPr>
          <w:rFonts w:ascii="Lato" w:hAnsi="Lato" w:cs="Calibri"/>
          <w:sz w:val="20"/>
          <w:szCs w:val="20"/>
        </w:rPr>
        <w:t xml:space="preserve">Od 2019 r. pozostaje w mocy nowelizacja ustawy, która otworzyła możliwość do otrzymania Karty Dużej Rodziny dla osób, które miały na utrzymaniu co najmniej troje dzieci nawet jeżeli są już samodzielne, co może zostać uznane za działanie szczegółowe z obszaru III skierowanego do ogółu osób starszych – podejmowania działań mających na celu przeciwdziałanie wykluczeniu ekonomicznemu i ubóstwu osób starszych. Z powyższego tytułu na koniec 2022 r. plastikową Kartę Dużej Rodziny posługiwało się </w:t>
      </w:r>
      <w:r w:rsidRPr="009E6F68">
        <w:rPr>
          <w:rFonts w:ascii="Lato" w:hAnsi="Lato" w:cs="Calibri"/>
          <w:sz w:val="20"/>
          <w:szCs w:val="20"/>
        </w:rPr>
        <w:br/>
        <w:t>712 025 osób.</w:t>
      </w:r>
    </w:p>
    <w:p w14:paraId="2ADECC7C" w14:textId="77777777" w:rsidR="00D87B9A" w:rsidRPr="009E6F68" w:rsidRDefault="00D87B9A" w:rsidP="009E6F68">
      <w:pPr>
        <w:spacing w:after="0" w:line="240" w:lineRule="auto"/>
        <w:ind w:right="-2"/>
        <w:jc w:val="both"/>
        <w:rPr>
          <w:rFonts w:ascii="Lato" w:hAnsi="Lato" w:cs="Calibri"/>
          <w:sz w:val="20"/>
          <w:szCs w:val="20"/>
        </w:rPr>
      </w:pPr>
    </w:p>
    <w:p w14:paraId="23031E22" w14:textId="5BB32940" w:rsidR="00D87B9A" w:rsidRPr="009E6F68" w:rsidRDefault="00E05E1D" w:rsidP="009E6F68">
      <w:pPr>
        <w:spacing w:after="0" w:line="240" w:lineRule="auto"/>
        <w:ind w:right="-2"/>
        <w:jc w:val="both"/>
        <w:rPr>
          <w:rFonts w:ascii="Lato" w:hAnsi="Lato"/>
          <w:sz w:val="20"/>
          <w:szCs w:val="20"/>
        </w:rPr>
      </w:pPr>
      <w:r w:rsidRPr="009E6F68">
        <w:rPr>
          <w:rFonts w:ascii="Lato" w:hAnsi="Lato"/>
          <w:sz w:val="20"/>
          <w:szCs w:val="20"/>
        </w:rPr>
        <w:t xml:space="preserve">Należy podkreślić, </w:t>
      </w:r>
      <w:r w:rsidR="00D87B9A" w:rsidRPr="009E6F68">
        <w:rPr>
          <w:rFonts w:ascii="Lato" w:hAnsi="Lato" w:cs="Calibri"/>
          <w:sz w:val="20"/>
          <w:szCs w:val="20"/>
        </w:rPr>
        <w:t xml:space="preserve">że </w:t>
      </w:r>
      <w:r w:rsidR="00D87B9A" w:rsidRPr="009E6F68">
        <w:rPr>
          <w:rFonts w:ascii="Lato" w:hAnsi="Lato"/>
          <w:sz w:val="20"/>
          <w:szCs w:val="20"/>
        </w:rPr>
        <w:t>w systemie świadczeń rodzinnych funkcjonują dwa rodzaje świadczeń opiekuńczych adresowanych do nieaktywnych zawodowo osób sprawujących opiekę nad niepełnosprawnym członkiem rodziny: świadczenie pielęgnacyjne oraz specjalny zasiłek opiekuńczy (nie można pobierać obu świadczeń łącznie).</w:t>
      </w:r>
    </w:p>
    <w:p w14:paraId="4F76A47A" w14:textId="77777777" w:rsidR="00D87B9A" w:rsidRPr="009E6F68" w:rsidRDefault="00D87B9A" w:rsidP="009E6F68">
      <w:pPr>
        <w:spacing w:after="0" w:line="240" w:lineRule="auto"/>
        <w:ind w:right="-2"/>
        <w:jc w:val="both"/>
        <w:rPr>
          <w:rFonts w:ascii="Lato" w:hAnsi="Lato"/>
          <w:sz w:val="20"/>
          <w:szCs w:val="20"/>
        </w:rPr>
      </w:pPr>
    </w:p>
    <w:p w14:paraId="466B807E" w14:textId="3DAB5158"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 xml:space="preserve">Świadczeniem opiekuńczym, o które mogą ubiegać się osoby sprawujące opiekę nad niepełnosprawnym członkiem rodziny, którego niepełnosprawność powstała w dzieciństwie jest świadczenie pielęgnacyjne. Świadczenie pielęgnacyjne przysługuje matce albo ojcu, opiekunowi faktycznemu dziecka (opiekunem faktycznym dziecka jest osoba faktycznie opiekującą się dzieckiem, która wystąpiła z wnioskiem do sądu rodzinnego o przysposobienie dziecka), osobie będącej rodziną zastępczą spokrewnioną oraz innym osobom, na których, zgodnie z przepisami </w:t>
      </w:r>
      <w:proofErr w:type="spellStart"/>
      <w:r w:rsidRPr="009E6F68">
        <w:rPr>
          <w:rFonts w:ascii="Lato" w:hAnsi="Lato"/>
          <w:sz w:val="20"/>
          <w:szCs w:val="20"/>
        </w:rPr>
        <w:t>krio</w:t>
      </w:r>
      <w:proofErr w:type="spellEnd"/>
      <w:r w:rsidRPr="009E6F68">
        <w:rPr>
          <w:rFonts w:ascii="Lato" w:hAnsi="Lato"/>
          <w:sz w:val="20"/>
          <w:szCs w:val="20"/>
        </w:rPr>
        <w:t xml:space="preserve"> ciąży obowiązek alimentacyjny względem osoby niepełnosprawnej, z tytułu rezygnacji z zatrudnienia lub innej pracy zarobkowej, którzy sprawują opiekę nad osobą niepełnosprawną, jeżeli niepełnosprawność tej osoby powstała nie później niż do ukończenia </w:t>
      </w:r>
      <w:r w:rsidRPr="009E6F68">
        <w:rPr>
          <w:rFonts w:ascii="Lato" w:hAnsi="Lato"/>
          <w:sz w:val="20"/>
          <w:szCs w:val="20"/>
        </w:rPr>
        <w:lastRenderedPageBreak/>
        <w:t xml:space="preserve">18. roku życia lub w trakcie nauki w szkole lub w szkole wyższej, jednak nie później niż do ukończenia 25. roku życia. </w:t>
      </w:r>
    </w:p>
    <w:p w14:paraId="245E0ADC" w14:textId="77777777" w:rsidR="00D87B9A" w:rsidRPr="009E6F68" w:rsidRDefault="00D87B9A" w:rsidP="009E6F68">
      <w:pPr>
        <w:spacing w:after="0" w:line="240" w:lineRule="auto"/>
        <w:ind w:right="-2"/>
        <w:jc w:val="both"/>
        <w:rPr>
          <w:rFonts w:ascii="Lato" w:hAnsi="Lato"/>
          <w:sz w:val="20"/>
          <w:szCs w:val="20"/>
        </w:rPr>
      </w:pPr>
    </w:p>
    <w:p w14:paraId="252D4B6D" w14:textId="705C6A11"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Świadczenie pielęgnacyjne przysługuje niezależnie od dochodu, a jego wysokość podlega corocznej waloryzacji w oparciu o procentowy wskaźnik wzrostu minimalnego wynagrodzenia za pracę - obecnie kwota świadczenia pielęgnacyjnego wynosi 2458 zł miesięcznie. Prawo do tego świadczenia pielęgnacyjnego przyznawane jest na okres ważności orzeczenia o niepełnosprawności lub stopniu niepełnosprawności.</w:t>
      </w:r>
    </w:p>
    <w:p w14:paraId="34BD032D" w14:textId="77777777" w:rsidR="00D87B9A" w:rsidRPr="009E6F68" w:rsidRDefault="00D87B9A" w:rsidP="009E6F68">
      <w:pPr>
        <w:spacing w:after="0" w:line="240" w:lineRule="auto"/>
        <w:ind w:right="-2"/>
        <w:jc w:val="both"/>
        <w:rPr>
          <w:rFonts w:ascii="Lato" w:hAnsi="Lato"/>
          <w:sz w:val="20"/>
          <w:szCs w:val="20"/>
        </w:rPr>
      </w:pPr>
    </w:p>
    <w:p w14:paraId="55B34C6B" w14:textId="46D356FD"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Drugim rodzajem świadczenia opiekuńczego skierowanym do opiekunów, w szczególności dorosłych osób niepełnosprawnych, jest specjalny zasiłek opiekuńczy. Wysokość specjalnego zasiłku opiekuńczego wynosi 620 zł miesięcznie.</w:t>
      </w:r>
    </w:p>
    <w:p w14:paraId="05FF888D" w14:textId="77777777" w:rsidR="00D87B9A" w:rsidRPr="009E6F68" w:rsidRDefault="00D87B9A" w:rsidP="009E6F68">
      <w:pPr>
        <w:spacing w:after="0" w:line="240" w:lineRule="auto"/>
        <w:ind w:right="-2"/>
        <w:jc w:val="both"/>
        <w:rPr>
          <w:rFonts w:ascii="Lato" w:hAnsi="Lato"/>
          <w:sz w:val="20"/>
          <w:szCs w:val="20"/>
        </w:rPr>
      </w:pPr>
    </w:p>
    <w:p w14:paraId="5A878B12" w14:textId="4DB68AFA"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 xml:space="preserve">Specjalny zasiłek opiekuńczy przysługuje osobom, na których zgodnie z przepisami kodeksu rodzinnego i opiekuńczego ciąży obowiązek alimentacyjny względem osoby niepełnosprawnej oraz małżonkom, niepodejmującym lub rezygnującym z zatrudnienia lub innej pracy zarobkowej w celu sprawowania opieki nad niepełnosprawnym członkiem rodziny. </w:t>
      </w:r>
    </w:p>
    <w:p w14:paraId="6EFE76ED" w14:textId="77777777" w:rsidR="00D87B9A" w:rsidRPr="009E6F68" w:rsidRDefault="00D87B9A" w:rsidP="009E6F68">
      <w:pPr>
        <w:spacing w:after="0" w:line="240" w:lineRule="auto"/>
        <w:ind w:right="-2"/>
        <w:jc w:val="both"/>
        <w:rPr>
          <w:rFonts w:ascii="Lato" w:hAnsi="Lato"/>
          <w:sz w:val="20"/>
          <w:szCs w:val="20"/>
        </w:rPr>
      </w:pPr>
    </w:p>
    <w:p w14:paraId="1CEF2874" w14:textId="3D07EC69"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 xml:space="preserve">W praktyce, specjalny zasiłek opiekuńczy przysługuje osobom, które nie spełniają warunków otrzymywania świadczenia pielęgnacyjnego, tj. przede wszystkim ww. warunku daty powstania w dzieciństwie niepełnosprawności osoby wymagającej opieki. </w:t>
      </w:r>
    </w:p>
    <w:p w14:paraId="07E84799" w14:textId="77777777" w:rsidR="00D87B9A" w:rsidRPr="009E6F68" w:rsidRDefault="00D87B9A" w:rsidP="009E6F68">
      <w:pPr>
        <w:spacing w:after="0" w:line="240" w:lineRule="auto"/>
        <w:ind w:right="-2"/>
        <w:jc w:val="both"/>
        <w:rPr>
          <w:rFonts w:ascii="Lato" w:hAnsi="Lato"/>
          <w:sz w:val="20"/>
          <w:szCs w:val="20"/>
        </w:rPr>
      </w:pPr>
    </w:p>
    <w:p w14:paraId="1DEFA7BC" w14:textId="750F6D67"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 xml:space="preserve">Specjalny zasiłek opiekuńczy przysługuje po spełnieniu kryterium dochodowego, które wynosi 764 zł miesięcznie w przeliczeniu na osobę w rodzinie osoby sprawującej opiekę i osoby wymagającej opieki. Prawo do tego świadczenia ustala się co do zasady na okres zasiłkowy trwający od 1 listopada do 30 października roku kolejnego. </w:t>
      </w:r>
    </w:p>
    <w:p w14:paraId="4CDBE9AF" w14:textId="77777777" w:rsidR="00D87B9A" w:rsidRPr="009E6F68" w:rsidRDefault="00D87B9A" w:rsidP="009E6F68">
      <w:pPr>
        <w:spacing w:after="0" w:line="240" w:lineRule="auto"/>
        <w:ind w:right="-2"/>
        <w:jc w:val="both"/>
        <w:rPr>
          <w:rFonts w:ascii="Lato" w:hAnsi="Lato"/>
          <w:sz w:val="20"/>
          <w:szCs w:val="20"/>
        </w:rPr>
      </w:pPr>
    </w:p>
    <w:p w14:paraId="0E02969D" w14:textId="6BE50ACA"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Za osoby pobierające ww. świadczenia adresowane do opiekunów osób niepełnosprawnych, co do zasady opłacane są, co miesiąc, także ze środków budżetu państwa, składki na ubezpieczenia emerytalne i rentowe oraz zdrowotne, co umożliwia opiekunom osiągnięcie stażu ubezpieczeniowego mającego wpływ na prawo do przyszłych świadczeń emerytalnych, a na bieżąco prawo do świadczeń opieki zdrowotnej finansowanych ze środków publicznych.</w:t>
      </w:r>
    </w:p>
    <w:p w14:paraId="1458CB2C" w14:textId="72C7AB9E"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Ponadto, w systemie świadczeń rodzinnych, poza ww. świadczeniami opiekuńczymi przysługującymi opiekunom osób niepełnosprawnych funkcjonuje zasiłek pielęgnacyjny - świadczenie, o które mogą ubiegać się, nieuprawnione do dodatku pielęgnacyjnego osoby niepełnosprawne oraz osoby w wieku powyżej 75 r. życia.</w:t>
      </w:r>
    </w:p>
    <w:p w14:paraId="063D20DE" w14:textId="77777777" w:rsidR="00D87B9A" w:rsidRPr="009E6F68" w:rsidRDefault="00D87B9A" w:rsidP="009E6F68">
      <w:pPr>
        <w:spacing w:after="0" w:line="240" w:lineRule="auto"/>
        <w:ind w:right="-2"/>
        <w:jc w:val="both"/>
        <w:rPr>
          <w:rFonts w:ascii="Lato" w:hAnsi="Lato"/>
          <w:sz w:val="20"/>
          <w:szCs w:val="20"/>
        </w:rPr>
      </w:pPr>
    </w:p>
    <w:p w14:paraId="2D770B10" w14:textId="710FCD1F"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Zasiłek pielęgnacyjny w wysokości 215,84 zł miesięcznie przysługuje:</w:t>
      </w:r>
    </w:p>
    <w:p w14:paraId="57EB1CCE" w14:textId="77777777" w:rsidR="00D87B9A" w:rsidRPr="009E6F68" w:rsidRDefault="00D87B9A" w:rsidP="009E6F68">
      <w:pPr>
        <w:pStyle w:val="Akapitzlist"/>
        <w:numPr>
          <w:ilvl w:val="0"/>
          <w:numId w:val="147"/>
        </w:numPr>
        <w:spacing w:after="0" w:line="240" w:lineRule="auto"/>
        <w:ind w:right="-2"/>
        <w:jc w:val="both"/>
        <w:rPr>
          <w:rFonts w:ascii="Lato" w:hAnsi="Lato"/>
          <w:sz w:val="20"/>
          <w:szCs w:val="20"/>
        </w:rPr>
      </w:pPr>
      <w:r w:rsidRPr="009E6F68">
        <w:rPr>
          <w:rFonts w:ascii="Lato" w:hAnsi="Lato"/>
          <w:sz w:val="20"/>
          <w:szCs w:val="20"/>
        </w:rPr>
        <w:t xml:space="preserve">niepełnosprawnemu dziecku; </w:t>
      </w:r>
    </w:p>
    <w:p w14:paraId="14275A72" w14:textId="77777777" w:rsidR="00D87B9A" w:rsidRPr="009E6F68" w:rsidRDefault="00D87B9A" w:rsidP="009E6F68">
      <w:pPr>
        <w:pStyle w:val="Akapitzlist"/>
        <w:numPr>
          <w:ilvl w:val="0"/>
          <w:numId w:val="147"/>
        </w:numPr>
        <w:spacing w:after="0" w:line="240" w:lineRule="auto"/>
        <w:ind w:right="-2"/>
        <w:jc w:val="both"/>
        <w:rPr>
          <w:rFonts w:ascii="Lato" w:hAnsi="Lato"/>
          <w:sz w:val="20"/>
          <w:szCs w:val="20"/>
        </w:rPr>
      </w:pPr>
      <w:r w:rsidRPr="009E6F68">
        <w:rPr>
          <w:rFonts w:ascii="Lato" w:hAnsi="Lato"/>
          <w:sz w:val="20"/>
          <w:szCs w:val="20"/>
        </w:rPr>
        <w:t>osobie niepełnosprawnej w wieku powyżej 16. roku życia, jeżeli legitymuje się orzeczeniem o znacznym stopniu niepełnosprawności;</w:t>
      </w:r>
    </w:p>
    <w:p w14:paraId="7B512186" w14:textId="7B8E10CC" w:rsidR="00D87B9A" w:rsidRPr="009E6F68" w:rsidRDefault="00D87B9A" w:rsidP="009E6F68">
      <w:pPr>
        <w:pStyle w:val="Akapitzlist"/>
        <w:numPr>
          <w:ilvl w:val="0"/>
          <w:numId w:val="147"/>
        </w:numPr>
        <w:spacing w:after="0" w:line="240" w:lineRule="auto"/>
        <w:ind w:right="-2"/>
        <w:jc w:val="both"/>
        <w:rPr>
          <w:rFonts w:ascii="Lato" w:hAnsi="Lato"/>
          <w:sz w:val="20"/>
          <w:szCs w:val="20"/>
        </w:rPr>
      </w:pPr>
      <w:r w:rsidRPr="009E6F68">
        <w:rPr>
          <w:rFonts w:ascii="Lato" w:hAnsi="Lato"/>
          <w:sz w:val="20"/>
          <w:szCs w:val="20"/>
        </w:rPr>
        <w:t xml:space="preserve">osobie, która ukończyła 75 lat. </w:t>
      </w:r>
    </w:p>
    <w:p w14:paraId="6B2A1EE8" w14:textId="77777777" w:rsidR="00D87B9A" w:rsidRPr="009E6F68" w:rsidRDefault="00D87B9A" w:rsidP="009E6F68">
      <w:pPr>
        <w:spacing w:after="0" w:line="240" w:lineRule="auto"/>
        <w:ind w:right="-2"/>
        <w:jc w:val="both"/>
        <w:rPr>
          <w:rFonts w:ascii="Lato" w:hAnsi="Lato"/>
          <w:sz w:val="20"/>
          <w:szCs w:val="20"/>
        </w:rPr>
      </w:pPr>
    </w:p>
    <w:p w14:paraId="72800DFC" w14:textId="49F095A7"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Zasiłek pielęgnacyjny przysługuje także osobie niepełnosprawnej w wieku powyżej 16. roku życia legitymującej się orzeczeniem o umiarkowanym stopniu niepełnosprawności, jeżeli niepełnosprawność powstała w wieku do ukończenia 21. roku życia.</w:t>
      </w:r>
    </w:p>
    <w:p w14:paraId="6FB7D67F" w14:textId="77777777" w:rsidR="00D87B9A" w:rsidRPr="009E6F68" w:rsidRDefault="00D87B9A" w:rsidP="009E6F68">
      <w:pPr>
        <w:spacing w:after="0" w:line="240" w:lineRule="auto"/>
        <w:ind w:right="-2"/>
        <w:jc w:val="both"/>
        <w:rPr>
          <w:rFonts w:ascii="Lato" w:hAnsi="Lato"/>
          <w:sz w:val="20"/>
          <w:szCs w:val="20"/>
        </w:rPr>
      </w:pPr>
    </w:p>
    <w:p w14:paraId="35A56393" w14:textId="5089D1A1"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 xml:space="preserve">Zasiłek pielęgnacyjny przysługuje bez względu na osiągany dochód, przez okres legitymowania się odpowiednim orzeczeniem o niepełnosprawności lub na stałe osobom w wieku powyżej 75 r. życia. </w:t>
      </w:r>
    </w:p>
    <w:p w14:paraId="523BE920" w14:textId="77777777" w:rsidR="00D87B9A" w:rsidRPr="009E6F68" w:rsidRDefault="00D87B9A" w:rsidP="009E6F68">
      <w:pPr>
        <w:spacing w:after="0" w:line="240" w:lineRule="auto"/>
        <w:ind w:right="-2"/>
        <w:jc w:val="both"/>
        <w:rPr>
          <w:rFonts w:ascii="Lato" w:hAnsi="Lato"/>
          <w:sz w:val="20"/>
          <w:szCs w:val="20"/>
        </w:rPr>
      </w:pPr>
    </w:p>
    <w:p w14:paraId="24E9CEF4" w14:textId="5F6B5015" w:rsidR="00D87B9A" w:rsidRPr="009E6F68" w:rsidRDefault="00D87B9A" w:rsidP="009E6F68">
      <w:pPr>
        <w:spacing w:after="0" w:line="240" w:lineRule="auto"/>
        <w:ind w:right="-2"/>
        <w:jc w:val="both"/>
        <w:rPr>
          <w:rFonts w:ascii="Lato" w:hAnsi="Lato"/>
          <w:sz w:val="20"/>
          <w:szCs w:val="20"/>
        </w:rPr>
      </w:pPr>
      <w:r w:rsidRPr="009E6F68">
        <w:rPr>
          <w:rFonts w:ascii="Lato" w:hAnsi="Lato"/>
          <w:sz w:val="20"/>
          <w:szCs w:val="20"/>
        </w:rPr>
        <w:t>Zasiłek pielęgnacyjny nie przysługuje osobie uprawnionej do dodatku pielęgnacyjnego.</w:t>
      </w:r>
    </w:p>
    <w:p w14:paraId="32EC1F34" w14:textId="77777777" w:rsidR="00D87B9A" w:rsidRPr="009E6F68" w:rsidRDefault="00D87B9A" w:rsidP="009E6F68">
      <w:pPr>
        <w:spacing w:after="0" w:line="240" w:lineRule="auto"/>
        <w:ind w:right="-2"/>
        <w:jc w:val="both"/>
        <w:rPr>
          <w:rFonts w:ascii="Lato" w:hAnsi="Lato"/>
          <w:sz w:val="20"/>
          <w:szCs w:val="20"/>
        </w:rPr>
      </w:pPr>
    </w:p>
    <w:p w14:paraId="38B5243C" w14:textId="0836E34F" w:rsidR="00D87B9A" w:rsidRPr="009E6F68" w:rsidRDefault="00D87B9A" w:rsidP="009E6F68">
      <w:pPr>
        <w:pStyle w:val="Default"/>
        <w:jc w:val="both"/>
        <w:rPr>
          <w:rFonts w:ascii="Lato" w:eastAsia="Arial" w:hAnsi="Lato" w:cs="Calibri"/>
          <w:sz w:val="20"/>
          <w:szCs w:val="20"/>
          <w:lang w:eastAsia="pl-PL" w:bidi="pl-PL"/>
        </w:rPr>
      </w:pPr>
      <w:r w:rsidRPr="009E6F68">
        <w:rPr>
          <w:rFonts w:ascii="Lato" w:hAnsi="Lato"/>
          <w:sz w:val="20"/>
          <w:szCs w:val="20"/>
        </w:rPr>
        <w:t xml:space="preserve">Jednocześnie </w:t>
      </w:r>
      <w:r w:rsidRPr="009E6F68">
        <w:rPr>
          <w:rFonts w:ascii="Lato" w:hAnsi="Lato"/>
          <w:sz w:val="20"/>
          <w:szCs w:val="20"/>
          <w:lang w:bidi="pl-PL"/>
        </w:rPr>
        <w:t xml:space="preserve">w </w:t>
      </w:r>
      <w:r w:rsidRPr="009E6F68">
        <w:rPr>
          <w:rFonts w:ascii="Lato" w:eastAsia="Times New Roman" w:hAnsi="Lato"/>
          <w:sz w:val="20"/>
          <w:szCs w:val="20"/>
          <w:lang w:eastAsia="pl-PL"/>
        </w:rPr>
        <w:t xml:space="preserve">Ministerstwie Rodziny i Polityki Społecznej </w:t>
      </w:r>
      <w:r w:rsidRPr="009E6F68">
        <w:rPr>
          <w:rFonts w:ascii="Lato" w:hAnsi="Lato"/>
          <w:sz w:val="20"/>
          <w:szCs w:val="20"/>
        </w:rPr>
        <w:t xml:space="preserve">przygotowany został projekt ustawy o </w:t>
      </w:r>
      <w:r w:rsidRPr="009E6F68">
        <w:rPr>
          <w:rFonts w:ascii="Lato" w:hAnsi="Lato"/>
          <w:i/>
          <w:sz w:val="20"/>
          <w:szCs w:val="20"/>
        </w:rPr>
        <w:t xml:space="preserve">świadczeniu wspierającym, </w:t>
      </w:r>
      <w:r w:rsidRPr="009E6F68">
        <w:rPr>
          <w:rFonts w:ascii="Lato" w:hAnsi="Lato"/>
          <w:sz w:val="20"/>
          <w:szCs w:val="20"/>
        </w:rPr>
        <w:t>który</w:t>
      </w:r>
      <w:r w:rsidRPr="009E6F68">
        <w:rPr>
          <w:rFonts w:ascii="Lato" w:hAnsi="Lato"/>
          <w:i/>
          <w:sz w:val="20"/>
          <w:szCs w:val="20"/>
        </w:rPr>
        <w:t xml:space="preserve"> </w:t>
      </w:r>
      <w:r w:rsidRPr="009E6F68">
        <w:rPr>
          <w:rFonts w:ascii="Lato" w:hAnsi="Lato" w:cs="Calibri"/>
          <w:bCs/>
          <w:sz w:val="20"/>
          <w:szCs w:val="20"/>
        </w:rPr>
        <w:t xml:space="preserve">zakłada przebudowę dotychczasowego systemu świadczeń dla  osób z niepełnosprawnościami oraz ich opiekunów poprzez wprowadzenie od 1 stycznia 2024 r. do systemu prawnego nowego rodzaju świadczenia - świadczenia wspierającego kierowanego bezpośrednio </w:t>
      </w:r>
      <w:r w:rsidRPr="009E6F68">
        <w:rPr>
          <w:rFonts w:ascii="Lato" w:hAnsi="Lato" w:cs="Calibri"/>
          <w:bCs/>
          <w:sz w:val="20"/>
          <w:szCs w:val="20"/>
        </w:rPr>
        <w:br/>
        <w:t xml:space="preserve">do osoby z  niepełnosprawnością oraz modyfikacje warunków przyznawania świadczenia </w:t>
      </w:r>
      <w:r w:rsidRPr="009E6F68">
        <w:rPr>
          <w:rFonts w:ascii="Lato" w:hAnsi="Lato" w:cs="Calibri"/>
          <w:bCs/>
          <w:sz w:val="20"/>
          <w:szCs w:val="20"/>
        </w:rPr>
        <w:lastRenderedPageBreak/>
        <w:t xml:space="preserve">pielęgnacyjnego. </w:t>
      </w:r>
      <w:r w:rsidRPr="009E6F68">
        <w:rPr>
          <w:rFonts w:ascii="Lato" w:eastAsia="Arial" w:hAnsi="Lato" w:cs="Calibri"/>
          <w:sz w:val="20"/>
          <w:szCs w:val="20"/>
          <w:lang w:eastAsia="pl-PL" w:bidi="pl-PL"/>
        </w:rPr>
        <w:t xml:space="preserve">Wprowadzenie świadczenia wspierającego ukierunkowane jest na upodmiotowienie osoby z niepełnosprawnością, tak aby to osoba niepełnosprawna mogła decydować jak wykorzystywane ma być otrzymywane wsparcie. </w:t>
      </w:r>
    </w:p>
    <w:p w14:paraId="3CBB0931" w14:textId="77777777" w:rsidR="00D87B9A" w:rsidRPr="009E6F68" w:rsidRDefault="00D87B9A" w:rsidP="009E6F68">
      <w:pPr>
        <w:pStyle w:val="Default"/>
        <w:jc w:val="both"/>
        <w:rPr>
          <w:rFonts w:ascii="Lato" w:hAnsi="Lato" w:cs="Calibri"/>
          <w:bCs/>
          <w:sz w:val="20"/>
          <w:szCs w:val="20"/>
        </w:rPr>
      </w:pPr>
    </w:p>
    <w:p w14:paraId="183BD11D" w14:textId="2BD363FF" w:rsidR="00D87B9A" w:rsidRPr="009E6F68" w:rsidRDefault="00D87B9A" w:rsidP="009E6F68">
      <w:pPr>
        <w:suppressAutoHyphens/>
        <w:spacing w:after="0" w:line="240" w:lineRule="auto"/>
        <w:ind w:right="-2"/>
        <w:jc w:val="both"/>
        <w:rPr>
          <w:rFonts w:ascii="Lato" w:hAnsi="Lato"/>
          <w:sz w:val="20"/>
          <w:szCs w:val="20"/>
        </w:rPr>
      </w:pPr>
      <w:r w:rsidRPr="009E6F68">
        <w:rPr>
          <w:rFonts w:ascii="Lato" w:hAnsi="Lato"/>
          <w:sz w:val="20"/>
          <w:szCs w:val="20"/>
        </w:rPr>
        <w:t xml:space="preserve">Zgodnie z projektem świadczenie wspierające będzie kierowane bezpośrednio do osoby z  niepełnosprawnością, w wieku od ukończenia 18 rok życia.  Świadczenie to będzie przysługiwać bez względu na dochody osiągane przez osobę z  niepełnosprawnościami lub członków jej rodziny (brak kryterium dochodowego), będzie wolne od egzekucji i będzie przysługiwać niezależnie od innych form wsparcia (np. osoby, które mają prawo do renty socjalnej, nadal będą ją pobierać). Ponadto, będzie przysługiwać niezależnie od sytuacji/okoliczności osoby z niepełnosprawnością czy jej ewentualnego opiekuna, tj. np. aktywność zawodowa czy otrzymywanie świadczeń emerytalno-rentowych, </w:t>
      </w:r>
      <w:r w:rsidRPr="009E6F68">
        <w:rPr>
          <w:rFonts w:ascii="Lato" w:hAnsi="Lato"/>
          <w:sz w:val="20"/>
          <w:szCs w:val="20"/>
        </w:rPr>
        <w:br/>
        <w:t>nie będzie miała żadnego znaczenia.</w:t>
      </w:r>
    </w:p>
    <w:p w14:paraId="67AFEE86" w14:textId="77777777" w:rsidR="00D87B9A" w:rsidRPr="009E6F68" w:rsidRDefault="00D87B9A" w:rsidP="009E6F68">
      <w:pPr>
        <w:suppressAutoHyphens/>
        <w:spacing w:after="0" w:line="240" w:lineRule="auto"/>
        <w:ind w:right="-2"/>
        <w:jc w:val="both"/>
        <w:rPr>
          <w:rFonts w:ascii="Lato" w:hAnsi="Lato"/>
          <w:sz w:val="20"/>
          <w:szCs w:val="20"/>
        </w:rPr>
      </w:pPr>
    </w:p>
    <w:p w14:paraId="49D20BAB" w14:textId="77777777" w:rsidR="00D87B9A" w:rsidRPr="009E6F68" w:rsidRDefault="00D87B9A" w:rsidP="009E6F68">
      <w:pPr>
        <w:suppressAutoHyphens/>
        <w:spacing w:after="0" w:line="240" w:lineRule="auto"/>
        <w:ind w:right="-2"/>
        <w:jc w:val="both"/>
        <w:rPr>
          <w:rFonts w:ascii="Lato" w:hAnsi="Lato"/>
          <w:sz w:val="20"/>
          <w:szCs w:val="20"/>
        </w:rPr>
      </w:pPr>
      <w:r w:rsidRPr="009E6F68">
        <w:rPr>
          <w:rFonts w:ascii="Lato" w:hAnsi="Lato"/>
          <w:sz w:val="20"/>
          <w:szCs w:val="20"/>
        </w:rPr>
        <w:t>Aby uzyskać świadczenie wspierające, osoba  z niepełnosprawnością będzie musiała uzyskać w wojewódzkim zespole do spraw orzekania o niepełnosprawności decyzję ustalającą odpowiedni poziom potrzeby wsparcia (od 70 pkt do 100 pkt) wydaną w ramach zmodyfikowanego systemu orzecznictwa o niepełnosprawności.</w:t>
      </w:r>
    </w:p>
    <w:p w14:paraId="1A167990" w14:textId="77777777" w:rsidR="00D87B9A" w:rsidRPr="009E6F68" w:rsidRDefault="00D87B9A" w:rsidP="009E6F68">
      <w:pPr>
        <w:suppressAutoHyphens/>
        <w:spacing w:after="0" w:line="240" w:lineRule="auto"/>
        <w:ind w:right="-2"/>
        <w:jc w:val="both"/>
        <w:rPr>
          <w:rFonts w:ascii="Lato" w:hAnsi="Lato" w:cs="Calibri"/>
          <w:sz w:val="20"/>
          <w:szCs w:val="20"/>
          <w:lang w:eastAsia="ar-SA"/>
        </w:rPr>
      </w:pPr>
    </w:p>
    <w:p w14:paraId="6B424601" w14:textId="77777777" w:rsidR="00D87B9A" w:rsidRPr="009E6F68" w:rsidRDefault="00D87B9A" w:rsidP="009E6F68">
      <w:pPr>
        <w:spacing w:after="0" w:line="240" w:lineRule="auto"/>
        <w:ind w:right="-2"/>
        <w:jc w:val="both"/>
        <w:rPr>
          <w:rFonts w:ascii="Lato" w:eastAsia="Arial" w:hAnsi="Lato" w:cs="Calibri"/>
          <w:sz w:val="20"/>
          <w:szCs w:val="20"/>
          <w:lang w:eastAsia="pl-PL" w:bidi="pl-PL"/>
        </w:rPr>
      </w:pPr>
      <w:r w:rsidRPr="009E6F68">
        <w:rPr>
          <w:rFonts w:ascii="Lato" w:hAnsi="Lato"/>
          <w:bCs/>
          <w:iCs/>
          <w:sz w:val="20"/>
          <w:szCs w:val="20"/>
        </w:rPr>
        <w:t>Planuje się, że świadczenie wspierające będzie wprowadzane w trzech etapach:</w:t>
      </w:r>
    </w:p>
    <w:p w14:paraId="20F04AB6" w14:textId="77777777" w:rsidR="00D87B9A" w:rsidRPr="009E6F68" w:rsidRDefault="00D87B9A" w:rsidP="009E6F68">
      <w:pPr>
        <w:pStyle w:val="Akapitzlist"/>
        <w:numPr>
          <w:ilvl w:val="0"/>
          <w:numId w:val="148"/>
        </w:numPr>
        <w:spacing w:after="0" w:line="240" w:lineRule="auto"/>
        <w:ind w:right="-2"/>
        <w:jc w:val="both"/>
        <w:rPr>
          <w:rFonts w:ascii="Lato" w:eastAsia="Arial" w:hAnsi="Lato" w:cs="Calibri"/>
          <w:sz w:val="20"/>
          <w:szCs w:val="20"/>
          <w:lang w:eastAsia="pl-PL" w:bidi="pl-PL"/>
        </w:rPr>
      </w:pPr>
      <w:r w:rsidRPr="009E6F68">
        <w:rPr>
          <w:rFonts w:ascii="Lato" w:eastAsia="Arial" w:hAnsi="Lato" w:cs="Calibri"/>
          <w:sz w:val="20"/>
          <w:szCs w:val="20"/>
          <w:lang w:eastAsia="pl-PL" w:bidi="pl-PL"/>
        </w:rPr>
        <w:t xml:space="preserve">I etap – od 1 stycznia 2024 r. – świadczenie wspierające będzie dostępne dla osób </w:t>
      </w:r>
      <w:r w:rsidRPr="009E6F68">
        <w:rPr>
          <w:rFonts w:ascii="Lato" w:eastAsia="Arial" w:hAnsi="Lato" w:cs="Calibri"/>
          <w:sz w:val="20"/>
          <w:szCs w:val="20"/>
          <w:lang w:eastAsia="pl-PL" w:bidi="pl-PL"/>
        </w:rPr>
        <w:br/>
        <w:t xml:space="preserve">z niepełnosprawnościami z najwyższymi poziomami potrzeby wsparcia, tj. od 87 do 100 pkt (ok. 50 tys. osób). </w:t>
      </w:r>
    </w:p>
    <w:p w14:paraId="20818927" w14:textId="77777777" w:rsidR="00D87B9A" w:rsidRPr="009E6F68" w:rsidRDefault="00D87B9A" w:rsidP="009E6F68">
      <w:pPr>
        <w:pStyle w:val="Akapitzlist"/>
        <w:numPr>
          <w:ilvl w:val="0"/>
          <w:numId w:val="148"/>
        </w:numPr>
        <w:spacing w:after="0" w:line="240" w:lineRule="auto"/>
        <w:ind w:right="-2"/>
        <w:jc w:val="both"/>
        <w:rPr>
          <w:rFonts w:ascii="Lato" w:eastAsia="Arial" w:hAnsi="Lato" w:cs="Calibri"/>
          <w:sz w:val="20"/>
          <w:szCs w:val="20"/>
          <w:lang w:eastAsia="pl-PL" w:bidi="pl-PL"/>
        </w:rPr>
      </w:pPr>
      <w:r w:rsidRPr="009E6F68">
        <w:rPr>
          <w:rFonts w:ascii="Lato" w:eastAsia="Arial" w:hAnsi="Lato" w:cs="Calibri"/>
          <w:sz w:val="20"/>
          <w:szCs w:val="20"/>
          <w:lang w:eastAsia="pl-PL" w:bidi="pl-PL"/>
        </w:rPr>
        <w:t>II etap – od 1 stycznia 2025 r. – świadczenie wspierające będzie dostępne także dla osób z niepełnosprawnościami z kolejnymi poziomami potrzeby wsparcia, tj. od 78 do 86 pkt (ok. 150 tys. osób).</w:t>
      </w:r>
    </w:p>
    <w:p w14:paraId="5621A45B" w14:textId="69DEB98F" w:rsidR="00D87B9A" w:rsidRPr="009E6F68" w:rsidRDefault="00D87B9A" w:rsidP="009E6F68">
      <w:pPr>
        <w:pStyle w:val="Akapitzlist"/>
        <w:numPr>
          <w:ilvl w:val="0"/>
          <w:numId w:val="148"/>
        </w:numPr>
        <w:spacing w:after="0" w:line="240" w:lineRule="auto"/>
        <w:ind w:right="-2"/>
        <w:jc w:val="both"/>
        <w:rPr>
          <w:rFonts w:ascii="Lato" w:eastAsia="Arial" w:hAnsi="Lato" w:cs="Calibri"/>
          <w:sz w:val="20"/>
          <w:szCs w:val="20"/>
          <w:lang w:eastAsia="pl-PL" w:bidi="pl-PL"/>
        </w:rPr>
      </w:pPr>
      <w:r w:rsidRPr="009E6F68">
        <w:rPr>
          <w:rFonts w:ascii="Lato" w:eastAsia="Arial" w:hAnsi="Lato" w:cs="Calibri"/>
          <w:sz w:val="20"/>
          <w:szCs w:val="20"/>
          <w:lang w:eastAsia="pl-PL" w:bidi="pl-PL"/>
        </w:rPr>
        <w:t>III – ostatni etap – od 1 stycznia 2026 r. – świadczenie wspierające będzie dostępne także dla osób z niepełnosprawnościami z pozostałymi uprawniającymi poziomami potrzeby wsparcia, tj. od 70  do 77 pkt (ok. 300 tys. osób).</w:t>
      </w:r>
    </w:p>
    <w:p w14:paraId="63AB19E3" w14:textId="77777777" w:rsidR="00D87B9A" w:rsidRPr="009E6F68" w:rsidRDefault="00D87B9A" w:rsidP="009E6F68">
      <w:pPr>
        <w:spacing w:after="0" w:line="240" w:lineRule="auto"/>
        <w:ind w:right="-2"/>
        <w:contextualSpacing/>
        <w:jc w:val="both"/>
        <w:rPr>
          <w:rFonts w:ascii="Lato" w:eastAsia="Arial" w:hAnsi="Lato" w:cs="Calibri"/>
          <w:sz w:val="20"/>
          <w:szCs w:val="20"/>
          <w:lang w:eastAsia="pl-PL" w:bidi="pl-PL"/>
        </w:rPr>
      </w:pPr>
    </w:p>
    <w:p w14:paraId="360D09B5" w14:textId="1A2F1429" w:rsidR="00D87B9A" w:rsidRPr="009E6F68" w:rsidRDefault="00D87B9A" w:rsidP="009E6F68">
      <w:pPr>
        <w:spacing w:after="0" w:line="240" w:lineRule="auto"/>
        <w:ind w:right="-2"/>
        <w:jc w:val="both"/>
        <w:rPr>
          <w:rFonts w:ascii="Lato" w:hAnsi="Lato"/>
          <w:bCs/>
          <w:iCs/>
          <w:sz w:val="20"/>
          <w:szCs w:val="20"/>
        </w:rPr>
      </w:pPr>
      <w:r w:rsidRPr="009E6F68">
        <w:rPr>
          <w:rFonts w:ascii="Lato" w:eastAsia="Arial" w:hAnsi="Lato" w:cs="Calibri"/>
          <w:sz w:val="20"/>
          <w:szCs w:val="20"/>
          <w:lang w:eastAsia="pl-PL" w:bidi="pl-PL"/>
        </w:rPr>
        <w:t xml:space="preserve">Projekt </w:t>
      </w:r>
      <w:r w:rsidRPr="009E6F68">
        <w:rPr>
          <w:rFonts w:ascii="Lato" w:hAnsi="Lato"/>
          <w:bCs/>
          <w:iCs/>
          <w:sz w:val="20"/>
          <w:szCs w:val="20"/>
        </w:rPr>
        <w:t xml:space="preserve">ustawy </w:t>
      </w:r>
      <w:r w:rsidRPr="009E6F68">
        <w:rPr>
          <w:rFonts w:ascii="Lato" w:hAnsi="Lato"/>
          <w:bCs/>
          <w:i/>
          <w:iCs/>
          <w:sz w:val="20"/>
          <w:szCs w:val="20"/>
        </w:rPr>
        <w:t>o świadczeniu wspierającym</w:t>
      </w:r>
      <w:r w:rsidRPr="009E6F68">
        <w:rPr>
          <w:rFonts w:ascii="Lato" w:hAnsi="Lato"/>
          <w:bCs/>
          <w:iCs/>
          <w:sz w:val="20"/>
          <w:szCs w:val="20"/>
        </w:rPr>
        <w:t xml:space="preserve"> zakłada również wprowadzenie zmian w zakresie warunków przyznawania świadczenia pielęgnacyjnego będące realizacją postulatów opiekunów osób z niepełnosprawnościami. Po zmianach  świadczenie pielęgnacyjne będzie przysługiwać  rodzicom i innym osobom opiekującym się niepełnosprawnymi dziećmi w wieku do ukończenia 18 r. życia bez jakiegokolwiek ograniczeń w zakresie podejmowania zatrudnienia lub innej pracy zarobkowej. Ponadto pobieranie przez opiekuna własnych świadczeń emerytalno-rentowych nie będzie miało żadnego wpływu na jego prawo do świadczenia pielęgnacyjnego. Świadczenie pielęgnacyjne (aktualnie w wysokości 2458 zł miesięcznie), tak jak dotychczas podlegać będzie corocznej, od 1 stycznia danego roku, waloryzacji o wskaźnik wzrostu płacy minimalnej. Kwota świadczenia pielęgnacyjnego będzie wyższa jeżeli w rodzinie jest więcej niż jedno dziecko z niepełnosprawnością o 100% na drugie i każde kolejne dziecko z niepełnosprawnościami.</w:t>
      </w:r>
    </w:p>
    <w:p w14:paraId="1B253600" w14:textId="77777777" w:rsidR="00E0772A" w:rsidRPr="009E6F68" w:rsidRDefault="00E0772A" w:rsidP="009E6F68">
      <w:pPr>
        <w:spacing w:after="0" w:line="240" w:lineRule="auto"/>
        <w:ind w:right="-2"/>
        <w:jc w:val="both"/>
        <w:rPr>
          <w:rFonts w:ascii="Lato" w:hAnsi="Lato"/>
          <w:bCs/>
          <w:iCs/>
          <w:sz w:val="20"/>
          <w:szCs w:val="20"/>
        </w:rPr>
      </w:pPr>
    </w:p>
    <w:p w14:paraId="52231F40" w14:textId="62671AB7" w:rsidR="00D87B9A" w:rsidRPr="009E6F68" w:rsidRDefault="00D87B9A" w:rsidP="009E6F68">
      <w:pPr>
        <w:spacing w:after="0" w:line="240" w:lineRule="auto"/>
        <w:ind w:right="-2"/>
        <w:jc w:val="both"/>
        <w:rPr>
          <w:rFonts w:ascii="Lato" w:hAnsi="Lato"/>
          <w:bCs/>
          <w:iCs/>
          <w:sz w:val="20"/>
          <w:szCs w:val="20"/>
        </w:rPr>
      </w:pPr>
      <w:r w:rsidRPr="009E6F68">
        <w:rPr>
          <w:rFonts w:ascii="Lato" w:hAnsi="Lato"/>
          <w:bCs/>
          <w:iCs/>
          <w:sz w:val="20"/>
          <w:szCs w:val="20"/>
        </w:rPr>
        <w:t xml:space="preserve">Projekt ustawy </w:t>
      </w:r>
      <w:r w:rsidRPr="009E6F68">
        <w:rPr>
          <w:rFonts w:ascii="Lato" w:hAnsi="Lato"/>
          <w:bCs/>
          <w:i/>
          <w:iCs/>
          <w:sz w:val="20"/>
          <w:szCs w:val="20"/>
        </w:rPr>
        <w:t>o świadczeniu wspierającym</w:t>
      </w:r>
      <w:r w:rsidRPr="009E6F68">
        <w:rPr>
          <w:rFonts w:ascii="Lato" w:hAnsi="Lato"/>
          <w:bCs/>
          <w:iCs/>
          <w:sz w:val="20"/>
          <w:szCs w:val="20"/>
        </w:rPr>
        <w:t xml:space="preserve">  jest obecnie jest przedmiotem prac Sejmu RP (druk sejmowy nr 3130). Ostateczny kształt ustawy realizującej wyżej opisane zmiany uzależniony jest od dalszego przebiegu procesu legislacyjnego.</w:t>
      </w:r>
    </w:p>
    <w:p w14:paraId="2878CF79" w14:textId="77777777" w:rsidR="00E05E1D" w:rsidRPr="00E0772A" w:rsidRDefault="00E05E1D" w:rsidP="00E0772A">
      <w:pPr>
        <w:spacing w:after="0" w:line="240" w:lineRule="auto"/>
        <w:ind w:right="-2"/>
        <w:jc w:val="both"/>
        <w:rPr>
          <w:rFonts w:ascii="Lato" w:hAnsi="Lato"/>
          <w:bCs/>
          <w:iCs/>
          <w:sz w:val="20"/>
          <w:szCs w:val="20"/>
        </w:rPr>
      </w:pPr>
    </w:p>
    <w:p w14:paraId="6A9FEDD7" w14:textId="421082DA" w:rsidR="009A2986" w:rsidRPr="00DB2792" w:rsidRDefault="00781EA1" w:rsidP="00E05E1D">
      <w:pPr>
        <w:pStyle w:val="Nagwek2"/>
        <w:rPr>
          <w:b/>
          <w:bCs/>
        </w:rPr>
      </w:pPr>
      <w:bookmarkStart w:id="15" w:name="_Toc142565925"/>
      <w:r w:rsidRPr="00DB2792">
        <w:rPr>
          <w:b/>
          <w:bCs/>
        </w:rPr>
        <w:t>Sytuacja na rynku pracy</w:t>
      </w:r>
      <w:bookmarkEnd w:id="15"/>
    </w:p>
    <w:p w14:paraId="1360C8FB" w14:textId="7B1DB975" w:rsidR="009A2986" w:rsidRDefault="009A2986" w:rsidP="009E6F68">
      <w:pPr>
        <w:autoSpaceDE w:val="0"/>
        <w:autoSpaceDN w:val="0"/>
        <w:adjustRightInd w:val="0"/>
        <w:spacing w:after="0" w:line="240" w:lineRule="auto"/>
        <w:jc w:val="both"/>
        <w:rPr>
          <w:rFonts w:ascii="Lato" w:hAnsi="Lato"/>
          <w:sz w:val="20"/>
          <w:szCs w:val="20"/>
        </w:rPr>
      </w:pPr>
      <w:r w:rsidRPr="009A2986">
        <w:rPr>
          <w:rFonts w:ascii="Lato" w:hAnsi="Lato"/>
          <w:sz w:val="20"/>
          <w:szCs w:val="20"/>
        </w:rPr>
        <w:t xml:space="preserve">W 2022 r. ludność aktywna zawodowo w wieku 60-89 lat liczyła 1459 tys. (Badanie Aktywności Ekonomicznej Ludności BAEL). Wśród tych osób 1438 tys. to osoby pracujące (tj. 98,6%.). Osoby aktywne zawodowo w wieku 60-89 lat stanowiły 8,5% ogółu aktywnych zawodowo w  wieku 15-89 lat (dla pracujących analogiczny odsetek wynosił 8,6%). Wśród aktywnych zawodowo seniorów przeważali mężczyźni - populacja ta liczyła 979 tys. (tj. 67,1%). </w:t>
      </w:r>
    </w:p>
    <w:p w14:paraId="3E60C340" w14:textId="77777777" w:rsidR="009A2986" w:rsidRPr="009A2986" w:rsidRDefault="009A2986" w:rsidP="009E6F68">
      <w:pPr>
        <w:autoSpaceDE w:val="0"/>
        <w:autoSpaceDN w:val="0"/>
        <w:adjustRightInd w:val="0"/>
        <w:spacing w:after="0" w:line="240" w:lineRule="auto"/>
        <w:jc w:val="both"/>
        <w:rPr>
          <w:rFonts w:ascii="Lato" w:hAnsi="Lato"/>
          <w:sz w:val="20"/>
          <w:szCs w:val="20"/>
        </w:rPr>
      </w:pPr>
    </w:p>
    <w:p w14:paraId="030B119D" w14:textId="3BEC8100" w:rsidR="009A2986" w:rsidRPr="009A2986" w:rsidRDefault="009A2986" w:rsidP="009E6F68">
      <w:pPr>
        <w:autoSpaceDE w:val="0"/>
        <w:autoSpaceDN w:val="0"/>
        <w:adjustRightInd w:val="0"/>
        <w:spacing w:after="0" w:line="240" w:lineRule="auto"/>
        <w:jc w:val="both"/>
        <w:rPr>
          <w:rFonts w:ascii="Lato" w:hAnsi="Lato"/>
          <w:sz w:val="20"/>
          <w:szCs w:val="20"/>
        </w:rPr>
      </w:pPr>
      <w:r w:rsidRPr="009A2986">
        <w:rPr>
          <w:rFonts w:ascii="Lato" w:hAnsi="Lato"/>
          <w:sz w:val="20"/>
          <w:szCs w:val="20"/>
        </w:rPr>
        <w:t xml:space="preserve">W 2022 r. współczynnik aktywności zawodowej dla zbiorowości osób w wieku 60-89 lat wynosił 15,7%, natomiast wskaźnik zatrudnienia ukształtował się na poziomie 15,5%. </w:t>
      </w:r>
    </w:p>
    <w:p w14:paraId="5F6C834C" w14:textId="60F5D3FF" w:rsidR="00E34CE7" w:rsidRDefault="00E34CE7" w:rsidP="006F1886">
      <w:pPr>
        <w:spacing w:after="0" w:line="240" w:lineRule="auto"/>
        <w:jc w:val="both"/>
      </w:pPr>
    </w:p>
    <w:p w14:paraId="5E22C64F" w14:textId="2CB55204" w:rsidR="00E34CE7" w:rsidRDefault="00E34CE7" w:rsidP="00E34CE7">
      <w:pPr>
        <w:pStyle w:val="Legenda"/>
        <w:keepNext/>
      </w:pPr>
      <w:bookmarkStart w:id="16" w:name="_Toc142565979"/>
      <w:r>
        <w:lastRenderedPageBreak/>
        <w:t xml:space="preserve">Tabela </w:t>
      </w:r>
      <w:fldSimple w:instr=" SEQ Tabela \* ARABIC ">
        <w:r w:rsidR="00AA385B">
          <w:rPr>
            <w:noProof/>
          </w:rPr>
          <w:t>14</w:t>
        </w:r>
      </w:fldSimple>
      <w:r>
        <w:t xml:space="preserve"> Aktywność ekonomiczna ludności w wieku 15-89 lat według płci i miejsca zamieszkania w 2022 r.</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9"/>
        <w:gridCol w:w="248"/>
        <w:gridCol w:w="177"/>
        <w:gridCol w:w="660"/>
        <w:gridCol w:w="972"/>
        <w:gridCol w:w="924"/>
        <w:gridCol w:w="739"/>
        <w:gridCol w:w="737"/>
      </w:tblGrid>
      <w:tr w:rsidR="00DC3810" w:rsidRPr="00DC3810" w14:paraId="27A3D6B9" w14:textId="77777777" w:rsidTr="00DC3810">
        <w:trPr>
          <w:trHeight w:val="504"/>
        </w:trPr>
        <w:tc>
          <w:tcPr>
            <w:tcW w:w="2679" w:type="pct"/>
            <w:gridSpan w:val="2"/>
            <w:shd w:val="clear" w:color="auto" w:fill="8EAADB" w:themeFill="accent1" w:themeFillTint="99"/>
            <w:noWrap/>
            <w:vAlign w:val="center"/>
            <w:hideMark/>
          </w:tcPr>
          <w:p w14:paraId="42045E33" w14:textId="77777777" w:rsidR="00E34CE7" w:rsidRPr="00DC3810" w:rsidRDefault="00E34CE7" w:rsidP="00E34CE7">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465" w:type="pct"/>
            <w:gridSpan w:val="2"/>
            <w:shd w:val="clear" w:color="auto" w:fill="8EAADB" w:themeFill="accent1" w:themeFillTint="99"/>
            <w:noWrap/>
            <w:vAlign w:val="center"/>
            <w:hideMark/>
          </w:tcPr>
          <w:p w14:paraId="3C9EA245" w14:textId="77777777" w:rsidR="00E34CE7" w:rsidRPr="00DC3810" w:rsidRDefault="00E34CE7" w:rsidP="00E34CE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528" w:type="pct"/>
            <w:shd w:val="clear" w:color="auto" w:fill="8EAADB" w:themeFill="accent1" w:themeFillTint="99"/>
            <w:noWrap/>
            <w:vAlign w:val="center"/>
            <w:hideMark/>
          </w:tcPr>
          <w:p w14:paraId="2CC3FF71" w14:textId="77777777" w:rsidR="00E34CE7" w:rsidRPr="00DC3810" w:rsidRDefault="00E34CE7" w:rsidP="00E34CE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511" w:type="pct"/>
            <w:shd w:val="clear" w:color="auto" w:fill="8EAADB" w:themeFill="accent1" w:themeFillTint="99"/>
            <w:noWrap/>
            <w:vAlign w:val="center"/>
            <w:hideMark/>
          </w:tcPr>
          <w:p w14:paraId="762B6BBD" w14:textId="77777777" w:rsidR="00E34CE7" w:rsidRPr="00DC3810" w:rsidRDefault="00E34CE7" w:rsidP="00E34CE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09" w:type="pct"/>
            <w:shd w:val="clear" w:color="auto" w:fill="8EAADB" w:themeFill="accent1" w:themeFillTint="99"/>
            <w:noWrap/>
            <w:vAlign w:val="center"/>
            <w:hideMark/>
          </w:tcPr>
          <w:p w14:paraId="7AD11BC1" w14:textId="77777777" w:rsidR="00E34CE7" w:rsidRPr="00DC3810" w:rsidRDefault="00E34CE7" w:rsidP="00E34CE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Miasto</w:t>
            </w:r>
          </w:p>
        </w:tc>
        <w:tc>
          <w:tcPr>
            <w:tcW w:w="409" w:type="pct"/>
            <w:shd w:val="clear" w:color="auto" w:fill="8EAADB" w:themeFill="accent1" w:themeFillTint="99"/>
            <w:noWrap/>
            <w:vAlign w:val="center"/>
            <w:hideMark/>
          </w:tcPr>
          <w:p w14:paraId="4322C31C" w14:textId="77777777" w:rsidR="00E34CE7" w:rsidRPr="00DC3810" w:rsidRDefault="00E34CE7" w:rsidP="00E34CE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r>
      <w:tr w:rsidR="00E34CE7" w:rsidRPr="00DC3810" w14:paraId="13E4F244" w14:textId="77777777" w:rsidTr="00DC3810">
        <w:trPr>
          <w:trHeight w:val="300"/>
        </w:trPr>
        <w:tc>
          <w:tcPr>
            <w:tcW w:w="2679" w:type="pct"/>
            <w:gridSpan w:val="2"/>
            <w:shd w:val="clear" w:color="auto" w:fill="auto"/>
            <w:noWrap/>
            <w:vAlign w:val="center"/>
            <w:hideMark/>
          </w:tcPr>
          <w:p w14:paraId="537150F8"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LUDNOŚĆ w tys.</w:t>
            </w:r>
          </w:p>
        </w:tc>
        <w:tc>
          <w:tcPr>
            <w:tcW w:w="465" w:type="pct"/>
            <w:gridSpan w:val="2"/>
            <w:shd w:val="clear" w:color="auto" w:fill="auto"/>
            <w:noWrap/>
            <w:vAlign w:val="center"/>
            <w:hideMark/>
          </w:tcPr>
          <w:p w14:paraId="3D3C2B29"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29 734</w:t>
            </w:r>
          </w:p>
        </w:tc>
        <w:tc>
          <w:tcPr>
            <w:tcW w:w="528" w:type="pct"/>
            <w:shd w:val="clear" w:color="auto" w:fill="auto"/>
            <w:noWrap/>
            <w:vAlign w:val="center"/>
            <w:hideMark/>
          </w:tcPr>
          <w:p w14:paraId="4850A16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14 239</w:t>
            </w:r>
          </w:p>
        </w:tc>
        <w:tc>
          <w:tcPr>
            <w:tcW w:w="511" w:type="pct"/>
            <w:shd w:val="clear" w:color="auto" w:fill="auto"/>
            <w:noWrap/>
            <w:vAlign w:val="center"/>
            <w:hideMark/>
          </w:tcPr>
          <w:p w14:paraId="584CE0A1"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15 495</w:t>
            </w:r>
          </w:p>
        </w:tc>
        <w:tc>
          <w:tcPr>
            <w:tcW w:w="409" w:type="pct"/>
            <w:shd w:val="clear" w:color="auto" w:fill="auto"/>
            <w:noWrap/>
            <w:vAlign w:val="center"/>
            <w:hideMark/>
          </w:tcPr>
          <w:p w14:paraId="18527621"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17 699</w:t>
            </w:r>
          </w:p>
        </w:tc>
        <w:tc>
          <w:tcPr>
            <w:tcW w:w="409" w:type="pct"/>
            <w:shd w:val="clear" w:color="auto" w:fill="auto"/>
            <w:noWrap/>
            <w:vAlign w:val="center"/>
            <w:hideMark/>
          </w:tcPr>
          <w:p w14:paraId="2E8A8A3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12 035</w:t>
            </w:r>
          </w:p>
        </w:tc>
      </w:tr>
      <w:tr w:rsidR="00E34CE7" w:rsidRPr="00DC3810" w14:paraId="41D4E038" w14:textId="77777777" w:rsidTr="00DC3810">
        <w:trPr>
          <w:trHeight w:val="300"/>
        </w:trPr>
        <w:tc>
          <w:tcPr>
            <w:tcW w:w="2679" w:type="pct"/>
            <w:gridSpan w:val="2"/>
            <w:shd w:val="clear" w:color="auto" w:fill="auto"/>
            <w:noWrap/>
            <w:vAlign w:val="center"/>
            <w:hideMark/>
          </w:tcPr>
          <w:p w14:paraId="512EDA77"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465" w:type="pct"/>
            <w:gridSpan w:val="2"/>
            <w:shd w:val="clear" w:color="auto" w:fill="auto"/>
            <w:noWrap/>
            <w:vAlign w:val="center"/>
            <w:hideMark/>
          </w:tcPr>
          <w:p w14:paraId="0D7FF72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9 285</w:t>
            </w:r>
          </w:p>
        </w:tc>
        <w:tc>
          <w:tcPr>
            <w:tcW w:w="528" w:type="pct"/>
            <w:shd w:val="clear" w:color="auto" w:fill="auto"/>
            <w:noWrap/>
            <w:vAlign w:val="center"/>
            <w:hideMark/>
          </w:tcPr>
          <w:p w14:paraId="013A3B1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3 934</w:t>
            </w:r>
          </w:p>
        </w:tc>
        <w:tc>
          <w:tcPr>
            <w:tcW w:w="511" w:type="pct"/>
            <w:shd w:val="clear" w:color="auto" w:fill="auto"/>
            <w:noWrap/>
            <w:vAlign w:val="center"/>
            <w:hideMark/>
          </w:tcPr>
          <w:p w14:paraId="31F893C1"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5 350</w:t>
            </w:r>
          </w:p>
        </w:tc>
        <w:tc>
          <w:tcPr>
            <w:tcW w:w="409" w:type="pct"/>
            <w:shd w:val="clear" w:color="auto" w:fill="auto"/>
            <w:noWrap/>
            <w:vAlign w:val="center"/>
            <w:hideMark/>
          </w:tcPr>
          <w:p w14:paraId="28491CC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5 993</w:t>
            </w:r>
          </w:p>
        </w:tc>
        <w:tc>
          <w:tcPr>
            <w:tcW w:w="409" w:type="pct"/>
            <w:shd w:val="clear" w:color="auto" w:fill="auto"/>
            <w:noWrap/>
            <w:vAlign w:val="center"/>
            <w:hideMark/>
          </w:tcPr>
          <w:p w14:paraId="17E185C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3 292</w:t>
            </w:r>
          </w:p>
        </w:tc>
      </w:tr>
      <w:tr w:rsidR="00E34CE7" w:rsidRPr="00DC3810" w14:paraId="10348D4A" w14:textId="77777777" w:rsidTr="00E34CE7">
        <w:trPr>
          <w:trHeight w:val="300"/>
        </w:trPr>
        <w:tc>
          <w:tcPr>
            <w:tcW w:w="5000" w:type="pct"/>
            <w:gridSpan w:val="8"/>
            <w:shd w:val="clear" w:color="auto" w:fill="auto"/>
            <w:noWrap/>
            <w:vAlign w:val="center"/>
            <w:hideMark/>
          </w:tcPr>
          <w:p w14:paraId="1EAA8ECA"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Aktywni zawodowo – razem (w tysiącach). Dane średnioroczne.</w:t>
            </w:r>
          </w:p>
        </w:tc>
      </w:tr>
      <w:tr w:rsidR="00E34CE7" w:rsidRPr="00DC3810" w14:paraId="69C4665A" w14:textId="77777777" w:rsidTr="00DC3810">
        <w:trPr>
          <w:trHeight w:val="300"/>
        </w:trPr>
        <w:tc>
          <w:tcPr>
            <w:tcW w:w="2679" w:type="pct"/>
            <w:gridSpan w:val="2"/>
            <w:shd w:val="clear" w:color="auto" w:fill="auto"/>
            <w:noWrap/>
            <w:vAlign w:val="center"/>
            <w:hideMark/>
          </w:tcPr>
          <w:p w14:paraId="4B1D024F"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center"/>
            <w:hideMark/>
          </w:tcPr>
          <w:p w14:paraId="32EE73E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17 240</w:t>
            </w:r>
          </w:p>
        </w:tc>
        <w:tc>
          <w:tcPr>
            <w:tcW w:w="528" w:type="pct"/>
            <w:shd w:val="clear" w:color="auto" w:fill="auto"/>
            <w:noWrap/>
            <w:vAlign w:val="center"/>
            <w:hideMark/>
          </w:tcPr>
          <w:p w14:paraId="00E151A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9 375</w:t>
            </w:r>
          </w:p>
        </w:tc>
        <w:tc>
          <w:tcPr>
            <w:tcW w:w="511" w:type="pct"/>
            <w:shd w:val="clear" w:color="auto" w:fill="auto"/>
            <w:noWrap/>
            <w:vAlign w:val="center"/>
            <w:hideMark/>
          </w:tcPr>
          <w:p w14:paraId="5F05C98F"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7 865</w:t>
            </w:r>
          </w:p>
        </w:tc>
        <w:tc>
          <w:tcPr>
            <w:tcW w:w="409" w:type="pct"/>
            <w:shd w:val="clear" w:color="auto" w:fill="auto"/>
            <w:noWrap/>
            <w:vAlign w:val="center"/>
            <w:hideMark/>
          </w:tcPr>
          <w:p w14:paraId="7C1249A4"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10 242</w:t>
            </w:r>
          </w:p>
        </w:tc>
        <w:tc>
          <w:tcPr>
            <w:tcW w:w="409" w:type="pct"/>
            <w:shd w:val="clear" w:color="auto" w:fill="auto"/>
            <w:noWrap/>
            <w:vAlign w:val="center"/>
            <w:hideMark/>
          </w:tcPr>
          <w:p w14:paraId="64A003F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6 998</w:t>
            </w:r>
          </w:p>
        </w:tc>
      </w:tr>
      <w:tr w:rsidR="00E34CE7" w:rsidRPr="00DC3810" w14:paraId="77593B67" w14:textId="77777777" w:rsidTr="00DC3810">
        <w:trPr>
          <w:trHeight w:val="300"/>
        </w:trPr>
        <w:tc>
          <w:tcPr>
            <w:tcW w:w="2679" w:type="pct"/>
            <w:gridSpan w:val="2"/>
            <w:shd w:val="clear" w:color="auto" w:fill="auto"/>
            <w:noWrap/>
            <w:vAlign w:val="center"/>
            <w:hideMark/>
          </w:tcPr>
          <w:p w14:paraId="2E978C2C"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465" w:type="pct"/>
            <w:gridSpan w:val="2"/>
            <w:shd w:val="clear" w:color="auto" w:fill="auto"/>
            <w:noWrap/>
            <w:vAlign w:val="center"/>
            <w:hideMark/>
          </w:tcPr>
          <w:p w14:paraId="06E9490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1 459</w:t>
            </w:r>
          </w:p>
        </w:tc>
        <w:tc>
          <w:tcPr>
            <w:tcW w:w="528" w:type="pct"/>
            <w:shd w:val="clear" w:color="auto" w:fill="auto"/>
            <w:noWrap/>
            <w:vAlign w:val="center"/>
            <w:hideMark/>
          </w:tcPr>
          <w:p w14:paraId="3EA3719A"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979</w:t>
            </w:r>
          </w:p>
        </w:tc>
        <w:tc>
          <w:tcPr>
            <w:tcW w:w="511" w:type="pct"/>
            <w:shd w:val="clear" w:color="auto" w:fill="auto"/>
            <w:noWrap/>
            <w:vAlign w:val="center"/>
            <w:hideMark/>
          </w:tcPr>
          <w:p w14:paraId="1F49F58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480</w:t>
            </w:r>
          </w:p>
        </w:tc>
        <w:tc>
          <w:tcPr>
            <w:tcW w:w="409" w:type="pct"/>
            <w:shd w:val="clear" w:color="auto" w:fill="auto"/>
            <w:noWrap/>
            <w:vAlign w:val="center"/>
            <w:hideMark/>
          </w:tcPr>
          <w:p w14:paraId="735D8BB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960</w:t>
            </w:r>
          </w:p>
        </w:tc>
        <w:tc>
          <w:tcPr>
            <w:tcW w:w="409" w:type="pct"/>
            <w:shd w:val="clear" w:color="auto" w:fill="auto"/>
            <w:noWrap/>
            <w:vAlign w:val="center"/>
            <w:hideMark/>
          </w:tcPr>
          <w:p w14:paraId="66C6E557"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499</w:t>
            </w:r>
          </w:p>
        </w:tc>
      </w:tr>
      <w:tr w:rsidR="00E34CE7" w:rsidRPr="00DC3810" w14:paraId="48F2DBAD" w14:textId="77777777" w:rsidTr="00E34CE7">
        <w:trPr>
          <w:trHeight w:val="300"/>
        </w:trPr>
        <w:tc>
          <w:tcPr>
            <w:tcW w:w="5000" w:type="pct"/>
            <w:gridSpan w:val="8"/>
            <w:shd w:val="clear" w:color="auto" w:fill="auto"/>
            <w:noWrap/>
            <w:vAlign w:val="center"/>
            <w:hideMark/>
          </w:tcPr>
          <w:p w14:paraId="3548E7D6"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Aktywni zawodowo – pracujący (w tysiącach). Dane średnioroczne.</w:t>
            </w:r>
          </w:p>
        </w:tc>
      </w:tr>
      <w:tr w:rsidR="00E34CE7" w:rsidRPr="00DC3810" w14:paraId="5DBDB166" w14:textId="77777777" w:rsidTr="00DC3810">
        <w:trPr>
          <w:trHeight w:val="300"/>
        </w:trPr>
        <w:tc>
          <w:tcPr>
            <w:tcW w:w="2679" w:type="pct"/>
            <w:gridSpan w:val="2"/>
            <w:shd w:val="clear" w:color="auto" w:fill="auto"/>
            <w:noWrap/>
            <w:vAlign w:val="center"/>
            <w:hideMark/>
          </w:tcPr>
          <w:p w14:paraId="27E25B02"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center"/>
            <w:hideMark/>
          </w:tcPr>
          <w:p w14:paraId="31CA296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16 742</w:t>
            </w:r>
          </w:p>
        </w:tc>
        <w:tc>
          <w:tcPr>
            <w:tcW w:w="528" w:type="pct"/>
            <w:shd w:val="clear" w:color="auto" w:fill="auto"/>
            <w:noWrap/>
            <w:vAlign w:val="center"/>
            <w:hideMark/>
          </w:tcPr>
          <w:p w14:paraId="33A4224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9 108</w:t>
            </w:r>
          </w:p>
        </w:tc>
        <w:tc>
          <w:tcPr>
            <w:tcW w:w="511" w:type="pct"/>
            <w:shd w:val="clear" w:color="auto" w:fill="auto"/>
            <w:noWrap/>
            <w:vAlign w:val="center"/>
            <w:hideMark/>
          </w:tcPr>
          <w:p w14:paraId="3AC4A66F"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7 634</w:t>
            </w:r>
          </w:p>
        </w:tc>
        <w:tc>
          <w:tcPr>
            <w:tcW w:w="409" w:type="pct"/>
            <w:shd w:val="clear" w:color="auto" w:fill="auto"/>
            <w:noWrap/>
            <w:vAlign w:val="center"/>
            <w:hideMark/>
          </w:tcPr>
          <w:p w14:paraId="2531CE96"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9 965</w:t>
            </w:r>
          </w:p>
        </w:tc>
        <w:tc>
          <w:tcPr>
            <w:tcW w:w="409" w:type="pct"/>
            <w:shd w:val="clear" w:color="auto" w:fill="auto"/>
            <w:noWrap/>
            <w:vAlign w:val="center"/>
            <w:hideMark/>
          </w:tcPr>
          <w:p w14:paraId="02CF174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6 778</w:t>
            </w:r>
          </w:p>
        </w:tc>
      </w:tr>
      <w:tr w:rsidR="00E34CE7" w:rsidRPr="00DC3810" w14:paraId="270F5783" w14:textId="77777777" w:rsidTr="00DC3810">
        <w:trPr>
          <w:trHeight w:val="300"/>
        </w:trPr>
        <w:tc>
          <w:tcPr>
            <w:tcW w:w="2679" w:type="pct"/>
            <w:gridSpan w:val="2"/>
            <w:shd w:val="clear" w:color="auto" w:fill="auto"/>
            <w:noWrap/>
            <w:vAlign w:val="center"/>
            <w:hideMark/>
          </w:tcPr>
          <w:p w14:paraId="514B7A63"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465" w:type="pct"/>
            <w:gridSpan w:val="2"/>
            <w:shd w:val="clear" w:color="auto" w:fill="auto"/>
            <w:noWrap/>
            <w:vAlign w:val="center"/>
            <w:hideMark/>
          </w:tcPr>
          <w:p w14:paraId="57A2FAC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1 438</w:t>
            </w:r>
          </w:p>
        </w:tc>
        <w:tc>
          <w:tcPr>
            <w:tcW w:w="528" w:type="pct"/>
            <w:shd w:val="clear" w:color="auto" w:fill="auto"/>
            <w:noWrap/>
            <w:vAlign w:val="center"/>
            <w:hideMark/>
          </w:tcPr>
          <w:p w14:paraId="227AD9A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962</w:t>
            </w:r>
          </w:p>
        </w:tc>
        <w:tc>
          <w:tcPr>
            <w:tcW w:w="511" w:type="pct"/>
            <w:shd w:val="clear" w:color="auto" w:fill="auto"/>
            <w:noWrap/>
            <w:vAlign w:val="center"/>
            <w:hideMark/>
          </w:tcPr>
          <w:p w14:paraId="5DFD2BE4"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476</w:t>
            </w:r>
          </w:p>
        </w:tc>
        <w:tc>
          <w:tcPr>
            <w:tcW w:w="409" w:type="pct"/>
            <w:shd w:val="clear" w:color="auto" w:fill="auto"/>
            <w:noWrap/>
            <w:vAlign w:val="center"/>
            <w:hideMark/>
          </w:tcPr>
          <w:p w14:paraId="5489C19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945</w:t>
            </w:r>
          </w:p>
        </w:tc>
        <w:tc>
          <w:tcPr>
            <w:tcW w:w="409" w:type="pct"/>
            <w:shd w:val="clear" w:color="auto" w:fill="auto"/>
            <w:noWrap/>
            <w:vAlign w:val="center"/>
            <w:hideMark/>
          </w:tcPr>
          <w:p w14:paraId="43D39531"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493</w:t>
            </w:r>
          </w:p>
        </w:tc>
      </w:tr>
      <w:tr w:rsidR="00E34CE7" w:rsidRPr="00DC3810" w14:paraId="2D1C6689" w14:textId="77777777" w:rsidTr="00E34CE7">
        <w:trPr>
          <w:trHeight w:val="300"/>
        </w:trPr>
        <w:tc>
          <w:tcPr>
            <w:tcW w:w="5000" w:type="pct"/>
            <w:gridSpan w:val="8"/>
            <w:shd w:val="clear" w:color="auto" w:fill="auto"/>
            <w:noWrap/>
            <w:vAlign w:val="center"/>
            <w:hideMark/>
          </w:tcPr>
          <w:p w14:paraId="129D06D9"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Bierni zawodowo (w tysiącach). Dane średnioroczne.</w:t>
            </w:r>
          </w:p>
        </w:tc>
      </w:tr>
      <w:tr w:rsidR="00E34CE7" w:rsidRPr="00DC3810" w14:paraId="5D12CD96" w14:textId="77777777" w:rsidTr="00DC3810">
        <w:trPr>
          <w:trHeight w:val="300"/>
        </w:trPr>
        <w:tc>
          <w:tcPr>
            <w:tcW w:w="2679" w:type="pct"/>
            <w:gridSpan w:val="2"/>
            <w:shd w:val="clear" w:color="auto" w:fill="auto"/>
            <w:noWrap/>
            <w:vAlign w:val="center"/>
            <w:hideMark/>
          </w:tcPr>
          <w:p w14:paraId="359655FC"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center"/>
            <w:hideMark/>
          </w:tcPr>
          <w:p w14:paraId="636D719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12 494</w:t>
            </w:r>
          </w:p>
        </w:tc>
        <w:tc>
          <w:tcPr>
            <w:tcW w:w="528" w:type="pct"/>
            <w:shd w:val="clear" w:color="auto" w:fill="auto"/>
            <w:noWrap/>
            <w:vAlign w:val="center"/>
            <w:hideMark/>
          </w:tcPr>
          <w:p w14:paraId="78AAE3C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4 865</w:t>
            </w:r>
          </w:p>
        </w:tc>
        <w:tc>
          <w:tcPr>
            <w:tcW w:w="511" w:type="pct"/>
            <w:shd w:val="clear" w:color="auto" w:fill="auto"/>
            <w:noWrap/>
            <w:vAlign w:val="center"/>
            <w:hideMark/>
          </w:tcPr>
          <w:p w14:paraId="4EF0244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7 629</w:t>
            </w:r>
          </w:p>
        </w:tc>
        <w:tc>
          <w:tcPr>
            <w:tcW w:w="409" w:type="pct"/>
            <w:shd w:val="clear" w:color="auto" w:fill="auto"/>
            <w:noWrap/>
            <w:vAlign w:val="center"/>
            <w:hideMark/>
          </w:tcPr>
          <w:p w14:paraId="6DAD790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7 457</w:t>
            </w:r>
          </w:p>
        </w:tc>
        <w:tc>
          <w:tcPr>
            <w:tcW w:w="409" w:type="pct"/>
            <w:shd w:val="clear" w:color="auto" w:fill="auto"/>
            <w:noWrap/>
            <w:vAlign w:val="center"/>
            <w:hideMark/>
          </w:tcPr>
          <w:p w14:paraId="3308362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5 037</w:t>
            </w:r>
          </w:p>
        </w:tc>
      </w:tr>
      <w:tr w:rsidR="00E34CE7" w:rsidRPr="00DC3810" w14:paraId="60C176B0" w14:textId="77777777" w:rsidTr="00DC3810">
        <w:trPr>
          <w:trHeight w:val="300"/>
        </w:trPr>
        <w:tc>
          <w:tcPr>
            <w:tcW w:w="2679" w:type="pct"/>
            <w:gridSpan w:val="2"/>
            <w:shd w:val="clear" w:color="auto" w:fill="auto"/>
            <w:noWrap/>
            <w:vAlign w:val="center"/>
            <w:hideMark/>
          </w:tcPr>
          <w:p w14:paraId="3565D5A6"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465" w:type="pct"/>
            <w:gridSpan w:val="2"/>
            <w:shd w:val="clear" w:color="auto" w:fill="auto"/>
            <w:noWrap/>
            <w:vAlign w:val="center"/>
            <w:hideMark/>
          </w:tcPr>
          <w:p w14:paraId="1EC2193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7 825</w:t>
            </w:r>
          </w:p>
        </w:tc>
        <w:tc>
          <w:tcPr>
            <w:tcW w:w="528" w:type="pct"/>
            <w:shd w:val="clear" w:color="auto" w:fill="auto"/>
            <w:noWrap/>
            <w:vAlign w:val="center"/>
            <w:hideMark/>
          </w:tcPr>
          <w:p w14:paraId="174D6F7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2 956</w:t>
            </w:r>
          </w:p>
        </w:tc>
        <w:tc>
          <w:tcPr>
            <w:tcW w:w="511" w:type="pct"/>
            <w:shd w:val="clear" w:color="auto" w:fill="auto"/>
            <w:noWrap/>
            <w:vAlign w:val="center"/>
            <w:hideMark/>
          </w:tcPr>
          <w:p w14:paraId="10BA6CC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4 870</w:t>
            </w:r>
          </w:p>
        </w:tc>
        <w:tc>
          <w:tcPr>
            <w:tcW w:w="409" w:type="pct"/>
            <w:shd w:val="clear" w:color="auto" w:fill="auto"/>
            <w:noWrap/>
            <w:vAlign w:val="center"/>
            <w:hideMark/>
          </w:tcPr>
          <w:p w14:paraId="5AEB860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5 032</w:t>
            </w:r>
          </w:p>
        </w:tc>
        <w:tc>
          <w:tcPr>
            <w:tcW w:w="409" w:type="pct"/>
            <w:shd w:val="clear" w:color="auto" w:fill="auto"/>
            <w:noWrap/>
            <w:vAlign w:val="center"/>
            <w:hideMark/>
          </w:tcPr>
          <w:p w14:paraId="18827B5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2 793</w:t>
            </w:r>
          </w:p>
        </w:tc>
      </w:tr>
      <w:tr w:rsidR="00E34CE7" w:rsidRPr="00DC3810" w14:paraId="26254271" w14:textId="77777777" w:rsidTr="00E34CE7">
        <w:trPr>
          <w:trHeight w:val="300"/>
        </w:trPr>
        <w:tc>
          <w:tcPr>
            <w:tcW w:w="5000" w:type="pct"/>
            <w:gridSpan w:val="8"/>
            <w:shd w:val="clear" w:color="auto" w:fill="auto"/>
            <w:noWrap/>
            <w:vAlign w:val="center"/>
            <w:hideMark/>
          </w:tcPr>
          <w:p w14:paraId="78F33AD7"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Współczynnik aktywności zawodowej - w %.  Dane średnioroczne.</w:t>
            </w:r>
          </w:p>
        </w:tc>
      </w:tr>
      <w:tr w:rsidR="00E34CE7" w:rsidRPr="00DC3810" w14:paraId="056DC8E2" w14:textId="77777777" w:rsidTr="00DC3810">
        <w:trPr>
          <w:trHeight w:val="300"/>
        </w:trPr>
        <w:tc>
          <w:tcPr>
            <w:tcW w:w="2679" w:type="pct"/>
            <w:gridSpan w:val="2"/>
            <w:shd w:val="clear" w:color="auto" w:fill="auto"/>
            <w:noWrap/>
            <w:vAlign w:val="center"/>
            <w:hideMark/>
          </w:tcPr>
          <w:p w14:paraId="7E72B819"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center"/>
            <w:hideMark/>
          </w:tcPr>
          <w:p w14:paraId="120D892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58,0</w:t>
            </w:r>
          </w:p>
        </w:tc>
        <w:tc>
          <w:tcPr>
            <w:tcW w:w="528" w:type="pct"/>
            <w:shd w:val="clear" w:color="auto" w:fill="auto"/>
            <w:noWrap/>
            <w:vAlign w:val="center"/>
            <w:hideMark/>
          </w:tcPr>
          <w:p w14:paraId="2C5255C9"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65,8</w:t>
            </w:r>
          </w:p>
        </w:tc>
        <w:tc>
          <w:tcPr>
            <w:tcW w:w="511" w:type="pct"/>
            <w:shd w:val="clear" w:color="auto" w:fill="auto"/>
            <w:noWrap/>
            <w:vAlign w:val="center"/>
            <w:hideMark/>
          </w:tcPr>
          <w:p w14:paraId="6DB1CC9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50,8</w:t>
            </w:r>
          </w:p>
        </w:tc>
        <w:tc>
          <w:tcPr>
            <w:tcW w:w="409" w:type="pct"/>
            <w:shd w:val="clear" w:color="auto" w:fill="auto"/>
            <w:noWrap/>
            <w:vAlign w:val="center"/>
            <w:hideMark/>
          </w:tcPr>
          <w:p w14:paraId="5902D57C"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57,9</w:t>
            </w:r>
          </w:p>
        </w:tc>
        <w:tc>
          <w:tcPr>
            <w:tcW w:w="409" w:type="pct"/>
            <w:shd w:val="clear" w:color="auto" w:fill="auto"/>
            <w:noWrap/>
            <w:vAlign w:val="center"/>
            <w:hideMark/>
          </w:tcPr>
          <w:p w14:paraId="5CC4D009"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58,1</w:t>
            </w:r>
          </w:p>
        </w:tc>
      </w:tr>
      <w:tr w:rsidR="00E34CE7" w:rsidRPr="00DC3810" w14:paraId="4C2A260F" w14:textId="77777777" w:rsidTr="00DC3810">
        <w:trPr>
          <w:trHeight w:val="300"/>
        </w:trPr>
        <w:tc>
          <w:tcPr>
            <w:tcW w:w="2679" w:type="pct"/>
            <w:gridSpan w:val="2"/>
            <w:shd w:val="clear" w:color="auto" w:fill="auto"/>
            <w:noWrap/>
            <w:vAlign w:val="center"/>
            <w:hideMark/>
          </w:tcPr>
          <w:p w14:paraId="5FC030E2"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465" w:type="pct"/>
            <w:gridSpan w:val="2"/>
            <w:shd w:val="clear" w:color="auto" w:fill="auto"/>
            <w:noWrap/>
            <w:vAlign w:val="center"/>
            <w:hideMark/>
          </w:tcPr>
          <w:p w14:paraId="6B20437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15,7</w:t>
            </w:r>
          </w:p>
        </w:tc>
        <w:tc>
          <w:tcPr>
            <w:tcW w:w="528" w:type="pct"/>
            <w:shd w:val="clear" w:color="auto" w:fill="auto"/>
            <w:noWrap/>
            <w:vAlign w:val="center"/>
            <w:hideMark/>
          </w:tcPr>
          <w:p w14:paraId="4FC80AC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24,9</w:t>
            </w:r>
          </w:p>
        </w:tc>
        <w:tc>
          <w:tcPr>
            <w:tcW w:w="511" w:type="pct"/>
            <w:shd w:val="clear" w:color="auto" w:fill="auto"/>
            <w:noWrap/>
            <w:vAlign w:val="center"/>
            <w:hideMark/>
          </w:tcPr>
          <w:p w14:paraId="4851A40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w:t>
            </w:r>
          </w:p>
        </w:tc>
        <w:tc>
          <w:tcPr>
            <w:tcW w:w="409" w:type="pct"/>
            <w:shd w:val="clear" w:color="auto" w:fill="auto"/>
            <w:noWrap/>
            <w:vAlign w:val="center"/>
            <w:hideMark/>
          </w:tcPr>
          <w:p w14:paraId="7F0F2597"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16,0</w:t>
            </w:r>
          </w:p>
        </w:tc>
        <w:tc>
          <w:tcPr>
            <w:tcW w:w="409" w:type="pct"/>
            <w:shd w:val="clear" w:color="auto" w:fill="auto"/>
            <w:noWrap/>
            <w:vAlign w:val="center"/>
            <w:hideMark/>
          </w:tcPr>
          <w:p w14:paraId="03220BC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15,2</w:t>
            </w:r>
          </w:p>
        </w:tc>
      </w:tr>
      <w:tr w:rsidR="00E34CE7" w:rsidRPr="00DC3810" w14:paraId="738C7DC0" w14:textId="77777777" w:rsidTr="00E34CE7">
        <w:trPr>
          <w:trHeight w:val="300"/>
        </w:trPr>
        <w:tc>
          <w:tcPr>
            <w:tcW w:w="5000" w:type="pct"/>
            <w:gridSpan w:val="8"/>
            <w:shd w:val="clear" w:color="auto" w:fill="auto"/>
            <w:noWrap/>
            <w:vAlign w:val="center"/>
            <w:hideMark/>
          </w:tcPr>
          <w:p w14:paraId="0802EEB6"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Wskaźnik zatrudnienia - w %. Dane średnioroczne.</w:t>
            </w:r>
          </w:p>
        </w:tc>
      </w:tr>
      <w:tr w:rsidR="00E34CE7" w:rsidRPr="00DC3810" w14:paraId="087F019F" w14:textId="77777777" w:rsidTr="00DC3810">
        <w:trPr>
          <w:trHeight w:val="300"/>
        </w:trPr>
        <w:tc>
          <w:tcPr>
            <w:tcW w:w="2679" w:type="pct"/>
            <w:gridSpan w:val="2"/>
            <w:shd w:val="clear" w:color="auto" w:fill="auto"/>
            <w:noWrap/>
            <w:vAlign w:val="center"/>
            <w:hideMark/>
          </w:tcPr>
          <w:p w14:paraId="6FC13372"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center"/>
            <w:hideMark/>
          </w:tcPr>
          <w:p w14:paraId="61DF90A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56,3</w:t>
            </w:r>
          </w:p>
        </w:tc>
        <w:tc>
          <w:tcPr>
            <w:tcW w:w="528" w:type="pct"/>
            <w:shd w:val="clear" w:color="auto" w:fill="auto"/>
            <w:noWrap/>
            <w:vAlign w:val="center"/>
            <w:hideMark/>
          </w:tcPr>
          <w:p w14:paraId="58BC3FD6"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64,0</w:t>
            </w:r>
          </w:p>
        </w:tc>
        <w:tc>
          <w:tcPr>
            <w:tcW w:w="511" w:type="pct"/>
            <w:shd w:val="clear" w:color="auto" w:fill="auto"/>
            <w:noWrap/>
            <w:vAlign w:val="center"/>
            <w:hideMark/>
          </w:tcPr>
          <w:p w14:paraId="48E9DC4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49,3</w:t>
            </w:r>
          </w:p>
        </w:tc>
        <w:tc>
          <w:tcPr>
            <w:tcW w:w="409" w:type="pct"/>
            <w:shd w:val="clear" w:color="auto" w:fill="auto"/>
            <w:noWrap/>
            <w:vAlign w:val="center"/>
            <w:hideMark/>
          </w:tcPr>
          <w:p w14:paraId="4EB5042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56,3</w:t>
            </w:r>
          </w:p>
        </w:tc>
        <w:tc>
          <w:tcPr>
            <w:tcW w:w="409" w:type="pct"/>
            <w:shd w:val="clear" w:color="auto" w:fill="auto"/>
            <w:noWrap/>
            <w:vAlign w:val="center"/>
            <w:hideMark/>
          </w:tcPr>
          <w:p w14:paraId="116C72D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56,3</w:t>
            </w:r>
          </w:p>
        </w:tc>
      </w:tr>
      <w:tr w:rsidR="00DC3810" w:rsidRPr="00DC3810" w14:paraId="7C1779F8" w14:textId="77777777" w:rsidTr="00DC3810">
        <w:trPr>
          <w:trHeight w:val="300"/>
        </w:trPr>
        <w:tc>
          <w:tcPr>
            <w:tcW w:w="2542" w:type="pct"/>
            <w:shd w:val="clear" w:color="auto" w:fill="auto"/>
            <w:noWrap/>
            <w:vAlign w:val="center"/>
            <w:hideMark/>
          </w:tcPr>
          <w:p w14:paraId="0B6DDDDF"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60-89 lat</w:t>
            </w:r>
          </w:p>
        </w:tc>
        <w:tc>
          <w:tcPr>
            <w:tcW w:w="136" w:type="pct"/>
            <w:shd w:val="clear" w:color="auto" w:fill="auto"/>
            <w:noWrap/>
            <w:vAlign w:val="bottom"/>
            <w:hideMark/>
          </w:tcPr>
          <w:p w14:paraId="10E574D4"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98" w:type="pct"/>
            <w:shd w:val="clear" w:color="auto" w:fill="auto"/>
            <w:noWrap/>
            <w:vAlign w:val="bottom"/>
            <w:hideMark/>
          </w:tcPr>
          <w:p w14:paraId="4DBFA110"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367" w:type="pct"/>
            <w:shd w:val="clear" w:color="auto" w:fill="auto"/>
            <w:noWrap/>
            <w:vAlign w:val="center"/>
            <w:hideMark/>
          </w:tcPr>
          <w:p w14:paraId="4B92B78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15,5</w:t>
            </w:r>
          </w:p>
        </w:tc>
        <w:tc>
          <w:tcPr>
            <w:tcW w:w="528" w:type="pct"/>
            <w:shd w:val="clear" w:color="auto" w:fill="auto"/>
            <w:noWrap/>
            <w:vAlign w:val="center"/>
            <w:hideMark/>
          </w:tcPr>
          <w:p w14:paraId="5698AD2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24,5</w:t>
            </w:r>
          </w:p>
        </w:tc>
        <w:tc>
          <w:tcPr>
            <w:tcW w:w="511" w:type="pct"/>
            <w:shd w:val="clear" w:color="auto" w:fill="auto"/>
            <w:noWrap/>
            <w:vAlign w:val="center"/>
            <w:hideMark/>
          </w:tcPr>
          <w:p w14:paraId="3A36D66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w:t>
            </w:r>
          </w:p>
        </w:tc>
        <w:tc>
          <w:tcPr>
            <w:tcW w:w="409" w:type="pct"/>
            <w:shd w:val="clear" w:color="auto" w:fill="auto"/>
            <w:noWrap/>
            <w:vAlign w:val="center"/>
            <w:hideMark/>
          </w:tcPr>
          <w:p w14:paraId="64CD151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15,8</w:t>
            </w:r>
          </w:p>
        </w:tc>
        <w:tc>
          <w:tcPr>
            <w:tcW w:w="409" w:type="pct"/>
            <w:shd w:val="clear" w:color="auto" w:fill="auto"/>
            <w:noWrap/>
            <w:vAlign w:val="center"/>
            <w:hideMark/>
          </w:tcPr>
          <w:p w14:paraId="2AAE4EF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15,0</w:t>
            </w:r>
          </w:p>
        </w:tc>
      </w:tr>
      <w:tr w:rsidR="00E34CE7" w:rsidRPr="00DC3810" w14:paraId="77874168" w14:textId="77777777" w:rsidTr="00DC3810">
        <w:trPr>
          <w:trHeight w:val="221"/>
        </w:trPr>
        <w:tc>
          <w:tcPr>
            <w:tcW w:w="5000" w:type="pct"/>
            <w:gridSpan w:val="8"/>
            <w:shd w:val="clear" w:color="auto" w:fill="auto"/>
            <w:noWrap/>
            <w:vAlign w:val="center"/>
            <w:hideMark/>
          </w:tcPr>
          <w:p w14:paraId="2BAF1A0D"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Bierni zawodowo w wieku 60-74 lat według wybranych przyczyn bierności (w tysiącach). Dane średnioroczne.</w:t>
            </w:r>
          </w:p>
        </w:tc>
      </w:tr>
      <w:tr w:rsidR="00E34CE7" w:rsidRPr="00DC3810" w14:paraId="60AA6A4B" w14:textId="77777777" w:rsidTr="00DC3810">
        <w:trPr>
          <w:trHeight w:val="300"/>
        </w:trPr>
        <w:tc>
          <w:tcPr>
            <w:tcW w:w="2679" w:type="pct"/>
            <w:gridSpan w:val="2"/>
            <w:shd w:val="clear" w:color="auto" w:fill="auto"/>
            <w:noWrap/>
            <w:vAlign w:val="center"/>
            <w:hideMark/>
          </w:tcPr>
          <w:p w14:paraId="1AE52713"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bottom"/>
            <w:hideMark/>
          </w:tcPr>
          <w:p w14:paraId="6418B3C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5 590</w:t>
            </w:r>
          </w:p>
        </w:tc>
        <w:tc>
          <w:tcPr>
            <w:tcW w:w="528" w:type="pct"/>
            <w:shd w:val="clear" w:color="auto" w:fill="auto"/>
            <w:noWrap/>
            <w:vAlign w:val="bottom"/>
            <w:hideMark/>
          </w:tcPr>
          <w:p w14:paraId="22B5DC1F"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2 121</w:t>
            </w:r>
          </w:p>
        </w:tc>
        <w:tc>
          <w:tcPr>
            <w:tcW w:w="511" w:type="pct"/>
            <w:shd w:val="clear" w:color="auto" w:fill="auto"/>
            <w:noWrap/>
            <w:vAlign w:val="bottom"/>
            <w:hideMark/>
          </w:tcPr>
          <w:p w14:paraId="35CA4A48"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3 469</w:t>
            </w:r>
          </w:p>
        </w:tc>
        <w:tc>
          <w:tcPr>
            <w:tcW w:w="409" w:type="pct"/>
            <w:shd w:val="clear" w:color="auto" w:fill="auto"/>
            <w:noWrap/>
            <w:vAlign w:val="bottom"/>
            <w:hideMark/>
          </w:tcPr>
          <w:p w14:paraId="2C908EC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3 544</w:t>
            </w:r>
          </w:p>
        </w:tc>
        <w:tc>
          <w:tcPr>
            <w:tcW w:w="409" w:type="pct"/>
            <w:shd w:val="clear" w:color="auto" w:fill="auto"/>
            <w:noWrap/>
            <w:vAlign w:val="bottom"/>
            <w:hideMark/>
          </w:tcPr>
          <w:p w14:paraId="40C1AA2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2 046</w:t>
            </w:r>
          </w:p>
        </w:tc>
      </w:tr>
      <w:tr w:rsidR="00E34CE7" w:rsidRPr="00DC3810" w14:paraId="2BE89DD0" w14:textId="77777777" w:rsidTr="00DC3810">
        <w:trPr>
          <w:trHeight w:val="300"/>
        </w:trPr>
        <w:tc>
          <w:tcPr>
            <w:tcW w:w="2679" w:type="pct"/>
            <w:gridSpan w:val="2"/>
            <w:shd w:val="clear" w:color="auto" w:fill="auto"/>
            <w:noWrap/>
            <w:vAlign w:val="center"/>
            <w:hideMark/>
          </w:tcPr>
          <w:p w14:paraId="04BCB94F"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w tym:</w:t>
            </w:r>
          </w:p>
        </w:tc>
        <w:tc>
          <w:tcPr>
            <w:tcW w:w="465" w:type="pct"/>
            <w:gridSpan w:val="2"/>
            <w:shd w:val="clear" w:color="auto" w:fill="auto"/>
            <w:noWrap/>
            <w:vAlign w:val="center"/>
            <w:hideMark/>
          </w:tcPr>
          <w:p w14:paraId="571DBB0E"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528" w:type="pct"/>
            <w:shd w:val="clear" w:color="auto" w:fill="auto"/>
            <w:noWrap/>
            <w:vAlign w:val="center"/>
            <w:hideMark/>
          </w:tcPr>
          <w:p w14:paraId="2A9DDA22"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511" w:type="pct"/>
            <w:shd w:val="clear" w:color="auto" w:fill="auto"/>
            <w:noWrap/>
            <w:vAlign w:val="center"/>
            <w:hideMark/>
          </w:tcPr>
          <w:p w14:paraId="04C62039"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409" w:type="pct"/>
            <w:shd w:val="clear" w:color="auto" w:fill="auto"/>
            <w:noWrap/>
            <w:vAlign w:val="center"/>
            <w:hideMark/>
          </w:tcPr>
          <w:p w14:paraId="3FCEE454"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c>
          <w:tcPr>
            <w:tcW w:w="409" w:type="pct"/>
            <w:shd w:val="clear" w:color="auto" w:fill="auto"/>
            <w:noWrap/>
            <w:vAlign w:val="center"/>
            <w:hideMark/>
          </w:tcPr>
          <w:p w14:paraId="7F1A3823"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w:t>
            </w:r>
          </w:p>
        </w:tc>
      </w:tr>
      <w:tr w:rsidR="00E34CE7" w:rsidRPr="00DC3810" w14:paraId="47CDF8C3" w14:textId="77777777" w:rsidTr="00DC3810">
        <w:trPr>
          <w:trHeight w:val="300"/>
        </w:trPr>
        <w:tc>
          <w:tcPr>
            <w:tcW w:w="2679" w:type="pct"/>
            <w:gridSpan w:val="2"/>
            <w:shd w:val="clear" w:color="auto" w:fill="auto"/>
            <w:noWrap/>
            <w:vAlign w:val="center"/>
            <w:hideMark/>
          </w:tcPr>
          <w:p w14:paraId="15FAFB39"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osoby nieposzukujące pracy - razem</w:t>
            </w:r>
          </w:p>
        </w:tc>
        <w:tc>
          <w:tcPr>
            <w:tcW w:w="465" w:type="pct"/>
            <w:gridSpan w:val="2"/>
            <w:shd w:val="clear" w:color="auto" w:fill="auto"/>
            <w:noWrap/>
            <w:vAlign w:val="bottom"/>
            <w:hideMark/>
          </w:tcPr>
          <w:p w14:paraId="5884783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5 588</w:t>
            </w:r>
          </w:p>
        </w:tc>
        <w:tc>
          <w:tcPr>
            <w:tcW w:w="528" w:type="pct"/>
            <w:shd w:val="clear" w:color="auto" w:fill="auto"/>
            <w:noWrap/>
            <w:vAlign w:val="bottom"/>
            <w:hideMark/>
          </w:tcPr>
          <w:p w14:paraId="6D0402BC"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2 119</w:t>
            </w:r>
          </w:p>
        </w:tc>
        <w:tc>
          <w:tcPr>
            <w:tcW w:w="511" w:type="pct"/>
            <w:shd w:val="clear" w:color="auto" w:fill="auto"/>
            <w:noWrap/>
            <w:vAlign w:val="bottom"/>
            <w:hideMark/>
          </w:tcPr>
          <w:p w14:paraId="4DE9C7B4"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3 469</w:t>
            </w:r>
          </w:p>
        </w:tc>
        <w:tc>
          <w:tcPr>
            <w:tcW w:w="409" w:type="pct"/>
            <w:shd w:val="clear" w:color="auto" w:fill="auto"/>
            <w:noWrap/>
            <w:vAlign w:val="bottom"/>
            <w:hideMark/>
          </w:tcPr>
          <w:p w14:paraId="1C9F2354"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3 543</w:t>
            </w:r>
          </w:p>
        </w:tc>
        <w:tc>
          <w:tcPr>
            <w:tcW w:w="409" w:type="pct"/>
            <w:shd w:val="clear" w:color="auto" w:fill="auto"/>
            <w:noWrap/>
            <w:vAlign w:val="bottom"/>
            <w:hideMark/>
          </w:tcPr>
          <w:p w14:paraId="201B0650"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2 045</w:t>
            </w:r>
          </w:p>
        </w:tc>
      </w:tr>
      <w:tr w:rsidR="00E34CE7" w:rsidRPr="00DC3810" w14:paraId="3234D9B4" w14:textId="77777777" w:rsidTr="00DC3810">
        <w:trPr>
          <w:trHeight w:val="300"/>
        </w:trPr>
        <w:tc>
          <w:tcPr>
            <w:tcW w:w="2679" w:type="pct"/>
            <w:gridSpan w:val="2"/>
            <w:shd w:val="clear" w:color="auto" w:fill="auto"/>
            <w:noWrap/>
            <w:vAlign w:val="center"/>
            <w:hideMark/>
          </w:tcPr>
          <w:p w14:paraId="43CD388A"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osoby nieposzukujące pracy - emerytura</w:t>
            </w:r>
          </w:p>
        </w:tc>
        <w:tc>
          <w:tcPr>
            <w:tcW w:w="465" w:type="pct"/>
            <w:gridSpan w:val="2"/>
            <w:shd w:val="clear" w:color="auto" w:fill="auto"/>
            <w:noWrap/>
            <w:vAlign w:val="bottom"/>
            <w:hideMark/>
          </w:tcPr>
          <w:p w14:paraId="32FEEEF5"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5 071</w:t>
            </w:r>
          </w:p>
        </w:tc>
        <w:tc>
          <w:tcPr>
            <w:tcW w:w="528" w:type="pct"/>
            <w:shd w:val="clear" w:color="auto" w:fill="auto"/>
            <w:noWrap/>
            <w:vAlign w:val="bottom"/>
            <w:hideMark/>
          </w:tcPr>
          <w:p w14:paraId="79220B4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1 810</w:t>
            </w:r>
          </w:p>
        </w:tc>
        <w:tc>
          <w:tcPr>
            <w:tcW w:w="511" w:type="pct"/>
            <w:shd w:val="clear" w:color="auto" w:fill="auto"/>
            <w:noWrap/>
            <w:vAlign w:val="bottom"/>
            <w:hideMark/>
          </w:tcPr>
          <w:p w14:paraId="2A16F68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3 260</w:t>
            </w:r>
          </w:p>
        </w:tc>
        <w:tc>
          <w:tcPr>
            <w:tcW w:w="409" w:type="pct"/>
            <w:shd w:val="clear" w:color="auto" w:fill="auto"/>
            <w:noWrap/>
            <w:vAlign w:val="bottom"/>
            <w:hideMark/>
          </w:tcPr>
          <w:p w14:paraId="4DFBCC17" w14:textId="77777777" w:rsidR="00E34CE7" w:rsidRPr="00DC3810" w:rsidRDefault="00E34CE7" w:rsidP="00E34CE7">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3 258</w:t>
            </w:r>
          </w:p>
        </w:tc>
        <w:tc>
          <w:tcPr>
            <w:tcW w:w="409" w:type="pct"/>
            <w:shd w:val="clear" w:color="auto" w:fill="auto"/>
            <w:noWrap/>
            <w:vAlign w:val="bottom"/>
            <w:hideMark/>
          </w:tcPr>
          <w:p w14:paraId="4FD179A7"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1 813</w:t>
            </w:r>
          </w:p>
        </w:tc>
      </w:tr>
      <w:tr w:rsidR="00E34CE7" w:rsidRPr="00DC3810" w14:paraId="449C6281" w14:textId="77777777" w:rsidTr="00DC3810">
        <w:trPr>
          <w:trHeight w:val="300"/>
        </w:trPr>
        <w:tc>
          <w:tcPr>
            <w:tcW w:w="2679" w:type="pct"/>
            <w:gridSpan w:val="2"/>
            <w:shd w:val="clear" w:color="auto" w:fill="auto"/>
            <w:noWrap/>
            <w:vAlign w:val="center"/>
            <w:hideMark/>
          </w:tcPr>
          <w:p w14:paraId="3090A6A8"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osoby nieposzukujące pracy - choroba, niepełnosprawność</w:t>
            </w:r>
          </w:p>
        </w:tc>
        <w:tc>
          <w:tcPr>
            <w:tcW w:w="465" w:type="pct"/>
            <w:gridSpan w:val="2"/>
            <w:shd w:val="clear" w:color="auto" w:fill="auto"/>
            <w:noWrap/>
            <w:vAlign w:val="bottom"/>
            <w:hideMark/>
          </w:tcPr>
          <w:p w14:paraId="385653D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326</w:t>
            </w:r>
          </w:p>
        </w:tc>
        <w:tc>
          <w:tcPr>
            <w:tcW w:w="528" w:type="pct"/>
            <w:shd w:val="clear" w:color="auto" w:fill="auto"/>
            <w:noWrap/>
            <w:vAlign w:val="bottom"/>
            <w:hideMark/>
          </w:tcPr>
          <w:p w14:paraId="62DA827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236</w:t>
            </w:r>
          </w:p>
        </w:tc>
        <w:tc>
          <w:tcPr>
            <w:tcW w:w="511" w:type="pct"/>
            <w:shd w:val="clear" w:color="auto" w:fill="auto"/>
            <w:noWrap/>
            <w:vAlign w:val="bottom"/>
            <w:hideMark/>
          </w:tcPr>
          <w:p w14:paraId="73CD087E"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w:t>
            </w:r>
          </w:p>
        </w:tc>
        <w:tc>
          <w:tcPr>
            <w:tcW w:w="409" w:type="pct"/>
            <w:shd w:val="clear" w:color="auto" w:fill="auto"/>
            <w:noWrap/>
            <w:vAlign w:val="bottom"/>
            <w:hideMark/>
          </w:tcPr>
          <w:p w14:paraId="1BCBB91F"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w:t>
            </w:r>
          </w:p>
        </w:tc>
        <w:tc>
          <w:tcPr>
            <w:tcW w:w="409" w:type="pct"/>
            <w:shd w:val="clear" w:color="auto" w:fill="auto"/>
            <w:noWrap/>
            <w:vAlign w:val="bottom"/>
            <w:hideMark/>
          </w:tcPr>
          <w:p w14:paraId="71898AB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150</w:t>
            </w:r>
          </w:p>
        </w:tc>
      </w:tr>
      <w:tr w:rsidR="00E34CE7" w:rsidRPr="00DC3810" w14:paraId="2F78DFEC" w14:textId="77777777" w:rsidTr="00DC3810">
        <w:trPr>
          <w:trHeight w:val="146"/>
        </w:trPr>
        <w:tc>
          <w:tcPr>
            <w:tcW w:w="5000" w:type="pct"/>
            <w:gridSpan w:val="8"/>
            <w:shd w:val="clear" w:color="auto" w:fill="auto"/>
            <w:noWrap/>
            <w:vAlign w:val="center"/>
            <w:hideMark/>
          </w:tcPr>
          <w:p w14:paraId="3E7BD3CB" w14:textId="77777777" w:rsidR="00E34CE7" w:rsidRPr="00DC3810" w:rsidRDefault="00E34CE7" w:rsidP="00E34CE7">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Bezrobotni zarejestrowani w urzędach pracy (w tysiącach). Stan w końcu grudnia.</w:t>
            </w:r>
          </w:p>
        </w:tc>
      </w:tr>
      <w:tr w:rsidR="00E34CE7" w:rsidRPr="00DC3810" w14:paraId="5384B7B5" w14:textId="77777777" w:rsidTr="00DC3810">
        <w:trPr>
          <w:trHeight w:val="300"/>
        </w:trPr>
        <w:tc>
          <w:tcPr>
            <w:tcW w:w="2679" w:type="pct"/>
            <w:gridSpan w:val="2"/>
            <w:shd w:val="clear" w:color="auto" w:fill="auto"/>
            <w:noWrap/>
            <w:vAlign w:val="center"/>
            <w:hideMark/>
          </w:tcPr>
          <w:p w14:paraId="4B333E05" w14:textId="77777777" w:rsidR="00E34CE7" w:rsidRPr="00DC3810" w:rsidRDefault="00E34CE7" w:rsidP="00E34CE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465" w:type="pct"/>
            <w:gridSpan w:val="2"/>
            <w:shd w:val="clear" w:color="auto" w:fill="auto"/>
            <w:noWrap/>
            <w:vAlign w:val="bottom"/>
            <w:hideMark/>
          </w:tcPr>
          <w:p w14:paraId="07DF2521"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812,3</w:t>
            </w:r>
          </w:p>
        </w:tc>
        <w:tc>
          <w:tcPr>
            <w:tcW w:w="528" w:type="pct"/>
            <w:shd w:val="clear" w:color="auto" w:fill="auto"/>
            <w:noWrap/>
            <w:vAlign w:val="bottom"/>
            <w:hideMark/>
          </w:tcPr>
          <w:p w14:paraId="16A01844"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375,9</w:t>
            </w:r>
          </w:p>
        </w:tc>
        <w:tc>
          <w:tcPr>
            <w:tcW w:w="511" w:type="pct"/>
            <w:shd w:val="clear" w:color="auto" w:fill="auto"/>
            <w:noWrap/>
            <w:vAlign w:val="bottom"/>
            <w:hideMark/>
          </w:tcPr>
          <w:p w14:paraId="16CFA1CD"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436,4</w:t>
            </w:r>
          </w:p>
        </w:tc>
        <w:tc>
          <w:tcPr>
            <w:tcW w:w="409" w:type="pct"/>
            <w:shd w:val="clear" w:color="auto" w:fill="auto"/>
            <w:noWrap/>
            <w:vAlign w:val="bottom"/>
            <w:hideMark/>
          </w:tcPr>
          <w:p w14:paraId="367EF8AF"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438,5</w:t>
            </w:r>
          </w:p>
        </w:tc>
        <w:tc>
          <w:tcPr>
            <w:tcW w:w="409" w:type="pct"/>
            <w:shd w:val="clear" w:color="auto" w:fill="auto"/>
            <w:noWrap/>
            <w:vAlign w:val="bottom"/>
            <w:hideMark/>
          </w:tcPr>
          <w:p w14:paraId="401728CB"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373,8</w:t>
            </w:r>
          </w:p>
        </w:tc>
      </w:tr>
      <w:tr w:rsidR="00E34CE7" w:rsidRPr="00DC3810" w14:paraId="50AB8134" w14:textId="77777777" w:rsidTr="00DC3810">
        <w:trPr>
          <w:trHeight w:val="300"/>
        </w:trPr>
        <w:tc>
          <w:tcPr>
            <w:tcW w:w="2679" w:type="pct"/>
            <w:gridSpan w:val="2"/>
            <w:shd w:val="clear" w:color="auto" w:fill="auto"/>
            <w:noWrap/>
            <w:vAlign w:val="center"/>
            <w:hideMark/>
          </w:tcPr>
          <w:p w14:paraId="25886AEE" w14:textId="77777777" w:rsidR="00E34CE7" w:rsidRPr="00DC3810" w:rsidRDefault="00E34CE7" w:rsidP="00E34CE7">
            <w:pPr>
              <w:spacing w:after="0" w:line="240" w:lineRule="auto"/>
              <w:ind w:firstLineChars="100" w:firstLine="180"/>
              <w:rPr>
                <w:rFonts w:ascii="Lato" w:eastAsia="Times New Roman" w:hAnsi="Lato" w:cs="Arial"/>
                <w:sz w:val="18"/>
                <w:szCs w:val="18"/>
                <w:lang w:eastAsia="pl-PL"/>
              </w:rPr>
            </w:pPr>
            <w:r w:rsidRPr="00DC3810">
              <w:rPr>
                <w:rFonts w:ascii="Lato" w:eastAsia="Times New Roman" w:hAnsi="Lato" w:cs="Arial"/>
                <w:sz w:val="18"/>
                <w:szCs w:val="18"/>
                <w:lang w:eastAsia="pl-PL"/>
              </w:rPr>
              <w:t>w tym osoby w wieku 60-64 lat</w:t>
            </w:r>
          </w:p>
        </w:tc>
        <w:tc>
          <w:tcPr>
            <w:tcW w:w="465" w:type="pct"/>
            <w:gridSpan w:val="2"/>
            <w:shd w:val="clear" w:color="auto" w:fill="auto"/>
            <w:noWrap/>
            <w:vAlign w:val="bottom"/>
            <w:hideMark/>
          </w:tcPr>
          <w:p w14:paraId="7D7AED9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55,5</w:t>
            </w:r>
          </w:p>
        </w:tc>
        <w:tc>
          <w:tcPr>
            <w:tcW w:w="528" w:type="pct"/>
            <w:shd w:val="clear" w:color="auto" w:fill="auto"/>
            <w:noWrap/>
            <w:vAlign w:val="bottom"/>
            <w:hideMark/>
          </w:tcPr>
          <w:p w14:paraId="6FF8F452"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54,9</w:t>
            </w:r>
          </w:p>
        </w:tc>
        <w:tc>
          <w:tcPr>
            <w:tcW w:w="511" w:type="pct"/>
            <w:shd w:val="clear" w:color="auto" w:fill="auto"/>
            <w:noWrap/>
            <w:vAlign w:val="bottom"/>
            <w:hideMark/>
          </w:tcPr>
          <w:p w14:paraId="3CC1D86A"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0,7</w:t>
            </w:r>
          </w:p>
        </w:tc>
        <w:tc>
          <w:tcPr>
            <w:tcW w:w="409" w:type="pct"/>
            <w:shd w:val="clear" w:color="auto" w:fill="auto"/>
            <w:noWrap/>
            <w:vAlign w:val="bottom"/>
            <w:hideMark/>
          </w:tcPr>
          <w:p w14:paraId="73982043"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32,1</w:t>
            </w:r>
          </w:p>
        </w:tc>
        <w:tc>
          <w:tcPr>
            <w:tcW w:w="409" w:type="pct"/>
            <w:shd w:val="clear" w:color="auto" w:fill="auto"/>
            <w:noWrap/>
            <w:vAlign w:val="bottom"/>
            <w:hideMark/>
          </w:tcPr>
          <w:p w14:paraId="2E1AAEAA" w14:textId="77777777" w:rsidR="00E34CE7" w:rsidRPr="00DC3810" w:rsidRDefault="00E34CE7" w:rsidP="00E34CE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23,4</w:t>
            </w:r>
          </w:p>
        </w:tc>
      </w:tr>
    </w:tbl>
    <w:p w14:paraId="51D2D239" w14:textId="26780DE7"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 zjawisko nie wystąpiło</w:t>
      </w:r>
    </w:p>
    <w:p w14:paraId="66BA1BDA" w14:textId="57E97334"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 xml:space="preserve">Źródło: badanie BAEL ; dane dot. bezrobotnych - dane </w:t>
      </w:r>
      <w:proofErr w:type="spellStart"/>
      <w:r w:rsidRPr="00DC3810">
        <w:rPr>
          <w:rFonts w:ascii="Lato" w:hAnsi="Lato"/>
          <w:sz w:val="16"/>
          <w:szCs w:val="16"/>
        </w:rPr>
        <w:t>MRPiPS</w:t>
      </w:r>
      <w:proofErr w:type="spellEnd"/>
    </w:p>
    <w:p w14:paraId="31F585A8" w14:textId="7A4C9509"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Z uwagi na reprezentacyjny charakter badania (BAEL), zalecana jest szczególna  ostrożność w posługiwaniu się danymi w tych przypadkach, gdy zastosowano bardziej szczegółowe podziały i występują liczby niskiego rzędu, mniejsze niż 20 tys.</w:t>
      </w:r>
    </w:p>
    <w:p w14:paraId="66FE72C1" w14:textId="5246538D"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W związku z wdrożeniem w Badaniu Aktywności Ekonomicznej Ludności zmian metodologicznych, dane BAEL od 2021 r. nie mogą być porównywane z poprzednimi okresami.</w:t>
      </w:r>
    </w:p>
    <w:p w14:paraId="6F00279B" w14:textId="01A5AEF1"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Według ustawy o promocji zatrudnienia i instytucjach rynku pracy, jako bezrobotne mogą być zarejestrowane osoby w wieku: kobiety 18-59 lat, mężczyźni 18-64 lata</w:t>
      </w:r>
    </w:p>
    <w:p w14:paraId="4C34FEC9" w14:textId="76662CA5" w:rsidR="00E34CE7" w:rsidRPr="00DC3810" w:rsidRDefault="00E34CE7" w:rsidP="006F1886">
      <w:pPr>
        <w:spacing w:after="0" w:line="240" w:lineRule="auto"/>
        <w:jc w:val="both"/>
        <w:rPr>
          <w:rFonts w:ascii="Lato" w:hAnsi="Lato"/>
          <w:sz w:val="16"/>
          <w:szCs w:val="16"/>
        </w:rPr>
      </w:pPr>
      <w:r w:rsidRPr="00DC3810">
        <w:rPr>
          <w:rFonts w:ascii="Lato" w:hAnsi="Lato"/>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18D5502A" w14:textId="212F50EF" w:rsidR="00E34CE7" w:rsidRPr="009A2986" w:rsidRDefault="00E34CE7" w:rsidP="009A2986">
      <w:pPr>
        <w:spacing w:after="0" w:line="240" w:lineRule="auto"/>
        <w:jc w:val="both"/>
        <w:rPr>
          <w:rFonts w:ascii="Lato" w:hAnsi="Lato"/>
          <w:sz w:val="20"/>
          <w:szCs w:val="20"/>
        </w:rPr>
      </w:pPr>
    </w:p>
    <w:p w14:paraId="4C29DB85" w14:textId="75B68E63" w:rsidR="009A2986" w:rsidRDefault="009A2986" w:rsidP="009A2986">
      <w:pPr>
        <w:autoSpaceDE w:val="0"/>
        <w:autoSpaceDN w:val="0"/>
        <w:adjustRightInd w:val="0"/>
        <w:spacing w:after="0" w:line="240" w:lineRule="auto"/>
        <w:jc w:val="both"/>
        <w:rPr>
          <w:rFonts w:ascii="Lato" w:hAnsi="Lato"/>
          <w:i/>
          <w:sz w:val="20"/>
          <w:szCs w:val="20"/>
        </w:rPr>
      </w:pPr>
      <w:r w:rsidRPr="009A2986">
        <w:rPr>
          <w:rFonts w:ascii="Lato" w:hAnsi="Lato"/>
          <w:sz w:val="20"/>
          <w:szCs w:val="20"/>
        </w:rPr>
        <w:t>Populacja osób w wieku 60-74 lat biernych zawodowo wynosiła 5590 tys. Wśród tych osób główną przyczyną bierności jest emerytura, którą w 2022 r. wskazało 5071 tys. osób. Drugą istotną przyczyną bierności jest choroba lub niepełnosprawność, wskazana przez 326 tys. osób</w:t>
      </w:r>
      <w:r w:rsidRPr="009A2986">
        <w:rPr>
          <w:rFonts w:ascii="Lato" w:hAnsi="Lato"/>
          <w:i/>
          <w:sz w:val="20"/>
          <w:szCs w:val="20"/>
        </w:rPr>
        <w:t>.</w:t>
      </w:r>
    </w:p>
    <w:p w14:paraId="77815D07" w14:textId="77777777" w:rsidR="009A2986" w:rsidRPr="009A2986" w:rsidRDefault="009A2986" w:rsidP="009A2986">
      <w:pPr>
        <w:autoSpaceDE w:val="0"/>
        <w:autoSpaceDN w:val="0"/>
        <w:adjustRightInd w:val="0"/>
        <w:spacing w:after="0" w:line="240" w:lineRule="auto"/>
        <w:jc w:val="both"/>
        <w:rPr>
          <w:rFonts w:ascii="Lato" w:hAnsi="Lato"/>
          <w:iCs/>
          <w:sz w:val="20"/>
          <w:szCs w:val="20"/>
        </w:rPr>
      </w:pPr>
    </w:p>
    <w:p w14:paraId="7CD762B1" w14:textId="77777777" w:rsidR="009A2986" w:rsidRPr="009A2986" w:rsidRDefault="009A2986" w:rsidP="009A2986">
      <w:pPr>
        <w:spacing w:after="0" w:line="240" w:lineRule="auto"/>
        <w:jc w:val="both"/>
        <w:rPr>
          <w:rFonts w:ascii="Lato" w:hAnsi="Lato"/>
          <w:sz w:val="20"/>
          <w:szCs w:val="20"/>
        </w:rPr>
      </w:pPr>
      <w:r w:rsidRPr="009A2986">
        <w:rPr>
          <w:rFonts w:ascii="Lato" w:hAnsi="Lato"/>
          <w:sz w:val="20"/>
          <w:szCs w:val="20"/>
        </w:rPr>
        <w:t>W końcu grudnia 2022 r. wśród bezrobotnych zarejestrowanych w urzędach pracy 55,5 tys. (tj. 6,8%) stanowiły osoby w wieku 60-64 lata (wyłącznie mężczyźni)</w:t>
      </w:r>
      <w:r w:rsidRPr="009A2986">
        <w:rPr>
          <w:rFonts w:ascii="Lato" w:hAnsi="Lato"/>
          <w:i/>
          <w:sz w:val="20"/>
          <w:szCs w:val="20"/>
        </w:rPr>
        <w:t>.</w:t>
      </w:r>
      <w:r w:rsidRPr="009A2986">
        <w:rPr>
          <w:rFonts w:ascii="Lato" w:hAnsi="Lato"/>
          <w:sz w:val="20"/>
          <w:szCs w:val="20"/>
        </w:rPr>
        <w:t xml:space="preserve"> W stosunku do roku 2021 liczba bezrobotnych seniorów zmniejszyła się o 10,2%, a ich udział wśród ogółu bezrobotnych pozostał na podobnym poziomie.</w:t>
      </w:r>
    </w:p>
    <w:p w14:paraId="04D76D56" w14:textId="77777777" w:rsidR="009A2986" w:rsidRDefault="009A2986" w:rsidP="006F1886">
      <w:pPr>
        <w:spacing w:after="0" w:line="240" w:lineRule="auto"/>
        <w:jc w:val="both"/>
      </w:pPr>
    </w:p>
    <w:p w14:paraId="2D915C02" w14:textId="62AB72C1" w:rsidR="006F1886" w:rsidRPr="00B374F4" w:rsidRDefault="006F1886" w:rsidP="006F1886">
      <w:pPr>
        <w:autoSpaceDE w:val="0"/>
        <w:autoSpaceDN w:val="0"/>
        <w:adjustRightInd w:val="0"/>
        <w:spacing w:after="0" w:line="240" w:lineRule="auto"/>
        <w:jc w:val="both"/>
        <w:rPr>
          <w:rFonts w:ascii="Lato" w:hAnsi="Lato" w:cstheme="minorHAnsi"/>
          <w:sz w:val="20"/>
          <w:szCs w:val="20"/>
        </w:rPr>
      </w:pPr>
      <w:r>
        <w:rPr>
          <w:rFonts w:ascii="Lato" w:hAnsi="Lato" w:cstheme="minorHAnsi"/>
          <w:sz w:val="20"/>
          <w:szCs w:val="20"/>
        </w:rPr>
        <w:t>Na</w:t>
      </w:r>
      <w:r w:rsidR="0044179B">
        <w:rPr>
          <w:rFonts w:ascii="Lato" w:hAnsi="Lato" w:cstheme="minorHAnsi"/>
          <w:sz w:val="20"/>
          <w:szCs w:val="20"/>
        </w:rPr>
        <w:t>leży podkreślić, że na</w:t>
      </w:r>
      <w:r w:rsidRPr="00B374F4">
        <w:rPr>
          <w:rFonts w:ascii="Lato" w:hAnsi="Lato" w:cstheme="minorHAnsi"/>
          <w:sz w:val="20"/>
          <w:szCs w:val="20"/>
        </w:rPr>
        <w:t xml:space="preserve"> mocy ustawy z dnia 20 kwietnia 2004 roku o promocji zatrudnienia i instytucjach rynku pracy (Dz. U. z 202</w:t>
      </w:r>
      <w:r>
        <w:rPr>
          <w:rFonts w:ascii="Lato" w:hAnsi="Lato" w:cstheme="minorHAnsi"/>
          <w:sz w:val="20"/>
          <w:szCs w:val="20"/>
        </w:rPr>
        <w:t>3</w:t>
      </w:r>
      <w:r w:rsidRPr="00B374F4">
        <w:rPr>
          <w:rFonts w:ascii="Lato" w:hAnsi="Lato" w:cstheme="minorHAnsi"/>
          <w:sz w:val="20"/>
          <w:szCs w:val="20"/>
        </w:rPr>
        <w:t xml:space="preserve"> r. poz. </w:t>
      </w:r>
      <w:r>
        <w:rPr>
          <w:rFonts w:ascii="Lato" w:hAnsi="Lato" w:cstheme="minorHAnsi"/>
          <w:sz w:val="20"/>
          <w:szCs w:val="20"/>
        </w:rPr>
        <w:t>735</w:t>
      </w:r>
      <w:r w:rsidRPr="00B374F4">
        <w:rPr>
          <w:rFonts w:ascii="Lato" w:hAnsi="Lato" w:cstheme="minorHAnsi"/>
          <w:sz w:val="20"/>
          <w:szCs w:val="20"/>
        </w:rPr>
        <w:t xml:space="preserve">) osoby bezrobotne powyżej 50 r.ż. mogą na zasadach ogólnych </w:t>
      </w:r>
      <w:r w:rsidRPr="00B374F4">
        <w:rPr>
          <w:rFonts w:ascii="Lato" w:hAnsi="Lato" w:cstheme="minorHAnsi"/>
          <w:sz w:val="20"/>
          <w:szCs w:val="20"/>
        </w:rPr>
        <w:lastRenderedPageBreak/>
        <w:t xml:space="preserve">korzystać z usług i instrumentów rynku pracy, </w:t>
      </w:r>
      <w:r>
        <w:rPr>
          <w:rFonts w:ascii="Lato" w:hAnsi="Lato" w:cstheme="minorHAnsi"/>
          <w:sz w:val="20"/>
          <w:szCs w:val="20"/>
        </w:rPr>
        <w:t xml:space="preserve">takich </w:t>
      </w:r>
      <w:r w:rsidRPr="00B374F4">
        <w:rPr>
          <w:rFonts w:ascii="Lato" w:hAnsi="Lato" w:cstheme="minorHAnsi"/>
          <w:sz w:val="20"/>
          <w:szCs w:val="20"/>
        </w:rPr>
        <w:t>m.in.</w:t>
      </w:r>
      <w:r>
        <w:rPr>
          <w:rFonts w:ascii="Lato" w:hAnsi="Lato" w:cstheme="minorHAnsi"/>
          <w:sz w:val="20"/>
          <w:szCs w:val="20"/>
        </w:rPr>
        <w:t xml:space="preserve"> jak</w:t>
      </w:r>
      <w:r w:rsidRPr="00B374F4">
        <w:rPr>
          <w:rFonts w:ascii="Lato" w:hAnsi="Lato" w:cstheme="minorHAnsi"/>
          <w:sz w:val="20"/>
          <w:szCs w:val="20"/>
        </w:rPr>
        <w:t>: pośrednictwo pracy, poradnictwo zawodowe, szkolenia, staże, skierowanie do pracy na refundowane stanowiska pracy, dofinansowanie podjęcia działalności gospodarczej.</w:t>
      </w:r>
    </w:p>
    <w:p w14:paraId="7ED1824F" w14:textId="77777777" w:rsidR="006F1886" w:rsidRDefault="006F1886" w:rsidP="006F1886">
      <w:pPr>
        <w:autoSpaceDE w:val="0"/>
        <w:autoSpaceDN w:val="0"/>
        <w:adjustRightInd w:val="0"/>
        <w:spacing w:after="0" w:line="240" w:lineRule="auto"/>
        <w:jc w:val="both"/>
        <w:rPr>
          <w:rFonts w:ascii="Lato" w:hAnsi="Lato" w:cstheme="minorHAnsi"/>
          <w:sz w:val="20"/>
          <w:szCs w:val="20"/>
        </w:rPr>
      </w:pPr>
    </w:p>
    <w:p w14:paraId="3C8393FD" w14:textId="46811672" w:rsidR="006F1886" w:rsidRPr="00B374F4" w:rsidRDefault="006F1886" w:rsidP="006F1886">
      <w:pPr>
        <w:autoSpaceDE w:val="0"/>
        <w:autoSpaceDN w:val="0"/>
        <w:adjustRightInd w:val="0"/>
        <w:spacing w:after="0" w:line="240" w:lineRule="auto"/>
        <w:jc w:val="both"/>
        <w:rPr>
          <w:rFonts w:ascii="Lato" w:hAnsi="Lato" w:cstheme="minorHAnsi"/>
          <w:sz w:val="20"/>
          <w:szCs w:val="20"/>
        </w:rPr>
      </w:pPr>
      <w:r w:rsidRPr="00B374F4">
        <w:rPr>
          <w:rFonts w:ascii="Lato" w:hAnsi="Lato" w:cstheme="minorHAnsi"/>
          <w:sz w:val="20"/>
          <w:szCs w:val="20"/>
        </w:rPr>
        <w:t>Dodatkowo bezrobotnych powyżej 50 r.ż. uznaje się za osoby będące w szczególnej sytuacji na rynku pracy. Wobec tego przysługuje im pierwszeństwo w skierowaniu do udziału w programach specjalnych, które umożliwiają zastosowanie niestandardowych rozwiązań mających doprowadzić uczestników do zatrudnienia.</w:t>
      </w:r>
    </w:p>
    <w:p w14:paraId="7A5BD905" w14:textId="77777777" w:rsidR="006F1886" w:rsidRDefault="006F1886" w:rsidP="006F1886">
      <w:pPr>
        <w:autoSpaceDE w:val="0"/>
        <w:autoSpaceDN w:val="0"/>
        <w:adjustRightInd w:val="0"/>
        <w:spacing w:after="0" w:line="240" w:lineRule="auto"/>
        <w:jc w:val="both"/>
        <w:rPr>
          <w:rFonts w:ascii="Lato" w:hAnsi="Lato" w:cstheme="minorHAnsi"/>
          <w:sz w:val="20"/>
          <w:szCs w:val="20"/>
        </w:rPr>
      </w:pPr>
    </w:p>
    <w:p w14:paraId="1ED133E5" w14:textId="30A1A102" w:rsidR="006F1886" w:rsidRPr="00B374F4" w:rsidRDefault="006F1886" w:rsidP="006F1886">
      <w:pPr>
        <w:autoSpaceDE w:val="0"/>
        <w:autoSpaceDN w:val="0"/>
        <w:adjustRightInd w:val="0"/>
        <w:spacing w:after="0" w:line="240" w:lineRule="auto"/>
        <w:jc w:val="both"/>
        <w:rPr>
          <w:rFonts w:ascii="Lato" w:hAnsi="Lato" w:cstheme="minorHAnsi"/>
          <w:sz w:val="20"/>
          <w:szCs w:val="20"/>
        </w:rPr>
      </w:pPr>
      <w:r w:rsidRPr="00B374F4">
        <w:rPr>
          <w:rFonts w:ascii="Lato" w:hAnsi="Lato" w:cstheme="minorHAnsi"/>
          <w:sz w:val="20"/>
          <w:szCs w:val="20"/>
        </w:rPr>
        <w:t>Ustawa o promocji (…) przewiduje także szereg instrumentów, kierowanych do pracodawców, mających stanowić zachętę do zatrudniania osób w starszym wieku i wydłużania tym samym okresu aktywności zawodowej tych osób, w ramach których:</w:t>
      </w:r>
    </w:p>
    <w:p w14:paraId="77B7C2EC" w14:textId="77777777" w:rsidR="006F1886" w:rsidRPr="00C542E9" w:rsidRDefault="006F1886" w:rsidP="0059185B">
      <w:pPr>
        <w:pStyle w:val="Akapitzlist"/>
        <w:numPr>
          <w:ilvl w:val="0"/>
          <w:numId w:val="138"/>
        </w:numPr>
        <w:autoSpaceDE w:val="0"/>
        <w:autoSpaceDN w:val="0"/>
        <w:adjustRightInd w:val="0"/>
        <w:spacing w:after="0" w:line="240" w:lineRule="auto"/>
        <w:jc w:val="both"/>
        <w:rPr>
          <w:rFonts w:ascii="Lato" w:hAnsi="Lato" w:cstheme="minorHAnsi"/>
          <w:sz w:val="20"/>
          <w:szCs w:val="20"/>
        </w:rPr>
      </w:pPr>
      <w:r w:rsidRPr="00C542E9">
        <w:rPr>
          <w:rFonts w:ascii="Lato" w:hAnsi="Lato" w:cstheme="minorHAnsi"/>
          <w:sz w:val="20"/>
          <w:szCs w:val="20"/>
        </w:rPr>
        <w:t>pracodawca, do którego w ramach prac interwencyjnych został skierowany bezrobotny, który ukończył 50 rok życia, otrzymuje refundację wynagrodzenia i składek na ubezpieczenia społeczne za tę osobę;</w:t>
      </w:r>
    </w:p>
    <w:p w14:paraId="1D56E2DC" w14:textId="4DCD4461" w:rsidR="006F1886" w:rsidRPr="00C542E9" w:rsidRDefault="006F1886" w:rsidP="0059185B">
      <w:pPr>
        <w:pStyle w:val="Akapitzlist"/>
        <w:numPr>
          <w:ilvl w:val="0"/>
          <w:numId w:val="138"/>
        </w:numPr>
        <w:autoSpaceDE w:val="0"/>
        <w:autoSpaceDN w:val="0"/>
        <w:adjustRightInd w:val="0"/>
        <w:spacing w:after="0" w:line="240" w:lineRule="auto"/>
        <w:jc w:val="both"/>
        <w:rPr>
          <w:rFonts w:ascii="Lato" w:hAnsi="Lato" w:cstheme="minorHAnsi"/>
          <w:sz w:val="20"/>
          <w:szCs w:val="20"/>
        </w:rPr>
      </w:pPr>
      <w:r w:rsidRPr="00C542E9">
        <w:rPr>
          <w:rFonts w:ascii="Lato" w:hAnsi="Lato" w:cstheme="minorHAnsi"/>
          <w:sz w:val="20"/>
          <w:szCs w:val="20"/>
        </w:rPr>
        <w:t>pracodawcy i inne jednostki organizacyjne, zatrudniając</w:t>
      </w:r>
      <w:r w:rsidR="00C542E9" w:rsidRPr="00C542E9">
        <w:rPr>
          <w:rFonts w:ascii="Lato" w:hAnsi="Lato" w:cstheme="minorHAnsi"/>
          <w:sz w:val="20"/>
          <w:szCs w:val="20"/>
        </w:rPr>
        <w:t>y</w:t>
      </w:r>
      <w:r w:rsidRPr="00C542E9">
        <w:rPr>
          <w:rFonts w:ascii="Lato" w:hAnsi="Lato" w:cstheme="minorHAnsi"/>
          <w:sz w:val="20"/>
          <w:szCs w:val="20"/>
        </w:rPr>
        <w:t xml:space="preserve"> osoby które ukończyły 50 rok życia,</w:t>
      </w:r>
      <w:r w:rsidR="00C542E9" w:rsidRPr="00C542E9">
        <w:rPr>
          <w:rFonts w:ascii="Lato" w:hAnsi="Lato" w:cstheme="minorHAnsi"/>
          <w:sz w:val="20"/>
          <w:szCs w:val="20"/>
        </w:rPr>
        <w:t xml:space="preserve"> </w:t>
      </w:r>
      <w:r w:rsidR="00C542E9" w:rsidRPr="00C542E9">
        <w:rPr>
          <w:rFonts w:ascii="Lato" w:eastAsia="Calibri" w:hAnsi="Lato" w:cs="Calibri"/>
          <w:sz w:val="20"/>
          <w:szCs w:val="20"/>
        </w:rPr>
        <w:t>i w okresie 30 dni przed zatrudnieniem pozostawały w ewidencji bezrobotnych powiatowego urzędu pracy</w:t>
      </w:r>
      <w:r w:rsidRPr="00C542E9">
        <w:rPr>
          <w:rFonts w:ascii="Lato" w:hAnsi="Lato" w:cstheme="minorHAnsi"/>
          <w:sz w:val="20"/>
          <w:szCs w:val="20"/>
        </w:rPr>
        <w:t xml:space="preserve"> są zwolnieni z obowiązku opłacania składek na Fundusz Pracy (FP) i Fundusz Gwarantowanych Świadczeń Pracowniczych (FGŚP) przez okres 12 miesięcy;</w:t>
      </w:r>
    </w:p>
    <w:p w14:paraId="24484541" w14:textId="2D7D77E0" w:rsidR="006F1886" w:rsidRPr="00C542E9" w:rsidRDefault="006F1886" w:rsidP="0059185B">
      <w:pPr>
        <w:pStyle w:val="Akapitzlist"/>
        <w:numPr>
          <w:ilvl w:val="0"/>
          <w:numId w:val="138"/>
        </w:numPr>
        <w:autoSpaceDE w:val="0"/>
        <w:autoSpaceDN w:val="0"/>
        <w:adjustRightInd w:val="0"/>
        <w:spacing w:after="0" w:line="240" w:lineRule="auto"/>
        <w:jc w:val="both"/>
        <w:rPr>
          <w:rFonts w:ascii="Lato" w:hAnsi="Lato" w:cstheme="minorHAnsi"/>
          <w:sz w:val="20"/>
          <w:szCs w:val="20"/>
        </w:rPr>
      </w:pPr>
      <w:r w:rsidRPr="00C542E9">
        <w:rPr>
          <w:rFonts w:ascii="Lato" w:hAnsi="Lato" w:cstheme="minorHAnsi"/>
          <w:sz w:val="20"/>
          <w:szCs w:val="20"/>
        </w:rPr>
        <w:t xml:space="preserve">pracodawcy oraz inne jednostki organizacyjne zatrudniające osoby w wieku </w:t>
      </w:r>
      <w:r w:rsidR="00C542E9">
        <w:rPr>
          <w:rFonts w:ascii="Lato" w:hAnsi="Lato" w:cstheme="minorHAnsi"/>
          <w:sz w:val="20"/>
          <w:szCs w:val="20"/>
        </w:rPr>
        <w:t>co najmniej</w:t>
      </w:r>
      <w:r w:rsidRPr="00C542E9">
        <w:rPr>
          <w:rFonts w:ascii="Lato" w:hAnsi="Lato" w:cstheme="minorHAnsi"/>
          <w:sz w:val="20"/>
          <w:szCs w:val="20"/>
        </w:rPr>
        <w:t xml:space="preserve"> 55 lat </w:t>
      </w:r>
      <w:r w:rsidR="00C542E9">
        <w:rPr>
          <w:rFonts w:ascii="Lato" w:hAnsi="Lato" w:cstheme="minorHAnsi"/>
          <w:sz w:val="20"/>
          <w:szCs w:val="20"/>
        </w:rPr>
        <w:t xml:space="preserve">dla </w:t>
      </w:r>
      <w:r w:rsidRPr="00C542E9">
        <w:rPr>
          <w:rFonts w:ascii="Lato" w:hAnsi="Lato" w:cstheme="minorHAnsi"/>
          <w:sz w:val="20"/>
          <w:szCs w:val="20"/>
        </w:rPr>
        <w:t xml:space="preserve">kobiet i </w:t>
      </w:r>
      <w:r w:rsidR="00C542E9">
        <w:rPr>
          <w:rFonts w:ascii="Lato" w:hAnsi="Lato" w:cstheme="minorHAnsi"/>
          <w:sz w:val="20"/>
          <w:szCs w:val="20"/>
        </w:rPr>
        <w:t xml:space="preserve">co najmniej </w:t>
      </w:r>
      <w:r w:rsidRPr="00C542E9">
        <w:rPr>
          <w:rFonts w:ascii="Lato" w:hAnsi="Lato" w:cstheme="minorHAnsi"/>
          <w:sz w:val="20"/>
          <w:szCs w:val="20"/>
        </w:rPr>
        <w:t xml:space="preserve">60 lat </w:t>
      </w:r>
      <w:r w:rsidR="00C542E9">
        <w:rPr>
          <w:rFonts w:ascii="Lato" w:hAnsi="Lato" w:cstheme="minorHAnsi"/>
          <w:sz w:val="20"/>
          <w:szCs w:val="20"/>
        </w:rPr>
        <w:t xml:space="preserve">dla </w:t>
      </w:r>
      <w:r w:rsidRPr="00C542E9">
        <w:rPr>
          <w:rFonts w:ascii="Lato" w:hAnsi="Lato" w:cstheme="minorHAnsi"/>
          <w:sz w:val="20"/>
          <w:szCs w:val="20"/>
        </w:rPr>
        <w:t>mężczy</w:t>
      </w:r>
      <w:r w:rsidR="00C542E9">
        <w:rPr>
          <w:rFonts w:ascii="Lato" w:hAnsi="Lato" w:cstheme="minorHAnsi"/>
          <w:sz w:val="20"/>
          <w:szCs w:val="20"/>
        </w:rPr>
        <w:t>z</w:t>
      </w:r>
      <w:r w:rsidRPr="00C542E9">
        <w:rPr>
          <w:rFonts w:ascii="Lato" w:hAnsi="Lato" w:cstheme="minorHAnsi"/>
          <w:sz w:val="20"/>
          <w:szCs w:val="20"/>
        </w:rPr>
        <w:t>n</w:t>
      </w:r>
      <w:r w:rsidR="00C542E9">
        <w:rPr>
          <w:rFonts w:ascii="Lato" w:hAnsi="Lato" w:cstheme="minorHAnsi"/>
          <w:sz w:val="20"/>
          <w:szCs w:val="20"/>
        </w:rPr>
        <w:t xml:space="preserve"> </w:t>
      </w:r>
      <w:r w:rsidRPr="00C542E9">
        <w:rPr>
          <w:rFonts w:ascii="Lato" w:hAnsi="Lato" w:cstheme="minorHAnsi"/>
          <w:sz w:val="20"/>
          <w:szCs w:val="20"/>
        </w:rPr>
        <w:t>są całkowicie zwolnieni z obowiązku odprowadzania za nich składek na FP i FGŚP;</w:t>
      </w:r>
    </w:p>
    <w:p w14:paraId="51F21877" w14:textId="4AFFA350" w:rsidR="006F1886" w:rsidRPr="006F1886" w:rsidRDefault="006F1886" w:rsidP="0059185B">
      <w:pPr>
        <w:pStyle w:val="Akapitzlist"/>
        <w:numPr>
          <w:ilvl w:val="0"/>
          <w:numId w:val="138"/>
        </w:numPr>
        <w:autoSpaceDE w:val="0"/>
        <w:autoSpaceDN w:val="0"/>
        <w:adjustRightInd w:val="0"/>
        <w:spacing w:after="0" w:line="240" w:lineRule="auto"/>
        <w:jc w:val="both"/>
        <w:rPr>
          <w:rFonts w:ascii="Lato" w:hAnsi="Lato" w:cstheme="minorHAnsi"/>
          <w:sz w:val="20"/>
          <w:szCs w:val="20"/>
        </w:rPr>
      </w:pPr>
      <w:r w:rsidRPr="006F1886">
        <w:rPr>
          <w:rFonts w:ascii="Lato" w:hAnsi="Lato" w:cstheme="minorHAnsi"/>
          <w:sz w:val="20"/>
          <w:szCs w:val="20"/>
        </w:rPr>
        <w:t>pracodawcy lub przedsiębiorcy mogą również otrzymać dofinansowanie do wynagrodzenia zatrudnionego skierowanego bezrobotnego, przez okres 12</w:t>
      </w:r>
      <w:r w:rsidR="00C542E9">
        <w:rPr>
          <w:rFonts w:ascii="Lato" w:hAnsi="Lato" w:cstheme="minorHAnsi"/>
          <w:sz w:val="20"/>
          <w:szCs w:val="20"/>
        </w:rPr>
        <w:t xml:space="preserve"> miesięcy</w:t>
      </w:r>
      <w:r w:rsidRPr="006F1886">
        <w:rPr>
          <w:rFonts w:ascii="Lato" w:hAnsi="Lato" w:cstheme="minorHAnsi"/>
          <w:sz w:val="20"/>
          <w:szCs w:val="20"/>
        </w:rPr>
        <w:t xml:space="preserve"> (jeżeli bezrobotny ukończył 50 lat, a nie ukończył 60 lat) lub 24 miesięcy (jeżeli bezrobotny ukończył 60 rok życia).</w:t>
      </w:r>
    </w:p>
    <w:p w14:paraId="1F273EEB" w14:textId="77777777" w:rsidR="006F1886" w:rsidRDefault="006F1886" w:rsidP="006F1886">
      <w:pPr>
        <w:autoSpaceDE w:val="0"/>
        <w:autoSpaceDN w:val="0"/>
        <w:adjustRightInd w:val="0"/>
        <w:spacing w:after="0" w:line="240" w:lineRule="auto"/>
        <w:jc w:val="both"/>
        <w:rPr>
          <w:rFonts w:ascii="Lato" w:hAnsi="Lato" w:cstheme="minorHAnsi"/>
          <w:sz w:val="20"/>
          <w:szCs w:val="20"/>
        </w:rPr>
      </w:pPr>
    </w:p>
    <w:p w14:paraId="4FA16B57" w14:textId="43EFF38B" w:rsidR="006F1886" w:rsidRDefault="00AC4CE4" w:rsidP="006F1886">
      <w:pPr>
        <w:autoSpaceDE w:val="0"/>
        <w:autoSpaceDN w:val="0"/>
        <w:adjustRightInd w:val="0"/>
        <w:spacing w:after="0" w:line="240" w:lineRule="auto"/>
        <w:jc w:val="both"/>
        <w:rPr>
          <w:rFonts w:ascii="Lato" w:hAnsi="Lato" w:cstheme="minorHAnsi"/>
          <w:sz w:val="20"/>
          <w:szCs w:val="20"/>
        </w:rPr>
      </w:pPr>
      <w:r>
        <w:rPr>
          <w:rFonts w:ascii="Lato" w:hAnsi="Lato" w:cstheme="minorHAnsi"/>
          <w:sz w:val="20"/>
          <w:szCs w:val="20"/>
        </w:rPr>
        <w:t>W</w:t>
      </w:r>
      <w:r w:rsidR="006F1886" w:rsidRPr="00CB7AC2">
        <w:rPr>
          <w:rFonts w:ascii="Lato" w:hAnsi="Lato" w:cstheme="minorHAnsi"/>
          <w:sz w:val="20"/>
          <w:szCs w:val="20"/>
        </w:rPr>
        <w:t xml:space="preserve"> końcu 2022 r. w urzędach pracy zarejestrowanych było 218,9 tys. bezrobotnych pow. 50 r. ż (27,0% ogółu zarejestrowanych) i w skali roku ich liczba spadła o 21,9 tys. osób, tj. o 9,1%, przy zmniejszeniu się ogólnej liczby bezrobotnych o 9,3%.</w:t>
      </w:r>
    </w:p>
    <w:p w14:paraId="4DB5508B" w14:textId="77777777" w:rsidR="006F1886" w:rsidRPr="00CB7AC2" w:rsidRDefault="006F1886" w:rsidP="006F1886">
      <w:pPr>
        <w:autoSpaceDE w:val="0"/>
        <w:autoSpaceDN w:val="0"/>
        <w:adjustRightInd w:val="0"/>
        <w:spacing w:after="0" w:line="240" w:lineRule="auto"/>
        <w:jc w:val="both"/>
        <w:rPr>
          <w:rFonts w:ascii="Lato" w:hAnsi="Lato" w:cstheme="minorHAnsi"/>
          <w:sz w:val="20"/>
          <w:szCs w:val="20"/>
        </w:rPr>
      </w:pPr>
    </w:p>
    <w:p w14:paraId="7E9FC7D6" w14:textId="3FDFD2A4" w:rsidR="006F1886" w:rsidRDefault="006F1886" w:rsidP="006F1886">
      <w:pPr>
        <w:autoSpaceDE w:val="0"/>
        <w:autoSpaceDN w:val="0"/>
        <w:adjustRightInd w:val="0"/>
        <w:spacing w:after="0" w:line="240" w:lineRule="auto"/>
        <w:jc w:val="both"/>
        <w:rPr>
          <w:rFonts w:ascii="Lato" w:hAnsi="Lato" w:cstheme="minorHAnsi"/>
          <w:sz w:val="20"/>
          <w:szCs w:val="20"/>
        </w:rPr>
      </w:pPr>
      <w:r w:rsidRPr="00CB7AC2">
        <w:rPr>
          <w:rFonts w:ascii="Lato" w:hAnsi="Lato" w:cstheme="minorHAnsi"/>
          <w:sz w:val="20"/>
          <w:szCs w:val="20"/>
        </w:rPr>
        <w:t>Wśród bezrobotnych zarejestrowanych w urzędach pracy w końcu 2022 r. 55,5  tys. (tj. 6,8%) stanowiły osoby w wieku 60 lat i więcej (niemal wyłącznie mężczyźni). W stosunku do 2021 r. liczba bezrobotnych seniorów zmniejszyła się o 10,1%, a ich udział wśród ogółu bezrobotnych nieznacznie spadł (o 0,1 punktu procentowego).</w:t>
      </w:r>
    </w:p>
    <w:p w14:paraId="08A0B7DF" w14:textId="77777777" w:rsidR="006F1886" w:rsidRPr="00CB7AC2" w:rsidRDefault="006F1886" w:rsidP="006F1886">
      <w:pPr>
        <w:autoSpaceDE w:val="0"/>
        <w:autoSpaceDN w:val="0"/>
        <w:adjustRightInd w:val="0"/>
        <w:spacing w:after="0" w:line="240" w:lineRule="auto"/>
        <w:jc w:val="both"/>
        <w:rPr>
          <w:rFonts w:ascii="Lato" w:hAnsi="Lato" w:cstheme="minorHAnsi"/>
          <w:sz w:val="20"/>
          <w:szCs w:val="20"/>
        </w:rPr>
      </w:pPr>
    </w:p>
    <w:p w14:paraId="52C257C6" w14:textId="48EA0A3B" w:rsidR="006F1886" w:rsidRDefault="006F1886" w:rsidP="006F1886">
      <w:pPr>
        <w:autoSpaceDE w:val="0"/>
        <w:autoSpaceDN w:val="0"/>
        <w:adjustRightInd w:val="0"/>
        <w:spacing w:after="0" w:line="240" w:lineRule="auto"/>
        <w:jc w:val="both"/>
        <w:rPr>
          <w:rFonts w:ascii="Lato" w:hAnsi="Lato" w:cstheme="minorHAnsi"/>
          <w:sz w:val="20"/>
          <w:szCs w:val="20"/>
        </w:rPr>
      </w:pPr>
      <w:r w:rsidRPr="00CB7AC2">
        <w:rPr>
          <w:rFonts w:ascii="Lato" w:hAnsi="Lato" w:cstheme="minorHAnsi"/>
          <w:sz w:val="20"/>
          <w:szCs w:val="20"/>
        </w:rPr>
        <w:t xml:space="preserve">W 2022 r. udział w aktywnych formach przeciwdziałania bezrobociu rozpoczęło 40,8 tys. bezrobotnych powyżej 50 roku życia i stanowili oni 13,3% wszystkich zaktywizowanych bezrobotnych. W porównaniu do 2021 r. liczba bezrobotnych powyżej 50 roku życia objętych aktywnymi formami pomocy zwiększyła się o 3,7 tys. osób, tj. o 10,1%, przy ogólnym wzroście liczby zaktywizowanych bezrobotnych o 10,6%. Najwięcej bezrobotnych pow. 50 r. ż rozpoczęło prace subsydiowane (20,8 tys. osób), staż (8,3 tys.) oraz prace społecznie użyteczne (7,3 tys.). </w:t>
      </w:r>
    </w:p>
    <w:p w14:paraId="559749E8" w14:textId="77777777" w:rsidR="006F1886" w:rsidRDefault="006F1886" w:rsidP="006F1886">
      <w:pPr>
        <w:autoSpaceDE w:val="0"/>
        <w:autoSpaceDN w:val="0"/>
        <w:adjustRightInd w:val="0"/>
        <w:spacing w:after="0" w:line="240" w:lineRule="auto"/>
        <w:jc w:val="both"/>
        <w:rPr>
          <w:rFonts w:ascii="Lato" w:hAnsi="Lato" w:cstheme="minorHAnsi"/>
          <w:sz w:val="20"/>
          <w:szCs w:val="20"/>
        </w:rPr>
      </w:pPr>
    </w:p>
    <w:p w14:paraId="04AE2AAA" w14:textId="4A1F185B" w:rsidR="006F1886" w:rsidRDefault="006F1886" w:rsidP="006F1886">
      <w:pPr>
        <w:autoSpaceDE w:val="0"/>
        <w:autoSpaceDN w:val="0"/>
        <w:adjustRightInd w:val="0"/>
        <w:spacing w:after="0" w:line="240" w:lineRule="auto"/>
        <w:jc w:val="both"/>
        <w:rPr>
          <w:rFonts w:ascii="Lato" w:hAnsi="Lato" w:cstheme="minorHAnsi"/>
          <w:sz w:val="20"/>
          <w:szCs w:val="20"/>
        </w:rPr>
      </w:pPr>
      <w:r w:rsidRPr="00B60D93">
        <w:rPr>
          <w:rFonts w:ascii="Lato" w:hAnsi="Lato" w:cstheme="minorHAnsi"/>
          <w:sz w:val="20"/>
          <w:szCs w:val="20"/>
        </w:rPr>
        <w:t>Udział w programach specjalnych rozpoczęły 133 osoby bezrobotne powyżej 50 roku życia i stanowili oni 22,4% ogólnej liczby bezrobotnych, którzy rozpoczęli programy specjalne. Prawie 59% osób</w:t>
      </w:r>
      <w:r w:rsidR="00AC4CE4">
        <w:rPr>
          <w:rFonts w:ascii="Lato" w:hAnsi="Lato" w:cstheme="minorHAnsi"/>
          <w:sz w:val="20"/>
          <w:szCs w:val="20"/>
        </w:rPr>
        <w:t xml:space="preserve"> powyżej 50 r.ż.</w:t>
      </w:r>
      <w:r w:rsidRPr="00B60D93">
        <w:rPr>
          <w:rFonts w:ascii="Lato" w:hAnsi="Lato" w:cstheme="minorHAnsi"/>
          <w:sz w:val="20"/>
          <w:szCs w:val="20"/>
        </w:rPr>
        <w:t xml:space="preserve">, które ukończyły programy specjalne w 2022 r. podjęło pracę w trakcie lub do 3 miesięcy po zakończeniu udziału w programie i wykonywało ją co najmniej 30 dni. </w:t>
      </w:r>
    </w:p>
    <w:p w14:paraId="099F62A0" w14:textId="77777777" w:rsidR="006F1886" w:rsidRPr="00B60D93" w:rsidRDefault="006F1886" w:rsidP="006F1886">
      <w:pPr>
        <w:autoSpaceDE w:val="0"/>
        <w:autoSpaceDN w:val="0"/>
        <w:adjustRightInd w:val="0"/>
        <w:spacing w:after="0" w:line="240" w:lineRule="auto"/>
        <w:jc w:val="both"/>
        <w:rPr>
          <w:rFonts w:ascii="Lato" w:hAnsi="Lato" w:cstheme="minorHAnsi"/>
          <w:sz w:val="20"/>
          <w:szCs w:val="20"/>
        </w:rPr>
      </w:pPr>
    </w:p>
    <w:p w14:paraId="28A7662B" w14:textId="4140C981" w:rsidR="006F1886" w:rsidRDefault="006F1886" w:rsidP="006F1886">
      <w:pPr>
        <w:autoSpaceDE w:val="0"/>
        <w:autoSpaceDN w:val="0"/>
        <w:adjustRightInd w:val="0"/>
        <w:spacing w:after="0" w:line="240" w:lineRule="auto"/>
        <w:jc w:val="both"/>
        <w:rPr>
          <w:rFonts w:ascii="Lato" w:hAnsi="Lato" w:cstheme="minorHAnsi"/>
          <w:sz w:val="20"/>
          <w:szCs w:val="20"/>
        </w:rPr>
      </w:pPr>
      <w:r w:rsidRPr="00B60D93">
        <w:rPr>
          <w:rFonts w:ascii="Lato" w:hAnsi="Lato" w:cstheme="minorHAnsi"/>
          <w:sz w:val="20"/>
          <w:szCs w:val="20"/>
        </w:rPr>
        <w:t>W programach regionalnych w 2022 r. rozpoczęło udział 462 bezrobotnych powyżej 50 r. ż., zakończyło 448 osób, a pracę w trakcie lub do 3 miesięcy po zakończeniu udziału w programie podjęło 355 osób (79,2% osób, które zakończyły udział).</w:t>
      </w:r>
    </w:p>
    <w:p w14:paraId="6D7F36C6" w14:textId="77777777" w:rsidR="006F1886" w:rsidRPr="00CB7AC2" w:rsidRDefault="006F1886" w:rsidP="006F1886">
      <w:pPr>
        <w:autoSpaceDE w:val="0"/>
        <w:autoSpaceDN w:val="0"/>
        <w:adjustRightInd w:val="0"/>
        <w:spacing w:after="0" w:line="240" w:lineRule="auto"/>
        <w:jc w:val="both"/>
        <w:rPr>
          <w:rFonts w:ascii="Lato" w:hAnsi="Lato" w:cstheme="minorHAnsi"/>
          <w:sz w:val="20"/>
          <w:szCs w:val="20"/>
        </w:rPr>
      </w:pPr>
    </w:p>
    <w:p w14:paraId="798E9CE2" w14:textId="61E064E3" w:rsidR="006F1886" w:rsidRDefault="006F1886" w:rsidP="006F1886">
      <w:pPr>
        <w:autoSpaceDE w:val="0"/>
        <w:autoSpaceDN w:val="0"/>
        <w:adjustRightInd w:val="0"/>
        <w:spacing w:after="0" w:line="240" w:lineRule="auto"/>
        <w:jc w:val="both"/>
        <w:rPr>
          <w:rFonts w:ascii="Lato" w:hAnsi="Lato" w:cstheme="minorHAnsi"/>
          <w:sz w:val="20"/>
          <w:szCs w:val="20"/>
        </w:rPr>
      </w:pPr>
      <w:r w:rsidRPr="00CB7AC2">
        <w:rPr>
          <w:rFonts w:ascii="Lato" w:hAnsi="Lato" w:cstheme="minorHAnsi"/>
          <w:sz w:val="20"/>
          <w:szCs w:val="20"/>
        </w:rPr>
        <w:t>Ponadto w 2022 r. w ramach prowadzonego przez urzędy pracy poradnictwa zawodowego 3</w:t>
      </w:r>
      <w:r w:rsidR="00AC4CE4">
        <w:rPr>
          <w:rFonts w:ascii="Lato" w:hAnsi="Lato" w:cstheme="minorHAnsi"/>
          <w:sz w:val="20"/>
          <w:szCs w:val="20"/>
        </w:rPr>
        <w:t>1</w:t>
      </w:r>
      <w:r w:rsidRPr="00CB7AC2">
        <w:rPr>
          <w:rFonts w:ascii="Lato" w:hAnsi="Lato" w:cstheme="minorHAnsi"/>
          <w:sz w:val="20"/>
          <w:szCs w:val="20"/>
        </w:rPr>
        <w:t>,</w:t>
      </w:r>
      <w:r w:rsidR="00AC4CE4">
        <w:rPr>
          <w:rFonts w:ascii="Lato" w:hAnsi="Lato" w:cstheme="minorHAnsi"/>
          <w:sz w:val="20"/>
          <w:szCs w:val="20"/>
        </w:rPr>
        <w:t>0</w:t>
      </w:r>
      <w:r w:rsidRPr="00CB7AC2">
        <w:rPr>
          <w:rFonts w:ascii="Lato" w:hAnsi="Lato" w:cstheme="minorHAnsi"/>
          <w:sz w:val="20"/>
          <w:szCs w:val="20"/>
        </w:rPr>
        <w:t xml:space="preserve"> tys. bezrobotnych pow. 50 r. ż skorzystało z porad indywidualnych, 3,1 tys. z porad grupowych, 1,0 tys. osób z badań testowych, a 4,4 tys. osób uczestniczyło w grupowych spotkaniach informacyjnych.</w:t>
      </w:r>
    </w:p>
    <w:p w14:paraId="6EA5964C" w14:textId="35B72428" w:rsidR="006F1886" w:rsidRDefault="006F1886" w:rsidP="006F1886">
      <w:pPr>
        <w:autoSpaceDE w:val="0"/>
        <w:autoSpaceDN w:val="0"/>
        <w:adjustRightInd w:val="0"/>
        <w:spacing w:after="0" w:line="240" w:lineRule="auto"/>
        <w:jc w:val="both"/>
        <w:rPr>
          <w:rFonts w:ascii="Lato" w:hAnsi="Lato" w:cstheme="minorHAnsi"/>
          <w:sz w:val="20"/>
          <w:szCs w:val="20"/>
        </w:rPr>
      </w:pPr>
    </w:p>
    <w:p w14:paraId="5B728FBF" w14:textId="6F186C12" w:rsidR="00B51FC0" w:rsidRPr="00B51FC0" w:rsidRDefault="00B51FC0" w:rsidP="00B51FC0">
      <w:pPr>
        <w:pStyle w:val="Legenda"/>
        <w:keepNext/>
        <w:rPr>
          <w:color w:val="FF0000"/>
        </w:rPr>
      </w:pPr>
      <w:bookmarkStart w:id="17" w:name="_Toc142565980"/>
      <w:r>
        <w:lastRenderedPageBreak/>
        <w:t xml:space="preserve">Tabela </w:t>
      </w:r>
      <w:fldSimple w:instr=" SEQ Tabela \* ARABIC ">
        <w:r w:rsidR="00AA385B">
          <w:rPr>
            <w:noProof/>
          </w:rPr>
          <w:t>15</w:t>
        </w:r>
      </w:fldSimple>
      <w:r>
        <w:t xml:space="preserve"> Osoby pobierające emerytury i renty z tytułu niezdolności do pracy według płci i instytucji wypłacających</w:t>
      </w:r>
      <w:r w:rsidR="00380295">
        <w:t xml:space="preserve"> w 2021 r. </w:t>
      </w:r>
      <w:r>
        <w:t xml:space="preserve"> </w:t>
      </w:r>
      <w:r w:rsidRPr="00894B0E">
        <w:rPr>
          <w:color w:val="auto"/>
        </w:rPr>
        <w:t>(dane za 2022 r. – III kwartał 2023 r.)</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1"/>
        <w:gridCol w:w="1091"/>
        <w:gridCol w:w="1090"/>
        <w:gridCol w:w="1092"/>
        <w:gridCol w:w="1090"/>
        <w:gridCol w:w="1090"/>
        <w:gridCol w:w="1092"/>
      </w:tblGrid>
      <w:tr w:rsidR="00B51FC0" w:rsidRPr="00DC3810" w14:paraId="0E2C76D7" w14:textId="77777777" w:rsidTr="00DC3810">
        <w:trPr>
          <w:trHeight w:val="450"/>
        </w:trPr>
        <w:tc>
          <w:tcPr>
            <w:tcW w:w="1391" w:type="pct"/>
            <w:vMerge w:val="restart"/>
            <w:shd w:val="clear" w:color="auto" w:fill="8EAADB" w:themeFill="accent1" w:themeFillTint="99"/>
            <w:vAlign w:val="center"/>
            <w:hideMark/>
          </w:tcPr>
          <w:p w14:paraId="7A38F4A2"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Wyszczególnienie</w:t>
            </w:r>
          </w:p>
        </w:tc>
        <w:tc>
          <w:tcPr>
            <w:tcW w:w="1805" w:type="pct"/>
            <w:gridSpan w:val="3"/>
            <w:vMerge w:val="restart"/>
            <w:shd w:val="clear" w:color="auto" w:fill="8EAADB" w:themeFill="accent1" w:themeFillTint="99"/>
            <w:vAlign w:val="center"/>
            <w:hideMark/>
          </w:tcPr>
          <w:p w14:paraId="760DF128"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Osoby pobierające emerytury</w:t>
            </w:r>
          </w:p>
        </w:tc>
        <w:tc>
          <w:tcPr>
            <w:tcW w:w="1805" w:type="pct"/>
            <w:gridSpan w:val="3"/>
            <w:vMerge w:val="restart"/>
            <w:shd w:val="clear" w:color="auto" w:fill="8EAADB" w:themeFill="accent1" w:themeFillTint="99"/>
            <w:vAlign w:val="center"/>
            <w:hideMark/>
          </w:tcPr>
          <w:p w14:paraId="0FE98F55"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Osoby pobierające renty z tytułu niezdolności do pracy</w:t>
            </w:r>
          </w:p>
        </w:tc>
      </w:tr>
      <w:tr w:rsidR="00B51FC0" w:rsidRPr="00DC3810" w14:paraId="4020B7ED" w14:textId="77777777" w:rsidTr="00DC3810">
        <w:trPr>
          <w:trHeight w:val="450"/>
        </w:trPr>
        <w:tc>
          <w:tcPr>
            <w:tcW w:w="1391" w:type="pct"/>
            <w:vMerge/>
            <w:shd w:val="clear" w:color="auto" w:fill="8EAADB" w:themeFill="accent1" w:themeFillTint="99"/>
            <w:vAlign w:val="center"/>
            <w:hideMark/>
          </w:tcPr>
          <w:p w14:paraId="5AD7CA1B" w14:textId="77777777" w:rsidR="00B51FC0" w:rsidRPr="00DC3810" w:rsidRDefault="00B51FC0" w:rsidP="00B51FC0">
            <w:pPr>
              <w:spacing w:after="0" w:line="240" w:lineRule="auto"/>
              <w:rPr>
                <w:rFonts w:ascii="Lato" w:eastAsia="Times New Roman" w:hAnsi="Lato" w:cs="Arial"/>
                <w:color w:val="000000"/>
                <w:sz w:val="18"/>
                <w:szCs w:val="18"/>
                <w:lang w:eastAsia="pl-PL"/>
              </w:rPr>
            </w:pPr>
          </w:p>
        </w:tc>
        <w:tc>
          <w:tcPr>
            <w:tcW w:w="1805" w:type="pct"/>
            <w:gridSpan w:val="3"/>
            <w:vMerge/>
            <w:shd w:val="clear" w:color="auto" w:fill="8EAADB" w:themeFill="accent1" w:themeFillTint="99"/>
            <w:vAlign w:val="center"/>
            <w:hideMark/>
          </w:tcPr>
          <w:p w14:paraId="237149E6" w14:textId="77777777" w:rsidR="00B51FC0" w:rsidRPr="00DC3810" w:rsidRDefault="00B51FC0" w:rsidP="00B51FC0">
            <w:pPr>
              <w:spacing w:after="0" w:line="240" w:lineRule="auto"/>
              <w:rPr>
                <w:rFonts w:ascii="Lato" w:eastAsia="Times New Roman" w:hAnsi="Lato" w:cs="Arial"/>
                <w:color w:val="000000"/>
                <w:sz w:val="18"/>
                <w:szCs w:val="18"/>
                <w:lang w:eastAsia="pl-PL"/>
              </w:rPr>
            </w:pPr>
          </w:p>
        </w:tc>
        <w:tc>
          <w:tcPr>
            <w:tcW w:w="1805" w:type="pct"/>
            <w:gridSpan w:val="3"/>
            <w:vMerge/>
            <w:shd w:val="clear" w:color="auto" w:fill="8EAADB" w:themeFill="accent1" w:themeFillTint="99"/>
            <w:vAlign w:val="center"/>
            <w:hideMark/>
          </w:tcPr>
          <w:p w14:paraId="4C2CB919" w14:textId="77777777" w:rsidR="00B51FC0" w:rsidRPr="00DC3810" w:rsidRDefault="00B51FC0" w:rsidP="00B51FC0">
            <w:pPr>
              <w:spacing w:after="0" w:line="240" w:lineRule="auto"/>
              <w:rPr>
                <w:rFonts w:ascii="Lato" w:eastAsia="Times New Roman" w:hAnsi="Lato" w:cs="Arial"/>
                <w:color w:val="000000"/>
                <w:sz w:val="18"/>
                <w:szCs w:val="18"/>
                <w:lang w:eastAsia="pl-PL"/>
              </w:rPr>
            </w:pPr>
          </w:p>
        </w:tc>
      </w:tr>
      <w:tr w:rsidR="00B51FC0" w:rsidRPr="00DC3810" w14:paraId="365027B2" w14:textId="77777777" w:rsidTr="00DC3810">
        <w:trPr>
          <w:trHeight w:val="288"/>
        </w:trPr>
        <w:tc>
          <w:tcPr>
            <w:tcW w:w="1391" w:type="pct"/>
            <w:vMerge/>
            <w:shd w:val="clear" w:color="auto" w:fill="8EAADB" w:themeFill="accent1" w:themeFillTint="99"/>
            <w:vAlign w:val="center"/>
            <w:hideMark/>
          </w:tcPr>
          <w:p w14:paraId="423CD471" w14:textId="77777777" w:rsidR="00B51FC0" w:rsidRPr="00DC3810" w:rsidRDefault="00B51FC0" w:rsidP="00B51FC0">
            <w:pPr>
              <w:spacing w:after="0" w:line="240" w:lineRule="auto"/>
              <w:rPr>
                <w:rFonts w:ascii="Lato" w:eastAsia="Times New Roman" w:hAnsi="Lato" w:cs="Arial"/>
                <w:color w:val="000000"/>
                <w:sz w:val="18"/>
                <w:szCs w:val="18"/>
                <w:lang w:eastAsia="pl-PL"/>
              </w:rPr>
            </w:pPr>
          </w:p>
        </w:tc>
        <w:tc>
          <w:tcPr>
            <w:tcW w:w="602" w:type="pct"/>
            <w:shd w:val="clear" w:color="auto" w:fill="8EAADB" w:themeFill="accent1" w:themeFillTint="99"/>
            <w:vAlign w:val="center"/>
            <w:hideMark/>
          </w:tcPr>
          <w:p w14:paraId="32AEC89F"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c>
          <w:tcPr>
            <w:tcW w:w="601" w:type="pct"/>
            <w:shd w:val="clear" w:color="auto" w:fill="8EAADB" w:themeFill="accent1" w:themeFillTint="99"/>
            <w:vAlign w:val="center"/>
            <w:hideMark/>
          </w:tcPr>
          <w:p w14:paraId="76533FDE"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mężczyźni</w:t>
            </w:r>
          </w:p>
        </w:tc>
        <w:tc>
          <w:tcPr>
            <w:tcW w:w="601" w:type="pct"/>
            <w:shd w:val="clear" w:color="auto" w:fill="8EAADB" w:themeFill="accent1" w:themeFillTint="99"/>
            <w:vAlign w:val="center"/>
            <w:hideMark/>
          </w:tcPr>
          <w:p w14:paraId="72C62C1E"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kobiety</w:t>
            </w:r>
          </w:p>
        </w:tc>
        <w:tc>
          <w:tcPr>
            <w:tcW w:w="601" w:type="pct"/>
            <w:shd w:val="clear" w:color="auto" w:fill="8EAADB" w:themeFill="accent1" w:themeFillTint="99"/>
            <w:vAlign w:val="center"/>
            <w:hideMark/>
          </w:tcPr>
          <w:p w14:paraId="3797807F"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w:t>
            </w:r>
          </w:p>
        </w:tc>
        <w:tc>
          <w:tcPr>
            <w:tcW w:w="601" w:type="pct"/>
            <w:shd w:val="clear" w:color="auto" w:fill="8EAADB" w:themeFill="accent1" w:themeFillTint="99"/>
            <w:vAlign w:val="center"/>
            <w:hideMark/>
          </w:tcPr>
          <w:p w14:paraId="4A295CE1"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mężczyźni</w:t>
            </w:r>
          </w:p>
        </w:tc>
        <w:tc>
          <w:tcPr>
            <w:tcW w:w="602" w:type="pct"/>
            <w:shd w:val="clear" w:color="auto" w:fill="8EAADB" w:themeFill="accent1" w:themeFillTint="99"/>
            <w:vAlign w:val="center"/>
            <w:hideMark/>
          </w:tcPr>
          <w:p w14:paraId="2FDD0E4A" w14:textId="77777777" w:rsidR="00B51FC0" w:rsidRPr="00DC3810" w:rsidRDefault="00B51FC0" w:rsidP="00B51FC0">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kobiety</w:t>
            </w:r>
          </w:p>
        </w:tc>
      </w:tr>
      <w:tr w:rsidR="00B51FC0" w:rsidRPr="00DC3810" w14:paraId="2F4DCB7E" w14:textId="77777777" w:rsidTr="00B51FC0">
        <w:trPr>
          <w:trHeight w:val="288"/>
        </w:trPr>
        <w:tc>
          <w:tcPr>
            <w:tcW w:w="1391" w:type="pct"/>
            <w:shd w:val="clear" w:color="auto" w:fill="auto"/>
            <w:noWrap/>
            <w:vAlign w:val="center"/>
            <w:hideMark/>
          </w:tcPr>
          <w:p w14:paraId="3C0FACB5"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 ZUS</w:t>
            </w:r>
          </w:p>
        </w:tc>
        <w:tc>
          <w:tcPr>
            <w:tcW w:w="602" w:type="pct"/>
            <w:shd w:val="clear" w:color="auto" w:fill="auto"/>
            <w:vAlign w:val="center"/>
            <w:hideMark/>
          </w:tcPr>
          <w:p w14:paraId="40617BD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6 041 117</w:t>
            </w:r>
          </w:p>
        </w:tc>
        <w:tc>
          <w:tcPr>
            <w:tcW w:w="601" w:type="pct"/>
            <w:shd w:val="clear" w:color="auto" w:fill="auto"/>
            <w:vAlign w:val="center"/>
            <w:hideMark/>
          </w:tcPr>
          <w:p w14:paraId="76D7AF27"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2 384 056</w:t>
            </w:r>
          </w:p>
        </w:tc>
        <w:tc>
          <w:tcPr>
            <w:tcW w:w="601" w:type="pct"/>
            <w:shd w:val="clear" w:color="auto" w:fill="auto"/>
            <w:vAlign w:val="center"/>
            <w:hideMark/>
          </w:tcPr>
          <w:p w14:paraId="4B676E2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3 657 061</w:t>
            </w:r>
          </w:p>
        </w:tc>
        <w:tc>
          <w:tcPr>
            <w:tcW w:w="601" w:type="pct"/>
            <w:shd w:val="clear" w:color="auto" w:fill="auto"/>
            <w:vAlign w:val="center"/>
            <w:hideMark/>
          </w:tcPr>
          <w:p w14:paraId="59F94866"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618 347</w:t>
            </w:r>
          </w:p>
        </w:tc>
        <w:tc>
          <w:tcPr>
            <w:tcW w:w="601" w:type="pct"/>
            <w:shd w:val="clear" w:color="auto" w:fill="auto"/>
            <w:vAlign w:val="center"/>
            <w:hideMark/>
          </w:tcPr>
          <w:p w14:paraId="4B5B4B6B"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413 826</w:t>
            </w:r>
          </w:p>
        </w:tc>
        <w:tc>
          <w:tcPr>
            <w:tcW w:w="602" w:type="pct"/>
            <w:shd w:val="clear" w:color="auto" w:fill="auto"/>
            <w:vAlign w:val="center"/>
            <w:hideMark/>
          </w:tcPr>
          <w:p w14:paraId="086923F6"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204 521</w:t>
            </w:r>
          </w:p>
        </w:tc>
      </w:tr>
      <w:tr w:rsidR="00B51FC0" w:rsidRPr="00DC3810" w14:paraId="4F35B38B" w14:textId="77777777" w:rsidTr="00B51FC0">
        <w:trPr>
          <w:trHeight w:val="288"/>
        </w:trPr>
        <w:tc>
          <w:tcPr>
            <w:tcW w:w="1391" w:type="pct"/>
            <w:shd w:val="clear" w:color="auto" w:fill="auto"/>
            <w:vAlign w:val="center"/>
            <w:hideMark/>
          </w:tcPr>
          <w:p w14:paraId="56847A3D"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60 lat i więcej</w:t>
            </w:r>
          </w:p>
        </w:tc>
        <w:tc>
          <w:tcPr>
            <w:tcW w:w="602" w:type="pct"/>
            <w:shd w:val="clear" w:color="auto" w:fill="auto"/>
            <w:noWrap/>
            <w:vAlign w:val="bottom"/>
            <w:hideMark/>
          </w:tcPr>
          <w:p w14:paraId="33524B5B"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5 970 229</w:t>
            </w:r>
          </w:p>
        </w:tc>
        <w:tc>
          <w:tcPr>
            <w:tcW w:w="601" w:type="pct"/>
            <w:shd w:val="clear" w:color="auto" w:fill="auto"/>
            <w:noWrap/>
            <w:vAlign w:val="bottom"/>
            <w:hideMark/>
          </w:tcPr>
          <w:p w14:paraId="7721A9B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2 317 512</w:t>
            </w:r>
          </w:p>
        </w:tc>
        <w:tc>
          <w:tcPr>
            <w:tcW w:w="601" w:type="pct"/>
            <w:shd w:val="clear" w:color="auto" w:fill="auto"/>
            <w:noWrap/>
            <w:vAlign w:val="bottom"/>
            <w:hideMark/>
          </w:tcPr>
          <w:p w14:paraId="6177B7A7"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3 652 717</w:t>
            </w:r>
          </w:p>
        </w:tc>
        <w:tc>
          <w:tcPr>
            <w:tcW w:w="601" w:type="pct"/>
            <w:shd w:val="clear" w:color="auto" w:fill="auto"/>
            <w:noWrap/>
            <w:vAlign w:val="bottom"/>
            <w:hideMark/>
          </w:tcPr>
          <w:p w14:paraId="48CD5F1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304 751</w:t>
            </w:r>
          </w:p>
        </w:tc>
        <w:tc>
          <w:tcPr>
            <w:tcW w:w="601" w:type="pct"/>
            <w:shd w:val="clear" w:color="auto" w:fill="auto"/>
            <w:noWrap/>
            <w:vAlign w:val="bottom"/>
            <w:hideMark/>
          </w:tcPr>
          <w:p w14:paraId="09C655B2"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234 626</w:t>
            </w:r>
          </w:p>
        </w:tc>
        <w:tc>
          <w:tcPr>
            <w:tcW w:w="602" w:type="pct"/>
            <w:shd w:val="clear" w:color="auto" w:fill="auto"/>
            <w:noWrap/>
            <w:vAlign w:val="bottom"/>
            <w:hideMark/>
          </w:tcPr>
          <w:p w14:paraId="18D23AB3"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70 125</w:t>
            </w:r>
          </w:p>
        </w:tc>
      </w:tr>
      <w:tr w:rsidR="00B51FC0" w:rsidRPr="00DC3810" w14:paraId="7D3AD844" w14:textId="77777777" w:rsidTr="00B51FC0">
        <w:trPr>
          <w:trHeight w:val="288"/>
        </w:trPr>
        <w:tc>
          <w:tcPr>
            <w:tcW w:w="1391" w:type="pct"/>
            <w:shd w:val="clear" w:color="auto" w:fill="auto"/>
            <w:noWrap/>
            <w:vAlign w:val="center"/>
            <w:hideMark/>
          </w:tcPr>
          <w:p w14:paraId="5A35AFDD"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 KRUS</w:t>
            </w:r>
          </w:p>
        </w:tc>
        <w:tc>
          <w:tcPr>
            <w:tcW w:w="602" w:type="pct"/>
            <w:shd w:val="clear" w:color="auto" w:fill="auto"/>
            <w:vAlign w:val="center"/>
            <w:hideMark/>
          </w:tcPr>
          <w:p w14:paraId="58A89F5B"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793 492</w:t>
            </w:r>
          </w:p>
        </w:tc>
        <w:tc>
          <w:tcPr>
            <w:tcW w:w="601" w:type="pct"/>
            <w:shd w:val="clear" w:color="auto" w:fill="auto"/>
            <w:vAlign w:val="center"/>
            <w:hideMark/>
          </w:tcPr>
          <w:p w14:paraId="57F63961"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244 278</w:t>
            </w:r>
          </w:p>
        </w:tc>
        <w:tc>
          <w:tcPr>
            <w:tcW w:w="601" w:type="pct"/>
            <w:shd w:val="clear" w:color="auto" w:fill="auto"/>
            <w:vAlign w:val="center"/>
            <w:hideMark/>
          </w:tcPr>
          <w:p w14:paraId="1C04177B"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549 214</w:t>
            </w:r>
          </w:p>
        </w:tc>
        <w:tc>
          <w:tcPr>
            <w:tcW w:w="601" w:type="pct"/>
            <w:shd w:val="clear" w:color="auto" w:fill="auto"/>
            <w:vAlign w:val="center"/>
            <w:hideMark/>
          </w:tcPr>
          <w:p w14:paraId="640589F8"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181 618</w:t>
            </w:r>
          </w:p>
        </w:tc>
        <w:tc>
          <w:tcPr>
            <w:tcW w:w="601" w:type="pct"/>
            <w:shd w:val="clear" w:color="auto" w:fill="auto"/>
            <w:vAlign w:val="center"/>
            <w:hideMark/>
          </w:tcPr>
          <w:p w14:paraId="438AE97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95 136</w:t>
            </w:r>
          </w:p>
        </w:tc>
        <w:tc>
          <w:tcPr>
            <w:tcW w:w="602" w:type="pct"/>
            <w:shd w:val="clear" w:color="auto" w:fill="auto"/>
            <w:vAlign w:val="center"/>
            <w:hideMark/>
          </w:tcPr>
          <w:p w14:paraId="432AD25E"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86 482</w:t>
            </w:r>
          </w:p>
        </w:tc>
      </w:tr>
      <w:tr w:rsidR="00B51FC0" w:rsidRPr="00DC3810" w14:paraId="342044AF" w14:textId="77777777" w:rsidTr="00B51FC0">
        <w:trPr>
          <w:trHeight w:val="288"/>
        </w:trPr>
        <w:tc>
          <w:tcPr>
            <w:tcW w:w="1391" w:type="pct"/>
            <w:shd w:val="clear" w:color="auto" w:fill="auto"/>
            <w:vAlign w:val="center"/>
            <w:hideMark/>
          </w:tcPr>
          <w:p w14:paraId="5587A0F6"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60 lat i więcej</w:t>
            </w:r>
          </w:p>
        </w:tc>
        <w:tc>
          <w:tcPr>
            <w:tcW w:w="602" w:type="pct"/>
            <w:shd w:val="clear" w:color="auto" w:fill="auto"/>
            <w:noWrap/>
            <w:vAlign w:val="bottom"/>
            <w:hideMark/>
          </w:tcPr>
          <w:p w14:paraId="4F36EBBC"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787 859</w:t>
            </w:r>
          </w:p>
        </w:tc>
        <w:tc>
          <w:tcPr>
            <w:tcW w:w="601" w:type="pct"/>
            <w:shd w:val="clear" w:color="auto" w:fill="auto"/>
            <w:noWrap/>
            <w:vAlign w:val="bottom"/>
            <w:hideMark/>
          </w:tcPr>
          <w:p w14:paraId="08FE7A7F"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244 278</w:t>
            </w:r>
          </w:p>
        </w:tc>
        <w:tc>
          <w:tcPr>
            <w:tcW w:w="601" w:type="pct"/>
            <w:shd w:val="clear" w:color="auto" w:fill="auto"/>
            <w:noWrap/>
            <w:vAlign w:val="bottom"/>
            <w:hideMark/>
          </w:tcPr>
          <w:p w14:paraId="25ADFC88"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543 581</w:t>
            </w:r>
          </w:p>
        </w:tc>
        <w:tc>
          <w:tcPr>
            <w:tcW w:w="601" w:type="pct"/>
            <w:shd w:val="clear" w:color="auto" w:fill="auto"/>
            <w:noWrap/>
            <w:vAlign w:val="bottom"/>
            <w:hideMark/>
          </w:tcPr>
          <w:p w14:paraId="1EBDAF32"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103 810</w:t>
            </w:r>
          </w:p>
        </w:tc>
        <w:tc>
          <w:tcPr>
            <w:tcW w:w="601" w:type="pct"/>
            <w:shd w:val="clear" w:color="auto" w:fill="auto"/>
            <w:noWrap/>
            <w:vAlign w:val="bottom"/>
            <w:hideMark/>
          </w:tcPr>
          <w:p w14:paraId="6DF6D712"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57 417</w:t>
            </w:r>
          </w:p>
        </w:tc>
        <w:tc>
          <w:tcPr>
            <w:tcW w:w="602" w:type="pct"/>
            <w:shd w:val="clear" w:color="auto" w:fill="auto"/>
            <w:noWrap/>
            <w:vAlign w:val="bottom"/>
            <w:hideMark/>
          </w:tcPr>
          <w:p w14:paraId="31A5B97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46 393</w:t>
            </w:r>
          </w:p>
        </w:tc>
      </w:tr>
      <w:tr w:rsidR="00B51FC0" w:rsidRPr="00DC3810" w14:paraId="1169F4D6" w14:textId="77777777" w:rsidTr="00B51FC0">
        <w:trPr>
          <w:trHeight w:val="288"/>
        </w:trPr>
        <w:tc>
          <w:tcPr>
            <w:tcW w:w="1391" w:type="pct"/>
            <w:shd w:val="clear" w:color="auto" w:fill="auto"/>
            <w:noWrap/>
            <w:vAlign w:val="center"/>
            <w:hideMark/>
          </w:tcPr>
          <w:p w14:paraId="54F7C95C"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 MON</w:t>
            </w:r>
          </w:p>
        </w:tc>
        <w:tc>
          <w:tcPr>
            <w:tcW w:w="602" w:type="pct"/>
            <w:shd w:val="clear" w:color="auto" w:fill="auto"/>
            <w:vAlign w:val="center"/>
            <w:hideMark/>
          </w:tcPr>
          <w:p w14:paraId="40F4BBD1"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110 028</w:t>
            </w:r>
          </w:p>
        </w:tc>
        <w:tc>
          <w:tcPr>
            <w:tcW w:w="601" w:type="pct"/>
            <w:shd w:val="clear" w:color="auto" w:fill="auto"/>
            <w:vAlign w:val="center"/>
            <w:hideMark/>
          </w:tcPr>
          <w:p w14:paraId="07D62243"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109 752</w:t>
            </w:r>
          </w:p>
        </w:tc>
        <w:tc>
          <w:tcPr>
            <w:tcW w:w="601" w:type="pct"/>
            <w:shd w:val="clear" w:color="auto" w:fill="auto"/>
            <w:vAlign w:val="center"/>
            <w:hideMark/>
          </w:tcPr>
          <w:p w14:paraId="3CED15F1"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276</w:t>
            </w:r>
          </w:p>
        </w:tc>
        <w:tc>
          <w:tcPr>
            <w:tcW w:w="601" w:type="pct"/>
            <w:shd w:val="clear" w:color="auto" w:fill="auto"/>
            <w:vAlign w:val="center"/>
            <w:hideMark/>
          </w:tcPr>
          <w:p w14:paraId="6E6FA1D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10 608</w:t>
            </w:r>
          </w:p>
        </w:tc>
        <w:tc>
          <w:tcPr>
            <w:tcW w:w="601" w:type="pct"/>
            <w:shd w:val="clear" w:color="auto" w:fill="auto"/>
            <w:vAlign w:val="center"/>
            <w:hideMark/>
          </w:tcPr>
          <w:p w14:paraId="4BA035B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10 564</w:t>
            </w:r>
          </w:p>
        </w:tc>
        <w:tc>
          <w:tcPr>
            <w:tcW w:w="602" w:type="pct"/>
            <w:shd w:val="clear" w:color="auto" w:fill="auto"/>
            <w:vAlign w:val="center"/>
            <w:hideMark/>
          </w:tcPr>
          <w:p w14:paraId="5C39259D"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44</w:t>
            </w:r>
          </w:p>
        </w:tc>
      </w:tr>
      <w:tr w:rsidR="00B51FC0" w:rsidRPr="00DC3810" w14:paraId="7509C9AC" w14:textId="77777777" w:rsidTr="00B51FC0">
        <w:trPr>
          <w:trHeight w:val="288"/>
        </w:trPr>
        <w:tc>
          <w:tcPr>
            <w:tcW w:w="1391" w:type="pct"/>
            <w:shd w:val="clear" w:color="auto" w:fill="auto"/>
            <w:vAlign w:val="center"/>
            <w:hideMark/>
          </w:tcPr>
          <w:p w14:paraId="28E267CC"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60 lat i więcej</w:t>
            </w:r>
          </w:p>
        </w:tc>
        <w:tc>
          <w:tcPr>
            <w:tcW w:w="602" w:type="pct"/>
            <w:shd w:val="clear" w:color="auto" w:fill="auto"/>
            <w:noWrap/>
            <w:vAlign w:val="bottom"/>
            <w:hideMark/>
          </w:tcPr>
          <w:p w14:paraId="10B4BD7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69 027</w:t>
            </w:r>
          </w:p>
        </w:tc>
        <w:tc>
          <w:tcPr>
            <w:tcW w:w="601" w:type="pct"/>
            <w:shd w:val="clear" w:color="auto" w:fill="auto"/>
            <w:noWrap/>
            <w:vAlign w:val="bottom"/>
            <w:hideMark/>
          </w:tcPr>
          <w:p w14:paraId="00D5A5ED"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68 969</w:t>
            </w:r>
          </w:p>
        </w:tc>
        <w:tc>
          <w:tcPr>
            <w:tcW w:w="601" w:type="pct"/>
            <w:shd w:val="clear" w:color="auto" w:fill="auto"/>
            <w:noWrap/>
            <w:vAlign w:val="bottom"/>
            <w:hideMark/>
          </w:tcPr>
          <w:p w14:paraId="1F4B15D8"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58</w:t>
            </w:r>
          </w:p>
        </w:tc>
        <w:tc>
          <w:tcPr>
            <w:tcW w:w="601" w:type="pct"/>
            <w:shd w:val="clear" w:color="auto" w:fill="auto"/>
            <w:noWrap/>
            <w:vAlign w:val="bottom"/>
            <w:hideMark/>
          </w:tcPr>
          <w:p w14:paraId="1E91C169"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8 356</w:t>
            </w:r>
          </w:p>
        </w:tc>
        <w:tc>
          <w:tcPr>
            <w:tcW w:w="601" w:type="pct"/>
            <w:shd w:val="clear" w:color="auto" w:fill="auto"/>
            <w:noWrap/>
            <w:vAlign w:val="bottom"/>
            <w:hideMark/>
          </w:tcPr>
          <w:p w14:paraId="58B5922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8 353</w:t>
            </w:r>
          </w:p>
        </w:tc>
        <w:tc>
          <w:tcPr>
            <w:tcW w:w="602" w:type="pct"/>
            <w:shd w:val="clear" w:color="auto" w:fill="auto"/>
            <w:noWrap/>
            <w:vAlign w:val="bottom"/>
            <w:hideMark/>
          </w:tcPr>
          <w:p w14:paraId="48B3C7EE"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w:t>
            </w:r>
          </w:p>
        </w:tc>
      </w:tr>
      <w:tr w:rsidR="00B51FC0" w:rsidRPr="00DC3810" w14:paraId="2ADC9581" w14:textId="77777777" w:rsidTr="00B51FC0">
        <w:trPr>
          <w:trHeight w:val="288"/>
        </w:trPr>
        <w:tc>
          <w:tcPr>
            <w:tcW w:w="1391" w:type="pct"/>
            <w:shd w:val="clear" w:color="auto" w:fill="auto"/>
            <w:noWrap/>
            <w:vAlign w:val="center"/>
            <w:hideMark/>
          </w:tcPr>
          <w:p w14:paraId="138AB62F"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 MSWiA</w:t>
            </w:r>
          </w:p>
        </w:tc>
        <w:tc>
          <w:tcPr>
            <w:tcW w:w="602" w:type="pct"/>
            <w:shd w:val="clear" w:color="auto" w:fill="auto"/>
            <w:vAlign w:val="center"/>
            <w:hideMark/>
          </w:tcPr>
          <w:p w14:paraId="4B7BF5B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163 601</w:t>
            </w:r>
          </w:p>
        </w:tc>
        <w:tc>
          <w:tcPr>
            <w:tcW w:w="601" w:type="pct"/>
            <w:shd w:val="clear" w:color="auto" w:fill="auto"/>
            <w:vAlign w:val="center"/>
            <w:hideMark/>
          </w:tcPr>
          <w:p w14:paraId="6D8EB37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145 946</w:t>
            </w:r>
          </w:p>
        </w:tc>
        <w:tc>
          <w:tcPr>
            <w:tcW w:w="601" w:type="pct"/>
            <w:shd w:val="clear" w:color="auto" w:fill="auto"/>
            <w:vAlign w:val="center"/>
            <w:hideMark/>
          </w:tcPr>
          <w:p w14:paraId="1686CBD9"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17 655</w:t>
            </w:r>
          </w:p>
        </w:tc>
        <w:tc>
          <w:tcPr>
            <w:tcW w:w="601" w:type="pct"/>
            <w:shd w:val="clear" w:color="auto" w:fill="auto"/>
            <w:vAlign w:val="center"/>
            <w:hideMark/>
          </w:tcPr>
          <w:p w14:paraId="4C46F68F"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11 222</w:t>
            </w:r>
          </w:p>
        </w:tc>
        <w:tc>
          <w:tcPr>
            <w:tcW w:w="601" w:type="pct"/>
            <w:shd w:val="clear" w:color="auto" w:fill="auto"/>
            <w:vAlign w:val="center"/>
            <w:hideMark/>
          </w:tcPr>
          <w:p w14:paraId="596DA4A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9 711</w:t>
            </w:r>
          </w:p>
        </w:tc>
        <w:tc>
          <w:tcPr>
            <w:tcW w:w="602" w:type="pct"/>
            <w:shd w:val="clear" w:color="auto" w:fill="auto"/>
            <w:vAlign w:val="center"/>
            <w:hideMark/>
          </w:tcPr>
          <w:p w14:paraId="5E52E9FE"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1 511</w:t>
            </w:r>
          </w:p>
        </w:tc>
      </w:tr>
      <w:tr w:rsidR="00B51FC0" w:rsidRPr="00DC3810" w14:paraId="2F5601C6" w14:textId="77777777" w:rsidTr="00B51FC0">
        <w:trPr>
          <w:trHeight w:val="288"/>
        </w:trPr>
        <w:tc>
          <w:tcPr>
            <w:tcW w:w="1391" w:type="pct"/>
            <w:shd w:val="clear" w:color="auto" w:fill="auto"/>
            <w:vAlign w:val="center"/>
            <w:hideMark/>
          </w:tcPr>
          <w:p w14:paraId="6B605013"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60 lat i więcej</w:t>
            </w:r>
          </w:p>
        </w:tc>
        <w:tc>
          <w:tcPr>
            <w:tcW w:w="602" w:type="pct"/>
            <w:shd w:val="clear" w:color="auto" w:fill="auto"/>
            <w:noWrap/>
            <w:vAlign w:val="bottom"/>
            <w:hideMark/>
          </w:tcPr>
          <w:p w14:paraId="68ECDD6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90 663</w:t>
            </w:r>
          </w:p>
        </w:tc>
        <w:tc>
          <w:tcPr>
            <w:tcW w:w="601" w:type="pct"/>
            <w:shd w:val="clear" w:color="auto" w:fill="auto"/>
            <w:noWrap/>
            <w:vAlign w:val="bottom"/>
            <w:hideMark/>
          </w:tcPr>
          <w:p w14:paraId="61F716B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77 920</w:t>
            </w:r>
          </w:p>
        </w:tc>
        <w:tc>
          <w:tcPr>
            <w:tcW w:w="601" w:type="pct"/>
            <w:shd w:val="clear" w:color="auto" w:fill="auto"/>
            <w:noWrap/>
            <w:vAlign w:val="bottom"/>
            <w:hideMark/>
          </w:tcPr>
          <w:p w14:paraId="5F2FDB00"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12 743</w:t>
            </w:r>
          </w:p>
        </w:tc>
        <w:tc>
          <w:tcPr>
            <w:tcW w:w="601" w:type="pct"/>
            <w:shd w:val="clear" w:color="auto" w:fill="auto"/>
            <w:noWrap/>
            <w:vAlign w:val="bottom"/>
            <w:hideMark/>
          </w:tcPr>
          <w:p w14:paraId="49F16B63"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6 788</w:t>
            </w:r>
          </w:p>
        </w:tc>
        <w:tc>
          <w:tcPr>
            <w:tcW w:w="601" w:type="pct"/>
            <w:shd w:val="clear" w:color="auto" w:fill="auto"/>
            <w:noWrap/>
            <w:vAlign w:val="bottom"/>
            <w:hideMark/>
          </w:tcPr>
          <w:p w14:paraId="4DB18D61"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5 603</w:t>
            </w:r>
          </w:p>
        </w:tc>
        <w:tc>
          <w:tcPr>
            <w:tcW w:w="602" w:type="pct"/>
            <w:shd w:val="clear" w:color="auto" w:fill="auto"/>
            <w:noWrap/>
            <w:vAlign w:val="bottom"/>
            <w:hideMark/>
          </w:tcPr>
          <w:p w14:paraId="2F89A8F7"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1 185</w:t>
            </w:r>
          </w:p>
        </w:tc>
      </w:tr>
      <w:tr w:rsidR="00B51FC0" w:rsidRPr="00DC3810" w14:paraId="5DFE008D" w14:textId="77777777" w:rsidTr="00B51FC0">
        <w:trPr>
          <w:trHeight w:val="288"/>
        </w:trPr>
        <w:tc>
          <w:tcPr>
            <w:tcW w:w="1391" w:type="pct"/>
            <w:shd w:val="clear" w:color="auto" w:fill="auto"/>
            <w:noWrap/>
            <w:vAlign w:val="center"/>
            <w:hideMark/>
          </w:tcPr>
          <w:p w14:paraId="118ECADF"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Ogółem MS</w:t>
            </w:r>
          </w:p>
        </w:tc>
        <w:tc>
          <w:tcPr>
            <w:tcW w:w="602" w:type="pct"/>
            <w:shd w:val="clear" w:color="auto" w:fill="auto"/>
            <w:vAlign w:val="center"/>
            <w:hideMark/>
          </w:tcPr>
          <w:p w14:paraId="2E097A7F"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26 601</w:t>
            </w:r>
          </w:p>
        </w:tc>
        <w:tc>
          <w:tcPr>
            <w:tcW w:w="601" w:type="pct"/>
            <w:shd w:val="clear" w:color="auto" w:fill="auto"/>
            <w:vAlign w:val="center"/>
            <w:hideMark/>
          </w:tcPr>
          <w:p w14:paraId="3CAD176E"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22 730</w:t>
            </w:r>
          </w:p>
        </w:tc>
        <w:tc>
          <w:tcPr>
            <w:tcW w:w="601" w:type="pct"/>
            <w:shd w:val="clear" w:color="auto" w:fill="auto"/>
            <w:vAlign w:val="center"/>
            <w:hideMark/>
          </w:tcPr>
          <w:p w14:paraId="5768A0C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3 871</w:t>
            </w:r>
          </w:p>
        </w:tc>
        <w:tc>
          <w:tcPr>
            <w:tcW w:w="601" w:type="pct"/>
            <w:shd w:val="clear" w:color="auto" w:fill="auto"/>
            <w:vAlign w:val="center"/>
            <w:hideMark/>
          </w:tcPr>
          <w:p w14:paraId="63EC55D2"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2 195</w:t>
            </w:r>
          </w:p>
        </w:tc>
        <w:tc>
          <w:tcPr>
            <w:tcW w:w="601" w:type="pct"/>
            <w:shd w:val="clear" w:color="auto" w:fill="auto"/>
            <w:vAlign w:val="center"/>
            <w:hideMark/>
          </w:tcPr>
          <w:p w14:paraId="7CA5323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1 785</w:t>
            </w:r>
          </w:p>
        </w:tc>
        <w:tc>
          <w:tcPr>
            <w:tcW w:w="602" w:type="pct"/>
            <w:shd w:val="clear" w:color="auto" w:fill="auto"/>
            <w:vAlign w:val="center"/>
            <w:hideMark/>
          </w:tcPr>
          <w:p w14:paraId="6884CC36"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410</w:t>
            </w:r>
          </w:p>
        </w:tc>
      </w:tr>
      <w:tr w:rsidR="00B51FC0" w:rsidRPr="00DC3810" w14:paraId="6BA83FE9" w14:textId="77777777" w:rsidTr="00B51FC0">
        <w:trPr>
          <w:trHeight w:val="288"/>
        </w:trPr>
        <w:tc>
          <w:tcPr>
            <w:tcW w:w="1391" w:type="pct"/>
            <w:shd w:val="clear" w:color="auto" w:fill="auto"/>
            <w:vAlign w:val="center"/>
            <w:hideMark/>
          </w:tcPr>
          <w:p w14:paraId="74680EFD" w14:textId="77777777" w:rsidR="00B51FC0" w:rsidRPr="00DC3810" w:rsidRDefault="00B51FC0" w:rsidP="00B51FC0">
            <w:pPr>
              <w:spacing w:after="0" w:line="240" w:lineRule="auto"/>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  w tym 60 lat i więcej</w:t>
            </w:r>
          </w:p>
        </w:tc>
        <w:tc>
          <w:tcPr>
            <w:tcW w:w="602" w:type="pct"/>
            <w:shd w:val="clear" w:color="auto" w:fill="auto"/>
            <w:noWrap/>
            <w:vAlign w:val="bottom"/>
            <w:hideMark/>
          </w:tcPr>
          <w:p w14:paraId="57140415"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14 069</w:t>
            </w:r>
          </w:p>
        </w:tc>
        <w:tc>
          <w:tcPr>
            <w:tcW w:w="601" w:type="pct"/>
            <w:shd w:val="clear" w:color="auto" w:fill="auto"/>
            <w:noWrap/>
            <w:vAlign w:val="bottom"/>
            <w:hideMark/>
          </w:tcPr>
          <w:p w14:paraId="35ED835B"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11 408</w:t>
            </w:r>
          </w:p>
        </w:tc>
        <w:tc>
          <w:tcPr>
            <w:tcW w:w="601" w:type="pct"/>
            <w:shd w:val="clear" w:color="auto" w:fill="auto"/>
            <w:noWrap/>
            <w:vAlign w:val="bottom"/>
            <w:hideMark/>
          </w:tcPr>
          <w:p w14:paraId="73D4F8D8"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2 661</w:t>
            </w:r>
          </w:p>
        </w:tc>
        <w:tc>
          <w:tcPr>
            <w:tcW w:w="601" w:type="pct"/>
            <w:shd w:val="clear" w:color="auto" w:fill="auto"/>
            <w:noWrap/>
            <w:vAlign w:val="bottom"/>
            <w:hideMark/>
          </w:tcPr>
          <w:p w14:paraId="4C5B7EEA"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1 229</w:t>
            </w:r>
          </w:p>
        </w:tc>
        <w:tc>
          <w:tcPr>
            <w:tcW w:w="601" w:type="pct"/>
            <w:shd w:val="clear" w:color="auto" w:fill="auto"/>
            <w:noWrap/>
            <w:vAlign w:val="bottom"/>
            <w:hideMark/>
          </w:tcPr>
          <w:p w14:paraId="6D20A801"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948</w:t>
            </w:r>
          </w:p>
        </w:tc>
        <w:tc>
          <w:tcPr>
            <w:tcW w:w="602" w:type="pct"/>
            <w:shd w:val="clear" w:color="auto" w:fill="auto"/>
            <w:noWrap/>
            <w:vAlign w:val="bottom"/>
            <w:hideMark/>
          </w:tcPr>
          <w:p w14:paraId="18DA15C4" w14:textId="77777777" w:rsidR="00B51FC0" w:rsidRPr="00DC3810" w:rsidRDefault="00B51FC0" w:rsidP="00B51FC0">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281</w:t>
            </w:r>
          </w:p>
        </w:tc>
      </w:tr>
    </w:tbl>
    <w:p w14:paraId="4DF2D465" w14:textId="18F5ACF3" w:rsidR="00B51FC0" w:rsidRPr="009E6F68" w:rsidRDefault="00B51FC0" w:rsidP="006F1886">
      <w:pPr>
        <w:autoSpaceDE w:val="0"/>
        <w:autoSpaceDN w:val="0"/>
        <w:adjustRightInd w:val="0"/>
        <w:spacing w:after="0" w:line="240" w:lineRule="auto"/>
        <w:jc w:val="both"/>
        <w:rPr>
          <w:rFonts w:ascii="Lato" w:hAnsi="Lato" w:cstheme="minorHAnsi"/>
          <w:sz w:val="16"/>
          <w:szCs w:val="16"/>
        </w:rPr>
      </w:pPr>
      <w:r w:rsidRPr="009E6F68">
        <w:rPr>
          <w:rFonts w:ascii="Lato" w:hAnsi="Lato" w:cstheme="minorHAnsi"/>
          <w:sz w:val="16"/>
          <w:szCs w:val="16"/>
        </w:rPr>
        <w:t>Źródło: Dane ZUS, KRUS, MON, MSWiA i MS.</w:t>
      </w:r>
    </w:p>
    <w:p w14:paraId="23F8B002" w14:textId="2931A716" w:rsidR="00B51FC0" w:rsidRDefault="00B51FC0" w:rsidP="006F1886">
      <w:pPr>
        <w:autoSpaceDE w:val="0"/>
        <w:autoSpaceDN w:val="0"/>
        <w:adjustRightInd w:val="0"/>
        <w:spacing w:after="0" w:line="240" w:lineRule="auto"/>
        <w:jc w:val="both"/>
        <w:rPr>
          <w:rFonts w:ascii="Lato" w:hAnsi="Lato" w:cstheme="minorHAnsi"/>
          <w:sz w:val="20"/>
          <w:szCs w:val="20"/>
        </w:rPr>
      </w:pPr>
    </w:p>
    <w:p w14:paraId="6D53DE1F" w14:textId="77777777" w:rsidR="00261E18" w:rsidRPr="00261E18" w:rsidRDefault="00261E18" w:rsidP="00261E18">
      <w:pPr>
        <w:autoSpaceDE w:val="0"/>
        <w:autoSpaceDN w:val="0"/>
        <w:adjustRightInd w:val="0"/>
        <w:spacing w:after="0" w:line="240" w:lineRule="auto"/>
        <w:jc w:val="both"/>
        <w:rPr>
          <w:rFonts w:ascii="Lato" w:hAnsi="Lato" w:cs="Times New Roman"/>
          <w:sz w:val="20"/>
          <w:szCs w:val="20"/>
        </w:rPr>
      </w:pPr>
      <w:r w:rsidRPr="00261E18">
        <w:rPr>
          <w:rFonts w:ascii="Lato" w:hAnsi="Lato" w:cs="Times New Roman"/>
          <w:sz w:val="20"/>
          <w:szCs w:val="20"/>
        </w:rPr>
        <w:t xml:space="preserve">Wśród osób w wieku 60 lat i więcej pobierających emerytury z Zakładu Ubezpieczeń Społecznych (ZUS) ponad 61% stanowiły kobiety, a niespełna 39% mężczyźni. W Kasie Rolniczego Ubezpieczenia Społecznego (KRUS) wielkości te przedstawiały się następująco: 69% kobiety i 31% mężczyźni. W resortach tzw. „mundurowych” udział kobiet był znacznie niższy w porównaniu do świadczeniobiorców płci męskiej i wynosił – 0,08% w MON, 14% w MSWiA i 19% w MS. Wśród osób w wieku 60 lat i więcej pobierających renty z tytułu niezdolności do pracy z ZUS kobiety stanowiły 23%, natomiast mężczyźni 77%. W KRUS udział kobiet był również mniejszy niż mężczyzn i wynosił 45%, natomiast mężczyzn 55%. W resortach tzw. „mundurowych” udział kobiet wynosił odpowiednio: 18% w MSWiA i 23% w MS. W MON zanotowano zaledwie 3 kobiety pobierające rentę z tytułu niezdolności do pracy w wieku 60 lat i więcej. </w:t>
      </w:r>
    </w:p>
    <w:p w14:paraId="70E3C6F0" w14:textId="77777777" w:rsidR="00261E18" w:rsidRPr="006F1886" w:rsidRDefault="00261E18" w:rsidP="006F1886">
      <w:pPr>
        <w:autoSpaceDE w:val="0"/>
        <w:autoSpaceDN w:val="0"/>
        <w:adjustRightInd w:val="0"/>
        <w:spacing w:after="0" w:line="240" w:lineRule="auto"/>
        <w:jc w:val="both"/>
        <w:rPr>
          <w:rFonts w:ascii="Lato" w:hAnsi="Lato" w:cstheme="minorHAnsi"/>
          <w:sz w:val="20"/>
          <w:szCs w:val="20"/>
        </w:rPr>
      </w:pPr>
    </w:p>
    <w:p w14:paraId="55E46015" w14:textId="6459CA31" w:rsidR="00781EA1" w:rsidRPr="00DB2792" w:rsidRDefault="00781EA1" w:rsidP="006B2B17">
      <w:pPr>
        <w:pStyle w:val="Nagwek2"/>
        <w:rPr>
          <w:b/>
          <w:bCs/>
        </w:rPr>
      </w:pPr>
      <w:bookmarkStart w:id="18" w:name="_Toc142565926"/>
      <w:r w:rsidRPr="00DB2792">
        <w:rPr>
          <w:b/>
          <w:bCs/>
        </w:rPr>
        <w:t>Stan zdrowia i opieka zdrowotna</w:t>
      </w:r>
      <w:bookmarkEnd w:id="18"/>
    </w:p>
    <w:p w14:paraId="63AEAF23" w14:textId="04C2CC4E" w:rsidR="000D7A8E" w:rsidRDefault="000D7A8E" w:rsidP="00894B0E">
      <w:pPr>
        <w:spacing w:after="0" w:line="240" w:lineRule="auto"/>
        <w:jc w:val="both"/>
        <w:rPr>
          <w:rFonts w:ascii="Lato" w:hAnsi="Lato" w:cs="Times New Roman"/>
          <w:sz w:val="20"/>
          <w:szCs w:val="20"/>
        </w:rPr>
      </w:pPr>
      <w:r w:rsidRPr="000D7A8E">
        <w:rPr>
          <w:rFonts w:ascii="Lato" w:hAnsi="Lato" w:cs="Times New Roman"/>
          <w:sz w:val="20"/>
          <w:szCs w:val="20"/>
        </w:rPr>
        <w:t xml:space="preserve">Na podstawie wyników Europejskiego Badania Dochodów i Warunków Życia Ludności (EU–SILC) można stwierdzić, że 32,4% osób starszych w wieku 60 lat i więcej mieszkających w Polsce oceniło w 2021 r. swoje zdrowie jako „dobre” lub „bardzo dobre”. W porównaniu do roku poprzedniego oznacza to wzrost tego wskaźnika o 2,8 p. proc. Częściej jako „dobre” lub „bardzo dobre” określali swoje zdrowie mężczyźni (35,4%) niż kobiety (30,2%). Z kolei 21,2% osób starszych (o 1,2 p. proc mniej niż rok wcześniej) uznało, że ich zdrowie jest „złe” lub „bardzo złe”. Częściej stwierdzały tak kobiety niż mężczyźni (21,9% wobec 20,0%).  </w:t>
      </w:r>
    </w:p>
    <w:p w14:paraId="40246DFB" w14:textId="77777777" w:rsidR="009E6F68" w:rsidRPr="00894B0E" w:rsidRDefault="009E6F68" w:rsidP="00894B0E">
      <w:pPr>
        <w:spacing w:after="0" w:line="240" w:lineRule="auto"/>
        <w:jc w:val="both"/>
        <w:rPr>
          <w:rFonts w:ascii="Lato" w:hAnsi="Lato" w:cs="Times New Roman"/>
          <w:sz w:val="20"/>
          <w:szCs w:val="20"/>
        </w:rPr>
      </w:pPr>
    </w:p>
    <w:p w14:paraId="22E9BF95" w14:textId="111A9372" w:rsidR="006D7B34" w:rsidRDefault="006D7B34" w:rsidP="006D7B34">
      <w:pPr>
        <w:pStyle w:val="Legenda"/>
        <w:keepNext/>
      </w:pPr>
      <w:bookmarkStart w:id="19" w:name="_Toc142565981"/>
      <w:r>
        <w:t xml:space="preserve">Tabela </w:t>
      </w:r>
      <w:fldSimple w:instr=" SEQ Tabela \* ARABIC ">
        <w:r w:rsidR="00AA385B">
          <w:rPr>
            <w:noProof/>
          </w:rPr>
          <w:t>16</w:t>
        </w:r>
      </w:fldSimple>
      <w:r>
        <w:t xml:space="preserve"> Samoocena zdrowia </w:t>
      </w:r>
      <w:r w:rsidRPr="00E57A39">
        <w:rPr>
          <w:color w:val="auto"/>
        </w:rPr>
        <w:t>w 2021 r. (dane za rok 2022 dostępne będą pod koniec 2023 r.)</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0"/>
        <w:gridCol w:w="843"/>
        <w:gridCol w:w="1432"/>
        <w:gridCol w:w="787"/>
        <w:gridCol w:w="2656"/>
        <w:gridCol w:w="537"/>
        <w:gridCol w:w="1081"/>
      </w:tblGrid>
      <w:tr w:rsidR="006D7B34" w:rsidRPr="00DC3810" w14:paraId="6E8D4470" w14:textId="77777777" w:rsidTr="00DC3810">
        <w:trPr>
          <w:trHeight w:val="402"/>
        </w:trPr>
        <w:tc>
          <w:tcPr>
            <w:tcW w:w="954" w:type="pct"/>
            <w:vMerge w:val="restart"/>
            <w:shd w:val="clear" w:color="auto" w:fill="8EAADB" w:themeFill="accent1" w:themeFillTint="99"/>
            <w:noWrap/>
            <w:vAlign w:val="center"/>
            <w:hideMark/>
          </w:tcPr>
          <w:p w14:paraId="21DFA3B7"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465" w:type="pct"/>
            <w:vMerge w:val="restart"/>
            <w:shd w:val="clear" w:color="auto" w:fill="8EAADB" w:themeFill="accent1" w:themeFillTint="99"/>
            <w:noWrap/>
            <w:vAlign w:val="center"/>
            <w:hideMark/>
          </w:tcPr>
          <w:p w14:paraId="1B98723C"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3581" w:type="pct"/>
            <w:gridSpan w:val="5"/>
            <w:shd w:val="clear" w:color="auto" w:fill="8EAADB" w:themeFill="accent1" w:themeFillTint="99"/>
            <w:noWrap/>
            <w:vAlign w:val="center"/>
            <w:hideMark/>
          </w:tcPr>
          <w:p w14:paraId="4263179A"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Jak ogólnie ocenia Pan/Pani swoje zdrowie?</w:t>
            </w:r>
          </w:p>
        </w:tc>
      </w:tr>
      <w:tr w:rsidR="006D7B34" w:rsidRPr="00DC3810" w14:paraId="4A24128F" w14:textId="77777777" w:rsidTr="00DC3810">
        <w:trPr>
          <w:trHeight w:val="798"/>
        </w:trPr>
        <w:tc>
          <w:tcPr>
            <w:tcW w:w="954" w:type="pct"/>
            <w:vMerge/>
            <w:shd w:val="clear" w:color="auto" w:fill="8EAADB" w:themeFill="accent1" w:themeFillTint="99"/>
            <w:vAlign w:val="center"/>
            <w:hideMark/>
          </w:tcPr>
          <w:p w14:paraId="3C876031"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465" w:type="pct"/>
            <w:vMerge/>
            <w:shd w:val="clear" w:color="auto" w:fill="8EAADB" w:themeFill="accent1" w:themeFillTint="99"/>
            <w:vAlign w:val="center"/>
            <w:hideMark/>
          </w:tcPr>
          <w:p w14:paraId="30821A08"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790" w:type="pct"/>
            <w:shd w:val="clear" w:color="auto" w:fill="8EAADB" w:themeFill="accent1" w:themeFillTint="99"/>
            <w:noWrap/>
            <w:vAlign w:val="center"/>
            <w:hideMark/>
          </w:tcPr>
          <w:p w14:paraId="0A2D83C5"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Bardzo dobrze</w:t>
            </w:r>
          </w:p>
        </w:tc>
        <w:tc>
          <w:tcPr>
            <w:tcW w:w="434" w:type="pct"/>
            <w:shd w:val="clear" w:color="auto" w:fill="8EAADB" w:themeFill="accent1" w:themeFillTint="99"/>
            <w:noWrap/>
            <w:vAlign w:val="center"/>
            <w:hideMark/>
          </w:tcPr>
          <w:p w14:paraId="0F24CE66"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Dobrze</w:t>
            </w:r>
          </w:p>
        </w:tc>
        <w:tc>
          <w:tcPr>
            <w:tcW w:w="1465" w:type="pct"/>
            <w:shd w:val="clear" w:color="auto" w:fill="8EAADB" w:themeFill="accent1" w:themeFillTint="99"/>
            <w:vAlign w:val="center"/>
            <w:hideMark/>
          </w:tcPr>
          <w:p w14:paraId="120ECA84"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Tak sobie, ani dobrze ani źle</w:t>
            </w:r>
          </w:p>
        </w:tc>
        <w:tc>
          <w:tcPr>
            <w:tcW w:w="296" w:type="pct"/>
            <w:shd w:val="clear" w:color="auto" w:fill="8EAADB" w:themeFill="accent1" w:themeFillTint="99"/>
            <w:noWrap/>
            <w:vAlign w:val="center"/>
            <w:hideMark/>
          </w:tcPr>
          <w:p w14:paraId="5C7BEAEA"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Źle</w:t>
            </w:r>
          </w:p>
        </w:tc>
        <w:tc>
          <w:tcPr>
            <w:tcW w:w="596" w:type="pct"/>
            <w:shd w:val="clear" w:color="auto" w:fill="8EAADB" w:themeFill="accent1" w:themeFillTint="99"/>
            <w:noWrap/>
            <w:vAlign w:val="center"/>
            <w:hideMark/>
          </w:tcPr>
          <w:p w14:paraId="18EFFF5B"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Bardzo źle</w:t>
            </w:r>
          </w:p>
        </w:tc>
      </w:tr>
      <w:tr w:rsidR="006D7B34" w:rsidRPr="00DC3810" w14:paraId="494FC700" w14:textId="77777777" w:rsidTr="00DC3810">
        <w:trPr>
          <w:trHeight w:val="402"/>
        </w:trPr>
        <w:tc>
          <w:tcPr>
            <w:tcW w:w="954" w:type="pct"/>
            <w:vMerge/>
            <w:shd w:val="clear" w:color="auto" w:fill="8EAADB" w:themeFill="accent1" w:themeFillTint="99"/>
            <w:vAlign w:val="center"/>
            <w:hideMark/>
          </w:tcPr>
          <w:p w14:paraId="64E8E33F"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4046" w:type="pct"/>
            <w:gridSpan w:val="6"/>
            <w:shd w:val="clear" w:color="auto" w:fill="8EAADB" w:themeFill="accent1" w:themeFillTint="99"/>
            <w:vAlign w:val="center"/>
            <w:hideMark/>
          </w:tcPr>
          <w:p w14:paraId="5562C5EC"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 osób danej grupy</w:t>
            </w:r>
          </w:p>
        </w:tc>
      </w:tr>
      <w:tr w:rsidR="006D7B34" w:rsidRPr="00DC3810" w14:paraId="4573DF96" w14:textId="77777777" w:rsidTr="00DC3810">
        <w:trPr>
          <w:trHeight w:val="134"/>
        </w:trPr>
        <w:tc>
          <w:tcPr>
            <w:tcW w:w="5000" w:type="pct"/>
            <w:gridSpan w:val="7"/>
            <w:shd w:val="clear" w:color="auto" w:fill="auto"/>
            <w:noWrap/>
            <w:vAlign w:val="center"/>
            <w:hideMark/>
          </w:tcPr>
          <w:p w14:paraId="149223CB"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osoby w wieku 16 lat i więcej</w:t>
            </w:r>
          </w:p>
        </w:tc>
      </w:tr>
      <w:tr w:rsidR="006D7B34" w:rsidRPr="00DC3810" w14:paraId="1ED1CB01" w14:textId="77777777" w:rsidTr="006D7B34">
        <w:trPr>
          <w:trHeight w:val="300"/>
        </w:trPr>
        <w:tc>
          <w:tcPr>
            <w:tcW w:w="954" w:type="pct"/>
            <w:shd w:val="clear" w:color="auto" w:fill="auto"/>
            <w:noWrap/>
            <w:vAlign w:val="center"/>
            <w:hideMark/>
          </w:tcPr>
          <w:p w14:paraId="09556A38" w14:textId="77777777" w:rsidR="006D7B34" w:rsidRPr="00DC3810" w:rsidRDefault="006D7B34" w:rsidP="006D7B34">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465" w:type="pct"/>
            <w:shd w:val="clear" w:color="auto" w:fill="auto"/>
            <w:noWrap/>
            <w:vAlign w:val="center"/>
            <w:hideMark/>
          </w:tcPr>
          <w:p w14:paraId="2CD888F6"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790" w:type="pct"/>
            <w:shd w:val="clear" w:color="auto" w:fill="auto"/>
            <w:noWrap/>
            <w:vAlign w:val="center"/>
            <w:hideMark/>
          </w:tcPr>
          <w:p w14:paraId="0A0B1C10"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15,7</w:t>
            </w:r>
          </w:p>
        </w:tc>
        <w:tc>
          <w:tcPr>
            <w:tcW w:w="434" w:type="pct"/>
            <w:shd w:val="clear" w:color="auto" w:fill="auto"/>
            <w:noWrap/>
            <w:vAlign w:val="center"/>
            <w:hideMark/>
          </w:tcPr>
          <w:p w14:paraId="67404B5B"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48,7</w:t>
            </w:r>
          </w:p>
        </w:tc>
        <w:tc>
          <w:tcPr>
            <w:tcW w:w="1465" w:type="pct"/>
            <w:shd w:val="clear" w:color="auto" w:fill="auto"/>
            <w:noWrap/>
            <w:vAlign w:val="center"/>
            <w:hideMark/>
          </w:tcPr>
          <w:p w14:paraId="2897CF15"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25,4</w:t>
            </w:r>
          </w:p>
        </w:tc>
        <w:tc>
          <w:tcPr>
            <w:tcW w:w="296" w:type="pct"/>
            <w:shd w:val="clear" w:color="auto" w:fill="auto"/>
            <w:noWrap/>
            <w:vAlign w:val="center"/>
            <w:hideMark/>
          </w:tcPr>
          <w:p w14:paraId="62F0171E"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8,5</w:t>
            </w:r>
          </w:p>
        </w:tc>
        <w:tc>
          <w:tcPr>
            <w:tcW w:w="596" w:type="pct"/>
            <w:shd w:val="clear" w:color="auto" w:fill="auto"/>
            <w:noWrap/>
            <w:vAlign w:val="center"/>
            <w:hideMark/>
          </w:tcPr>
          <w:p w14:paraId="2FB3C679"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w:t>
            </w:r>
          </w:p>
        </w:tc>
      </w:tr>
      <w:tr w:rsidR="006D7B34" w:rsidRPr="00DC3810" w14:paraId="5CE684A0" w14:textId="77777777" w:rsidTr="006D7B34">
        <w:trPr>
          <w:trHeight w:val="300"/>
        </w:trPr>
        <w:tc>
          <w:tcPr>
            <w:tcW w:w="954" w:type="pct"/>
            <w:shd w:val="clear" w:color="auto" w:fill="auto"/>
            <w:noWrap/>
            <w:vAlign w:val="center"/>
            <w:hideMark/>
          </w:tcPr>
          <w:p w14:paraId="71659DEE"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65" w:type="pct"/>
            <w:shd w:val="clear" w:color="auto" w:fill="auto"/>
            <w:noWrap/>
            <w:vAlign w:val="center"/>
            <w:hideMark/>
          </w:tcPr>
          <w:p w14:paraId="6268B8F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668D6965"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17,7</w:t>
            </w:r>
          </w:p>
        </w:tc>
        <w:tc>
          <w:tcPr>
            <w:tcW w:w="434" w:type="pct"/>
            <w:shd w:val="clear" w:color="auto" w:fill="auto"/>
            <w:noWrap/>
            <w:vAlign w:val="center"/>
            <w:hideMark/>
          </w:tcPr>
          <w:p w14:paraId="5A113D54"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50,1</w:t>
            </w:r>
          </w:p>
        </w:tc>
        <w:tc>
          <w:tcPr>
            <w:tcW w:w="1465" w:type="pct"/>
            <w:shd w:val="clear" w:color="auto" w:fill="auto"/>
            <w:noWrap/>
            <w:vAlign w:val="center"/>
            <w:hideMark/>
          </w:tcPr>
          <w:p w14:paraId="626AA019"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22,7</w:t>
            </w:r>
          </w:p>
        </w:tc>
        <w:tc>
          <w:tcPr>
            <w:tcW w:w="296" w:type="pct"/>
            <w:shd w:val="clear" w:color="auto" w:fill="auto"/>
            <w:noWrap/>
            <w:vAlign w:val="center"/>
            <w:hideMark/>
          </w:tcPr>
          <w:p w14:paraId="2F8CBE18"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7,9</w:t>
            </w:r>
          </w:p>
        </w:tc>
        <w:tc>
          <w:tcPr>
            <w:tcW w:w="596" w:type="pct"/>
            <w:shd w:val="clear" w:color="auto" w:fill="auto"/>
            <w:noWrap/>
            <w:vAlign w:val="center"/>
            <w:hideMark/>
          </w:tcPr>
          <w:p w14:paraId="45655E7C"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w:t>
            </w:r>
          </w:p>
        </w:tc>
      </w:tr>
      <w:tr w:rsidR="006D7B34" w:rsidRPr="00DC3810" w14:paraId="70208EF2" w14:textId="77777777" w:rsidTr="006D7B34">
        <w:trPr>
          <w:trHeight w:val="300"/>
        </w:trPr>
        <w:tc>
          <w:tcPr>
            <w:tcW w:w="954" w:type="pct"/>
            <w:shd w:val="clear" w:color="auto" w:fill="auto"/>
            <w:noWrap/>
            <w:vAlign w:val="center"/>
            <w:hideMark/>
          </w:tcPr>
          <w:p w14:paraId="127AD634"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65" w:type="pct"/>
            <w:shd w:val="clear" w:color="auto" w:fill="auto"/>
            <w:noWrap/>
            <w:vAlign w:val="center"/>
            <w:hideMark/>
          </w:tcPr>
          <w:p w14:paraId="0D7847D5"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5A688008"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14,0</w:t>
            </w:r>
          </w:p>
        </w:tc>
        <w:tc>
          <w:tcPr>
            <w:tcW w:w="434" w:type="pct"/>
            <w:shd w:val="clear" w:color="auto" w:fill="auto"/>
            <w:noWrap/>
            <w:vAlign w:val="center"/>
            <w:hideMark/>
          </w:tcPr>
          <w:p w14:paraId="7604A1F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47,4</w:t>
            </w:r>
          </w:p>
        </w:tc>
        <w:tc>
          <w:tcPr>
            <w:tcW w:w="1465" w:type="pct"/>
            <w:shd w:val="clear" w:color="auto" w:fill="auto"/>
            <w:noWrap/>
            <w:vAlign w:val="center"/>
            <w:hideMark/>
          </w:tcPr>
          <w:p w14:paraId="2AC5C876"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27,7</w:t>
            </w:r>
          </w:p>
        </w:tc>
        <w:tc>
          <w:tcPr>
            <w:tcW w:w="296" w:type="pct"/>
            <w:shd w:val="clear" w:color="auto" w:fill="auto"/>
            <w:noWrap/>
            <w:vAlign w:val="center"/>
            <w:hideMark/>
          </w:tcPr>
          <w:p w14:paraId="00A820F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c>
          <w:tcPr>
            <w:tcW w:w="596" w:type="pct"/>
            <w:shd w:val="clear" w:color="auto" w:fill="auto"/>
            <w:noWrap/>
            <w:vAlign w:val="center"/>
            <w:hideMark/>
          </w:tcPr>
          <w:p w14:paraId="4D05BC95"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w:t>
            </w:r>
          </w:p>
        </w:tc>
      </w:tr>
      <w:tr w:rsidR="006D7B34" w:rsidRPr="00DC3810" w14:paraId="45A72A2D" w14:textId="77777777" w:rsidTr="006D7B34">
        <w:trPr>
          <w:trHeight w:val="300"/>
        </w:trPr>
        <w:tc>
          <w:tcPr>
            <w:tcW w:w="954" w:type="pct"/>
            <w:shd w:val="clear" w:color="auto" w:fill="auto"/>
            <w:noWrap/>
            <w:vAlign w:val="center"/>
            <w:hideMark/>
          </w:tcPr>
          <w:p w14:paraId="2C18D805"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lastRenderedPageBreak/>
              <w:t>Miasta</w:t>
            </w:r>
          </w:p>
        </w:tc>
        <w:tc>
          <w:tcPr>
            <w:tcW w:w="465" w:type="pct"/>
            <w:shd w:val="clear" w:color="auto" w:fill="auto"/>
            <w:noWrap/>
            <w:vAlign w:val="center"/>
            <w:hideMark/>
          </w:tcPr>
          <w:p w14:paraId="50240644"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11113F5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16,1</w:t>
            </w:r>
          </w:p>
        </w:tc>
        <w:tc>
          <w:tcPr>
            <w:tcW w:w="434" w:type="pct"/>
            <w:shd w:val="clear" w:color="auto" w:fill="auto"/>
            <w:noWrap/>
            <w:vAlign w:val="center"/>
            <w:hideMark/>
          </w:tcPr>
          <w:p w14:paraId="5DB89266"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48,8</w:t>
            </w:r>
          </w:p>
        </w:tc>
        <w:tc>
          <w:tcPr>
            <w:tcW w:w="1465" w:type="pct"/>
            <w:shd w:val="clear" w:color="auto" w:fill="auto"/>
            <w:noWrap/>
            <w:vAlign w:val="center"/>
            <w:hideMark/>
          </w:tcPr>
          <w:p w14:paraId="0CD53510"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25,2</w:t>
            </w:r>
          </w:p>
        </w:tc>
        <w:tc>
          <w:tcPr>
            <w:tcW w:w="296" w:type="pct"/>
            <w:shd w:val="clear" w:color="auto" w:fill="auto"/>
            <w:noWrap/>
            <w:vAlign w:val="center"/>
            <w:hideMark/>
          </w:tcPr>
          <w:p w14:paraId="6A6170C4"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w:t>
            </w:r>
          </w:p>
        </w:tc>
        <w:tc>
          <w:tcPr>
            <w:tcW w:w="596" w:type="pct"/>
            <w:shd w:val="clear" w:color="auto" w:fill="auto"/>
            <w:noWrap/>
            <w:vAlign w:val="center"/>
            <w:hideMark/>
          </w:tcPr>
          <w:p w14:paraId="372FF3C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w:t>
            </w:r>
          </w:p>
        </w:tc>
      </w:tr>
      <w:tr w:rsidR="006D7B34" w:rsidRPr="00DC3810" w14:paraId="5961DF08" w14:textId="77777777" w:rsidTr="006D7B34">
        <w:trPr>
          <w:trHeight w:val="300"/>
        </w:trPr>
        <w:tc>
          <w:tcPr>
            <w:tcW w:w="954" w:type="pct"/>
            <w:shd w:val="clear" w:color="auto" w:fill="auto"/>
            <w:noWrap/>
            <w:vAlign w:val="center"/>
            <w:hideMark/>
          </w:tcPr>
          <w:p w14:paraId="3909CBE0"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65" w:type="pct"/>
            <w:shd w:val="clear" w:color="auto" w:fill="auto"/>
            <w:noWrap/>
            <w:vAlign w:val="center"/>
            <w:hideMark/>
          </w:tcPr>
          <w:p w14:paraId="47DF2DCF"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57ED4B7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15,0</w:t>
            </w:r>
          </w:p>
        </w:tc>
        <w:tc>
          <w:tcPr>
            <w:tcW w:w="434" w:type="pct"/>
            <w:shd w:val="clear" w:color="auto" w:fill="auto"/>
            <w:noWrap/>
            <w:vAlign w:val="center"/>
            <w:hideMark/>
          </w:tcPr>
          <w:p w14:paraId="457427CF"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48,5</w:t>
            </w:r>
          </w:p>
        </w:tc>
        <w:tc>
          <w:tcPr>
            <w:tcW w:w="1465" w:type="pct"/>
            <w:shd w:val="clear" w:color="auto" w:fill="auto"/>
            <w:noWrap/>
            <w:vAlign w:val="center"/>
            <w:hideMark/>
          </w:tcPr>
          <w:p w14:paraId="14281069"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25,7</w:t>
            </w:r>
          </w:p>
        </w:tc>
        <w:tc>
          <w:tcPr>
            <w:tcW w:w="296" w:type="pct"/>
            <w:shd w:val="clear" w:color="auto" w:fill="auto"/>
            <w:noWrap/>
            <w:vAlign w:val="center"/>
            <w:hideMark/>
          </w:tcPr>
          <w:p w14:paraId="600A484F"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9,1</w:t>
            </w:r>
          </w:p>
        </w:tc>
        <w:tc>
          <w:tcPr>
            <w:tcW w:w="596" w:type="pct"/>
            <w:shd w:val="clear" w:color="auto" w:fill="auto"/>
            <w:noWrap/>
            <w:vAlign w:val="center"/>
            <w:hideMark/>
          </w:tcPr>
          <w:p w14:paraId="0584F970"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w:t>
            </w:r>
          </w:p>
        </w:tc>
      </w:tr>
      <w:tr w:rsidR="006D7B34" w:rsidRPr="00DC3810" w14:paraId="548CCF4F" w14:textId="77777777" w:rsidTr="00DC3810">
        <w:trPr>
          <w:trHeight w:val="203"/>
        </w:trPr>
        <w:tc>
          <w:tcPr>
            <w:tcW w:w="5000" w:type="pct"/>
            <w:gridSpan w:val="7"/>
            <w:shd w:val="clear" w:color="auto" w:fill="auto"/>
            <w:noWrap/>
            <w:vAlign w:val="center"/>
            <w:hideMark/>
          </w:tcPr>
          <w:p w14:paraId="1AB6093B"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r>
      <w:tr w:rsidR="006D7B34" w:rsidRPr="00DC3810" w14:paraId="261FEF94" w14:textId="77777777" w:rsidTr="006D7B34">
        <w:trPr>
          <w:trHeight w:val="300"/>
        </w:trPr>
        <w:tc>
          <w:tcPr>
            <w:tcW w:w="954" w:type="pct"/>
            <w:shd w:val="clear" w:color="auto" w:fill="auto"/>
            <w:noWrap/>
            <w:vAlign w:val="center"/>
            <w:hideMark/>
          </w:tcPr>
          <w:p w14:paraId="38F9F05A" w14:textId="77777777" w:rsidR="006D7B34" w:rsidRPr="00DC3810" w:rsidRDefault="006D7B34" w:rsidP="006D7B34">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465" w:type="pct"/>
            <w:shd w:val="clear" w:color="auto" w:fill="auto"/>
            <w:noWrap/>
            <w:vAlign w:val="center"/>
            <w:hideMark/>
          </w:tcPr>
          <w:p w14:paraId="678680B0"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790" w:type="pct"/>
            <w:shd w:val="clear" w:color="auto" w:fill="auto"/>
            <w:noWrap/>
            <w:vAlign w:val="center"/>
            <w:hideMark/>
          </w:tcPr>
          <w:p w14:paraId="2E03D188"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2,0</w:t>
            </w:r>
          </w:p>
        </w:tc>
        <w:tc>
          <w:tcPr>
            <w:tcW w:w="434" w:type="pct"/>
            <w:shd w:val="clear" w:color="auto" w:fill="auto"/>
            <w:noWrap/>
            <w:vAlign w:val="center"/>
            <w:hideMark/>
          </w:tcPr>
          <w:p w14:paraId="638A0FF7"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30,4</w:t>
            </w:r>
          </w:p>
        </w:tc>
        <w:tc>
          <w:tcPr>
            <w:tcW w:w="1465" w:type="pct"/>
            <w:shd w:val="clear" w:color="auto" w:fill="auto"/>
            <w:noWrap/>
            <w:vAlign w:val="center"/>
            <w:hideMark/>
          </w:tcPr>
          <w:p w14:paraId="42937476"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46,5</w:t>
            </w:r>
          </w:p>
        </w:tc>
        <w:tc>
          <w:tcPr>
            <w:tcW w:w="296" w:type="pct"/>
            <w:shd w:val="clear" w:color="auto" w:fill="auto"/>
            <w:noWrap/>
            <w:vAlign w:val="center"/>
            <w:hideMark/>
          </w:tcPr>
          <w:p w14:paraId="2DE7A4C4"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17,6</w:t>
            </w:r>
          </w:p>
        </w:tc>
        <w:tc>
          <w:tcPr>
            <w:tcW w:w="596" w:type="pct"/>
            <w:shd w:val="clear" w:color="auto" w:fill="auto"/>
            <w:noWrap/>
            <w:vAlign w:val="center"/>
            <w:hideMark/>
          </w:tcPr>
          <w:p w14:paraId="2AA8BB23"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3,6</w:t>
            </w:r>
          </w:p>
        </w:tc>
      </w:tr>
      <w:tr w:rsidR="006D7B34" w:rsidRPr="00DC3810" w14:paraId="4CCE156C" w14:textId="77777777" w:rsidTr="006D7B34">
        <w:trPr>
          <w:trHeight w:val="300"/>
        </w:trPr>
        <w:tc>
          <w:tcPr>
            <w:tcW w:w="954" w:type="pct"/>
            <w:shd w:val="clear" w:color="auto" w:fill="auto"/>
            <w:noWrap/>
            <w:vAlign w:val="center"/>
            <w:hideMark/>
          </w:tcPr>
          <w:p w14:paraId="3236CDA5"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65" w:type="pct"/>
            <w:shd w:val="clear" w:color="auto" w:fill="auto"/>
            <w:noWrap/>
            <w:vAlign w:val="center"/>
            <w:hideMark/>
          </w:tcPr>
          <w:p w14:paraId="7B7BF45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5D5A107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w:t>
            </w:r>
          </w:p>
        </w:tc>
        <w:tc>
          <w:tcPr>
            <w:tcW w:w="434" w:type="pct"/>
            <w:shd w:val="clear" w:color="auto" w:fill="auto"/>
            <w:noWrap/>
            <w:vAlign w:val="center"/>
            <w:hideMark/>
          </w:tcPr>
          <w:p w14:paraId="6337658C"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32,9</w:t>
            </w:r>
          </w:p>
        </w:tc>
        <w:tc>
          <w:tcPr>
            <w:tcW w:w="1465" w:type="pct"/>
            <w:shd w:val="clear" w:color="auto" w:fill="auto"/>
            <w:noWrap/>
            <w:vAlign w:val="center"/>
            <w:hideMark/>
          </w:tcPr>
          <w:p w14:paraId="5F3F9967"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44,5</w:t>
            </w:r>
          </w:p>
        </w:tc>
        <w:tc>
          <w:tcPr>
            <w:tcW w:w="296" w:type="pct"/>
            <w:shd w:val="clear" w:color="auto" w:fill="auto"/>
            <w:noWrap/>
            <w:vAlign w:val="center"/>
            <w:hideMark/>
          </w:tcPr>
          <w:p w14:paraId="25ECF3B0"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16,9</w:t>
            </w:r>
          </w:p>
        </w:tc>
        <w:tc>
          <w:tcPr>
            <w:tcW w:w="596" w:type="pct"/>
            <w:shd w:val="clear" w:color="auto" w:fill="auto"/>
            <w:noWrap/>
            <w:vAlign w:val="center"/>
            <w:hideMark/>
          </w:tcPr>
          <w:p w14:paraId="0E4D76A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w:t>
            </w:r>
          </w:p>
        </w:tc>
      </w:tr>
      <w:tr w:rsidR="006D7B34" w:rsidRPr="00DC3810" w14:paraId="325089AA" w14:textId="77777777" w:rsidTr="006D7B34">
        <w:trPr>
          <w:trHeight w:val="300"/>
        </w:trPr>
        <w:tc>
          <w:tcPr>
            <w:tcW w:w="954" w:type="pct"/>
            <w:shd w:val="clear" w:color="auto" w:fill="auto"/>
            <w:noWrap/>
            <w:vAlign w:val="center"/>
            <w:hideMark/>
          </w:tcPr>
          <w:p w14:paraId="1918BCE2"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65" w:type="pct"/>
            <w:shd w:val="clear" w:color="auto" w:fill="auto"/>
            <w:noWrap/>
            <w:vAlign w:val="center"/>
            <w:hideMark/>
          </w:tcPr>
          <w:p w14:paraId="6512EC1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21F8EF5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w:t>
            </w:r>
          </w:p>
        </w:tc>
        <w:tc>
          <w:tcPr>
            <w:tcW w:w="434" w:type="pct"/>
            <w:shd w:val="clear" w:color="auto" w:fill="auto"/>
            <w:noWrap/>
            <w:vAlign w:val="center"/>
            <w:hideMark/>
          </w:tcPr>
          <w:p w14:paraId="660308D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28,5</w:t>
            </w:r>
          </w:p>
        </w:tc>
        <w:tc>
          <w:tcPr>
            <w:tcW w:w="1465" w:type="pct"/>
            <w:shd w:val="clear" w:color="auto" w:fill="auto"/>
            <w:noWrap/>
            <w:vAlign w:val="center"/>
            <w:hideMark/>
          </w:tcPr>
          <w:p w14:paraId="1D77F6D4"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47,9</w:t>
            </w:r>
          </w:p>
        </w:tc>
        <w:tc>
          <w:tcPr>
            <w:tcW w:w="296" w:type="pct"/>
            <w:shd w:val="clear" w:color="auto" w:fill="auto"/>
            <w:noWrap/>
            <w:vAlign w:val="center"/>
            <w:hideMark/>
          </w:tcPr>
          <w:p w14:paraId="1E44F61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18,0</w:t>
            </w:r>
          </w:p>
        </w:tc>
        <w:tc>
          <w:tcPr>
            <w:tcW w:w="596" w:type="pct"/>
            <w:shd w:val="clear" w:color="auto" w:fill="auto"/>
            <w:noWrap/>
            <w:vAlign w:val="center"/>
            <w:hideMark/>
          </w:tcPr>
          <w:p w14:paraId="56A27ADE"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3,9</w:t>
            </w:r>
          </w:p>
        </w:tc>
      </w:tr>
      <w:tr w:rsidR="006D7B34" w:rsidRPr="00DC3810" w14:paraId="29ED971C" w14:textId="77777777" w:rsidTr="006D7B34">
        <w:trPr>
          <w:trHeight w:val="300"/>
        </w:trPr>
        <w:tc>
          <w:tcPr>
            <w:tcW w:w="954" w:type="pct"/>
            <w:shd w:val="clear" w:color="auto" w:fill="auto"/>
            <w:noWrap/>
            <w:vAlign w:val="center"/>
            <w:hideMark/>
          </w:tcPr>
          <w:p w14:paraId="56BE11A1"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465" w:type="pct"/>
            <w:shd w:val="clear" w:color="auto" w:fill="auto"/>
            <w:noWrap/>
            <w:vAlign w:val="center"/>
            <w:hideMark/>
          </w:tcPr>
          <w:p w14:paraId="54B72348"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10D15A2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w:t>
            </w:r>
          </w:p>
        </w:tc>
        <w:tc>
          <w:tcPr>
            <w:tcW w:w="434" w:type="pct"/>
            <w:shd w:val="clear" w:color="auto" w:fill="auto"/>
            <w:noWrap/>
            <w:vAlign w:val="center"/>
            <w:hideMark/>
          </w:tcPr>
          <w:p w14:paraId="4A7D1BB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32,1</w:t>
            </w:r>
          </w:p>
        </w:tc>
        <w:tc>
          <w:tcPr>
            <w:tcW w:w="1465" w:type="pct"/>
            <w:shd w:val="clear" w:color="auto" w:fill="auto"/>
            <w:noWrap/>
            <w:vAlign w:val="center"/>
            <w:hideMark/>
          </w:tcPr>
          <w:p w14:paraId="3C9DB54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45,1</w:t>
            </w:r>
          </w:p>
        </w:tc>
        <w:tc>
          <w:tcPr>
            <w:tcW w:w="296" w:type="pct"/>
            <w:shd w:val="clear" w:color="auto" w:fill="auto"/>
            <w:noWrap/>
            <w:vAlign w:val="center"/>
            <w:hideMark/>
          </w:tcPr>
          <w:p w14:paraId="0940C85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16,5</w:t>
            </w:r>
          </w:p>
        </w:tc>
        <w:tc>
          <w:tcPr>
            <w:tcW w:w="596" w:type="pct"/>
            <w:shd w:val="clear" w:color="auto" w:fill="auto"/>
            <w:noWrap/>
            <w:vAlign w:val="center"/>
            <w:hideMark/>
          </w:tcPr>
          <w:p w14:paraId="1552F0D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3,7</w:t>
            </w:r>
          </w:p>
        </w:tc>
      </w:tr>
      <w:tr w:rsidR="006D7B34" w:rsidRPr="00DC3810" w14:paraId="1449CA93" w14:textId="77777777" w:rsidTr="006D7B34">
        <w:trPr>
          <w:trHeight w:val="300"/>
        </w:trPr>
        <w:tc>
          <w:tcPr>
            <w:tcW w:w="954" w:type="pct"/>
            <w:shd w:val="clear" w:color="auto" w:fill="auto"/>
            <w:noWrap/>
            <w:vAlign w:val="center"/>
            <w:hideMark/>
          </w:tcPr>
          <w:p w14:paraId="1ACAD974"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65" w:type="pct"/>
            <w:shd w:val="clear" w:color="auto" w:fill="auto"/>
            <w:noWrap/>
            <w:vAlign w:val="center"/>
            <w:hideMark/>
          </w:tcPr>
          <w:p w14:paraId="7304E72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790" w:type="pct"/>
            <w:shd w:val="clear" w:color="auto" w:fill="auto"/>
            <w:noWrap/>
            <w:vAlign w:val="center"/>
            <w:hideMark/>
          </w:tcPr>
          <w:p w14:paraId="1E254706"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w:t>
            </w:r>
          </w:p>
        </w:tc>
        <w:tc>
          <w:tcPr>
            <w:tcW w:w="434" w:type="pct"/>
            <w:shd w:val="clear" w:color="auto" w:fill="auto"/>
            <w:noWrap/>
            <w:vAlign w:val="center"/>
            <w:hideMark/>
          </w:tcPr>
          <w:p w14:paraId="172261F6"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27,5</w:t>
            </w:r>
          </w:p>
        </w:tc>
        <w:tc>
          <w:tcPr>
            <w:tcW w:w="1465" w:type="pct"/>
            <w:shd w:val="clear" w:color="auto" w:fill="auto"/>
            <w:noWrap/>
            <w:vAlign w:val="center"/>
            <w:hideMark/>
          </w:tcPr>
          <w:p w14:paraId="1D14D75C"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48,8</w:t>
            </w:r>
          </w:p>
        </w:tc>
        <w:tc>
          <w:tcPr>
            <w:tcW w:w="296" w:type="pct"/>
            <w:shd w:val="clear" w:color="auto" w:fill="auto"/>
            <w:noWrap/>
            <w:vAlign w:val="center"/>
            <w:hideMark/>
          </w:tcPr>
          <w:p w14:paraId="4396B8B7"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19,3</w:t>
            </w:r>
          </w:p>
        </w:tc>
        <w:tc>
          <w:tcPr>
            <w:tcW w:w="596" w:type="pct"/>
            <w:shd w:val="clear" w:color="auto" w:fill="auto"/>
            <w:noWrap/>
            <w:vAlign w:val="center"/>
            <w:hideMark/>
          </w:tcPr>
          <w:p w14:paraId="08392B96"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3,3</w:t>
            </w:r>
          </w:p>
        </w:tc>
      </w:tr>
    </w:tbl>
    <w:p w14:paraId="67329E8A" w14:textId="64A1D1D7" w:rsidR="006D7B34" w:rsidRDefault="006D7B34" w:rsidP="006D7B34">
      <w:r w:rsidRPr="006D7B34">
        <w:t>Źródło: Badanie EU-SILC 2021 r.,</w:t>
      </w:r>
      <w:r>
        <w:t xml:space="preserve"> </w:t>
      </w:r>
      <w:r w:rsidRPr="006D7B34">
        <w:t>GUS - dane wstępne</w:t>
      </w:r>
    </w:p>
    <w:p w14:paraId="2EFC1D85" w14:textId="2308E146" w:rsidR="006D7B34" w:rsidRDefault="000D7A8E" w:rsidP="000D7A8E">
      <w:pPr>
        <w:spacing w:after="0" w:line="240" w:lineRule="auto"/>
        <w:jc w:val="both"/>
        <w:rPr>
          <w:rFonts w:ascii="Lato" w:hAnsi="Lato" w:cs="Times New Roman"/>
          <w:sz w:val="20"/>
          <w:szCs w:val="20"/>
        </w:rPr>
      </w:pPr>
      <w:r w:rsidRPr="000D7A8E">
        <w:rPr>
          <w:rFonts w:ascii="Lato" w:hAnsi="Lato" w:cs="Times New Roman"/>
          <w:sz w:val="20"/>
          <w:szCs w:val="20"/>
        </w:rPr>
        <w:t xml:space="preserve">W 2021 r. prawie dwie trzecie osób w wieku 60 lat i więcej (61,6% wobec 65,6% w </w:t>
      </w:r>
      <w:r>
        <w:rPr>
          <w:rFonts w:ascii="Lato" w:hAnsi="Lato" w:cs="Times New Roman"/>
          <w:sz w:val="20"/>
          <w:szCs w:val="20"/>
        </w:rPr>
        <w:t xml:space="preserve">2020 </w:t>
      </w:r>
      <w:r w:rsidRPr="000D7A8E">
        <w:rPr>
          <w:rFonts w:ascii="Lato" w:hAnsi="Lato" w:cs="Times New Roman"/>
          <w:sz w:val="20"/>
          <w:szCs w:val="20"/>
        </w:rPr>
        <w:t>r</w:t>
      </w:r>
      <w:r>
        <w:rPr>
          <w:rFonts w:ascii="Lato" w:hAnsi="Lato" w:cs="Times New Roman"/>
          <w:sz w:val="20"/>
          <w:szCs w:val="20"/>
        </w:rPr>
        <w:t>.</w:t>
      </w:r>
      <w:r w:rsidRPr="000D7A8E">
        <w:rPr>
          <w:rFonts w:ascii="Lato" w:hAnsi="Lato" w:cs="Times New Roman"/>
          <w:sz w:val="20"/>
          <w:szCs w:val="20"/>
        </w:rPr>
        <w:t xml:space="preserve">) wskazało na długotrwałe problemy zdrowotne lub choroby przewlekłe, które trwały (lub przewidywano że będą trwały) co najmniej 6 miesięcy. Częściej były to kobiety (64,1%) niż mężczyźni (58,1%). Większy udział osób o długotrwałych problemach zdrowotnych lub chorobach przewlekłych odnotowano w miastach (62,4%) niż na wsi (60,2%).   </w:t>
      </w:r>
    </w:p>
    <w:p w14:paraId="01FFC4F2" w14:textId="77777777" w:rsidR="000D7A8E" w:rsidRPr="000D7A8E" w:rsidRDefault="000D7A8E" w:rsidP="000D7A8E">
      <w:pPr>
        <w:spacing w:after="0" w:line="240" w:lineRule="auto"/>
        <w:jc w:val="both"/>
        <w:rPr>
          <w:rFonts w:ascii="Lato" w:hAnsi="Lato" w:cs="Times New Roman"/>
          <w:sz w:val="20"/>
          <w:szCs w:val="20"/>
        </w:rPr>
      </w:pPr>
    </w:p>
    <w:p w14:paraId="6FFDCE4A" w14:textId="3665F79B" w:rsidR="006D7B34" w:rsidRPr="00100E23" w:rsidRDefault="006D7B34" w:rsidP="006D7B34">
      <w:pPr>
        <w:pStyle w:val="Legenda"/>
        <w:keepNext/>
        <w:rPr>
          <w:color w:val="FF0000"/>
        </w:rPr>
      </w:pPr>
      <w:bookmarkStart w:id="20" w:name="_Toc142565982"/>
      <w:r>
        <w:t xml:space="preserve">Tabela </w:t>
      </w:r>
      <w:fldSimple w:instr=" SEQ Tabela \* ARABIC ">
        <w:r w:rsidR="00AA385B">
          <w:rPr>
            <w:noProof/>
          </w:rPr>
          <w:t>17</w:t>
        </w:r>
      </w:fldSimple>
      <w:r>
        <w:t xml:space="preserve"> Długotrwałe problemy zdrowotne lub choroby przewlekłe </w:t>
      </w:r>
      <w:r w:rsidRPr="00E57A39">
        <w:rPr>
          <w:color w:val="auto"/>
        </w:rPr>
        <w:t>w 2021 r.</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092"/>
        <w:gridCol w:w="2673"/>
        <w:gridCol w:w="2636"/>
      </w:tblGrid>
      <w:tr w:rsidR="006D7B34" w:rsidRPr="00DC3810" w14:paraId="44ACCE08" w14:textId="77777777" w:rsidTr="00DC3810">
        <w:trPr>
          <w:trHeight w:val="1200"/>
        </w:trPr>
        <w:tc>
          <w:tcPr>
            <w:tcW w:w="1470" w:type="pct"/>
            <w:vMerge w:val="restart"/>
            <w:shd w:val="clear" w:color="auto" w:fill="8EAADB" w:themeFill="accent1" w:themeFillTint="99"/>
            <w:noWrap/>
            <w:vAlign w:val="center"/>
            <w:hideMark/>
          </w:tcPr>
          <w:p w14:paraId="32A4E101"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602" w:type="pct"/>
            <w:vMerge w:val="restart"/>
            <w:shd w:val="clear" w:color="auto" w:fill="8EAADB" w:themeFill="accent1" w:themeFillTint="99"/>
            <w:noWrap/>
            <w:vAlign w:val="center"/>
            <w:hideMark/>
          </w:tcPr>
          <w:p w14:paraId="7A58AD50"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2928" w:type="pct"/>
            <w:gridSpan w:val="2"/>
            <w:shd w:val="clear" w:color="auto" w:fill="8EAADB" w:themeFill="accent1" w:themeFillTint="99"/>
            <w:vAlign w:val="center"/>
            <w:hideMark/>
          </w:tcPr>
          <w:p w14:paraId="36FDE0FB"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Czy ma Pan/Pani jakieś długotrwałe problemy zdrowotne lub choroby przewlekłe, trwające </w:t>
            </w:r>
            <w:r w:rsidRPr="00DC3810">
              <w:rPr>
                <w:rFonts w:ascii="Lato" w:eastAsia="Times New Roman" w:hAnsi="Lato" w:cs="Arial"/>
                <w:sz w:val="18"/>
                <w:szCs w:val="18"/>
                <w:lang w:eastAsia="pl-PL"/>
              </w:rPr>
              <w:br/>
              <w:t xml:space="preserve">(lub przewidywane że będą trwały) </w:t>
            </w:r>
            <w:r w:rsidRPr="00DC3810">
              <w:rPr>
                <w:rFonts w:ascii="Lato" w:eastAsia="Times New Roman" w:hAnsi="Lato" w:cs="Arial"/>
                <w:sz w:val="18"/>
                <w:szCs w:val="18"/>
                <w:lang w:eastAsia="pl-PL"/>
              </w:rPr>
              <w:br/>
              <w:t>przez 6 miesięcy lub dłużej?</w:t>
            </w:r>
          </w:p>
        </w:tc>
      </w:tr>
      <w:tr w:rsidR="006D7B34" w:rsidRPr="00DC3810" w14:paraId="1B6C10CA" w14:textId="77777777" w:rsidTr="00DC3810">
        <w:trPr>
          <w:trHeight w:val="127"/>
        </w:trPr>
        <w:tc>
          <w:tcPr>
            <w:tcW w:w="1470" w:type="pct"/>
            <w:vMerge/>
            <w:shd w:val="clear" w:color="auto" w:fill="8EAADB" w:themeFill="accent1" w:themeFillTint="99"/>
            <w:vAlign w:val="center"/>
            <w:hideMark/>
          </w:tcPr>
          <w:p w14:paraId="3468E25F"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602" w:type="pct"/>
            <w:vMerge/>
            <w:shd w:val="clear" w:color="auto" w:fill="8EAADB" w:themeFill="accent1" w:themeFillTint="99"/>
            <w:vAlign w:val="center"/>
            <w:hideMark/>
          </w:tcPr>
          <w:p w14:paraId="36C12BB5"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1474" w:type="pct"/>
            <w:shd w:val="clear" w:color="auto" w:fill="8EAADB" w:themeFill="accent1" w:themeFillTint="99"/>
            <w:noWrap/>
            <w:vAlign w:val="center"/>
            <w:hideMark/>
          </w:tcPr>
          <w:p w14:paraId="2BB68663"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Tak</w:t>
            </w:r>
          </w:p>
        </w:tc>
        <w:tc>
          <w:tcPr>
            <w:tcW w:w="1454" w:type="pct"/>
            <w:shd w:val="clear" w:color="auto" w:fill="8EAADB" w:themeFill="accent1" w:themeFillTint="99"/>
            <w:noWrap/>
            <w:vAlign w:val="center"/>
            <w:hideMark/>
          </w:tcPr>
          <w:p w14:paraId="144E5052"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Nie</w:t>
            </w:r>
          </w:p>
        </w:tc>
      </w:tr>
      <w:tr w:rsidR="006D7B34" w:rsidRPr="00DC3810" w14:paraId="03B55776" w14:textId="77777777" w:rsidTr="00DC3810">
        <w:trPr>
          <w:trHeight w:val="187"/>
        </w:trPr>
        <w:tc>
          <w:tcPr>
            <w:tcW w:w="1470" w:type="pct"/>
            <w:vMerge/>
            <w:shd w:val="clear" w:color="auto" w:fill="8EAADB" w:themeFill="accent1" w:themeFillTint="99"/>
            <w:vAlign w:val="center"/>
            <w:hideMark/>
          </w:tcPr>
          <w:p w14:paraId="1BCCD54D" w14:textId="77777777" w:rsidR="006D7B34" w:rsidRPr="00DC3810" w:rsidRDefault="006D7B34" w:rsidP="006D7B34">
            <w:pPr>
              <w:spacing w:after="0" w:line="240" w:lineRule="auto"/>
              <w:rPr>
                <w:rFonts w:ascii="Lato" w:eastAsia="Times New Roman" w:hAnsi="Lato" w:cs="Arial"/>
                <w:sz w:val="18"/>
                <w:szCs w:val="18"/>
                <w:lang w:eastAsia="pl-PL"/>
              </w:rPr>
            </w:pPr>
          </w:p>
        </w:tc>
        <w:tc>
          <w:tcPr>
            <w:tcW w:w="3530" w:type="pct"/>
            <w:gridSpan w:val="3"/>
            <w:shd w:val="clear" w:color="auto" w:fill="8EAADB" w:themeFill="accent1" w:themeFillTint="99"/>
            <w:vAlign w:val="center"/>
            <w:hideMark/>
          </w:tcPr>
          <w:p w14:paraId="1C1F9C21"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 osób danej grupy</w:t>
            </w:r>
          </w:p>
        </w:tc>
      </w:tr>
      <w:tr w:rsidR="006D7B34" w:rsidRPr="00DC3810" w14:paraId="2D207590" w14:textId="77777777" w:rsidTr="006D7B34">
        <w:trPr>
          <w:trHeight w:val="300"/>
        </w:trPr>
        <w:tc>
          <w:tcPr>
            <w:tcW w:w="5000" w:type="pct"/>
            <w:gridSpan w:val="4"/>
            <w:shd w:val="clear" w:color="auto" w:fill="auto"/>
            <w:noWrap/>
            <w:vAlign w:val="center"/>
            <w:hideMark/>
          </w:tcPr>
          <w:p w14:paraId="5EE9098E"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osoby w wieku 16 lat i więcej</w:t>
            </w:r>
          </w:p>
        </w:tc>
      </w:tr>
      <w:tr w:rsidR="006D7B34" w:rsidRPr="00DC3810" w14:paraId="5B599F04" w14:textId="77777777" w:rsidTr="006D7B34">
        <w:trPr>
          <w:trHeight w:val="300"/>
        </w:trPr>
        <w:tc>
          <w:tcPr>
            <w:tcW w:w="1470" w:type="pct"/>
            <w:shd w:val="clear" w:color="auto" w:fill="auto"/>
            <w:vAlign w:val="bottom"/>
            <w:hideMark/>
          </w:tcPr>
          <w:p w14:paraId="514ADB25" w14:textId="77777777" w:rsidR="006D7B34" w:rsidRPr="00DC3810" w:rsidRDefault="006D7B34" w:rsidP="006D7B34">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02" w:type="pct"/>
            <w:shd w:val="clear" w:color="auto" w:fill="auto"/>
            <w:noWrap/>
            <w:vAlign w:val="center"/>
            <w:hideMark/>
          </w:tcPr>
          <w:p w14:paraId="3FC5FF5F"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1474" w:type="pct"/>
            <w:shd w:val="clear" w:color="auto" w:fill="auto"/>
            <w:noWrap/>
            <w:vAlign w:val="center"/>
            <w:hideMark/>
          </w:tcPr>
          <w:p w14:paraId="29E2ACB1"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35,0</w:t>
            </w:r>
          </w:p>
        </w:tc>
        <w:tc>
          <w:tcPr>
            <w:tcW w:w="1454" w:type="pct"/>
            <w:shd w:val="clear" w:color="auto" w:fill="auto"/>
            <w:noWrap/>
            <w:vAlign w:val="center"/>
            <w:hideMark/>
          </w:tcPr>
          <w:p w14:paraId="7807B938"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65,0</w:t>
            </w:r>
          </w:p>
        </w:tc>
      </w:tr>
      <w:tr w:rsidR="006D7B34" w:rsidRPr="00DC3810" w14:paraId="4A65DFA8" w14:textId="77777777" w:rsidTr="006D7B34">
        <w:trPr>
          <w:trHeight w:val="300"/>
        </w:trPr>
        <w:tc>
          <w:tcPr>
            <w:tcW w:w="1470" w:type="pct"/>
            <w:shd w:val="clear" w:color="auto" w:fill="auto"/>
            <w:noWrap/>
            <w:vAlign w:val="bottom"/>
            <w:hideMark/>
          </w:tcPr>
          <w:p w14:paraId="18363818"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602" w:type="pct"/>
            <w:shd w:val="clear" w:color="auto" w:fill="auto"/>
            <w:noWrap/>
            <w:vAlign w:val="bottom"/>
            <w:hideMark/>
          </w:tcPr>
          <w:p w14:paraId="7312A9D0"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2E097A2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31,2</w:t>
            </w:r>
          </w:p>
        </w:tc>
        <w:tc>
          <w:tcPr>
            <w:tcW w:w="1454" w:type="pct"/>
            <w:shd w:val="clear" w:color="auto" w:fill="auto"/>
            <w:noWrap/>
            <w:vAlign w:val="center"/>
            <w:hideMark/>
          </w:tcPr>
          <w:p w14:paraId="3C9F680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68,8</w:t>
            </w:r>
          </w:p>
        </w:tc>
      </w:tr>
      <w:tr w:rsidR="006D7B34" w:rsidRPr="00DC3810" w14:paraId="48FC4ADC" w14:textId="77777777" w:rsidTr="006D7B34">
        <w:trPr>
          <w:trHeight w:val="300"/>
        </w:trPr>
        <w:tc>
          <w:tcPr>
            <w:tcW w:w="1470" w:type="pct"/>
            <w:shd w:val="clear" w:color="auto" w:fill="auto"/>
            <w:noWrap/>
            <w:vAlign w:val="bottom"/>
            <w:hideMark/>
          </w:tcPr>
          <w:p w14:paraId="4141FC15"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602" w:type="pct"/>
            <w:shd w:val="clear" w:color="auto" w:fill="auto"/>
            <w:noWrap/>
            <w:vAlign w:val="bottom"/>
            <w:hideMark/>
          </w:tcPr>
          <w:p w14:paraId="1B70997B"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49BCD415"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38,2</w:t>
            </w:r>
          </w:p>
        </w:tc>
        <w:tc>
          <w:tcPr>
            <w:tcW w:w="1454" w:type="pct"/>
            <w:shd w:val="clear" w:color="auto" w:fill="auto"/>
            <w:noWrap/>
            <w:vAlign w:val="center"/>
            <w:hideMark/>
          </w:tcPr>
          <w:p w14:paraId="6C20FFA5"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61,8</w:t>
            </w:r>
          </w:p>
        </w:tc>
      </w:tr>
      <w:tr w:rsidR="006D7B34" w:rsidRPr="00DC3810" w14:paraId="7CB46E74" w14:textId="77777777" w:rsidTr="006D7B34">
        <w:trPr>
          <w:trHeight w:val="300"/>
        </w:trPr>
        <w:tc>
          <w:tcPr>
            <w:tcW w:w="1470" w:type="pct"/>
            <w:shd w:val="clear" w:color="auto" w:fill="auto"/>
            <w:noWrap/>
            <w:vAlign w:val="bottom"/>
            <w:hideMark/>
          </w:tcPr>
          <w:p w14:paraId="11D0C5BF"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02" w:type="pct"/>
            <w:shd w:val="clear" w:color="auto" w:fill="auto"/>
            <w:noWrap/>
            <w:vAlign w:val="bottom"/>
            <w:hideMark/>
          </w:tcPr>
          <w:p w14:paraId="113EF27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36E8EDB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36,6</w:t>
            </w:r>
          </w:p>
        </w:tc>
        <w:tc>
          <w:tcPr>
            <w:tcW w:w="1454" w:type="pct"/>
            <w:shd w:val="clear" w:color="auto" w:fill="auto"/>
            <w:noWrap/>
            <w:vAlign w:val="center"/>
            <w:hideMark/>
          </w:tcPr>
          <w:p w14:paraId="20F5471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63,4</w:t>
            </w:r>
          </w:p>
        </w:tc>
      </w:tr>
      <w:tr w:rsidR="006D7B34" w:rsidRPr="00DC3810" w14:paraId="670B3565" w14:textId="77777777" w:rsidTr="006D7B34">
        <w:trPr>
          <w:trHeight w:val="300"/>
        </w:trPr>
        <w:tc>
          <w:tcPr>
            <w:tcW w:w="1470" w:type="pct"/>
            <w:shd w:val="clear" w:color="auto" w:fill="auto"/>
            <w:noWrap/>
            <w:vAlign w:val="bottom"/>
            <w:hideMark/>
          </w:tcPr>
          <w:p w14:paraId="30FE4E14"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602" w:type="pct"/>
            <w:shd w:val="clear" w:color="auto" w:fill="auto"/>
            <w:noWrap/>
            <w:vAlign w:val="bottom"/>
            <w:hideMark/>
          </w:tcPr>
          <w:p w14:paraId="27062B8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32BFF6B0"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32,5</w:t>
            </w:r>
          </w:p>
        </w:tc>
        <w:tc>
          <w:tcPr>
            <w:tcW w:w="1454" w:type="pct"/>
            <w:shd w:val="clear" w:color="auto" w:fill="auto"/>
            <w:noWrap/>
            <w:vAlign w:val="center"/>
            <w:hideMark/>
          </w:tcPr>
          <w:p w14:paraId="09679D5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67,5</w:t>
            </w:r>
          </w:p>
        </w:tc>
      </w:tr>
      <w:tr w:rsidR="006D7B34" w:rsidRPr="00DC3810" w14:paraId="54DAD97E" w14:textId="77777777" w:rsidTr="006D7B34">
        <w:trPr>
          <w:trHeight w:val="300"/>
        </w:trPr>
        <w:tc>
          <w:tcPr>
            <w:tcW w:w="5000" w:type="pct"/>
            <w:gridSpan w:val="4"/>
            <w:shd w:val="clear" w:color="auto" w:fill="auto"/>
            <w:vAlign w:val="center"/>
            <w:hideMark/>
          </w:tcPr>
          <w:p w14:paraId="340C3F08" w14:textId="77777777" w:rsidR="006D7B34" w:rsidRPr="00DC3810" w:rsidRDefault="006D7B34" w:rsidP="006D7B34">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r>
      <w:tr w:rsidR="006D7B34" w:rsidRPr="00DC3810" w14:paraId="284A8D9E" w14:textId="77777777" w:rsidTr="006D7B34">
        <w:trPr>
          <w:trHeight w:val="300"/>
        </w:trPr>
        <w:tc>
          <w:tcPr>
            <w:tcW w:w="1470" w:type="pct"/>
            <w:shd w:val="clear" w:color="auto" w:fill="auto"/>
            <w:vAlign w:val="bottom"/>
            <w:hideMark/>
          </w:tcPr>
          <w:p w14:paraId="6AD68A77" w14:textId="77777777" w:rsidR="006D7B34" w:rsidRPr="00DC3810" w:rsidRDefault="006D7B34" w:rsidP="006D7B34">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02" w:type="pct"/>
            <w:shd w:val="clear" w:color="auto" w:fill="auto"/>
            <w:noWrap/>
            <w:vAlign w:val="center"/>
            <w:hideMark/>
          </w:tcPr>
          <w:p w14:paraId="438AF350"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1474" w:type="pct"/>
            <w:shd w:val="clear" w:color="auto" w:fill="auto"/>
            <w:noWrap/>
            <w:vAlign w:val="center"/>
            <w:hideMark/>
          </w:tcPr>
          <w:p w14:paraId="44A5161C"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61,6</w:t>
            </w:r>
          </w:p>
        </w:tc>
        <w:tc>
          <w:tcPr>
            <w:tcW w:w="1454" w:type="pct"/>
            <w:shd w:val="clear" w:color="auto" w:fill="auto"/>
            <w:noWrap/>
            <w:vAlign w:val="center"/>
            <w:hideMark/>
          </w:tcPr>
          <w:p w14:paraId="0C4E060B" w14:textId="77777777" w:rsidR="006D7B34" w:rsidRPr="00DC3810" w:rsidRDefault="006D7B34" w:rsidP="006D7B34">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38,4</w:t>
            </w:r>
          </w:p>
        </w:tc>
      </w:tr>
      <w:tr w:rsidR="006D7B34" w:rsidRPr="00DC3810" w14:paraId="63D7AA5A" w14:textId="77777777" w:rsidTr="006D7B34">
        <w:trPr>
          <w:trHeight w:val="300"/>
        </w:trPr>
        <w:tc>
          <w:tcPr>
            <w:tcW w:w="1470" w:type="pct"/>
            <w:shd w:val="clear" w:color="auto" w:fill="auto"/>
            <w:noWrap/>
            <w:vAlign w:val="bottom"/>
            <w:hideMark/>
          </w:tcPr>
          <w:p w14:paraId="4F27B406"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602" w:type="pct"/>
            <w:shd w:val="clear" w:color="auto" w:fill="auto"/>
            <w:noWrap/>
            <w:vAlign w:val="bottom"/>
            <w:hideMark/>
          </w:tcPr>
          <w:p w14:paraId="41322AEA"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3CA51997"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58,1</w:t>
            </w:r>
          </w:p>
        </w:tc>
        <w:tc>
          <w:tcPr>
            <w:tcW w:w="1454" w:type="pct"/>
            <w:shd w:val="clear" w:color="auto" w:fill="auto"/>
            <w:noWrap/>
            <w:vAlign w:val="center"/>
            <w:hideMark/>
          </w:tcPr>
          <w:p w14:paraId="24D393BE"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41,9</w:t>
            </w:r>
          </w:p>
        </w:tc>
      </w:tr>
      <w:tr w:rsidR="006D7B34" w:rsidRPr="00DC3810" w14:paraId="1F1738F9" w14:textId="77777777" w:rsidTr="006D7B34">
        <w:trPr>
          <w:trHeight w:val="300"/>
        </w:trPr>
        <w:tc>
          <w:tcPr>
            <w:tcW w:w="1470" w:type="pct"/>
            <w:shd w:val="clear" w:color="auto" w:fill="auto"/>
            <w:noWrap/>
            <w:vAlign w:val="bottom"/>
            <w:hideMark/>
          </w:tcPr>
          <w:p w14:paraId="63AF1FBA"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602" w:type="pct"/>
            <w:shd w:val="clear" w:color="auto" w:fill="auto"/>
            <w:noWrap/>
            <w:vAlign w:val="bottom"/>
            <w:hideMark/>
          </w:tcPr>
          <w:p w14:paraId="50610507"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350AAAF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64,1</w:t>
            </w:r>
          </w:p>
        </w:tc>
        <w:tc>
          <w:tcPr>
            <w:tcW w:w="1454" w:type="pct"/>
            <w:shd w:val="clear" w:color="auto" w:fill="auto"/>
            <w:noWrap/>
            <w:vAlign w:val="center"/>
            <w:hideMark/>
          </w:tcPr>
          <w:p w14:paraId="754CD1BD"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35,9</w:t>
            </w:r>
          </w:p>
        </w:tc>
      </w:tr>
      <w:tr w:rsidR="006D7B34" w:rsidRPr="00DC3810" w14:paraId="3FDF2C94" w14:textId="77777777" w:rsidTr="006D7B34">
        <w:trPr>
          <w:trHeight w:val="300"/>
        </w:trPr>
        <w:tc>
          <w:tcPr>
            <w:tcW w:w="1470" w:type="pct"/>
            <w:shd w:val="clear" w:color="auto" w:fill="auto"/>
            <w:noWrap/>
            <w:vAlign w:val="bottom"/>
            <w:hideMark/>
          </w:tcPr>
          <w:p w14:paraId="58F15EEE"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02" w:type="pct"/>
            <w:shd w:val="clear" w:color="auto" w:fill="auto"/>
            <w:noWrap/>
            <w:vAlign w:val="bottom"/>
            <w:hideMark/>
          </w:tcPr>
          <w:p w14:paraId="3ED3AC5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5986BA27"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62,4</w:t>
            </w:r>
          </w:p>
        </w:tc>
        <w:tc>
          <w:tcPr>
            <w:tcW w:w="1454" w:type="pct"/>
            <w:shd w:val="clear" w:color="auto" w:fill="auto"/>
            <w:noWrap/>
            <w:vAlign w:val="center"/>
            <w:hideMark/>
          </w:tcPr>
          <w:p w14:paraId="20A04762"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37,6</w:t>
            </w:r>
          </w:p>
        </w:tc>
      </w:tr>
      <w:tr w:rsidR="006D7B34" w:rsidRPr="00DC3810" w14:paraId="10B17D49" w14:textId="77777777" w:rsidTr="006D7B34">
        <w:trPr>
          <w:trHeight w:val="300"/>
        </w:trPr>
        <w:tc>
          <w:tcPr>
            <w:tcW w:w="1470" w:type="pct"/>
            <w:shd w:val="clear" w:color="auto" w:fill="auto"/>
            <w:noWrap/>
            <w:vAlign w:val="bottom"/>
            <w:hideMark/>
          </w:tcPr>
          <w:p w14:paraId="6FBE0985" w14:textId="77777777" w:rsidR="006D7B34" w:rsidRPr="00DC3810" w:rsidRDefault="006D7B34" w:rsidP="006D7B34">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602" w:type="pct"/>
            <w:shd w:val="clear" w:color="auto" w:fill="auto"/>
            <w:noWrap/>
            <w:vAlign w:val="bottom"/>
            <w:hideMark/>
          </w:tcPr>
          <w:p w14:paraId="688038C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74" w:type="pct"/>
            <w:shd w:val="clear" w:color="auto" w:fill="auto"/>
            <w:noWrap/>
            <w:vAlign w:val="center"/>
            <w:hideMark/>
          </w:tcPr>
          <w:p w14:paraId="1A0E7E03"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60,2</w:t>
            </w:r>
          </w:p>
        </w:tc>
        <w:tc>
          <w:tcPr>
            <w:tcW w:w="1454" w:type="pct"/>
            <w:shd w:val="clear" w:color="auto" w:fill="auto"/>
            <w:noWrap/>
            <w:vAlign w:val="center"/>
            <w:hideMark/>
          </w:tcPr>
          <w:p w14:paraId="39050584" w14:textId="77777777" w:rsidR="006D7B34" w:rsidRPr="00DC3810" w:rsidRDefault="006D7B34" w:rsidP="006D7B34">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39,8</w:t>
            </w:r>
          </w:p>
        </w:tc>
      </w:tr>
    </w:tbl>
    <w:p w14:paraId="064E5108" w14:textId="54D717AC" w:rsidR="006D7B34" w:rsidRDefault="006D7B34" w:rsidP="006D7B34">
      <w:r w:rsidRPr="006D7B34">
        <w:t>Źródło: Badanie EU-SILC 2021 r.,</w:t>
      </w:r>
      <w:r>
        <w:t xml:space="preserve"> </w:t>
      </w:r>
      <w:r w:rsidRPr="006D7B34">
        <w:t>GUS - dane wstępne</w:t>
      </w:r>
    </w:p>
    <w:p w14:paraId="5AB41459" w14:textId="3ECEA4F0" w:rsidR="000D7A8E" w:rsidRDefault="000D7A8E" w:rsidP="000D7A8E">
      <w:pPr>
        <w:spacing w:after="0" w:line="240" w:lineRule="auto"/>
        <w:jc w:val="both"/>
        <w:rPr>
          <w:rFonts w:ascii="Lato" w:hAnsi="Lato" w:cs="Times New Roman"/>
          <w:sz w:val="20"/>
          <w:szCs w:val="20"/>
        </w:rPr>
      </w:pPr>
      <w:r w:rsidRPr="000D7A8E">
        <w:rPr>
          <w:rFonts w:ascii="Lato" w:hAnsi="Lato" w:cs="Times New Roman"/>
          <w:sz w:val="20"/>
          <w:szCs w:val="20"/>
        </w:rPr>
        <w:t xml:space="preserve">Poważnie lub niezbyt poważnie ograniczona zdolność do wykonywania codziennych czynności (trwająca od co najmniej 6 miesięcy) dotyczyła w 2021 r. 43,6% osób starszych. Odsetek wskazań był o 3,5 p. proc. wyższy wśród kobiet niż w grupie mężczyzn (odpowiednio 45,1% i 41,6%). Większy udział deklarujących ograniczoną zdolność do wykonywania codziennych czynności (w stopniu poważnym lub niezbyt poważnym) odnotowano wśród mieszkańców wsi (44,1%) niż miast (43,3%). Warto jednak zauważyć, że podobnie jak w roku poprzednim, ponad połowa osób powyżej 60. roku życia (56,4% w 2021 r.) zadeklarowała brak ograniczeń w wykonywaniu czynności. </w:t>
      </w:r>
    </w:p>
    <w:p w14:paraId="189A5AD7" w14:textId="77777777" w:rsidR="000D7A8E" w:rsidRPr="000D7A8E" w:rsidRDefault="000D7A8E" w:rsidP="000D7A8E">
      <w:pPr>
        <w:spacing w:after="0" w:line="240" w:lineRule="auto"/>
        <w:jc w:val="both"/>
        <w:rPr>
          <w:rFonts w:ascii="Lato" w:hAnsi="Lato" w:cs="Times New Roman"/>
          <w:sz w:val="20"/>
          <w:szCs w:val="20"/>
        </w:rPr>
      </w:pPr>
    </w:p>
    <w:p w14:paraId="3CF5E3C5" w14:textId="071406EC" w:rsidR="00100E23" w:rsidRPr="00100E23" w:rsidRDefault="00100E23" w:rsidP="00100E23">
      <w:pPr>
        <w:pStyle w:val="Legenda"/>
        <w:keepNext/>
        <w:rPr>
          <w:color w:val="FF0000"/>
        </w:rPr>
      </w:pPr>
      <w:bookmarkStart w:id="21" w:name="_Toc142565983"/>
      <w:r>
        <w:t xml:space="preserve">Tabela </w:t>
      </w:r>
      <w:fldSimple w:instr=" SEQ Tabela \* ARABIC ">
        <w:r w:rsidR="00AA385B">
          <w:rPr>
            <w:noProof/>
          </w:rPr>
          <w:t>18</w:t>
        </w:r>
      </w:fldSimple>
      <w:r>
        <w:t xml:space="preserve"> Ograniczona zdolność wykonywania czynności </w:t>
      </w:r>
      <w:r w:rsidRPr="00E57A39">
        <w:rPr>
          <w:color w:val="auto"/>
        </w:rPr>
        <w:t>w 2021 r.</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4"/>
        <w:gridCol w:w="776"/>
        <w:gridCol w:w="710"/>
        <w:gridCol w:w="2046"/>
        <w:gridCol w:w="2053"/>
        <w:gridCol w:w="1887"/>
      </w:tblGrid>
      <w:tr w:rsidR="00100E23" w:rsidRPr="00DC3810" w14:paraId="4E8604B3" w14:textId="77777777" w:rsidTr="00DC3810">
        <w:trPr>
          <w:trHeight w:val="679"/>
        </w:trPr>
        <w:tc>
          <w:tcPr>
            <w:tcW w:w="880" w:type="pct"/>
            <w:vMerge w:val="restart"/>
            <w:shd w:val="clear" w:color="auto" w:fill="8EAADB" w:themeFill="accent1" w:themeFillTint="99"/>
            <w:noWrap/>
            <w:vAlign w:val="center"/>
            <w:hideMark/>
          </w:tcPr>
          <w:p w14:paraId="7E2BFBAA"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425" w:type="pct"/>
            <w:vMerge w:val="restart"/>
            <w:shd w:val="clear" w:color="auto" w:fill="8EAADB" w:themeFill="accent1" w:themeFillTint="99"/>
            <w:noWrap/>
            <w:vAlign w:val="center"/>
            <w:hideMark/>
          </w:tcPr>
          <w:p w14:paraId="7862AC7B"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3695" w:type="pct"/>
            <w:gridSpan w:val="4"/>
            <w:shd w:val="clear" w:color="auto" w:fill="8EAADB" w:themeFill="accent1" w:themeFillTint="99"/>
            <w:vAlign w:val="center"/>
            <w:hideMark/>
          </w:tcPr>
          <w:p w14:paraId="7C7FD11B"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Czy z powodu problemów zdrowotnych miał(a) Pan/Pani ograniczoną zdolność wykonywania czynności, jakie ludzie zwykle wykonują, </w:t>
            </w:r>
            <w:r w:rsidRPr="00DC3810">
              <w:rPr>
                <w:rFonts w:ascii="Lato" w:eastAsia="Times New Roman" w:hAnsi="Lato" w:cs="Arial"/>
                <w:sz w:val="18"/>
                <w:szCs w:val="18"/>
                <w:lang w:eastAsia="pl-PL"/>
              </w:rPr>
              <w:br/>
              <w:t>trwającą co najmniej ostatnie 6 miesięcy?</w:t>
            </w:r>
          </w:p>
        </w:tc>
      </w:tr>
      <w:tr w:rsidR="00100E23" w:rsidRPr="00DC3810" w14:paraId="1A402D6E" w14:textId="77777777" w:rsidTr="00DC3810">
        <w:trPr>
          <w:trHeight w:val="279"/>
        </w:trPr>
        <w:tc>
          <w:tcPr>
            <w:tcW w:w="880" w:type="pct"/>
            <w:vMerge/>
            <w:shd w:val="clear" w:color="auto" w:fill="8EAADB" w:themeFill="accent1" w:themeFillTint="99"/>
            <w:vAlign w:val="center"/>
            <w:hideMark/>
          </w:tcPr>
          <w:p w14:paraId="066F25AA"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425" w:type="pct"/>
            <w:vMerge/>
            <w:shd w:val="clear" w:color="auto" w:fill="8EAADB" w:themeFill="accent1" w:themeFillTint="99"/>
            <w:vAlign w:val="center"/>
            <w:hideMark/>
          </w:tcPr>
          <w:p w14:paraId="7104AE0A"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2654" w:type="pct"/>
            <w:gridSpan w:val="3"/>
            <w:shd w:val="clear" w:color="auto" w:fill="8EAADB" w:themeFill="accent1" w:themeFillTint="99"/>
            <w:vAlign w:val="center"/>
            <w:hideMark/>
          </w:tcPr>
          <w:p w14:paraId="5B95BA2E"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Tak</w:t>
            </w:r>
          </w:p>
        </w:tc>
        <w:tc>
          <w:tcPr>
            <w:tcW w:w="1041" w:type="pct"/>
            <w:shd w:val="clear" w:color="auto" w:fill="8EAADB" w:themeFill="accent1" w:themeFillTint="99"/>
            <w:vAlign w:val="center"/>
            <w:hideMark/>
          </w:tcPr>
          <w:p w14:paraId="1A145CFE"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Nie </w:t>
            </w:r>
          </w:p>
        </w:tc>
      </w:tr>
      <w:tr w:rsidR="00100E23" w:rsidRPr="00DC3810" w14:paraId="590D4769" w14:textId="77777777" w:rsidTr="00DC3810">
        <w:trPr>
          <w:trHeight w:val="551"/>
        </w:trPr>
        <w:tc>
          <w:tcPr>
            <w:tcW w:w="880" w:type="pct"/>
            <w:vMerge/>
            <w:shd w:val="clear" w:color="auto" w:fill="8EAADB" w:themeFill="accent1" w:themeFillTint="99"/>
            <w:vAlign w:val="center"/>
            <w:hideMark/>
          </w:tcPr>
          <w:p w14:paraId="2B1B8E6F"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425" w:type="pct"/>
            <w:vMerge/>
            <w:shd w:val="clear" w:color="auto" w:fill="8EAADB" w:themeFill="accent1" w:themeFillTint="99"/>
            <w:vAlign w:val="center"/>
            <w:hideMark/>
          </w:tcPr>
          <w:p w14:paraId="5B33F803"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392" w:type="pct"/>
            <w:shd w:val="clear" w:color="auto" w:fill="8EAADB" w:themeFill="accent1" w:themeFillTint="99"/>
            <w:noWrap/>
            <w:vAlign w:val="center"/>
            <w:hideMark/>
          </w:tcPr>
          <w:p w14:paraId="73BE7410"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1129" w:type="pct"/>
            <w:shd w:val="clear" w:color="auto" w:fill="8EAADB" w:themeFill="accent1" w:themeFillTint="99"/>
            <w:vAlign w:val="center"/>
            <w:hideMark/>
          </w:tcPr>
          <w:p w14:paraId="6C777602"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Poważnie ograniczoną</w:t>
            </w:r>
          </w:p>
        </w:tc>
        <w:tc>
          <w:tcPr>
            <w:tcW w:w="1132" w:type="pct"/>
            <w:shd w:val="clear" w:color="auto" w:fill="8EAADB" w:themeFill="accent1" w:themeFillTint="99"/>
            <w:vAlign w:val="center"/>
            <w:hideMark/>
          </w:tcPr>
          <w:p w14:paraId="3DF70FA8"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Ograniczoną, ale niezbyt poważnie </w:t>
            </w:r>
          </w:p>
        </w:tc>
        <w:tc>
          <w:tcPr>
            <w:tcW w:w="1041" w:type="pct"/>
            <w:shd w:val="clear" w:color="auto" w:fill="8EAADB" w:themeFill="accent1" w:themeFillTint="99"/>
            <w:vAlign w:val="center"/>
            <w:hideMark/>
          </w:tcPr>
          <w:p w14:paraId="4A206D48"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Nie miałem(-</w:t>
            </w:r>
            <w:proofErr w:type="spellStart"/>
            <w:r w:rsidRPr="00DC3810">
              <w:rPr>
                <w:rFonts w:ascii="Lato" w:eastAsia="Times New Roman" w:hAnsi="Lato" w:cs="Arial"/>
                <w:sz w:val="18"/>
                <w:szCs w:val="18"/>
                <w:lang w:eastAsia="pl-PL"/>
              </w:rPr>
              <w:t>am</w:t>
            </w:r>
            <w:proofErr w:type="spellEnd"/>
            <w:r w:rsidRPr="00DC3810">
              <w:rPr>
                <w:rFonts w:ascii="Lato" w:eastAsia="Times New Roman" w:hAnsi="Lato" w:cs="Arial"/>
                <w:sz w:val="18"/>
                <w:szCs w:val="18"/>
                <w:lang w:eastAsia="pl-PL"/>
              </w:rPr>
              <w:t>) żadnych ograniczeń</w:t>
            </w:r>
          </w:p>
        </w:tc>
      </w:tr>
      <w:tr w:rsidR="00100E23" w:rsidRPr="00DC3810" w14:paraId="6FB330C3" w14:textId="77777777" w:rsidTr="00DC3810">
        <w:trPr>
          <w:trHeight w:val="276"/>
        </w:trPr>
        <w:tc>
          <w:tcPr>
            <w:tcW w:w="880" w:type="pct"/>
            <w:vMerge/>
            <w:shd w:val="clear" w:color="auto" w:fill="8EAADB" w:themeFill="accent1" w:themeFillTint="99"/>
            <w:vAlign w:val="center"/>
            <w:hideMark/>
          </w:tcPr>
          <w:p w14:paraId="6D796254"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4120" w:type="pct"/>
            <w:gridSpan w:val="5"/>
            <w:shd w:val="clear" w:color="auto" w:fill="8EAADB" w:themeFill="accent1" w:themeFillTint="99"/>
            <w:vAlign w:val="center"/>
            <w:hideMark/>
          </w:tcPr>
          <w:p w14:paraId="64BE32E4"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 osób danej grupy</w:t>
            </w:r>
          </w:p>
        </w:tc>
      </w:tr>
      <w:tr w:rsidR="00100E23" w:rsidRPr="00DC3810" w14:paraId="0B41053A" w14:textId="77777777" w:rsidTr="00100E23">
        <w:trPr>
          <w:trHeight w:val="300"/>
        </w:trPr>
        <w:tc>
          <w:tcPr>
            <w:tcW w:w="5000" w:type="pct"/>
            <w:gridSpan w:val="6"/>
            <w:shd w:val="clear" w:color="auto" w:fill="auto"/>
            <w:vAlign w:val="center"/>
            <w:hideMark/>
          </w:tcPr>
          <w:p w14:paraId="4862A42C"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osoby w wieku 16 lat i więcej</w:t>
            </w:r>
          </w:p>
        </w:tc>
      </w:tr>
      <w:tr w:rsidR="00100E23" w:rsidRPr="00DC3810" w14:paraId="215AC739" w14:textId="77777777" w:rsidTr="00100E23">
        <w:trPr>
          <w:trHeight w:val="300"/>
        </w:trPr>
        <w:tc>
          <w:tcPr>
            <w:tcW w:w="880" w:type="pct"/>
            <w:shd w:val="clear" w:color="auto" w:fill="auto"/>
            <w:vAlign w:val="bottom"/>
            <w:hideMark/>
          </w:tcPr>
          <w:p w14:paraId="5872425C" w14:textId="77777777" w:rsidR="00100E23" w:rsidRPr="00DC3810" w:rsidRDefault="00100E23" w:rsidP="00100E23">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Ogółem</w:t>
            </w:r>
          </w:p>
        </w:tc>
        <w:tc>
          <w:tcPr>
            <w:tcW w:w="425" w:type="pct"/>
            <w:shd w:val="clear" w:color="auto" w:fill="auto"/>
            <w:noWrap/>
            <w:vAlign w:val="bottom"/>
            <w:hideMark/>
          </w:tcPr>
          <w:p w14:paraId="3268976B"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392" w:type="pct"/>
            <w:shd w:val="clear" w:color="auto" w:fill="auto"/>
            <w:noWrap/>
            <w:vAlign w:val="center"/>
            <w:hideMark/>
          </w:tcPr>
          <w:p w14:paraId="7185AF19"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23,0</w:t>
            </w:r>
          </w:p>
        </w:tc>
        <w:tc>
          <w:tcPr>
            <w:tcW w:w="1129" w:type="pct"/>
            <w:shd w:val="clear" w:color="auto" w:fill="auto"/>
            <w:noWrap/>
            <w:vAlign w:val="center"/>
            <w:hideMark/>
          </w:tcPr>
          <w:p w14:paraId="309B3A02"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6,9</w:t>
            </w:r>
          </w:p>
        </w:tc>
        <w:tc>
          <w:tcPr>
            <w:tcW w:w="1132" w:type="pct"/>
            <w:shd w:val="clear" w:color="auto" w:fill="auto"/>
            <w:noWrap/>
            <w:vAlign w:val="center"/>
            <w:hideMark/>
          </w:tcPr>
          <w:p w14:paraId="4E0D362B"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16,1</w:t>
            </w:r>
          </w:p>
        </w:tc>
        <w:tc>
          <w:tcPr>
            <w:tcW w:w="1041" w:type="pct"/>
            <w:shd w:val="clear" w:color="auto" w:fill="auto"/>
            <w:noWrap/>
            <w:vAlign w:val="center"/>
            <w:hideMark/>
          </w:tcPr>
          <w:p w14:paraId="6BE3E87C"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77,0</w:t>
            </w:r>
          </w:p>
        </w:tc>
      </w:tr>
      <w:tr w:rsidR="00100E23" w:rsidRPr="00DC3810" w14:paraId="244C105A" w14:textId="77777777" w:rsidTr="00100E23">
        <w:trPr>
          <w:trHeight w:val="300"/>
        </w:trPr>
        <w:tc>
          <w:tcPr>
            <w:tcW w:w="880" w:type="pct"/>
            <w:shd w:val="clear" w:color="auto" w:fill="auto"/>
            <w:noWrap/>
            <w:vAlign w:val="bottom"/>
            <w:hideMark/>
          </w:tcPr>
          <w:p w14:paraId="32999805"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25" w:type="pct"/>
            <w:shd w:val="clear" w:color="auto" w:fill="auto"/>
            <w:noWrap/>
            <w:vAlign w:val="bottom"/>
            <w:hideMark/>
          </w:tcPr>
          <w:p w14:paraId="4969C824"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000000" w:fill="FFFFFF"/>
            <w:noWrap/>
            <w:vAlign w:val="center"/>
            <w:hideMark/>
          </w:tcPr>
          <w:p w14:paraId="7A2FDC20"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21,1</w:t>
            </w:r>
          </w:p>
        </w:tc>
        <w:tc>
          <w:tcPr>
            <w:tcW w:w="1129" w:type="pct"/>
            <w:shd w:val="clear" w:color="000000" w:fill="FFFFFF"/>
            <w:noWrap/>
            <w:vAlign w:val="center"/>
            <w:hideMark/>
          </w:tcPr>
          <w:p w14:paraId="191CA9AB"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w:t>
            </w:r>
          </w:p>
        </w:tc>
        <w:tc>
          <w:tcPr>
            <w:tcW w:w="1132" w:type="pct"/>
            <w:shd w:val="clear" w:color="000000" w:fill="FFFFFF"/>
            <w:noWrap/>
            <w:vAlign w:val="center"/>
            <w:hideMark/>
          </w:tcPr>
          <w:p w14:paraId="7BA5CA47"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14,3</w:t>
            </w:r>
          </w:p>
        </w:tc>
        <w:tc>
          <w:tcPr>
            <w:tcW w:w="1041" w:type="pct"/>
            <w:shd w:val="clear" w:color="000000" w:fill="FFFFFF"/>
            <w:noWrap/>
            <w:vAlign w:val="center"/>
            <w:hideMark/>
          </w:tcPr>
          <w:p w14:paraId="224DF8BC"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78,9</w:t>
            </w:r>
          </w:p>
        </w:tc>
      </w:tr>
      <w:tr w:rsidR="00100E23" w:rsidRPr="00DC3810" w14:paraId="0AB7296E" w14:textId="77777777" w:rsidTr="00100E23">
        <w:trPr>
          <w:trHeight w:val="300"/>
        </w:trPr>
        <w:tc>
          <w:tcPr>
            <w:tcW w:w="880" w:type="pct"/>
            <w:shd w:val="clear" w:color="auto" w:fill="auto"/>
            <w:noWrap/>
            <w:vAlign w:val="bottom"/>
            <w:hideMark/>
          </w:tcPr>
          <w:p w14:paraId="151C0E30"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25" w:type="pct"/>
            <w:shd w:val="clear" w:color="auto" w:fill="auto"/>
            <w:noWrap/>
            <w:vAlign w:val="bottom"/>
            <w:hideMark/>
          </w:tcPr>
          <w:p w14:paraId="7058F17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000000" w:fill="FFFFFF"/>
            <w:noWrap/>
            <w:vAlign w:val="center"/>
            <w:hideMark/>
          </w:tcPr>
          <w:p w14:paraId="1F3484FA"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24,6</w:t>
            </w:r>
          </w:p>
        </w:tc>
        <w:tc>
          <w:tcPr>
            <w:tcW w:w="1129" w:type="pct"/>
            <w:shd w:val="clear" w:color="000000" w:fill="FFFFFF"/>
            <w:noWrap/>
            <w:vAlign w:val="center"/>
            <w:hideMark/>
          </w:tcPr>
          <w:p w14:paraId="3CDE326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w:t>
            </w:r>
          </w:p>
        </w:tc>
        <w:tc>
          <w:tcPr>
            <w:tcW w:w="1132" w:type="pct"/>
            <w:shd w:val="clear" w:color="000000" w:fill="FFFFFF"/>
            <w:noWrap/>
            <w:vAlign w:val="center"/>
            <w:hideMark/>
          </w:tcPr>
          <w:p w14:paraId="333F789F"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w:t>
            </w:r>
          </w:p>
        </w:tc>
        <w:tc>
          <w:tcPr>
            <w:tcW w:w="1041" w:type="pct"/>
            <w:shd w:val="clear" w:color="000000" w:fill="FFFFFF"/>
            <w:noWrap/>
            <w:vAlign w:val="center"/>
            <w:hideMark/>
          </w:tcPr>
          <w:p w14:paraId="25034D3F"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75,4</w:t>
            </w:r>
          </w:p>
        </w:tc>
      </w:tr>
      <w:tr w:rsidR="00100E23" w:rsidRPr="00DC3810" w14:paraId="056109A9" w14:textId="77777777" w:rsidTr="00100E23">
        <w:trPr>
          <w:trHeight w:val="300"/>
        </w:trPr>
        <w:tc>
          <w:tcPr>
            <w:tcW w:w="880" w:type="pct"/>
            <w:shd w:val="clear" w:color="auto" w:fill="auto"/>
            <w:noWrap/>
            <w:vAlign w:val="bottom"/>
            <w:hideMark/>
          </w:tcPr>
          <w:p w14:paraId="2FBD15A3"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425" w:type="pct"/>
            <w:shd w:val="clear" w:color="auto" w:fill="auto"/>
            <w:noWrap/>
            <w:vAlign w:val="bottom"/>
            <w:hideMark/>
          </w:tcPr>
          <w:p w14:paraId="03F3DC4B"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000000" w:fill="FFFFFF"/>
            <w:noWrap/>
            <w:vAlign w:val="center"/>
            <w:hideMark/>
          </w:tcPr>
          <w:p w14:paraId="3D56E710"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23,2</w:t>
            </w:r>
          </w:p>
        </w:tc>
        <w:tc>
          <w:tcPr>
            <w:tcW w:w="1129" w:type="pct"/>
            <w:shd w:val="clear" w:color="000000" w:fill="FFFFFF"/>
            <w:noWrap/>
            <w:vAlign w:val="center"/>
            <w:hideMark/>
          </w:tcPr>
          <w:p w14:paraId="49EB250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7,2</w:t>
            </w:r>
          </w:p>
        </w:tc>
        <w:tc>
          <w:tcPr>
            <w:tcW w:w="1132" w:type="pct"/>
            <w:shd w:val="clear" w:color="000000" w:fill="FFFFFF"/>
            <w:noWrap/>
            <w:vAlign w:val="center"/>
            <w:hideMark/>
          </w:tcPr>
          <w:p w14:paraId="5CF8840A"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16,0</w:t>
            </w:r>
          </w:p>
        </w:tc>
        <w:tc>
          <w:tcPr>
            <w:tcW w:w="1041" w:type="pct"/>
            <w:shd w:val="clear" w:color="000000" w:fill="FFFFFF"/>
            <w:noWrap/>
            <w:vAlign w:val="center"/>
            <w:hideMark/>
          </w:tcPr>
          <w:p w14:paraId="44EE4F32"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76,8</w:t>
            </w:r>
          </w:p>
        </w:tc>
      </w:tr>
      <w:tr w:rsidR="00100E23" w:rsidRPr="00DC3810" w14:paraId="2652123E" w14:textId="77777777" w:rsidTr="00100E23">
        <w:trPr>
          <w:trHeight w:val="300"/>
        </w:trPr>
        <w:tc>
          <w:tcPr>
            <w:tcW w:w="880" w:type="pct"/>
            <w:shd w:val="clear" w:color="auto" w:fill="auto"/>
            <w:noWrap/>
            <w:vAlign w:val="bottom"/>
            <w:hideMark/>
          </w:tcPr>
          <w:p w14:paraId="76BC395C"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25" w:type="pct"/>
            <w:shd w:val="clear" w:color="auto" w:fill="auto"/>
            <w:noWrap/>
            <w:vAlign w:val="bottom"/>
            <w:hideMark/>
          </w:tcPr>
          <w:p w14:paraId="2DF17BA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000000" w:fill="FFFFFF"/>
            <w:noWrap/>
            <w:vAlign w:val="center"/>
            <w:hideMark/>
          </w:tcPr>
          <w:p w14:paraId="2420970C"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22,6</w:t>
            </w:r>
          </w:p>
        </w:tc>
        <w:tc>
          <w:tcPr>
            <w:tcW w:w="1129" w:type="pct"/>
            <w:shd w:val="clear" w:color="000000" w:fill="FFFFFF"/>
            <w:noWrap/>
            <w:vAlign w:val="center"/>
            <w:hideMark/>
          </w:tcPr>
          <w:p w14:paraId="114F6CBF"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6,5</w:t>
            </w:r>
          </w:p>
        </w:tc>
        <w:tc>
          <w:tcPr>
            <w:tcW w:w="1132" w:type="pct"/>
            <w:shd w:val="clear" w:color="000000" w:fill="FFFFFF"/>
            <w:noWrap/>
            <w:vAlign w:val="center"/>
            <w:hideMark/>
          </w:tcPr>
          <w:p w14:paraId="2F0B9682"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16,1</w:t>
            </w:r>
          </w:p>
        </w:tc>
        <w:tc>
          <w:tcPr>
            <w:tcW w:w="1041" w:type="pct"/>
            <w:shd w:val="clear" w:color="000000" w:fill="FFFFFF"/>
            <w:noWrap/>
            <w:vAlign w:val="center"/>
            <w:hideMark/>
          </w:tcPr>
          <w:p w14:paraId="6A99B8C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77,4</w:t>
            </w:r>
          </w:p>
        </w:tc>
      </w:tr>
      <w:tr w:rsidR="00100E23" w:rsidRPr="00DC3810" w14:paraId="5574ABC3" w14:textId="77777777" w:rsidTr="00100E23">
        <w:trPr>
          <w:trHeight w:val="300"/>
        </w:trPr>
        <w:tc>
          <w:tcPr>
            <w:tcW w:w="5000" w:type="pct"/>
            <w:gridSpan w:val="6"/>
            <w:shd w:val="clear" w:color="auto" w:fill="auto"/>
            <w:vAlign w:val="center"/>
            <w:hideMark/>
          </w:tcPr>
          <w:p w14:paraId="3592A29A"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r>
      <w:tr w:rsidR="00100E23" w:rsidRPr="00DC3810" w14:paraId="5CD84651" w14:textId="77777777" w:rsidTr="00100E23">
        <w:trPr>
          <w:trHeight w:val="300"/>
        </w:trPr>
        <w:tc>
          <w:tcPr>
            <w:tcW w:w="880" w:type="pct"/>
            <w:shd w:val="clear" w:color="auto" w:fill="auto"/>
            <w:vAlign w:val="bottom"/>
            <w:hideMark/>
          </w:tcPr>
          <w:p w14:paraId="77EE2C0E" w14:textId="77777777" w:rsidR="00100E23" w:rsidRPr="00DC3810" w:rsidRDefault="00100E23" w:rsidP="00100E23">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Ogółem</w:t>
            </w:r>
          </w:p>
        </w:tc>
        <w:tc>
          <w:tcPr>
            <w:tcW w:w="425" w:type="pct"/>
            <w:shd w:val="clear" w:color="auto" w:fill="auto"/>
            <w:noWrap/>
            <w:vAlign w:val="bottom"/>
            <w:hideMark/>
          </w:tcPr>
          <w:p w14:paraId="071D1B96"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392" w:type="pct"/>
            <w:shd w:val="clear" w:color="auto" w:fill="auto"/>
            <w:noWrap/>
            <w:vAlign w:val="center"/>
            <w:hideMark/>
          </w:tcPr>
          <w:p w14:paraId="02B7FEC5"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43,6</w:t>
            </w:r>
          </w:p>
        </w:tc>
        <w:tc>
          <w:tcPr>
            <w:tcW w:w="1129" w:type="pct"/>
            <w:shd w:val="clear" w:color="auto" w:fill="auto"/>
            <w:noWrap/>
            <w:vAlign w:val="center"/>
            <w:hideMark/>
          </w:tcPr>
          <w:p w14:paraId="67B584A9"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13,2</w:t>
            </w:r>
          </w:p>
        </w:tc>
        <w:tc>
          <w:tcPr>
            <w:tcW w:w="1132" w:type="pct"/>
            <w:shd w:val="clear" w:color="auto" w:fill="auto"/>
            <w:noWrap/>
            <w:vAlign w:val="center"/>
            <w:hideMark/>
          </w:tcPr>
          <w:p w14:paraId="39AF30F9"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30,4</w:t>
            </w:r>
          </w:p>
        </w:tc>
        <w:tc>
          <w:tcPr>
            <w:tcW w:w="1041" w:type="pct"/>
            <w:shd w:val="clear" w:color="auto" w:fill="auto"/>
            <w:noWrap/>
            <w:vAlign w:val="center"/>
            <w:hideMark/>
          </w:tcPr>
          <w:p w14:paraId="10F68851"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56,4</w:t>
            </w:r>
          </w:p>
        </w:tc>
      </w:tr>
      <w:tr w:rsidR="00100E23" w:rsidRPr="00DC3810" w14:paraId="2FF88EB0" w14:textId="77777777" w:rsidTr="00100E23">
        <w:trPr>
          <w:trHeight w:val="300"/>
        </w:trPr>
        <w:tc>
          <w:tcPr>
            <w:tcW w:w="880" w:type="pct"/>
            <w:shd w:val="clear" w:color="000000" w:fill="FFFFFF"/>
            <w:noWrap/>
            <w:vAlign w:val="bottom"/>
            <w:hideMark/>
          </w:tcPr>
          <w:p w14:paraId="700E88C9"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25" w:type="pct"/>
            <w:shd w:val="clear" w:color="000000" w:fill="FFFFFF"/>
            <w:noWrap/>
            <w:vAlign w:val="bottom"/>
            <w:hideMark/>
          </w:tcPr>
          <w:p w14:paraId="78A26E6B"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000000" w:fill="FFFFFF"/>
            <w:noWrap/>
            <w:vAlign w:val="center"/>
            <w:hideMark/>
          </w:tcPr>
          <w:p w14:paraId="0A72F230"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41,6</w:t>
            </w:r>
          </w:p>
        </w:tc>
        <w:tc>
          <w:tcPr>
            <w:tcW w:w="1129" w:type="pct"/>
            <w:shd w:val="clear" w:color="000000" w:fill="FFFFFF"/>
            <w:noWrap/>
            <w:vAlign w:val="center"/>
            <w:hideMark/>
          </w:tcPr>
          <w:p w14:paraId="76C1E3E4"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13,3</w:t>
            </w:r>
          </w:p>
        </w:tc>
        <w:tc>
          <w:tcPr>
            <w:tcW w:w="1132" w:type="pct"/>
            <w:shd w:val="clear" w:color="000000" w:fill="FFFFFF"/>
            <w:noWrap/>
            <w:vAlign w:val="center"/>
            <w:hideMark/>
          </w:tcPr>
          <w:p w14:paraId="07509479"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28,3</w:t>
            </w:r>
          </w:p>
        </w:tc>
        <w:tc>
          <w:tcPr>
            <w:tcW w:w="1041" w:type="pct"/>
            <w:shd w:val="clear" w:color="000000" w:fill="FFFFFF"/>
            <w:noWrap/>
            <w:vAlign w:val="center"/>
            <w:hideMark/>
          </w:tcPr>
          <w:p w14:paraId="395C962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58,4</w:t>
            </w:r>
          </w:p>
        </w:tc>
      </w:tr>
      <w:tr w:rsidR="00100E23" w:rsidRPr="00DC3810" w14:paraId="3B5F4C00" w14:textId="77777777" w:rsidTr="00100E23">
        <w:trPr>
          <w:trHeight w:val="300"/>
        </w:trPr>
        <w:tc>
          <w:tcPr>
            <w:tcW w:w="880" w:type="pct"/>
            <w:shd w:val="clear" w:color="auto" w:fill="auto"/>
            <w:noWrap/>
            <w:vAlign w:val="bottom"/>
            <w:hideMark/>
          </w:tcPr>
          <w:p w14:paraId="6D86C4D6"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25" w:type="pct"/>
            <w:shd w:val="clear" w:color="auto" w:fill="auto"/>
            <w:noWrap/>
            <w:vAlign w:val="bottom"/>
            <w:hideMark/>
          </w:tcPr>
          <w:p w14:paraId="663A29D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auto" w:fill="auto"/>
            <w:noWrap/>
            <w:vAlign w:val="center"/>
            <w:hideMark/>
          </w:tcPr>
          <w:p w14:paraId="60643715"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45,1</w:t>
            </w:r>
          </w:p>
        </w:tc>
        <w:tc>
          <w:tcPr>
            <w:tcW w:w="1129" w:type="pct"/>
            <w:shd w:val="clear" w:color="auto" w:fill="auto"/>
            <w:noWrap/>
            <w:vAlign w:val="center"/>
            <w:hideMark/>
          </w:tcPr>
          <w:p w14:paraId="7FA204E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13,2</w:t>
            </w:r>
          </w:p>
        </w:tc>
        <w:tc>
          <w:tcPr>
            <w:tcW w:w="1132" w:type="pct"/>
            <w:shd w:val="clear" w:color="auto" w:fill="auto"/>
            <w:noWrap/>
            <w:vAlign w:val="center"/>
            <w:hideMark/>
          </w:tcPr>
          <w:p w14:paraId="05A22D4B"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31,8</w:t>
            </w:r>
          </w:p>
        </w:tc>
        <w:tc>
          <w:tcPr>
            <w:tcW w:w="1041" w:type="pct"/>
            <w:shd w:val="clear" w:color="auto" w:fill="auto"/>
            <w:noWrap/>
            <w:vAlign w:val="center"/>
            <w:hideMark/>
          </w:tcPr>
          <w:p w14:paraId="39B04BF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54,9</w:t>
            </w:r>
          </w:p>
        </w:tc>
      </w:tr>
      <w:tr w:rsidR="00100E23" w:rsidRPr="00DC3810" w14:paraId="15C22425" w14:textId="77777777" w:rsidTr="00100E23">
        <w:trPr>
          <w:trHeight w:val="300"/>
        </w:trPr>
        <w:tc>
          <w:tcPr>
            <w:tcW w:w="880" w:type="pct"/>
            <w:shd w:val="clear" w:color="auto" w:fill="auto"/>
            <w:noWrap/>
            <w:vAlign w:val="bottom"/>
            <w:hideMark/>
          </w:tcPr>
          <w:p w14:paraId="51F36CD9"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425" w:type="pct"/>
            <w:shd w:val="clear" w:color="auto" w:fill="auto"/>
            <w:noWrap/>
            <w:vAlign w:val="bottom"/>
            <w:hideMark/>
          </w:tcPr>
          <w:p w14:paraId="02A39A4D"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auto" w:fill="auto"/>
            <w:noWrap/>
            <w:vAlign w:val="center"/>
            <w:hideMark/>
          </w:tcPr>
          <w:p w14:paraId="59632ACD"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43,3</w:t>
            </w:r>
          </w:p>
        </w:tc>
        <w:tc>
          <w:tcPr>
            <w:tcW w:w="1129" w:type="pct"/>
            <w:shd w:val="clear" w:color="auto" w:fill="auto"/>
            <w:noWrap/>
            <w:vAlign w:val="center"/>
            <w:hideMark/>
          </w:tcPr>
          <w:p w14:paraId="4C6DE87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13,6</w:t>
            </w:r>
          </w:p>
        </w:tc>
        <w:tc>
          <w:tcPr>
            <w:tcW w:w="1132" w:type="pct"/>
            <w:shd w:val="clear" w:color="auto" w:fill="auto"/>
            <w:noWrap/>
            <w:vAlign w:val="center"/>
            <w:hideMark/>
          </w:tcPr>
          <w:p w14:paraId="2F7C26F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29,7</w:t>
            </w:r>
          </w:p>
        </w:tc>
        <w:tc>
          <w:tcPr>
            <w:tcW w:w="1041" w:type="pct"/>
            <w:shd w:val="clear" w:color="auto" w:fill="auto"/>
            <w:noWrap/>
            <w:vAlign w:val="center"/>
            <w:hideMark/>
          </w:tcPr>
          <w:p w14:paraId="48EF0C92"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56,7</w:t>
            </w:r>
          </w:p>
        </w:tc>
      </w:tr>
      <w:tr w:rsidR="00100E23" w:rsidRPr="00DC3810" w14:paraId="6A8E5C74" w14:textId="77777777" w:rsidTr="00100E23">
        <w:trPr>
          <w:trHeight w:val="300"/>
        </w:trPr>
        <w:tc>
          <w:tcPr>
            <w:tcW w:w="880" w:type="pct"/>
            <w:shd w:val="clear" w:color="auto" w:fill="auto"/>
            <w:noWrap/>
            <w:vAlign w:val="bottom"/>
            <w:hideMark/>
          </w:tcPr>
          <w:p w14:paraId="53F15085"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25" w:type="pct"/>
            <w:shd w:val="clear" w:color="auto" w:fill="auto"/>
            <w:noWrap/>
            <w:vAlign w:val="bottom"/>
            <w:hideMark/>
          </w:tcPr>
          <w:p w14:paraId="6BAAD72E"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392" w:type="pct"/>
            <w:shd w:val="clear" w:color="auto" w:fill="auto"/>
            <w:noWrap/>
            <w:vAlign w:val="center"/>
            <w:hideMark/>
          </w:tcPr>
          <w:p w14:paraId="140DE9E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44,1</w:t>
            </w:r>
          </w:p>
        </w:tc>
        <w:tc>
          <w:tcPr>
            <w:tcW w:w="1129" w:type="pct"/>
            <w:shd w:val="clear" w:color="auto" w:fill="auto"/>
            <w:noWrap/>
            <w:vAlign w:val="center"/>
            <w:hideMark/>
          </w:tcPr>
          <w:p w14:paraId="74D26BC6"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12,7</w:t>
            </w:r>
          </w:p>
        </w:tc>
        <w:tc>
          <w:tcPr>
            <w:tcW w:w="1132" w:type="pct"/>
            <w:shd w:val="clear" w:color="auto" w:fill="auto"/>
            <w:noWrap/>
            <w:vAlign w:val="center"/>
            <w:hideMark/>
          </w:tcPr>
          <w:p w14:paraId="477D819E"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31,4</w:t>
            </w:r>
          </w:p>
        </w:tc>
        <w:tc>
          <w:tcPr>
            <w:tcW w:w="1041" w:type="pct"/>
            <w:shd w:val="clear" w:color="auto" w:fill="auto"/>
            <w:noWrap/>
            <w:vAlign w:val="center"/>
            <w:hideMark/>
          </w:tcPr>
          <w:p w14:paraId="34E2597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55,9</w:t>
            </w:r>
          </w:p>
        </w:tc>
      </w:tr>
    </w:tbl>
    <w:p w14:paraId="7EC84CE6" w14:textId="04F41BF7" w:rsidR="006D7B34" w:rsidRPr="009E6F68" w:rsidRDefault="00100E23" w:rsidP="006D7B34">
      <w:pPr>
        <w:rPr>
          <w:rFonts w:ascii="Lato" w:hAnsi="Lato"/>
          <w:sz w:val="16"/>
          <w:szCs w:val="16"/>
        </w:rPr>
      </w:pPr>
      <w:r w:rsidRPr="009E6F68">
        <w:rPr>
          <w:rFonts w:ascii="Lato" w:hAnsi="Lato"/>
          <w:sz w:val="16"/>
          <w:szCs w:val="16"/>
        </w:rPr>
        <w:t>Źródło: Badanie EU-SILC 2021 r., GUS - dane wstępne</w:t>
      </w:r>
    </w:p>
    <w:p w14:paraId="7B91CF5A" w14:textId="09F9521E" w:rsidR="000D7A8E" w:rsidRPr="000D7A8E" w:rsidRDefault="000D7A8E" w:rsidP="004F5101">
      <w:pPr>
        <w:tabs>
          <w:tab w:val="left" w:pos="2240"/>
        </w:tabs>
        <w:spacing w:line="240" w:lineRule="auto"/>
        <w:jc w:val="both"/>
        <w:rPr>
          <w:rFonts w:ascii="Lato" w:hAnsi="Lato" w:cs="Times New Roman"/>
          <w:sz w:val="20"/>
          <w:szCs w:val="20"/>
        </w:rPr>
      </w:pPr>
      <w:r w:rsidRPr="00783C69">
        <w:rPr>
          <w:rFonts w:ascii="Lato" w:hAnsi="Lato" w:cs="Times New Roman"/>
          <w:sz w:val="20"/>
          <w:szCs w:val="20"/>
        </w:rPr>
        <w:t xml:space="preserve">Biorąc pod uwagę 12 miesięcy poprzedzających badanie, rzeczywistą potrzebę leczenia lub badania  zadeklarowało 77,1% osób starszych. </w:t>
      </w:r>
    </w:p>
    <w:p w14:paraId="6146EDD5" w14:textId="1C5F6658" w:rsidR="00100E23" w:rsidRDefault="00100E23" w:rsidP="00100E23">
      <w:pPr>
        <w:pStyle w:val="Legenda"/>
        <w:keepNext/>
      </w:pPr>
      <w:bookmarkStart w:id="22" w:name="_Toc142565984"/>
      <w:r>
        <w:t xml:space="preserve">Tabela </w:t>
      </w:r>
      <w:fldSimple w:instr=" SEQ Tabela \* ARABIC ">
        <w:r w:rsidR="00AA385B">
          <w:rPr>
            <w:noProof/>
          </w:rPr>
          <w:t>19</w:t>
        </w:r>
      </w:fldSimple>
      <w:r>
        <w:t xml:space="preserve"> Potrzeby skorzystania z leczenia  lub badania w 2021 r.</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092"/>
        <w:gridCol w:w="2653"/>
        <w:gridCol w:w="2656"/>
      </w:tblGrid>
      <w:tr w:rsidR="00100E23" w:rsidRPr="00DC3810" w14:paraId="0745559B" w14:textId="77777777" w:rsidTr="00DC3810">
        <w:trPr>
          <w:trHeight w:val="1268"/>
        </w:trPr>
        <w:tc>
          <w:tcPr>
            <w:tcW w:w="1470" w:type="pct"/>
            <w:vMerge w:val="restart"/>
            <w:shd w:val="clear" w:color="auto" w:fill="8EAADB" w:themeFill="accent1" w:themeFillTint="99"/>
            <w:noWrap/>
            <w:vAlign w:val="center"/>
            <w:hideMark/>
          </w:tcPr>
          <w:p w14:paraId="6046B11D"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602" w:type="pct"/>
            <w:vMerge w:val="restart"/>
            <w:shd w:val="clear" w:color="auto" w:fill="8EAADB" w:themeFill="accent1" w:themeFillTint="99"/>
            <w:noWrap/>
            <w:vAlign w:val="center"/>
            <w:hideMark/>
          </w:tcPr>
          <w:p w14:paraId="13058E37"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2928" w:type="pct"/>
            <w:gridSpan w:val="2"/>
            <w:shd w:val="clear" w:color="auto" w:fill="8EAADB" w:themeFill="accent1" w:themeFillTint="99"/>
            <w:vAlign w:val="center"/>
            <w:hideMark/>
          </w:tcPr>
          <w:p w14:paraId="572D7DF0" w14:textId="77777777" w:rsidR="00100E23" w:rsidRPr="00DC3810" w:rsidRDefault="00100E23" w:rsidP="00100E23">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Czy w ciągu ostatnich 12 miesięcy zdarzyło się, że rzeczywiście potrzebował(a) Pan/Pani leczenia lub badania, tj.: </w:t>
            </w:r>
            <w:r w:rsidRPr="00DC3810">
              <w:rPr>
                <w:rFonts w:ascii="Lato" w:eastAsia="Times New Roman" w:hAnsi="Lato" w:cs="Arial"/>
                <w:color w:val="000000"/>
                <w:sz w:val="18"/>
                <w:szCs w:val="18"/>
                <w:lang w:eastAsia="pl-PL"/>
              </w:rPr>
              <w:br/>
              <w:t xml:space="preserve">-  konsultacji z lekarzem rodzinnym / pierwszego kontaktu lub specjalistą (wyłączając dentystę i ortodontę) </w:t>
            </w:r>
            <w:r w:rsidRPr="00DC3810">
              <w:rPr>
                <w:rFonts w:ascii="Lato" w:eastAsia="Times New Roman" w:hAnsi="Lato" w:cs="Arial"/>
                <w:color w:val="000000"/>
                <w:sz w:val="18"/>
                <w:szCs w:val="18"/>
                <w:lang w:eastAsia="pl-PL"/>
              </w:rPr>
              <w:br/>
              <w:t>-  leczenia szpitalnego, rehabilitacji</w:t>
            </w:r>
            <w:r w:rsidRPr="00DC3810">
              <w:rPr>
                <w:rFonts w:ascii="Lato" w:eastAsia="Times New Roman" w:hAnsi="Lato" w:cs="Arial"/>
                <w:color w:val="000000"/>
                <w:sz w:val="18"/>
                <w:szCs w:val="18"/>
                <w:lang w:eastAsia="pl-PL"/>
              </w:rPr>
              <w:br/>
              <w:t>-  badania w laboratorium lub pracowni diagnostycznej?</w:t>
            </w:r>
          </w:p>
        </w:tc>
      </w:tr>
      <w:tr w:rsidR="00100E23" w:rsidRPr="00DC3810" w14:paraId="39D1FF22" w14:textId="77777777" w:rsidTr="00DC3810">
        <w:trPr>
          <w:trHeight w:val="250"/>
        </w:trPr>
        <w:tc>
          <w:tcPr>
            <w:tcW w:w="1470" w:type="pct"/>
            <w:vMerge/>
            <w:shd w:val="clear" w:color="auto" w:fill="8EAADB" w:themeFill="accent1" w:themeFillTint="99"/>
            <w:vAlign w:val="center"/>
            <w:hideMark/>
          </w:tcPr>
          <w:p w14:paraId="09F1C0A0"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602" w:type="pct"/>
            <w:vMerge/>
            <w:shd w:val="clear" w:color="auto" w:fill="8EAADB" w:themeFill="accent1" w:themeFillTint="99"/>
            <w:vAlign w:val="center"/>
            <w:hideMark/>
          </w:tcPr>
          <w:p w14:paraId="1A777F23"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1463" w:type="pct"/>
            <w:shd w:val="clear" w:color="auto" w:fill="8EAADB" w:themeFill="accent1" w:themeFillTint="99"/>
            <w:vAlign w:val="center"/>
            <w:hideMark/>
          </w:tcPr>
          <w:p w14:paraId="7555205A"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Tak</w:t>
            </w:r>
          </w:p>
        </w:tc>
        <w:tc>
          <w:tcPr>
            <w:tcW w:w="1465" w:type="pct"/>
            <w:shd w:val="clear" w:color="auto" w:fill="8EAADB" w:themeFill="accent1" w:themeFillTint="99"/>
            <w:vAlign w:val="center"/>
            <w:hideMark/>
          </w:tcPr>
          <w:p w14:paraId="5DC71734"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Nie</w:t>
            </w:r>
          </w:p>
        </w:tc>
      </w:tr>
      <w:tr w:rsidR="00100E23" w:rsidRPr="00DC3810" w14:paraId="77CFD0A1" w14:textId="77777777" w:rsidTr="00DC3810">
        <w:trPr>
          <w:trHeight w:val="127"/>
        </w:trPr>
        <w:tc>
          <w:tcPr>
            <w:tcW w:w="1470" w:type="pct"/>
            <w:vMerge/>
            <w:shd w:val="clear" w:color="auto" w:fill="8EAADB" w:themeFill="accent1" w:themeFillTint="99"/>
            <w:vAlign w:val="center"/>
            <w:hideMark/>
          </w:tcPr>
          <w:p w14:paraId="48357BA4" w14:textId="77777777" w:rsidR="00100E23" w:rsidRPr="00DC3810" w:rsidRDefault="00100E23" w:rsidP="00100E23">
            <w:pPr>
              <w:spacing w:after="0" w:line="240" w:lineRule="auto"/>
              <w:rPr>
                <w:rFonts w:ascii="Lato" w:eastAsia="Times New Roman" w:hAnsi="Lato" w:cs="Arial"/>
                <w:sz w:val="18"/>
                <w:szCs w:val="18"/>
                <w:lang w:eastAsia="pl-PL"/>
              </w:rPr>
            </w:pPr>
          </w:p>
        </w:tc>
        <w:tc>
          <w:tcPr>
            <w:tcW w:w="3530" w:type="pct"/>
            <w:gridSpan w:val="3"/>
            <w:shd w:val="clear" w:color="auto" w:fill="8EAADB" w:themeFill="accent1" w:themeFillTint="99"/>
            <w:vAlign w:val="center"/>
            <w:hideMark/>
          </w:tcPr>
          <w:p w14:paraId="46D51693"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 osób danej grupy</w:t>
            </w:r>
          </w:p>
        </w:tc>
      </w:tr>
      <w:tr w:rsidR="00100E23" w:rsidRPr="00DC3810" w14:paraId="257AF1F3" w14:textId="77777777" w:rsidTr="00100E23">
        <w:trPr>
          <w:trHeight w:val="300"/>
        </w:trPr>
        <w:tc>
          <w:tcPr>
            <w:tcW w:w="5000" w:type="pct"/>
            <w:gridSpan w:val="4"/>
            <w:shd w:val="clear" w:color="auto" w:fill="auto"/>
            <w:vAlign w:val="center"/>
            <w:hideMark/>
          </w:tcPr>
          <w:p w14:paraId="7A839869"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osoby w wieku 16 lat i więcej</w:t>
            </w:r>
          </w:p>
        </w:tc>
      </w:tr>
      <w:tr w:rsidR="00100E23" w:rsidRPr="00DC3810" w14:paraId="5F84D58B" w14:textId="77777777" w:rsidTr="00100E23">
        <w:trPr>
          <w:trHeight w:val="300"/>
        </w:trPr>
        <w:tc>
          <w:tcPr>
            <w:tcW w:w="1470" w:type="pct"/>
            <w:shd w:val="clear" w:color="auto" w:fill="auto"/>
            <w:vAlign w:val="bottom"/>
            <w:hideMark/>
          </w:tcPr>
          <w:p w14:paraId="78A0D037" w14:textId="77777777" w:rsidR="00100E23" w:rsidRPr="00DC3810" w:rsidRDefault="00100E23" w:rsidP="00100E23">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02" w:type="pct"/>
            <w:shd w:val="clear" w:color="auto" w:fill="auto"/>
            <w:noWrap/>
            <w:vAlign w:val="center"/>
            <w:hideMark/>
          </w:tcPr>
          <w:p w14:paraId="4C60BF1F"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1463" w:type="pct"/>
            <w:shd w:val="clear" w:color="auto" w:fill="auto"/>
            <w:noWrap/>
            <w:vAlign w:val="center"/>
            <w:hideMark/>
          </w:tcPr>
          <w:p w14:paraId="3690ECE4"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64,3</w:t>
            </w:r>
          </w:p>
        </w:tc>
        <w:tc>
          <w:tcPr>
            <w:tcW w:w="1465" w:type="pct"/>
            <w:shd w:val="clear" w:color="auto" w:fill="auto"/>
            <w:noWrap/>
            <w:vAlign w:val="center"/>
            <w:hideMark/>
          </w:tcPr>
          <w:p w14:paraId="70DCBE7E"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35,7</w:t>
            </w:r>
          </w:p>
        </w:tc>
      </w:tr>
      <w:tr w:rsidR="00100E23" w:rsidRPr="00DC3810" w14:paraId="000DBBB6" w14:textId="77777777" w:rsidTr="00100E23">
        <w:trPr>
          <w:trHeight w:val="300"/>
        </w:trPr>
        <w:tc>
          <w:tcPr>
            <w:tcW w:w="1470" w:type="pct"/>
            <w:shd w:val="clear" w:color="auto" w:fill="auto"/>
            <w:noWrap/>
            <w:vAlign w:val="bottom"/>
            <w:hideMark/>
          </w:tcPr>
          <w:p w14:paraId="06011363"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602" w:type="pct"/>
            <w:shd w:val="clear" w:color="auto" w:fill="auto"/>
            <w:noWrap/>
            <w:vAlign w:val="bottom"/>
            <w:hideMark/>
          </w:tcPr>
          <w:p w14:paraId="725160ED"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37006B7E"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58,4</w:t>
            </w:r>
          </w:p>
        </w:tc>
        <w:tc>
          <w:tcPr>
            <w:tcW w:w="1465" w:type="pct"/>
            <w:shd w:val="clear" w:color="auto" w:fill="auto"/>
            <w:noWrap/>
            <w:vAlign w:val="center"/>
            <w:hideMark/>
          </w:tcPr>
          <w:p w14:paraId="2628A34E"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41,6</w:t>
            </w:r>
          </w:p>
        </w:tc>
      </w:tr>
      <w:tr w:rsidR="00100E23" w:rsidRPr="00DC3810" w14:paraId="7E710B98" w14:textId="77777777" w:rsidTr="00100E23">
        <w:trPr>
          <w:trHeight w:val="300"/>
        </w:trPr>
        <w:tc>
          <w:tcPr>
            <w:tcW w:w="1470" w:type="pct"/>
            <w:shd w:val="clear" w:color="auto" w:fill="auto"/>
            <w:noWrap/>
            <w:vAlign w:val="bottom"/>
            <w:hideMark/>
          </w:tcPr>
          <w:p w14:paraId="29E6D676"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602" w:type="pct"/>
            <w:shd w:val="clear" w:color="auto" w:fill="auto"/>
            <w:noWrap/>
            <w:vAlign w:val="bottom"/>
            <w:hideMark/>
          </w:tcPr>
          <w:p w14:paraId="17BE403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78B15850"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69,4</w:t>
            </w:r>
          </w:p>
        </w:tc>
        <w:tc>
          <w:tcPr>
            <w:tcW w:w="1465" w:type="pct"/>
            <w:shd w:val="clear" w:color="auto" w:fill="auto"/>
            <w:noWrap/>
            <w:vAlign w:val="center"/>
            <w:hideMark/>
          </w:tcPr>
          <w:p w14:paraId="4695DDF6"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30,6</w:t>
            </w:r>
          </w:p>
        </w:tc>
      </w:tr>
      <w:tr w:rsidR="00100E23" w:rsidRPr="00DC3810" w14:paraId="04766C42" w14:textId="77777777" w:rsidTr="00100E23">
        <w:trPr>
          <w:trHeight w:val="300"/>
        </w:trPr>
        <w:tc>
          <w:tcPr>
            <w:tcW w:w="1470" w:type="pct"/>
            <w:shd w:val="clear" w:color="auto" w:fill="auto"/>
            <w:noWrap/>
            <w:vAlign w:val="bottom"/>
            <w:hideMark/>
          </w:tcPr>
          <w:p w14:paraId="51D6AF44"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02" w:type="pct"/>
            <w:shd w:val="clear" w:color="auto" w:fill="auto"/>
            <w:noWrap/>
            <w:vAlign w:val="bottom"/>
            <w:hideMark/>
          </w:tcPr>
          <w:p w14:paraId="340EB705"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33900333"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67,2</w:t>
            </w:r>
          </w:p>
        </w:tc>
        <w:tc>
          <w:tcPr>
            <w:tcW w:w="1465" w:type="pct"/>
            <w:shd w:val="clear" w:color="auto" w:fill="auto"/>
            <w:noWrap/>
            <w:vAlign w:val="center"/>
            <w:hideMark/>
          </w:tcPr>
          <w:p w14:paraId="36D780D6"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32,8</w:t>
            </w:r>
          </w:p>
        </w:tc>
      </w:tr>
      <w:tr w:rsidR="00100E23" w:rsidRPr="00DC3810" w14:paraId="75DD541A" w14:textId="77777777" w:rsidTr="00100E23">
        <w:trPr>
          <w:trHeight w:val="300"/>
        </w:trPr>
        <w:tc>
          <w:tcPr>
            <w:tcW w:w="1470" w:type="pct"/>
            <w:shd w:val="clear" w:color="auto" w:fill="auto"/>
            <w:noWrap/>
            <w:vAlign w:val="bottom"/>
            <w:hideMark/>
          </w:tcPr>
          <w:p w14:paraId="4E23E3A3"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602" w:type="pct"/>
            <w:shd w:val="clear" w:color="auto" w:fill="auto"/>
            <w:noWrap/>
            <w:vAlign w:val="bottom"/>
            <w:hideMark/>
          </w:tcPr>
          <w:p w14:paraId="51E0BEE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36078F56"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60,1</w:t>
            </w:r>
          </w:p>
        </w:tc>
        <w:tc>
          <w:tcPr>
            <w:tcW w:w="1465" w:type="pct"/>
            <w:shd w:val="clear" w:color="auto" w:fill="auto"/>
            <w:noWrap/>
            <w:vAlign w:val="center"/>
            <w:hideMark/>
          </w:tcPr>
          <w:p w14:paraId="5B12A8A9"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39,9</w:t>
            </w:r>
          </w:p>
        </w:tc>
      </w:tr>
      <w:tr w:rsidR="00100E23" w:rsidRPr="00DC3810" w14:paraId="0DE71017" w14:textId="77777777" w:rsidTr="00100E23">
        <w:trPr>
          <w:trHeight w:val="300"/>
        </w:trPr>
        <w:tc>
          <w:tcPr>
            <w:tcW w:w="5000" w:type="pct"/>
            <w:gridSpan w:val="4"/>
            <w:shd w:val="clear" w:color="auto" w:fill="auto"/>
            <w:vAlign w:val="center"/>
            <w:hideMark/>
          </w:tcPr>
          <w:p w14:paraId="46F05B30" w14:textId="77777777" w:rsidR="00100E23" w:rsidRPr="00DC3810" w:rsidRDefault="00100E23" w:rsidP="00100E23">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r>
      <w:tr w:rsidR="00100E23" w:rsidRPr="00DC3810" w14:paraId="4ED04B59" w14:textId="77777777" w:rsidTr="00100E23">
        <w:trPr>
          <w:trHeight w:val="300"/>
        </w:trPr>
        <w:tc>
          <w:tcPr>
            <w:tcW w:w="1470" w:type="pct"/>
            <w:shd w:val="clear" w:color="auto" w:fill="auto"/>
            <w:vAlign w:val="bottom"/>
            <w:hideMark/>
          </w:tcPr>
          <w:p w14:paraId="7460F90D" w14:textId="77777777" w:rsidR="00100E23" w:rsidRPr="00DC3810" w:rsidRDefault="00100E23" w:rsidP="00100E23">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602" w:type="pct"/>
            <w:shd w:val="clear" w:color="auto" w:fill="auto"/>
            <w:noWrap/>
            <w:vAlign w:val="center"/>
            <w:hideMark/>
          </w:tcPr>
          <w:p w14:paraId="473F587D"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1463" w:type="pct"/>
            <w:shd w:val="clear" w:color="auto" w:fill="auto"/>
            <w:noWrap/>
            <w:vAlign w:val="center"/>
            <w:hideMark/>
          </w:tcPr>
          <w:p w14:paraId="64329B7C"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77,1</w:t>
            </w:r>
          </w:p>
        </w:tc>
        <w:tc>
          <w:tcPr>
            <w:tcW w:w="1465" w:type="pct"/>
            <w:shd w:val="clear" w:color="auto" w:fill="auto"/>
            <w:noWrap/>
            <w:vAlign w:val="center"/>
            <w:hideMark/>
          </w:tcPr>
          <w:p w14:paraId="0483C95B" w14:textId="77777777" w:rsidR="00100E23" w:rsidRPr="00DC3810" w:rsidRDefault="00100E23" w:rsidP="00100E23">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22,9</w:t>
            </w:r>
          </w:p>
        </w:tc>
      </w:tr>
      <w:tr w:rsidR="00100E23" w:rsidRPr="00DC3810" w14:paraId="414EDB0C" w14:textId="77777777" w:rsidTr="00100E23">
        <w:trPr>
          <w:trHeight w:val="300"/>
        </w:trPr>
        <w:tc>
          <w:tcPr>
            <w:tcW w:w="1470" w:type="pct"/>
            <w:shd w:val="clear" w:color="auto" w:fill="auto"/>
            <w:noWrap/>
            <w:vAlign w:val="bottom"/>
            <w:hideMark/>
          </w:tcPr>
          <w:p w14:paraId="27E78461"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602" w:type="pct"/>
            <w:shd w:val="clear" w:color="auto" w:fill="auto"/>
            <w:noWrap/>
            <w:vAlign w:val="bottom"/>
            <w:hideMark/>
          </w:tcPr>
          <w:p w14:paraId="77CE380E"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3D49617B"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74,4</w:t>
            </w:r>
          </w:p>
        </w:tc>
        <w:tc>
          <w:tcPr>
            <w:tcW w:w="1465" w:type="pct"/>
            <w:shd w:val="clear" w:color="auto" w:fill="auto"/>
            <w:noWrap/>
            <w:vAlign w:val="center"/>
            <w:hideMark/>
          </w:tcPr>
          <w:p w14:paraId="432D70D8"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25,6</w:t>
            </w:r>
          </w:p>
        </w:tc>
      </w:tr>
      <w:tr w:rsidR="00100E23" w:rsidRPr="00DC3810" w14:paraId="2C03A793" w14:textId="77777777" w:rsidTr="00100E23">
        <w:trPr>
          <w:trHeight w:val="300"/>
        </w:trPr>
        <w:tc>
          <w:tcPr>
            <w:tcW w:w="1470" w:type="pct"/>
            <w:shd w:val="clear" w:color="auto" w:fill="auto"/>
            <w:noWrap/>
            <w:vAlign w:val="bottom"/>
            <w:hideMark/>
          </w:tcPr>
          <w:p w14:paraId="09362744"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602" w:type="pct"/>
            <w:shd w:val="clear" w:color="auto" w:fill="auto"/>
            <w:noWrap/>
            <w:vAlign w:val="bottom"/>
            <w:hideMark/>
          </w:tcPr>
          <w:p w14:paraId="7D8D0F40"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278F0941"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79,0</w:t>
            </w:r>
          </w:p>
        </w:tc>
        <w:tc>
          <w:tcPr>
            <w:tcW w:w="1465" w:type="pct"/>
            <w:shd w:val="clear" w:color="auto" w:fill="auto"/>
            <w:noWrap/>
            <w:vAlign w:val="center"/>
            <w:hideMark/>
          </w:tcPr>
          <w:p w14:paraId="3562D7F5"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21,0</w:t>
            </w:r>
          </w:p>
        </w:tc>
      </w:tr>
      <w:tr w:rsidR="00100E23" w:rsidRPr="00DC3810" w14:paraId="5502A62D" w14:textId="77777777" w:rsidTr="00100E23">
        <w:trPr>
          <w:trHeight w:val="300"/>
        </w:trPr>
        <w:tc>
          <w:tcPr>
            <w:tcW w:w="1470" w:type="pct"/>
            <w:shd w:val="clear" w:color="auto" w:fill="auto"/>
            <w:noWrap/>
            <w:vAlign w:val="bottom"/>
            <w:hideMark/>
          </w:tcPr>
          <w:p w14:paraId="23407684"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02" w:type="pct"/>
            <w:shd w:val="clear" w:color="auto" w:fill="auto"/>
            <w:noWrap/>
            <w:vAlign w:val="bottom"/>
            <w:hideMark/>
          </w:tcPr>
          <w:p w14:paraId="7B0F5DB2"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178A7B44"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78,4</w:t>
            </w:r>
          </w:p>
        </w:tc>
        <w:tc>
          <w:tcPr>
            <w:tcW w:w="1465" w:type="pct"/>
            <w:shd w:val="clear" w:color="auto" w:fill="auto"/>
            <w:noWrap/>
            <w:vAlign w:val="center"/>
            <w:hideMark/>
          </w:tcPr>
          <w:p w14:paraId="36A78E16"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21,6</w:t>
            </w:r>
          </w:p>
        </w:tc>
      </w:tr>
      <w:tr w:rsidR="00100E23" w:rsidRPr="00DC3810" w14:paraId="1728BD3D" w14:textId="77777777" w:rsidTr="00100E23">
        <w:trPr>
          <w:trHeight w:val="300"/>
        </w:trPr>
        <w:tc>
          <w:tcPr>
            <w:tcW w:w="1470" w:type="pct"/>
            <w:shd w:val="clear" w:color="auto" w:fill="auto"/>
            <w:noWrap/>
            <w:vAlign w:val="bottom"/>
            <w:hideMark/>
          </w:tcPr>
          <w:p w14:paraId="61ADF16D" w14:textId="77777777" w:rsidR="00100E23" w:rsidRPr="00DC3810" w:rsidRDefault="00100E23" w:rsidP="00100E23">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602" w:type="pct"/>
            <w:shd w:val="clear" w:color="auto" w:fill="auto"/>
            <w:noWrap/>
            <w:vAlign w:val="bottom"/>
            <w:hideMark/>
          </w:tcPr>
          <w:p w14:paraId="6913BDB5"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1463" w:type="pct"/>
            <w:shd w:val="clear" w:color="auto" w:fill="auto"/>
            <w:noWrap/>
            <w:vAlign w:val="center"/>
            <w:hideMark/>
          </w:tcPr>
          <w:p w14:paraId="3561C429"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74,9</w:t>
            </w:r>
          </w:p>
        </w:tc>
        <w:tc>
          <w:tcPr>
            <w:tcW w:w="1465" w:type="pct"/>
            <w:shd w:val="clear" w:color="auto" w:fill="auto"/>
            <w:noWrap/>
            <w:vAlign w:val="center"/>
            <w:hideMark/>
          </w:tcPr>
          <w:p w14:paraId="02AF38F5" w14:textId="77777777" w:rsidR="00100E23" w:rsidRPr="00DC3810" w:rsidRDefault="00100E23" w:rsidP="00100E23">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25,1</w:t>
            </w:r>
          </w:p>
        </w:tc>
      </w:tr>
    </w:tbl>
    <w:p w14:paraId="3C9B1326" w14:textId="335DFEB4" w:rsidR="006D7B34" w:rsidRPr="004F5101" w:rsidRDefault="00100E23" w:rsidP="006D7B34">
      <w:pPr>
        <w:rPr>
          <w:rFonts w:ascii="Lato" w:hAnsi="Lato"/>
          <w:sz w:val="16"/>
          <w:szCs w:val="16"/>
        </w:rPr>
      </w:pPr>
      <w:r w:rsidRPr="004F5101">
        <w:rPr>
          <w:rFonts w:ascii="Lato" w:hAnsi="Lato"/>
          <w:sz w:val="16"/>
          <w:szCs w:val="16"/>
        </w:rPr>
        <w:t>Źródło: Badanie EU-SILC 2021 r., GUS - dane wstępne</w:t>
      </w:r>
    </w:p>
    <w:p w14:paraId="0492D4F9" w14:textId="77777777" w:rsidR="00783C69" w:rsidRPr="00783C69" w:rsidRDefault="00783C69" w:rsidP="004F5101">
      <w:pPr>
        <w:tabs>
          <w:tab w:val="left" w:pos="2240"/>
        </w:tabs>
        <w:spacing w:line="240" w:lineRule="auto"/>
        <w:jc w:val="both"/>
        <w:rPr>
          <w:rFonts w:ascii="Lato" w:hAnsi="Lato" w:cs="Times New Roman"/>
          <w:sz w:val="20"/>
          <w:szCs w:val="20"/>
        </w:rPr>
      </w:pPr>
      <w:r w:rsidRPr="00783C69">
        <w:rPr>
          <w:rFonts w:ascii="Lato" w:hAnsi="Lato" w:cs="Times New Roman"/>
          <w:sz w:val="20"/>
          <w:szCs w:val="20"/>
        </w:rPr>
        <w:t xml:space="preserve">Należy nadmienić, że w trakcie ankietyzacji, trwała w Polsce pandemia COVID–19, co miało wpływ na możliwość realizacji tych potrzeb. Z tej grupy 15,9% osób przyznało, że nie zawsze skorzystało z leczenia lub badania, gdy była taka potrzeba. </w:t>
      </w:r>
    </w:p>
    <w:p w14:paraId="7C69237A" w14:textId="2E9F414C" w:rsidR="0008203F" w:rsidRDefault="0008203F" w:rsidP="00783C69">
      <w:pPr>
        <w:pStyle w:val="Legenda"/>
        <w:keepNext/>
        <w:jc w:val="both"/>
      </w:pPr>
      <w:bookmarkStart w:id="23" w:name="_Toc142565985"/>
      <w:r>
        <w:lastRenderedPageBreak/>
        <w:t xml:space="preserve">Tabela </w:t>
      </w:r>
      <w:fldSimple w:instr=" SEQ Tabela \* ARABIC ">
        <w:r w:rsidR="00AA385B">
          <w:rPr>
            <w:noProof/>
          </w:rPr>
          <w:t>20</w:t>
        </w:r>
      </w:fldSimple>
      <w:r>
        <w:t xml:space="preserve"> Zaspokojenie potrzeb w zakresie leczenia lub badania w 2021 r.</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5"/>
        <w:gridCol w:w="776"/>
        <w:gridCol w:w="1656"/>
        <w:gridCol w:w="1656"/>
        <w:gridCol w:w="1656"/>
        <w:gridCol w:w="1657"/>
      </w:tblGrid>
      <w:tr w:rsidR="0008203F" w:rsidRPr="00DC3810" w14:paraId="4B469622" w14:textId="77777777" w:rsidTr="00DC3810">
        <w:trPr>
          <w:trHeight w:val="461"/>
        </w:trPr>
        <w:tc>
          <w:tcPr>
            <w:tcW w:w="919" w:type="pct"/>
            <w:vMerge w:val="restart"/>
            <w:shd w:val="clear" w:color="auto" w:fill="8EAADB" w:themeFill="accent1" w:themeFillTint="99"/>
            <w:noWrap/>
            <w:vAlign w:val="center"/>
            <w:hideMark/>
          </w:tcPr>
          <w:p w14:paraId="3648E32A"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425" w:type="pct"/>
            <w:vMerge w:val="restart"/>
            <w:shd w:val="clear" w:color="auto" w:fill="8EAADB" w:themeFill="accent1" w:themeFillTint="99"/>
            <w:noWrap/>
            <w:vAlign w:val="center"/>
            <w:hideMark/>
          </w:tcPr>
          <w:p w14:paraId="253FA3E4"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3655" w:type="pct"/>
            <w:gridSpan w:val="4"/>
            <w:shd w:val="clear" w:color="auto" w:fill="8EAADB" w:themeFill="accent1" w:themeFillTint="99"/>
            <w:vAlign w:val="center"/>
            <w:hideMark/>
          </w:tcPr>
          <w:p w14:paraId="157F2F4F"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Czy w ciągu ostatnich 12 miesięcy korzystał(a) Pan/Pani z leczenia lub badania za każdym razem, gdy była taka potrzeba?  </w:t>
            </w:r>
          </w:p>
        </w:tc>
      </w:tr>
      <w:tr w:rsidR="0008203F" w:rsidRPr="00DC3810" w14:paraId="03785C81" w14:textId="77777777" w:rsidTr="00DC3810">
        <w:trPr>
          <w:trHeight w:val="142"/>
        </w:trPr>
        <w:tc>
          <w:tcPr>
            <w:tcW w:w="919" w:type="pct"/>
            <w:vMerge/>
            <w:shd w:val="clear" w:color="auto" w:fill="8EAADB" w:themeFill="accent1" w:themeFillTint="99"/>
            <w:vAlign w:val="center"/>
            <w:hideMark/>
          </w:tcPr>
          <w:p w14:paraId="6DFA652C"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425" w:type="pct"/>
            <w:vMerge/>
            <w:shd w:val="clear" w:color="auto" w:fill="8EAADB" w:themeFill="accent1" w:themeFillTint="99"/>
            <w:vAlign w:val="center"/>
            <w:hideMark/>
          </w:tcPr>
          <w:p w14:paraId="3A084C7C"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2742" w:type="pct"/>
            <w:gridSpan w:val="3"/>
            <w:shd w:val="clear" w:color="auto" w:fill="8EAADB" w:themeFill="accent1" w:themeFillTint="99"/>
            <w:vAlign w:val="center"/>
            <w:hideMark/>
          </w:tcPr>
          <w:p w14:paraId="6B6B027E"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Nie</w:t>
            </w:r>
          </w:p>
        </w:tc>
        <w:tc>
          <w:tcPr>
            <w:tcW w:w="914" w:type="pct"/>
            <w:shd w:val="clear" w:color="auto" w:fill="8EAADB" w:themeFill="accent1" w:themeFillTint="99"/>
            <w:vAlign w:val="center"/>
            <w:hideMark/>
          </w:tcPr>
          <w:p w14:paraId="034B86A0"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Tak</w:t>
            </w:r>
          </w:p>
        </w:tc>
      </w:tr>
      <w:tr w:rsidR="0008203F" w:rsidRPr="00DC3810" w14:paraId="4D35C578" w14:textId="77777777" w:rsidTr="00DC3810">
        <w:trPr>
          <w:trHeight w:val="472"/>
        </w:trPr>
        <w:tc>
          <w:tcPr>
            <w:tcW w:w="919" w:type="pct"/>
            <w:vMerge/>
            <w:shd w:val="clear" w:color="auto" w:fill="8EAADB" w:themeFill="accent1" w:themeFillTint="99"/>
            <w:vAlign w:val="center"/>
            <w:hideMark/>
          </w:tcPr>
          <w:p w14:paraId="3B817311"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425" w:type="pct"/>
            <w:vMerge/>
            <w:shd w:val="clear" w:color="auto" w:fill="8EAADB" w:themeFill="accent1" w:themeFillTint="99"/>
            <w:vAlign w:val="center"/>
            <w:hideMark/>
          </w:tcPr>
          <w:p w14:paraId="70283878"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914" w:type="pct"/>
            <w:shd w:val="clear" w:color="auto" w:fill="8EAADB" w:themeFill="accent1" w:themeFillTint="99"/>
            <w:vAlign w:val="center"/>
            <w:hideMark/>
          </w:tcPr>
          <w:p w14:paraId="520B3453"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razem</w:t>
            </w:r>
          </w:p>
        </w:tc>
        <w:tc>
          <w:tcPr>
            <w:tcW w:w="914" w:type="pct"/>
            <w:shd w:val="clear" w:color="auto" w:fill="8EAADB" w:themeFill="accent1" w:themeFillTint="99"/>
            <w:vAlign w:val="center"/>
            <w:hideMark/>
          </w:tcPr>
          <w:p w14:paraId="12E3412D"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Nie, kilka razy nie skorzystałem(-łam)</w:t>
            </w:r>
          </w:p>
        </w:tc>
        <w:tc>
          <w:tcPr>
            <w:tcW w:w="914" w:type="pct"/>
            <w:shd w:val="clear" w:color="auto" w:fill="8EAADB" w:themeFill="accent1" w:themeFillTint="99"/>
            <w:vAlign w:val="center"/>
            <w:hideMark/>
          </w:tcPr>
          <w:p w14:paraId="334819D7"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Nie, jeden raz nie skorzystałem(-łam)</w:t>
            </w:r>
          </w:p>
        </w:tc>
        <w:tc>
          <w:tcPr>
            <w:tcW w:w="914" w:type="pct"/>
            <w:shd w:val="clear" w:color="auto" w:fill="8EAADB" w:themeFill="accent1" w:themeFillTint="99"/>
            <w:vAlign w:val="center"/>
            <w:hideMark/>
          </w:tcPr>
          <w:p w14:paraId="70141350" w14:textId="77777777" w:rsidR="0008203F" w:rsidRPr="00DC3810" w:rsidRDefault="0008203F" w:rsidP="0008203F">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Tak, za każdym razem</w:t>
            </w:r>
          </w:p>
        </w:tc>
      </w:tr>
      <w:tr w:rsidR="0008203F" w:rsidRPr="00DC3810" w14:paraId="7B170D97" w14:textId="77777777" w:rsidTr="00DC3810">
        <w:trPr>
          <w:trHeight w:val="99"/>
        </w:trPr>
        <w:tc>
          <w:tcPr>
            <w:tcW w:w="919" w:type="pct"/>
            <w:vMerge/>
            <w:shd w:val="clear" w:color="auto" w:fill="8EAADB" w:themeFill="accent1" w:themeFillTint="99"/>
            <w:vAlign w:val="center"/>
            <w:hideMark/>
          </w:tcPr>
          <w:p w14:paraId="22E56B88"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4081" w:type="pct"/>
            <w:gridSpan w:val="5"/>
            <w:shd w:val="clear" w:color="auto" w:fill="8EAADB" w:themeFill="accent1" w:themeFillTint="99"/>
            <w:vAlign w:val="center"/>
            <w:hideMark/>
          </w:tcPr>
          <w:p w14:paraId="565AF933"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 osób danej grupy</w:t>
            </w:r>
          </w:p>
        </w:tc>
      </w:tr>
      <w:tr w:rsidR="0008203F" w:rsidRPr="00DC3810" w14:paraId="2C911368" w14:textId="77777777" w:rsidTr="0008203F">
        <w:trPr>
          <w:trHeight w:val="300"/>
        </w:trPr>
        <w:tc>
          <w:tcPr>
            <w:tcW w:w="4086" w:type="pct"/>
            <w:gridSpan w:val="5"/>
            <w:shd w:val="clear" w:color="auto" w:fill="auto"/>
            <w:vAlign w:val="center"/>
            <w:hideMark/>
          </w:tcPr>
          <w:p w14:paraId="3E71418F"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osoby w wieku 16 lat i więcej</w:t>
            </w:r>
          </w:p>
        </w:tc>
        <w:tc>
          <w:tcPr>
            <w:tcW w:w="914" w:type="pct"/>
            <w:shd w:val="clear" w:color="auto" w:fill="auto"/>
            <w:noWrap/>
            <w:vAlign w:val="bottom"/>
            <w:hideMark/>
          </w:tcPr>
          <w:p w14:paraId="19ECCD6A" w14:textId="77777777" w:rsidR="0008203F" w:rsidRPr="00DC3810" w:rsidRDefault="0008203F" w:rsidP="0008203F">
            <w:pPr>
              <w:spacing w:after="0" w:line="240" w:lineRule="auto"/>
              <w:jc w:val="center"/>
              <w:rPr>
                <w:rFonts w:ascii="Lato" w:eastAsia="Times New Roman" w:hAnsi="Lato" w:cs="Arial"/>
                <w:sz w:val="18"/>
                <w:szCs w:val="18"/>
                <w:lang w:eastAsia="pl-PL"/>
              </w:rPr>
            </w:pPr>
          </w:p>
        </w:tc>
      </w:tr>
      <w:tr w:rsidR="0008203F" w:rsidRPr="00DC3810" w14:paraId="5DA5C0A2" w14:textId="77777777" w:rsidTr="0008203F">
        <w:trPr>
          <w:trHeight w:val="300"/>
        </w:trPr>
        <w:tc>
          <w:tcPr>
            <w:tcW w:w="919" w:type="pct"/>
            <w:shd w:val="clear" w:color="auto" w:fill="auto"/>
            <w:vAlign w:val="bottom"/>
            <w:hideMark/>
          </w:tcPr>
          <w:p w14:paraId="54A24396" w14:textId="77777777" w:rsidR="0008203F" w:rsidRPr="00DC3810" w:rsidRDefault="0008203F" w:rsidP="0008203F">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425" w:type="pct"/>
            <w:shd w:val="clear" w:color="auto" w:fill="auto"/>
            <w:noWrap/>
            <w:vAlign w:val="center"/>
            <w:hideMark/>
          </w:tcPr>
          <w:p w14:paraId="7007C448"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914" w:type="pct"/>
            <w:shd w:val="clear" w:color="auto" w:fill="auto"/>
            <w:noWrap/>
            <w:vAlign w:val="center"/>
            <w:hideMark/>
          </w:tcPr>
          <w:p w14:paraId="7501E27B"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14,4</w:t>
            </w:r>
          </w:p>
        </w:tc>
        <w:tc>
          <w:tcPr>
            <w:tcW w:w="914" w:type="pct"/>
            <w:shd w:val="clear" w:color="auto" w:fill="auto"/>
            <w:noWrap/>
            <w:vAlign w:val="center"/>
            <w:hideMark/>
          </w:tcPr>
          <w:p w14:paraId="645A9147"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8,2</w:t>
            </w:r>
          </w:p>
        </w:tc>
        <w:tc>
          <w:tcPr>
            <w:tcW w:w="914" w:type="pct"/>
            <w:shd w:val="clear" w:color="auto" w:fill="auto"/>
            <w:noWrap/>
            <w:vAlign w:val="center"/>
            <w:hideMark/>
          </w:tcPr>
          <w:p w14:paraId="01842FBB"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6,2</w:t>
            </w:r>
          </w:p>
        </w:tc>
        <w:tc>
          <w:tcPr>
            <w:tcW w:w="914" w:type="pct"/>
            <w:shd w:val="clear" w:color="auto" w:fill="auto"/>
            <w:noWrap/>
            <w:vAlign w:val="bottom"/>
            <w:hideMark/>
          </w:tcPr>
          <w:p w14:paraId="4727D1BB"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85,6</w:t>
            </w:r>
          </w:p>
        </w:tc>
      </w:tr>
      <w:tr w:rsidR="0008203F" w:rsidRPr="00DC3810" w14:paraId="5B367DBC" w14:textId="77777777" w:rsidTr="0008203F">
        <w:trPr>
          <w:trHeight w:val="300"/>
        </w:trPr>
        <w:tc>
          <w:tcPr>
            <w:tcW w:w="919" w:type="pct"/>
            <w:shd w:val="clear" w:color="auto" w:fill="auto"/>
            <w:noWrap/>
            <w:vAlign w:val="bottom"/>
            <w:hideMark/>
          </w:tcPr>
          <w:p w14:paraId="3ADBFA04"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25" w:type="pct"/>
            <w:shd w:val="clear" w:color="auto" w:fill="auto"/>
            <w:noWrap/>
            <w:vAlign w:val="bottom"/>
            <w:hideMark/>
          </w:tcPr>
          <w:p w14:paraId="24134C43"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136173E5"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13,8</w:t>
            </w:r>
          </w:p>
        </w:tc>
        <w:tc>
          <w:tcPr>
            <w:tcW w:w="914" w:type="pct"/>
            <w:shd w:val="clear" w:color="auto" w:fill="auto"/>
            <w:noWrap/>
            <w:vAlign w:val="center"/>
            <w:hideMark/>
          </w:tcPr>
          <w:p w14:paraId="1CA7CB9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7,8</w:t>
            </w:r>
          </w:p>
        </w:tc>
        <w:tc>
          <w:tcPr>
            <w:tcW w:w="914" w:type="pct"/>
            <w:shd w:val="clear" w:color="auto" w:fill="auto"/>
            <w:noWrap/>
            <w:vAlign w:val="center"/>
            <w:hideMark/>
          </w:tcPr>
          <w:p w14:paraId="6C3A50EB"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w:t>
            </w:r>
          </w:p>
        </w:tc>
        <w:tc>
          <w:tcPr>
            <w:tcW w:w="914" w:type="pct"/>
            <w:shd w:val="clear" w:color="auto" w:fill="auto"/>
            <w:noWrap/>
            <w:vAlign w:val="bottom"/>
            <w:hideMark/>
          </w:tcPr>
          <w:p w14:paraId="143F4B3F"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86,2</w:t>
            </w:r>
          </w:p>
        </w:tc>
      </w:tr>
      <w:tr w:rsidR="0008203F" w:rsidRPr="00DC3810" w14:paraId="671DCC0A" w14:textId="77777777" w:rsidTr="0008203F">
        <w:trPr>
          <w:trHeight w:val="300"/>
        </w:trPr>
        <w:tc>
          <w:tcPr>
            <w:tcW w:w="919" w:type="pct"/>
            <w:shd w:val="clear" w:color="auto" w:fill="auto"/>
            <w:noWrap/>
            <w:vAlign w:val="bottom"/>
            <w:hideMark/>
          </w:tcPr>
          <w:p w14:paraId="54828AEF"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25" w:type="pct"/>
            <w:shd w:val="clear" w:color="auto" w:fill="auto"/>
            <w:noWrap/>
            <w:vAlign w:val="bottom"/>
            <w:hideMark/>
          </w:tcPr>
          <w:p w14:paraId="2F18D36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66731BCA"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14,8</w:t>
            </w:r>
          </w:p>
        </w:tc>
        <w:tc>
          <w:tcPr>
            <w:tcW w:w="914" w:type="pct"/>
            <w:shd w:val="clear" w:color="auto" w:fill="auto"/>
            <w:noWrap/>
            <w:vAlign w:val="center"/>
            <w:hideMark/>
          </w:tcPr>
          <w:p w14:paraId="68FDFA8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w:t>
            </w:r>
          </w:p>
        </w:tc>
        <w:tc>
          <w:tcPr>
            <w:tcW w:w="914" w:type="pct"/>
            <w:shd w:val="clear" w:color="auto" w:fill="auto"/>
            <w:noWrap/>
            <w:vAlign w:val="center"/>
            <w:hideMark/>
          </w:tcPr>
          <w:p w14:paraId="72803D2B"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6,4</w:t>
            </w:r>
          </w:p>
        </w:tc>
        <w:tc>
          <w:tcPr>
            <w:tcW w:w="914" w:type="pct"/>
            <w:shd w:val="clear" w:color="auto" w:fill="auto"/>
            <w:noWrap/>
            <w:vAlign w:val="bottom"/>
            <w:hideMark/>
          </w:tcPr>
          <w:p w14:paraId="3CB782B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85,2</w:t>
            </w:r>
          </w:p>
        </w:tc>
      </w:tr>
      <w:tr w:rsidR="0008203F" w:rsidRPr="00DC3810" w14:paraId="1557A485" w14:textId="77777777" w:rsidTr="0008203F">
        <w:trPr>
          <w:trHeight w:val="300"/>
        </w:trPr>
        <w:tc>
          <w:tcPr>
            <w:tcW w:w="919" w:type="pct"/>
            <w:shd w:val="clear" w:color="auto" w:fill="auto"/>
            <w:noWrap/>
            <w:vAlign w:val="bottom"/>
            <w:hideMark/>
          </w:tcPr>
          <w:p w14:paraId="7D29929E"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425" w:type="pct"/>
            <w:shd w:val="clear" w:color="auto" w:fill="auto"/>
            <w:noWrap/>
            <w:vAlign w:val="bottom"/>
            <w:hideMark/>
          </w:tcPr>
          <w:p w14:paraId="3EEAA25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4A62056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13,6</w:t>
            </w:r>
          </w:p>
        </w:tc>
        <w:tc>
          <w:tcPr>
            <w:tcW w:w="914" w:type="pct"/>
            <w:shd w:val="clear" w:color="auto" w:fill="auto"/>
            <w:noWrap/>
            <w:vAlign w:val="center"/>
            <w:hideMark/>
          </w:tcPr>
          <w:p w14:paraId="2D76CDB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8,0</w:t>
            </w:r>
          </w:p>
        </w:tc>
        <w:tc>
          <w:tcPr>
            <w:tcW w:w="914" w:type="pct"/>
            <w:shd w:val="clear" w:color="auto" w:fill="auto"/>
            <w:noWrap/>
            <w:vAlign w:val="center"/>
            <w:hideMark/>
          </w:tcPr>
          <w:p w14:paraId="41BE91EA"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5,6</w:t>
            </w:r>
          </w:p>
        </w:tc>
        <w:tc>
          <w:tcPr>
            <w:tcW w:w="914" w:type="pct"/>
            <w:shd w:val="clear" w:color="auto" w:fill="auto"/>
            <w:noWrap/>
            <w:vAlign w:val="bottom"/>
            <w:hideMark/>
          </w:tcPr>
          <w:p w14:paraId="46F08CD5"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86,4</w:t>
            </w:r>
          </w:p>
        </w:tc>
      </w:tr>
      <w:tr w:rsidR="0008203F" w:rsidRPr="00DC3810" w14:paraId="1F98275C" w14:textId="77777777" w:rsidTr="0008203F">
        <w:trPr>
          <w:trHeight w:val="300"/>
        </w:trPr>
        <w:tc>
          <w:tcPr>
            <w:tcW w:w="919" w:type="pct"/>
            <w:shd w:val="clear" w:color="auto" w:fill="auto"/>
            <w:noWrap/>
            <w:vAlign w:val="bottom"/>
            <w:hideMark/>
          </w:tcPr>
          <w:p w14:paraId="5E4F2D53"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25" w:type="pct"/>
            <w:shd w:val="clear" w:color="auto" w:fill="auto"/>
            <w:noWrap/>
            <w:vAlign w:val="bottom"/>
            <w:hideMark/>
          </w:tcPr>
          <w:p w14:paraId="1E8AAD0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491CEA9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15,7</w:t>
            </w:r>
          </w:p>
        </w:tc>
        <w:tc>
          <w:tcPr>
            <w:tcW w:w="914" w:type="pct"/>
            <w:shd w:val="clear" w:color="auto" w:fill="auto"/>
            <w:noWrap/>
            <w:vAlign w:val="center"/>
            <w:hideMark/>
          </w:tcPr>
          <w:p w14:paraId="756179A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w:t>
            </w:r>
          </w:p>
        </w:tc>
        <w:tc>
          <w:tcPr>
            <w:tcW w:w="914" w:type="pct"/>
            <w:shd w:val="clear" w:color="auto" w:fill="auto"/>
            <w:noWrap/>
            <w:vAlign w:val="center"/>
            <w:hideMark/>
          </w:tcPr>
          <w:p w14:paraId="3784D5B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7,2</w:t>
            </w:r>
          </w:p>
        </w:tc>
        <w:tc>
          <w:tcPr>
            <w:tcW w:w="914" w:type="pct"/>
            <w:shd w:val="clear" w:color="auto" w:fill="auto"/>
            <w:noWrap/>
            <w:vAlign w:val="bottom"/>
            <w:hideMark/>
          </w:tcPr>
          <w:p w14:paraId="7E084DA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84,3</w:t>
            </w:r>
          </w:p>
        </w:tc>
      </w:tr>
      <w:tr w:rsidR="0008203F" w:rsidRPr="00DC3810" w14:paraId="337E6199" w14:textId="77777777" w:rsidTr="0008203F">
        <w:trPr>
          <w:trHeight w:val="300"/>
        </w:trPr>
        <w:tc>
          <w:tcPr>
            <w:tcW w:w="4086" w:type="pct"/>
            <w:gridSpan w:val="5"/>
            <w:shd w:val="clear" w:color="auto" w:fill="auto"/>
            <w:vAlign w:val="center"/>
            <w:hideMark/>
          </w:tcPr>
          <w:p w14:paraId="2B2ABBAE"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60 lat i więcej</w:t>
            </w:r>
          </w:p>
        </w:tc>
        <w:tc>
          <w:tcPr>
            <w:tcW w:w="914" w:type="pct"/>
            <w:shd w:val="clear" w:color="auto" w:fill="auto"/>
            <w:noWrap/>
            <w:vAlign w:val="bottom"/>
            <w:hideMark/>
          </w:tcPr>
          <w:p w14:paraId="216ED216" w14:textId="77777777" w:rsidR="0008203F" w:rsidRPr="00DC3810" w:rsidRDefault="0008203F" w:rsidP="0008203F">
            <w:pPr>
              <w:spacing w:after="0" w:line="240" w:lineRule="auto"/>
              <w:jc w:val="center"/>
              <w:rPr>
                <w:rFonts w:ascii="Lato" w:eastAsia="Times New Roman" w:hAnsi="Lato" w:cs="Arial"/>
                <w:sz w:val="18"/>
                <w:szCs w:val="18"/>
                <w:lang w:eastAsia="pl-PL"/>
              </w:rPr>
            </w:pPr>
          </w:p>
        </w:tc>
      </w:tr>
      <w:tr w:rsidR="0008203F" w:rsidRPr="00DC3810" w14:paraId="69AFBD7D" w14:textId="77777777" w:rsidTr="0008203F">
        <w:trPr>
          <w:trHeight w:val="300"/>
        </w:trPr>
        <w:tc>
          <w:tcPr>
            <w:tcW w:w="919" w:type="pct"/>
            <w:shd w:val="clear" w:color="auto" w:fill="auto"/>
            <w:vAlign w:val="bottom"/>
            <w:hideMark/>
          </w:tcPr>
          <w:p w14:paraId="1272E8A0" w14:textId="77777777" w:rsidR="0008203F" w:rsidRPr="00DC3810" w:rsidRDefault="0008203F" w:rsidP="0008203F">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Ogółem </w:t>
            </w:r>
          </w:p>
        </w:tc>
        <w:tc>
          <w:tcPr>
            <w:tcW w:w="425" w:type="pct"/>
            <w:shd w:val="clear" w:color="auto" w:fill="auto"/>
            <w:noWrap/>
            <w:vAlign w:val="center"/>
            <w:hideMark/>
          </w:tcPr>
          <w:p w14:paraId="5D5304E2"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w:t>
            </w:r>
          </w:p>
        </w:tc>
        <w:tc>
          <w:tcPr>
            <w:tcW w:w="914" w:type="pct"/>
            <w:shd w:val="clear" w:color="auto" w:fill="auto"/>
            <w:noWrap/>
            <w:vAlign w:val="center"/>
            <w:hideMark/>
          </w:tcPr>
          <w:p w14:paraId="54EF4C3C"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15,9</w:t>
            </w:r>
          </w:p>
        </w:tc>
        <w:tc>
          <w:tcPr>
            <w:tcW w:w="914" w:type="pct"/>
            <w:shd w:val="clear" w:color="000000" w:fill="FFFFFF"/>
            <w:noWrap/>
            <w:vAlign w:val="center"/>
            <w:hideMark/>
          </w:tcPr>
          <w:p w14:paraId="7B4C767B" w14:textId="77777777" w:rsidR="0008203F" w:rsidRPr="00DC3810" w:rsidRDefault="0008203F" w:rsidP="0008203F">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9,4</w:t>
            </w:r>
          </w:p>
        </w:tc>
        <w:tc>
          <w:tcPr>
            <w:tcW w:w="914" w:type="pct"/>
            <w:shd w:val="clear" w:color="000000" w:fill="FFFFFF"/>
            <w:noWrap/>
            <w:vAlign w:val="center"/>
            <w:hideMark/>
          </w:tcPr>
          <w:p w14:paraId="3F6A40F9" w14:textId="77777777" w:rsidR="0008203F" w:rsidRPr="00DC3810" w:rsidRDefault="0008203F" w:rsidP="0008203F">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6,5</w:t>
            </w:r>
          </w:p>
        </w:tc>
        <w:tc>
          <w:tcPr>
            <w:tcW w:w="914" w:type="pct"/>
            <w:shd w:val="clear" w:color="000000" w:fill="FFFFFF"/>
            <w:noWrap/>
            <w:vAlign w:val="center"/>
            <w:hideMark/>
          </w:tcPr>
          <w:p w14:paraId="6A4B66B2" w14:textId="77777777" w:rsidR="0008203F" w:rsidRPr="00DC3810" w:rsidRDefault="0008203F" w:rsidP="0008203F">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84,1</w:t>
            </w:r>
          </w:p>
        </w:tc>
      </w:tr>
      <w:tr w:rsidR="0008203F" w:rsidRPr="00DC3810" w14:paraId="0029A7EE" w14:textId="77777777" w:rsidTr="0008203F">
        <w:trPr>
          <w:trHeight w:val="300"/>
        </w:trPr>
        <w:tc>
          <w:tcPr>
            <w:tcW w:w="919" w:type="pct"/>
            <w:shd w:val="clear" w:color="auto" w:fill="auto"/>
            <w:noWrap/>
            <w:vAlign w:val="bottom"/>
            <w:hideMark/>
          </w:tcPr>
          <w:p w14:paraId="160543CC"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Mężczyźni</w:t>
            </w:r>
          </w:p>
        </w:tc>
        <w:tc>
          <w:tcPr>
            <w:tcW w:w="425" w:type="pct"/>
            <w:shd w:val="clear" w:color="auto" w:fill="auto"/>
            <w:noWrap/>
            <w:vAlign w:val="bottom"/>
            <w:hideMark/>
          </w:tcPr>
          <w:p w14:paraId="6306A55A"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1102490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15,1</w:t>
            </w:r>
          </w:p>
        </w:tc>
        <w:tc>
          <w:tcPr>
            <w:tcW w:w="914" w:type="pct"/>
            <w:shd w:val="clear" w:color="000000" w:fill="FFFFFF"/>
            <w:noWrap/>
            <w:vAlign w:val="center"/>
            <w:hideMark/>
          </w:tcPr>
          <w:p w14:paraId="1FB8A1DB"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9,4</w:t>
            </w:r>
          </w:p>
        </w:tc>
        <w:tc>
          <w:tcPr>
            <w:tcW w:w="914" w:type="pct"/>
            <w:shd w:val="clear" w:color="000000" w:fill="FFFFFF"/>
            <w:noWrap/>
            <w:vAlign w:val="center"/>
            <w:hideMark/>
          </w:tcPr>
          <w:p w14:paraId="09262242"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5,7</w:t>
            </w:r>
          </w:p>
        </w:tc>
        <w:tc>
          <w:tcPr>
            <w:tcW w:w="914" w:type="pct"/>
            <w:shd w:val="clear" w:color="000000" w:fill="FFFFFF"/>
            <w:noWrap/>
            <w:vAlign w:val="center"/>
            <w:hideMark/>
          </w:tcPr>
          <w:p w14:paraId="16FCED56"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84,9</w:t>
            </w:r>
          </w:p>
        </w:tc>
      </w:tr>
      <w:tr w:rsidR="0008203F" w:rsidRPr="00DC3810" w14:paraId="08DE6617" w14:textId="77777777" w:rsidTr="0008203F">
        <w:trPr>
          <w:trHeight w:val="300"/>
        </w:trPr>
        <w:tc>
          <w:tcPr>
            <w:tcW w:w="919" w:type="pct"/>
            <w:shd w:val="clear" w:color="auto" w:fill="auto"/>
            <w:noWrap/>
            <w:vAlign w:val="bottom"/>
            <w:hideMark/>
          </w:tcPr>
          <w:p w14:paraId="591C04F7"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Kobiety</w:t>
            </w:r>
          </w:p>
        </w:tc>
        <w:tc>
          <w:tcPr>
            <w:tcW w:w="425" w:type="pct"/>
            <w:shd w:val="clear" w:color="auto" w:fill="auto"/>
            <w:noWrap/>
            <w:vAlign w:val="bottom"/>
            <w:hideMark/>
          </w:tcPr>
          <w:p w14:paraId="22F757B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05ECE37F"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16,5</w:t>
            </w:r>
          </w:p>
        </w:tc>
        <w:tc>
          <w:tcPr>
            <w:tcW w:w="914" w:type="pct"/>
            <w:shd w:val="clear" w:color="000000" w:fill="FFFFFF"/>
            <w:noWrap/>
            <w:vAlign w:val="center"/>
            <w:hideMark/>
          </w:tcPr>
          <w:p w14:paraId="6BE034B5"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9,4</w:t>
            </w:r>
          </w:p>
        </w:tc>
        <w:tc>
          <w:tcPr>
            <w:tcW w:w="914" w:type="pct"/>
            <w:shd w:val="clear" w:color="000000" w:fill="FFFFFF"/>
            <w:noWrap/>
            <w:vAlign w:val="center"/>
            <w:hideMark/>
          </w:tcPr>
          <w:p w14:paraId="1352FF17"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7,1</w:t>
            </w:r>
          </w:p>
        </w:tc>
        <w:tc>
          <w:tcPr>
            <w:tcW w:w="914" w:type="pct"/>
            <w:shd w:val="clear" w:color="000000" w:fill="FFFFFF"/>
            <w:noWrap/>
            <w:vAlign w:val="center"/>
            <w:hideMark/>
          </w:tcPr>
          <w:p w14:paraId="7210C83B"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83,5</w:t>
            </w:r>
          </w:p>
        </w:tc>
      </w:tr>
      <w:tr w:rsidR="0008203F" w:rsidRPr="00DC3810" w14:paraId="245C1C4F" w14:textId="77777777" w:rsidTr="0008203F">
        <w:trPr>
          <w:trHeight w:val="300"/>
        </w:trPr>
        <w:tc>
          <w:tcPr>
            <w:tcW w:w="919" w:type="pct"/>
            <w:shd w:val="clear" w:color="auto" w:fill="auto"/>
            <w:noWrap/>
            <w:vAlign w:val="bottom"/>
            <w:hideMark/>
          </w:tcPr>
          <w:p w14:paraId="56FF2E23"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425" w:type="pct"/>
            <w:shd w:val="clear" w:color="auto" w:fill="auto"/>
            <w:noWrap/>
            <w:vAlign w:val="bottom"/>
            <w:hideMark/>
          </w:tcPr>
          <w:p w14:paraId="1699CDE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257C106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15,0</w:t>
            </w:r>
          </w:p>
        </w:tc>
        <w:tc>
          <w:tcPr>
            <w:tcW w:w="914" w:type="pct"/>
            <w:shd w:val="clear" w:color="000000" w:fill="FFFFFF"/>
            <w:noWrap/>
            <w:vAlign w:val="center"/>
            <w:hideMark/>
          </w:tcPr>
          <w:p w14:paraId="238ED75A"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9,1</w:t>
            </w:r>
          </w:p>
        </w:tc>
        <w:tc>
          <w:tcPr>
            <w:tcW w:w="914" w:type="pct"/>
            <w:shd w:val="clear" w:color="000000" w:fill="FFFFFF"/>
            <w:noWrap/>
            <w:vAlign w:val="center"/>
            <w:hideMark/>
          </w:tcPr>
          <w:p w14:paraId="39E8628D"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5,8</w:t>
            </w:r>
          </w:p>
        </w:tc>
        <w:tc>
          <w:tcPr>
            <w:tcW w:w="914" w:type="pct"/>
            <w:shd w:val="clear" w:color="000000" w:fill="FFFFFF"/>
            <w:noWrap/>
            <w:vAlign w:val="center"/>
            <w:hideMark/>
          </w:tcPr>
          <w:p w14:paraId="2319804F"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85,0</w:t>
            </w:r>
          </w:p>
        </w:tc>
      </w:tr>
      <w:tr w:rsidR="0008203F" w:rsidRPr="00DC3810" w14:paraId="039334DC" w14:textId="77777777" w:rsidTr="0008203F">
        <w:trPr>
          <w:trHeight w:val="300"/>
        </w:trPr>
        <w:tc>
          <w:tcPr>
            <w:tcW w:w="919" w:type="pct"/>
            <w:shd w:val="clear" w:color="auto" w:fill="auto"/>
            <w:noWrap/>
            <w:vAlign w:val="bottom"/>
            <w:hideMark/>
          </w:tcPr>
          <w:p w14:paraId="7CB6D2B8"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425" w:type="pct"/>
            <w:shd w:val="clear" w:color="auto" w:fill="auto"/>
            <w:noWrap/>
            <w:vAlign w:val="bottom"/>
            <w:hideMark/>
          </w:tcPr>
          <w:p w14:paraId="0CBEDCC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914" w:type="pct"/>
            <w:shd w:val="clear" w:color="auto" w:fill="auto"/>
            <w:noWrap/>
            <w:vAlign w:val="center"/>
            <w:hideMark/>
          </w:tcPr>
          <w:p w14:paraId="112767A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w:t>
            </w:r>
          </w:p>
        </w:tc>
        <w:tc>
          <w:tcPr>
            <w:tcW w:w="914" w:type="pct"/>
            <w:shd w:val="clear" w:color="000000" w:fill="FFFFFF"/>
            <w:noWrap/>
            <w:vAlign w:val="center"/>
            <w:hideMark/>
          </w:tcPr>
          <w:p w14:paraId="2FBF2F9B"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9,9</w:t>
            </w:r>
          </w:p>
        </w:tc>
        <w:tc>
          <w:tcPr>
            <w:tcW w:w="914" w:type="pct"/>
            <w:shd w:val="clear" w:color="000000" w:fill="FFFFFF"/>
            <w:noWrap/>
            <w:vAlign w:val="center"/>
            <w:hideMark/>
          </w:tcPr>
          <w:p w14:paraId="549215EA"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7,7</w:t>
            </w:r>
          </w:p>
        </w:tc>
        <w:tc>
          <w:tcPr>
            <w:tcW w:w="914" w:type="pct"/>
            <w:shd w:val="clear" w:color="000000" w:fill="FFFFFF"/>
            <w:noWrap/>
            <w:vAlign w:val="center"/>
            <w:hideMark/>
          </w:tcPr>
          <w:p w14:paraId="035F8C3A" w14:textId="77777777" w:rsidR="0008203F" w:rsidRPr="00DC3810" w:rsidRDefault="0008203F" w:rsidP="0008203F">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82,4</w:t>
            </w:r>
          </w:p>
        </w:tc>
      </w:tr>
    </w:tbl>
    <w:p w14:paraId="6FACD18B" w14:textId="32D6C3C6" w:rsidR="006D7B34" w:rsidRPr="004F5101" w:rsidRDefault="0008203F" w:rsidP="006D7B34">
      <w:pPr>
        <w:rPr>
          <w:rFonts w:ascii="Lato" w:hAnsi="Lato"/>
          <w:sz w:val="16"/>
          <w:szCs w:val="16"/>
        </w:rPr>
      </w:pPr>
      <w:r w:rsidRPr="004F5101">
        <w:rPr>
          <w:rFonts w:ascii="Lato" w:hAnsi="Lato"/>
          <w:sz w:val="16"/>
          <w:szCs w:val="16"/>
        </w:rPr>
        <w:t>Źródło: Badanie EU-SILC 2021 r., GUS - dane wstępne</w:t>
      </w:r>
    </w:p>
    <w:p w14:paraId="066C5464" w14:textId="6D041547" w:rsidR="0008203F" w:rsidRPr="00783C69" w:rsidRDefault="00783C69" w:rsidP="004F5101">
      <w:pPr>
        <w:tabs>
          <w:tab w:val="left" w:pos="2240"/>
        </w:tabs>
        <w:spacing w:line="240" w:lineRule="auto"/>
        <w:jc w:val="both"/>
        <w:rPr>
          <w:rFonts w:ascii="Lato" w:hAnsi="Lato" w:cs="Times New Roman"/>
          <w:sz w:val="20"/>
          <w:szCs w:val="20"/>
        </w:rPr>
      </w:pPr>
      <w:r w:rsidRPr="00783C69">
        <w:rPr>
          <w:rFonts w:ascii="Lato" w:hAnsi="Lato" w:cs="Times New Roman"/>
          <w:sz w:val="20"/>
          <w:szCs w:val="20"/>
        </w:rPr>
        <w:t>Wśród nich największa część (58,7%) jako powód podała ograniczenia związane z pandemią. We wcześniejszych latach jako najczęstszy powód wskazywano „zbyt długą listę/kolejkę oczekujących”. W 2021 r. tę przyczynę wskazała co piąta osoba w wieku 60 lat i więcej.</w:t>
      </w:r>
    </w:p>
    <w:p w14:paraId="0484CADF" w14:textId="096336CB" w:rsidR="00BA25BE" w:rsidRPr="00675AAD" w:rsidRDefault="00BA25BE" w:rsidP="00675AAD">
      <w:pPr>
        <w:spacing w:after="0" w:line="240" w:lineRule="auto"/>
        <w:rPr>
          <w:rFonts w:ascii="Lato" w:hAnsi="Lato"/>
          <w:sz w:val="18"/>
          <w:szCs w:val="18"/>
        </w:rPr>
        <w:sectPr w:rsidR="00BA25BE" w:rsidRPr="00675AAD" w:rsidSect="00A96D8C">
          <w:headerReference w:type="default" r:id="rId15"/>
          <w:footerReference w:type="default" r:id="rId16"/>
          <w:pgSz w:w="11910" w:h="16840"/>
          <w:pgMar w:top="1417" w:right="1417" w:bottom="1417" w:left="1417" w:header="719" w:footer="1422" w:gutter="0"/>
          <w:pgNumType w:start="1"/>
          <w:cols w:space="708"/>
        </w:sectPr>
      </w:pPr>
    </w:p>
    <w:p w14:paraId="5D645656" w14:textId="0E728F6F" w:rsidR="0008203F" w:rsidRDefault="0008203F" w:rsidP="0008203F">
      <w:pPr>
        <w:pStyle w:val="Legenda"/>
        <w:keepNext/>
      </w:pPr>
      <w:bookmarkStart w:id="24" w:name="_Toc142565986"/>
      <w:r>
        <w:lastRenderedPageBreak/>
        <w:t xml:space="preserve">Tabela </w:t>
      </w:r>
      <w:fldSimple w:instr=" SEQ Tabela \* ARABIC ">
        <w:r w:rsidR="00AA385B">
          <w:rPr>
            <w:noProof/>
          </w:rPr>
          <w:t>21</w:t>
        </w:r>
      </w:fldSimple>
      <w:r>
        <w:t xml:space="preserve"> Ambulatoryjna opieka zdrowotna w 2022 r.</w:t>
      </w:r>
      <w:bookmarkEnd w:id="24"/>
    </w:p>
    <w:tbl>
      <w:tblPr>
        <w:tblW w:w="552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9"/>
        <w:gridCol w:w="1199"/>
        <w:gridCol w:w="1199"/>
        <w:gridCol w:w="1205"/>
        <w:gridCol w:w="1196"/>
        <w:gridCol w:w="1196"/>
        <w:gridCol w:w="1205"/>
        <w:gridCol w:w="1196"/>
        <w:gridCol w:w="1196"/>
        <w:gridCol w:w="1941"/>
      </w:tblGrid>
      <w:tr w:rsidR="00675AAD" w:rsidRPr="00DC3810" w14:paraId="72D98A3D" w14:textId="77777777" w:rsidTr="00DC3810">
        <w:trPr>
          <w:trHeight w:val="399"/>
        </w:trPr>
        <w:tc>
          <w:tcPr>
            <w:tcW w:w="1268" w:type="pct"/>
            <w:vMerge w:val="restart"/>
            <w:shd w:val="clear" w:color="auto" w:fill="8EAADB" w:themeFill="accent1" w:themeFillTint="99"/>
            <w:vAlign w:val="center"/>
            <w:hideMark/>
          </w:tcPr>
          <w:p w14:paraId="00EF3E4F"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1166" w:type="pct"/>
            <w:gridSpan w:val="3"/>
            <w:shd w:val="clear" w:color="auto" w:fill="8EAADB" w:themeFill="accent1" w:themeFillTint="99"/>
            <w:vAlign w:val="center"/>
            <w:hideMark/>
          </w:tcPr>
          <w:p w14:paraId="75361C03"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1164" w:type="pct"/>
            <w:gridSpan w:val="3"/>
            <w:shd w:val="clear" w:color="auto" w:fill="8EAADB" w:themeFill="accent1" w:themeFillTint="99"/>
            <w:vAlign w:val="center"/>
            <w:hideMark/>
          </w:tcPr>
          <w:p w14:paraId="37DD9716"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65 lat i więcej</w:t>
            </w:r>
          </w:p>
        </w:tc>
        <w:tc>
          <w:tcPr>
            <w:tcW w:w="1403" w:type="pct"/>
            <w:gridSpan w:val="3"/>
            <w:shd w:val="clear" w:color="auto" w:fill="8EAADB" w:themeFill="accent1" w:themeFillTint="99"/>
            <w:vAlign w:val="center"/>
            <w:hideMark/>
          </w:tcPr>
          <w:p w14:paraId="4AF9F930"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0-64 lata</w:t>
            </w:r>
          </w:p>
        </w:tc>
      </w:tr>
      <w:tr w:rsidR="0008203F" w:rsidRPr="00DC3810" w14:paraId="19E0D835" w14:textId="77777777" w:rsidTr="00DC3810">
        <w:trPr>
          <w:trHeight w:val="399"/>
        </w:trPr>
        <w:tc>
          <w:tcPr>
            <w:tcW w:w="1268" w:type="pct"/>
            <w:vMerge/>
            <w:shd w:val="clear" w:color="auto" w:fill="8EAADB" w:themeFill="accent1" w:themeFillTint="99"/>
            <w:vAlign w:val="center"/>
            <w:hideMark/>
          </w:tcPr>
          <w:p w14:paraId="1E994444" w14:textId="77777777" w:rsidR="0008203F" w:rsidRPr="00DC3810" w:rsidRDefault="0008203F" w:rsidP="0008203F">
            <w:pPr>
              <w:spacing w:after="0" w:line="240" w:lineRule="auto"/>
              <w:rPr>
                <w:rFonts w:ascii="Lato" w:eastAsia="Times New Roman" w:hAnsi="Lato" w:cs="Arial"/>
                <w:sz w:val="18"/>
                <w:szCs w:val="18"/>
                <w:lang w:eastAsia="pl-PL"/>
              </w:rPr>
            </w:pPr>
          </w:p>
        </w:tc>
        <w:tc>
          <w:tcPr>
            <w:tcW w:w="388" w:type="pct"/>
            <w:shd w:val="clear" w:color="auto" w:fill="8EAADB" w:themeFill="accent1" w:themeFillTint="99"/>
            <w:vAlign w:val="center"/>
            <w:hideMark/>
          </w:tcPr>
          <w:p w14:paraId="78DCB326"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388" w:type="pct"/>
            <w:shd w:val="clear" w:color="auto" w:fill="8EAADB" w:themeFill="accent1" w:themeFillTint="99"/>
            <w:vAlign w:val="center"/>
            <w:hideMark/>
          </w:tcPr>
          <w:p w14:paraId="45D1BFD3"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390" w:type="pct"/>
            <w:shd w:val="clear" w:color="auto" w:fill="8EAADB" w:themeFill="accent1" w:themeFillTint="99"/>
            <w:vAlign w:val="center"/>
            <w:hideMark/>
          </w:tcPr>
          <w:p w14:paraId="1AB8E7C8"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387" w:type="pct"/>
            <w:shd w:val="clear" w:color="auto" w:fill="8EAADB" w:themeFill="accent1" w:themeFillTint="99"/>
            <w:vAlign w:val="center"/>
            <w:hideMark/>
          </w:tcPr>
          <w:p w14:paraId="42A0AD3C"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387" w:type="pct"/>
            <w:shd w:val="clear" w:color="auto" w:fill="8EAADB" w:themeFill="accent1" w:themeFillTint="99"/>
            <w:vAlign w:val="center"/>
            <w:hideMark/>
          </w:tcPr>
          <w:p w14:paraId="2922BEE0"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389" w:type="pct"/>
            <w:shd w:val="clear" w:color="auto" w:fill="8EAADB" w:themeFill="accent1" w:themeFillTint="99"/>
            <w:vAlign w:val="center"/>
            <w:hideMark/>
          </w:tcPr>
          <w:p w14:paraId="35015651"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387" w:type="pct"/>
            <w:shd w:val="clear" w:color="auto" w:fill="8EAADB" w:themeFill="accent1" w:themeFillTint="99"/>
            <w:vAlign w:val="center"/>
            <w:hideMark/>
          </w:tcPr>
          <w:p w14:paraId="0F592B15"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387" w:type="pct"/>
            <w:shd w:val="clear" w:color="auto" w:fill="8EAADB" w:themeFill="accent1" w:themeFillTint="99"/>
            <w:vAlign w:val="center"/>
            <w:hideMark/>
          </w:tcPr>
          <w:p w14:paraId="6AD68D4F"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28" w:type="pct"/>
            <w:shd w:val="clear" w:color="auto" w:fill="8EAADB" w:themeFill="accent1" w:themeFillTint="99"/>
            <w:vAlign w:val="center"/>
            <w:hideMark/>
          </w:tcPr>
          <w:p w14:paraId="43F7F0E2" w14:textId="77777777" w:rsidR="0008203F" w:rsidRPr="00DC3810" w:rsidRDefault="0008203F" w:rsidP="0008203F">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r>
      <w:tr w:rsidR="00675AAD" w:rsidRPr="00DC3810" w14:paraId="1A4528C6" w14:textId="77777777" w:rsidTr="00675AAD">
        <w:trPr>
          <w:trHeight w:val="300"/>
        </w:trPr>
        <w:tc>
          <w:tcPr>
            <w:tcW w:w="1268" w:type="pct"/>
            <w:shd w:val="clear" w:color="auto" w:fill="auto"/>
            <w:noWrap/>
            <w:vAlign w:val="center"/>
            <w:hideMark/>
          </w:tcPr>
          <w:p w14:paraId="61D33561" w14:textId="77777777" w:rsidR="0008203F" w:rsidRPr="00DC3810" w:rsidRDefault="0008203F" w:rsidP="0008203F">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Porady </w:t>
            </w:r>
            <w:proofErr w:type="spellStart"/>
            <w:r w:rsidRPr="00DC3810">
              <w:rPr>
                <w:rFonts w:ascii="Lato" w:eastAsia="Times New Roman" w:hAnsi="Lato" w:cs="Arial"/>
                <w:b/>
                <w:bCs/>
                <w:sz w:val="18"/>
                <w:szCs w:val="18"/>
                <w:lang w:eastAsia="pl-PL"/>
              </w:rPr>
              <w:t>ogółem</w:t>
            </w:r>
            <w:r w:rsidRPr="00DC3810">
              <w:rPr>
                <w:rFonts w:ascii="Lato" w:eastAsia="Times New Roman" w:hAnsi="Lato" w:cs="Arial"/>
                <w:b/>
                <w:bCs/>
                <w:i/>
                <w:iCs/>
                <w:sz w:val="18"/>
                <w:szCs w:val="18"/>
                <w:vertAlign w:val="superscript"/>
                <w:lang w:eastAsia="pl-PL"/>
              </w:rPr>
              <w:t>a</w:t>
            </w:r>
            <w:proofErr w:type="spellEnd"/>
          </w:p>
        </w:tc>
        <w:tc>
          <w:tcPr>
            <w:tcW w:w="388" w:type="pct"/>
            <w:shd w:val="clear" w:color="auto" w:fill="auto"/>
            <w:vAlign w:val="center"/>
            <w:hideMark/>
          </w:tcPr>
          <w:p w14:paraId="7EB3B90E"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330 798 569</w:t>
            </w:r>
          </w:p>
        </w:tc>
        <w:tc>
          <w:tcPr>
            <w:tcW w:w="388" w:type="pct"/>
            <w:shd w:val="clear" w:color="auto" w:fill="auto"/>
            <w:vAlign w:val="center"/>
            <w:hideMark/>
          </w:tcPr>
          <w:p w14:paraId="4FCF40BA"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283 193 125</w:t>
            </w:r>
          </w:p>
        </w:tc>
        <w:tc>
          <w:tcPr>
            <w:tcW w:w="390" w:type="pct"/>
            <w:shd w:val="clear" w:color="auto" w:fill="auto"/>
            <w:noWrap/>
            <w:vAlign w:val="center"/>
            <w:hideMark/>
          </w:tcPr>
          <w:p w14:paraId="5CF2F61C"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47 605 444</w:t>
            </w:r>
          </w:p>
        </w:tc>
        <w:tc>
          <w:tcPr>
            <w:tcW w:w="387" w:type="pct"/>
            <w:shd w:val="clear" w:color="auto" w:fill="auto"/>
            <w:noWrap/>
            <w:vAlign w:val="center"/>
            <w:hideMark/>
          </w:tcPr>
          <w:p w14:paraId="6FD88881"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101 051 117</w:t>
            </w:r>
          </w:p>
        </w:tc>
        <w:tc>
          <w:tcPr>
            <w:tcW w:w="387" w:type="pct"/>
            <w:shd w:val="clear" w:color="auto" w:fill="auto"/>
            <w:noWrap/>
            <w:vAlign w:val="center"/>
            <w:hideMark/>
          </w:tcPr>
          <w:p w14:paraId="60F9B220"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86 291 443</w:t>
            </w:r>
          </w:p>
        </w:tc>
        <w:tc>
          <w:tcPr>
            <w:tcW w:w="389" w:type="pct"/>
            <w:shd w:val="clear" w:color="auto" w:fill="auto"/>
            <w:noWrap/>
            <w:vAlign w:val="center"/>
            <w:hideMark/>
          </w:tcPr>
          <w:p w14:paraId="663359CD"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14 759 674</w:t>
            </w:r>
          </w:p>
        </w:tc>
        <w:tc>
          <w:tcPr>
            <w:tcW w:w="387" w:type="pct"/>
            <w:shd w:val="clear" w:color="auto" w:fill="auto"/>
            <w:noWrap/>
            <w:vAlign w:val="center"/>
            <w:hideMark/>
          </w:tcPr>
          <w:p w14:paraId="5B09080E"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229 747 452</w:t>
            </w:r>
          </w:p>
        </w:tc>
        <w:tc>
          <w:tcPr>
            <w:tcW w:w="387" w:type="pct"/>
            <w:shd w:val="clear" w:color="auto" w:fill="auto"/>
            <w:noWrap/>
            <w:vAlign w:val="center"/>
            <w:hideMark/>
          </w:tcPr>
          <w:p w14:paraId="0486E139"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196 901 682</w:t>
            </w:r>
          </w:p>
        </w:tc>
        <w:tc>
          <w:tcPr>
            <w:tcW w:w="628" w:type="pct"/>
            <w:shd w:val="clear" w:color="auto" w:fill="auto"/>
            <w:noWrap/>
            <w:vAlign w:val="center"/>
            <w:hideMark/>
          </w:tcPr>
          <w:p w14:paraId="457AFCE8"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32 845 770</w:t>
            </w:r>
          </w:p>
        </w:tc>
      </w:tr>
      <w:tr w:rsidR="00675AAD" w:rsidRPr="00DC3810" w14:paraId="36F20F1F" w14:textId="77777777" w:rsidTr="00675AAD">
        <w:trPr>
          <w:trHeight w:val="300"/>
        </w:trPr>
        <w:tc>
          <w:tcPr>
            <w:tcW w:w="1268" w:type="pct"/>
            <w:shd w:val="clear" w:color="auto" w:fill="auto"/>
            <w:vAlign w:val="center"/>
            <w:hideMark/>
          </w:tcPr>
          <w:p w14:paraId="6A39FB42"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podstawowej opieki zdrowotnej (POZ)</w:t>
            </w:r>
          </w:p>
        </w:tc>
        <w:tc>
          <w:tcPr>
            <w:tcW w:w="388" w:type="pct"/>
            <w:shd w:val="clear" w:color="auto" w:fill="auto"/>
            <w:vAlign w:val="center"/>
            <w:hideMark/>
          </w:tcPr>
          <w:p w14:paraId="4D69102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176 133 120</w:t>
            </w:r>
          </w:p>
        </w:tc>
        <w:tc>
          <w:tcPr>
            <w:tcW w:w="388" w:type="pct"/>
            <w:shd w:val="clear" w:color="auto" w:fill="auto"/>
            <w:vAlign w:val="center"/>
            <w:hideMark/>
          </w:tcPr>
          <w:p w14:paraId="529EA28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136 388 354</w:t>
            </w:r>
          </w:p>
        </w:tc>
        <w:tc>
          <w:tcPr>
            <w:tcW w:w="390" w:type="pct"/>
            <w:shd w:val="clear" w:color="auto" w:fill="auto"/>
            <w:noWrap/>
            <w:vAlign w:val="center"/>
            <w:hideMark/>
          </w:tcPr>
          <w:p w14:paraId="2ACF065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39 744 766</w:t>
            </w:r>
          </w:p>
        </w:tc>
        <w:tc>
          <w:tcPr>
            <w:tcW w:w="387" w:type="pct"/>
            <w:shd w:val="clear" w:color="auto" w:fill="auto"/>
            <w:noWrap/>
            <w:vAlign w:val="center"/>
            <w:hideMark/>
          </w:tcPr>
          <w:p w14:paraId="63340363"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59 753 161</w:t>
            </w:r>
          </w:p>
        </w:tc>
        <w:tc>
          <w:tcPr>
            <w:tcW w:w="387" w:type="pct"/>
            <w:shd w:val="clear" w:color="auto" w:fill="auto"/>
            <w:noWrap/>
            <w:vAlign w:val="center"/>
            <w:hideMark/>
          </w:tcPr>
          <w:p w14:paraId="5D72D27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46 516 295</w:t>
            </w:r>
          </w:p>
        </w:tc>
        <w:tc>
          <w:tcPr>
            <w:tcW w:w="389" w:type="pct"/>
            <w:shd w:val="clear" w:color="auto" w:fill="auto"/>
            <w:noWrap/>
            <w:vAlign w:val="center"/>
            <w:hideMark/>
          </w:tcPr>
          <w:p w14:paraId="19020A5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13 236 866</w:t>
            </w:r>
          </w:p>
        </w:tc>
        <w:tc>
          <w:tcPr>
            <w:tcW w:w="387" w:type="pct"/>
            <w:shd w:val="clear" w:color="auto" w:fill="auto"/>
            <w:noWrap/>
            <w:vAlign w:val="center"/>
            <w:hideMark/>
          </w:tcPr>
          <w:p w14:paraId="7E53418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116 379 959</w:t>
            </w:r>
          </w:p>
        </w:tc>
        <w:tc>
          <w:tcPr>
            <w:tcW w:w="387" w:type="pct"/>
            <w:shd w:val="clear" w:color="auto" w:fill="auto"/>
            <w:noWrap/>
            <w:vAlign w:val="center"/>
            <w:hideMark/>
          </w:tcPr>
          <w:p w14:paraId="5B06ED41"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89 872 059</w:t>
            </w:r>
          </w:p>
        </w:tc>
        <w:tc>
          <w:tcPr>
            <w:tcW w:w="628" w:type="pct"/>
            <w:shd w:val="clear" w:color="auto" w:fill="auto"/>
            <w:noWrap/>
            <w:vAlign w:val="center"/>
            <w:hideMark/>
          </w:tcPr>
          <w:p w14:paraId="33C8BC71"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26 507 900</w:t>
            </w:r>
          </w:p>
        </w:tc>
      </w:tr>
      <w:tr w:rsidR="00675AAD" w:rsidRPr="00DC3810" w14:paraId="2CC34F2F" w14:textId="77777777" w:rsidTr="00675AAD">
        <w:trPr>
          <w:trHeight w:val="300"/>
        </w:trPr>
        <w:tc>
          <w:tcPr>
            <w:tcW w:w="1268" w:type="pct"/>
            <w:shd w:val="clear" w:color="auto" w:fill="auto"/>
            <w:vAlign w:val="center"/>
            <w:hideMark/>
          </w:tcPr>
          <w:p w14:paraId="7F3AEA74"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specjalistyczne lekarskie (AOS)</w:t>
            </w:r>
          </w:p>
        </w:tc>
        <w:tc>
          <w:tcPr>
            <w:tcW w:w="388" w:type="pct"/>
            <w:shd w:val="clear" w:color="auto" w:fill="auto"/>
            <w:noWrap/>
            <w:vAlign w:val="center"/>
            <w:hideMark/>
          </w:tcPr>
          <w:p w14:paraId="12416E5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121 502 810</w:t>
            </w:r>
          </w:p>
        </w:tc>
        <w:tc>
          <w:tcPr>
            <w:tcW w:w="388" w:type="pct"/>
            <w:shd w:val="clear" w:color="auto" w:fill="auto"/>
            <w:noWrap/>
            <w:vAlign w:val="center"/>
            <w:hideMark/>
          </w:tcPr>
          <w:p w14:paraId="7331A47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118 120 563</w:t>
            </w:r>
          </w:p>
        </w:tc>
        <w:tc>
          <w:tcPr>
            <w:tcW w:w="390" w:type="pct"/>
            <w:shd w:val="clear" w:color="auto" w:fill="auto"/>
            <w:noWrap/>
            <w:vAlign w:val="center"/>
            <w:hideMark/>
          </w:tcPr>
          <w:p w14:paraId="527E516D"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3 382 247</w:t>
            </w:r>
          </w:p>
        </w:tc>
        <w:tc>
          <w:tcPr>
            <w:tcW w:w="387" w:type="pct"/>
            <w:shd w:val="clear" w:color="auto" w:fill="auto"/>
            <w:noWrap/>
            <w:vAlign w:val="center"/>
            <w:hideMark/>
          </w:tcPr>
          <w:p w14:paraId="53069C7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36 018 797</w:t>
            </w:r>
          </w:p>
        </w:tc>
        <w:tc>
          <w:tcPr>
            <w:tcW w:w="387" w:type="pct"/>
            <w:shd w:val="clear" w:color="auto" w:fill="auto"/>
            <w:noWrap/>
            <w:vAlign w:val="center"/>
            <w:hideMark/>
          </w:tcPr>
          <w:p w14:paraId="3FAC465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35 183 933</w:t>
            </w:r>
          </w:p>
        </w:tc>
        <w:tc>
          <w:tcPr>
            <w:tcW w:w="389" w:type="pct"/>
            <w:shd w:val="clear" w:color="auto" w:fill="auto"/>
            <w:noWrap/>
            <w:vAlign w:val="center"/>
            <w:hideMark/>
          </w:tcPr>
          <w:p w14:paraId="4F1410D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834 864</w:t>
            </w:r>
          </w:p>
        </w:tc>
        <w:tc>
          <w:tcPr>
            <w:tcW w:w="387" w:type="pct"/>
            <w:shd w:val="clear" w:color="auto" w:fill="auto"/>
            <w:noWrap/>
            <w:vAlign w:val="center"/>
            <w:hideMark/>
          </w:tcPr>
          <w:p w14:paraId="4FD5C9C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85 484 013</w:t>
            </w:r>
          </w:p>
        </w:tc>
        <w:tc>
          <w:tcPr>
            <w:tcW w:w="387" w:type="pct"/>
            <w:shd w:val="clear" w:color="auto" w:fill="auto"/>
            <w:noWrap/>
            <w:vAlign w:val="center"/>
            <w:hideMark/>
          </w:tcPr>
          <w:p w14:paraId="57AB162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82 936 630</w:t>
            </w:r>
          </w:p>
        </w:tc>
        <w:tc>
          <w:tcPr>
            <w:tcW w:w="628" w:type="pct"/>
            <w:shd w:val="clear" w:color="auto" w:fill="auto"/>
            <w:noWrap/>
            <w:vAlign w:val="center"/>
            <w:hideMark/>
          </w:tcPr>
          <w:p w14:paraId="597D08B1"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2 547 383</w:t>
            </w:r>
          </w:p>
        </w:tc>
      </w:tr>
      <w:tr w:rsidR="00675AAD" w:rsidRPr="00DC3810" w14:paraId="6290DFBF" w14:textId="77777777" w:rsidTr="00675AAD">
        <w:trPr>
          <w:trHeight w:val="300"/>
        </w:trPr>
        <w:tc>
          <w:tcPr>
            <w:tcW w:w="1268" w:type="pct"/>
            <w:shd w:val="clear" w:color="auto" w:fill="auto"/>
            <w:vAlign w:val="center"/>
            <w:hideMark/>
          </w:tcPr>
          <w:p w14:paraId="5BC19298"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stomatologiczne</w:t>
            </w:r>
          </w:p>
        </w:tc>
        <w:tc>
          <w:tcPr>
            <w:tcW w:w="388" w:type="pct"/>
            <w:shd w:val="clear" w:color="auto" w:fill="auto"/>
            <w:noWrap/>
            <w:vAlign w:val="center"/>
            <w:hideMark/>
          </w:tcPr>
          <w:p w14:paraId="2C21A6DD"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33 162 639</w:t>
            </w:r>
          </w:p>
        </w:tc>
        <w:tc>
          <w:tcPr>
            <w:tcW w:w="388" w:type="pct"/>
            <w:shd w:val="clear" w:color="auto" w:fill="auto"/>
            <w:noWrap/>
            <w:vAlign w:val="center"/>
            <w:hideMark/>
          </w:tcPr>
          <w:p w14:paraId="220B375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28 684 208</w:t>
            </w:r>
          </w:p>
        </w:tc>
        <w:tc>
          <w:tcPr>
            <w:tcW w:w="390" w:type="pct"/>
            <w:shd w:val="clear" w:color="auto" w:fill="auto"/>
            <w:noWrap/>
            <w:vAlign w:val="center"/>
            <w:hideMark/>
          </w:tcPr>
          <w:p w14:paraId="2357C4C7"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4 478 431</w:t>
            </w:r>
          </w:p>
        </w:tc>
        <w:tc>
          <w:tcPr>
            <w:tcW w:w="387" w:type="pct"/>
            <w:shd w:val="clear" w:color="auto" w:fill="auto"/>
            <w:noWrap/>
            <w:vAlign w:val="center"/>
            <w:hideMark/>
          </w:tcPr>
          <w:p w14:paraId="7924BF8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5 279 159</w:t>
            </w:r>
          </w:p>
        </w:tc>
        <w:tc>
          <w:tcPr>
            <w:tcW w:w="387" w:type="pct"/>
            <w:shd w:val="clear" w:color="auto" w:fill="auto"/>
            <w:noWrap/>
            <w:vAlign w:val="center"/>
            <w:hideMark/>
          </w:tcPr>
          <w:p w14:paraId="11D4E24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4 591 215</w:t>
            </w:r>
          </w:p>
        </w:tc>
        <w:tc>
          <w:tcPr>
            <w:tcW w:w="389" w:type="pct"/>
            <w:shd w:val="clear" w:color="auto" w:fill="auto"/>
            <w:noWrap/>
            <w:vAlign w:val="center"/>
            <w:hideMark/>
          </w:tcPr>
          <w:p w14:paraId="2EF9B335"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687 944</w:t>
            </w:r>
          </w:p>
        </w:tc>
        <w:tc>
          <w:tcPr>
            <w:tcW w:w="387" w:type="pct"/>
            <w:shd w:val="clear" w:color="auto" w:fill="auto"/>
            <w:noWrap/>
            <w:vAlign w:val="center"/>
            <w:hideMark/>
          </w:tcPr>
          <w:p w14:paraId="3C5CC3EF"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27 883 480</w:t>
            </w:r>
          </w:p>
        </w:tc>
        <w:tc>
          <w:tcPr>
            <w:tcW w:w="387" w:type="pct"/>
            <w:shd w:val="clear" w:color="auto" w:fill="auto"/>
            <w:noWrap/>
            <w:vAlign w:val="center"/>
            <w:hideMark/>
          </w:tcPr>
          <w:p w14:paraId="4DD56CD5"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24 092 993</w:t>
            </w:r>
          </w:p>
        </w:tc>
        <w:tc>
          <w:tcPr>
            <w:tcW w:w="628" w:type="pct"/>
            <w:shd w:val="clear" w:color="auto" w:fill="auto"/>
            <w:noWrap/>
            <w:vAlign w:val="center"/>
            <w:hideMark/>
          </w:tcPr>
          <w:p w14:paraId="0FBD0C63"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3 790 487</w:t>
            </w:r>
          </w:p>
        </w:tc>
      </w:tr>
      <w:tr w:rsidR="00675AAD" w:rsidRPr="00DC3810" w14:paraId="4EAA5446" w14:textId="77777777" w:rsidTr="00675AAD">
        <w:trPr>
          <w:trHeight w:val="300"/>
        </w:trPr>
        <w:tc>
          <w:tcPr>
            <w:tcW w:w="1268" w:type="pct"/>
            <w:shd w:val="clear" w:color="auto" w:fill="auto"/>
            <w:vAlign w:val="center"/>
            <w:hideMark/>
          </w:tcPr>
          <w:p w14:paraId="6AE47B8D" w14:textId="77777777" w:rsidR="0008203F" w:rsidRPr="00DC3810" w:rsidRDefault="0008203F" w:rsidP="0008203F">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Przeciętna liczba porad na 1 osobę </w:t>
            </w:r>
          </w:p>
        </w:tc>
        <w:tc>
          <w:tcPr>
            <w:tcW w:w="388" w:type="pct"/>
            <w:shd w:val="clear" w:color="auto" w:fill="auto"/>
            <w:vAlign w:val="center"/>
            <w:hideMark/>
          </w:tcPr>
          <w:p w14:paraId="5A64AFE8"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8,7</w:t>
            </w:r>
          </w:p>
        </w:tc>
        <w:tc>
          <w:tcPr>
            <w:tcW w:w="388" w:type="pct"/>
            <w:shd w:val="clear" w:color="auto" w:fill="auto"/>
            <w:vAlign w:val="center"/>
            <w:hideMark/>
          </w:tcPr>
          <w:p w14:paraId="63BD2F78"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12,6</w:t>
            </w:r>
          </w:p>
        </w:tc>
        <w:tc>
          <w:tcPr>
            <w:tcW w:w="390" w:type="pct"/>
            <w:shd w:val="clear" w:color="auto" w:fill="auto"/>
            <w:noWrap/>
            <w:vAlign w:val="center"/>
            <w:hideMark/>
          </w:tcPr>
          <w:p w14:paraId="6BD306C7"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3,1</w:t>
            </w:r>
          </w:p>
        </w:tc>
        <w:tc>
          <w:tcPr>
            <w:tcW w:w="387" w:type="pct"/>
            <w:shd w:val="clear" w:color="auto" w:fill="auto"/>
            <w:noWrap/>
            <w:vAlign w:val="center"/>
            <w:hideMark/>
          </w:tcPr>
          <w:p w14:paraId="19B7E79F"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13,9</w:t>
            </w:r>
          </w:p>
        </w:tc>
        <w:tc>
          <w:tcPr>
            <w:tcW w:w="387" w:type="pct"/>
            <w:shd w:val="clear" w:color="auto" w:fill="auto"/>
            <w:noWrap/>
            <w:vAlign w:val="center"/>
            <w:hideMark/>
          </w:tcPr>
          <w:p w14:paraId="3F3D84D2"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18,2</w:t>
            </w:r>
          </w:p>
        </w:tc>
        <w:tc>
          <w:tcPr>
            <w:tcW w:w="389" w:type="pct"/>
            <w:shd w:val="clear" w:color="auto" w:fill="auto"/>
            <w:noWrap/>
            <w:vAlign w:val="center"/>
            <w:hideMark/>
          </w:tcPr>
          <w:p w14:paraId="361D3FC3"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5,9</w:t>
            </w:r>
          </w:p>
        </w:tc>
        <w:tc>
          <w:tcPr>
            <w:tcW w:w="387" w:type="pct"/>
            <w:shd w:val="clear" w:color="auto" w:fill="auto"/>
            <w:noWrap/>
            <w:vAlign w:val="center"/>
            <w:hideMark/>
          </w:tcPr>
          <w:p w14:paraId="1B23DCA8"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7,5</w:t>
            </w:r>
          </w:p>
        </w:tc>
        <w:tc>
          <w:tcPr>
            <w:tcW w:w="387" w:type="pct"/>
            <w:shd w:val="clear" w:color="auto" w:fill="auto"/>
            <w:noWrap/>
            <w:vAlign w:val="center"/>
            <w:hideMark/>
          </w:tcPr>
          <w:p w14:paraId="49D4D114"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11,1</w:t>
            </w:r>
          </w:p>
        </w:tc>
        <w:tc>
          <w:tcPr>
            <w:tcW w:w="628" w:type="pct"/>
            <w:shd w:val="clear" w:color="auto" w:fill="auto"/>
            <w:noWrap/>
            <w:vAlign w:val="center"/>
            <w:hideMark/>
          </w:tcPr>
          <w:p w14:paraId="0465C103" w14:textId="77777777" w:rsidR="0008203F" w:rsidRPr="00DC3810" w:rsidRDefault="0008203F" w:rsidP="0008203F">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2,6</w:t>
            </w:r>
          </w:p>
        </w:tc>
      </w:tr>
      <w:tr w:rsidR="00675AAD" w:rsidRPr="00DC3810" w14:paraId="4B1B22F7" w14:textId="77777777" w:rsidTr="00675AAD">
        <w:trPr>
          <w:trHeight w:val="300"/>
        </w:trPr>
        <w:tc>
          <w:tcPr>
            <w:tcW w:w="1268" w:type="pct"/>
            <w:shd w:val="clear" w:color="auto" w:fill="auto"/>
            <w:vAlign w:val="center"/>
            <w:hideMark/>
          </w:tcPr>
          <w:p w14:paraId="776FE681"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podstawowej opieki zdrowotnej (POZ)</w:t>
            </w:r>
          </w:p>
        </w:tc>
        <w:tc>
          <w:tcPr>
            <w:tcW w:w="388" w:type="pct"/>
            <w:shd w:val="clear" w:color="auto" w:fill="auto"/>
            <w:noWrap/>
            <w:vAlign w:val="bottom"/>
            <w:hideMark/>
          </w:tcPr>
          <w:p w14:paraId="1AEAE45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w:t>
            </w:r>
          </w:p>
        </w:tc>
        <w:tc>
          <w:tcPr>
            <w:tcW w:w="388" w:type="pct"/>
            <w:shd w:val="clear" w:color="auto" w:fill="auto"/>
            <w:noWrap/>
            <w:vAlign w:val="bottom"/>
            <w:hideMark/>
          </w:tcPr>
          <w:p w14:paraId="4046B2A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6,0</w:t>
            </w:r>
          </w:p>
        </w:tc>
        <w:tc>
          <w:tcPr>
            <w:tcW w:w="390" w:type="pct"/>
            <w:shd w:val="clear" w:color="auto" w:fill="auto"/>
            <w:noWrap/>
            <w:vAlign w:val="bottom"/>
            <w:hideMark/>
          </w:tcPr>
          <w:p w14:paraId="73406A5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2,6</w:t>
            </w:r>
          </w:p>
        </w:tc>
        <w:tc>
          <w:tcPr>
            <w:tcW w:w="387" w:type="pct"/>
            <w:shd w:val="clear" w:color="auto" w:fill="auto"/>
            <w:noWrap/>
            <w:vAlign w:val="bottom"/>
            <w:hideMark/>
          </w:tcPr>
          <w:p w14:paraId="093D466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8,2</w:t>
            </w:r>
          </w:p>
        </w:tc>
        <w:tc>
          <w:tcPr>
            <w:tcW w:w="387" w:type="pct"/>
            <w:shd w:val="clear" w:color="auto" w:fill="auto"/>
            <w:noWrap/>
            <w:vAlign w:val="bottom"/>
            <w:hideMark/>
          </w:tcPr>
          <w:p w14:paraId="0EC1D3EE"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9,8</w:t>
            </w:r>
          </w:p>
        </w:tc>
        <w:tc>
          <w:tcPr>
            <w:tcW w:w="389" w:type="pct"/>
            <w:shd w:val="clear" w:color="auto" w:fill="auto"/>
            <w:noWrap/>
            <w:vAlign w:val="bottom"/>
            <w:hideMark/>
          </w:tcPr>
          <w:p w14:paraId="3CEBF90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5,3</w:t>
            </w:r>
          </w:p>
        </w:tc>
        <w:tc>
          <w:tcPr>
            <w:tcW w:w="387" w:type="pct"/>
            <w:shd w:val="clear" w:color="auto" w:fill="auto"/>
            <w:noWrap/>
            <w:vAlign w:val="bottom"/>
            <w:hideMark/>
          </w:tcPr>
          <w:p w14:paraId="43BD316C"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3,8</w:t>
            </w:r>
          </w:p>
        </w:tc>
        <w:tc>
          <w:tcPr>
            <w:tcW w:w="387" w:type="pct"/>
            <w:shd w:val="clear" w:color="auto" w:fill="auto"/>
            <w:noWrap/>
            <w:vAlign w:val="bottom"/>
            <w:hideMark/>
          </w:tcPr>
          <w:p w14:paraId="4C1DD8B2"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w:t>
            </w:r>
          </w:p>
        </w:tc>
        <w:tc>
          <w:tcPr>
            <w:tcW w:w="628" w:type="pct"/>
            <w:shd w:val="clear" w:color="auto" w:fill="auto"/>
            <w:noWrap/>
            <w:vAlign w:val="center"/>
            <w:hideMark/>
          </w:tcPr>
          <w:p w14:paraId="300F040D"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r>
      <w:tr w:rsidR="00675AAD" w:rsidRPr="00DC3810" w14:paraId="506FCE00" w14:textId="77777777" w:rsidTr="00675AAD">
        <w:trPr>
          <w:trHeight w:val="300"/>
        </w:trPr>
        <w:tc>
          <w:tcPr>
            <w:tcW w:w="1268" w:type="pct"/>
            <w:shd w:val="clear" w:color="auto" w:fill="auto"/>
            <w:vAlign w:val="center"/>
            <w:hideMark/>
          </w:tcPr>
          <w:p w14:paraId="6B193911"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specjalistyczne lekarskie (AOS)</w:t>
            </w:r>
          </w:p>
        </w:tc>
        <w:tc>
          <w:tcPr>
            <w:tcW w:w="388" w:type="pct"/>
            <w:shd w:val="clear" w:color="auto" w:fill="auto"/>
            <w:noWrap/>
            <w:vAlign w:val="bottom"/>
            <w:hideMark/>
          </w:tcPr>
          <w:p w14:paraId="41AF2B20"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w:t>
            </w:r>
          </w:p>
        </w:tc>
        <w:tc>
          <w:tcPr>
            <w:tcW w:w="388" w:type="pct"/>
            <w:shd w:val="clear" w:color="auto" w:fill="auto"/>
            <w:noWrap/>
            <w:vAlign w:val="bottom"/>
            <w:hideMark/>
          </w:tcPr>
          <w:p w14:paraId="78163E77"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5,2</w:t>
            </w:r>
          </w:p>
        </w:tc>
        <w:tc>
          <w:tcPr>
            <w:tcW w:w="390" w:type="pct"/>
            <w:shd w:val="clear" w:color="auto" w:fill="auto"/>
            <w:noWrap/>
            <w:vAlign w:val="bottom"/>
            <w:hideMark/>
          </w:tcPr>
          <w:p w14:paraId="08676541"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0,2</w:t>
            </w:r>
          </w:p>
        </w:tc>
        <w:tc>
          <w:tcPr>
            <w:tcW w:w="387" w:type="pct"/>
            <w:shd w:val="clear" w:color="auto" w:fill="auto"/>
            <w:noWrap/>
            <w:vAlign w:val="bottom"/>
            <w:hideMark/>
          </w:tcPr>
          <w:p w14:paraId="01A41235"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5,0</w:t>
            </w:r>
          </w:p>
        </w:tc>
        <w:tc>
          <w:tcPr>
            <w:tcW w:w="387" w:type="pct"/>
            <w:shd w:val="clear" w:color="auto" w:fill="auto"/>
            <w:noWrap/>
            <w:vAlign w:val="bottom"/>
            <w:hideMark/>
          </w:tcPr>
          <w:p w14:paraId="0E5B3973"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7,4</w:t>
            </w:r>
          </w:p>
        </w:tc>
        <w:tc>
          <w:tcPr>
            <w:tcW w:w="389" w:type="pct"/>
            <w:shd w:val="clear" w:color="auto" w:fill="auto"/>
            <w:noWrap/>
            <w:vAlign w:val="bottom"/>
            <w:hideMark/>
          </w:tcPr>
          <w:p w14:paraId="5CB79B1D"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387" w:type="pct"/>
            <w:shd w:val="clear" w:color="auto" w:fill="auto"/>
            <w:noWrap/>
            <w:vAlign w:val="bottom"/>
            <w:hideMark/>
          </w:tcPr>
          <w:p w14:paraId="0AC67E91"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w:t>
            </w:r>
          </w:p>
        </w:tc>
        <w:tc>
          <w:tcPr>
            <w:tcW w:w="387" w:type="pct"/>
            <w:shd w:val="clear" w:color="auto" w:fill="auto"/>
            <w:noWrap/>
            <w:vAlign w:val="bottom"/>
            <w:hideMark/>
          </w:tcPr>
          <w:p w14:paraId="7BF2465B"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w:t>
            </w:r>
          </w:p>
        </w:tc>
        <w:tc>
          <w:tcPr>
            <w:tcW w:w="628" w:type="pct"/>
            <w:shd w:val="clear" w:color="auto" w:fill="auto"/>
            <w:noWrap/>
            <w:vAlign w:val="center"/>
            <w:hideMark/>
          </w:tcPr>
          <w:p w14:paraId="18820E6B"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0,2</w:t>
            </w:r>
          </w:p>
        </w:tc>
      </w:tr>
      <w:tr w:rsidR="00675AAD" w:rsidRPr="00DC3810" w14:paraId="35273E9C" w14:textId="77777777" w:rsidTr="00675AAD">
        <w:trPr>
          <w:trHeight w:val="300"/>
        </w:trPr>
        <w:tc>
          <w:tcPr>
            <w:tcW w:w="1268" w:type="pct"/>
            <w:shd w:val="clear" w:color="auto" w:fill="auto"/>
            <w:vAlign w:val="center"/>
            <w:hideMark/>
          </w:tcPr>
          <w:p w14:paraId="6C3EB981" w14:textId="77777777" w:rsidR="0008203F" w:rsidRPr="00DC3810" w:rsidRDefault="0008203F" w:rsidP="0008203F">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stomatologiczne</w:t>
            </w:r>
          </w:p>
        </w:tc>
        <w:tc>
          <w:tcPr>
            <w:tcW w:w="388" w:type="pct"/>
            <w:shd w:val="clear" w:color="auto" w:fill="auto"/>
            <w:noWrap/>
            <w:vAlign w:val="bottom"/>
            <w:hideMark/>
          </w:tcPr>
          <w:p w14:paraId="3D5F6C1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0,9</w:t>
            </w:r>
          </w:p>
        </w:tc>
        <w:tc>
          <w:tcPr>
            <w:tcW w:w="388" w:type="pct"/>
            <w:shd w:val="clear" w:color="auto" w:fill="auto"/>
            <w:noWrap/>
            <w:vAlign w:val="bottom"/>
            <w:hideMark/>
          </w:tcPr>
          <w:p w14:paraId="10C2B3A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w:t>
            </w:r>
          </w:p>
        </w:tc>
        <w:tc>
          <w:tcPr>
            <w:tcW w:w="390" w:type="pct"/>
            <w:shd w:val="clear" w:color="auto" w:fill="auto"/>
            <w:noWrap/>
            <w:vAlign w:val="bottom"/>
            <w:hideMark/>
          </w:tcPr>
          <w:p w14:paraId="1872ECD4"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387" w:type="pct"/>
            <w:shd w:val="clear" w:color="auto" w:fill="auto"/>
            <w:noWrap/>
            <w:vAlign w:val="bottom"/>
            <w:hideMark/>
          </w:tcPr>
          <w:p w14:paraId="0BF44EB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0,7</w:t>
            </w:r>
          </w:p>
        </w:tc>
        <w:tc>
          <w:tcPr>
            <w:tcW w:w="387" w:type="pct"/>
            <w:shd w:val="clear" w:color="auto" w:fill="auto"/>
            <w:noWrap/>
            <w:vAlign w:val="bottom"/>
            <w:hideMark/>
          </w:tcPr>
          <w:p w14:paraId="367CAA2F"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w:t>
            </w:r>
          </w:p>
        </w:tc>
        <w:tc>
          <w:tcPr>
            <w:tcW w:w="389" w:type="pct"/>
            <w:shd w:val="clear" w:color="auto" w:fill="auto"/>
            <w:noWrap/>
            <w:vAlign w:val="bottom"/>
            <w:hideMark/>
          </w:tcPr>
          <w:p w14:paraId="67998F89"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c>
          <w:tcPr>
            <w:tcW w:w="387" w:type="pct"/>
            <w:shd w:val="clear" w:color="auto" w:fill="auto"/>
            <w:noWrap/>
            <w:vAlign w:val="bottom"/>
            <w:hideMark/>
          </w:tcPr>
          <w:p w14:paraId="0924590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0,9</w:t>
            </w:r>
          </w:p>
        </w:tc>
        <w:tc>
          <w:tcPr>
            <w:tcW w:w="387" w:type="pct"/>
            <w:shd w:val="clear" w:color="auto" w:fill="auto"/>
            <w:noWrap/>
            <w:vAlign w:val="bottom"/>
            <w:hideMark/>
          </w:tcPr>
          <w:p w14:paraId="52784EB6"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w:t>
            </w:r>
          </w:p>
        </w:tc>
        <w:tc>
          <w:tcPr>
            <w:tcW w:w="628" w:type="pct"/>
            <w:shd w:val="clear" w:color="auto" w:fill="auto"/>
            <w:noWrap/>
            <w:vAlign w:val="center"/>
            <w:hideMark/>
          </w:tcPr>
          <w:p w14:paraId="6C708EE8" w14:textId="77777777" w:rsidR="0008203F" w:rsidRPr="00DC3810" w:rsidRDefault="0008203F" w:rsidP="0008203F">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0,3</w:t>
            </w:r>
          </w:p>
        </w:tc>
      </w:tr>
    </w:tbl>
    <w:p w14:paraId="15C18EBC" w14:textId="5EB5472D" w:rsidR="0008203F" w:rsidRPr="004F5101" w:rsidRDefault="0008203F" w:rsidP="004F5101">
      <w:pPr>
        <w:spacing w:after="0" w:line="240" w:lineRule="auto"/>
        <w:rPr>
          <w:rFonts w:ascii="Lato" w:eastAsiaTheme="majorEastAsia" w:hAnsi="Lato" w:cstheme="majorBidi"/>
          <w:sz w:val="16"/>
          <w:szCs w:val="16"/>
        </w:rPr>
      </w:pPr>
      <w:r w:rsidRPr="004F5101">
        <w:rPr>
          <w:rFonts w:ascii="Lato" w:eastAsiaTheme="majorEastAsia" w:hAnsi="Lato" w:cstheme="majorBidi"/>
          <w:sz w:val="16"/>
          <w:szCs w:val="16"/>
        </w:rPr>
        <w:t>a łącznie z poradami nocnej i świątecznej opieki zdrowotnej, bez porad udzielonych w izbach przyjęć szpitali ogólnych</w:t>
      </w:r>
    </w:p>
    <w:p w14:paraId="554CE7E7" w14:textId="77777777" w:rsidR="00675AAD" w:rsidRPr="004F5101" w:rsidRDefault="00675AAD" w:rsidP="004F5101">
      <w:pPr>
        <w:tabs>
          <w:tab w:val="left" w:pos="827"/>
        </w:tabs>
        <w:spacing w:after="0" w:line="240" w:lineRule="auto"/>
        <w:rPr>
          <w:rFonts w:ascii="Lato" w:hAnsi="Lato"/>
          <w:sz w:val="16"/>
          <w:szCs w:val="16"/>
        </w:rPr>
      </w:pPr>
      <w:r w:rsidRPr="004F5101">
        <w:rPr>
          <w:rFonts w:ascii="Lato" w:hAnsi="Lato"/>
          <w:sz w:val="16"/>
          <w:szCs w:val="16"/>
        </w:rPr>
        <w:t>Źródło: Sprawozdanie z ambulatoryjnej opieki zdrowotnej, GUS (formularz ZD3)</w:t>
      </w:r>
    </w:p>
    <w:p w14:paraId="23CFD22E" w14:textId="323FCAB3" w:rsidR="00675AAD" w:rsidRDefault="00675AAD" w:rsidP="00675AAD">
      <w:pPr>
        <w:tabs>
          <w:tab w:val="left" w:pos="827"/>
        </w:tabs>
        <w:spacing w:after="0"/>
        <w:rPr>
          <w:rFonts w:ascii="Lato" w:hAnsi="Lato"/>
          <w:sz w:val="18"/>
          <w:szCs w:val="18"/>
        </w:rPr>
      </w:pPr>
    </w:p>
    <w:p w14:paraId="5450019A" w14:textId="77777777" w:rsidR="00675AAD" w:rsidRDefault="00675AAD" w:rsidP="00675AAD">
      <w:pPr>
        <w:tabs>
          <w:tab w:val="left" w:pos="827"/>
        </w:tabs>
        <w:spacing w:after="0"/>
        <w:rPr>
          <w:rFonts w:ascii="Lato" w:hAnsi="Lato"/>
          <w:sz w:val="18"/>
          <w:szCs w:val="18"/>
        </w:rPr>
      </w:pPr>
    </w:p>
    <w:p w14:paraId="1438A487" w14:textId="36A42C1B" w:rsidR="00675AAD" w:rsidRDefault="00675AAD" w:rsidP="00675AAD">
      <w:pPr>
        <w:pStyle w:val="Legenda"/>
        <w:keepNext/>
      </w:pPr>
      <w:bookmarkStart w:id="25" w:name="_Toc142565987"/>
      <w:r>
        <w:t xml:space="preserve">Tabela </w:t>
      </w:r>
      <w:fldSimple w:instr=" SEQ Tabela \* ARABIC ">
        <w:r w:rsidR="00AA385B">
          <w:rPr>
            <w:noProof/>
          </w:rPr>
          <w:t>22</w:t>
        </w:r>
      </w:fldSimple>
      <w:r>
        <w:t xml:space="preserve"> Struktura porad ambulatoryjnej opieki zdrowotnej w 2022 r.</w:t>
      </w:r>
      <w:bookmarkEnd w:id="25"/>
    </w:p>
    <w:tbl>
      <w:tblPr>
        <w:tblW w:w="552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9"/>
        <w:gridCol w:w="1199"/>
        <w:gridCol w:w="1199"/>
        <w:gridCol w:w="1202"/>
        <w:gridCol w:w="1196"/>
        <w:gridCol w:w="1196"/>
        <w:gridCol w:w="1205"/>
        <w:gridCol w:w="1196"/>
        <w:gridCol w:w="1196"/>
        <w:gridCol w:w="1944"/>
      </w:tblGrid>
      <w:tr w:rsidR="00675AAD" w:rsidRPr="00DC3810" w14:paraId="6BA80445" w14:textId="77777777" w:rsidTr="00DC3810">
        <w:trPr>
          <w:trHeight w:val="300"/>
        </w:trPr>
        <w:tc>
          <w:tcPr>
            <w:tcW w:w="1268" w:type="pct"/>
            <w:vMerge w:val="restart"/>
            <w:shd w:val="clear" w:color="auto" w:fill="8EAADB" w:themeFill="accent1" w:themeFillTint="99"/>
            <w:vAlign w:val="center"/>
            <w:hideMark/>
          </w:tcPr>
          <w:p w14:paraId="589E5FD5"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Wyszczególnienie</w:t>
            </w:r>
          </w:p>
        </w:tc>
        <w:tc>
          <w:tcPr>
            <w:tcW w:w="1165" w:type="pct"/>
            <w:gridSpan w:val="3"/>
            <w:shd w:val="clear" w:color="auto" w:fill="8EAADB" w:themeFill="accent1" w:themeFillTint="99"/>
            <w:vAlign w:val="center"/>
            <w:hideMark/>
          </w:tcPr>
          <w:p w14:paraId="4ECF4226"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1164" w:type="pct"/>
            <w:gridSpan w:val="3"/>
            <w:shd w:val="clear" w:color="auto" w:fill="8EAADB" w:themeFill="accent1" w:themeFillTint="99"/>
            <w:vAlign w:val="center"/>
            <w:hideMark/>
          </w:tcPr>
          <w:p w14:paraId="0029887F"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65 lat i więcej</w:t>
            </w:r>
          </w:p>
        </w:tc>
        <w:tc>
          <w:tcPr>
            <w:tcW w:w="1404" w:type="pct"/>
            <w:gridSpan w:val="3"/>
            <w:shd w:val="clear" w:color="auto" w:fill="8EAADB" w:themeFill="accent1" w:themeFillTint="99"/>
            <w:vAlign w:val="center"/>
            <w:hideMark/>
          </w:tcPr>
          <w:p w14:paraId="546617B3"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Osoby w wieku 0-64 lata</w:t>
            </w:r>
          </w:p>
        </w:tc>
      </w:tr>
      <w:tr w:rsidR="00675AAD" w:rsidRPr="00DC3810" w14:paraId="5ED28AFF" w14:textId="77777777" w:rsidTr="00DC3810">
        <w:trPr>
          <w:trHeight w:val="300"/>
        </w:trPr>
        <w:tc>
          <w:tcPr>
            <w:tcW w:w="1268" w:type="pct"/>
            <w:vMerge/>
            <w:shd w:val="clear" w:color="auto" w:fill="8EAADB" w:themeFill="accent1" w:themeFillTint="99"/>
            <w:vAlign w:val="center"/>
            <w:hideMark/>
          </w:tcPr>
          <w:p w14:paraId="27B8B5EA"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88" w:type="pct"/>
            <w:vMerge w:val="restart"/>
            <w:shd w:val="clear" w:color="auto" w:fill="8EAADB" w:themeFill="accent1" w:themeFillTint="99"/>
            <w:vAlign w:val="center"/>
            <w:hideMark/>
          </w:tcPr>
          <w:p w14:paraId="7427ACBE"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388" w:type="pct"/>
            <w:vMerge w:val="restart"/>
            <w:shd w:val="clear" w:color="auto" w:fill="8EAADB" w:themeFill="accent1" w:themeFillTint="99"/>
            <w:vAlign w:val="center"/>
            <w:hideMark/>
          </w:tcPr>
          <w:p w14:paraId="311AF3F4"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389" w:type="pct"/>
            <w:vMerge w:val="restart"/>
            <w:shd w:val="clear" w:color="auto" w:fill="8EAADB" w:themeFill="accent1" w:themeFillTint="99"/>
            <w:vAlign w:val="center"/>
            <w:hideMark/>
          </w:tcPr>
          <w:p w14:paraId="720DA616"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387" w:type="pct"/>
            <w:shd w:val="clear" w:color="auto" w:fill="8EAADB" w:themeFill="accent1" w:themeFillTint="99"/>
            <w:vAlign w:val="center"/>
            <w:hideMark/>
          </w:tcPr>
          <w:p w14:paraId="10A9A104"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387" w:type="pct"/>
            <w:shd w:val="clear" w:color="auto" w:fill="8EAADB" w:themeFill="accent1" w:themeFillTint="99"/>
            <w:vAlign w:val="center"/>
            <w:hideMark/>
          </w:tcPr>
          <w:p w14:paraId="5692D637"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389" w:type="pct"/>
            <w:shd w:val="clear" w:color="auto" w:fill="8EAADB" w:themeFill="accent1" w:themeFillTint="99"/>
            <w:vAlign w:val="center"/>
            <w:hideMark/>
          </w:tcPr>
          <w:p w14:paraId="5A30EBEC"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c>
          <w:tcPr>
            <w:tcW w:w="387" w:type="pct"/>
            <w:shd w:val="clear" w:color="auto" w:fill="8EAADB" w:themeFill="accent1" w:themeFillTint="99"/>
            <w:vAlign w:val="center"/>
            <w:hideMark/>
          </w:tcPr>
          <w:p w14:paraId="21D7A4D0"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w:t>
            </w:r>
          </w:p>
        </w:tc>
        <w:tc>
          <w:tcPr>
            <w:tcW w:w="387" w:type="pct"/>
            <w:shd w:val="clear" w:color="auto" w:fill="8EAADB" w:themeFill="accent1" w:themeFillTint="99"/>
            <w:vAlign w:val="center"/>
            <w:hideMark/>
          </w:tcPr>
          <w:p w14:paraId="68DA7E80"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miasta</w:t>
            </w:r>
          </w:p>
        </w:tc>
        <w:tc>
          <w:tcPr>
            <w:tcW w:w="629" w:type="pct"/>
            <w:shd w:val="clear" w:color="auto" w:fill="8EAADB" w:themeFill="accent1" w:themeFillTint="99"/>
            <w:vAlign w:val="center"/>
            <w:hideMark/>
          </w:tcPr>
          <w:p w14:paraId="2133E485"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wieś</w:t>
            </w:r>
          </w:p>
        </w:tc>
      </w:tr>
      <w:tr w:rsidR="00675AAD" w:rsidRPr="00DC3810" w14:paraId="782CAE51" w14:textId="77777777" w:rsidTr="00DC3810">
        <w:trPr>
          <w:trHeight w:val="300"/>
        </w:trPr>
        <w:tc>
          <w:tcPr>
            <w:tcW w:w="1268" w:type="pct"/>
            <w:vMerge/>
            <w:shd w:val="clear" w:color="auto" w:fill="8EAADB" w:themeFill="accent1" w:themeFillTint="99"/>
            <w:vAlign w:val="center"/>
            <w:hideMark/>
          </w:tcPr>
          <w:p w14:paraId="4E2B39D1"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88" w:type="pct"/>
            <w:vMerge/>
            <w:shd w:val="clear" w:color="auto" w:fill="8EAADB" w:themeFill="accent1" w:themeFillTint="99"/>
            <w:vAlign w:val="center"/>
            <w:hideMark/>
          </w:tcPr>
          <w:p w14:paraId="6B55F751"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88" w:type="pct"/>
            <w:vMerge/>
            <w:shd w:val="clear" w:color="auto" w:fill="8EAADB" w:themeFill="accent1" w:themeFillTint="99"/>
            <w:vAlign w:val="center"/>
            <w:hideMark/>
          </w:tcPr>
          <w:p w14:paraId="5BFDC9F2"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89" w:type="pct"/>
            <w:vMerge/>
            <w:shd w:val="clear" w:color="auto" w:fill="8EAADB" w:themeFill="accent1" w:themeFillTint="99"/>
            <w:vAlign w:val="center"/>
            <w:hideMark/>
          </w:tcPr>
          <w:p w14:paraId="32393BEE"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87" w:type="pct"/>
            <w:shd w:val="clear" w:color="auto" w:fill="8EAADB" w:themeFill="accent1" w:themeFillTint="99"/>
            <w:vAlign w:val="center"/>
            <w:hideMark/>
          </w:tcPr>
          <w:p w14:paraId="58BCEC55"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 100</w:t>
            </w:r>
          </w:p>
        </w:tc>
        <w:tc>
          <w:tcPr>
            <w:tcW w:w="777" w:type="pct"/>
            <w:gridSpan w:val="2"/>
            <w:shd w:val="clear" w:color="auto" w:fill="8EAADB" w:themeFill="accent1" w:themeFillTint="99"/>
            <w:vAlign w:val="center"/>
            <w:hideMark/>
          </w:tcPr>
          <w:p w14:paraId="62C34EAC"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 = 100</w:t>
            </w:r>
          </w:p>
        </w:tc>
        <w:tc>
          <w:tcPr>
            <w:tcW w:w="387" w:type="pct"/>
            <w:shd w:val="clear" w:color="auto" w:fill="8EAADB" w:themeFill="accent1" w:themeFillTint="99"/>
            <w:vAlign w:val="center"/>
            <w:hideMark/>
          </w:tcPr>
          <w:p w14:paraId="79ADF57F"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 = 100</w:t>
            </w:r>
          </w:p>
        </w:tc>
        <w:tc>
          <w:tcPr>
            <w:tcW w:w="1016" w:type="pct"/>
            <w:gridSpan w:val="2"/>
            <w:shd w:val="clear" w:color="auto" w:fill="8EAADB" w:themeFill="accent1" w:themeFillTint="99"/>
            <w:vAlign w:val="center"/>
            <w:hideMark/>
          </w:tcPr>
          <w:p w14:paraId="21B00140"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razem = 100</w:t>
            </w:r>
          </w:p>
        </w:tc>
      </w:tr>
      <w:tr w:rsidR="00675AAD" w:rsidRPr="00DC3810" w14:paraId="2AA523D2" w14:textId="77777777" w:rsidTr="00DC3810">
        <w:trPr>
          <w:trHeight w:val="300"/>
        </w:trPr>
        <w:tc>
          <w:tcPr>
            <w:tcW w:w="1268" w:type="pct"/>
            <w:vMerge/>
            <w:shd w:val="clear" w:color="auto" w:fill="8EAADB" w:themeFill="accent1" w:themeFillTint="99"/>
            <w:vAlign w:val="center"/>
            <w:hideMark/>
          </w:tcPr>
          <w:p w14:paraId="652850DC" w14:textId="77777777" w:rsidR="00675AAD" w:rsidRPr="00DC3810" w:rsidRDefault="00675AAD" w:rsidP="00675AAD">
            <w:pPr>
              <w:spacing w:after="0" w:line="240" w:lineRule="auto"/>
              <w:rPr>
                <w:rFonts w:ascii="Lato" w:eastAsia="Times New Roman" w:hAnsi="Lato" w:cs="Arial"/>
                <w:sz w:val="18"/>
                <w:szCs w:val="18"/>
                <w:lang w:eastAsia="pl-PL"/>
              </w:rPr>
            </w:pPr>
          </w:p>
        </w:tc>
        <w:tc>
          <w:tcPr>
            <w:tcW w:w="3732" w:type="pct"/>
            <w:gridSpan w:val="9"/>
            <w:shd w:val="clear" w:color="auto" w:fill="8EAADB" w:themeFill="accent1" w:themeFillTint="99"/>
            <w:vAlign w:val="center"/>
            <w:hideMark/>
          </w:tcPr>
          <w:p w14:paraId="56B2F671" w14:textId="77777777" w:rsidR="00675AAD" w:rsidRPr="00DC3810" w:rsidRDefault="00675AAD" w:rsidP="00675AAD">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w:t>
            </w:r>
          </w:p>
        </w:tc>
      </w:tr>
      <w:tr w:rsidR="00675AAD" w:rsidRPr="00DC3810" w14:paraId="0EBC1E95" w14:textId="77777777" w:rsidTr="00675AAD">
        <w:trPr>
          <w:trHeight w:val="300"/>
        </w:trPr>
        <w:tc>
          <w:tcPr>
            <w:tcW w:w="1268" w:type="pct"/>
            <w:shd w:val="clear" w:color="auto" w:fill="auto"/>
            <w:noWrap/>
            <w:vAlign w:val="center"/>
            <w:hideMark/>
          </w:tcPr>
          <w:p w14:paraId="1C5BEFCE" w14:textId="77777777" w:rsidR="00675AAD" w:rsidRPr="00DC3810" w:rsidRDefault="00675AAD" w:rsidP="00675AAD">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Porady </w:t>
            </w:r>
            <w:proofErr w:type="spellStart"/>
            <w:r w:rsidRPr="00DC3810">
              <w:rPr>
                <w:rFonts w:ascii="Lato" w:eastAsia="Times New Roman" w:hAnsi="Lato" w:cs="Arial"/>
                <w:b/>
                <w:bCs/>
                <w:sz w:val="18"/>
                <w:szCs w:val="18"/>
                <w:lang w:eastAsia="pl-PL"/>
              </w:rPr>
              <w:t>ogółem</w:t>
            </w:r>
            <w:r w:rsidRPr="00DC3810">
              <w:rPr>
                <w:rFonts w:ascii="Lato" w:eastAsia="Times New Roman" w:hAnsi="Lato" w:cs="Arial"/>
                <w:b/>
                <w:bCs/>
                <w:i/>
                <w:iCs/>
                <w:sz w:val="18"/>
                <w:szCs w:val="18"/>
                <w:vertAlign w:val="superscript"/>
                <w:lang w:eastAsia="pl-PL"/>
              </w:rPr>
              <w:t>a</w:t>
            </w:r>
            <w:proofErr w:type="spellEnd"/>
          </w:p>
        </w:tc>
        <w:tc>
          <w:tcPr>
            <w:tcW w:w="388" w:type="pct"/>
            <w:shd w:val="clear" w:color="auto" w:fill="auto"/>
            <w:noWrap/>
            <w:vAlign w:val="bottom"/>
            <w:hideMark/>
          </w:tcPr>
          <w:p w14:paraId="0E0B7460"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100,0</w:t>
            </w:r>
          </w:p>
        </w:tc>
        <w:tc>
          <w:tcPr>
            <w:tcW w:w="388" w:type="pct"/>
            <w:shd w:val="clear" w:color="auto" w:fill="auto"/>
            <w:noWrap/>
            <w:vAlign w:val="bottom"/>
            <w:hideMark/>
          </w:tcPr>
          <w:p w14:paraId="687C45BD"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85,6</w:t>
            </w:r>
          </w:p>
        </w:tc>
        <w:tc>
          <w:tcPr>
            <w:tcW w:w="389" w:type="pct"/>
            <w:shd w:val="clear" w:color="auto" w:fill="auto"/>
            <w:noWrap/>
            <w:vAlign w:val="bottom"/>
            <w:hideMark/>
          </w:tcPr>
          <w:p w14:paraId="028C4CB7"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14,4</w:t>
            </w:r>
          </w:p>
        </w:tc>
        <w:tc>
          <w:tcPr>
            <w:tcW w:w="387" w:type="pct"/>
            <w:shd w:val="clear" w:color="auto" w:fill="auto"/>
            <w:noWrap/>
            <w:vAlign w:val="bottom"/>
            <w:hideMark/>
          </w:tcPr>
          <w:p w14:paraId="5B67AEEB"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30,5</w:t>
            </w:r>
          </w:p>
        </w:tc>
        <w:tc>
          <w:tcPr>
            <w:tcW w:w="387" w:type="pct"/>
            <w:shd w:val="clear" w:color="auto" w:fill="auto"/>
            <w:noWrap/>
            <w:vAlign w:val="bottom"/>
            <w:hideMark/>
          </w:tcPr>
          <w:p w14:paraId="33AE4E2F"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85,4</w:t>
            </w:r>
          </w:p>
        </w:tc>
        <w:tc>
          <w:tcPr>
            <w:tcW w:w="389" w:type="pct"/>
            <w:shd w:val="clear" w:color="auto" w:fill="auto"/>
            <w:noWrap/>
            <w:vAlign w:val="bottom"/>
            <w:hideMark/>
          </w:tcPr>
          <w:p w14:paraId="40FA1F44"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14,6</w:t>
            </w:r>
          </w:p>
        </w:tc>
        <w:tc>
          <w:tcPr>
            <w:tcW w:w="387" w:type="pct"/>
            <w:shd w:val="clear" w:color="auto" w:fill="auto"/>
            <w:noWrap/>
            <w:vAlign w:val="bottom"/>
            <w:hideMark/>
          </w:tcPr>
          <w:p w14:paraId="568E4466"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69,5</w:t>
            </w:r>
          </w:p>
        </w:tc>
        <w:tc>
          <w:tcPr>
            <w:tcW w:w="387" w:type="pct"/>
            <w:shd w:val="clear" w:color="auto" w:fill="auto"/>
            <w:noWrap/>
            <w:vAlign w:val="bottom"/>
            <w:hideMark/>
          </w:tcPr>
          <w:p w14:paraId="2AE2EEF3"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85,7</w:t>
            </w:r>
          </w:p>
        </w:tc>
        <w:tc>
          <w:tcPr>
            <w:tcW w:w="629" w:type="pct"/>
            <w:shd w:val="clear" w:color="auto" w:fill="auto"/>
            <w:noWrap/>
            <w:vAlign w:val="center"/>
            <w:hideMark/>
          </w:tcPr>
          <w:p w14:paraId="5EF59759" w14:textId="77777777" w:rsidR="00675AAD" w:rsidRPr="00DC3810" w:rsidRDefault="00675AAD" w:rsidP="00675AAD">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14,3</w:t>
            </w:r>
          </w:p>
        </w:tc>
      </w:tr>
      <w:tr w:rsidR="00675AAD" w:rsidRPr="00DC3810" w14:paraId="609BA6CE" w14:textId="77777777" w:rsidTr="00675AAD">
        <w:trPr>
          <w:trHeight w:val="300"/>
        </w:trPr>
        <w:tc>
          <w:tcPr>
            <w:tcW w:w="1268" w:type="pct"/>
            <w:shd w:val="clear" w:color="auto" w:fill="auto"/>
            <w:vAlign w:val="center"/>
            <w:hideMark/>
          </w:tcPr>
          <w:p w14:paraId="61EDE729" w14:textId="77777777" w:rsidR="00675AAD" w:rsidRPr="00DC3810" w:rsidRDefault="00675AAD" w:rsidP="00675AAD">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podstawowej opieki zdrowotnej (POZ)</w:t>
            </w:r>
          </w:p>
        </w:tc>
        <w:tc>
          <w:tcPr>
            <w:tcW w:w="388" w:type="pct"/>
            <w:shd w:val="clear" w:color="auto" w:fill="auto"/>
            <w:noWrap/>
            <w:vAlign w:val="bottom"/>
            <w:hideMark/>
          </w:tcPr>
          <w:p w14:paraId="7EC9F019"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388" w:type="pct"/>
            <w:shd w:val="clear" w:color="auto" w:fill="auto"/>
            <w:noWrap/>
            <w:vAlign w:val="bottom"/>
            <w:hideMark/>
          </w:tcPr>
          <w:p w14:paraId="240CF7FA"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77,4</w:t>
            </w:r>
          </w:p>
        </w:tc>
        <w:tc>
          <w:tcPr>
            <w:tcW w:w="389" w:type="pct"/>
            <w:shd w:val="clear" w:color="auto" w:fill="auto"/>
            <w:noWrap/>
            <w:vAlign w:val="bottom"/>
            <w:hideMark/>
          </w:tcPr>
          <w:p w14:paraId="20920644"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22,6</w:t>
            </w:r>
          </w:p>
        </w:tc>
        <w:tc>
          <w:tcPr>
            <w:tcW w:w="387" w:type="pct"/>
            <w:shd w:val="clear" w:color="auto" w:fill="auto"/>
            <w:noWrap/>
            <w:vAlign w:val="bottom"/>
            <w:hideMark/>
          </w:tcPr>
          <w:p w14:paraId="1D072D6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33,9</w:t>
            </w:r>
          </w:p>
        </w:tc>
        <w:tc>
          <w:tcPr>
            <w:tcW w:w="387" w:type="pct"/>
            <w:shd w:val="clear" w:color="auto" w:fill="auto"/>
            <w:noWrap/>
            <w:vAlign w:val="bottom"/>
            <w:hideMark/>
          </w:tcPr>
          <w:p w14:paraId="3764B170"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77,8</w:t>
            </w:r>
          </w:p>
        </w:tc>
        <w:tc>
          <w:tcPr>
            <w:tcW w:w="389" w:type="pct"/>
            <w:shd w:val="clear" w:color="auto" w:fill="auto"/>
            <w:noWrap/>
            <w:vAlign w:val="bottom"/>
            <w:hideMark/>
          </w:tcPr>
          <w:p w14:paraId="2CF7EF4E"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22,2</w:t>
            </w:r>
          </w:p>
        </w:tc>
        <w:tc>
          <w:tcPr>
            <w:tcW w:w="387" w:type="pct"/>
            <w:shd w:val="clear" w:color="auto" w:fill="auto"/>
            <w:noWrap/>
            <w:vAlign w:val="bottom"/>
            <w:hideMark/>
          </w:tcPr>
          <w:p w14:paraId="3EA4401A"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66,1</w:t>
            </w:r>
          </w:p>
        </w:tc>
        <w:tc>
          <w:tcPr>
            <w:tcW w:w="387" w:type="pct"/>
            <w:shd w:val="clear" w:color="auto" w:fill="auto"/>
            <w:noWrap/>
            <w:vAlign w:val="bottom"/>
            <w:hideMark/>
          </w:tcPr>
          <w:p w14:paraId="3E3C0B33"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77,2</w:t>
            </w:r>
          </w:p>
        </w:tc>
        <w:tc>
          <w:tcPr>
            <w:tcW w:w="629" w:type="pct"/>
            <w:shd w:val="clear" w:color="auto" w:fill="auto"/>
            <w:noWrap/>
            <w:vAlign w:val="center"/>
            <w:hideMark/>
          </w:tcPr>
          <w:p w14:paraId="208670A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22,8</w:t>
            </w:r>
          </w:p>
        </w:tc>
      </w:tr>
      <w:tr w:rsidR="00675AAD" w:rsidRPr="00DC3810" w14:paraId="2FF84E31" w14:textId="77777777" w:rsidTr="00675AAD">
        <w:trPr>
          <w:trHeight w:val="300"/>
        </w:trPr>
        <w:tc>
          <w:tcPr>
            <w:tcW w:w="1268" w:type="pct"/>
            <w:shd w:val="clear" w:color="auto" w:fill="auto"/>
            <w:vAlign w:val="center"/>
            <w:hideMark/>
          </w:tcPr>
          <w:p w14:paraId="4E5B1044" w14:textId="77777777" w:rsidR="00675AAD" w:rsidRPr="00DC3810" w:rsidRDefault="00675AAD" w:rsidP="00675AAD">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specjalistyczne lekarskie (AOS)</w:t>
            </w:r>
          </w:p>
        </w:tc>
        <w:tc>
          <w:tcPr>
            <w:tcW w:w="388" w:type="pct"/>
            <w:shd w:val="clear" w:color="auto" w:fill="auto"/>
            <w:noWrap/>
            <w:vAlign w:val="bottom"/>
            <w:hideMark/>
          </w:tcPr>
          <w:p w14:paraId="168BDBF8"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388" w:type="pct"/>
            <w:shd w:val="clear" w:color="auto" w:fill="auto"/>
            <w:noWrap/>
            <w:vAlign w:val="bottom"/>
            <w:hideMark/>
          </w:tcPr>
          <w:p w14:paraId="0E8275B7"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97,2</w:t>
            </w:r>
          </w:p>
        </w:tc>
        <w:tc>
          <w:tcPr>
            <w:tcW w:w="389" w:type="pct"/>
            <w:shd w:val="clear" w:color="auto" w:fill="auto"/>
            <w:noWrap/>
            <w:vAlign w:val="bottom"/>
            <w:hideMark/>
          </w:tcPr>
          <w:p w14:paraId="3DEA9EEF"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2,8</w:t>
            </w:r>
          </w:p>
        </w:tc>
        <w:tc>
          <w:tcPr>
            <w:tcW w:w="387" w:type="pct"/>
            <w:shd w:val="clear" w:color="auto" w:fill="auto"/>
            <w:noWrap/>
            <w:vAlign w:val="bottom"/>
            <w:hideMark/>
          </w:tcPr>
          <w:p w14:paraId="6CE00C2A"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29,6</w:t>
            </w:r>
          </w:p>
        </w:tc>
        <w:tc>
          <w:tcPr>
            <w:tcW w:w="387" w:type="pct"/>
            <w:shd w:val="clear" w:color="auto" w:fill="auto"/>
            <w:noWrap/>
            <w:vAlign w:val="bottom"/>
            <w:hideMark/>
          </w:tcPr>
          <w:p w14:paraId="6A3FA330"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97,7</w:t>
            </w:r>
          </w:p>
        </w:tc>
        <w:tc>
          <w:tcPr>
            <w:tcW w:w="389" w:type="pct"/>
            <w:shd w:val="clear" w:color="auto" w:fill="auto"/>
            <w:noWrap/>
            <w:vAlign w:val="bottom"/>
            <w:hideMark/>
          </w:tcPr>
          <w:p w14:paraId="26645310"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2,3</w:t>
            </w:r>
          </w:p>
        </w:tc>
        <w:tc>
          <w:tcPr>
            <w:tcW w:w="387" w:type="pct"/>
            <w:shd w:val="clear" w:color="auto" w:fill="auto"/>
            <w:noWrap/>
            <w:vAlign w:val="bottom"/>
            <w:hideMark/>
          </w:tcPr>
          <w:p w14:paraId="71D3527E"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70,4</w:t>
            </w:r>
          </w:p>
        </w:tc>
        <w:tc>
          <w:tcPr>
            <w:tcW w:w="387" w:type="pct"/>
            <w:shd w:val="clear" w:color="auto" w:fill="auto"/>
            <w:noWrap/>
            <w:vAlign w:val="bottom"/>
            <w:hideMark/>
          </w:tcPr>
          <w:p w14:paraId="5310A92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97,0</w:t>
            </w:r>
          </w:p>
        </w:tc>
        <w:tc>
          <w:tcPr>
            <w:tcW w:w="629" w:type="pct"/>
            <w:shd w:val="clear" w:color="auto" w:fill="auto"/>
            <w:noWrap/>
            <w:vAlign w:val="center"/>
            <w:hideMark/>
          </w:tcPr>
          <w:p w14:paraId="41352C7B"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3,0</w:t>
            </w:r>
          </w:p>
        </w:tc>
      </w:tr>
      <w:tr w:rsidR="00675AAD" w:rsidRPr="00DC3810" w14:paraId="1D8F40BE" w14:textId="77777777" w:rsidTr="00675AAD">
        <w:trPr>
          <w:trHeight w:val="300"/>
        </w:trPr>
        <w:tc>
          <w:tcPr>
            <w:tcW w:w="1268" w:type="pct"/>
            <w:shd w:val="clear" w:color="auto" w:fill="auto"/>
            <w:vAlign w:val="center"/>
            <w:hideMark/>
          </w:tcPr>
          <w:p w14:paraId="63DC69AB" w14:textId="77777777" w:rsidR="00675AAD" w:rsidRPr="00DC3810" w:rsidRDefault="00675AAD" w:rsidP="00675AAD">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   stomatologiczne</w:t>
            </w:r>
          </w:p>
        </w:tc>
        <w:tc>
          <w:tcPr>
            <w:tcW w:w="388" w:type="pct"/>
            <w:shd w:val="clear" w:color="auto" w:fill="auto"/>
            <w:noWrap/>
            <w:vAlign w:val="bottom"/>
            <w:hideMark/>
          </w:tcPr>
          <w:p w14:paraId="19CEA3FC"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388" w:type="pct"/>
            <w:shd w:val="clear" w:color="auto" w:fill="auto"/>
            <w:noWrap/>
            <w:vAlign w:val="bottom"/>
            <w:hideMark/>
          </w:tcPr>
          <w:p w14:paraId="2775AC60"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86,5</w:t>
            </w:r>
          </w:p>
        </w:tc>
        <w:tc>
          <w:tcPr>
            <w:tcW w:w="389" w:type="pct"/>
            <w:shd w:val="clear" w:color="auto" w:fill="auto"/>
            <w:noWrap/>
            <w:vAlign w:val="bottom"/>
            <w:hideMark/>
          </w:tcPr>
          <w:p w14:paraId="6862B0B2"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13,5</w:t>
            </w:r>
          </w:p>
        </w:tc>
        <w:tc>
          <w:tcPr>
            <w:tcW w:w="387" w:type="pct"/>
            <w:shd w:val="clear" w:color="auto" w:fill="auto"/>
            <w:noWrap/>
            <w:vAlign w:val="bottom"/>
            <w:hideMark/>
          </w:tcPr>
          <w:p w14:paraId="2D2183FE"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15,9</w:t>
            </w:r>
          </w:p>
        </w:tc>
        <w:tc>
          <w:tcPr>
            <w:tcW w:w="387" w:type="pct"/>
            <w:shd w:val="clear" w:color="auto" w:fill="auto"/>
            <w:noWrap/>
            <w:vAlign w:val="bottom"/>
            <w:hideMark/>
          </w:tcPr>
          <w:p w14:paraId="79D16D4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87,0</w:t>
            </w:r>
          </w:p>
        </w:tc>
        <w:tc>
          <w:tcPr>
            <w:tcW w:w="389" w:type="pct"/>
            <w:shd w:val="clear" w:color="auto" w:fill="auto"/>
            <w:noWrap/>
            <w:vAlign w:val="bottom"/>
            <w:hideMark/>
          </w:tcPr>
          <w:p w14:paraId="7259497A"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13,0</w:t>
            </w:r>
          </w:p>
        </w:tc>
        <w:tc>
          <w:tcPr>
            <w:tcW w:w="387" w:type="pct"/>
            <w:shd w:val="clear" w:color="auto" w:fill="auto"/>
            <w:noWrap/>
            <w:vAlign w:val="bottom"/>
            <w:hideMark/>
          </w:tcPr>
          <w:p w14:paraId="6664B8B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84,1</w:t>
            </w:r>
          </w:p>
        </w:tc>
        <w:tc>
          <w:tcPr>
            <w:tcW w:w="387" w:type="pct"/>
            <w:shd w:val="clear" w:color="auto" w:fill="auto"/>
            <w:noWrap/>
            <w:vAlign w:val="bottom"/>
            <w:hideMark/>
          </w:tcPr>
          <w:p w14:paraId="410E4361"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86,4</w:t>
            </w:r>
          </w:p>
        </w:tc>
        <w:tc>
          <w:tcPr>
            <w:tcW w:w="629" w:type="pct"/>
            <w:shd w:val="clear" w:color="auto" w:fill="auto"/>
            <w:noWrap/>
            <w:vAlign w:val="center"/>
            <w:hideMark/>
          </w:tcPr>
          <w:p w14:paraId="5B3BBB5A" w14:textId="77777777" w:rsidR="00675AAD" w:rsidRPr="00DC3810" w:rsidRDefault="00675AAD" w:rsidP="00675AAD">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13,6</w:t>
            </w:r>
          </w:p>
        </w:tc>
      </w:tr>
    </w:tbl>
    <w:p w14:paraId="161000F2" w14:textId="51A52A40" w:rsidR="00675AAD" w:rsidRPr="004F5101" w:rsidRDefault="00675AAD" w:rsidP="004F5101">
      <w:pPr>
        <w:tabs>
          <w:tab w:val="left" w:pos="1320"/>
        </w:tabs>
        <w:spacing w:after="0" w:line="240" w:lineRule="auto"/>
        <w:rPr>
          <w:rFonts w:ascii="Lato" w:hAnsi="Lato"/>
          <w:sz w:val="16"/>
          <w:szCs w:val="16"/>
        </w:rPr>
      </w:pPr>
      <w:r w:rsidRPr="004F5101">
        <w:rPr>
          <w:rFonts w:ascii="Lato" w:hAnsi="Lato"/>
          <w:sz w:val="16"/>
          <w:szCs w:val="16"/>
        </w:rPr>
        <w:t>a łącznie z poradami nocnej i świątecznej opieki zdrowotnej, bez porad udzielonych w izbach przyjęć szpitali ogólnych</w:t>
      </w:r>
    </w:p>
    <w:p w14:paraId="4852C945" w14:textId="5BE66F11" w:rsidR="00675AAD" w:rsidRPr="004F5101" w:rsidRDefault="00675AAD" w:rsidP="004F5101">
      <w:pPr>
        <w:tabs>
          <w:tab w:val="left" w:pos="1320"/>
        </w:tabs>
        <w:spacing w:after="0" w:line="240" w:lineRule="auto"/>
        <w:rPr>
          <w:rFonts w:ascii="Lato" w:hAnsi="Lato"/>
          <w:sz w:val="16"/>
          <w:szCs w:val="16"/>
        </w:rPr>
      </w:pPr>
      <w:r w:rsidRPr="004F5101">
        <w:rPr>
          <w:rFonts w:ascii="Lato" w:hAnsi="Lato"/>
          <w:sz w:val="16"/>
          <w:szCs w:val="16"/>
        </w:rPr>
        <w:t>Źródło: Sprawozdanie z ambulatoryjnej opieki zdrowotnej, GUS (formularz ZD3)</w:t>
      </w:r>
    </w:p>
    <w:p w14:paraId="74B9F396" w14:textId="3B125B7A" w:rsidR="00E24505" w:rsidRPr="00E24505" w:rsidRDefault="00675AAD" w:rsidP="00380295">
      <w:pPr>
        <w:tabs>
          <w:tab w:val="left" w:pos="1320"/>
        </w:tabs>
        <w:rPr>
          <w:rFonts w:ascii="Lato" w:hAnsi="Lato"/>
          <w:sz w:val="18"/>
          <w:szCs w:val="18"/>
        </w:rPr>
        <w:sectPr w:rsidR="00E24505" w:rsidRPr="00E24505" w:rsidSect="00E24505">
          <w:pgSz w:w="16840" w:h="11910" w:orient="landscape"/>
          <w:pgMar w:top="1417" w:right="1417" w:bottom="1417" w:left="1417" w:header="719" w:footer="1422" w:gutter="0"/>
          <w:cols w:space="708"/>
          <w:docGrid w:linePitch="299"/>
        </w:sectPr>
      </w:pPr>
      <w:r>
        <w:rPr>
          <w:rFonts w:ascii="Lato" w:hAnsi="Lato"/>
          <w:sz w:val="18"/>
          <w:szCs w:val="18"/>
        </w:rPr>
        <w:tab/>
      </w:r>
    </w:p>
    <w:p w14:paraId="06B1A438" w14:textId="10F71B95" w:rsidR="00783C69" w:rsidRDefault="00783C69" w:rsidP="0067540F">
      <w:pPr>
        <w:spacing w:after="0" w:line="240" w:lineRule="auto"/>
        <w:jc w:val="both"/>
        <w:rPr>
          <w:rFonts w:ascii="Lato" w:hAnsi="Lato" w:cs="Times New Roman"/>
          <w:sz w:val="20"/>
          <w:szCs w:val="20"/>
        </w:rPr>
      </w:pPr>
      <w:r w:rsidRPr="0067540F">
        <w:rPr>
          <w:rFonts w:ascii="Lato" w:hAnsi="Lato" w:cs="Times New Roman"/>
          <w:sz w:val="20"/>
          <w:szCs w:val="20"/>
        </w:rPr>
        <w:lastRenderedPageBreak/>
        <w:t>W 202</w:t>
      </w:r>
      <w:r w:rsidR="0067540F" w:rsidRPr="0067540F">
        <w:rPr>
          <w:rFonts w:ascii="Lato" w:hAnsi="Lato" w:cs="Times New Roman"/>
          <w:sz w:val="20"/>
          <w:szCs w:val="20"/>
        </w:rPr>
        <w:t>2</w:t>
      </w:r>
      <w:r w:rsidRPr="0067540F">
        <w:rPr>
          <w:rFonts w:ascii="Lato" w:hAnsi="Lato" w:cs="Times New Roman"/>
          <w:sz w:val="20"/>
          <w:szCs w:val="20"/>
        </w:rPr>
        <w:t xml:space="preserve"> r. z systemu państwowego ratownictwa medycznego skorzystało 3</w:t>
      </w:r>
      <w:r w:rsidR="0067540F" w:rsidRPr="0067540F">
        <w:rPr>
          <w:rFonts w:ascii="Lato" w:hAnsi="Lato" w:cs="Times New Roman"/>
          <w:sz w:val="20"/>
          <w:szCs w:val="20"/>
        </w:rPr>
        <w:t> </w:t>
      </w:r>
      <w:r w:rsidRPr="0067540F">
        <w:rPr>
          <w:rFonts w:ascii="Lato" w:hAnsi="Lato" w:cs="Times New Roman"/>
          <w:sz w:val="20"/>
          <w:szCs w:val="20"/>
        </w:rPr>
        <w:t>0</w:t>
      </w:r>
      <w:r w:rsidR="0067540F" w:rsidRPr="0067540F">
        <w:rPr>
          <w:rFonts w:ascii="Lato" w:hAnsi="Lato" w:cs="Times New Roman"/>
          <w:sz w:val="20"/>
          <w:szCs w:val="20"/>
        </w:rPr>
        <w:t>83 200</w:t>
      </w:r>
      <w:r w:rsidRPr="0067540F">
        <w:rPr>
          <w:rFonts w:ascii="Lato" w:hAnsi="Lato" w:cs="Times New Roman"/>
          <w:sz w:val="20"/>
          <w:szCs w:val="20"/>
        </w:rPr>
        <w:t xml:space="preserve"> osób, z tego 1</w:t>
      </w:r>
      <w:r w:rsidR="0067540F" w:rsidRPr="0067540F">
        <w:rPr>
          <w:rFonts w:ascii="Lato" w:hAnsi="Lato" w:cs="Times New Roman"/>
          <w:sz w:val="20"/>
          <w:szCs w:val="20"/>
        </w:rPr>
        <w:t> </w:t>
      </w:r>
      <w:r w:rsidRPr="0067540F">
        <w:rPr>
          <w:rFonts w:ascii="Lato" w:hAnsi="Lato" w:cs="Times New Roman"/>
          <w:sz w:val="20"/>
          <w:szCs w:val="20"/>
        </w:rPr>
        <w:t>4</w:t>
      </w:r>
      <w:r w:rsidR="0067540F" w:rsidRPr="0067540F">
        <w:rPr>
          <w:rFonts w:ascii="Lato" w:hAnsi="Lato" w:cs="Times New Roman"/>
          <w:sz w:val="20"/>
          <w:szCs w:val="20"/>
        </w:rPr>
        <w:t>96 528 osób</w:t>
      </w:r>
      <w:r w:rsidRPr="0067540F">
        <w:rPr>
          <w:rFonts w:ascii="Lato" w:hAnsi="Lato" w:cs="Times New Roman"/>
          <w:sz w:val="20"/>
          <w:szCs w:val="20"/>
        </w:rPr>
        <w:t xml:space="preserve"> stanowiły osoby starsze. Jednocześnie, 3</w:t>
      </w:r>
      <w:r w:rsidR="0067540F" w:rsidRPr="0067540F">
        <w:rPr>
          <w:rFonts w:ascii="Lato" w:hAnsi="Lato" w:cs="Times New Roman"/>
          <w:sz w:val="20"/>
          <w:szCs w:val="20"/>
        </w:rPr>
        <w:t xml:space="preserve"> 755 275 </w:t>
      </w:r>
      <w:r w:rsidRPr="0067540F">
        <w:rPr>
          <w:rFonts w:ascii="Lato" w:hAnsi="Lato" w:cs="Times New Roman"/>
          <w:sz w:val="20"/>
          <w:szCs w:val="20"/>
        </w:rPr>
        <w:t>osób skorzystało ze świadczeń w izbie przyjęć i SOR w trybie ambulatoryjnym. Osoby w wieku 65 lat i więcej stanowiły</w:t>
      </w:r>
      <w:r w:rsidR="0067540F" w:rsidRPr="0067540F">
        <w:rPr>
          <w:rFonts w:ascii="Lato" w:hAnsi="Lato" w:cs="Times New Roman"/>
          <w:sz w:val="20"/>
          <w:szCs w:val="20"/>
        </w:rPr>
        <w:t xml:space="preserve"> prawie 25%</w:t>
      </w:r>
      <w:r w:rsidRPr="0067540F">
        <w:rPr>
          <w:rFonts w:ascii="Lato" w:hAnsi="Lato" w:cs="Times New Roman"/>
          <w:sz w:val="20"/>
          <w:szCs w:val="20"/>
        </w:rPr>
        <w:t xml:space="preserve"> tej grupy.</w:t>
      </w:r>
    </w:p>
    <w:p w14:paraId="1F6063A6" w14:textId="77777777" w:rsidR="0067540F" w:rsidRPr="0067540F" w:rsidRDefault="0067540F" w:rsidP="0067540F">
      <w:pPr>
        <w:spacing w:after="0" w:line="240" w:lineRule="auto"/>
        <w:jc w:val="both"/>
        <w:rPr>
          <w:rFonts w:ascii="Lato" w:hAnsi="Lato" w:cs="Times New Roman"/>
          <w:sz w:val="20"/>
          <w:szCs w:val="20"/>
        </w:rPr>
      </w:pPr>
    </w:p>
    <w:p w14:paraId="17CCD24C" w14:textId="38E68BAD" w:rsidR="00783C69" w:rsidRDefault="00783C69" w:rsidP="00783C69">
      <w:pPr>
        <w:pStyle w:val="Legenda"/>
        <w:keepNext/>
      </w:pPr>
      <w:bookmarkStart w:id="26" w:name="_Toc142565988"/>
      <w:r>
        <w:t xml:space="preserve">Tabela </w:t>
      </w:r>
      <w:fldSimple w:instr=" SEQ Tabela \* ARABIC ">
        <w:r w:rsidR="00AA385B">
          <w:rPr>
            <w:noProof/>
          </w:rPr>
          <w:t>23</w:t>
        </w:r>
      </w:fldSimple>
      <w:r>
        <w:t xml:space="preserve"> Ratownictwo medyczne w 2022 r.</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7"/>
        <w:gridCol w:w="1205"/>
        <w:gridCol w:w="1205"/>
        <w:gridCol w:w="1205"/>
      </w:tblGrid>
      <w:tr w:rsidR="00783C69" w:rsidRPr="00DC3810" w14:paraId="5DD4607F" w14:textId="77777777" w:rsidTr="00DC3810">
        <w:trPr>
          <w:trHeight w:val="300"/>
        </w:trPr>
        <w:tc>
          <w:tcPr>
            <w:tcW w:w="3005" w:type="pct"/>
            <w:vMerge w:val="restart"/>
            <w:shd w:val="clear" w:color="auto" w:fill="8EAADB" w:themeFill="accent1" w:themeFillTint="99"/>
            <w:vAlign w:val="center"/>
            <w:hideMark/>
          </w:tcPr>
          <w:p w14:paraId="27AC788A" w14:textId="77777777" w:rsidR="00783C69" w:rsidRPr="00DC3810" w:rsidRDefault="00783C69" w:rsidP="00BD02D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Wyszczególnienie                                                              </w:t>
            </w:r>
          </w:p>
        </w:tc>
        <w:tc>
          <w:tcPr>
            <w:tcW w:w="665" w:type="pct"/>
            <w:vMerge w:val="restart"/>
            <w:shd w:val="clear" w:color="auto" w:fill="8EAADB" w:themeFill="accent1" w:themeFillTint="99"/>
            <w:noWrap/>
            <w:vAlign w:val="center"/>
            <w:hideMark/>
          </w:tcPr>
          <w:p w14:paraId="1E991230" w14:textId="77777777" w:rsidR="00783C69" w:rsidRPr="00DC3810" w:rsidRDefault="00783C69" w:rsidP="00BD02D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1330" w:type="pct"/>
            <w:gridSpan w:val="2"/>
            <w:shd w:val="clear" w:color="auto" w:fill="8EAADB" w:themeFill="accent1" w:themeFillTint="99"/>
            <w:vAlign w:val="center"/>
            <w:hideMark/>
          </w:tcPr>
          <w:p w14:paraId="715B7CEC" w14:textId="77777777" w:rsidR="00783C69" w:rsidRPr="00DC3810" w:rsidRDefault="00783C69" w:rsidP="00BD02D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Z ogółem w wieku</w:t>
            </w:r>
          </w:p>
        </w:tc>
      </w:tr>
      <w:tr w:rsidR="00783C69" w:rsidRPr="00DC3810" w14:paraId="0E3A3181" w14:textId="77777777" w:rsidTr="00DC3810">
        <w:trPr>
          <w:trHeight w:val="136"/>
        </w:trPr>
        <w:tc>
          <w:tcPr>
            <w:tcW w:w="3005" w:type="pct"/>
            <w:vMerge/>
            <w:shd w:val="clear" w:color="auto" w:fill="8EAADB" w:themeFill="accent1" w:themeFillTint="99"/>
            <w:vAlign w:val="center"/>
            <w:hideMark/>
          </w:tcPr>
          <w:p w14:paraId="3786BE3B" w14:textId="77777777" w:rsidR="00783C69" w:rsidRPr="00DC3810" w:rsidRDefault="00783C69" w:rsidP="00BD02D7">
            <w:pPr>
              <w:spacing w:after="0" w:line="240" w:lineRule="auto"/>
              <w:rPr>
                <w:rFonts w:ascii="Lato" w:eastAsia="Times New Roman" w:hAnsi="Lato" w:cs="Arial"/>
                <w:sz w:val="18"/>
                <w:szCs w:val="18"/>
                <w:lang w:eastAsia="pl-PL"/>
              </w:rPr>
            </w:pPr>
          </w:p>
        </w:tc>
        <w:tc>
          <w:tcPr>
            <w:tcW w:w="665" w:type="pct"/>
            <w:vMerge/>
            <w:shd w:val="clear" w:color="auto" w:fill="8EAADB" w:themeFill="accent1" w:themeFillTint="99"/>
            <w:vAlign w:val="center"/>
            <w:hideMark/>
          </w:tcPr>
          <w:p w14:paraId="473CABF5" w14:textId="77777777" w:rsidR="00783C69" w:rsidRPr="00DC3810" w:rsidRDefault="00783C69" w:rsidP="00BD02D7">
            <w:pPr>
              <w:spacing w:after="0" w:line="240" w:lineRule="auto"/>
              <w:rPr>
                <w:rFonts w:ascii="Lato" w:eastAsia="Times New Roman" w:hAnsi="Lato" w:cs="Arial"/>
                <w:sz w:val="18"/>
                <w:szCs w:val="18"/>
                <w:lang w:eastAsia="pl-PL"/>
              </w:rPr>
            </w:pPr>
          </w:p>
        </w:tc>
        <w:tc>
          <w:tcPr>
            <w:tcW w:w="665" w:type="pct"/>
            <w:shd w:val="clear" w:color="auto" w:fill="8EAADB" w:themeFill="accent1" w:themeFillTint="99"/>
            <w:vAlign w:val="center"/>
            <w:hideMark/>
          </w:tcPr>
          <w:p w14:paraId="7D9DBDA0" w14:textId="77777777" w:rsidR="00783C69" w:rsidRPr="00DC3810" w:rsidRDefault="00783C69" w:rsidP="00BD02D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65 lat i więcej</w:t>
            </w:r>
          </w:p>
        </w:tc>
        <w:tc>
          <w:tcPr>
            <w:tcW w:w="665" w:type="pct"/>
            <w:shd w:val="clear" w:color="auto" w:fill="8EAADB" w:themeFill="accent1" w:themeFillTint="99"/>
            <w:noWrap/>
            <w:vAlign w:val="center"/>
            <w:hideMark/>
          </w:tcPr>
          <w:p w14:paraId="2780AB59" w14:textId="77777777" w:rsidR="00783C69" w:rsidRPr="00DC3810" w:rsidRDefault="00783C69" w:rsidP="00BD02D7">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0-64 lata</w:t>
            </w:r>
          </w:p>
        </w:tc>
      </w:tr>
      <w:tr w:rsidR="00783C69" w:rsidRPr="00DC3810" w14:paraId="593411CA" w14:textId="77777777" w:rsidTr="00DC3810">
        <w:trPr>
          <w:trHeight w:val="270"/>
        </w:trPr>
        <w:tc>
          <w:tcPr>
            <w:tcW w:w="3005" w:type="pct"/>
            <w:shd w:val="clear" w:color="auto" w:fill="auto"/>
            <w:vAlign w:val="center"/>
            <w:hideMark/>
          </w:tcPr>
          <w:p w14:paraId="6989CFDE"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Osoby, którym udzielono świadczeń w ramach systemu PRM na miejscu zdarzenia </w:t>
            </w:r>
          </w:p>
        </w:tc>
        <w:tc>
          <w:tcPr>
            <w:tcW w:w="665" w:type="pct"/>
            <w:shd w:val="clear" w:color="auto" w:fill="auto"/>
            <w:noWrap/>
            <w:vAlign w:val="center"/>
            <w:hideMark/>
          </w:tcPr>
          <w:p w14:paraId="66F865B7"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3 083 200</w:t>
            </w:r>
          </w:p>
        </w:tc>
        <w:tc>
          <w:tcPr>
            <w:tcW w:w="665" w:type="pct"/>
            <w:shd w:val="clear" w:color="auto" w:fill="auto"/>
            <w:noWrap/>
            <w:vAlign w:val="center"/>
            <w:hideMark/>
          </w:tcPr>
          <w:p w14:paraId="6263172A"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1 496 528</w:t>
            </w:r>
          </w:p>
        </w:tc>
        <w:tc>
          <w:tcPr>
            <w:tcW w:w="665" w:type="pct"/>
            <w:shd w:val="clear" w:color="auto" w:fill="auto"/>
            <w:noWrap/>
            <w:vAlign w:val="center"/>
            <w:hideMark/>
          </w:tcPr>
          <w:p w14:paraId="0E7C7F80"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1 586 672</w:t>
            </w:r>
          </w:p>
        </w:tc>
      </w:tr>
      <w:tr w:rsidR="00783C69" w:rsidRPr="00DC3810" w14:paraId="5E66D973" w14:textId="77777777" w:rsidTr="00DC3810">
        <w:trPr>
          <w:trHeight w:val="390"/>
        </w:trPr>
        <w:tc>
          <w:tcPr>
            <w:tcW w:w="3005" w:type="pct"/>
            <w:shd w:val="clear" w:color="auto" w:fill="auto"/>
            <w:vAlign w:val="center"/>
            <w:hideMark/>
          </w:tcPr>
          <w:p w14:paraId="3D9B4661"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Osoby, którym udzielono świadczeń w ramach systemu PRM na miejscu zdarzenia na 1 tys. ludności w danym wieku</w:t>
            </w:r>
          </w:p>
        </w:tc>
        <w:tc>
          <w:tcPr>
            <w:tcW w:w="665" w:type="pct"/>
            <w:shd w:val="clear" w:color="auto" w:fill="auto"/>
            <w:noWrap/>
            <w:vAlign w:val="center"/>
            <w:hideMark/>
          </w:tcPr>
          <w:p w14:paraId="08E7C278"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81,5</w:t>
            </w:r>
          </w:p>
        </w:tc>
        <w:tc>
          <w:tcPr>
            <w:tcW w:w="665" w:type="pct"/>
            <w:shd w:val="clear" w:color="auto" w:fill="auto"/>
            <w:noWrap/>
            <w:vAlign w:val="center"/>
            <w:hideMark/>
          </w:tcPr>
          <w:p w14:paraId="3E1C3728"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206,3</w:t>
            </w:r>
          </w:p>
        </w:tc>
        <w:tc>
          <w:tcPr>
            <w:tcW w:w="665" w:type="pct"/>
            <w:shd w:val="clear" w:color="auto" w:fill="auto"/>
            <w:noWrap/>
            <w:vAlign w:val="center"/>
            <w:hideMark/>
          </w:tcPr>
          <w:p w14:paraId="5B7CD0E5"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51,9</w:t>
            </w:r>
          </w:p>
        </w:tc>
      </w:tr>
      <w:tr w:rsidR="00783C69" w:rsidRPr="00DC3810" w14:paraId="2D6F176D" w14:textId="77777777" w:rsidTr="00DC3810">
        <w:trPr>
          <w:trHeight w:val="240"/>
        </w:trPr>
        <w:tc>
          <w:tcPr>
            <w:tcW w:w="3005" w:type="pct"/>
            <w:shd w:val="clear" w:color="auto" w:fill="auto"/>
            <w:vAlign w:val="center"/>
            <w:hideMark/>
          </w:tcPr>
          <w:p w14:paraId="2AB0FF13"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Struktura osób, którym udzielono świadczeń w ramach systemu PRM na miejscu zdarzenia wg wieku w %</w:t>
            </w:r>
          </w:p>
        </w:tc>
        <w:tc>
          <w:tcPr>
            <w:tcW w:w="665" w:type="pct"/>
            <w:shd w:val="clear" w:color="auto" w:fill="auto"/>
            <w:noWrap/>
            <w:vAlign w:val="center"/>
            <w:hideMark/>
          </w:tcPr>
          <w:p w14:paraId="63363DC3"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65" w:type="pct"/>
            <w:shd w:val="clear" w:color="auto" w:fill="auto"/>
            <w:noWrap/>
            <w:vAlign w:val="center"/>
            <w:hideMark/>
          </w:tcPr>
          <w:p w14:paraId="32EC5515"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48,5</w:t>
            </w:r>
          </w:p>
        </w:tc>
        <w:tc>
          <w:tcPr>
            <w:tcW w:w="665" w:type="pct"/>
            <w:shd w:val="clear" w:color="auto" w:fill="auto"/>
            <w:noWrap/>
            <w:vAlign w:val="center"/>
            <w:hideMark/>
          </w:tcPr>
          <w:p w14:paraId="2F88C80B"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51,5</w:t>
            </w:r>
          </w:p>
        </w:tc>
      </w:tr>
      <w:tr w:rsidR="00783C69" w:rsidRPr="00DC3810" w14:paraId="087DC19D" w14:textId="77777777" w:rsidTr="00DC3810">
        <w:trPr>
          <w:trHeight w:val="218"/>
        </w:trPr>
        <w:tc>
          <w:tcPr>
            <w:tcW w:w="3005" w:type="pct"/>
            <w:shd w:val="clear" w:color="auto" w:fill="auto"/>
            <w:vAlign w:val="center"/>
            <w:hideMark/>
          </w:tcPr>
          <w:p w14:paraId="19E28ABD"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Osoby, którym udzielono świadczeń w izbie przyjęć i SOR w trybie ambulatoryjnym </w:t>
            </w:r>
          </w:p>
        </w:tc>
        <w:tc>
          <w:tcPr>
            <w:tcW w:w="665" w:type="pct"/>
            <w:shd w:val="clear" w:color="auto" w:fill="auto"/>
            <w:noWrap/>
            <w:vAlign w:val="center"/>
            <w:hideMark/>
          </w:tcPr>
          <w:p w14:paraId="22F13BD8"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3 755 075</w:t>
            </w:r>
          </w:p>
        </w:tc>
        <w:tc>
          <w:tcPr>
            <w:tcW w:w="665" w:type="pct"/>
            <w:shd w:val="clear" w:color="auto" w:fill="auto"/>
            <w:noWrap/>
            <w:vAlign w:val="center"/>
            <w:hideMark/>
          </w:tcPr>
          <w:p w14:paraId="1B919660"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909 070</w:t>
            </w:r>
          </w:p>
        </w:tc>
        <w:tc>
          <w:tcPr>
            <w:tcW w:w="665" w:type="pct"/>
            <w:shd w:val="clear" w:color="auto" w:fill="auto"/>
            <w:noWrap/>
            <w:vAlign w:val="center"/>
            <w:hideMark/>
          </w:tcPr>
          <w:p w14:paraId="3B42B099"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2 846 005</w:t>
            </w:r>
          </w:p>
        </w:tc>
      </w:tr>
      <w:tr w:rsidR="00783C69" w:rsidRPr="00DC3810" w14:paraId="1A2D9F45" w14:textId="77777777" w:rsidTr="00DC3810">
        <w:trPr>
          <w:trHeight w:val="196"/>
        </w:trPr>
        <w:tc>
          <w:tcPr>
            <w:tcW w:w="3005" w:type="pct"/>
            <w:shd w:val="clear" w:color="auto" w:fill="auto"/>
            <w:vAlign w:val="center"/>
            <w:hideMark/>
          </w:tcPr>
          <w:p w14:paraId="5B796A51"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Osoby, którym udzielono świadczeń w izbie przyjęć i SOR w trybie ambulatoryjnym na 1 tys. ludności w danym wieku</w:t>
            </w:r>
          </w:p>
        </w:tc>
        <w:tc>
          <w:tcPr>
            <w:tcW w:w="665" w:type="pct"/>
            <w:shd w:val="clear" w:color="auto" w:fill="auto"/>
            <w:noWrap/>
            <w:vAlign w:val="center"/>
            <w:hideMark/>
          </w:tcPr>
          <w:p w14:paraId="5BF08DCD"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99,3</w:t>
            </w:r>
          </w:p>
        </w:tc>
        <w:tc>
          <w:tcPr>
            <w:tcW w:w="665" w:type="pct"/>
            <w:shd w:val="clear" w:color="auto" w:fill="auto"/>
            <w:noWrap/>
            <w:vAlign w:val="center"/>
            <w:hideMark/>
          </w:tcPr>
          <w:p w14:paraId="367CCC49"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125,3</w:t>
            </w:r>
          </w:p>
        </w:tc>
        <w:tc>
          <w:tcPr>
            <w:tcW w:w="665" w:type="pct"/>
            <w:shd w:val="clear" w:color="auto" w:fill="auto"/>
            <w:noWrap/>
            <w:vAlign w:val="center"/>
            <w:hideMark/>
          </w:tcPr>
          <w:p w14:paraId="6CB5EC0D"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93,1</w:t>
            </w:r>
          </w:p>
        </w:tc>
      </w:tr>
      <w:tr w:rsidR="00783C69" w:rsidRPr="00DC3810" w14:paraId="29F801B5" w14:textId="77777777" w:rsidTr="00DC3810">
        <w:trPr>
          <w:trHeight w:val="330"/>
        </w:trPr>
        <w:tc>
          <w:tcPr>
            <w:tcW w:w="3005" w:type="pct"/>
            <w:shd w:val="clear" w:color="auto" w:fill="auto"/>
            <w:vAlign w:val="center"/>
            <w:hideMark/>
          </w:tcPr>
          <w:p w14:paraId="6343C6F2" w14:textId="77777777" w:rsidR="00783C69" w:rsidRPr="00DC3810" w:rsidRDefault="00783C69" w:rsidP="00BD02D7">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Struktura osób, którym udzielono świadczeń w izbie przyjęć i SOR w trybie ambulatoryjnym wg wieku w %</w:t>
            </w:r>
          </w:p>
        </w:tc>
        <w:tc>
          <w:tcPr>
            <w:tcW w:w="665" w:type="pct"/>
            <w:shd w:val="clear" w:color="auto" w:fill="auto"/>
            <w:noWrap/>
            <w:vAlign w:val="center"/>
            <w:hideMark/>
          </w:tcPr>
          <w:p w14:paraId="3A342A8D"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100,0</w:t>
            </w:r>
          </w:p>
        </w:tc>
        <w:tc>
          <w:tcPr>
            <w:tcW w:w="665" w:type="pct"/>
            <w:shd w:val="clear" w:color="auto" w:fill="auto"/>
            <w:noWrap/>
            <w:vAlign w:val="center"/>
            <w:hideMark/>
          </w:tcPr>
          <w:p w14:paraId="7E5127A1"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24,2</w:t>
            </w:r>
          </w:p>
        </w:tc>
        <w:tc>
          <w:tcPr>
            <w:tcW w:w="665" w:type="pct"/>
            <w:shd w:val="clear" w:color="auto" w:fill="auto"/>
            <w:noWrap/>
            <w:vAlign w:val="center"/>
            <w:hideMark/>
          </w:tcPr>
          <w:p w14:paraId="0A6A457A" w14:textId="77777777" w:rsidR="00783C69" w:rsidRPr="00DC3810" w:rsidRDefault="00783C69" w:rsidP="00BD02D7">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75,8</w:t>
            </w:r>
          </w:p>
        </w:tc>
      </w:tr>
    </w:tbl>
    <w:p w14:paraId="2A6652EC" w14:textId="77777777" w:rsidR="00783C69" w:rsidRPr="004F5101" w:rsidRDefault="00783C69" w:rsidP="00783C69">
      <w:pPr>
        <w:spacing w:after="0" w:line="240" w:lineRule="auto"/>
        <w:rPr>
          <w:rFonts w:ascii="Lato" w:hAnsi="Lato"/>
          <w:sz w:val="16"/>
          <w:szCs w:val="16"/>
        </w:rPr>
      </w:pPr>
      <w:r w:rsidRPr="004F5101">
        <w:rPr>
          <w:rFonts w:ascii="Lato" w:hAnsi="Lato"/>
          <w:sz w:val="16"/>
          <w:szCs w:val="16"/>
        </w:rPr>
        <w:t>Źródło: Badanie GUS (formularz ZD-4)</w:t>
      </w:r>
    </w:p>
    <w:p w14:paraId="2FB4CC23" w14:textId="77777777" w:rsidR="00BA25BE" w:rsidRPr="00F53548" w:rsidRDefault="00BA25BE" w:rsidP="00BA25BE">
      <w:pPr>
        <w:spacing w:after="0" w:line="276" w:lineRule="auto"/>
        <w:jc w:val="both"/>
        <w:rPr>
          <w:rFonts w:ascii="Times New Roman" w:hAnsi="Times New Roman" w:cs="Times New Roman"/>
          <w:sz w:val="24"/>
          <w:szCs w:val="24"/>
        </w:rPr>
      </w:pPr>
    </w:p>
    <w:p w14:paraId="46081469" w14:textId="77777777" w:rsidR="00BA25BE" w:rsidRPr="00BA25BE" w:rsidRDefault="00BA25BE" w:rsidP="00BA25BE">
      <w:pPr>
        <w:spacing w:after="0" w:line="240" w:lineRule="auto"/>
        <w:jc w:val="both"/>
        <w:rPr>
          <w:rFonts w:ascii="Lato" w:hAnsi="Lato" w:cs="Times New Roman"/>
          <w:b/>
          <w:sz w:val="20"/>
          <w:szCs w:val="20"/>
        </w:rPr>
      </w:pPr>
      <w:r w:rsidRPr="00BA25BE">
        <w:rPr>
          <w:rFonts w:ascii="Lato" w:hAnsi="Lato" w:cs="Times New Roman"/>
          <w:b/>
          <w:sz w:val="20"/>
          <w:szCs w:val="20"/>
        </w:rPr>
        <w:t>Opieka geriatryczna</w:t>
      </w:r>
    </w:p>
    <w:p w14:paraId="3F03D4BD" w14:textId="64BCF30E" w:rsidR="00BA25BE" w:rsidRPr="00BA25BE" w:rsidRDefault="00BA25BE" w:rsidP="00BA25BE">
      <w:pPr>
        <w:tabs>
          <w:tab w:val="left" w:pos="0"/>
        </w:tabs>
        <w:spacing w:after="0" w:line="240" w:lineRule="auto"/>
        <w:jc w:val="both"/>
        <w:rPr>
          <w:rFonts w:ascii="Lato" w:eastAsia="Times New Roman" w:hAnsi="Lato" w:cs="Times New Roman"/>
          <w:sz w:val="20"/>
          <w:szCs w:val="20"/>
          <w:lang w:eastAsia="pl-PL"/>
        </w:rPr>
      </w:pPr>
      <w:bookmarkStart w:id="27" w:name="_Hlk43925095"/>
      <w:r w:rsidRPr="00BA25BE">
        <w:rPr>
          <w:rFonts w:ascii="Lato" w:eastAsia="Times New Roman" w:hAnsi="Lato" w:cs="Times New Roman"/>
          <w:sz w:val="20"/>
          <w:szCs w:val="20"/>
          <w:lang w:eastAsia="pl-PL"/>
        </w:rPr>
        <w:t>Geriatria to specjalistyczna dziedzina medycyny, która zajmuje się zdrowiem i chorobami oraz opieką i pomocą osobom w podeszłym wieku</w:t>
      </w:r>
      <w:r w:rsidRPr="00BA25BE">
        <w:rPr>
          <w:rStyle w:val="Odwoanieprzypisudolnego"/>
          <w:rFonts w:ascii="Lato" w:eastAsia="Times New Roman" w:hAnsi="Lato" w:cs="Times New Roman"/>
          <w:sz w:val="20"/>
          <w:szCs w:val="20"/>
          <w:lang w:eastAsia="pl-PL"/>
        </w:rPr>
        <w:footnoteReference w:id="2"/>
      </w:r>
      <w:r w:rsidRPr="00BA25BE">
        <w:rPr>
          <w:rFonts w:ascii="Lato" w:eastAsia="Times New Roman" w:hAnsi="Lato" w:cs="Times New Roman"/>
          <w:sz w:val="20"/>
          <w:szCs w:val="20"/>
          <w:lang w:eastAsia="pl-PL"/>
        </w:rPr>
        <w:t xml:space="preserve">. Opieka geriatryczna sprawowana jest m.in. na oddziałach geriatrycznych, które realizują całościową, całodobową opiekę medyczną nad chorymi w wieku starszym. W przedmiotowych oddziałach hospitalizowani są pacjenci w ostrych stanach chorobowych, z chorobami przewlekłymi, bądź też w celach diagnostycznych. Głównym celem pobytu na oddziale jest: poprawa stanu zdrowia oraz stanu </w:t>
      </w:r>
      <w:proofErr w:type="spellStart"/>
      <w:r w:rsidRPr="00BA25BE">
        <w:rPr>
          <w:rFonts w:ascii="Lato" w:eastAsia="Times New Roman" w:hAnsi="Lato" w:cs="Times New Roman"/>
          <w:sz w:val="20"/>
          <w:szCs w:val="20"/>
          <w:lang w:eastAsia="pl-PL"/>
        </w:rPr>
        <w:t>funkcjonalno</w:t>
      </w:r>
      <w:proofErr w:type="spellEnd"/>
      <w:r w:rsidRPr="00BA25BE">
        <w:rPr>
          <w:rFonts w:ascii="Lato" w:eastAsia="Times New Roman" w:hAnsi="Lato" w:cs="Times New Roman"/>
          <w:sz w:val="20"/>
          <w:szCs w:val="20"/>
          <w:lang w:eastAsia="pl-PL"/>
        </w:rPr>
        <w:t xml:space="preserve">–czynnościowego osoby objętej hospitalizacją. Leczenie geriatryczne pozwala przywrócić choremu, w miarę możliwości, dobrostan fizyczny, psychiczny i społeczny. </w:t>
      </w:r>
    </w:p>
    <w:bookmarkEnd w:id="27"/>
    <w:p w14:paraId="65C1FFC2" w14:textId="77777777" w:rsidR="00E57A39" w:rsidRPr="00E57A39" w:rsidRDefault="00E57A39" w:rsidP="00E57A39">
      <w:pPr>
        <w:tabs>
          <w:tab w:val="left" w:pos="0"/>
        </w:tabs>
        <w:spacing w:after="0" w:line="240" w:lineRule="auto"/>
        <w:jc w:val="both"/>
        <w:rPr>
          <w:rFonts w:ascii="Lato" w:eastAsia="Times New Roman" w:hAnsi="Lato" w:cs="Times New Roman"/>
          <w:sz w:val="20"/>
          <w:szCs w:val="20"/>
          <w:lang w:eastAsia="pl-PL"/>
        </w:rPr>
      </w:pPr>
    </w:p>
    <w:p w14:paraId="412673FD" w14:textId="289DAE32" w:rsidR="00807A3C" w:rsidRDefault="00807A3C" w:rsidP="00807A3C">
      <w:pPr>
        <w:pStyle w:val="Legenda"/>
        <w:keepNext/>
      </w:pPr>
      <w:bookmarkStart w:id="28" w:name="_Toc142565989"/>
      <w:r>
        <w:t xml:space="preserve">Tabela </w:t>
      </w:r>
      <w:fldSimple w:instr=" SEQ Tabela \* ARABIC ">
        <w:r w:rsidR="00AA385B">
          <w:rPr>
            <w:noProof/>
          </w:rPr>
          <w:t>24</w:t>
        </w:r>
      </w:fldSimple>
      <w:r>
        <w:t xml:space="preserve"> Oddziały geriatryczne w szpitalach ogólnych </w:t>
      </w:r>
      <w:r w:rsidRPr="00E57A39">
        <w:rPr>
          <w:color w:val="auto"/>
        </w:rPr>
        <w:t>w 2021 r. (dostępność danych za 2022 r. - IV kw. 2023 r.)</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9"/>
        <w:gridCol w:w="2074"/>
        <w:gridCol w:w="2074"/>
        <w:gridCol w:w="2075"/>
      </w:tblGrid>
      <w:tr w:rsidR="00807A3C" w:rsidRPr="00DC3810" w14:paraId="4652456D" w14:textId="77777777" w:rsidTr="00DC3810">
        <w:trPr>
          <w:trHeight w:val="466"/>
        </w:trPr>
        <w:tc>
          <w:tcPr>
            <w:tcW w:w="1566" w:type="pct"/>
            <w:shd w:val="clear" w:color="auto" w:fill="8EAADB" w:themeFill="accent1" w:themeFillTint="99"/>
            <w:noWrap/>
            <w:vAlign w:val="center"/>
            <w:hideMark/>
          </w:tcPr>
          <w:p w14:paraId="3BDFC798" w14:textId="77777777" w:rsidR="00807A3C" w:rsidRPr="00DC3810" w:rsidRDefault="00807A3C" w:rsidP="00807A3C">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Województwo</w:t>
            </w:r>
          </w:p>
        </w:tc>
        <w:tc>
          <w:tcPr>
            <w:tcW w:w="1144" w:type="pct"/>
            <w:shd w:val="clear" w:color="auto" w:fill="8EAADB" w:themeFill="accent1" w:themeFillTint="99"/>
            <w:vAlign w:val="center"/>
            <w:hideMark/>
          </w:tcPr>
          <w:p w14:paraId="12F8E82A" w14:textId="77777777" w:rsidR="00807A3C" w:rsidRPr="00DC3810" w:rsidRDefault="00807A3C" w:rsidP="00807A3C">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Liczba oddziałów</w:t>
            </w:r>
            <w:r w:rsidRPr="00DC3810">
              <w:rPr>
                <w:rFonts w:ascii="Lato" w:eastAsia="Times New Roman" w:hAnsi="Lato" w:cs="Arial"/>
                <w:sz w:val="18"/>
                <w:szCs w:val="18"/>
                <w:lang w:eastAsia="pl-PL"/>
              </w:rPr>
              <w:br/>
              <w:t>(s</w:t>
            </w:r>
            <w:r w:rsidRPr="00DC3810">
              <w:rPr>
                <w:rFonts w:ascii="Lato" w:eastAsia="Times New Roman" w:hAnsi="Lato" w:cs="Arial"/>
                <w:sz w:val="16"/>
                <w:szCs w:val="16"/>
                <w:lang w:eastAsia="pl-PL"/>
              </w:rPr>
              <w:t>tan w dniu 31 XII)</w:t>
            </w:r>
          </w:p>
        </w:tc>
        <w:tc>
          <w:tcPr>
            <w:tcW w:w="1144" w:type="pct"/>
            <w:shd w:val="clear" w:color="auto" w:fill="8EAADB" w:themeFill="accent1" w:themeFillTint="99"/>
            <w:vAlign w:val="center"/>
            <w:hideMark/>
          </w:tcPr>
          <w:p w14:paraId="71EF53D8" w14:textId="77777777" w:rsidR="00807A3C" w:rsidRPr="00DC3810" w:rsidRDefault="00807A3C" w:rsidP="00807A3C">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Łóżka</w:t>
            </w:r>
            <w:r w:rsidRPr="00DC3810">
              <w:rPr>
                <w:rFonts w:ascii="Lato" w:eastAsia="Times New Roman" w:hAnsi="Lato" w:cs="Arial"/>
                <w:sz w:val="18"/>
                <w:szCs w:val="18"/>
                <w:lang w:eastAsia="pl-PL"/>
              </w:rPr>
              <w:br/>
              <w:t>(s</w:t>
            </w:r>
            <w:r w:rsidRPr="00DC3810">
              <w:rPr>
                <w:rFonts w:ascii="Lato" w:eastAsia="Times New Roman" w:hAnsi="Lato" w:cs="Arial"/>
                <w:sz w:val="16"/>
                <w:szCs w:val="16"/>
                <w:lang w:eastAsia="pl-PL"/>
              </w:rPr>
              <w:t>tan w dniu 31 XII)</w:t>
            </w:r>
          </w:p>
        </w:tc>
        <w:tc>
          <w:tcPr>
            <w:tcW w:w="1145" w:type="pct"/>
            <w:shd w:val="clear" w:color="auto" w:fill="8EAADB" w:themeFill="accent1" w:themeFillTint="99"/>
            <w:vAlign w:val="center"/>
            <w:hideMark/>
          </w:tcPr>
          <w:p w14:paraId="05707557" w14:textId="77777777" w:rsidR="00807A3C" w:rsidRPr="00DC3810" w:rsidRDefault="00807A3C" w:rsidP="00807A3C">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Pacjenci leczeni w ciągu roku </w:t>
            </w:r>
            <w:r w:rsidRPr="00DC3810">
              <w:rPr>
                <w:rFonts w:ascii="Lato" w:eastAsia="Times New Roman" w:hAnsi="Lato" w:cs="Arial"/>
                <w:sz w:val="16"/>
                <w:szCs w:val="16"/>
                <w:lang w:eastAsia="pl-PL"/>
              </w:rPr>
              <w:t>(łącznie z ruchem międzyoddziałowym)</w:t>
            </w:r>
          </w:p>
        </w:tc>
      </w:tr>
      <w:tr w:rsidR="00807A3C" w:rsidRPr="00DC3810" w14:paraId="1B827748" w14:textId="77777777" w:rsidTr="00807A3C">
        <w:trPr>
          <w:trHeight w:val="300"/>
        </w:trPr>
        <w:tc>
          <w:tcPr>
            <w:tcW w:w="1566" w:type="pct"/>
            <w:shd w:val="clear" w:color="auto" w:fill="auto"/>
            <w:noWrap/>
            <w:vAlign w:val="bottom"/>
            <w:hideMark/>
          </w:tcPr>
          <w:p w14:paraId="5D3E30A0" w14:textId="77777777" w:rsidR="00807A3C" w:rsidRPr="00DC3810" w:rsidRDefault="00807A3C" w:rsidP="00807A3C">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POLSKA   </w:t>
            </w:r>
          </w:p>
        </w:tc>
        <w:tc>
          <w:tcPr>
            <w:tcW w:w="1144" w:type="pct"/>
            <w:shd w:val="clear" w:color="auto" w:fill="auto"/>
            <w:noWrap/>
            <w:vAlign w:val="bottom"/>
            <w:hideMark/>
          </w:tcPr>
          <w:p w14:paraId="35DC55A6" w14:textId="77777777" w:rsidR="00807A3C" w:rsidRPr="00DC3810" w:rsidRDefault="00807A3C" w:rsidP="00807A3C">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51</w:t>
            </w:r>
          </w:p>
        </w:tc>
        <w:tc>
          <w:tcPr>
            <w:tcW w:w="1144" w:type="pct"/>
            <w:shd w:val="clear" w:color="auto" w:fill="auto"/>
            <w:noWrap/>
            <w:vAlign w:val="bottom"/>
            <w:hideMark/>
          </w:tcPr>
          <w:p w14:paraId="60CE8DE1" w14:textId="77777777" w:rsidR="00807A3C" w:rsidRPr="00DC3810" w:rsidRDefault="00807A3C" w:rsidP="00807A3C">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1 048</w:t>
            </w:r>
          </w:p>
        </w:tc>
        <w:tc>
          <w:tcPr>
            <w:tcW w:w="1145" w:type="pct"/>
            <w:shd w:val="clear" w:color="auto" w:fill="auto"/>
            <w:noWrap/>
            <w:vAlign w:val="bottom"/>
            <w:hideMark/>
          </w:tcPr>
          <w:p w14:paraId="6F25E300" w14:textId="77777777" w:rsidR="00807A3C" w:rsidRPr="00DC3810" w:rsidRDefault="00807A3C" w:rsidP="00807A3C">
            <w:pPr>
              <w:spacing w:after="0" w:line="240" w:lineRule="auto"/>
              <w:jc w:val="right"/>
              <w:rPr>
                <w:rFonts w:ascii="Lato" w:eastAsia="Times New Roman" w:hAnsi="Lato" w:cs="Arial"/>
                <w:b/>
                <w:bCs/>
                <w:color w:val="000000"/>
                <w:sz w:val="18"/>
                <w:szCs w:val="18"/>
                <w:lang w:eastAsia="pl-PL"/>
              </w:rPr>
            </w:pPr>
            <w:r w:rsidRPr="00DC3810">
              <w:rPr>
                <w:rFonts w:ascii="Lato" w:eastAsia="Times New Roman" w:hAnsi="Lato" w:cs="Arial"/>
                <w:b/>
                <w:bCs/>
                <w:color w:val="000000"/>
                <w:sz w:val="18"/>
                <w:szCs w:val="18"/>
                <w:lang w:eastAsia="pl-PL"/>
              </w:rPr>
              <w:t>21 253</w:t>
            </w:r>
          </w:p>
        </w:tc>
      </w:tr>
      <w:tr w:rsidR="00807A3C" w:rsidRPr="00DC3810" w14:paraId="02F996D7" w14:textId="77777777" w:rsidTr="00807A3C">
        <w:trPr>
          <w:trHeight w:val="300"/>
        </w:trPr>
        <w:tc>
          <w:tcPr>
            <w:tcW w:w="1566" w:type="pct"/>
            <w:shd w:val="clear" w:color="auto" w:fill="auto"/>
            <w:noWrap/>
            <w:vAlign w:val="bottom"/>
            <w:hideMark/>
          </w:tcPr>
          <w:p w14:paraId="7726B76E"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Dolnośląskie</w:t>
            </w:r>
          </w:p>
        </w:tc>
        <w:tc>
          <w:tcPr>
            <w:tcW w:w="1144" w:type="pct"/>
            <w:shd w:val="clear" w:color="auto" w:fill="auto"/>
            <w:noWrap/>
            <w:vAlign w:val="bottom"/>
            <w:hideMark/>
          </w:tcPr>
          <w:p w14:paraId="2357F298"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w:t>
            </w:r>
          </w:p>
        </w:tc>
        <w:tc>
          <w:tcPr>
            <w:tcW w:w="1144" w:type="pct"/>
            <w:shd w:val="clear" w:color="auto" w:fill="auto"/>
            <w:noWrap/>
            <w:vAlign w:val="bottom"/>
            <w:hideMark/>
          </w:tcPr>
          <w:p w14:paraId="00027FF9"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54</w:t>
            </w:r>
          </w:p>
        </w:tc>
        <w:tc>
          <w:tcPr>
            <w:tcW w:w="1145" w:type="pct"/>
            <w:shd w:val="clear" w:color="auto" w:fill="auto"/>
            <w:noWrap/>
            <w:vAlign w:val="bottom"/>
            <w:hideMark/>
          </w:tcPr>
          <w:p w14:paraId="7AF42342"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828</w:t>
            </w:r>
          </w:p>
        </w:tc>
      </w:tr>
      <w:tr w:rsidR="00807A3C" w:rsidRPr="00DC3810" w14:paraId="352BDDB7" w14:textId="77777777" w:rsidTr="00807A3C">
        <w:trPr>
          <w:trHeight w:val="300"/>
        </w:trPr>
        <w:tc>
          <w:tcPr>
            <w:tcW w:w="1566" w:type="pct"/>
            <w:shd w:val="clear" w:color="auto" w:fill="auto"/>
            <w:noWrap/>
            <w:vAlign w:val="bottom"/>
            <w:hideMark/>
          </w:tcPr>
          <w:p w14:paraId="3C1C5ABF"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Kujawsko-pomorskie</w:t>
            </w:r>
          </w:p>
        </w:tc>
        <w:tc>
          <w:tcPr>
            <w:tcW w:w="1144" w:type="pct"/>
            <w:shd w:val="clear" w:color="auto" w:fill="auto"/>
            <w:noWrap/>
            <w:vAlign w:val="bottom"/>
            <w:hideMark/>
          </w:tcPr>
          <w:p w14:paraId="26D22469"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w:t>
            </w:r>
          </w:p>
        </w:tc>
        <w:tc>
          <w:tcPr>
            <w:tcW w:w="1144" w:type="pct"/>
            <w:shd w:val="clear" w:color="auto" w:fill="auto"/>
            <w:noWrap/>
            <w:vAlign w:val="bottom"/>
            <w:hideMark/>
          </w:tcPr>
          <w:p w14:paraId="66CBA483"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51</w:t>
            </w:r>
          </w:p>
        </w:tc>
        <w:tc>
          <w:tcPr>
            <w:tcW w:w="1145" w:type="pct"/>
            <w:shd w:val="clear" w:color="auto" w:fill="auto"/>
            <w:noWrap/>
            <w:vAlign w:val="bottom"/>
            <w:hideMark/>
          </w:tcPr>
          <w:p w14:paraId="2D7323A9"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1 348</w:t>
            </w:r>
          </w:p>
        </w:tc>
      </w:tr>
      <w:tr w:rsidR="00807A3C" w:rsidRPr="00DC3810" w14:paraId="7131476A" w14:textId="77777777" w:rsidTr="00807A3C">
        <w:trPr>
          <w:trHeight w:val="300"/>
        </w:trPr>
        <w:tc>
          <w:tcPr>
            <w:tcW w:w="1566" w:type="pct"/>
            <w:shd w:val="clear" w:color="auto" w:fill="auto"/>
            <w:noWrap/>
            <w:vAlign w:val="bottom"/>
            <w:hideMark/>
          </w:tcPr>
          <w:p w14:paraId="6EE58EB8"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Lubelskie</w:t>
            </w:r>
          </w:p>
        </w:tc>
        <w:tc>
          <w:tcPr>
            <w:tcW w:w="1144" w:type="pct"/>
            <w:shd w:val="clear" w:color="auto" w:fill="auto"/>
            <w:noWrap/>
            <w:vAlign w:val="bottom"/>
            <w:hideMark/>
          </w:tcPr>
          <w:p w14:paraId="77A10F7E"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w:t>
            </w:r>
          </w:p>
        </w:tc>
        <w:tc>
          <w:tcPr>
            <w:tcW w:w="1144" w:type="pct"/>
            <w:shd w:val="clear" w:color="auto" w:fill="auto"/>
            <w:noWrap/>
            <w:vAlign w:val="bottom"/>
            <w:hideMark/>
          </w:tcPr>
          <w:p w14:paraId="78DC4F47"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58</w:t>
            </w:r>
          </w:p>
        </w:tc>
        <w:tc>
          <w:tcPr>
            <w:tcW w:w="1145" w:type="pct"/>
            <w:shd w:val="clear" w:color="auto" w:fill="auto"/>
            <w:noWrap/>
            <w:vAlign w:val="bottom"/>
            <w:hideMark/>
          </w:tcPr>
          <w:p w14:paraId="36DA5666"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1 201</w:t>
            </w:r>
          </w:p>
        </w:tc>
      </w:tr>
      <w:tr w:rsidR="00807A3C" w:rsidRPr="00DC3810" w14:paraId="4AAE58F7" w14:textId="77777777" w:rsidTr="00807A3C">
        <w:trPr>
          <w:trHeight w:val="300"/>
        </w:trPr>
        <w:tc>
          <w:tcPr>
            <w:tcW w:w="1566" w:type="pct"/>
            <w:shd w:val="clear" w:color="auto" w:fill="auto"/>
            <w:noWrap/>
            <w:vAlign w:val="bottom"/>
            <w:hideMark/>
          </w:tcPr>
          <w:p w14:paraId="0A8DAED6"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Lubuskie</w:t>
            </w:r>
          </w:p>
        </w:tc>
        <w:tc>
          <w:tcPr>
            <w:tcW w:w="1144" w:type="pct"/>
            <w:shd w:val="clear" w:color="auto" w:fill="auto"/>
            <w:noWrap/>
            <w:vAlign w:val="bottom"/>
            <w:hideMark/>
          </w:tcPr>
          <w:p w14:paraId="78790EF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w:t>
            </w:r>
          </w:p>
        </w:tc>
        <w:tc>
          <w:tcPr>
            <w:tcW w:w="1144" w:type="pct"/>
            <w:shd w:val="clear" w:color="auto" w:fill="auto"/>
            <w:noWrap/>
            <w:vAlign w:val="bottom"/>
            <w:hideMark/>
          </w:tcPr>
          <w:p w14:paraId="574142D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23</w:t>
            </w:r>
          </w:p>
        </w:tc>
        <w:tc>
          <w:tcPr>
            <w:tcW w:w="1145" w:type="pct"/>
            <w:shd w:val="clear" w:color="auto" w:fill="auto"/>
            <w:noWrap/>
            <w:vAlign w:val="bottom"/>
            <w:hideMark/>
          </w:tcPr>
          <w:p w14:paraId="7DAF572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965</w:t>
            </w:r>
          </w:p>
        </w:tc>
      </w:tr>
      <w:tr w:rsidR="00807A3C" w:rsidRPr="00DC3810" w14:paraId="07C82C52" w14:textId="77777777" w:rsidTr="00807A3C">
        <w:trPr>
          <w:trHeight w:val="300"/>
        </w:trPr>
        <w:tc>
          <w:tcPr>
            <w:tcW w:w="1566" w:type="pct"/>
            <w:shd w:val="clear" w:color="auto" w:fill="auto"/>
            <w:noWrap/>
            <w:vAlign w:val="bottom"/>
            <w:hideMark/>
          </w:tcPr>
          <w:p w14:paraId="1D97DCC4"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Łódzkie</w:t>
            </w:r>
          </w:p>
        </w:tc>
        <w:tc>
          <w:tcPr>
            <w:tcW w:w="1144" w:type="pct"/>
            <w:shd w:val="clear" w:color="auto" w:fill="auto"/>
            <w:noWrap/>
            <w:vAlign w:val="bottom"/>
            <w:hideMark/>
          </w:tcPr>
          <w:p w14:paraId="65FD074B"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w:t>
            </w:r>
          </w:p>
        </w:tc>
        <w:tc>
          <w:tcPr>
            <w:tcW w:w="1144" w:type="pct"/>
            <w:shd w:val="clear" w:color="auto" w:fill="auto"/>
            <w:noWrap/>
            <w:vAlign w:val="bottom"/>
            <w:hideMark/>
          </w:tcPr>
          <w:p w14:paraId="370DBC03"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30</w:t>
            </w:r>
          </w:p>
        </w:tc>
        <w:tc>
          <w:tcPr>
            <w:tcW w:w="1145" w:type="pct"/>
            <w:shd w:val="clear" w:color="auto" w:fill="auto"/>
            <w:noWrap/>
            <w:vAlign w:val="bottom"/>
            <w:hideMark/>
          </w:tcPr>
          <w:p w14:paraId="24F28AEB"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617</w:t>
            </w:r>
          </w:p>
        </w:tc>
      </w:tr>
      <w:tr w:rsidR="00807A3C" w:rsidRPr="00DC3810" w14:paraId="1742FAAF" w14:textId="77777777" w:rsidTr="00807A3C">
        <w:trPr>
          <w:trHeight w:val="300"/>
        </w:trPr>
        <w:tc>
          <w:tcPr>
            <w:tcW w:w="1566" w:type="pct"/>
            <w:shd w:val="clear" w:color="auto" w:fill="auto"/>
            <w:noWrap/>
            <w:vAlign w:val="bottom"/>
            <w:hideMark/>
          </w:tcPr>
          <w:p w14:paraId="2558FC30"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Małopolskie</w:t>
            </w:r>
          </w:p>
        </w:tc>
        <w:tc>
          <w:tcPr>
            <w:tcW w:w="1144" w:type="pct"/>
            <w:shd w:val="clear" w:color="auto" w:fill="auto"/>
            <w:noWrap/>
            <w:vAlign w:val="bottom"/>
            <w:hideMark/>
          </w:tcPr>
          <w:p w14:paraId="61CF9254"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w:t>
            </w:r>
          </w:p>
        </w:tc>
        <w:tc>
          <w:tcPr>
            <w:tcW w:w="1144" w:type="pct"/>
            <w:shd w:val="clear" w:color="auto" w:fill="auto"/>
            <w:noWrap/>
            <w:vAlign w:val="bottom"/>
            <w:hideMark/>
          </w:tcPr>
          <w:p w14:paraId="732D98F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135</w:t>
            </w:r>
          </w:p>
        </w:tc>
        <w:tc>
          <w:tcPr>
            <w:tcW w:w="1145" w:type="pct"/>
            <w:shd w:val="clear" w:color="auto" w:fill="auto"/>
            <w:noWrap/>
            <w:vAlign w:val="bottom"/>
            <w:hideMark/>
          </w:tcPr>
          <w:p w14:paraId="375371D6"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2 010</w:t>
            </w:r>
          </w:p>
        </w:tc>
      </w:tr>
      <w:tr w:rsidR="00807A3C" w:rsidRPr="00DC3810" w14:paraId="38A81E17" w14:textId="77777777" w:rsidTr="00807A3C">
        <w:trPr>
          <w:trHeight w:val="300"/>
        </w:trPr>
        <w:tc>
          <w:tcPr>
            <w:tcW w:w="1566" w:type="pct"/>
            <w:shd w:val="clear" w:color="auto" w:fill="auto"/>
            <w:noWrap/>
            <w:vAlign w:val="bottom"/>
            <w:hideMark/>
          </w:tcPr>
          <w:p w14:paraId="7F97BA2D"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Mazowieckie</w:t>
            </w:r>
          </w:p>
        </w:tc>
        <w:tc>
          <w:tcPr>
            <w:tcW w:w="1144" w:type="pct"/>
            <w:shd w:val="clear" w:color="auto" w:fill="auto"/>
            <w:noWrap/>
            <w:vAlign w:val="bottom"/>
            <w:hideMark/>
          </w:tcPr>
          <w:p w14:paraId="7ACE4FCC"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8</w:t>
            </w:r>
          </w:p>
        </w:tc>
        <w:tc>
          <w:tcPr>
            <w:tcW w:w="1144" w:type="pct"/>
            <w:shd w:val="clear" w:color="auto" w:fill="auto"/>
            <w:noWrap/>
            <w:vAlign w:val="bottom"/>
            <w:hideMark/>
          </w:tcPr>
          <w:p w14:paraId="57D84443"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131</w:t>
            </w:r>
          </w:p>
        </w:tc>
        <w:tc>
          <w:tcPr>
            <w:tcW w:w="1145" w:type="pct"/>
            <w:shd w:val="clear" w:color="auto" w:fill="auto"/>
            <w:noWrap/>
            <w:vAlign w:val="bottom"/>
            <w:hideMark/>
          </w:tcPr>
          <w:p w14:paraId="1EBFA19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2 165</w:t>
            </w:r>
          </w:p>
        </w:tc>
      </w:tr>
      <w:tr w:rsidR="00807A3C" w:rsidRPr="00DC3810" w14:paraId="244AD834" w14:textId="77777777" w:rsidTr="00807A3C">
        <w:trPr>
          <w:trHeight w:val="300"/>
        </w:trPr>
        <w:tc>
          <w:tcPr>
            <w:tcW w:w="1566" w:type="pct"/>
            <w:shd w:val="clear" w:color="auto" w:fill="auto"/>
            <w:noWrap/>
            <w:vAlign w:val="bottom"/>
            <w:hideMark/>
          </w:tcPr>
          <w:p w14:paraId="24971D37"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Opolskie</w:t>
            </w:r>
          </w:p>
        </w:tc>
        <w:tc>
          <w:tcPr>
            <w:tcW w:w="1144" w:type="pct"/>
            <w:shd w:val="clear" w:color="auto" w:fill="auto"/>
            <w:noWrap/>
            <w:vAlign w:val="bottom"/>
            <w:hideMark/>
          </w:tcPr>
          <w:p w14:paraId="54489E0C"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w:t>
            </w:r>
          </w:p>
        </w:tc>
        <w:tc>
          <w:tcPr>
            <w:tcW w:w="1144" w:type="pct"/>
            <w:shd w:val="clear" w:color="auto" w:fill="auto"/>
            <w:noWrap/>
            <w:vAlign w:val="bottom"/>
            <w:hideMark/>
          </w:tcPr>
          <w:p w14:paraId="00E40EC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46</w:t>
            </w:r>
          </w:p>
        </w:tc>
        <w:tc>
          <w:tcPr>
            <w:tcW w:w="1145" w:type="pct"/>
            <w:shd w:val="clear" w:color="auto" w:fill="auto"/>
            <w:noWrap/>
            <w:vAlign w:val="bottom"/>
            <w:hideMark/>
          </w:tcPr>
          <w:p w14:paraId="48168DCD"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1 011</w:t>
            </w:r>
          </w:p>
        </w:tc>
      </w:tr>
      <w:tr w:rsidR="00807A3C" w:rsidRPr="00DC3810" w14:paraId="7F1E996E" w14:textId="77777777" w:rsidTr="00807A3C">
        <w:trPr>
          <w:trHeight w:val="300"/>
        </w:trPr>
        <w:tc>
          <w:tcPr>
            <w:tcW w:w="1566" w:type="pct"/>
            <w:shd w:val="clear" w:color="auto" w:fill="auto"/>
            <w:noWrap/>
            <w:vAlign w:val="bottom"/>
            <w:hideMark/>
          </w:tcPr>
          <w:p w14:paraId="665502F4"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Podkarpackie</w:t>
            </w:r>
          </w:p>
        </w:tc>
        <w:tc>
          <w:tcPr>
            <w:tcW w:w="1144" w:type="pct"/>
            <w:shd w:val="clear" w:color="auto" w:fill="auto"/>
            <w:noWrap/>
            <w:vAlign w:val="bottom"/>
            <w:hideMark/>
          </w:tcPr>
          <w:p w14:paraId="665F3017"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w:t>
            </w:r>
          </w:p>
        </w:tc>
        <w:tc>
          <w:tcPr>
            <w:tcW w:w="1144" w:type="pct"/>
            <w:shd w:val="clear" w:color="auto" w:fill="auto"/>
            <w:noWrap/>
            <w:vAlign w:val="bottom"/>
            <w:hideMark/>
          </w:tcPr>
          <w:p w14:paraId="6CC4E04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63</w:t>
            </w:r>
          </w:p>
        </w:tc>
        <w:tc>
          <w:tcPr>
            <w:tcW w:w="1145" w:type="pct"/>
            <w:shd w:val="clear" w:color="auto" w:fill="auto"/>
            <w:noWrap/>
            <w:vAlign w:val="bottom"/>
            <w:hideMark/>
          </w:tcPr>
          <w:p w14:paraId="57DE1D8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1 793</w:t>
            </w:r>
          </w:p>
        </w:tc>
      </w:tr>
      <w:tr w:rsidR="00807A3C" w:rsidRPr="00DC3810" w14:paraId="714340EC" w14:textId="77777777" w:rsidTr="00807A3C">
        <w:trPr>
          <w:trHeight w:val="300"/>
        </w:trPr>
        <w:tc>
          <w:tcPr>
            <w:tcW w:w="1566" w:type="pct"/>
            <w:shd w:val="clear" w:color="auto" w:fill="auto"/>
            <w:noWrap/>
            <w:vAlign w:val="bottom"/>
            <w:hideMark/>
          </w:tcPr>
          <w:p w14:paraId="53F0FA4F"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Podlaskie</w:t>
            </w:r>
          </w:p>
        </w:tc>
        <w:tc>
          <w:tcPr>
            <w:tcW w:w="1144" w:type="pct"/>
            <w:shd w:val="clear" w:color="auto" w:fill="auto"/>
            <w:noWrap/>
            <w:vAlign w:val="bottom"/>
            <w:hideMark/>
          </w:tcPr>
          <w:p w14:paraId="5EBF9186"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w:t>
            </w:r>
          </w:p>
        </w:tc>
        <w:tc>
          <w:tcPr>
            <w:tcW w:w="1144" w:type="pct"/>
            <w:shd w:val="clear" w:color="auto" w:fill="auto"/>
            <w:noWrap/>
            <w:vAlign w:val="bottom"/>
            <w:hideMark/>
          </w:tcPr>
          <w:p w14:paraId="763E9FF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37</w:t>
            </w:r>
          </w:p>
        </w:tc>
        <w:tc>
          <w:tcPr>
            <w:tcW w:w="1145" w:type="pct"/>
            <w:shd w:val="clear" w:color="auto" w:fill="auto"/>
            <w:noWrap/>
            <w:vAlign w:val="bottom"/>
            <w:hideMark/>
          </w:tcPr>
          <w:p w14:paraId="5B8AA75B"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505</w:t>
            </w:r>
          </w:p>
        </w:tc>
      </w:tr>
      <w:tr w:rsidR="00807A3C" w:rsidRPr="00DC3810" w14:paraId="0399D781" w14:textId="77777777" w:rsidTr="00807A3C">
        <w:trPr>
          <w:trHeight w:val="300"/>
        </w:trPr>
        <w:tc>
          <w:tcPr>
            <w:tcW w:w="1566" w:type="pct"/>
            <w:shd w:val="clear" w:color="auto" w:fill="auto"/>
            <w:noWrap/>
            <w:vAlign w:val="bottom"/>
            <w:hideMark/>
          </w:tcPr>
          <w:p w14:paraId="3C1E8908"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Pomorskie</w:t>
            </w:r>
          </w:p>
        </w:tc>
        <w:tc>
          <w:tcPr>
            <w:tcW w:w="1144" w:type="pct"/>
            <w:shd w:val="clear" w:color="auto" w:fill="auto"/>
            <w:noWrap/>
            <w:vAlign w:val="bottom"/>
            <w:hideMark/>
          </w:tcPr>
          <w:p w14:paraId="7A7BD5F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w:t>
            </w:r>
          </w:p>
        </w:tc>
        <w:tc>
          <w:tcPr>
            <w:tcW w:w="1144" w:type="pct"/>
            <w:shd w:val="clear" w:color="auto" w:fill="auto"/>
            <w:noWrap/>
            <w:vAlign w:val="bottom"/>
            <w:hideMark/>
          </w:tcPr>
          <w:p w14:paraId="7BCB56D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24</w:t>
            </w:r>
          </w:p>
        </w:tc>
        <w:tc>
          <w:tcPr>
            <w:tcW w:w="1145" w:type="pct"/>
            <w:shd w:val="clear" w:color="auto" w:fill="auto"/>
            <w:noWrap/>
            <w:vAlign w:val="bottom"/>
            <w:hideMark/>
          </w:tcPr>
          <w:p w14:paraId="42CE68DE"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144</w:t>
            </w:r>
          </w:p>
        </w:tc>
      </w:tr>
      <w:tr w:rsidR="00807A3C" w:rsidRPr="00DC3810" w14:paraId="0E2BDD71" w14:textId="77777777" w:rsidTr="00807A3C">
        <w:trPr>
          <w:trHeight w:val="300"/>
        </w:trPr>
        <w:tc>
          <w:tcPr>
            <w:tcW w:w="1566" w:type="pct"/>
            <w:shd w:val="clear" w:color="auto" w:fill="auto"/>
            <w:noWrap/>
            <w:vAlign w:val="bottom"/>
            <w:hideMark/>
          </w:tcPr>
          <w:p w14:paraId="3FED34F3"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Śląskie</w:t>
            </w:r>
          </w:p>
        </w:tc>
        <w:tc>
          <w:tcPr>
            <w:tcW w:w="1144" w:type="pct"/>
            <w:shd w:val="clear" w:color="auto" w:fill="auto"/>
            <w:noWrap/>
            <w:vAlign w:val="bottom"/>
            <w:hideMark/>
          </w:tcPr>
          <w:p w14:paraId="0A1513E4"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12</w:t>
            </w:r>
          </w:p>
        </w:tc>
        <w:tc>
          <w:tcPr>
            <w:tcW w:w="1144" w:type="pct"/>
            <w:shd w:val="clear" w:color="auto" w:fill="auto"/>
            <w:noWrap/>
            <w:vAlign w:val="bottom"/>
            <w:hideMark/>
          </w:tcPr>
          <w:p w14:paraId="65A8BB7C"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303</w:t>
            </w:r>
          </w:p>
        </w:tc>
        <w:tc>
          <w:tcPr>
            <w:tcW w:w="1145" w:type="pct"/>
            <w:shd w:val="clear" w:color="auto" w:fill="auto"/>
            <w:noWrap/>
            <w:vAlign w:val="bottom"/>
            <w:hideMark/>
          </w:tcPr>
          <w:p w14:paraId="152D83F4"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6 525</w:t>
            </w:r>
          </w:p>
        </w:tc>
      </w:tr>
      <w:tr w:rsidR="00807A3C" w:rsidRPr="00DC3810" w14:paraId="01A5F1E2" w14:textId="77777777" w:rsidTr="00807A3C">
        <w:trPr>
          <w:trHeight w:val="300"/>
        </w:trPr>
        <w:tc>
          <w:tcPr>
            <w:tcW w:w="1566" w:type="pct"/>
            <w:shd w:val="clear" w:color="auto" w:fill="auto"/>
            <w:noWrap/>
            <w:vAlign w:val="bottom"/>
            <w:hideMark/>
          </w:tcPr>
          <w:p w14:paraId="43DAFB90"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Świętokrzyskie</w:t>
            </w:r>
          </w:p>
        </w:tc>
        <w:tc>
          <w:tcPr>
            <w:tcW w:w="1144" w:type="pct"/>
            <w:shd w:val="clear" w:color="auto" w:fill="auto"/>
            <w:noWrap/>
            <w:vAlign w:val="bottom"/>
            <w:hideMark/>
          </w:tcPr>
          <w:p w14:paraId="42F1900A"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w:t>
            </w:r>
          </w:p>
        </w:tc>
        <w:tc>
          <w:tcPr>
            <w:tcW w:w="1144" w:type="pct"/>
            <w:shd w:val="clear" w:color="auto" w:fill="auto"/>
            <w:noWrap/>
            <w:vAlign w:val="bottom"/>
            <w:hideMark/>
          </w:tcPr>
          <w:p w14:paraId="482FA979"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53</w:t>
            </w:r>
          </w:p>
        </w:tc>
        <w:tc>
          <w:tcPr>
            <w:tcW w:w="1145" w:type="pct"/>
            <w:shd w:val="clear" w:color="auto" w:fill="auto"/>
            <w:noWrap/>
            <w:vAlign w:val="bottom"/>
            <w:hideMark/>
          </w:tcPr>
          <w:p w14:paraId="678558A0"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1 647</w:t>
            </w:r>
          </w:p>
        </w:tc>
      </w:tr>
      <w:tr w:rsidR="00807A3C" w:rsidRPr="00DC3810" w14:paraId="00BAC23F" w14:textId="77777777" w:rsidTr="00807A3C">
        <w:trPr>
          <w:trHeight w:val="300"/>
        </w:trPr>
        <w:tc>
          <w:tcPr>
            <w:tcW w:w="1566" w:type="pct"/>
            <w:shd w:val="clear" w:color="auto" w:fill="auto"/>
            <w:noWrap/>
            <w:vAlign w:val="bottom"/>
            <w:hideMark/>
          </w:tcPr>
          <w:p w14:paraId="563D12F6"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Warmińsko-mazurskie</w:t>
            </w:r>
          </w:p>
        </w:tc>
        <w:tc>
          <w:tcPr>
            <w:tcW w:w="1144" w:type="pct"/>
            <w:shd w:val="clear" w:color="auto" w:fill="auto"/>
            <w:noWrap/>
            <w:vAlign w:val="bottom"/>
            <w:hideMark/>
          </w:tcPr>
          <w:p w14:paraId="000D597D"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w:t>
            </w:r>
          </w:p>
        </w:tc>
        <w:tc>
          <w:tcPr>
            <w:tcW w:w="1144" w:type="pct"/>
            <w:shd w:val="clear" w:color="auto" w:fill="auto"/>
            <w:vAlign w:val="center"/>
            <w:hideMark/>
          </w:tcPr>
          <w:p w14:paraId="1B2EC17E" w14:textId="77777777" w:rsidR="00807A3C" w:rsidRPr="00DC3810" w:rsidRDefault="00807A3C" w:rsidP="00807A3C">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0</w:t>
            </w:r>
          </w:p>
        </w:tc>
        <w:tc>
          <w:tcPr>
            <w:tcW w:w="1145" w:type="pct"/>
            <w:shd w:val="clear" w:color="auto" w:fill="auto"/>
            <w:noWrap/>
            <w:vAlign w:val="bottom"/>
            <w:hideMark/>
          </w:tcPr>
          <w:p w14:paraId="6BC1B146"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0</w:t>
            </w:r>
          </w:p>
        </w:tc>
      </w:tr>
      <w:tr w:rsidR="00807A3C" w:rsidRPr="00DC3810" w14:paraId="0C5204FC" w14:textId="77777777" w:rsidTr="00807A3C">
        <w:trPr>
          <w:trHeight w:val="300"/>
        </w:trPr>
        <w:tc>
          <w:tcPr>
            <w:tcW w:w="1566" w:type="pct"/>
            <w:shd w:val="clear" w:color="auto" w:fill="auto"/>
            <w:noWrap/>
            <w:vAlign w:val="bottom"/>
            <w:hideMark/>
          </w:tcPr>
          <w:p w14:paraId="17BA8916"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Wielkopolskie</w:t>
            </w:r>
          </w:p>
        </w:tc>
        <w:tc>
          <w:tcPr>
            <w:tcW w:w="1144" w:type="pct"/>
            <w:shd w:val="clear" w:color="auto" w:fill="auto"/>
            <w:vAlign w:val="center"/>
            <w:hideMark/>
          </w:tcPr>
          <w:p w14:paraId="6A29CC2F" w14:textId="77777777" w:rsidR="00807A3C" w:rsidRPr="00DC3810" w:rsidRDefault="00807A3C" w:rsidP="00807A3C">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w:t>
            </w:r>
          </w:p>
        </w:tc>
        <w:tc>
          <w:tcPr>
            <w:tcW w:w="1144" w:type="pct"/>
            <w:shd w:val="clear" w:color="auto" w:fill="auto"/>
            <w:noWrap/>
            <w:vAlign w:val="bottom"/>
            <w:hideMark/>
          </w:tcPr>
          <w:p w14:paraId="608B1F72"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20</w:t>
            </w:r>
          </w:p>
        </w:tc>
        <w:tc>
          <w:tcPr>
            <w:tcW w:w="1145" w:type="pct"/>
            <w:shd w:val="clear" w:color="auto" w:fill="auto"/>
            <w:vAlign w:val="center"/>
            <w:hideMark/>
          </w:tcPr>
          <w:p w14:paraId="54423E04" w14:textId="77777777" w:rsidR="00807A3C" w:rsidRPr="00DC3810" w:rsidRDefault="00807A3C" w:rsidP="00807A3C">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404</w:t>
            </w:r>
          </w:p>
        </w:tc>
      </w:tr>
      <w:tr w:rsidR="00807A3C" w:rsidRPr="00DC3810" w14:paraId="129D98D9" w14:textId="77777777" w:rsidTr="00807A3C">
        <w:trPr>
          <w:trHeight w:val="300"/>
        </w:trPr>
        <w:tc>
          <w:tcPr>
            <w:tcW w:w="1566" w:type="pct"/>
            <w:shd w:val="clear" w:color="auto" w:fill="auto"/>
            <w:noWrap/>
            <w:vAlign w:val="bottom"/>
            <w:hideMark/>
          </w:tcPr>
          <w:p w14:paraId="4195EFBE" w14:textId="77777777" w:rsidR="00807A3C" w:rsidRPr="00DC3810" w:rsidRDefault="00807A3C" w:rsidP="00807A3C">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lastRenderedPageBreak/>
              <w:t>Zachodniopomorskie</w:t>
            </w:r>
          </w:p>
        </w:tc>
        <w:tc>
          <w:tcPr>
            <w:tcW w:w="1144" w:type="pct"/>
            <w:shd w:val="clear" w:color="auto" w:fill="auto"/>
            <w:noWrap/>
            <w:vAlign w:val="bottom"/>
            <w:hideMark/>
          </w:tcPr>
          <w:p w14:paraId="301B2EB5"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1</w:t>
            </w:r>
          </w:p>
        </w:tc>
        <w:tc>
          <w:tcPr>
            <w:tcW w:w="1144" w:type="pct"/>
            <w:shd w:val="clear" w:color="auto" w:fill="auto"/>
            <w:noWrap/>
            <w:vAlign w:val="bottom"/>
            <w:hideMark/>
          </w:tcPr>
          <w:p w14:paraId="1DDB91B3"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20</w:t>
            </w:r>
          </w:p>
        </w:tc>
        <w:tc>
          <w:tcPr>
            <w:tcW w:w="1145" w:type="pct"/>
            <w:shd w:val="clear" w:color="auto" w:fill="auto"/>
            <w:noWrap/>
            <w:vAlign w:val="bottom"/>
            <w:hideMark/>
          </w:tcPr>
          <w:p w14:paraId="0B713F7F" w14:textId="77777777" w:rsidR="00807A3C" w:rsidRPr="00DC3810" w:rsidRDefault="00807A3C" w:rsidP="00807A3C">
            <w:pPr>
              <w:spacing w:after="0" w:line="240" w:lineRule="auto"/>
              <w:jc w:val="right"/>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90</w:t>
            </w:r>
          </w:p>
        </w:tc>
      </w:tr>
    </w:tbl>
    <w:p w14:paraId="2C26A0AC" w14:textId="3A23EF81" w:rsidR="007278D9" w:rsidRPr="004F5101" w:rsidRDefault="00807A3C" w:rsidP="004F5101">
      <w:pPr>
        <w:spacing w:line="240" w:lineRule="auto"/>
        <w:rPr>
          <w:rFonts w:ascii="Lato" w:hAnsi="Lato"/>
          <w:sz w:val="16"/>
          <w:szCs w:val="16"/>
        </w:rPr>
      </w:pPr>
      <w:r w:rsidRPr="004F5101">
        <w:rPr>
          <w:rFonts w:ascii="Lato" w:hAnsi="Lato"/>
          <w:sz w:val="16"/>
          <w:szCs w:val="16"/>
        </w:rPr>
        <w:t>Źródło: Badanie Ministerstwa Zdrowia i Ministerstwa Spraw Wewnętrznych i Administracji (formularz MZ-29 i MSW-43)</w:t>
      </w:r>
    </w:p>
    <w:p w14:paraId="0FA7F39E" w14:textId="23E455CA" w:rsidR="00E57A39" w:rsidRDefault="00E57A39" w:rsidP="004F5101">
      <w:pPr>
        <w:tabs>
          <w:tab w:val="left" w:pos="0"/>
        </w:tabs>
        <w:spacing w:after="0" w:line="240" w:lineRule="auto"/>
        <w:jc w:val="both"/>
        <w:rPr>
          <w:rFonts w:ascii="Lato" w:eastAsia="Times New Roman" w:hAnsi="Lato" w:cs="Times New Roman"/>
          <w:sz w:val="20"/>
          <w:szCs w:val="20"/>
          <w:lang w:eastAsia="pl-PL"/>
        </w:rPr>
      </w:pPr>
      <w:r w:rsidRPr="00BA25BE">
        <w:rPr>
          <w:rFonts w:ascii="Lato" w:eastAsia="Times New Roman" w:hAnsi="Lato" w:cs="Times New Roman"/>
          <w:sz w:val="20"/>
          <w:szCs w:val="20"/>
          <w:lang w:eastAsia="pl-PL"/>
        </w:rPr>
        <w:t xml:space="preserve">Zgodnie z danymi z Rejestru Podmiotów Wykonujących Działalność Leczniczą, według stanu na 31.12.2021 r., w szpitalach funkcjonowało </w:t>
      </w:r>
      <w:r>
        <w:rPr>
          <w:rFonts w:ascii="Lato" w:eastAsia="Times New Roman" w:hAnsi="Lato" w:cs="Times New Roman"/>
          <w:b/>
          <w:bCs/>
          <w:sz w:val="20"/>
          <w:szCs w:val="20"/>
          <w:lang w:eastAsia="pl-PL"/>
        </w:rPr>
        <w:t>51</w:t>
      </w:r>
      <w:r w:rsidRPr="00BA25BE">
        <w:rPr>
          <w:rFonts w:ascii="Lato" w:eastAsia="Times New Roman" w:hAnsi="Lato" w:cs="Times New Roman"/>
          <w:b/>
          <w:bCs/>
          <w:sz w:val="20"/>
          <w:szCs w:val="20"/>
          <w:lang w:eastAsia="pl-PL"/>
        </w:rPr>
        <w:t xml:space="preserve"> oddziałów geriatrycznych</w:t>
      </w:r>
      <w:r w:rsidRPr="00BA25BE">
        <w:rPr>
          <w:rStyle w:val="Odwoanieprzypisudolnego"/>
          <w:rFonts w:ascii="Lato" w:eastAsia="Times New Roman" w:hAnsi="Lato" w:cs="Times New Roman"/>
          <w:b/>
          <w:bCs/>
          <w:sz w:val="20"/>
          <w:szCs w:val="20"/>
          <w:lang w:eastAsia="pl-PL"/>
        </w:rPr>
        <w:footnoteReference w:id="3"/>
      </w:r>
      <w:r w:rsidRPr="00BA25BE">
        <w:rPr>
          <w:rFonts w:ascii="Lato" w:eastAsia="Times New Roman" w:hAnsi="Lato" w:cs="Times New Roman"/>
          <w:sz w:val="20"/>
          <w:szCs w:val="20"/>
          <w:lang w:eastAsia="pl-PL"/>
        </w:rPr>
        <w:t xml:space="preserve">, które dysponowały </w:t>
      </w:r>
      <w:r w:rsidRPr="00BA25BE">
        <w:rPr>
          <w:rFonts w:ascii="Lato" w:eastAsia="Times New Roman" w:hAnsi="Lato" w:cs="Times New Roman"/>
          <w:b/>
          <w:bCs/>
          <w:sz w:val="20"/>
          <w:szCs w:val="20"/>
          <w:lang w:eastAsia="pl-PL"/>
        </w:rPr>
        <w:t xml:space="preserve">1 </w:t>
      </w:r>
      <w:r>
        <w:rPr>
          <w:rFonts w:ascii="Lato" w:eastAsia="Times New Roman" w:hAnsi="Lato" w:cs="Times New Roman"/>
          <w:b/>
          <w:bCs/>
          <w:sz w:val="20"/>
          <w:szCs w:val="20"/>
          <w:lang w:eastAsia="pl-PL"/>
        </w:rPr>
        <w:t>048</w:t>
      </w:r>
      <w:r w:rsidRPr="00BA25BE">
        <w:rPr>
          <w:rFonts w:ascii="Lato" w:eastAsia="Times New Roman" w:hAnsi="Lato" w:cs="Times New Roman"/>
          <w:b/>
          <w:bCs/>
          <w:sz w:val="20"/>
          <w:szCs w:val="20"/>
          <w:lang w:eastAsia="pl-PL"/>
        </w:rPr>
        <w:t xml:space="preserve"> łóżkami</w:t>
      </w:r>
      <w:r w:rsidRPr="00BA25BE">
        <w:rPr>
          <w:rFonts w:ascii="Lato" w:eastAsia="Times New Roman" w:hAnsi="Lato" w:cs="Times New Roman"/>
          <w:sz w:val="20"/>
          <w:szCs w:val="20"/>
          <w:lang w:eastAsia="pl-PL"/>
        </w:rPr>
        <w:t>.</w:t>
      </w:r>
    </w:p>
    <w:p w14:paraId="09BBDFB5" w14:textId="77777777" w:rsidR="00E57A39" w:rsidRPr="00E57A39" w:rsidRDefault="00E57A39" w:rsidP="00E57A39">
      <w:pPr>
        <w:tabs>
          <w:tab w:val="left" w:pos="0"/>
        </w:tabs>
        <w:spacing w:after="0" w:line="240" w:lineRule="auto"/>
        <w:jc w:val="both"/>
        <w:rPr>
          <w:rFonts w:ascii="Lato" w:eastAsia="Times New Roman" w:hAnsi="Lato" w:cs="Times New Roman"/>
          <w:sz w:val="20"/>
          <w:szCs w:val="20"/>
          <w:lang w:eastAsia="pl-PL"/>
        </w:rPr>
      </w:pPr>
    </w:p>
    <w:p w14:paraId="06271279" w14:textId="1400685E" w:rsidR="007278D9" w:rsidRDefault="007278D9" w:rsidP="007278D9">
      <w:pPr>
        <w:pStyle w:val="Legenda"/>
        <w:keepNext/>
      </w:pPr>
      <w:bookmarkStart w:id="29" w:name="_Toc142565990"/>
      <w:r>
        <w:t xml:space="preserve">Tabela </w:t>
      </w:r>
      <w:fldSimple w:instr=" SEQ Tabela \* ARABIC ">
        <w:r w:rsidR="00AA385B">
          <w:rPr>
            <w:noProof/>
          </w:rPr>
          <w:t>25</w:t>
        </w:r>
      </w:fldSimple>
      <w:r>
        <w:t xml:space="preserve"> Kuracjusze leczenia uzdrowiskowego leczeni w trybie stacjonarnym i ambulatoryjnym (bez cudzoziemców</w:t>
      </w:r>
      <w:r w:rsidR="00E57A39">
        <w:t>)</w:t>
      </w:r>
      <w:r>
        <w:t xml:space="preserve"> w 2022</w:t>
      </w:r>
      <w:r w:rsidR="00E57A39">
        <w:t xml:space="preserve"> </w:t>
      </w:r>
      <w:r>
        <w:t>r.</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5"/>
        <w:gridCol w:w="1803"/>
        <w:gridCol w:w="1526"/>
        <w:gridCol w:w="1526"/>
        <w:gridCol w:w="1522"/>
      </w:tblGrid>
      <w:tr w:rsidR="007278D9" w:rsidRPr="00DC3810" w14:paraId="1C6EAF3F" w14:textId="77777777" w:rsidTr="00DC3810">
        <w:trPr>
          <w:trHeight w:val="272"/>
        </w:trPr>
        <w:tc>
          <w:tcPr>
            <w:tcW w:w="2476" w:type="pct"/>
            <w:gridSpan w:val="2"/>
            <w:vMerge w:val="restart"/>
            <w:shd w:val="clear" w:color="auto" w:fill="8EAADB" w:themeFill="accent1" w:themeFillTint="99"/>
            <w:vAlign w:val="center"/>
            <w:hideMark/>
          </w:tcPr>
          <w:p w14:paraId="2465717A" w14:textId="77777777" w:rsidR="007278D9" w:rsidRPr="00DC3810" w:rsidRDefault="007278D9" w:rsidP="007278D9">
            <w:pPr>
              <w:spacing w:after="0" w:line="240" w:lineRule="auto"/>
              <w:jc w:val="center"/>
              <w:rPr>
                <w:rFonts w:ascii="Lato" w:eastAsia="Times New Roman" w:hAnsi="Lato" w:cs="Arial"/>
                <w:color w:val="000000"/>
                <w:sz w:val="18"/>
                <w:szCs w:val="18"/>
                <w:lang w:eastAsia="pl-PL"/>
              </w:rPr>
            </w:pPr>
            <w:r w:rsidRPr="00DC3810">
              <w:rPr>
                <w:rFonts w:ascii="Lato" w:eastAsia="Times New Roman" w:hAnsi="Lato" w:cs="Arial"/>
                <w:color w:val="000000"/>
                <w:sz w:val="18"/>
                <w:szCs w:val="18"/>
                <w:lang w:eastAsia="pl-PL"/>
              </w:rPr>
              <w:t xml:space="preserve">Wyszczególnienie                                                                     </w:t>
            </w:r>
          </w:p>
        </w:tc>
        <w:tc>
          <w:tcPr>
            <w:tcW w:w="842" w:type="pct"/>
            <w:vMerge w:val="restart"/>
            <w:shd w:val="clear" w:color="auto" w:fill="8EAADB" w:themeFill="accent1" w:themeFillTint="99"/>
            <w:noWrap/>
            <w:vAlign w:val="center"/>
            <w:hideMark/>
          </w:tcPr>
          <w:p w14:paraId="62BF1A7A"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1682" w:type="pct"/>
            <w:gridSpan w:val="2"/>
            <w:shd w:val="clear" w:color="auto" w:fill="8EAADB" w:themeFill="accent1" w:themeFillTint="99"/>
            <w:vAlign w:val="center"/>
            <w:hideMark/>
          </w:tcPr>
          <w:p w14:paraId="5867AD42"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Z ogółem w wieku</w:t>
            </w:r>
          </w:p>
        </w:tc>
      </w:tr>
      <w:tr w:rsidR="007278D9" w:rsidRPr="00DC3810" w14:paraId="2BC643FF" w14:textId="77777777" w:rsidTr="00DC3810">
        <w:trPr>
          <w:trHeight w:val="150"/>
        </w:trPr>
        <w:tc>
          <w:tcPr>
            <w:tcW w:w="2476" w:type="pct"/>
            <w:gridSpan w:val="2"/>
            <w:vMerge/>
            <w:shd w:val="clear" w:color="auto" w:fill="8EAADB" w:themeFill="accent1" w:themeFillTint="99"/>
            <w:vAlign w:val="center"/>
            <w:hideMark/>
          </w:tcPr>
          <w:p w14:paraId="5D45B770" w14:textId="77777777" w:rsidR="007278D9" w:rsidRPr="00DC3810" w:rsidRDefault="007278D9" w:rsidP="007278D9">
            <w:pPr>
              <w:spacing w:after="0" w:line="240" w:lineRule="auto"/>
              <w:rPr>
                <w:rFonts w:ascii="Lato" w:eastAsia="Times New Roman" w:hAnsi="Lato" w:cs="Arial"/>
                <w:color w:val="000000"/>
                <w:sz w:val="18"/>
                <w:szCs w:val="18"/>
                <w:lang w:eastAsia="pl-PL"/>
              </w:rPr>
            </w:pPr>
          </w:p>
        </w:tc>
        <w:tc>
          <w:tcPr>
            <w:tcW w:w="842" w:type="pct"/>
            <w:vMerge/>
            <w:shd w:val="clear" w:color="auto" w:fill="8EAADB" w:themeFill="accent1" w:themeFillTint="99"/>
            <w:vAlign w:val="center"/>
            <w:hideMark/>
          </w:tcPr>
          <w:p w14:paraId="569B1C54" w14:textId="77777777" w:rsidR="007278D9" w:rsidRPr="00DC3810" w:rsidRDefault="007278D9" w:rsidP="007278D9">
            <w:pPr>
              <w:spacing w:after="0" w:line="240" w:lineRule="auto"/>
              <w:rPr>
                <w:rFonts w:ascii="Lato" w:eastAsia="Times New Roman" w:hAnsi="Lato" w:cs="Arial"/>
                <w:sz w:val="18"/>
                <w:szCs w:val="18"/>
                <w:lang w:eastAsia="pl-PL"/>
              </w:rPr>
            </w:pPr>
          </w:p>
        </w:tc>
        <w:tc>
          <w:tcPr>
            <w:tcW w:w="842" w:type="pct"/>
            <w:shd w:val="clear" w:color="auto" w:fill="8EAADB" w:themeFill="accent1" w:themeFillTint="99"/>
            <w:vAlign w:val="center"/>
            <w:hideMark/>
          </w:tcPr>
          <w:p w14:paraId="179A97C9"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65 lat i więcej</w:t>
            </w:r>
          </w:p>
        </w:tc>
        <w:tc>
          <w:tcPr>
            <w:tcW w:w="840" w:type="pct"/>
            <w:shd w:val="clear" w:color="auto" w:fill="8EAADB" w:themeFill="accent1" w:themeFillTint="99"/>
            <w:noWrap/>
            <w:vAlign w:val="center"/>
            <w:hideMark/>
          </w:tcPr>
          <w:p w14:paraId="20BDC89F"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0-64 lata</w:t>
            </w:r>
          </w:p>
        </w:tc>
      </w:tr>
      <w:tr w:rsidR="007278D9" w:rsidRPr="00DC3810" w14:paraId="3A2FB558" w14:textId="77777777" w:rsidTr="007278D9">
        <w:trPr>
          <w:trHeight w:val="300"/>
        </w:trPr>
        <w:tc>
          <w:tcPr>
            <w:tcW w:w="2476" w:type="pct"/>
            <w:gridSpan w:val="2"/>
            <w:shd w:val="clear" w:color="auto" w:fill="auto"/>
            <w:vAlign w:val="center"/>
            <w:hideMark/>
          </w:tcPr>
          <w:p w14:paraId="702B4502"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Kuracjusze</w:t>
            </w:r>
          </w:p>
        </w:tc>
        <w:tc>
          <w:tcPr>
            <w:tcW w:w="842" w:type="pct"/>
            <w:shd w:val="clear" w:color="auto" w:fill="auto"/>
            <w:noWrap/>
            <w:vAlign w:val="center"/>
            <w:hideMark/>
          </w:tcPr>
          <w:p w14:paraId="4703407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779 965</w:t>
            </w:r>
          </w:p>
        </w:tc>
        <w:tc>
          <w:tcPr>
            <w:tcW w:w="842" w:type="pct"/>
            <w:shd w:val="clear" w:color="auto" w:fill="auto"/>
            <w:noWrap/>
            <w:vAlign w:val="center"/>
            <w:hideMark/>
          </w:tcPr>
          <w:p w14:paraId="62CD981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421 549</w:t>
            </w:r>
          </w:p>
        </w:tc>
        <w:tc>
          <w:tcPr>
            <w:tcW w:w="840" w:type="pct"/>
            <w:shd w:val="clear" w:color="auto" w:fill="auto"/>
            <w:noWrap/>
            <w:vAlign w:val="center"/>
            <w:hideMark/>
          </w:tcPr>
          <w:p w14:paraId="04513375"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358 416</w:t>
            </w:r>
          </w:p>
        </w:tc>
      </w:tr>
      <w:tr w:rsidR="007278D9" w:rsidRPr="00DC3810" w14:paraId="788F66A5" w14:textId="77777777" w:rsidTr="007278D9">
        <w:trPr>
          <w:trHeight w:val="300"/>
        </w:trPr>
        <w:tc>
          <w:tcPr>
            <w:tcW w:w="1481" w:type="pct"/>
            <w:shd w:val="clear" w:color="auto" w:fill="auto"/>
            <w:noWrap/>
            <w:vAlign w:val="center"/>
            <w:hideMark/>
          </w:tcPr>
          <w:p w14:paraId="534CC064"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Struktura wieku kuracjuszy w %</w:t>
            </w:r>
          </w:p>
        </w:tc>
        <w:tc>
          <w:tcPr>
            <w:tcW w:w="995" w:type="pct"/>
            <w:shd w:val="clear" w:color="auto" w:fill="auto"/>
            <w:vAlign w:val="center"/>
            <w:hideMark/>
          </w:tcPr>
          <w:p w14:paraId="427DAAD9" w14:textId="77777777" w:rsidR="007278D9" w:rsidRPr="00DC3810" w:rsidRDefault="007278D9" w:rsidP="007278D9">
            <w:pPr>
              <w:spacing w:after="0" w:line="240" w:lineRule="auto"/>
              <w:rPr>
                <w:rFonts w:ascii="Lato" w:eastAsia="Times New Roman" w:hAnsi="Lato" w:cs="Arial"/>
                <w:sz w:val="18"/>
                <w:szCs w:val="18"/>
                <w:lang w:eastAsia="pl-PL"/>
              </w:rPr>
            </w:pPr>
          </w:p>
        </w:tc>
        <w:tc>
          <w:tcPr>
            <w:tcW w:w="842" w:type="pct"/>
            <w:shd w:val="clear" w:color="auto" w:fill="auto"/>
            <w:noWrap/>
            <w:vAlign w:val="center"/>
            <w:hideMark/>
          </w:tcPr>
          <w:p w14:paraId="6A101D99"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100</w:t>
            </w:r>
          </w:p>
        </w:tc>
        <w:tc>
          <w:tcPr>
            <w:tcW w:w="842" w:type="pct"/>
            <w:shd w:val="clear" w:color="auto" w:fill="auto"/>
            <w:noWrap/>
            <w:vAlign w:val="center"/>
            <w:hideMark/>
          </w:tcPr>
          <w:p w14:paraId="074C5D76"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54,0</w:t>
            </w:r>
          </w:p>
        </w:tc>
        <w:tc>
          <w:tcPr>
            <w:tcW w:w="840" w:type="pct"/>
            <w:shd w:val="clear" w:color="auto" w:fill="auto"/>
            <w:noWrap/>
            <w:vAlign w:val="center"/>
            <w:hideMark/>
          </w:tcPr>
          <w:p w14:paraId="17AA3A68"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46,0</w:t>
            </w:r>
          </w:p>
        </w:tc>
      </w:tr>
      <w:tr w:rsidR="007278D9" w:rsidRPr="00DC3810" w14:paraId="0D44435E" w14:textId="77777777" w:rsidTr="007278D9">
        <w:trPr>
          <w:trHeight w:val="300"/>
        </w:trPr>
        <w:tc>
          <w:tcPr>
            <w:tcW w:w="2476" w:type="pct"/>
            <w:gridSpan w:val="2"/>
            <w:shd w:val="clear" w:color="auto" w:fill="auto"/>
            <w:vAlign w:val="center"/>
            <w:hideMark/>
          </w:tcPr>
          <w:p w14:paraId="3061B0FE"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Kuracjusze w % ludności danej grupy wieku</w:t>
            </w:r>
          </w:p>
        </w:tc>
        <w:tc>
          <w:tcPr>
            <w:tcW w:w="842" w:type="pct"/>
            <w:shd w:val="clear" w:color="auto" w:fill="auto"/>
            <w:noWrap/>
            <w:vAlign w:val="center"/>
            <w:hideMark/>
          </w:tcPr>
          <w:p w14:paraId="2ECFCD3A"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w:t>
            </w:r>
          </w:p>
        </w:tc>
        <w:tc>
          <w:tcPr>
            <w:tcW w:w="842" w:type="pct"/>
            <w:shd w:val="clear" w:color="auto" w:fill="auto"/>
            <w:noWrap/>
            <w:vAlign w:val="center"/>
            <w:hideMark/>
          </w:tcPr>
          <w:p w14:paraId="7500F27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w:t>
            </w:r>
          </w:p>
        </w:tc>
        <w:tc>
          <w:tcPr>
            <w:tcW w:w="840" w:type="pct"/>
            <w:shd w:val="clear" w:color="auto" w:fill="auto"/>
            <w:noWrap/>
            <w:vAlign w:val="center"/>
            <w:hideMark/>
          </w:tcPr>
          <w:p w14:paraId="4062117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w:t>
            </w:r>
          </w:p>
        </w:tc>
      </w:tr>
    </w:tbl>
    <w:p w14:paraId="7AD6E77A" w14:textId="3A565E2A" w:rsidR="007278D9" w:rsidRPr="004F5101" w:rsidRDefault="007278D9" w:rsidP="00807A3C">
      <w:pPr>
        <w:spacing w:after="0" w:line="240" w:lineRule="auto"/>
        <w:rPr>
          <w:rFonts w:ascii="Lato" w:hAnsi="Lato"/>
          <w:sz w:val="16"/>
          <w:szCs w:val="16"/>
        </w:rPr>
      </w:pPr>
      <w:proofErr w:type="spellStart"/>
      <w:r w:rsidRPr="004F5101">
        <w:rPr>
          <w:rFonts w:ascii="Lato" w:hAnsi="Lato"/>
          <w:sz w:val="16"/>
          <w:szCs w:val="16"/>
        </w:rPr>
        <w:t>Żródło</w:t>
      </w:r>
      <w:proofErr w:type="spellEnd"/>
      <w:r w:rsidRPr="004F5101">
        <w:rPr>
          <w:rFonts w:ascii="Lato" w:hAnsi="Lato"/>
          <w:sz w:val="16"/>
          <w:szCs w:val="16"/>
        </w:rPr>
        <w:t>:  Badanie GUS i MSWiA  (formularz ZD-2 i MSW-45)</w:t>
      </w:r>
    </w:p>
    <w:p w14:paraId="0F3224E5" w14:textId="7C9FA3B3" w:rsidR="007278D9" w:rsidRDefault="007278D9" w:rsidP="00807A3C">
      <w:pPr>
        <w:spacing w:after="0" w:line="240" w:lineRule="auto"/>
        <w:rPr>
          <w:rFonts w:ascii="Lato" w:hAnsi="Lato"/>
          <w:sz w:val="18"/>
          <w:szCs w:val="18"/>
        </w:rPr>
      </w:pPr>
    </w:p>
    <w:p w14:paraId="13580CB5" w14:textId="0781D483" w:rsidR="00E57A39" w:rsidRPr="00E57A39" w:rsidRDefault="00E57A39" w:rsidP="00807A3C">
      <w:pPr>
        <w:spacing w:after="0" w:line="240" w:lineRule="auto"/>
        <w:rPr>
          <w:rFonts w:ascii="Lato" w:hAnsi="Lato"/>
          <w:sz w:val="20"/>
          <w:szCs w:val="20"/>
        </w:rPr>
      </w:pPr>
      <w:r w:rsidRPr="00E57A39">
        <w:rPr>
          <w:rFonts w:ascii="Lato" w:hAnsi="Lato"/>
          <w:sz w:val="20"/>
          <w:szCs w:val="20"/>
        </w:rPr>
        <w:t>Z usług leczenia uzdrowiskowego w trybie stacjonarnym i ambulatoryjnym w 2022 r. skorzystało łącznie 779 965 osób, w tym 421 549 osób w wieku 65 lat i więcej.</w:t>
      </w:r>
    </w:p>
    <w:p w14:paraId="1AC24A15" w14:textId="77777777" w:rsidR="00E57A39" w:rsidRPr="00807A3C" w:rsidRDefault="00E57A39" w:rsidP="00807A3C">
      <w:pPr>
        <w:spacing w:after="0" w:line="240" w:lineRule="auto"/>
        <w:rPr>
          <w:rFonts w:ascii="Lato" w:hAnsi="Lato"/>
          <w:sz w:val="18"/>
          <w:szCs w:val="18"/>
        </w:rPr>
      </w:pPr>
    </w:p>
    <w:p w14:paraId="0A6FE126" w14:textId="3B32F5B1" w:rsidR="00542EB8" w:rsidRPr="00DB2792" w:rsidRDefault="00781EA1" w:rsidP="004F5101">
      <w:pPr>
        <w:pStyle w:val="Nagwek2"/>
        <w:rPr>
          <w:b/>
          <w:bCs/>
        </w:rPr>
      </w:pPr>
      <w:bookmarkStart w:id="30" w:name="_Toc142565927"/>
      <w:r w:rsidRPr="00DB2792">
        <w:rPr>
          <w:b/>
          <w:bCs/>
        </w:rPr>
        <w:t>Dostępne formy aktywności</w:t>
      </w:r>
      <w:bookmarkEnd w:id="30"/>
    </w:p>
    <w:p w14:paraId="64FB7C7F" w14:textId="2AA0CCB7" w:rsidR="00542EB8" w:rsidRDefault="00542EB8" w:rsidP="00542EB8">
      <w:pPr>
        <w:spacing w:after="0" w:line="240" w:lineRule="auto"/>
        <w:jc w:val="both"/>
        <w:rPr>
          <w:rFonts w:ascii="Lato" w:hAnsi="Lato" w:cs="Times New Roman"/>
          <w:sz w:val="20"/>
          <w:szCs w:val="20"/>
        </w:rPr>
      </w:pPr>
      <w:r w:rsidRPr="00542EB8">
        <w:rPr>
          <w:rFonts w:ascii="Lato" w:hAnsi="Lato" w:cs="Times New Roman"/>
          <w:sz w:val="20"/>
          <w:szCs w:val="20"/>
        </w:rPr>
        <w:t>W 202</w:t>
      </w:r>
      <w:r>
        <w:rPr>
          <w:rFonts w:ascii="Lato" w:hAnsi="Lato" w:cs="Times New Roman"/>
          <w:sz w:val="20"/>
          <w:szCs w:val="20"/>
        </w:rPr>
        <w:t>2</w:t>
      </w:r>
      <w:r w:rsidRPr="00542EB8">
        <w:rPr>
          <w:rFonts w:ascii="Lato" w:hAnsi="Lato" w:cs="Times New Roman"/>
          <w:sz w:val="20"/>
          <w:szCs w:val="20"/>
        </w:rPr>
        <w:t xml:space="preserve"> r. biblioteki publiczne odnotowały ponad </w:t>
      </w:r>
      <w:r>
        <w:rPr>
          <w:rFonts w:ascii="Lato" w:hAnsi="Lato" w:cs="Times New Roman"/>
          <w:sz w:val="20"/>
          <w:szCs w:val="20"/>
        </w:rPr>
        <w:t>5</w:t>
      </w:r>
      <w:r w:rsidRPr="00542EB8">
        <w:rPr>
          <w:rFonts w:ascii="Lato" w:hAnsi="Lato" w:cs="Times New Roman"/>
          <w:sz w:val="20"/>
          <w:szCs w:val="20"/>
        </w:rPr>
        <w:t xml:space="preserve"> mln czytelników, z czego 17</w:t>
      </w:r>
      <w:r>
        <w:rPr>
          <w:rFonts w:ascii="Lato" w:hAnsi="Lato" w:cs="Times New Roman"/>
          <w:sz w:val="20"/>
          <w:szCs w:val="20"/>
        </w:rPr>
        <w:t xml:space="preserve">,5 </w:t>
      </w:r>
      <w:r w:rsidRPr="00542EB8">
        <w:rPr>
          <w:rFonts w:ascii="Lato" w:hAnsi="Lato" w:cs="Times New Roman"/>
          <w:sz w:val="20"/>
          <w:szCs w:val="20"/>
        </w:rPr>
        <w:t>% stanowiły osoby starsze</w:t>
      </w:r>
      <w:r>
        <w:rPr>
          <w:rFonts w:ascii="Lato" w:hAnsi="Lato" w:cs="Times New Roman"/>
          <w:sz w:val="20"/>
          <w:szCs w:val="20"/>
        </w:rPr>
        <w:t xml:space="preserve"> (w porównaniu do 2021 r. jest to o 0,5% więcej). Największy udział procentowy w ogólnej liczbie czytelników wykazali seniorzy z woj. zachodniopomorskiego (21,5%) i woj. łódzkiego (20%), a najmniejszy z woj. </w:t>
      </w:r>
      <w:r w:rsidR="00816FA5">
        <w:rPr>
          <w:rFonts w:ascii="Lato" w:hAnsi="Lato" w:cs="Times New Roman"/>
          <w:sz w:val="20"/>
          <w:szCs w:val="20"/>
        </w:rPr>
        <w:t xml:space="preserve">małopolskiego (14,2%) i woj. podkarpackiego (14%). </w:t>
      </w:r>
    </w:p>
    <w:p w14:paraId="5936E5C4" w14:textId="77777777" w:rsidR="00816FA5" w:rsidRPr="00542EB8" w:rsidRDefault="00816FA5" w:rsidP="00542EB8">
      <w:pPr>
        <w:spacing w:after="0" w:line="240" w:lineRule="auto"/>
        <w:jc w:val="both"/>
        <w:rPr>
          <w:rFonts w:ascii="Lato" w:hAnsi="Lato" w:cs="Times New Roman"/>
          <w:sz w:val="20"/>
          <w:szCs w:val="20"/>
        </w:rPr>
      </w:pPr>
    </w:p>
    <w:p w14:paraId="64169E4A" w14:textId="01391AD8" w:rsidR="007278D9" w:rsidRDefault="007278D9" w:rsidP="007278D9">
      <w:pPr>
        <w:pStyle w:val="Legenda"/>
        <w:keepNext/>
      </w:pPr>
      <w:bookmarkStart w:id="31" w:name="_Toc142565991"/>
      <w:r>
        <w:t xml:space="preserve">Tabela </w:t>
      </w:r>
      <w:fldSimple w:instr=" SEQ Tabela \* ARABIC ">
        <w:r w:rsidR="00AA385B">
          <w:rPr>
            <w:noProof/>
          </w:rPr>
          <w:t>26</w:t>
        </w:r>
      </w:fldSimple>
      <w:r>
        <w:t xml:space="preserve"> Czytelnicy bibliotek publicznych w 2022 r.</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1"/>
        <w:gridCol w:w="1970"/>
        <w:gridCol w:w="1966"/>
        <w:gridCol w:w="1965"/>
      </w:tblGrid>
      <w:tr w:rsidR="007278D9" w:rsidRPr="00DC3810" w14:paraId="3BE4E4E7" w14:textId="77777777" w:rsidTr="00DC3810">
        <w:trPr>
          <w:trHeight w:val="252"/>
        </w:trPr>
        <w:tc>
          <w:tcPr>
            <w:tcW w:w="1744" w:type="pct"/>
            <w:vMerge w:val="restart"/>
            <w:shd w:val="clear" w:color="auto" w:fill="8EAADB" w:themeFill="accent1" w:themeFillTint="99"/>
            <w:noWrap/>
            <w:vAlign w:val="center"/>
            <w:hideMark/>
          </w:tcPr>
          <w:p w14:paraId="62A7D977"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Województwa</w:t>
            </w:r>
          </w:p>
        </w:tc>
        <w:tc>
          <w:tcPr>
            <w:tcW w:w="1087" w:type="pct"/>
            <w:vMerge w:val="restart"/>
            <w:shd w:val="clear" w:color="auto" w:fill="8EAADB" w:themeFill="accent1" w:themeFillTint="99"/>
            <w:noWrap/>
            <w:vAlign w:val="center"/>
            <w:hideMark/>
          </w:tcPr>
          <w:p w14:paraId="5C4E8DBC"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Ogółem</w:t>
            </w:r>
          </w:p>
        </w:tc>
        <w:tc>
          <w:tcPr>
            <w:tcW w:w="2169" w:type="pct"/>
            <w:gridSpan w:val="2"/>
            <w:shd w:val="clear" w:color="auto" w:fill="8EAADB" w:themeFill="accent1" w:themeFillTint="99"/>
            <w:vAlign w:val="center"/>
            <w:hideMark/>
          </w:tcPr>
          <w:p w14:paraId="4CA04787"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tym w wieku powyżej 60 lat</w:t>
            </w:r>
          </w:p>
        </w:tc>
      </w:tr>
      <w:tr w:rsidR="007278D9" w:rsidRPr="00DC3810" w14:paraId="6508B3F6" w14:textId="77777777" w:rsidTr="00DC3810">
        <w:trPr>
          <w:trHeight w:val="130"/>
        </w:trPr>
        <w:tc>
          <w:tcPr>
            <w:tcW w:w="1744" w:type="pct"/>
            <w:vMerge/>
            <w:shd w:val="clear" w:color="auto" w:fill="8EAADB" w:themeFill="accent1" w:themeFillTint="99"/>
            <w:vAlign w:val="center"/>
            <w:hideMark/>
          </w:tcPr>
          <w:p w14:paraId="572E4A1C" w14:textId="77777777" w:rsidR="007278D9" w:rsidRPr="00DC3810" w:rsidRDefault="007278D9" w:rsidP="007278D9">
            <w:pPr>
              <w:spacing w:after="0" w:line="240" w:lineRule="auto"/>
              <w:rPr>
                <w:rFonts w:ascii="Lato" w:eastAsia="Times New Roman" w:hAnsi="Lato" w:cs="Arial"/>
                <w:sz w:val="18"/>
                <w:szCs w:val="18"/>
                <w:lang w:eastAsia="pl-PL"/>
              </w:rPr>
            </w:pPr>
          </w:p>
        </w:tc>
        <w:tc>
          <w:tcPr>
            <w:tcW w:w="1087" w:type="pct"/>
            <w:vMerge/>
            <w:shd w:val="clear" w:color="auto" w:fill="8EAADB" w:themeFill="accent1" w:themeFillTint="99"/>
            <w:vAlign w:val="center"/>
            <w:hideMark/>
          </w:tcPr>
          <w:p w14:paraId="25DDE5FF" w14:textId="77777777" w:rsidR="007278D9" w:rsidRPr="00DC3810" w:rsidRDefault="007278D9" w:rsidP="007278D9">
            <w:pPr>
              <w:spacing w:after="0" w:line="240" w:lineRule="auto"/>
              <w:rPr>
                <w:rFonts w:ascii="Lato" w:eastAsia="Times New Roman" w:hAnsi="Lato" w:cs="Arial"/>
                <w:sz w:val="18"/>
                <w:szCs w:val="18"/>
                <w:lang w:eastAsia="pl-PL"/>
              </w:rPr>
            </w:pPr>
          </w:p>
        </w:tc>
        <w:tc>
          <w:tcPr>
            <w:tcW w:w="1085" w:type="pct"/>
            <w:shd w:val="clear" w:color="auto" w:fill="8EAADB" w:themeFill="accent1" w:themeFillTint="99"/>
            <w:noWrap/>
            <w:vAlign w:val="center"/>
            <w:hideMark/>
          </w:tcPr>
          <w:p w14:paraId="4CCD2899"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w osobach</w:t>
            </w:r>
          </w:p>
        </w:tc>
        <w:tc>
          <w:tcPr>
            <w:tcW w:w="1084" w:type="pct"/>
            <w:shd w:val="clear" w:color="auto" w:fill="8EAADB" w:themeFill="accent1" w:themeFillTint="99"/>
            <w:vAlign w:val="center"/>
            <w:hideMark/>
          </w:tcPr>
          <w:p w14:paraId="759B61ED" w14:textId="77777777" w:rsidR="007278D9" w:rsidRPr="00DC3810" w:rsidRDefault="007278D9" w:rsidP="007278D9">
            <w:pPr>
              <w:spacing w:after="0" w:line="240" w:lineRule="auto"/>
              <w:jc w:val="center"/>
              <w:rPr>
                <w:rFonts w:ascii="Lato" w:eastAsia="Times New Roman" w:hAnsi="Lato" w:cs="Arial"/>
                <w:sz w:val="18"/>
                <w:szCs w:val="18"/>
                <w:lang w:eastAsia="pl-PL"/>
              </w:rPr>
            </w:pPr>
            <w:r w:rsidRPr="00DC3810">
              <w:rPr>
                <w:rFonts w:ascii="Lato" w:eastAsia="Times New Roman" w:hAnsi="Lato" w:cs="Arial"/>
                <w:sz w:val="18"/>
                <w:szCs w:val="18"/>
                <w:lang w:eastAsia="pl-PL"/>
              </w:rPr>
              <w:t xml:space="preserve">w % </w:t>
            </w:r>
          </w:p>
        </w:tc>
      </w:tr>
      <w:tr w:rsidR="007278D9" w:rsidRPr="00DC3810" w14:paraId="7347C74F" w14:textId="77777777" w:rsidTr="007278D9">
        <w:trPr>
          <w:trHeight w:val="300"/>
        </w:trPr>
        <w:tc>
          <w:tcPr>
            <w:tcW w:w="1744" w:type="pct"/>
            <w:shd w:val="clear" w:color="auto" w:fill="auto"/>
            <w:noWrap/>
            <w:vAlign w:val="bottom"/>
            <w:hideMark/>
          </w:tcPr>
          <w:p w14:paraId="19ECCFBE" w14:textId="77777777" w:rsidR="007278D9" w:rsidRPr="00DC3810" w:rsidRDefault="007278D9" w:rsidP="007278D9">
            <w:pPr>
              <w:spacing w:after="0" w:line="240" w:lineRule="auto"/>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 xml:space="preserve">POLSKA   </w:t>
            </w:r>
          </w:p>
        </w:tc>
        <w:tc>
          <w:tcPr>
            <w:tcW w:w="1087" w:type="pct"/>
            <w:shd w:val="clear" w:color="auto" w:fill="auto"/>
            <w:vAlign w:val="center"/>
            <w:hideMark/>
          </w:tcPr>
          <w:p w14:paraId="2CEA6AAA" w14:textId="77777777" w:rsidR="007278D9" w:rsidRPr="00DC3810" w:rsidRDefault="007278D9" w:rsidP="007278D9">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5 088 630</w:t>
            </w:r>
          </w:p>
        </w:tc>
        <w:tc>
          <w:tcPr>
            <w:tcW w:w="1085" w:type="pct"/>
            <w:shd w:val="clear" w:color="auto" w:fill="auto"/>
            <w:vAlign w:val="center"/>
            <w:hideMark/>
          </w:tcPr>
          <w:p w14:paraId="380ACFE7" w14:textId="77777777" w:rsidR="007278D9" w:rsidRPr="00DC3810" w:rsidRDefault="007278D9" w:rsidP="007278D9">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888 788</w:t>
            </w:r>
          </w:p>
        </w:tc>
        <w:tc>
          <w:tcPr>
            <w:tcW w:w="1084" w:type="pct"/>
            <w:shd w:val="clear" w:color="auto" w:fill="auto"/>
            <w:vAlign w:val="center"/>
            <w:hideMark/>
          </w:tcPr>
          <w:p w14:paraId="11D6AA16" w14:textId="77777777" w:rsidR="007278D9" w:rsidRPr="00DC3810" w:rsidRDefault="007278D9" w:rsidP="007278D9">
            <w:pPr>
              <w:spacing w:after="0" w:line="240" w:lineRule="auto"/>
              <w:jc w:val="right"/>
              <w:rPr>
                <w:rFonts w:ascii="Lato" w:eastAsia="Times New Roman" w:hAnsi="Lato" w:cs="Arial"/>
                <w:b/>
                <w:bCs/>
                <w:sz w:val="18"/>
                <w:szCs w:val="18"/>
                <w:lang w:eastAsia="pl-PL"/>
              </w:rPr>
            </w:pPr>
            <w:r w:rsidRPr="00DC3810">
              <w:rPr>
                <w:rFonts w:ascii="Lato" w:eastAsia="Times New Roman" w:hAnsi="Lato" w:cs="Arial"/>
                <w:b/>
                <w:bCs/>
                <w:sz w:val="18"/>
                <w:szCs w:val="18"/>
                <w:lang w:eastAsia="pl-PL"/>
              </w:rPr>
              <w:t>17,5</w:t>
            </w:r>
          </w:p>
        </w:tc>
      </w:tr>
      <w:tr w:rsidR="007278D9" w:rsidRPr="00DC3810" w14:paraId="4F9693CD" w14:textId="77777777" w:rsidTr="007278D9">
        <w:trPr>
          <w:trHeight w:val="300"/>
        </w:trPr>
        <w:tc>
          <w:tcPr>
            <w:tcW w:w="1744" w:type="pct"/>
            <w:shd w:val="clear" w:color="auto" w:fill="auto"/>
            <w:noWrap/>
            <w:vAlign w:val="bottom"/>
            <w:hideMark/>
          </w:tcPr>
          <w:p w14:paraId="23B6202E"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Dolnośląskie</w:t>
            </w:r>
          </w:p>
        </w:tc>
        <w:tc>
          <w:tcPr>
            <w:tcW w:w="1087" w:type="pct"/>
            <w:shd w:val="clear" w:color="auto" w:fill="auto"/>
            <w:vAlign w:val="center"/>
            <w:hideMark/>
          </w:tcPr>
          <w:p w14:paraId="1CFD4F91"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351 899</w:t>
            </w:r>
          </w:p>
        </w:tc>
        <w:tc>
          <w:tcPr>
            <w:tcW w:w="1085" w:type="pct"/>
            <w:shd w:val="clear" w:color="auto" w:fill="auto"/>
            <w:vAlign w:val="center"/>
            <w:hideMark/>
          </w:tcPr>
          <w:p w14:paraId="3CE232C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69 500</w:t>
            </w:r>
          </w:p>
        </w:tc>
        <w:tc>
          <w:tcPr>
            <w:tcW w:w="1084" w:type="pct"/>
            <w:shd w:val="clear" w:color="auto" w:fill="auto"/>
            <w:vAlign w:val="center"/>
            <w:hideMark/>
          </w:tcPr>
          <w:p w14:paraId="4CC2287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19,7</w:t>
            </w:r>
          </w:p>
        </w:tc>
      </w:tr>
      <w:tr w:rsidR="007278D9" w:rsidRPr="00DC3810" w14:paraId="5A9BAB88" w14:textId="77777777" w:rsidTr="007278D9">
        <w:trPr>
          <w:trHeight w:val="300"/>
        </w:trPr>
        <w:tc>
          <w:tcPr>
            <w:tcW w:w="1744" w:type="pct"/>
            <w:shd w:val="clear" w:color="auto" w:fill="auto"/>
            <w:noWrap/>
            <w:vAlign w:val="bottom"/>
            <w:hideMark/>
          </w:tcPr>
          <w:p w14:paraId="5EB0F903"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Kujawsko-pomorskie</w:t>
            </w:r>
          </w:p>
        </w:tc>
        <w:tc>
          <w:tcPr>
            <w:tcW w:w="1087" w:type="pct"/>
            <w:shd w:val="clear" w:color="auto" w:fill="auto"/>
            <w:vAlign w:val="center"/>
            <w:hideMark/>
          </w:tcPr>
          <w:p w14:paraId="464DC44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207 912</w:t>
            </w:r>
          </w:p>
        </w:tc>
        <w:tc>
          <w:tcPr>
            <w:tcW w:w="1085" w:type="pct"/>
            <w:shd w:val="clear" w:color="auto" w:fill="auto"/>
            <w:vAlign w:val="center"/>
            <w:hideMark/>
          </w:tcPr>
          <w:p w14:paraId="306EB52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40 207</w:t>
            </w:r>
          </w:p>
        </w:tc>
        <w:tc>
          <w:tcPr>
            <w:tcW w:w="1084" w:type="pct"/>
            <w:shd w:val="clear" w:color="auto" w:fill="auto"/>
            <w:vAlign w:val="center"/>
            <w:hideMark/>
          </w:tcPr>
          <w:p w14:paraId="2227595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19,3</w:t>
            </w:r>
          </w:p>
        </w:tc>
      </w:tr>
      <w:tr w:rsidR="007278D9" w:rsidRPr="00DC3810" w14:paraId="71905ED5" w14:textId="77777777" w:rsidTr="007278D9">
        <w:trPr>
          <w:trHeight w:val="300"/>
        </w:trPr>
        <w:tc>
          <w:tcPr>
            <w:tcW w:w="1744" w:type="pct"/>
            <w:shd w:val="clear" w:color="auto" w:fill="auto"/>
            <w:noWrap/>
            <w:vAlign w:val="bottom"/>
            <w:hideMark/>
          </w:tcPr>
          <w:p w14:paraId="21107872"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Lubelskie</w:t>
            </w:r>
          </w:p>
        </w:tc>
        <w:tc>
          <w:tcPr>
            <w:tcW w:w="1087" w:type="pct"/>
            <w:shd w:val="clear" w:color="auto" w:fill="auto"/>
            <w:vAlign w:val="center"/>
            <w:hideMark/>
          </w:tcPr>
          <w:p w14:paraId="0FE96072"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292 916</w:t>
            </w:r>
          </w:p>
        </w:tc>
        <w:tc>
          <w:tcPr>
            <w:tcW w:w="1085" w:type="pct"/>
            <w:shd w:val="clear" w:color="auto" w:fill="auto"/>
            <w:vAlign w:val="center"/>
            <w:hideMark/>
          </w:tcPr>
          <w:p w14:paraId="07259D48"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47 444</w:t>
            </w:r>
          </w:p>
        </w:tc>
        <w:tc>
          <w:tcPr>
            <w:tcW w:w="1084" w:type="pct"/>
            <w:shd w:val="clear" w:color="auto" w:fill="auto"/>
            <w:vAlign w:val="center"/>
            <w:hideMark/>
          </w:tcPr>
          <w:p w14:paraId="490F788C"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16,2</w:t>
            </w:r>
          </w:p>
        </w:tc>
      </w:tr>
      <w:tr w:rsidR="007278D9" w:rsidRPr="00DC3810" w14:paraId="15F4014F" w14:textId="77777777" w:rsidTr="007278D9">
        <w:trPr>
          <w:trHeight w:val="300"/>
        </w:trPr>
        <w:tc>
          <w:tcPr>
            <w:tcW w:w="1744" w:type="pct"/>
            <w:shd w:val="clear" w:color="auto" w:fill="auto"/>
            <w:noWrap/>
            <w:vAlign w:val="bottom"/>
            <w:hideMark/>
          </w:tcPr>
          <w:p w14:paraId="4A9318A0"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Lubuskie</w:t>
            </w:r>
          </w:p>
        </w:tc>
        <w:tc>
          <w:tcPr>
            <w:tcW w:w="1087" w:type="pct"/>
            <w:shd w:val="clear" w:color="auto" w:fill="auto"/>
            <w:vAlign w:val="center"/>
            <w:hideMark/>
          </w:tcPr>
          <w:p w14:paraId="082486B9"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109 582</w:t>
            </w:r>
          </w:p>
        </w:tc>
        <w:tc>
          <w:tcPr>
            <w:tcW w:w="1085" w:type="pct"/>
            <w:shd w:val="clear" w:color="auto" w:fill="auto"/>
            <w:vAlign w:val="center"/>
            <w:hideMark/>
          </w:tcPr>
          <w:p w14:paraId="7C511D7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20 568</w:t>
            </w:r>
          </w:p>
        </w:tc>
        <w:tc>
          <w:tcPr>
            <w:tcW w:w="1084" w:type="pct"/>
            <w:shd w:val="clear" w:color="auto" w:fill="auto"/>
            <w:vAlign w:val="center"/>
            <w:hideMark/>
          </w:tcPr>
          <w:p w14:paraId="4EE3D876"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18,8</w:t>
            </w:r>
          </w:p>
        </w:tc>
      </w:tr>
      <w:tr w:rsidR="007278D9" w:rsidRPr="00DC3810" w14:paraId="13FD9FD3" w14:textId="77777777" w:rsidTr="007278D9">
        <w:trPr>
          <w:trHeight w:val="300"/>
        </w:trPr>
        <w:tc>
          <w:tcPr>
            <w:tcW w:w="1744" w:type="pct"/>
            <w:shd w:val="clear" w:color="auto" w:fill="auto"/>
            <w:noWrap/>
            <w:vAlign w:val="bottom"/>
            <w:hideMark/>
          </w:tcPr>
          <w:p w14:paraId="4CE2F064"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Łódzkie</w:t>
            </w:r>
          </w:p>
        </w:tc>
        <w:tc>
          <w:tcPr>
            <w:tcW w:w="1087" w:type="pct"/>
            <w:shd w:val="clear" w:color="auto" w:fill="auto"/>
            <w:vAlign w:val="center"/>
            <w:hideMark/>
          </w:tcPr>
          <w:p w14:paraId="392D0B1D"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335 611</w:t>
            </w:r>
          </w:p>
        </w:tc>
        <w:tc>
          <w:tcPr>
            <w:tcW w:w="1085" w:type="pct"/>
            <w:shd w:val="clear" w:color="auto" w:fill="auto"/>
            <w:vAlign w:val="center"/>
            <w:hideMark/>
          </w:tcPr>
          <w:p w14:paraId="101028C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67 262</w:t>
            </w:r>
          </w:p>
        </w:tc>
        <w:tc>
          <w:tcPr>
            <w:tcW w:w="1084" w:type="pct"/>
            <w:shd w:val="clear" w:color="auto" w:fill="auto"/>
            <w:vAlign w:val="center"/>
            <w:hideMark/>
          </w:tcPr>
          <w:p w14:paraId="56F8706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20,0</w:t>
            </w:r>
          </w:p>
        </w:tc>
      </w:tr>
      <w:tr w:rsidR="007278D9" w:rsidRPr="00DC3810" w14:paraId="02762C21" w14:textId="77777777" w:rsidTr="007278D9">
        <w:trPr>
          <w:trHeight w:val="300"/>
        </w:trPr>
        <w:tc>
          <w:tcPr>
            <w:tcW w:w="1744" w:type="pct"/>
            <w:shd w:val="clear" w:color="auto" w:fill="auto"/>
            <w:noWrap/>
            <w:vAlign w:val="bottom"/>
            <w:hideMark/>
          </w:tcPr>
          <w:p w14:paraId="03E92B29"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Małopolskie</w:t>
            </w:r>
          </w:p>
        </w:tc>
        <w:tc>
          <w:tcPr>
            <w:tcW w:w="1087" w:type="pct"/>
            <w:shd w:val="clear" w:color="auto" w:fill="auto"/>
            <w:vAlign w:val="center"/>
            <w:hideMark/>
          </w:tcPr>
          <w:p w14:paraId="23297EA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581 950</w:t>
            </w:r>
          </w:p>
        </w:tc>
        <w:tc>
          <w:tcPr>
            <w:tcW w:w="1085" w:type="pct"/>
            <w:shd w:val="clear" w:color="auto" w:fill="auto"/>
            <w:vAlign w:val="center"/>
            <w:hideMark/>
          </w:tcPr>
          <w:p w14:paraId="09EC1CA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81 699</w:t>
            </w:r>
          </w:p>
        </w:tc>
        <w:tc>
          <w:tcPr>
            <w:tcW w:w="1084" w:type="pct"/>
            <w:shd w:val="clear" w:color="auto" w:fill="auto"/>
            <w:vAlign w:val="center"/>
            <w:hideMark/>
          </w:tcPr>
          <w:p w14:paraId="421388DC"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14,0</w:t>
            </w:r>
          </w:p>
        </w:tc>
      </w:tr>
      <w:tr w:rsidR="007278D9" w:rsidRPr="00DC3810" w14:paraId="74B99CBD" w14:textId="77777777" w:rsidTr="007278D9">
        <w:trPr>
          <w:trHeight w:val="300"/>
        </w:trPr>
        <w:tc>
          <w:tcPr>
            <w:tcW w:w="1744" w:type="pct"/>
            <w:shd w:val="clear" w:color="auto" w:fill="auto"/>
            <w:noWrap/>
            <w:vAlign w:val="bottom"/>
            <w:hideMark/>
          </w:tcPr>
          <w:p w14:paraId="0A87970D"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Mazowieckie</w:t>
            </w:r>
          </w:p>
        </w:tc>
        <w:tc>
          <w:tcPr>
            <w:tcW w:w="1087" w:type="pct"/>
            <w:shd w:val="clear" w:color="auto" w:fill="auto"/>
            <w:vAlign w:val="center"/>
            <w:hideMark/>
          </w:tcPr>
          <w:p w14:paraId="0EBA95E2"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838 992</w:t>
            </w:r>
          </w:p>
        </w:tc>
        <w:tc>
          <w:tcPr>
            <w:tcW w:w="1085" w:type="pct"/>
            <w:shd w:val="clear" w:color="auto" w:fill="auto"/>
            <w:vAlign w:val="center"/>
            <w:hideMark/>
          </w:tcPr>
          <w:p w14:paraId="2714C68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139 741</w:t>
            </w:r>
          </w:p>
        </w:tc>
        <w:tc>
          <w:tcPr>
            <w:tcW w:w="1084" w:type="pct"/>
            <w:shd w:val="clear" w:color="auto" w:fill="auto"/>
            <w:vAlign w:val="center"/>
            <w:hideMark/>
          </w:tcPr>
          <w:p w14:paraId="630FEB0F"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16,7</w:t>
            </w:r>
          </w:p>
        </w:tc>
      </w:tr>
      <w:tr w:rsidR="007278D9" w:rsidRPr="00DC3810" w14:paraId="4751044B" w14:textId="77777777" w:rsidTr="007278D9">
        <w:trPr>
          <w:trHeight w:val="300"/>
        </w:trPr>
        <w:tc>
          <w:tcPr>
            <w:tcW w:w="1744" w:type="pct"/>
            <w:shd w:val="clear" w:color="auto" w:fill="auto"/>
            <w:noWrap/>
            <w:vAlign w:val="bottom"/>
            <w:hideMark/>
          </w:tcPr>
          <w:p w14:paraId="0FBEF19A"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Opolskie</w:t>
            </w:r>
          </w:p>
        </w:tc>
        <w:tc>
          <w:tcPr>
            <w:tcW w:w="1087" w:type="pct"/>
            <w:shd w:val="clear" w:color="auto" w:fill="auto"/>
            <w:vAlign w:val="center"/>
            <w:hideMark/>
          </w:tcPr>
          <w:p w14:paraId="2B476D0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126 384</w:t>
            </w:r>
          </w:p>
        </w:tc>
        <w:tc>
          <w:tcPr>
            <w:tcW w:w="1085" w:type="pct"/>
            <w:shd w:val="clear" w:color="auto" w:fill="auto"/>
            <w:vAlign w:val="center"/>
            <w:hideMark/>
          </w:tcPr>
          <w:p w14:paraId="6E2D5A7C"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21 266</w:t>
            </w:r>
          </w:p>
        </w:tc>
        <w:tc>
          <w:tcPr>
            <w:tcW w:w="1084" w:type="pct"/>
            <w:shd w:val="clear" w:color="auto" w:fill="auto"/>
            <w:vAlign w:val="center"/>
            <w:hideMark/>
          </w:tcPr>
          <w:p w14:paraId="5CF53DCF"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16,8</w:t>
            </w:r>
          </w:p>
        </w:tc>
      </w:tr>
      <w:tr w:rsidR="007278D9" w:rsidRPr="00DC3810" w14:paraId="421AAD04" w14:textId="77777777" w:rsidTr="007278D9">
        <w:trPr>
          <w:trHeight w:val="300"/>
        </w:trPr>
        <w:tc>
          <w:tcPr>
            <w:tcW w:w="1744" w:type="pct"/>
            <w:shd w:val="clear" w:color="auto" w:fill="auto"/>
            <w:noWrap/>
            <w:vAlign w:val="bottom"/>
            <w:hideMark/>
          </w:tcPr>
          <w:p w14:paraId="0A1E7FC6"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Podkarpackie</w:t>
            </w:r>
          </w:p>
        </w:tc>
        <w:tc>
          <w:tcPr>
            <w:tcW w:w="1087" w:type="pct"/>
            <w:shd w:val="clear" w:color="auto" w:fill="auto"/>
            <w:vAlign w:val="center"/>
            <w:hideMark/>
          </w:tcPr>
          <w:p w14:paraId="4F189031"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276 771</w:t>
            </w:r>
          </w:p>
        </w:tc>
        <w:tc>
          <w:tcPr>
            <w:tcW w:w="1085" w:type="pct"/>
            <w:shd w:val="clear" w:color="auto" w:fill="auto"/>
            <w:vAlign w:val="center"/>
            <w:hideMark/>
          </w:tcPr>
          <w:p w14:paraId="7C6089A7"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39 255</w:t>
            </w:r>
          </w:p>
        </w:tc>
        <w:tc>
          <w:tcPr>
            <w:tcW w:w="1084" w:type="pct"/>
            <w:shd w:val="clear" w:color="auto" w:fill="auto"/>
            <w:vAlign w:val="center"/>
            <w:hideMark/>
          </w:tcPr>
          <w:p w14:paraId="1E8DD46A"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14,2</w:t>
            </w:r>
          </w:p>
        </w:tc>
      </w:tr>
      <w:tr w:rsidR="007278D9" w:rsidRPr="00DC3810" w14:paraId="13CFF58A" w14:textId="77777777" w:rsidTr="007278D9">
        <w:trPr>
          <w:trHeight w:val="300"/>
        </w:trPr>
        <w:tc>
          <w:tcPr>
            <w:tcW w:w="1744" w:type="pct"/>
            <w:shd w:val="clear" w:color="auto" w:fill="auto"/>
            <w:noWrap/>
            <w:vAlign w:val="bottom"/>
            <w:hideMark/>
          </w:tcPr>
          <w:p w14:paraId="146C495F"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Podlaskie</w:t>
            </w:r>
          </w:p>
        </w:tc>
        <w:tc>
          <w:tcPr>
            <w:tcW w:w="1087" w:type="pct"/>
            <w:shd w:val="clear" w:color="auto" w:fill="auto"/>
            <w:vAlign w:val="center"/>
            <w:hideMark/>
          </w:tcPr>
          <w:p w14:paraId="19478FF7"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126 237</w:t>
            </w:r>
          </w:p>
        </w:tc>
        <w:tc>
          <w:tcPr>
            <w:tcW w:w="1085" w:type="pct"/>
            <w:shd w:val="clear" w:color="auto" w:fill="auto"/>
            <w:vAlign w:val="center"/>
            <w:hideMark/>
          </w:tcPr>
          <w:p w14:paraId="696AB106"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20 476</w:t>
            </w:r>
          </w:p>
        </w:tc>
        <w:tc>
          <w:tcPr>
            <w:tcW w:w="1084" w:type="pct"/>
            <w:shd w:val="clear" w:color="auto" w:fill="auto"/>
            <w:vAlign w:val="center"/>
            <w:hideMark/>
          </w:tcPr>
          <w:p w14:paraId="3D161928"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16,2</w:t>
            </w:r>
          </w:p>
        </w:tc>
      </w:tr>
      <w:tr w:rsidR="007278D9" w:rsidRPr="00DC3810" w14:paraId="3048F6C2" w14:textId="77777777" w:rsidTr="007278D9">
        <w:trPr>
          <w:trHeight w:val="300"/>
        </w:trPr>
        <w:tc>
          <w:tcPr>
            <w:tcW w:w="1744" w:type="pct"/>
            <w:shd w:val="clear" w:color="auto" w:fill="auto"/>
            <w:noWrap/>
            <w:vAlign w:val="bottom"/>
            <w:hideMark/>
          </w:tcPr>
          <w:p w14:paraId="2C0B7917"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Pomorskie</w:t>
            </w:r>
          </w:p>
        </w:tc>
        <w:tc>
          <w:tcPr>
            <w:tcW w:w="1087" w:type="pct"/>
            <w:shd w:val="clear" w:color="auto" w:fill="auto"/>
            <w:vAlign w:val="center"/>
            <w:hideMark/>
          </w:tcPr>
          <w:p w14:paraId="4F31258C"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320 111</w:t>
            </w:r>
          </w:p>
        </w:tc>
        <w:tc>
          <w:tcPr>
            <w:tcW w:w="1085" w:type="pct"/>
            <w:shd w:val="clear" w:color="auto" w:fill="auto"/>
            <w:vAlign w:val="center"/>
            <w:hideMark/>
          </w:tcPr>
          <w:p w14:paraId="2B7A3C8F"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59 002</w:t>
            </w:r>
          </w:p>
        </w:tc>
        <w:tc>
          <w:tcPr>
            <w:tcW w:w="1084" w:type="pct"/>
            <w:shd w:val="clear" w:color="auto" w:fill="auto"/>
            <w:vAlign w:val="center"/>
            <w:hideMark/>
          </w:tcPr>
          <w:p w14:paraId="0B72057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18,4</w:t>
            </w:r>
          </w:p>
        </w:tc>
      </w:tr>
      <w:tr w:rsidR="007278D9" w:rsidRPr="00DC3810" w14:paraId="53C82ED3" w14:textId="77777777" w:rsidTr="007278D9">
        <w:trPr>
          <w:trHeight w:val="300"/>
        </w:trPr>
        <w:tc>
          <w:tcPr>
            <w:tcW w:w="1744" w:type="pct"/>
            <w:shd w:val="clear" w:color="auto" w:fill="auto"/>
            <w:noWrap/>
            <w:vAlign w:val="bottom"/>
            <w:hideMark/>
          </w:tcPr>
          <w:p w14:paraId="7A2F375B"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Śląskie</w:t>
            </w:r>
          </w:p>
        </w:tc>
        <w:tc>
          <w:tcPr>
            <w:tcW w:w="1087" w:type="pct"/>
            <w:shd w:val="clear" w:color="auto" w:fill="auto"/>
            <w:vAlign w:val="center"/>
            <w:hideMark/>
          </w:tcPr>
          <w:p w14:paraId="006B97D2"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626 244</w:t>
            </w:r>
          </w:p>
        </w:tc>
        <w:tc>
          <w:tcPr>
            <w:tcW w:w="1085" w:type="pct"/>
            <w:shd w:val="clear" w:color="auto" w:fill="auto"/>
            <w:vAlign w:val="center"/>
            <w:hideMark/>
          </w:tcPr>
          <w:p w14:paraId="3AAC0D36"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121 807</w:t>
            </w:r>
          </w:p>
        </w:tc>
        <w:tc>
          <w:tcPr>
            <w:tcW w:w="1084" w:type="pct"/>
            <w:shd w:val="clear" w:color="auto" w:fill="auto"/>
            <w:vAlign w:val="center"/>
            <w:hideMark/>
          </w:tcPr>
          <w:p w14:paraId="758393C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19,5</w:t>
            </w:r>
          </w:p>
        </w:tc>
      </w:tr>
      <w:tr w:rsidR="007278D9" w:rsidRPr="00DC3810" w14:paraId="02882B6E" w14:textId="77777777" w:rsidTr="007278D9">
        <w:trPr>
          <w:trHeight w:val="300"/>
        </w:trPr>
        <w:tc>
          <w:tcPr>
            <w:tcW w:w="1744" w:type="pct"/>
            <w:shd w:val="clear" w:color="auto" w:fill="auto"/>
            <w:noWrap/>
            <w:vAlign w:val="bottom"/>
            <w:hideMark/>
          </w:tcPr>
          <w:p w14:paraId="41B93B14"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Świętokrzyskie</w:t>
            </w:r>
          </w:p>
        </w:tc>
        <w:tc>
          <w:tcPr>
            <w:tcW w:w="1087" w:type="pct"/>
            <w:shd w:val="clear" w:color="auto" w:fill="auto"/>
            <w:vAlign w:val="center"/>
            <w:hideMark/>
          </w:tcPr>
          <w:p w14:paraId="7A1C53B7"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123 748</w:t>
            </w:r>
          </w:p>
        </w:tc>
        <w:tc>
          <w:tcPr>
            <w:tcW w:w="1085" w:type="pct"/>
            <w:shd w:val="clear" w:color="auto" w:fill="auto"/>
            <w:vAlign w:val="center"/>
            <w:hideMark/>
          </w:tcPr>
          <w:p w14:paraId="2BC4917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21 006</w:t>
            </w:r>
          </w:p>
        </w:tc>
        <w:tc>
          <w:tcPr>
            <w:tcW w:w="1084" w:type="pct"/>
            <w:shd w:val="clear" w:color="auto" w:fill="auto"/>
            <w:vAlign w:val="center"/>
            <w:hideMark/>
          </w:tcPr>
          <w:p w14:paraId="2F0C363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17,0</w:t>
            </w:r>
          </w:p>
        </w:tc>
      </w:tr>
      <w:tr w:rsidR="007278D9" w:rsidRPr="00DC3810" w14:paraId="66D2C4A7" w14:textId="77777777" w:rsidTr="007278D9">
        <w:trPr>
          <w:trHeight w:val="300"/>
        </w:trPr>
        <w:tc>
          <w:tcPr>
            <w:tcW w:w="1744" w:type="pct"/>
            <w:shd w:val="clear" w:color="auto" w:fill="auto"/>
            <w:noWrap/>
            <w:vAlign w:val="bottom"/>
            <w:hideMark/>
          </w:tcPr>
          <w:p w14:paraId="3CF6D9D4"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Warmińsko-mazurskie</w:t>
            </w:r>
          </w:p>
        </w:tc>
        <w:tc>
          <w:tcPr>
            <w:tcW w:w="1087" w:type="pct"/>
            <w:shd w:val="clear" w:color="auto" w:fill="auto"/>
            <w:vAlign w:val="center"/>
            <w:hideMark/>
          </w:tcPr>
          <w:p w14:paraId="650F5CB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160 794</w:t>
            </w:r>
          </w:p>
        </w:tc>
        <w:tc>
          <w:tcPr>
            <w:tcW w:w="1085" w:type="pct"/>
            <w:shd w:val="clear" w:color="auto" w:fill="auto"/>
            <w:vAlign w:val="center"/>
            <w:hideMark/>
          </w:tcPr>
          <w:p w14:paraId="19644933"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31 610</w:t>
            </w:r>
          </w:p>
        </w:tc>
        <w:tc>
          <w:tcPr>
            <w:tcW w:w="1084" w:type="pct"/>
            <w:shd w:val="clear" w:color="auto" w:fill="auto"/>
            <w:vAlign w:val="center"/>
            <w:hideMark/>
          </w:tcPr>
          <w:p w14:paraId="3758DAE8"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19,7</w:t>
            </w:r>
          </w:p>
        </w:tc>
      </w:tr>
      <w:tr w:rsidR="007278D9" w:rsidRPr="00DC3810" w14:paraId="6E516904" w14:textId="77777777" w:rsidTr="007278D9">
        <w:trPr>
          <w:trHeight w:val="300"/>
        </w:trPr>
        <w:tc>
          <w:tcPr>
            <w:tcW w:w="1744" w:type="pct"/>
            <w:shd w:val="clear" w:color="auto" w:fill="auto"/>
            <w:noWrap/>
            <w:vAlign w:val="bottom"/>
            <w:hideMark/>
          </w:tcPr>
          <w:p w14:paraId="3ECF3AB9"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Wielkopolskie</w:t>
            </w:r>
          </w:p>
        </w:tc>
        <w:tc>
          <w:tcPr>
            <w:tcW w:w="1087" w:type="pct"/>
            <w:shd w:val="clear" w:color="auto" w:fill="auto"/>
            <w:vAlign w:val="center"/>
            <w:hideMark/>
          </w:tcPr>
          <w:p w14:paraId="2F0C8EF2"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433 073</w:t>
            </w:r>
          </w:p>
        </w:tc>
        <w:tc>
          <w:tcPr>
            <w:tcW w:w="1085" w:type="pct"/>
            <w:shd w:val="clear" w:color="auto" w:fill="auto"/>
            <w:vAlign w:val="center"/>
            <w:hideMark/>
          </w:tcPr>
          <w:p w14:paraId="0FD49530"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70 070</w:t>
            </w:r>
          </w:p>
        </w:tc>
        <w:tc>
          <w:tcPr>
            <w:tcW w:w="1084" w:type="pct"/>
            <w:shd w:val="clear" w:color="auto" w:fill="auto"/>
            <w:vAlign w:val="center"/>
            <w:hideMark/>
          </w:tcPr>
          <w:p w14:paraId="696BF98C"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16,2</w:t>
            </w:r>
          </w:p>
        </w:tc>
      </w:tr>
      <w:tr w:rsidR="007278D9" w:rsidRPr="00DC3810" w14:paraId="725FEE1B" w14:textId="77777777" w:rsidTr="007278D9">
        <w:trPr>
          <w:trHeight w:val="300"/>
        </w:trPr>
        <w:tc>
          <w:tcPr>
            <w:tcW w:w="1744" w:type="pct"/>
            <w:shd w:val="clear" w:color="auto" w:fill="auto"/>
            <w:noWrap/>
            <w:vAlign w:val="bottom"/>
            <w:hideMark/>
          </w:tcPr>
          <w:p w14:paraId="4436B3A4" w14:textId="77777777" w:rsidR="007278D9" w:rsidRPr="00DC3810" w:rsidRDefault="007278D9" w:rsidP="007278D9">
            <w:pPr>
              <w:spacing w:after="0" w:line="240" w:lineRule="auto"/>
              <w:rPr>
                <w:rFonts w:ascii="Lato" w:eastAsia="Times New Roman" w:hAnsi="Lato" w:cs="Arial"/>
                <w:sz w:val="18"/>
                <w:szCs w:val="18"/>
                <w:lang w:eastAsia="pl-PL"/>
              </w:rPr>
            </w:pPr>
            <w:r w:rsidRPr="00DC3810">
              <w:rPr>
                <w:rFonts w:ascii="Lato" w:eastAsia="Times New Roman" w:hAnsi="Lato" w:cs="Arial"/>
                <w:sz w:val="18"/>
                <w:szCs w:val="18"/>
                <w:lang w:eastAsia="pl-PL"/>
              </w:rPr>
              <w:t>Zachodniopomorskie</w:t>
            </w:r>
          </w:p>
        </w:tc>
        <w:tc>
          <w:tcPr>
            <w:tcW w:w="1087" w:type="pct"/>
            <w:shd w:val="clear" w:color="auto" w:fill="auto"/>
            <w:vAlign w:val="center"/>
            <w:hideMark/>
          </w:tcPr>
          <w:p w14:paraId="019677B8"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176 406</w:t>
            </w:r>
          </w:p>
        </w:tc>
        <w:tc>
          <w:tcPr>
            <w:tcW w:w="1085" w:type="pct"/>
            <w:shd w:val="clear" w:color="auto" w:fill="auto"/>
            <w:vAlign w:val="center"/>
            <w:hideMark/>
          </w:tcPr>
          <w:p w14:paraId="047B78DB"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37 875</w:t>
            </w:r>
          </w:p>
        </w:tc>
        <w:tc>
          <w:tcPr>
            <w:tcW w:w="1084" w:type="pct"/>
            <w:shd w:val="clear" w:color="auto" w:fill="auto"/>
            <w:vAlign w:val="center"/>
            <w:hideMark/>
          </w:tcPr>
          <w:p w14:paraId="0FD82714" w14:textId="77777777" w:rsidR="007278D9" w:rsidRPr="00DC3810" w:rsidRDefault="007278D9" w:rsidP="007278D9">
            <w:pPr>
              <w:spacing w:after="0" w:line="240" w:lineRule="auto"/>
              <w:jc w:val="right"/>
              <w:rPr>
                <w:rFonts w:ascii="Lato" w:eastAsia="Times New Roman" w:hAnsi="Lato" w:cs="Arial"/>
                <w:sz w:val="18"/>
                <w:szCs w:val="18"/>
                <w:lang w:eastAsia="pl-PL"/>
              </w:rPr>
            </w:pPr>
            <w:r w:rsidRPr="00DC3810">
              <w:rPr>
                <w:rFonts w:ascii="Lato" w:eastAsia="Times New Roman" w:hAnsi="Lato" w:cs="Arial"/>
                <w:sz w:val="18"/>
                <w:szCs w:val="18"/>
                <w:lang w:eastAsia="pl-PL"/>
              </w:rPr>
              <w:t>21,5</w:t>
            </w:r>
          </w:p>
        </w:tc>
      </w:tr>
    </w:tbl>
    <w:p w14:paraId="1A69561A" w14:textId="5F746914" w:rsidR="007278D9" w:rsidRPr="004F5101" w:rsidRDefault="007278D9" w:rsidP="004F5101">
      <w:pPr>
        <w:spacing w:line="240" w:lineRule="auto"/>
        <w:rPr>
          <w:rFonts w:ascii="Lato" w:hAnsi="Lato"/>
          <w:sz w:val="16"/>
          <w:szCs w:val="16"/>
        </w:rPr>
      </w:pPr>
      <w:r w:rsidRPr="004F5101">
        <w:rPr>
          <w:rFonts w:ascii="Lato" w:hAnsi="Lato"/>
          <w:sz w:val="16"/>
          <w:szCs w:val="16"/>
        </w:rPr>
        <w:t>Źródło:  Badanie GUS (sprawozdanie K-03)</w:t>
      </w:r>
    </w:p>
    <w:p w14:paraId="22E9E13B" w14:textId="7AE928E1" w:rsidR="003A245A" w:rsidRPr="003A245A" w:rsidRDefault="003A245A" w:rsidP="004F5101">
      <w:pPr>
        <w:spacing w:after="0" w:line="240" w:lineRule="auto"/>
        <w:jc w:val="both"/>
        <w:rPr>
          <w:rFonts w:ascii="Lato" w:hAnsi="Lato" w:cs="Times New Roman"/>
          <w:sz w:val="20"/>
          <w:szCs w:val="20"/>
        </w:rPr>
      </w:pPr>
      <w:r w:rsidRPr="003A245A">
        <w:rPr>
          <w:rFonts w:ascii="Lato" w:hAnsi="Lato" w:cs="Times New Roman"/>
          <w:sz w:val="20"/>
          <w:szCs w:val="20"/>
        </w:rPr>
        <w:lastRenderedPageBreak/>
        <w:t xml:space="preserve">Osoby starsze mogą korzystać z różnorodnych form aktywności kulturalnej i artystycznej organizowanej przez instytucje kultury, organizacje pozarządowe, w tym UTW oraz szkoły artystyczne, a także innego typu organizacje i zrzeszenia, w tym chóry, orkiestry, zespoły muzyczne. </w:t>
      </w:r>
    </w:p>
    <w:p w14:paraId="5DD2402A" w14:textId="79CFA009" w:rsidR="003A245A" w:rsidRPr="003A245A" w:rsidRDefault="003A245A" w:rsidP="004F5101">
      <w:pPr>
        <w:spacing w:after="0" w:line="240" w:lineRule="auto"/>
        <w:jc w:val="both"/>
        <w:rPr>
          <w:rFonts w:ascii="Lato" w:hAnsi="Lato" w:cs="Times New Roman"/>
          <w:sz w:val="20"/>
          <w:szCs w:val="20"/>
        </w:rPr>
      </w:pPr>
    </w:p>
    <w:p w14:paraId="2D3B7A73" w14:textId="2D78C561" w:rsidR="003A245A" w:rsidRPr="003A245A" w:rsidRDefault="003A245A" w:rsidP="004F5101">
      <w:pPr>
        <w:spacing w:after="0" w:line="240" w:lineRule="auto"/>
        <w:jc w:val="both"/>
        <w:rPr>
          <w:rFonts w:ascii="Lato" w:hAnsi="Lato" w:cs="Times New Roman"/>
          <w:sz w:val="20"/>
          <w:szCs w:val="20"/>
        </w:rPr>
      </w:pPr>
      <w:r w:rsidRPr="003A245A">
        <w:rPr>
          <w:rFonts w:ascii="Lato" w:hAnsi="Lato"/>
          <w:sz w:val="20"/>
          <w:szCs w:val="20"/>
        </w:rPr>
        <w:t>Instytucje kultury, w ramach przygotowywania swojej oferty kulturalnej, realizują projekty przygotowane z myślą o seniorach lub ogólnodostępne, w których uczestniczy liczne grono osób starszych. Przy realizacji działań senioralnych placówki kultury współpracują zarówno ze stowarzyszeniami zrzeszającymi seniorów, ośrodkami opiekuńczymi, lokalnymi samorządami i administracją państwową.</w:t>
      </w:r>
    </w:p>
    <w:p w14:paraId="46731E6A" w14:textId="77777777" w:rsidR="00E57A39" w:rsidRPr="00E57A39" w:rsidRDefault="00E57A39" w:rsidP="00E57A39">
      <w:pPr>
        <w:spacing w:after="0"/>
        <w:jc w:val="both"/>
        <w:rPr>
          <w:rFonts w:ascii="Lato" w:hAnsi="Lato"/>
          <w:sz w:val="20"/>
          <w:szCs w:val="20"/>
        </w:rPr>
      </w:pPr>
    </w:p>
    <w:p w14:paraId="4784EAD4" w14:textId="3D7D2C2C" w:rsidR="007278D9" w:rsidRDefault="007278D9" w:rsidP="007278D9">
      <w:pPr>
        <w:pStyle w:val="Legenda"/>
        <w:keepNext/>
      </w:pPr>
      <w:bookmarkStart w:id="32" w:name="_Toc142565992"/>
      <w:r>
        <w:t xml:space="preserve">Tabela </w:t>
      </w:r>
      <w:fldSimple w:instr=" SEQ Tabela \* ARABIC ">
        <w:r w:rsidR="00AA385B">
          <w:rPr>
            <w:noProof/>
          </w:rPr>
          <w:t>27</w:t>
        </w:r>
      </w:fldSimple>
      <w:r>
        <w:t xml:space="preserve"> Osoby uczestniczące w formach aktywności kulturalnej organizowanych przez domy, ośrodki i centra kultury, kluby i świetlice w 2022 r.</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4"/>
        <w:gridCol w:w="990"/>
        <w:gridCol w:w="1053"/>
        <w:gridCol w:w="1053"/>
        <w:gridCol w:w="1053"/>
        <w:gridCol w:w="1053"/>
        <w:gridCol w:w="1053"/>
        <w:gridCol w:w="1053"/>
      </w:tblGrid>
      <w:tr w:rsidR="007278D9" w:rsidRPr="0019609D" w14:paraId="2A995409" w14:textId="77777777" w:rsidTr="0019609D">
        <w:trPr>
          <w:trHeight w:val="402"/>
        </w:trPr>
        <w:tc>
          <w:tcPr>
            <w:tcW w:w="1514" w:type="pct"/>
            <w:gridSpan w:val="2"/>
            <w:vMerge w:val="restart"/>
            <w:shd w:val="clear" w:color="auto" w:fill="8EAADB" w:themeFill="accent1" w:themeFillTint="99"/>
            <w:noWrap/>
            <w:vAlign w:val="center"/>
            <w:hideMark/>
          </w:tcPr>
          <w:p w14:paraId="7FE9360A"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Wyszczególnienie</w:t>
            </w:r>
          </w:p>
        </w:tc>
        <w:tc>
          <w:tcPr>
            <w:tcW w:w="581" w:type="pct"/>
            <w:vMerge w:val="restart"/>
            <w:shd w:val="clear" w:color="auto" w:fill="8EAADB" w:themeFill="accent1" w:themeFillTint="99"/>
            <w:vAlign w:val="center"/>
            <w:hideMark/>
          </w:tcPr>
          <w:p w14:paraId="30CB2A33"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Ogółem</w:t>
            </w:r>
          </w:p>
        </w:tc>
        <w:tc>
          <w:tcPr>
            <w:tcW w:w="581" w:type="pct"/>
            <w:vMerge w:val="restart"/>
            <w:shd w:val="clear" w:color="auto" w:fill="8EAADB" w:themeFill="accent1" w:themeFillTint="99"/>
            <w:vAlign w:val="center"/>
            <w:hideMark/>
          </w:tcPr>
          <w:p w14:paraId="7D1EB712"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Miasta</w:t>
            </w:r>
          </w:p>
        </w:tc>
        <w:tc>
          <w:tcPr>
            <w:tcW w:w="581" w:type="pct"/>
            <w:vMerge w:val="restart"/>
            <w:shd w:val="clear" w:color="auto" w:fill="8EAADB" w:themeFill="accent1" w:themeFillTint="99"/>
            <w:vAlign w:val="center"/>
            <w:hideMark/>
          </w:tcPr>
          <w:p w14:paraId="1E6237DC"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Wieś</w:t>
            </w:r>
          </w:p>
        </w:tc>
        <w:tc>
          <w:tcPr>
            <w:tcW w:w="1743" w:type="pct"/>
            <w:gridSpan w:val="3"/>
            <w:shd w:val="clear" w:color="auto" w:fill="8EAADB" w:themeFill="accent1" w:themeFillTint="99"/>
            <w:vAlign w:val="center"/>
            <w:hideMark/>
          </w:tcPr>
          <w:p w14:paraId="3905B263"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Z  ogółem osoby powyżej 60 lat</w:t>
            </w:r>
          </w:p>
        </w:tc>
      </w:tr>
      <w:tr w:rsidR="007278D9" w:rsidRPr="0019609D" w14:paraId="72EEF08B" w14:textId="77777777" w:rsidTr="0019609D">
        <w:trPr>
          <w:trHeight w:val="399"/>
        </w:trPr>
        <w:tc>
          <w:tcPr>
            <w:tcW w:w="1514" w:type="pct"/>
            <w:gridSpan w:val="2"/>
            <w:vMerge/>
            <w:shd w:val="clear" w:color="auto" w:fill="8EAADB" w:themeFill="accent1" w:themeFillTint="99"/>
            <w:vAlign w:val="center"/>
            <w:hideMark/>
          </w:tcPr>
          <w:p w14:paraId="5739AF77"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vMerge/>
            <w:shd w:val="clear" w:color="auto" w:fill="8EAADB" w:themeFill="accent1" w:themeFillTint="99"/>
            <w:vAlign w:val="center"/>
            <w:hideMark/>
          </w:tcPr>
          <w:p w14:paraId="5B0D4C09"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vMerge/>
            <w:shd w:val="clear" w:color="auto" w:fill="8EAADB" w:themeFill="accent1" w:themeFillTint="99"/>
            <w:vAlign w:val="center"/>
            <w:hideMark/>
          </w:tcPr>
          <w:p w14:paraId="282ACD03"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vMerge/>
            <w:shd w:val="clear" w:color="auto" w:fill="8EAADB" w:themeFill="accent1" w:themeFillTint="99"/>
            <w:vAlign w:val="center"/>
            <w:hideMark/>
          </w:tcPr>
          <w:p w14:paraId="0D07BA78"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shd w:val="clear" w:color="auto" w:fill="8EAADB" w:themeFill="accent1" w:themeFillTint="99"/>
            <w:vAlign w:val="center"/>
            <w:hideMark/>
          </w:tcPr>
          <w:p w14:paraId="7C8940EB"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razem</w:t>
            </w:r>
          </w:p>
        </w:tc>
        <w:tc>
          <w:tcPr>
            <w:tcW w:w="581" w:type="pct"/>
            <w:shd w:val="clear" w:color="auto" w:fill="8EAADB" w:themeFill="accent1" w:themeFillTint="99"/>
            <w:vAlign w:val="center"/>
            <w:hideMark/>
          </w:tcPr>
          <w:p w14:paraId="388C6178"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miasta</w:t>
            </w:r>
          </w:p>
        </w:tc>
        <w:tc>
          <w:tcPr>
            <w:tcW w:w="582" w:type="pct"/>
            <w:shd w:val="clear" w:color="auto" w:fill="8EAADB" w:themeFill="accent1" w:themeFillTint="99"/>
            <w:vAlign w:val="center"/>
            <w:hideMark/>
          </w:tcPr>
          <w:p w14:paraId="7C841A39"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wieś</w:t>
            </w:r>
          </w:p>
        </w:tc>
      </w:tr>
      <w:tr w:rsidR="007278D9" w:rsidRPr="0019609D" w14:paraId="2FABA4AC" w14:textId="77777777" w:rsidTr="007278D9">
        <w:trPr>
          <w:trHeight w:val="402"/>
        </w:trPr>
        <w:tc>
          <w:tcPr>
            <w:tcW w:w="5000" w:type="pct"/>
            <w:gridSpan w:val="8"/>
            <w:shd w:val="clear" w:color="auto" w:fill="auto"/>
            <w:noWrap/>
            <w:vAlign w:val="center"/>
            <w:hideMark/>
          </w:tcPr>
          <w:p w14:paraId="538EFDCE" w14:textId="77777777" w:rsidR="007278D9" w:rsidRPr="0019609D" w:rsidRDefault="007278D9" w:rsidP="007278D9">
            <w:pPr>
              <w:spacing w:after="0" w:line="240" w:lineRule="auto"/>
              <w:jc w:val="center"/>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Członkowie grup artystycznych w domach, ośrodkach i centrach kultury, klubach i świetlicach</w:t>
            </w:r>
          </w:p>
        </w:tc>
      </w:tr>
      <w:tr w:rsidR="007278D9" w:rsidRPr="0019609D" w14:paraId="300E5224" w14:textId="77777777" w:rsidTr="007278D9">
        <w:trPr>
          <w:trHeight w:val="300"/>
        </w:trPr>
        <w:tc>
          <w:tcPr>
            <w:tcW w:w="1514" w:type="pct"/>
            <w:gridSpan w:val="2"/>
            <w:shd w:val="clear" w:color="auto" w:fill="auto"/>
            <w:vAlign w:val="center"/>
            <w:hideMark/>
          </w:tcPr>
          <w:p w14:paraId="66D9365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Ogółem</w:t>
            </w:r>
          </w:p>
        </w:tc>
        <w:tc>
          <w:tcPr>
            <w:tcW w:w="581" w:type="pct"/>
            <w:shd w:val="clear" w:color="auto" w:fill="auto"/>
            <w:noWrap/>
            <w:vAlign w:val="center"/>
            <w:hideMark/>
          </w:tcPr>
          <w:p w14:paraId="3606C255"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241 432</w:t>
            </w:r>
          </w:p>
        </w:tc>
        <w:tc>
          <w:tcPr>
            <w:tcW w:w="581" w:type="pct"/>
            <w:shd w:val="clear" w:color="auto" w:fill="auto"/>
            <w:noWrap/>
            <w:vAlign w:val="center"/>
            <w:hideMark/>
          </w:tcPr>
          <w:p w14:paraId="3C5A1417"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146 457</w:t>
            </w:r>
          </w:p>
        </w:tc>
        <w:tc>
          <w:tcPr>
            <w:tcW w:w="581" w:type="pct"/>
            <w:shd w:val="clear" w:color="auto" w:fill="auto"/>
            <w:noWrap/>
            <w:vAlign w:val="center"/>
            <w:hideMark/>
          </w:tcPr>
          <w:p w14:paraId="66C18EB2"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94 975</w:t>
            </w:r>
          </w:p>
        </w:tc>
        <w:tc>
          <w:tcPr>
            <w:tcW w:w="581" w:type="pct"/>
            <w:shd w:val="clear" w:color="auto" w:fill="auto"/>
            <w:noWrap/>
            <w:vAlign w:val="center"/>
            <w:hideMark/>
          </w:tcPr>
          <w:p w14:paraId="2A8C226D"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50 449</w:t>
            </w:r>
          </w:p>
        </w:tc>
        <w:tc>
          <w:tcPr>
            <w:tcW w:w="581" w:type="pct"/>
            <w:shd w:val="clear" w:color="auto" w:fill="auto"/>
            <w:noWrap/>
            <w:vAlign w:val="center"/>
            <w:hideMark/>
          </w:tcPr>
          <w:p w14:paraId="5D116851"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29 103</w:t>
            </w:r>
          </w:p>
        </w:tc>
        <w:tc>
          <w:tcPr>
            <w:tcW w:w="582" w:type="pct"/>
            <w:shd w:val="clear" w:color="auto" w:fill="auto"/>
            <w:noWrap/>
            <w:vAlign w:val="center"/>
            <w:hideMark/>
          </w:tcPr>
          <w:p w14:paraId="7FDBD885"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21 346</w:t>
            </w:r>
          </w:p>
        </w:tc>
      </w:tr>
      <w:tr w:rsidR="007278D9" w:rsidRPr="0019609D" w14:paraId="75DCD3E2" w14:textId="77777777" w:rsidTr="007278D9">
        <w:trPr>
          <w:trHeight w:val="300"/>
        </w:trPr>
        <w:tc>
          <w:tcPr>
            <w:tcW w:w="968" w:type="pct"/>
            <w:shd w:val="clear" w:color="auto" w:fill="auto"/>
            <w:vAlign w:val="center"/>
            <w:hideMark/>
          </w:tcPr>
          <w:p w14:paraId="3071F13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w tym:</w:t>
            </w:r>
          </w:p>
        </w:tc>
        <w:tc>
          <w:tcPr>
            <w:tcW w:w="545" w:type="pct"/>
            <w:shd w:val="clear" w:color="auto" w:fill="auto"/>
            <w:vAlign w:val="center"/>
            <w:hideMark/>
          </w:tcPr>
          <w:p w14:paraId="1E4099E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w:t>
            </w:r>
          </w:p>
        </w:tc>
        <w:tc>
          <w:tcPr>
            <w:tcW w:w="581" w:type="pct"/>
            <w:shd w:val="clear" w:color="auto" w:fill="auto"/>
            <w:noWrap/>
            <w:vAlign w:val="bottom"/>
            <w:hideMark/>
          </w:tcPr>
          <w:p w14:paraId="2F5D56F0"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shd w:val="clear" w:color="auto" w:fill="auto"/>
            <w:noWrap/>
            <w:vAlign w:val="bottom"/>
            <w:hideMark/>
          </w:tcPr>
          <w:p w14:paraId="2ADD001E"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7B5A4AF3"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51FA3421"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06AEA68A"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2" w:type="pct"/>
            <w:shd w:val="clear" w:color="auto" w:fill="auto"/>
            <w:noWrap/>
            <w:vAlign w:val="bottom"/>
            <w:hideMark/>
          </w:tcPr>
          <w:p w14:paraId="7537B9B9" w14:textId="77777777" w:rsidR="007278D9" w:rsidRPr="0019609D" w:rsidRDefault="007278D9" w:rsidP="007278D9">
            <w:pPr>
              <w:spacing w:after="0" w:line="240" w:lineRule="auto"/>
              <w:rPr>
                <w:rFonts w:ascii="Lato" w:eastAsia="Times New Roman" w:hAnsi="Lato" w:cs="Times New Roman"/>
                <w:sz w:val="20"/>
                <w:szCs w:val="20"/>
                <w:lang w:eastAsia="pl-PL"/>
              </w:rPr>
            </w:pPr>
          </w:p>
        </w:tc>
      </w:tr>
      <w:tr w:rsidR="007278D9" w:rsidRPr="0019609D" w14:paraId="2654F51C" w14:textId="77777777" w:rsidTr="007278D9">
        <w:trPr>
          <w:trHeight w:val="300"/>
        </w:trPr>
        <w:tc>
          <w:tcPr>
            <w:tcW w:w="1514" w:type="pct"/>
            <w:gridSpan w:val="2"/>
            <w:shd w:val="clear" w:color="auto" w:fill="auto"/>
            <w:vAlign w:val="center"/>
            <w:hideMark/>
          </w:tcPr>
          <w:p w14:paraId="33B971AC"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teatralnych</w:t>
            </w:r>
          </w:p>
        </w:tc>
        <w:tc>
          <w:tcPr>
            <w:tcW w:w="581" w:type="pct"/>
            <w:shd w:val="clear" w:color="auto" w:fill="auto"/>
            <w:vAlign w:val="center"/>
            <w:hideMark/>
          </w:tcPr>
          <w:p w14:paraId="6C4AB4F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24 195</w:t>
            </w:r>
          </w:p>
        </w:tc>
        <w:tc>
          <w:tcPr>
            <w:tcW w:w="581" w:type="pct"/>
            <w:shd w:val="clear" w:color="auto" w:fill="auto"/>
            <w:vAlign w:val="center"/>
            <w:hideMark/>
          </w:tcPr>
          <w:p w14:paraId="090D4D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16 106</w:t>
            </w:r>
          </w:p>
        </w:tc>
        <w:tc>
          <w:tcPr>
            <w:tcW w:w="581" w:type="pct"/>
            <w:shd w:val="clear" w:color="auto" w:fill="auto"/>
            <w:vAlign w:val="center"/>
            <w:hideMark/>
          </w:tcPr>
          <w:p w14:paraId="5E681AE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8 089</w:t>
            </w:r>
          </w:p>
        </w:tc>
        <w:tc>
          <w:tcPr>
            <w:tcW w:w="581" w:type="pct"/>
            <w:shd w:val="clear" w:color="auto" w:fill="auto"/>
            <w:vAlign w:val="center"/>
            <w:hideMark/>
          </w:tcPr>
          <w:p w14:paraId="5ADC6AE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4 061</w:t>
            </w:r>
          </w:p>
        </w:tc>
        <w:tc>
          <w:tcPr>
            <w:tcW w:w="581" w:type="pct"/>
            <w:shd w:val="clear" w:color="auto" w:fill="auto"/>
            <w:vAlign w:val="center"/>
            <w:hideMark/>
          </w:tcPr>
          <w:p w14:paraId="54FE041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2 712</w:t>
            </w:r>
          </w:p>
        </w:tc>
        <w:tc>
          <w:tcPr>
            <w:tcW w:w="582" w:type="pct"/>
            <w:shd w:val="clear" w:color="auto" w:fill="auto"/>
            <w:vAlign w:val="center"/>
            <w:hideMark/>
          </w:tcPr>
          <w:p w14:paraId="2FF0074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1 349</w:t>
            </w:r>
          </w:p>
        </w:tc>
      </w:tr>
      <w:tr w:rsidR="007278D9" w:rsidRPr="0019609D" w14:paraId="67BFDC41" w14:textId="77777777" w:rsidTr="007278D9">
        <w:trPr>
          <w:trHeight w:val="300"/>
        </w:trPr>
        <w:tc>
          <w:tcPr>
            <w:tcW w:w="1514" w:type="pct"/>
            <w:gridSpan w:val="2"/>
            <w:shd w:val="clear" w:color="auto" w:fill="auto"/>
            <w:vAlign w:val="center"/>
            <w:hideMark/>
          </w:tcPr>
          <w:p w14:paraId="244BE85F"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muzycznych - instrumentalnych</w:t>
            </w:r>
          </w:p>
        </w:tc>
        <w:tc>
          <w:tcPr>
            <w:tcW w:w="581" w:type="pct"/>
            <w:shd w:val="clear" w:color="auto" w:fill="auto"/>
            <w:vAlign w:val="center"/>
            <w:hideMark/>
          </w:tcPr>
          <w:p w14:paraId="0F1E5D0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37 155</w:t>
            </w:r>
          </w:p>
        </w:tc>
        <w:tc>
          <w:tcPr>
            <w:tcW w:w="581" w:type="pct"/>
            <w:shd w:val="clear" w:color="auto" w:fill="auto"/>
            <w:vAlign w:val="center"/>
            <w:hideMark/>
          </w:tcPr>
          <w:p w14:paraId="1AE2B6B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20 752</w:t>
            </w:r>
          </w:p>
        </w:tc>
        <w:tc>
          <w:tcPr>
            <w:tcW w:w="581" w:type="pct"/>
            <w:shd w:val="clear" w:color="auto" w:fill="auto"/>
            <w:vAlign w:val="center"/>
            <w:hideMark/>
          </w:tcPr>
          <w:p w14:paraId="0687A18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16 403</w:t>
            </w:r>
          </w:p>
        </w:tc>
        <w:tc>
          <w:tcPr>
            <w:tcW w:w="581" w:type="pct"/>
            <w:shd w:val="clear" w:color="auto" w:fill="auto"/>
            <w:vAlign w:val="center"/>
            <w:hideMark/>
          </w:tcPr>
          <w:p w14:paraId="1C4BBFB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4 194</w:t>
            </w:r>
          </w:p>
        </w:tc>
        <w:tc>
          <w:tcPr>
            <w:tcW w:w="581" w:type="pct"/>
            <w:shd w:val="clear" w:color="auto" w:fill="auto"/>
            <w:vAlign w:val="center"/>
            <w:hideMark/>
          </w:tcPr>
          <w:p w14:paraId="2106678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2 541</w:t>
            </w:r>
          </w:p>
        </w:tc>
        <w:tc>
          <w:tcPr>
            <w:tcW w:w="582" w:type="pct"/>
            <w:shd w:val="clear" w:color="auto" w:fill="auto"/>
            <w:vAlign w:val="center"/>
            <w:hideMark/>
          </w:tcPr>
          <w:p w14:paraId="0DBEB20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1 653</w:t>
            </w:r>
          </w:p>
        </w:tc>
      </w:tr>
      <w:tr w:rsidR="007278D9" w:rsidRPr="0019609D" w14:paraId="6141EA0A" w14:textId="77777777" w:rsidTr="007278D9">
        <w:trPr>
          <w:trHeight w:val="300"/>
        </w:trPr>
        <w:tc>
          <w:tcPr>
            <w:tcW w:w="1514" w:type="pct"/>
            <w:gridSpan w:val="2"/>
            <w:shd w:val="clear" w:color="auto" w:fill="auto"/>
            <w:vAlign w:val="center"/>
            <w:hideMark/>
          </w:tcPr>
          <w:p w14:paraId="4671882C"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wokalnych i chórów</w:t>
            </w:r>
          </w:p>
        </w:tc>
        <w:tc>
          <w:tcPr>
            <w:tcW w:w="581" w:type="pct"/>
            <w:shd w:val="clear" w:color="auto" w:fill="auto"/>
            <w:vAlign w:val="center"/>
            <w:hideMark/>
          </w:tcPr>
          <w:p w14:paraId="0C81E2A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45 870</w:t>
            </w:r>
          </w:p>
        </w:tc>
        <w:tc>
          <w:tcPr>
            <w:tcW w:w="581" w:type="pct"/>
            <w:shd w:val="clear" w:color="auto" w:fill="auto"/>
            <w:vAlign w:val="center"/>
            <w:hideMark/>
          </w:tcPr>
          <w:p w14:paraId="6DE1761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29 337</w:t>
            </w:r>
          </w:p>
        </w:tc>
        <w:tc>
          <w:tcPr>
            <w:tcW w:w="581" w:type="pct"/>
            <w:shd w:val="clear" w:color="auto" w:fill="auto"/>
            <w:vAlign w:val="center"/>
            <w:hideMark/>
          </w:tcPr>
          <w:p w14:paraId="7D7B29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16 533</w:t>
            </w:r>
          </w:p>
        </w:tc>
        <w:tc>
          <w:tcPr>
            <w:tcW w:w="581" w:type="pct"/>
            <w:shd w:val="clear" w:color="auto" w:fill="auto"/>
            <w:vAlign w:val="center"/>
            <w:hideMark/>
          </w:tcPr>
          <w:p w14:paraId="78F94CB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18 486</w:t>
            </w:r>
          </w:p>
        </w:tc>
        <w:tc>
          <w:tcPr>
            <w:tcW w:w="581" w:type="pct"/>
            <w:shd w:val="clear" w:color="auto" w:fill="auto"/>
            <w:vAlign w:val="center"/>
            <w:hideMark/>
          </w:tcPr>
          <w:p w14:paraId="0F012E7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11 828</w:t>
            </w:r>
          </w:p>
        </w:tc>
        <w:tc>
          <w:tcPr>
            <w:tcW w:w="582" w:type="pct"/>
            <w:shd w:val="clear" w:color="auto" w:fill="auto"/>
            <w:vAlign w:val="center"/>
            <w:hideMark/>
          </w:tcPr>
          <w:p w14:paraId="3B5FB22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6 658</w:t>
            </w:r>
          </w:p>
        </w:tc>
      </w:tr>
      <w:tr w:rsidR="007278D9" w:rsidRPr="0019609D" w14:paraId="1128FF30" w14:textId="77777777" w:rsidTr="007278D9">
        <w:trPr>
          <w:trHeight w:val="300"/>
        </w:trPr>
        <w:tc>
          <w:tcPr>
            <w:tcW w:w="1514" w:type="pct"/>
            <w:gridSpan w:val="2"/>
            <w:shd w:val="clear" w:color="auto" w:fill="auto"/>
            <w:vAlign w:val="center"/>
            <w:hideMark/>
          </w:tcPr>
          <w:p w14:paraId="38BC6F1B"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folklorystycznych</w:t>
            </w:r>
          </w:p>
        </w:tc>
        <w:tc>
          <w:tcPr>
            <w:tcW w:w="581" w:type="pct"/>
            <w:shd w:val="clear" w:color="auto" w:fill="auto"/>
            <w:vAlign w:val="center"/>
            <w:hideMark/>
          </w:tcPr>
          <w:p w14:paraId="2FFF20B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50 625</w:t>
            </w:r>
          </w:p>
        </w:tc>
        <w:tc>
          <w:tcPr>
            <w:tcW w:w="581" w:type="pct"/>
            <w:shd w:val="clear" w:color="auto" w:fill="auto"/>
            <w:vAlign w:val="center"/>
            <w:hideMark/>
          </w:tcPr>
          <w:p w14:paraId="6998133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22 439</w:t>
            </w:r>
          </w:p>
        </w:tc>
        <w:tc>
          <w:tcPr>
            <w:tcW w:w="581" w:type="pct"/>
            <w:shd w:val="clear" w:color="auto" w:fill="auto"/>
            <w:vAlign w:val="center"/>
            <w:hideMark/>
          </w:tcPr>
          <w:p w14:paraId="0A26A21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28 186</w:t>
            </w:r>
          </w:p>
        </w:tc>
        <w:tc>
          <w:tcPr>
            <w:tcW w:w="581" w:type="pct"/>
            <w:shd w:val="clear" w:color="auto" w:fill="auto"/>
            <w:vAlign w:val="center"/>
            <w:hideMark/>
          </w:tcPr>
          <w:p w14:paraId="0725162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17 696</w:t>
            </w:r>
          </w:p>
        </w:tc>
        <w:tc>
          <w:tcPr>
            <w:tcW w:w="581" w:type="pct"/>
            <w:shd w:val="clear" w:color="auto" w:fill="auto"/>
            <w:vAlign w:val="center"/>
            <w:hideMark/>
          </w:tcPr>
          <w:p w14:paraId="34CFF98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7 278</w:t>
            </w:r>
          </w:p>
        </w:tc>
        <w:tc>
          <w:tcPr>
            <w:tcW w:w="582" w:type="pct"/>
            <w:shd w:val="clear" w:color="auto" w:fill="auto"/>
            <w:vAlign w:val="center"/>
            <w:hideMark/>
          </w:tcPr>
          <w:p w14:paraId="29A3EF8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10 418</w:t>
            </w:r>
          </w:p>
        </w:tc>
      </w:tr>
      <w:tr w:rsidR="007278D9" w:rsidRPr="0019609D" w14:paraId="50D874AE" w14:textId="77777777" w:rsidTr="007278D9">
        <w:trPr>
          <w:trHeight w:val="300"/>
        </w:trPr>
        <w:tc>
          <w:tcPr>
            <w:tcW w:w="1514" w:type="pct"/>
            <w:gridSpan w:val="2"/>
            <w:shd w:val="clear" w:color="auto" w:fill="auto"/>
            <w:vAlign w:val="center"/>
            <w:hideMark/>
          </w:tcPr>
          <w:p w14:paraId="6CD2928D"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tanecznych</w:t>
            </w:r>
          </w:p>
        </w:tc>
        <w:tc>
          <w:tcPr>
            <w:tcW w:w="581" w:type="pct"/>
            <w:shd w:val="clear" w:color="auto" w:fill="auto"/>
            <w:vAlign w:val="center"/>
            <w:hideMark/>
          </w:tcPr>
          <w:p w14:paraId="654D1B5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72 032</w:t>
            </w:r>
          </w:p>
        </w:tc>
        <w:tc>
          <w:tcPr>
            <w:tcW w:w="581" w:type="pct"/>
            <w:shd w:val="clear" w:color="auto" w:fill="auto"/>
            <w:vAlign w:val="center"/>
            <w:hideMark/>
          </w:tcPr>
          <w:p w14:paraId="5A1DC21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49 715</w:t>
            </w:r>
          </w:p>
        </w:tc>
        <w:tc>
          <w:tcPr>
            <w:tcW w:w="581" w:type="pct"/>
            <w:shd w:val="clear" w:color="auto" w:fill="auto"/>
            <w:vAlign w:val="center"/>
            <w:hideMark/>
          </w:tcPr>
          <w:p w14:paraId="42AB2FF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22 317</w:t>
            </w:r>
          </w:p>
        </w:tc>
        <w:tc>
          <w:tcPr>
            <w:tcW w:w="581" w:type="pct"/>
            <w:shd w:val="clear" w:color="auto" w:fill="auto"/>
            <w:vAlign w:val="center"/>
            <w:hideMark/>
          </w:tcPr>
          <w:p w14:paraId="3C5BE12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3 521</w:t>
            </w:r>
          </w:p>
        </w:tc>
        <w:tc>
          <w:tcPr>
            <w:tcW w:w="581" w:type="pct"/>
            <w:shd w:val="clear" w:color="auto" w:fill="auto"/>
            <w:vAlign w:val="center"/>
            <w:hideMark/>
          </w:tcPr>
          <w:p w14:paraId="2BD8BD5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3 029</w:t>
            </w:r>
          </w:p>
        </w:tc>
        <w:tc>
          <w:tcPr>
            <w:tcW w:w="582" w:type="pct"/>
            <w:shd w:val="clear" w:color="auto" w:fill="auto"/>
            <w:vAlign w:val="center"/>
            <w:hideMark/>
          </w:tcPr>
          <w:p w14:paraId="34E504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492</w:t>
            </w:r>
          </w:p>
        </w:tc>
      </w:tr>
      <w:tr w:rsidR="007278D9" w:rsidRPr="0019609D" w14:paraId="16170D72" w14:textId="77777777" w:rsidTr="007278D9">
        <w:trPr>
          <w:trHeight w:val="399"/>
        </w:trPr>
        <w:tc>
          <w:tcPr>
            <w:tcW w:w="5000" w:type="pct"/>
            <w:gridSpan w:val="8"/>
            <w:shd w:val="clear" w:color="auto" w:fill="auto"/>
            <w:noWrap/>
            <w:vAlign w:val="center"/>
            <w:hideMark/>
          </w:tcPr>
          <w:p w14:paraId="1B0125E2" w14:textId="77777777" w:rsidR="007278D9" w:rsidRPr="0019609D" w:rsidRDefault="007278D9" w:rsidP="007278D9">
            <w:pPr>
              <w:spacing w:after="0" w:line="240" w:lineRule="auto"/>
              <w:jc w:val="center"/>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Członkowie kół/klubów/sekcji w domach, ośrodkach i centrach kultury, klubach i świetlicach</w:t>
            </w:r>
          </w:p>
        </w:tc>
      </w:tr>
      <w:tr w:rsidR="007278D9" w:rsidRPr="0019609D" w14:paraId="616343B4" w14:textId="77777777" w:rsidTr="007278D9">
        <w:trPr>
          <w:trHeight w:val="300"/>
        </w:trPr>
        <w:tc>
          <w:tcPr>
            <w:tcW w:w="1514" w:type="pct"/>
            <w:gridSpan w:val="2"/>
            <w:shd w:val="clear" w:color="auto" w:fill="auto"/>
            <w:vAlign w:val="center"/>
            <w:hideMark/>
          </w:tcPr>
          <w:p w14:paraId="0D6B86B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Ogółem</w:t>
            </w:r>
          </w:p>
        </w:tc>
        <w:tc>
          <w:tcPr>
            <w:tcW w:w="581" w:type="pct"/>
            <w:shd w:val="clear" w:color="auto" w:fill="auto"/>
            <w:noWrap/>
            <w:vAlign w:val="center"/>
            <w:hideMark/>
          </w:tcPr>
          <w:p w14:paraId="711AD138"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454 999</w:t>
            </w:r>
          </w:p>
        </w:tc>
        <w:tc>
          <w:tcPr>
            <w:tcW w:w="581" w:type="pct"/>
            <w:shd w:val="clear" w:color="auto" w:fill="auto"/>
            <w:noWrap/>
            <w:vAlign w:val="center"/>
            <w:hideMark/>
          </w:tcPr>
          <w:p w14:paraId="2CD955E5"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332 241</w:t>
            </w:r>
          </w:p>
        </w:tc>
        <w:tc>
          <w:tcPr>
            <w:tcW w:w="581" w:type="pct"/>
            <w:shd w:val="clear" w:color="auto" w:fill="auto"/>
            <w:noWrap/>
            <w:vAlign w:val="center"/>
            <w:hideMark/>
          </w:tcPr>
          <w:p w14:paraId="28C0F21B"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122 758</w:t>
            </w:r>
          </w:p>
        </w:tc>
        <w:tc>
          <w:tcPr>
            <w:tcW w:w="581" w:type="pct"/>
            <w:shd w:val="clear" w:color="auto" w:fill="auto"/>
            <w:noWrap/>
            <w:vAlign w:val="center"/>
            <w:hideMark/>
          </w:tcPr>
          <w:p w14:paraId="0D14CD54"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151 077</w:t>
            </w:r>
          </w:p>
        </w:tc>
        <w:tc>
          <w:tcPr>
            <w:tcW w:w="581" w:type="pct"/>
            <w:shd w:val="clear" w:color="auto" w:fill="auto"/>
            <w:noWrap/>
            <w:vAlign w:val="center"/>
            <w:hideMark/>
          </w:tcPr>
          <w:p w14:paraId="7215C8FC"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116 097</w:t>
            </w:r>
          </w:p>
        </w:tc>
        <w:tc>
          <w:tcPr>
            <w:tcW w:w="582" w:type="pct"/>
            <w:shd w:val="clear" w:color="auto" w:fill="auto"/>
            <w:noWrap/>
            <w:vAlign w:val="center"/>
            <w:hideMark/>
          </w:tcPr>
          <w:p w14:paraId="48CC5199"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34 980</w:t>
            </w:r>
          </w:p>
        </w:tc>
      </w:tr>
      <w:tr w:rsidR="007278D9" w:rsidRPr="0019609D" w14:paraId="5379FE65" w14:textId="77777777" w:rsidTr="007278D9">
        <w:trPr>
          <w:trHeight w:val="300"/>
        </w:trPr>
        <w:tc>
          <w:tcPr>
            <w:tcW w:w="968" w:type="pct"/>
            <w:shd w:val="clear" w:color="auto" w:fill="auto"/>
            <w:vAlign w:val="center"/>
            <w:hideMark/>
          </w:tcPr>
          <w:p w14:paraId="38294A86"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w tym:</w:t>
            </w:r>
          </w:p>
        </w:tc>
        <w:tc>
          <w:tcPr>
            <w:tcW w:w="545" w:type="pct"/>
            <w:shd w:val="clear" w:color="auto" w:fill="auto"/>
            <w:vAlign w:val="center"/>
            <w:hideMark/>
          </w:tcPr>
          <w:p w14:paraId="231CD35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w:t>
            </w:r>
          </w:p>
        </w:tc>
        <w:tc>
          <w:tcPr>
            <w:tcW w:w="581" w:type="pct"/>
            <w:shd w:val="clear" w:color="auto" w:fill="auto"/>
            <w:noWrap/>
            <w:vAlign w:val="bottom"/>
            <w:hideMark/>
          </w:tcPr>
          <w:p w14:paraId="23E58B13"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shd w:val="clear" w:color="auto" w:fill="auto"/>
            <w:noWrap/>
            <w:vAlign w:val="bottom"/>
            <w:hideMark/>
          </w:tcPr>
          <w:p w14:paraId="38152E25"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1F981DE8"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29C0064E"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46BE9A94"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2" w:type="pct"/>
            <w:shd w:val="clear" w:color="auto" w:fill="auto"/>
            <w:noWrap/>
            <w:vAlign w:val="bottom"/>
            <w:hideMark/>
          </w:tcPr>
          <w:p w14:paraId="193CFB1B" w14:textId="77777777" w:rsidR="007278D9" w:rsidRPr="0019609D" w:rsidRDefault="007278D9" w:rsidP="007278D9">
            <w:pPr>
              <w:spacing w:after="0" w:line="240" w:lineRule="auto"/>
              <w:rPr>
                <w:rFonts w:ascii="Lato" w:eastAsia="Times New Roman" w:hAnsi="Lato" w:cs="Times New Roman"/>
                <w:sz w:val="20"/>
                <w:szCs w:val="20"/>
                <w:lang w:eastAsia="pl-PL"/>
              </w:rPr>
            </w:pPr>
          </w:p>
        </w:tc>
      </w:tr>
      <w:tr w:rsidR="007278D9" w:rsidRPr="0019609D" w14:paraId="732D36DD" w14:textId="77777777" w:rsidTr="007278D9">
        <w:trPr>
          <w:trHeight w:val="300"/>
        </w:trPr>
        <w:tc>
          <w:tcPr>
            <w:tcW w:w="1514" w:type="pct"/>
            <w:gridSpan w:val="2"/>
            <w:shd w:val="clear" w:color="auto" w:fill="auto"/>
            <w:vAlign w:val="center"/>
            <w:hideMark/>
          </w:tcPr>
          <w:p w14:paraId="0A213C64"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plastycznych/ technicznych</w:t>
            </w:r>
          </w:p>
        </w:tc>
        <w:tc>
          <w:tcPr>
            <w:tcW w:w="581" w:type="pct"/>
            <w:shd w:val="clear" w:color="auto" w:fill="auto"/>
            <w:vAlign w:val="center"/>
            <w:hideMark/>
          </w:tcPr>
          <w:p w14:paraId="381677A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95 104</w:t>
            </w:r>
          </w:p>
        </w:tc>
        <w:tc>
          <w:tcPr>
            <w:tcW w:w="581" w:type="pct"/>
            <w:shd w:val="clear" w:color="auto" w:fill="auto"/>
            <w:vAlign w:val="center"/>
            <w:hideMark/>
          </w:tcPr>
          <w:p w14:paraId="50FA469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65 592</w:t>
            </w:r>
          </w:p>
        </w:tc>
        <w:tc>
          <w:tcPr>
            <w:tcW w:w="581" w:type="pct"/>
            <w:shd w:val="clear" w:color="auto" w:fill="auto"/>
            <w:vAlign w:val="center"/>
            <w:hideMark/>
          </w:tcPr>
          <w:p w14:paraId="2C7417A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29 512</w:t>
            </w:r>
          </w:p>
        </w:tc>
        <w:tc>
          <w:tcPr>
            <w:tcW w:w="581" w:type="pct"/>
            <w:shd w:val="clear" w:color="auto" w:fill="auto"/>
            <w:vAlign w:val="center"/>
            <w:hideMark/>
          </w:tcPr>
          <w:p w14:paraId="7CBB5B7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8 980</w:t>
            </w:r>
          </w:p>
        </w:tc>
        <w:tc>
          <w:tcPr>
            <w:tcW w:w="581" w:type="pct"/>
            <w:shd w:val="clear" w:color="auto" w:fill="auto"/>
            <w:vAlign w:val="center"/>
            <w:hideMark/>
          </w:tcPr>
          <w:p w14:paraId="3AB0FE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7 019</w:t>
            </w:r>
          </w:p>
        </w:tc>
        <w:tc>
          <w:tcPr>
            <w:tcW w:w="582" w:type="pct"/>
            <w:shd w:val="clear" w:color="auto" w:fill="auto"/>
            <w:vAlign w:val="center"/>
            <w:hideMark/>
          </w:tcPr>
          <w:p w14:paraId="33237AD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1 961</w:t>
            </w:r>
          </w:p>
        </w:tc>
      </w:tr>
      <w:tr w:rsidR="007278D9" w:rsidRPr="0019609D" w14:paraId="1B904472" w14:textId="77777777" w:rsidTr="007278D9">
        <w:trPr>
          <w:trHeight w:val="300"/>
        </w:trPr>
        <w:tc>
          <w:tcPr>
            <w:tcW w:w="1514" w:type="pct"/>
            <w:gridSpan w:val="2"/>
            <w:shd w:val="clear" w:color="auto" w:fill="auto"/>
            <w:vAlign w:val="center"/>
            <w:hideMark/>
          </w:tcPr>
          <w:p w14:paraId="289EC089"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tanecznych</w:t>
            </w:r>
          </w:p>
        </w:tc>
        <w:tc>
          <w:tcPr>
            <w:tcW w:w="581" w:type="pct"/>
            <w:shd w:val="clear" w:color="auto" w:fill="auto"/>
            <w:vAlign w:val="center"/>
            <w:hideMark/>
          </w:tcPr>
          <w:p w14:paraId="6D4D122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74 241</w:t>
            </w:r>
          </w:p>
        </w:tc>
        <w:tc>
          <w:tcPr>
            <w:tcW w:w="581" w:type="pct"/>
            <w:shd w:val="clear" w:color="auto" w:fill="auto"/>
            <w:vAlign w:val="center"/>
            <w:hideMark/>
          </w:tcPr>
          <w:p w14:paraId="40BF09F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55 318</w:t>
            </w:r>
          </w:p>
        </w:tc>
        <w:tc>
          <w:tcPr>
            <w:tcW w:w="581" w:type="pct"/>
            <w:shd w:val="clear" w:color="auto" w:fill="auto"/>
            <w:vAlign w:val="center"/>
            <w:hideMark/>
          </w:tcPr>
          <w:p w14:paraId="7BEEE6E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18 923</w:t>
            </w:r>
          </w:p>
        </w:tc>
        <w:tc>
          <w:tcPr>
            <w:tcW w:w="581" w:type="pct"/>
            <w:shd w:val="clear" w:color="auto" w:fill="auto"/>
            <w:vAlign w:val="center"/>
            <w:hideMark/>
          </w:tcPr>
          <w:p w14:paraId="171C39E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5 630</w:t>
            </w:r>
          </w:p>
        </w:tc>
        <w:tc>
          <w:tcPr>
            <w:tcW w:w="581" w:type="pct"/>
            <w:shd w:val="clear" w:color="auto" w:fill="auto"/>
            <w:vAlign w:val="center"/>
            <w:hideMark/>
          </w:tcPr>
          <w:p w14:paraId="30E5353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4 894</w:t>
            </w:r>
          </w:p>
        </w:tc>
        <w:tc>
          <w:tcPr>
            <w:tcW w:w="582" w:type="pct"/>
            <w:shd w:val="clear" w:color="auto" w:fill="auto"/>
            <w:vAlign w:val="center"/>
            <w:hideMark/>
          </w:tcPr>
          <w:p w14:paraId="64368B7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736</w:t>
            </w:r>
          </w:p>
        </w:tc>
      </w:tr>
      <w:tr w:rsidR="007278D9" w:rsidRPr="0019609D" w14:paraId="3D4F6052" w14:textId="77777777" w:rsidTr="007278D9">
        <w:trPr>
          <w:trHeight w:val="300"/>
        </w:trPr>
        <w:tc>
          <w:tcPr>
            <w:tcW w:w="1514" w:type="pct"/>
            <w:gridSpan w:val="2"/>
            <w:shd w:val="clear" w:color="auto" w:fill="auto"/>
            <w:vAlign w:val="center"/>
            <w:hideMark/>
          </w:tcPr>
          <w:p w14:paraId="089E8D7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muzycznych </w:t>
            </w:r>
          </w:p>
        </w:tc>
        <w:tc>
          <w:tcPr>
            <w:tcW w:w="581" w:type="pct"/>
            <w:shd w:val="clear" w:color="auto" w:fill="auto"/>
            <w:vAlign w:val="center"/>
            <w:hideMark/>
          </w:tcPr>
          <w:p w14:paraId="45A54BE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43 020</w:t>
            </w:r>
          </w:p>
        </w:tc>
        <w:tc>
          <w:tcPr>
            <w:tcW w:w="581" w:type="pct"/>
            <w:shd w:val="clear" w:color="auto" w:fill="auto"/>
            <w:vAlign w:val="center"/>
            <w:hideMark/>
          </w:tcPr>
          <w:p w14:paraId="715E59B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30 444</w:t>
            </w:r>
          </w:p>
        </w:tc>
        <w:tc>
          <w:tcPr>
            <w:tcW w:w="581" w:type="pct"/>
            <w:shd w:val="clear" w:color="auto" w:fill="auto"/>
            <w:vAlign w:val="center"/>
            <w:hideMark/>
          </w:tcPr>
          <w:p w14:paraId="4BA508D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12 576</w:t>
            </w:r>
          </w:p>
        </w:tc>
        <w:tc>
          <w:tcPr>
            <w:tcW w:w="581" w:type="pct"/>
            <w:shd w:val="clear" w:color="auto" w:fill="auto"/>
            <w:vAlign w:val="center"/>
            <w:hideMark/>
          </w:tcPr>
          <w:p w14:paraId="1551ED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3 500</w:t>
            </w:r>
          </w:p>
        </w:tc>
        <w:tc>
          <w:tcPr>
            <w:tcW w:w="581" w:type="pct"/>
            <w:shd w:val="clear" w:color="auto" w:fill="auto"/>
            <w:vAlign w:val="center"/>
            <w:hideMark/>
          </w:tcPr>
          <w:p w14:paraId="030FA64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2 384</w:t>
            </w:r>
          </w:p>
        </w:tc>
        <w:tc>
          <w:tcPr>
            <w:tcW w:w="582" w:type="pct"/>
            <w:shd w:val="clear" w:color="auto" w:fill="auto"/>
            <w:vAlign w:val="center"/>
            <w:hideMark/>
          </w:tcPr>
          <w:p w14:paraId="0A6AC68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1 116</w:t>
            </w:r>
          </w:p>
        </w:tc>
      </w:tr>
      <w:tr w:rsidR="007278D9" w:rsidRPr="0019609D" w14:paraId="51CE945F" w14:textId="77777777" w:rsidTr="007278D9">
        <w:trPr>
          <w:trHeight w:val="300"/>
        </w:trPr>
        <w:tc>
          <w:tcPr>
            <w:tcW w:w="1514" w:type="pct"/>
            <w:gridSpan w:val="2"/>
            <w:shd w:val="clear" w:color="auto" w:fill="auto"/>
            <w:vAlign w:val="center"/>
            <w:hideMark/>
          </w:tcPr>
          <w:p w14:paraId="292EFF80"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informatycznych</w:t>
            </w:r>
          </w:p>
        </w:tc>
        <w:tc>
          <w:tcPr>
            <w:tcW w:w="581" w:type="pct"/>
            <w:shd w:val="clear" w:color="auto" w:fill="auto"/>
            <w:vAlign w:val="center"/>
            <w:hideMark/>
          </w:tcPr>
          <w:p w14:paraId="0B0C944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4 882</w:t>
            </w:r>
          </w:p>
        </w:tc>
        <w:tc>
          <w:tcPr>
            <w:tcW w:w="581" w:type="pct"/>
            <w:shd w:val="clear" w:color="auto" w:fill="auto"/>
            <w:vAlign w:val="center"/>
            <w:hideMark/>
          </w:tcPr>
          <w:p w14:paraId="7CA0A21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3 473</w:t>
            </w:r>
          </w:p>
        </w:tc>
        <w:tc>
          <w:tcPr>
            <w:tcW w:w="581" w:type="pct"/>
            <w:shd w:val="clear" w:color="auto" w:fill="auto"/>
            <w:vAlign w:val="center"/>
            <w:hideMark/>
          </w:tcPr>
          <w:p w14:paraId="3977E8D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1 409</w:t>
            </w:r>
          </w:p>
        </w:tc>
        <w:tc>
          <w:tcPr>
            <w:tcW w:w="581" w:type="pct"/>
            <w:shd w:val="clear" w:color="auto" w:fill="auto"/>
            <w:vAlign w:val="center"/>
            <w:hideMark/>
          </w:tcPr>
          <w:p w14:paraId="482D0D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1 474</w:t>
            </w:r>
          </w:p>
        </w:tc>
        <w:tc>
          <w:tcPr>
            <w:tcW w:w="581" w:type="pct"/>
            <w:shd w:val="clear" w:color="auto" w:fill="auto"/>
            <w:vAlign w:val="center"/>
            <w:hideMark/>
          </w:tcPr>
          <w:p w14:paraId="037BF3F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1 265</w:t>
            </w:r>
          </w:p>
        </w:tc>
        <w:tc>
          <w:tcPr>
            <w:tcW w:w="582" w:type="pct"/>
            <w:shd w:val="clear" w:color="auto" w:fill="auto"/>
            <w:vAlign w:val="center"/>
            <w:hideMark/>
          </w:tcPr>
          <w:p w14:paraId="454A634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209</w:t>
            </w:r>
          </w:p>
        </w:tc>
      </w:tr>
      <w:tr w:rsidR="007278D9" w:rsidRPr="0019609D" w14:paraId="2E698F4C" w14:textId="77777777" w:rsidTr="007278D9">
        <w:trPr>
          <w:trHeight w:val="300"/>
        </w:trPr>
        <w:tc>
          <w:tcPr>
            <w:tcW w:w="1514" w:type="pct"/>
            <w:gridSpan w:val="2"/>
            <w:shd w:val="clear" w:color="auto" w:fill="auto"/>
            <w:vAlign w:val="center"/>
            <w:hideMark/>
          </w:tcPr>
          <w:p w14:paraId="7D1EDF98"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fotograficznych i filmowych</w:t>
            </w:r>
          </w:p>
        </w:tc>
        <w:tc>
          <w:tcPr>
            <w:tcW w:w="581" w:type="pct"/>
            <w:shd w:val="clear" w:color="auto" w:fill="auto"/>
            <w:vAlign w:val="center"/>
            <w:hideMark/>
          </w:tcPr>
          <w:p w14:paraId="2474B75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5 710</w:t>
            </w:r>
          </w:p>
        </w:tc>
        <w:tc>
          <w:tcPr>
            <w:tcW w:w="581" w:type="pct"/>
            <w:shd w:val="clear" w:color="auto" w:fill="auto"/>
            <w:vAlign w:val="center"/>
            <w:hideMark/>
          </w:tcPr>
          <w:p w14:paraId="2CA963E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4 760</w:t>
            </w:r>
          </w:p>
        </w:tc>
        <w:tc>
          <w:tcPr>
            <w:tcW w:w="581" w:type="pct"/>
            <w:shd w:val="clear" w:color="auto" w:fill="auto"/>
            <w:vAlign w:val="center"/>
            <w:hideMark/>
          </w:tcPr>
          <w:p w14:paraId="7969BD8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950</w:t>
            </w:r>
          </w:p>
        </w:tc>
        <w:tc>
          <w:tcPr>
            <w:tcW w:w="581" w:type="pct"/>
            <w:shd w:val="clear" w:color="auto" w:fill="auto"/>
            <w:vAlign w:val="center"/>
            <w:hideMark/>
          </w:tcPr>
          <w:p w14:paraId="6899AC0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1 118</w:t>
            </w:r>
          </w:p>
        </w:tc>
        <w:tc>
          <w:tcPr>
            <w:tcW w:w="581" w:type="pct"/>
            <w:shd w:val="clear" w:color="auto" w:fill="auto"/>
            <w:vAlign w:val="center"/>
            <w:hideMark/>
          </w:tcPr>
          <w:p w14:paraId="6A687DD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1 032</w:t>
            </w:r>
          </w:p>
        </w:tc>
        <w:tc>
          <w:tcPr>
            <w:tcW w:w="582" w:type="pct"/>
            <w:shd w:val="clear" w:color="auto" w:fill="auto"/>
            <w:vAlign w:val="center"/>
            <w:hideMark/>
          </w:tcPr>
          <w:p w14:paraId="45B0E5B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w:t>
            </w:r>
          </w:p>
        </w:tc>
      </w:tr>
      <w:tr w:rsidR="007278D9" w:rsidRPr="0019609D" w14:paraId="6A3FF864" w14:textId="77777777" w:rsidTr="007278D9">
        <w:trPr>
          <w:trHeight w:val="300"/>
        </w:trPr>
        <w:tc>
          <w:tcPr>
            <w:tcW w:w="1514" w:type="pct"/>
            <w:gridSpan w:val="2"/>
            <w:shd w:val="clear" w:color="auto" w:fill="auto"/>
            <w:vAlign w:val="center"/>
            <w:hideMark/>
          </w:tcPr>
          <w:p w14:paraId="22AB2D14"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teatralnych</w:t>
            </w:r>
          </w:p>
        </w:tc>
        <w:tc>
          <w:tcPr>
            <w:tcW w:w="581" w:type="pct"/>
            <w:shd w:val="clear" w:color="auto" w:fill="auto"/>
            <w:vAlign w:val="center"/>
            <w:hideMark/>
          </w:tcPr>
          <w:p w14:paraId="1BED234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12 473</w:t>
            </w:r>
          </w:p>
        </w:tc>
        <w:tc>
          <w:tcPr>
            <w:tcW w:w="581" w:type="pct"/>
            <w:shd w:val="clear" w:color="auto" w:fill="auto"/>
            <w:vAlign w:val="center"/>
            <w:hideMark/>
          </w:tcPr>
          <w:p w14:paraId="736EE11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9 194</w:t>
            </w:r>
          </w:p>
        </w:tc>
        <w:tc>
          <w:tcPr>
            <w:tcW w:w="581" w:type="pct"/>
            <w:shd w:val="clear" w:color="auto" w:fill="auto"/>
            <w:vAlign w:val="center"/>
            <w:hideMark/>
          </w:tcPr>
          <w:p w14:paraId="7FBDECB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3 279</w:t>
            </w:r>
          </w:p>
        </w:tc>
        <w:tc>
          <w:tcPr>
            <w:tcW w:w="581" w:type="pct"/>
            <w:shd w:val="clear" w:color="auto" w:fill="auto"/>
            <w:vAlign w:val="center"/>
            <w:hideMark/>
          </w:tcPr>
          <w:p w14:paraId="342F460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1 768</w:t>
            </w:r>
          </w:p>
        </w:tc>
        <w:tc>
          <w:tcPr>
            <w:tcW w:w="581" w:type="pct"/>
            <w:shd w:val="clear" w:color="auto" w:fill="auto"/>
            <w:vAlign w:val="center"/>
            <w:hideMark/>
          </w:tcPr>
          <w:p w14:paraId="149F60A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1 220</w:t>
            </w:r>
          </w:p>
        </w:tc>
        <w:tc>
          <w:tcPr>
            <w:tcW w:w="582" w:type="pct"/>
            <w:shd w:val="clear" w:color="auto" w:fill="auto"/>
            <w:noWrap/>
            <w:vAlign w:val="center"/>
            <w:hideMark/>
          </w:tcPr>
          <w:p w14:paraId="414AB6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548</w:t>
            </w:r>
          </w:p>
        </w:tc>
      </w:tr>
      <w:tr w:rsidR="007278D9" w:rsidRPr="0019609D" w14:paraId="678338FB" w14:textId="77777777" w:rsidTr="007278D9">
        <w:trPr>
          <w:trHeight w:val="300"/>
        </w:trPr>
        <w:tc>
          <w:tcPr>
            <w:tcW w:w="1514" w:type="pct"/>
            <w:gridSpan w:val="2"/>
            <w:shd w:val="clear" w:color="auto" w:fill="auto"/>
            <w:vAlign w:val="center"/>
            <w:hideMark/>
          </w:tcPr>
          <w:p w14:paraId="3329076B"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turystycznych i sportowo-rekreacyjnych</w:t>
            </w:r>
          </w:p>
        </w:tc>
        <w:tc>
          <w:tcPr>
            <w:tcW w:w="581" w:type="pct"/>
            <w:shd w:val="clear" w:color="auto" w:fill="auto"/>
            <w:vAlign w:val="center"/>
            <w:hideMark/>
          </w:tcPr>
          <w:p w14:paraId="480E6DB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59 041</w:t>
            </w:r>
          </w:p>
        </w:tc>
        <w:tc>
          <w:tcPr>
            <w:tcW w:w="581" w:type="pct"/>
            <w:shd w:val="clear" w:color="auto" w:fill="auto"/>
            <w:vAlign w:val="center"/>
            <w:hideMark/>
          </w:tcPr>
          <w:p w14:paraId="6C93B0C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42 333</w:t>
            </w:r>
          </w:p>
        </w:tc>
        <w:tc>
          <w:tcPr>
            <w:tcW w:w="581" w:type="pct"/>
            <w:shd w:val="clear" w:color="auto" w:fill="auto"/>
            <w:vAlign w:val="center"/>
            <w:hideMark/>
          </w:tcPr>
          <w:p w14:paraId="78F20E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16 708</w:t>
            </w:r>
          </w:p>
        </w:tc>
        <w:tc>
          <w:tcPr>
            <w:tcW w:w="581" w:type="pct"/>
            <w:shd w:val="clear" w:color="auto" w:fill="auto"/>
            <w:vAlign w:val="center"/>
            <w:hideMark/>
          </w:tcPr>
          <w:p w14:paraId="792D903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19 130</w:t>
            </w:r>
          </w:p>
        </w:tc>
        <w:tc>
          <w:tcPr>
            <w:tcW w:w="581" w:type="pct"/>
            <w:shd w:val="clear" w:color="auto" w:fill="auto"/>
            <w:vAlign w:val="center"/>
            <w:hideMark/>
          </w:tcPr>
          <w:p w14:paraId="6402FA3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15 790</w:t>
            </w:r>
          </w:p>
        </w:tc>
        <w:tc>
          <w:tcPr>
            <w:tcW w:w="582" w:type="pct"/>
            <w:shd w:val="clear" w:color="auto" w:fill="auto"/>
            <w:noWrap/>
            <w:vAlign w:val="center"/>
            <w:hideMark/>
          </w:tcPr>
          <w:p w14:paraId="6146785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3 340</w:t>
            </w:r>
          </w:p>
        </w:tc>
      </w:tr>
      <w:tr w:rsidR="007278D9" w:rsidRPr="0019609D" w14:paraId="4D4637D0" w14:textId="77777777" w:rsidTr="007278D9">
        <w:trPr>
          <w:trHeight w:val="300"/>
        </w:trPr>
        <w:tc>
          <w:tcPr>
            <w:tcW w:w="1514" w:type="pct"/>
            <w:gridSpan w:val="2"/>
            <w:shd w:val="clear" w:color="auto" w:fill="auto"/>
            <w:vAlign w:val="center"/>
            <w:hideMark/>
          </w:tcPr>
          <w:p w14:paraId="302DE8CD"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literackich</w:t>
            </w:r>
          </w:p>
        </w:tc>
        <w:tc>
          <w:tcPr>
            <w:tcW w:w="581" w:type="pct"/>
            <w:shd w:val="clear" w:color="auto" w:fill="auto"/>
            <w:vAlign w:val="center"/>
            <w:hideMark/>
          </w:tcPr>
          <w:p w14:paraId="6C48BE5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3 132</w:t>
            </w:r>
          </w:p>
        </w:tc>
        <w:tc>
          <w:tcPr>
            <w:tcW w:w="581" w:type="pct"/>
            <w:shd w:val="clear" w:color="auto" w:fill="auto"/>
            <w:vAlign w:val="center"/>
            <w:hideMark/>
          </w:tcPr>
          <w:p w14:paraId="3DBBD0F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2 363</w:t>
            </w:r>
          </w:p>
        </w:tc>
        <w:tc>
          <w:tcPr>
            <w:tcW w:w="581" w:type="pct"/>
            <w:shd w:val="clear" w:color="auto" w:fill="auto"/>
            <w:vAlign w:val="center"/>
            <w:hideMark/>
          </w:tcPr>
          <w:p w14:paraId="694CBC8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769</w:t>
            </w:r>
          </w:p>
        </w:tc>
        <w:tc>
          <w:tcPr>
            <w:tcW w:w="581" w:type="pct"/>
            <w:shd w:val="clear" w:color="auto" w:fill="auto"/>
            <w:vAlign w:val="center"/>
            <w:hideMark/>
          </w:tcPr>
          <w:p w14:paraId="3FEA036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1 314</w:t>
            </w:r>
          </w:p>
        </w:tc>
        <w:tc>
          <w:tcPr>
            <w:tcW w:w="581" w:type="pct"/>
            <w:shd w:val="clear" w:color="auto" w:fill="auto"/>
            <w:vAlign w:val="center"/>
            <w:hideMark/>
          </w:tcPr>
          <w:p w14:paraId="0F91574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1 050</w:t>
            </w:r>
          </w:p>
        </w:tc>
        <w:tc>
          <w:tcPr>
            <w:tcW w:w="582" w:type="pct"/>
            <w:shd w:val="clear" w:color="auto" w:fill="auto"/>
            <w:noWrap/>
            <w:vAlign w:val="bottom"/>
            <w:hideMark/>
          </w:tcPr>
          <w:p w14:paraId="55CDA52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264</w:t>
            </w:r>
          </w:p>
        </w:tc>
      </w:tr>
      <w:tr w:rsidR="007278D9" w:rsidRPr="0019609D" w14:paraId="32C0BEB6" w14:textId="77777777" w:rsidTr="007278D9">
        <w:trPr>
          <w:trHeight w:val="300"/>
        </w:trPr>
        <w:tc>
          <w:tcPr>
            <w:tcW w:w="1514" w:type="pct"/>
            <w:gridSpan w:val="2"/>
            <w:shd w:val="clear" w:color="auto" w:fill="auto"/>
            <w:vAlign w:val="center"/>
            <w:hideMark/>
          </w:tcPr>
          <w:p w14:paraId="19D8148F"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seniora/ Uniwersytetów Trzeciego Wieku</w:t>
            </w:r>
          </w:p>
        </w:tc>
        <w:tc>
          <w:tcPr>
            <w:tcW w:w="581" w:type="pct"/>
            <w:shd w:val="clear" w:color="auto" w:fill="auto"/>
            <w:vAlign w:val="center"/>
            <w:hideMark/>
          </w:tcPr>
          <w:p w14:paraId="11997E4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98 423</w:t>
            </w:r>
          </w:p>
        </w:tc>
        <w:tc>
          <w:tcPr>
            <w:tcW w:w="581" w:type="pct"/>
            <w:shd w:val="clear" w:color="auto" w:fill="auto"/>
            <w:vAlign w:val="center"/>
            <w:hideMark/>
          </w:tcPr>
          <w:p w14:paraId="488F2D5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72 462</w:t>
            </w:r>
          </w:p>
        </w:tc>
        <w:tc>
          <w:tcPr>
            <w:tcW w:w="581" w:type="pct"/>
            <w:shd w:val="clear" w:color="auto" w:fill="auto"/>
            <w:vAlign w:val="center"/>
            <w:hideMark/>
          </w:tcPr>
          <w:p w14:paraId="37CAFC2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25 961</w:t>
            </w:r>
          </w:p>
        </w:tc>
        <w:tc>
          <w:tcPr>
            <w:tcW w:w="581" w:type="pct"/>
            <w:shd w:val="clear" w:color="auto" w:fill="auto"/>
            <w:vAlign w:val="center"/>
            <w:hideMark/>
          </w:tcPr>
          <w:p w14:paraId="0138620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92 980</w:t>
            </w:r>
          </w:p>
        </w:tc>
        <w:tc>
          <w:tcPr>
            <w:tcW w:w="581" w:type="pct"/>
            <w:shd w:val="clear" w:color="auto" w:fill="auto"/>
            <w:vAlign w:val="center"/>
            <w:hideMark/>
          </w:tcPr>
          <w:p w14:paraId="6B16463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68 451</w:t>
            </w:r>
          </w:p>
        </w:tc>
        <w:tc>
          <w:tcPr>
            <w:tcW w:w="582" w:type="pct"/>
            <w:shd w:val="clear" w:color="auto" w:fill="auto"/>
            <w:vAlign w:val="center"/>
            <w:hideMark/>
          </w:tcPr>
          <w:p w14:paraId="508FABD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24 529</w:t>
            </w:r>
          </w:p>
        </w:tc>
      </w:tr>
      <w:tr w:rsidR="007278D9" w:rsidRPr="0019609D" w14:paraId="62EA161C" w14:textId="77777777" w:rsidTr="007278D9">
        <w:trPr>
          <w:trHeight w:val="300"/>
        </w:trPr>
        <w:tc>
          <w:tcPr>
            <w:tcW w:w="1514" w:type="pct"/>
            <w:gridSpan w:val="2"/>
            <w:shd w:val="clear" w:color="auto" w:fill="auto"/>
            <w:vAlign w:val="center"/>
            <w:hideMark/>
          </w:tcPr>
          <w:p w14:paraId="276110E7"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dyskusyjnych klubów filmowych</w:t>
            </w:r>
          </w:p>
        </w:tc>
        <w:tc>
          <w:tcPr>
            <w:tcW w:w="581" w:type="pct"/>
            <w:shd w:val="clear" w:color="auto" w:fill="auto"/>
            <w:vAlign w:val="center"/>
            <w:hideMark/>
          </w:tcPr>
          <w:p w14:paraId="51D23E0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6 276</w:t>
            </w:r>
          </w:p>
        </w:tc>
        <w:tc>
          <w:tcPr>
            <w:tcW w:w="581" w:type="pct"/>
            <w:shd w:val="clear" w:color="auto" w:fill="auto"/>
            <w:vAlign w:val="center"/>
            <w:hideMark/>
          </w:tcPr>
          <w:p w14:paraId="09A1FFF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5 679</w:t>
            </w:r>
          </w:p>
        </w:tc>
        <w:tc>
          <w:tcPr>
            <w:tcW w:w="581" w:type="pct"/>
            <w:shd w:val="clear" w:color="auto" w:fill="auto"/>
            <w:vAlign w:val="center"/>
            <w:hideMark/>
          </w:tcPr>
          <w:p w14:paraId="26E5586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597</w:t>
            </w:r>
          </w:p>
        </w:tc>
        <w:tc>
          <w:tcPr>
            <w:tcW w:w="581" w:type="pct"/>
            <w:shd w:val="clear" w:color="auto" w:fill="auto"/>
            <w:vAlign w:val="center"/>
            <w:hideMark/>
          </w:tcPr>
          <w:p w14:paraId="477D78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2 033</w:t>
            </w:r>
          </w:p>
        </w:tc>
        <w:tc>
          <w:tcPr>
            <w:tcW w:w="581" w:type="pct"/>
            <w:shd w:val="clear" w:color="auto" w:fill="auto"/>
            <w:vAlign w:val="center"/>
            <w:hideMark/>
          </w:tcPr>
          <w:p w14:paraId="3372941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1 752</w:t>
            </w:r>
          </w:p>
        </w:tc>
        <w:tc>
          <w:tcPr>
            <w:tcW w:w="582" w:type="pct"/>
            <w:shd w:val="clear" w:color="auto" w:fill="auto"/>
            <w:vAlign w:val="center"/>
            <w:hideMark/>
          </w:tcPr>
          <w:p w14:paraId="4DA8E1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281</w:t>
            </w:r>
          </w:p>
        </w:tc>
      </w:tr>
      <w:tr w:rsidR="007278D9" w:rsidRPr="0019609D" w14:paraId="65A4DB98" w14:textId="77777777" w:rsidTr="007278D9">
        <w:trPr>
          <w:trHeight w:val="300"/>
        </w:trPr>
        <w:tc>
          <w:tcPr>
            <w:tcW w:w="968" w:type="pct"/>
            <w:shd w:val="clear" w:color="auto" w:fill="auto"/>
            <w:noWrap/>
            <w:vAlign w:val="bottom"/>
            <w:hideMark/>
          </w:tcPr>
          <w:p w14:paraId="495F1E51" w14:textId="77777777" w:rsidR="007278D9" w:rsidRPr="0019609D" w:rsidRDefault="007278D9" w:rsidP="007278D9">
            <w:pPr>
              <w:spacing w:after="0" w:line="240" w:lineRule="auto"/>
              <w:jc w:val="right"/>
              <w:rPr>
                <w:rFonts w:ascii="Lato" w:eastAsia="Times New Roman" w:hAnsi="Lato" w:cs="Arial"/>
                <w:sz w:val="18"/>
                <w:szCs w:val="18"/>
                <w:lang w:eastAsia="pl-PL"/>
              </w:rPr>
            </w:pPr>
          </w:p>
        </w:tc>
        <w:tc>
          <w:tcPr>
            <w:tcW w:w="545" w:type="pct"/>
            <w:shd w:val="clear" w:color="auto" w:fill="auto"/>
            <w:noWrap/>
            <w:vAlign w:val="bottom"/>
            <w:hideMark/>
          </w:tcPr>
          <w:p w14:paraId="611AE3B6"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5F9EB899"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671CAC9B"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5216AD25"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4AFD416D"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70C3DC65"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2" w:type="pct"/>
            <w:shd w:val="clear" w:color="auto" w:fill="auto"/>
            <w:noWrap/>
            <w:vAlign w:val="bottom"/>
            <w:hideMark/>
          </w:tcPr>
          <w:p w14:paraId="24EAFAD1" w14:textId="77777777" w:rsidR="007278D9" w:rsidRPr="0019609D" w:rsidRDefault="007278D9" w:rsidP="007278D9">
            <w:pPr>
              <w:spacing w:after="0" w:line="240" w:lineRule="auto"/>
              <w:rPr>
                <w:rFonts w:ascii="Lato" w:eastAsia="Times New Roman" w:hAnsi="Lato" w:cs="Times New Roman"/>
                <w:sz w:val="20"/>
                <w:szCs w:val="20"/>
                <w:lang w:eastAsia="pl-PL"/>
              </w:rPr>
            </w:pPr>
          </w:p>
        </w:tc>
      </w:tr>
      <w:tr w:rsidR="007278D9" w:rsidRPr="0019609D" w14:paraId="2F88E1A0" w14:textId="77777777" w:rsidTr="007278D9">
        <w:trPr>
          <w:trHeight w:val="399"/>
        </w:trPr>
        <w:tc>
          <w:tcPr>
            <w:tcW w:w="5000" w:type="pct"/>
            <w:gridSpan w:val="8"/>
            <w:shd w:val="clear" w:color="auto" w:fill="auto"/>
            <w:noWrap/>
            <w:vAlign w:val="center"/>
            <w:hideMark/>
          </w:tcPr>
          <w:p w14:paraId="008954DA" w14:textId="77777777" w:rsidR="007278D9" w:rsidRPr="0019609D" w:rsidRDefault="007278D9" w:rsidP="007278D9">
            <w:pPr>
              <w:spacing w:after="0" w:line="240" w:lineRule="auto"/>
              <w:jc w:val="center"/>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Absolwenci kursów organizowanych przez domy, ośrodki i centra kultury, kluby i świetlice</w:t>
            </w:r>
          </w:p>
        </w:tc>
      </w:tr>
      <w:tr w:rsidR="007278D9" w:rsidRPr="0019609D" w14:paraId="30FD9171" w14:textId="77777777" w:rsidTr="007278D9">
        <w:trPr>
          <w:trHeight w:val="300"/>
        </w:trPr>
        <w:tc>
          <w:tcPr>
            <w:tcW w:w="1514" w:type="pct"/>
            <w:gridSpan w:val="2"/>
            <w:shd w:val="clear" w:color="auto" w:fill="auto"/>
            <w:noWrap/>
            <w:vAlign w:val="center"/>
            <w:hideMark/>
          </w:tcPr>
          <w:p w14:paraId="314473F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Ogółem</w:t>
            </w:r>
          </w:p>
        </w:tc>
        <w:tc>
          <w:tcPr>
            <w:tcW w:w="581" w:type="pct"/>
            <w:shd w:val="clear" w:color="auto" w:fill="auto"/>
            <w:noWrap/>
            <w:vAlign w:val="center"/>
            <w:hideMark/>
          </w:tcPr>
          <w:p w14:paraId="2A21C2F4"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62 046</w:t>
            </w:r>
          </w:p>
        </w:tc>
        <w:tc>
          <w:tcPr>
            <w:tcW w:w="581" w:type="pct"/>
            <w:shd w:val="clear" w:color="auto" w:fill="auto"/>
            <w:noWrap/>
            <w:vAlign w:val="center"/>
            <w:hideMark/>
          </w:tcPr>
          <w:p w14:paraId="6C40E244"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41 724</w:t>
            </w:r>
          </w:p>
        </w:tc>
        <w:tc>
          <w:tcPr>
            <w:tcW w:w="581" w:type="pct"/>
            <w:shd w:val="clear" w:color="auto" w:fill="auto"/>
            <w:noWrap/>
            <w:vAlign w:val="center"/>
            <w:hideMark/>
          </w:tcPr>
          <w:p w14:paraId="1035482C"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20 322</w:t>
            </w:r>
          </w:p>
        </w:tc>
        <w:tc>
          <w:tcPr>
            <w:tcW w:w="581" w:type="pct"/>
            <w:shd w:val="clear" w:color="auto" w:fill="auto"/>
            <w:noWrap/>
            <w:vAlign w:val="center"/>
            <w:hideMark/>
          </w:tcPr>
          <w:p w14:paraId="671E8CC9"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10 026</w:t>
            </w:r>
          </w:p>
        </w:tc>
        <w:tc>
          <w:tcPr>
            <w:tcW w:w="581" w:type="pct"/>
            <w:shd w:val="clear" w:color="auto" w:fill="auto"/>
            <w:noWrap/>
            <w:vAlign w:val="center"/>
            <w:hideMark/>
          </w:tcPr>
          <w:p w14:paraId="1A0BDBD4"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7 315</w:t>
            </w:r>
          </w:p>
        </w:tc>
        <w:tc>
          <w:tcPr>
            <w:tcW w:w="582" w:type="pct"/>
            <w:shd w:val="clear" w:color="auto" w:fill="auto"/>
            <w:noWrap/>
            <w:vAlign w:val="center"/>
            <w:hideMark/>
          </w:tcPr>
          <w:p w14:paraId="53FD2191"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2 711</w:t>
            </w:r>
          </w:p>
        </w:tc>
      </w:tr>
      <w:tr w:rsidR="007278D9" w:rsidRPr="0019609D" w14:paraId="4B598515" w14:textId="77777777" w:rsidTr="007278D9">
        <w:trPr>
          <w:trHeight w:val="300"/>
        </w:trPr>
        <w:tc>
          <w:tcPr>
            <w:tcW w:w="968" w:type="pct"/>
            <w:shd w:val="clear" w:color="auto" w:fill="auto"/>
            <w:vAlign w:val="center"/>
            <w:hideMark/>
          </w:tcPr>
          <w:p w14:paraId="0AC166C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w tym:</w:t>
            </w:r>
          </w:p>
        </w:tc>
        <w:tc>
          <w:tcPr>
            <w:tcW w:w="545" w:type="pct"/>
            <w:shd w:val="clear" w:color="auto" w:fill="auto"/>
            <w:noWrap/>
            <w:vAlign w:val="center"/>
            <w:hideMark/>
          </w:tcPr>
          <w:p w14:paraId="388FD7A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w:t>
            </w:r>
          </w:p>
        </w:tc>
        <w:tc>
          <w:tcPr>
            <w:tcW w:w="581" w:type="pct"/>
            <w:shd w:val="clear" w:color="auto" w:fill="auto"/>
            <w:noWrap/>
            <w:vAlign w:val="bottom"/>
            <w:hideMark/>
          </w:tcPr>
          <w:p w14:paraId="014FE2FB"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81" w:type="pct"/>
            <w:shd w:val="clear" w:color="auto" w:fill="auto"/>
            <w:noWrap/>
            <w:vAlign w:val="bottom"/>
            <w:hideMark/>
          </w:tcPr>
          <w:p w14:paraId="70C36017"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124A594E"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4950C998"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1" w:type="pct"/>
            <w:shd w:val="clear" w:color="auto" w:fill="auto"/>
            <w:noWrap/>
            <w:vAlign w:val="bottom"/>
            <w:hideMark/>
          </w:tcPr>
          <w:p w14:paraId="3B52B844" w14:textId="77777777" w:rsidR="007278D9" w:rsidRPr="0019609D" w:rsidRDefault="007278D9" w:rsidP="007278D9">
            <w:pPr>
              <w:spacing w:after="0" w:line="240" w:lineRule="auto"/>
              <w:rPr>
                <w:rFonts w:ascii="Lato" w:eastAsia="Times New Roman" w:hAnsi="Lato" w:cs="Times New Roman"/>
                <w:sz w:val="20"/>
                <w:szCs w:val="20"/>
                <w:lang w:eastAsia="pl-PL"/>
              </w:rPr>
            </w:pPr>
          </w:p>
        </w:tc>
        <w:tc>
          <w:tcPr>
            <w:tcW w:w="582" w:type="pct"/>
            <w:shd w:val="clear" w:color="auto" w:fill="auto"/>
            <w:noWrap/>
            <w:vAlign w:val="bottom"/>
            <w:hideMark/>
          </w:tcPr>
          <w:p w14:paraId="6F73DFB1" w14:textId="77777777" w:rsidR="007278D9" w:rsidRPr="0019609D" w:rsidRDefault="007278D9" w:rsidP="007278D9">
            <w:pPr>
              <w:spacing w:after="0" w:line="240" w:lineRule="auto"/>
              <w:rPr>
                <w:rFonts w:ascii="Lato" w:eastAsia="Times New Roman" w:hAnsi="Lato" w:cs="Times New Roman"/>
                <w:sz w:val="20"/>
                <w:szCs w:val="20"/>
                <w:lang w:eastAsia="pl-PL"/>
              </w:rPr>
            </w:pPr>
          </w:p>
        </w:tc>
      </w:tr>
      <w:tr w:rsidR="007278D9" w:rsidRPr="0019609D" w14:paraId="2CCF207C" w14:textId="77777777" w:rsidTr="007278D9">
        <w:trPr>
          <w:trHeight w:val="300"/>
        </w:trPr>
        <w:tc>
          <w:tcPr>
            <w:tcW w:w="1514" w:type="pct"/>
            <w:gridSpan w:val="2"/>
            <w:shd w:val="clear" w:color="auto" w:fill="auto"/>
            <w:noWrap/>
            <w:vAlign w:val="center"/>
            <w:hideMark/>
          </w:tcPr>
          <w:p w14:paraId="4453532A"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języków obcych</w:t>
            </w:r>
          </w:p>
        </w:tc>
        <w:tc>
          <w:tcPr>
            <w:tcW w:w="581" w:type="pct"/>
            <w:shd w:val="clear" w:color="auto" w:fill="auto"/>
            <w:vAlign w:val="center"/>
            <w:hideMark/>
          </w:tcPr>
          <w:p w14:paraId="4BAA589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14 218</w:t>
            </w:r>
          </w:p>
        </w:tc>
        <w:tc>
          <w:tcPr>
            <w:tcW w:w="581" w:type="pct"/>
            <w:shd w:val="clear" w:color="auto" w:fill="auto"/>
            <w:vAlign w:val="center"/>
            <w:hideMark/>
          </w:tcPr>
          <w:p w14:paraId="6116372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9 129</w:t>
            </w:r>
          </w:p>
        </w:tc>
        <w:tc>
          <w:tcPr>
            <w:tcW w:w="581" w:type="pct"/>
            <w:shd w:val="clear" w:color="auto" w:fill="auto"/>
            <w:vAlign w:val="center"/>
            <w:hideMark/>
          </w:tcPr>
          <w:p w14:paraId="2C4ED53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5 089</w:t>
            </w:r>
          </w:p>
        </w:tc>
        <w:tc>
          <w:tcPr>
            <w:tcW w:w="581" w:type="pct"/>
            <w:shd w:val="clear" w:color="auto" w:fill="auto"/>
            <w:vAlign w:val="center"/>
            <w:hideMark/>
          </w:tcPr>
          <w:p w14:paraId="675791F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2 247</w:t>
            </w:r>
          </w:p>
        </w:tc>
        <w:tc>
          <w:tcPr>
            <w:tcW w:w="581" w:type="pct"/>
            <w:shd w:val="clear" w:color="auto" w:fill="auto"/>
            <w:vAlign w:val="center"/>
            <w:hideMark/>
          </w:tcPr>
          <w:p w14:paraId="2586FCB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1 858</w:t>
            </w:r>
          </w:p>
        </w:tc>
        <w:tc>
          <w:tcPr>
            <w:tcW w:w="582" w:type="pct"/>
            <w:shd w:val="clear" w:color="auto" w:fill="auto"/>
            <w:vAlign w:val="center"/>
            <w:hideMark/>
          </w:tcPr>
          <w:p w14:paraId="469A698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389</w:t>
            </w:r>
          </w:p>
        </w:tc>
      </w:tr>
      <w:tr w:rsidR="007278D9" w:rsidRPr="0019609D" w14:paraId="2FC28E18" w14:textId="77777777" w:rsidTr="007278D9">
        <w:trPr>
          <w:trHeight w:val="300"/>
        </w:trPr>
        <w:tc>
          <w:tcPr>
            <w:tcW w:w="1514" w:type="pct"/>
            <w:gridSpan w:val="2"/>
            <w:shd w:val="clear" w:color="auto" w:fill="auto"/>
            <w:noWrap/>
            <w:vAlign w:val="center"/>
            <w:hideMark/>
          </w:tcPr>
          <w:p w14:paraId="211DF09E"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plastycznych</w:t>
            </w:r>
          </w:p>
        </w:tc>
        <w:tc>
          <w:tcPr>
            <w:tcW w:w="581" w:type="pct"/>
            <w:shd w:val="clear" w:color="auto" w:fill="auto"/>
            <w:vAlign w:val="center"/>
            <w:hideMark/>
          </w:tcPr>
          <w:p w14:paraId="14A4A06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8 438</w:t>
            </w:r>
          </w:p>
        </w:tc>
        <w:tc>
          <w:tcPr>
            <w:tcW w:w="581" w:type="pct"/>
            <w:shd w:val="clear" w:color="auto" w:fill="auto"/>
            <w:vAlign w:val="center"/>
            <w:hideMark/>
          </w:tcPr>
          <w:p w14:paraId="0AA9B84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5 441</w:t>
            </w:r>
          </w:p>
        </w:tc>
        <w:tc>
          <w:tcPr>
            <w:tcW w:w="581" w:type="pct"/>
            <w:shd w:val="clear" w:color="auto" w:fill="auto"/>
            <w:vAlign w:val="center"/>
            <w:hideMark/>
          </w:tcPr>
          <w:p w14:paraId="2C0F4C1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2 997</w:t>
            </w:r>
          </w:p>
        </w:tc>
        <w:tc>
          <w:tcPr>
            <w:tcW w:w="581" w:type="pct"/>
            <w:shd w:val="clear" w:color="auto" w:fill="auto"/>
            <w:vAlign w:val="center"/>
            <w:hideMark/>
          </w:tcPr>
          <w:p w14:paraId="61E7E9F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1 566</w:t>
            </w:r>
          </w:p>
        </w:tc>
        <w:tc>
          <w:tcPr>
            <w:tcW w:w="581" w:type="pct"/>
            <w:shd w:val="clear" w:color="auto" w:fill="auto"/>
            <w:vAlign w:val="center"/>
            <w:hideMark/>
          </w:tcPr>
          <w:p w14:paraId="1906DAF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1 110</w:t>
            </w:r>
          </w:p>
        </w:tc>
        <w:tc>
          <w:tcPr>
            <w:tcW w:w="582" w:type="pct"/>
            <w:shd w:val="clear" w:color="auto" w:fill="auto"/>
            <w:vAlign w:val="center"/>
            <w:hideMark/>
          </w:tcPr>
          <w:p w14:paraId="370AAE0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456</w:t>
            </w:r>
          </w:p>
        </w:tc>
      </w:tr>
      <w:tr w:rsidR="007278D9" w:rsidRPr="0019609D" w14:paraId="214B6339" w14:textId="77777777" w:rsidTr="007278D9">
        <w:trPr>
          <w:trHeight w:val="300"/>
        </w:trPr>
        <w:tc>
          <w:tcPr>
            <w:tcW w:w="1514" w:type="pct"/>
            <w:gridSpan w:val="2"/>
            <w:shd w:val="clear" w:color="auto" w:fill="auto"/>
            <w:noWrap/>
            <w:vAlign w:val="center"/>
            <w:hideMark/>
          </w:tcPr>
          <w:p w14:paraId="55D202DD"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nauki gry na instrumentach</w:t>
            </w:r>
          </w:p>
        </w:tc>
        <w:tc>
          <w:tcPr>
            <w:tcW w:w="581" w:type="pct"/>
            <w:shd w:val="clear" w:color="auto" w:fill="auto"/>
            <w:vAlign w:val="center"/>
            <w:hideMark/>
          </w:tcPr>
          <w:p w14:paraId="74C4B17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9 504</w:t>
            </w:r>
          </w:p>
        </w:tc>
        <w:tc>
          <w:tcPr>
            <w:tcW w:w="581" w:type="pct"/>
            <w:shd w:val="clear" w:color="auto" w:fill="auto"/>
            <w:vAlign w:val="center"/>
            <w:hideMark/>
          </w:tcPr>
          <w:p w14:paraId="38D8687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6 076</w:t>
            </w:r>
          </w:p>
        </w:tc>
        <w:tc>
          <w:tcPr>
            <w:tcW w:w="581" w:type="pct"/>
            <w:shd w:val="clear" w:color="auto" w:fill="auto"/>
            <w:vAlign w:val="center"/>
            <w:hideMark/>
          </w:tcPr>
          <w:p w14:paraId="612C4F0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3 428</w:t>
            </w:r>
          </w:p>
        </w:tc>
        <w:tc>
          <w:tcPr>
            <w:tcW w:w="581" w:type="pct"/>
            <w:shd w:val="clear" w:color="auto" w:fill="auto"/>
            <w:vAlign w:val="center"/>
            <w:hideMark/>
          </w:tcPr>
          <w:p w14:paraId="7BE1C44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144</w:t>
            </w:r>
          </w:p>
        </w:tc>
        <w:tc>
          <w:tcPr>
            <w:tcW w:w="581" w:type="pct"/>
            <w:shd w:val="clear" w:color="auto" w:fill="auto"/>
            <w:vAlign w:val="center"/>
            <w:hideMark/>
          </w:tcPr>
          <w:p w14:paraId="1F3372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101</w:t>
            </w:r>
          </w:p>
        </w:tc>
        <w:tc>
          <w:tcPr>
            <w:tcW w:w="582" w:type="pct"/>
            <w:shd w:val="clear" w:color="auto" w:fill="auto"/>
            <w:vAlign w:val="center"/>
            <w:hideMark/>
          </w:tcPr>
          <w:p w14:paraId="13B852C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43</w:t>
            </w:r>
          </w:p>
        </w:tc>
      </w:tr>
      <w:tr w:rsidR="007278D9" w:rsidRPr="0019609D" w14:paraId="67364792" w14:textId="77777777" w:rsidTr="007278D9">
        <w:trPr>
          <w:trHeight w:val="300"/>
        </w:trPr>
        <w:tc>
          <w:tcPr>
            <w:tcW w:w="1514" w:type="pct"/>
            <w:gridSpan w:val="2"/>
            <w:shd w:val="clear" w:color="auto" w:fill="auto"/>
            <w:noWrap/>
            <w:vAlign w:val="center"/>
            <w:hideMark/>
          </w:tcPr>
          <w:p w14:paraId="642A4285"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wiedzy praktycznej</w:t>
            </w:r>
          </w:p>
        </w:tc>
        <w:tc>
          <w:tcPr>
            <w:tcW w:w="581" w:type="pct"/>
            <w:shd w:val="clear" w:color="auto" w:fill="auto"/>
            <w:vAlign w:val="center"/>
            <w:hideMark/>
          </w:tcPr>
          <w:p w14:paraId="4446C6B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3 608</w:t>
            </w:r>
          </w:p>
        </w:tc>
        <w:tc>
          <w:tcPr>
            <w:tcW w:w="581" w:type="pct"/>
            <w:shd w:val="clear" w:color="auto" w:fill="auto"/>
            <w:vAlign w:val="center"/>
            <w:hideMark/>
          </w:tcPr>
          <w:p w14:paraId="6A42A25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2 573</w:t>
            </w:r>
          </w:p>
        </w:tc>
        <w:tc>
          <w:tcPr>
            <w:tcW w:w="581" w:type="pct"/>
            <w:shd w:val="clear" w:color="auto" w:fill="auto"/>
            <w:vAlign w:val="center"/>
            <w:hideMark/>
          </w:tcPr>
          <w:p w14:paraId="1959C19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1 035</w:t>
            </w:r>
          </w:p>
        </w:tc>
        <w:tc>
          <w:tcPr>
            <w:tcW w:w="581" w:type="pct"/>
            <w:shd w:val="clear" w:color="auto" w:fill="auto"/>
            <w:vAlign w:val="center"/>
            <w:hideMark/>
          </w:tcPr>
          <w:p w14:paraId="236562C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804</w:t>
            </w:r>
          </w:p>
        </w:tc>
        <w:tc>
          <w:tcPr>
            <w:tcW w:w="581" w:type="pct"/>
            <w:shd w:val="clear" w:color="auto" w:fill="auto"/>
            <w:vAlign w:val="center"/>
            <w:hideMark/>
          </w:tcPr>
          <w:p w14:paraId="038A3AD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511</w:t>
            </w:r>
          </w:p>
        </w:tc>
        <w:tc>
          <w:tcPr>
            <w:tcW w:w="582" w:type="pct"/>
            <w:shd w:val="clear" w:color="auto" w:fill="auto"/>
            <w:vAlign w:val="center"/>
            <w:hideMark/>
          </w:tcPr>
          <w:p w14:paraId="6901055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293</w:t>
            </w:r>
          </w:p>
        </w:tc>
      </w:tr>
      <w:tr w:rsidR="007278D9" w:rsidRPr="0019609D" w14:paraId="48A8C848" w14:textId="77777777" w:rsidTr="007278D9">
        <w:trPr>
          <w:trHeight w:val="300"/>
        </w:trPr>
        <w:tc>
          <w:tcPr>
            <w:tcW w:w="1514" w:type="pct"/>
            <w:gridSpan w:val="2"/>
            <w:shd w:val="clear" w:color="auto" w:fill="auto"/>
            <w:noWrap/>
            <w:vAlign w:val="center"/>
            <w:hideMark/>
          </w:tcPr>
          <w:p w14:paraId="2864A700" w14:textId="77777777" w:rsidR="007278D9" w:rsidRPr="0019609D" w:rsidRDefault="007278D9" w:rsidP="007278D9">
            <w:pPr>
              <w:spacing w:after="0" w:line="240" w:lineRule="auto"/>
              <w:ind w:firstLineChars="100" w:firstLine="180"/>
              <w:rPr>
                <w:rFonts w:ascii="Lato" w:eastAsia="Times New Roman" w:hAnsi="Lato" w:cs="Arial"/>
                <w:sz w:val="18"/>
                <w:szCs w:val="18"/>
                <w:lang w:eastAsia="pl-PL"/>
              </w:rPr>
            </w:pPr>
            <w:r w:rsidRPr="0019609D">
              <w:rPr>
                <w:rFonts w:ascii="Lato" w:eastAsia="Times New Roman" w:hAnsi="Lato" w:cs="Arial"/>
                <w:sz w:val="18"/>
                <w:szCs w:val="18"/>
                <w:lang w:eastAsia="pl-PL"/>
              </w:rPr>
              <w:t>tańca</w:t>
            </w:r>
          </w:p>
        </w:tc>
        <w:tc>
          <w:tcPr>
            <w:tcW w:w="581" w:type="pct"/>
            <w:shd w:val="clear" w:color="auto" w:fill="auto"/>
            <w:vAlign w:val="center"/>
            <w:hideMark/>
          </w:tcPr>
          <w:p w14:paraId="3867614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11 683</w:t>
            </w:r>
          </w:p>
        </w:tc>
        <w:tc>
          <w:tcPr>
            <w:tcW w:w="581" w:type="pct"/>
            <w:shd w:val="clear" w:color="auto" w:fill="auto"/>
            <w:vAlign w:val="center"/>
            <w:hideMark/>
          </w:tcPr>
          <w:p w14:paraId="710A9B3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8 145</w:t>
            </w:r>
          </w:p>
        </w:tc>
        <w:tc>
          <w:tcPr>
            <w:tcW w:w="581" w:type="pct"/>
            <w:shd w:val="clear" w:color="auto" w:fill="auto"/>
            <w:vAlign w:val="center"/>
            <w:hideMark/>
          </w:tcPr>
          <w:p w14:paraId="3EF11A9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3 538</w:t>
            </w:r>
          </w:p>
        </w:tc>
        <w:tc>
          <w:tcPr>
            <w:tcW w:w="581" w:type="pct"/>
            <w:shd w:val="clear" w:color="auto" w:fill="auto"/>
            <w:vAlign w:val="center"/>
            <w:hideMark/>
          </w:tcPr>
          <w:p w14:paraId="4296FB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1 407</w:t>
            </w:r>
          </w:p>
        </w:tc>
        <w:tc>
          <w:tcPr>
            <w:tcW w:w="581" w:type="pct"/>
            <w:shd w:val="clear" w:color="auto" w:fill="auto"/>
            <w:vAlign w:val="center"/>
            <w:hideMark/>
          </w:tcPr>
          <w:p w14:paraId="354066B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1 179</w:t>
            </w:r>
          </w:p>
        </w:tc>
        <w:tc>
          <w:tcPr>
            <w:tcW w:w="582" w:type="pct"/>
            <w:shd w:val="clear" w:color="auto" w:fill="auto"/>
            <w:vAlign w:val="center"/>
            <w:hideMark/>
          </w:tcPr>
          <w:p w14:paraId="02B0834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228</w:t>
            </w:r>
          </w:p>
        </w:tc>
      </w:tr>
      <w:tr w:rsidR="007278D9" w:rsidRPr="0019609D" w14:paraId="10C3FDAC" w14:textId="77777777" w:rsidTr="007278D9">
        <w:trPr>
          <w:trHeight w:val="300"/>
        </w:trPr>
        <w:tc>
          <w:tcPr>
            <w:tcW w:w="1514" w:type="pct"/>
            <w:gridSpan w:val="2"/>
            <w:shd w:val="clear" w:color="auto" w:fill="auto"/>
            <w:noWrap/>
            <w:vAlign w:val="center"/>
            <w:hideMark/>
          </w:tcPr>
          <w:p w14:paraId="0E18405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lastRenderedPageBreak/>
              <w:t xml:space="preserve">   komputerowych</w:t>
            </w:r>
          </w:p>
        </w:tc>
        <w:tc>
          <w:tcPr>
            <w:tcW w:w="581" w:type="pct"/>
            <w:shd w:val="clear" w:color="auto" w:fill="auto"/>
            <w:noWrap/>
            <w:vAlign w:val="center"/>
            <w:hideMark/>
          </w:tcPr>
          <w:p w14:paraId="5367F27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4 909</w:t>
            </w:r>
          </w:p>
        </w:tc>
        <w:tc>
          <w:tcPr>
            <w:tcW w:w="581" w:type="pct"/>
            <w:shd w:val="clear" w:color="auto" w:fill="auto"/>
            <w:noWrap/>
            <w:vAlign w:val="center"/>
            <w:hideMark/>
          </w:tcPr>
          <w:p w14:paraId="55CE6C7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3 192</w:t>
            </w:r>
          </w:p>
        </w:tc>
        <w:tc>
          <w:tcPr>
            <w:tcW w:w="581" w:type="pct"/>
            <w:shd w:val="clear" w:color="auto" w:fill="auto"/>
            <w:noWrap/>
            <w:vAlign w:val="center"/>
            <w:hideMark/>
          </w:tcPr>
          <w:p w14:paraId="6B230C6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1 717</w:t>
            </w:r>
          </w:p>
        </w:tc>
        <w:tc>
          <w:tcPr>
            <w:tcW w:w="581" w:type="pct"/>
            <w:shd w:val="clear" w:color="auto" w:fill="auto"/>
            <w:noWrap/>
            <w:vAlign w:val="center"/>
            <w:hideMark/>
          </w:tcPr>
          <w:p w14:paraId="3A9EE39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2 300</w:t>
            </w:r>
          </w:p>
        </w:tc>
        <w:tc>
          <w:tcPr>
            <w:tcW w:w="581" w:type="pct"/>
            <w:shd w:val="clear" w:color="auto" w:fill="auto"/>
            <w:noWrap/>
            <w:vAlign w:val="center"/>
            <w:hideMark/>
          </w:tcPr>
          <w:p w14:paraId="7C8D151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1 524</w:t>
            </w:r>
          </w:p>
        </w:tc>
        <w:tc>
          <w:tcPr>
            <w:tcW w:w="582" w:type="pct"/>
            <w:shd w:val="clear" w:color="auto" w:fill="auto"/>
            <w:noWrap/>
            <w:vAlign w:val="center"/>
            <w:hideMark/>
          </w:tcPr>
          <w:p w14:paraId="4B6F881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776</w:t>
            </w:r>
          </w:p>
        </w:tc>
      </w:tr>
    </w:tbl>
    <w:p w14:paraId="4DD854BD" w14:textId="0FA3B1E6" w:rsidR="0019609D" w:rsidRPr="0019609D" w:rsidRDefault="007278D9" w:rsidP="0019609D">
      <w:pPr>
        <w:spacing w:line="240" w:lineRule="auto"/>
        <w:rPr>
          <w:rFonts w:ascii="Lato" w:hAnsi="Lato"/>
          <w:sz w:val="16"/>
          <w:szCs w:val="16"/>
        </w:rPr>
      </w:pPr>
      <w:r w:rsidRPr="004F5101">
        <w:rPr>
          <w:rFonts w:ascii="Lato" w:hAnsi="Lato"/>
          <w:sz w:val="16"/>
          <w:szCs w:val="16"/>
        </w:rPr>
        <w:t>Źródło:  Badanie GUS (sprawozdanie K-07)</w:t>
      </w:r>
    </w:p>
    <w:p w14:paraId="22DCE757" w14:textId="77777777" w:rsidR="0019609D" w:rsidRDefault="0019609D" w:rsidP="0019609D">
      <w:pPr>
        <w:spacing w:after="0" w:line="240" w:lineRule="auto"/>
        <w:jc w:val="both"/>
        <w:rPr>
          <w:rFonts w:ascii="Lato" w:hAnsi="Lato"/>
          <w:sz w:val="20"/>
          <w:szCs w:val="20"/>
        </w:rPr>
      </w:pPr>
      <w:r w:rsidRPr="00E57A39">
        <w:rPr>
          <w:rFonts w:ascii="Lato" w:hAnsi="Lato"/>
          <w:sz w:val="20"/>
          <w:szCs w:val="20"/>
        </w:rPr>
        <w:t xml:space="preserve">Osoby starsze biorą aktywny udział w formach działalności kulturalnej organizowanych przez centra kultury, domy i ośrodki kultury oraz kluby i świetlice. Należy zauważyć, że wybierane formy aktywności związane są często z miejscem zamieszkania i dostępną lokalnie ofertą kulturalną. Różnice te obserwowane są szczególnie między ofertą w miastach i na wsi. Mieszkańcy wsi powyżej 60. roku życia włączają się w inne rodzaje działań kulturalnych i społecznych, niż mieszkańcy miast. </w:t>
      </w:r>
      <w:r>
        <w:rPr>
          <w:rFonts w:ascii="Lato" w:hAnsi="Lato"/>
          <w:sz w:val="20"/>
          <w:szCs w:val="20"/>
        </w:rPr>
        <w:t xml:space="preserve"> </w:t>
      </w:r>
      <w:r w:rsidRPr="00E57A39">
        <w:rPr>
          <w:rFonts w:ascii="Lato" w:hAnsi="Lato"/>
          <w:sz w:val="20"/>
          <w:szCs w:val="20"/>
        </w:rPr>
        <w:t>Mieszkańcy miast, zwłaszcza większych, częściej angażują się w działalność Uniwersytetów Trzeciego Wieku oraz w wolontariat, natomiast mieszkańcy wsi decydują się m.in. na członkostwo w kołach gospodyń wiejskich oraz w zespołach ludowych.</w:t>
      </w:r>
    </w:p>
    <w:p w14:paraId="16B46D97" w14:textId="77777777" w:rsidR="0019609D" w:rsidRDefault="0019609D" w:rsidP="004F5101">
      <w:pPr>
        <w:spacing w:after="0" w:line="240" w:lineRule="auto"/>
        <w:jc w:val="both"/>
        <w:rPr>
          <w:rFonts w:ascii="Lato" w:hAnsi="Lato"/>
          <w:sz w:val="20"/>
          <w:szCs w:val="20"/>
        </w:rPr>
      </w:pPr>
    </w:p>
    <w:p w14:paraId="410D10F2" w14:textId="7F37B1FF" w:rsidR="004A07EE" w:rsidRPr="00E57A39" w:rsidRDefault="004A07EE" w:rsidP="004F5101">
      <w:pPr>
        <w:spacing w:after="0" w:line="240" w:lineRule="auto"/>
        <w:jc w:val="both"/>
        <w:rPr>
          <w:rFonts w:ascii="Lato" w:hAnsi="Lato"/>
          <w:sz w:val="20"/>
          <w:szCs w:val="20"/>
        </w:rPr>
      </w:pPr>
      <w:r w:rsidRPr="00E57A39">
        <w:rPr>
          <w:rFonts w:ascii="Lato" w:hAnsi="Lato"/>
          <w:sz w:val="20"/>
          <w:szCs w:val="20"/>
        </w:rPr>
        <w:t>Z danych GUS wynika</w:t>
      </w:r>
      <w:r>
        <w:rPr>
          <w:rFonts w:ascii="Lato" w:hAnsi="Lato"/>
          <w:sz w:val="20"/>
          <w:szCs w:val="20"/>
        </w:rPr>
        <w:t xml:space="preserve">, że </w:t>
      </w:r>
      <w:r w:rsidRPr="00E57A39">
        <w:rPr>
          <w:rFonts w:ascii="Lato" w:hAnsi="Lato"/>
          <w:sz w:val="20"/>
          <w:szCs w:val="20"/>
        </w:rPr>
        <w:t xml:space="preserve">aktywny udział osób w wieku 60 lat lub więcej odnotowano w ramach działalności różnorodnych kół zainteresowań, klubów i sekcji w instytucjach kultury. Osoby starsze liczyły 1/3 uczestników tych stałych form działalności. </w:t>
      </w:r>
    </w:p>
    <w:p w14:paraId="15BDE75C" w14:textId="77777777" w:rsidR="00AC282E" w:rsidRPr="00AC282E" w:rsidRDefault="00AC282E" w:rsidP="00AC282E">
      <w:pPr>
        <w:spacing w:after="0" w:line="276" w:lineRule="auto"/>
        <w:jc w:val="both"/>
        <w:rPr>
          <w:rFonts w:ascii="Lato" w:hAnsi="Lato" w:cs="Times New Roman"/>
          <w:sz w:val="20"/>
          <w:szCs w:val="20"/>
        </w:rPr>
      </w:pPr>
    </w:p>
    <w:p w14:paraId="14109B65" w14:textId="4CDBD0FB" w:rsidR="007278D9" w:rsidRDefault="007278D9" w:rsidP="007278D9">
      <w:pPr>
        <w:pStyle w:val="Legenda"/>
        <w:keepNext/>
      </w:pPr>
      <w:bookmarkStart w:id="33" w:name="_Toc142565993"/>
      <w:r>
        <w:t xml:space="preserve">Tabela </w:t>
      </w:r>
      <w:fldSimple w:instr=" SEQ Tabela \* ARABIC ">
        <w:r w:rsidR="00AA385B">
          <w:rPr>
            <w:noProof/>
          </w:rPr>
          <w:t>28</w:t>
        </w:r>
      </w:fldSimple>
      <w:r>
        <w:t xml:space="preserve"> Członkowie grup artystycznych w domach, ośrodkach i centrach kultury, klubach i świetlicach w 2022 r.</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4"/>
        <w:gridCol w:w="886"/>
        <w:gridCol w:w="1064"/>
        <w:gridCol w:w="1528"/>
        <w:gridCol w:w="1061"/>
        <w:gridCol w:w="1533"/>
        <w:gridCol w:w="1066"/>
      </w:tblGrid>
      <w:tr w:rsidR="007278D9" w:rsidRPr="007278D9" w14:paraId="0B687DDB" w14:textId="77777777" w:rsidTr="0019609D">
        <w:trPr>
          <w:trHeight w:val="288"/>
        </w:trPr>
        <w:tc>
          <w:tcPr>
            <w:tcW w:w="1059" w:type="pct"/>
            <w:vMerge w:val="restart"/>
            <w:shd w:val="clear" w:color="auto" w:fill="8EAADB" w:themeFill="accent1" w:themeFillTint="99"/>
            <w:vAlign w:val="center"/>
            <w:hideMark/>
          </w:tcPr>
          <w:p w14:paraId="71469A7C"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Województwa </w:t>
            </w:r>
          </w:p>
        </w:tc>
        <w:tc>
          <w:tcPr>
            <w:tcW w:w="498" w:type="pct"/>
            <w:vMerge w:val="restart"/>
            <w:shd w:val="clear" w:color="auto" w:fill="8EAADB" w:themeFill="accent1" w:themeFillTint="99"/>
            <w:vAlign w:val="center"/>
            <w:hideMark/>
          </w:tcPr>
          <w:p w14:paraId="3CA18B5F"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br/>
              <w:t>Ogółem</w:t>
            </w:r>
            <w:r w:rsidRPr="0019609D">
              <w:rPr>
                <w:rFonts w:ascii="Lato" w:eastAsia="Times New Roman" w:hAnsi="Lato" w:cs="Arial"/>
                <w:sz w:val="18"/>
                <w:szCs w:val="18"/>
                <w:lang w:eastAsia="pl-PL"/>
              </w:rPr>
              <w:br/>
              <w:t> </w:t>
            </w:r>
          </w:p>
        </w:tc>
        <w:tc>
          <w:tcPr>
            <w:tcW w:w="3443" w:type="pct"/>
            <w:gridSpan w:val="5"/>
            <w:shd w:val="clear" w:color="auto" w:fill="8EAADB" w:themeFill="accent1" w:themeFillTint="99"/>
            <w:noWrap/>
            <w:vAlign w:val="center"/>
            <w:hideMark/>
          </w:tcPr>
          <w:p w14:paraId="1C6C8CF6"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br/>
              <w:t>W tym</w:t>
            </w:r>
            <w:r w:rsidRPr="0019609D">
              <w:rPr>
                <w:rFonts w:ascii="Lato" w:eastAsia="Times New Roman" w:hAnsi="Lato" w:cs="Arial"/>
                <w:sz w:val="18"/>
                <w:szCs w:val="18"/>
                <w:lang w:eastAsia="pl-PL"/>
              </w:rPr>
              <w:br/>
              <w:t> </w:t>
            </w:r>
          </w:p>
        </w:tc>
      </w:tr>
      <w:tr w:rsidR="007278D9" w:rsidRPr="007278D9" w14:paraId="50053C73" w14:textId="77777777" w:rsidTr="0019609D">
        <w:trPr>
          <w:trHeight w:val="612"/>
        </w:trPr>
        <w:tc>
          <w:tcPr>
            <w:tcW w:w="1059" w:type="pct"/>
            <w:vMerge/>
            <w:shd w:val="clear" w:color="auto" w:fill="8EAADB" w:themeFill="accent1" w:themeFillTint="99"/>
            <w:vAlign w:val="center"/>
            <w:hideMark/>
          </w:tcPr>
          <w:p w14:paraId="42B0EEC9"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498" w:type="pct"/>
            <w:vMerge/>
            <w:shd w:val="clear" w:color="auto" w:fill="8EAADB" w:themeFill="accent1" w:themeFillTint="99"/>
            <w:vAlign w:val="center"/>
            <w:hideMark/>
          </w:tcPr>
          <w:p w14:paraId="18C55FA7" w14:textId="77777777" w:rsidR="007278D9" w:rsidRPr="0019609D" w:rsidRDefault="007278D9" w:rsidP="007278D9">
            <w:pPr>
              <w:spacing w:after="0" w:line="240" w:lineRule="auto"/>
              <w:rPr>
                <w:rFonts w:ascii="Lato" w:eastAsia="Times New Roman" w:hAnsi="Lato" w:cs="Arial"/>
                <w:sz w:val="18"/>
                <w:szCs w:val="18"/>
                <w:lang w:eastAsia="pl-PL"/>
              </w:rPr>
            </w:pPr>
          </w:p>
        </w:tc>
        <w:tc>
          <w:tcPr>
            <w:tcW w:w="596" w:type="pct"/>
            <w:shd w:val="clear" w:color="auto" w:fill="8EAADB" w:themeFill="accent1" w:themeFillTint="99"/>
            <w:vAlign w:val="center"/>
            <w:hideMark/>
          </w:tcPr>
          <w:p w14:paraId="66F339D8"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teatralnych</w:t>
            </w:r>
          </w:p>
        </w:tc>
        <w:tc>
          <w:tcPr>
            <w:tcW w:w="828" w:type="pct"/>
            <w:shd w:val="clear" w:color="auto" w:fill="8EAADB" w:themeFill="accent1" w:themeFillTint="99"/>
            <w:vAlign w:val="center"/>
            <w:hideMark/>
          </w:tcPr>
          <w:p w14:paraId="1BFF0BCE"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muzyczno-</w:t>
            </w:r>
            <w:r w:rsidRPr="0019609D">
              <w:rPr>
                <w:rFonts w:ascii="Lato" w:eastAsia="Times New Roman" w:hAnsi="Lato" w:cs="Arial"/>
                <w:sz w:val="18"/>
                <w:szCs w:val="18"/>
                <w:lang w:eastAsia="pl-PL"/>
              </w:rPr>
              <w:br/>
              <w:t>instrumentalnych</w:t>
            </w:r>
          </w:p>
        </w:tc>
        <w:tc>
          <w:tcPr>
            <w:tcW w:w="594" w:type="pct"/>
            <w:shd w:val="clear" w:color="auto" w:fill="8EAADB" w:themeFill="accent1" w:themeFillTint="99"/>
            <w:vAlign w:val="center"/>
            <w:hideMark/>
          </w:tcPr>
          <w:p w14:paraId="2274ACBD"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wokalnych</w:t>
            </w:r>
            <w:r w:rsidRPr="0019609D">
              <w:rPr>
                <w:rFonts w:ascii="Lato" w:eastAsia="Times New Roman" w:hAnsi="Lato" w:cs="Arial"/>
                <w:sz w:val="18"/>
                <w:szCs w:val="18"/>
                <w:lang w:eastAsia="pl-PL"/>
              </w:rPr>
              <w:br/>
              <w:t>i chórów</w:t>
            </w:r>
          </w:p>
        </w:tc>
        <w:tc>
          <w:tcPr>
            <w:tcW w:w="828" w:type="pct"/>
            <w:shd w:val="clear" w:color="auto" w:fill="8EAADB" w:themeFill="accent1" w:themeFillTint="99"/>
            <w:vAlign w:val="center"/>
            <w:hideMark/>
          </w:tcPr>
          <w:p w14:paraId="71138C66"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folklorystycznych</w:t>
            </w:r>
          </w:p>
        </w:tc>
        <w:tc>
          <w:tcPr>
            <w:tcW w:w="597" w:type="pct"/>
            <w:shd w:val="clear" w:color="auto" w:fill="8EAADB" w:themeFill="accent1" w:themeFillTint="99"/>
            <w:vAlign w:val="center"/>
            <w:hideMark/>
          </w:tcPr>
          <w:p w14:paraId="15FE18AC"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tanecznych</w:t>
            </w:r>
          </w:p>
        </w:tc>
      </w:tr>
      <w:tr w:rsidR="007278D9" w:rsidRPr="007278D9" w14:paraId="62D74DB7" w14:textId="77777777" w:rsidTr="007278D9">
        <w:trPr>
          <w:trHeight w:val="300"/>
        </w:trPr>
        <w:tc>
          <w:tcPr>
            <w:tcW w:w="5000" w:type="pct"/>
            <w:gridSpan w:val="7"/>
            <w:shd w:val="clear" w:color="auto" w:fill="auto"/>
            <w:vAlign w:val="center"/>
            <w:hideMark/>
          </w:tcPr>
          <w:p w14:paraId="73ECE9EE"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OGÓŁEM</w:t>
            </w:r>
          </w:p>
        </w:tc>
      </w:tr>
      <w:tr w:rsidR="007278D9" w:rsidRPr="007278D9" w14:paraId="63095BC1" w14:textId="77777777" w:rsidTr="007278D9">
        <w:trPr>
          <w:trHeight w:val="300"/>
        </w:trPr>
        <w:tc>
          <w:tcPr>
            <w:tcW w:w="1059" w:type="pct"/>
            <w:shd w:val="clear" w:color="auto" w:fill="auto"/>
            <w:noWrap/>
            <w:vAlign w:val="center"/>
            <w:hideMark/>
          </w:tcPr>
          <w:p w14:paraId="78CD41DD"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7564BA10"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241 432</w:t>
            </w:r>
          </w:p>
        </w:tc>
        <w:tc>
          <w:tcPr>
            <w:tcW w:w="596" w:type="pct"/>
            <w:shd w:val="clear" w:color="auto" w:fill="auto"/>
            <w:vAlign w:val="center"/>
            <w:hideMark/>
          </w:tcPr>
          <w:p w14:paraId="3442DE8A"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24 195</w:t>
            </w:r>
          </w:p>
        </w:tc>
        <w:tc>
          <w:tcPr>
            <w:tcW w:w="828" w:type="pct"/>
            <w:shd w:val="clear" w:color="auto" w:fill="auto"/>
            <w:vAlign w:val="center"/>
            <w:hideMark/>
          </w:tcPr>
          <w:p w14:paraId="04602F2D"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37 155</w:t>
            </w:r>
          </w:p>
        </w:tc>
        <w:tc>
          <w:tcPr>
            <w:tcW w:w="594" w:type="pct"/>
            <w:shd w:val="clear" w:color="auto" w:fill="auto"/>
            <w:vAlign w:val="center"/>
            <w:hideMark/>
          </w:tcPr>
          <w:p w14:paraId="78FE790E"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45 870</w:t>
            </w:r>
          </w:p>
        </w:tc>
        <w:tc>
          <w:tcPr>
            <w:tcW w:w="828" w:type="pct"/>
            <w:shd w:val="clear" w:color="auto" w:fill="auto"/>
            <w:vAlign w:val="center"/>
            <w:hideMark/>
          </w:tcPr>
          <w:p w14:paraId="557718A1"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50 625</w:t>
            </w:r>
          </w:p>
        </w:tc>
        <w:tc>
          <w:tcPr>
            <w:tcW w:w="597" w:type="pct"/>
            <w:shd w:val="clear" w:color="auto" w:fill="auto"/>
            <w:vAlign w:val="center"/>
            <w:hideMark/>
          </w:tcPr>
          <w:p w14:paraId="54F8ACC8"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72 032</w:t>
            </w:r>
          </w:p>
        </w:tc>
      </w:tr>
      <w:tr w:rsidR="007278D9" w:rsidRPr="007278D9" w14:paraId="2BE752BB" w14:textId="77777777" w:rsidTr="007278D9">
        <w:trPr>
          <w:trHeight w:val="300"/>
        </w:trPr>
        <w:tc>
          <w:tcPr>
            <w:tcW w:w="1059" w:type="pct"/>
            <w:shd w:val="clear" w:color="auto" w:fill="auto"/>
            <w:noWrap/>
            <w:vAlign w:val="center"/>
            <w:hideMark/>
          </w:tcPr>
          <w:p w14:paraId="7911F8E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4187283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15 203</w:t>
            </w:r>
          </w:p>
        </w:tc>
        <w:tc>
          <w:tcPr>
            <w:tcW w:w="596" w:type="pct"/>
            <w:shd w:val="clear" w:color="auto" w:fill="auto"/>
            <w:vAlign w:val="center"/>
            <w:hideMark/>
          </w:tcPr>
          <w:p w14:paraId="791F701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1 646</w:t>
            </w:r>
          </w:p>
        </w:tc>
        <w:tc>
          <w:tcPr>
            <w:tcW w:w="828" w:type="pct"/>
            <w:shd w:val="clear" w:color="auto" w:fill="auto"/>
            <w:vAlign w:val="center"/>
            <w:hideMark/>
          </w:tcPr>
          <w:p w14:paraId="461D256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1 794</w:t>
            </w:r>
          </w:p>
        </w:tc>
        <w:tc>
          <w:tcPr>
            <w:tcW w:w="594" w:type="pct"/>
            <w:shd w:val="clear" w:color="auto" w:fill="auto"/>
            <w:vAlign w:val="center"/>
            <w:hideMark/>
          </w:tcPr>
          <w:p w14:paraId="6731FAF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2 469</w:t>
            </w:r>
          </w:p>
        </w:tc>
        <w:tc>
          <w:tcPr>
            <w:tcW w:w="828" w:type="pct"/>
            <w:shd w:val="clear" w:color="auto" w:fill="auto"/>
            <w:vAlign w:val="center"/>
            <w:hideMark/>
          </w:tcPr>
          <w:p w14:paraId="03751E2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3 463</w:t>
            </w:r>
          </w:p>
        </w:tc>
        <w:tc>
          <w:tcPr>
            <w:tcW w:w="597" w:type="pct"/>
            <w:shd w:val="clear" w:color="auto" w:fill="auto"/>
            <w:vAlign w:val="center"/>
            <w:hideMark/>
          </w:tcPr>
          <w:p w14:paraId="3F11E0B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4 738</w:t>
            </w:r>
          </w:p>
        </w:tc>
      </w:tr>
      <w:tr w:rsidR="007278D9" w:rsidRPr="007278D9" w14:paraId="5A21A7B9" w14:textId="77777777" w:rsidTr="007278D9">
        <w:trPr>
          <w:trHeight w:val="300"/>
        </w:trPr>
        <w:tc>
          <w:tcPr>
            <w:tcW w:w="1059" w:type="pct"/>
            <w:shd w:val="clear" w:color="auto" w:fill="auto"/>
            <w:noWrap/>
            <w:vAlign w:val="center"/>
            <w:hideMark/>
          </w:tcPr>
          <w:p w14:paraId="645D9FE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76CB73A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9 065</w:t>
            </w:r>
          </w:p>
        </w:tc>
        <w:tc>
          <w:tcPr>
            <w:tcW w:w="596" w:type="pct"/>
            <w:shd w:val="clear" w:color="auto" w:fill="auto"/>
            <w:vAlign w:val="center"/>
            <w:hideMark/>
          </w:tcPr>
          <w:p w14:paraId="76216DC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816</w:t>
            </w:r>
          </w:p>
        </w:tc>
        <w:tc>
          <w:tcPr>
            <w:tcW w:w="828" w:type="pct"/>
            <w:shd w:val="clear" w:color="auto" w:fill="auto"/>
            <w:vAlign w:val="center"/>
            <w:hideMark/>
          </w:tcPr>
          <w:p w14:paraId="7B7CE1C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1 577</w:t>
            </w:r>
          </w:p>
        </w:tc>
        <w:tc>
          <w:tcPr>
            <w:tcW w:w="594" w:type="pct"/>
            <w:shd w:val="clear" w:color="auto" w:fill="auto"/>
            <w:vAlign w:val="center"/>
            <w:hideMark/>
          </w:tcPr>
          <w:p w14:paraId="00EE66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2 081</w:t>
            </w:r>
          </w:p>
        </w:tc>
        <w:tc>
          <w:tcPr>
            <w:tcW w:w="828" w:type="pct"/>
            <w:shd w:val="clear" w:color="auto" w:fill="auto"/>
            <w:vAlign w:val="center"/>
            <w:hideMark/>
          </w:tcPr>
          <w:p w14:paraId="54E2537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1 115</w:t>
            </w:r>
          </w:p>
        </w:tc>
        <w:tc>
          <w:tcPr>
            <w:tcW w:w="597" w:type="pct"/>
            <w:shd w:val="clear" w:color="auto" w:fill="auto"/>
            <w:vAlign w:val="center"/>
            <w:hideMark/>
          </w:tcPr>
          <w:p w14:paraId="09AA022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2 924</w:t>
            </w:r>
          </w:p>
        </w:tc>
      </w:tr>
      <w:tr w:rsidR="007278D9" w:rsidRPr="007278D9" w14:paraId="62613871" w14:textId="77777777" w:rsidTr="007278D9">
        <w:trPr>
          <w:trHeight w:val="300"/>
        </w:trPr>
        <w:tc>
          <w:tcPr>
            <w:tcW w:w="1059" w:type="pct"/>
            <w:shd w:val="clear" w:color="auto" w:fill="auto"/>
            <w:noWrap/>
            <w:vAlign w:val="center"/>
            <w:hideMark/>
          </w:tcPr>
          <w:p w14:paraId="582C5353"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37857F4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18 801</w:t>
            </w:r>
          </w:p>
        </w:tc>
        <w:tc>
          <w:tcPr>
            <w:tcW w:w="596" w:type="pct"/>
            <w:shd w:val="clear" w:color="auto" w:fill="auto"/>
            <w:vAlign w:val="center"/>
            <w:hideMark/>
          </w:tcPr>
          <w:p w14:paraId="1771993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1 825</w:t>
            </w:r>
          </w:p>
        </w:tc>
        <w:tc>
          <w:tcPr>
            <w:tcW w:w="828" w:type="pct"/>
            <w:shd w:val="clear" w:color="auto" w:fill="auto"/>
            <w:vAlign w:val="center"/>
            <w:hideMark/>
          </w:tcPr>
          <w:p w14:paraId="7C10CB6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2 210</w:t>
            </w:r>
          </w:p>
        </w:tc>
        <w:tc>
          <w:tcPr>
            <w:tcW w:w="594" w:type="pct"/>
            <w:shd w:val="clear" w:color="auto" w:fill="auto"/>
            <w:vAlign w:val="center"/>
            <w:hideMark/>
          </w:tcPr>
          <w:p w14:paraId="2B58B74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3 310</w:t>
            </w:r>
          </w:p>
        </w:tc>
        <w:tc>
          <w:tcPr>
            <w:tcW w:w="828" w:type="pct"/>
            <w:shd w:val="clear" w:color="auto" w:fill="auto"/>
            <w:vAlign w:val="center"/>
            <w:hideMark/>
          </w:tcPr>
          <w:p w14:paraId="057C6F9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4 961</w:t>
            </w:r>
          </w:p>
        </w:tc>
        <w:tc>
          <w:tcPr>
            <w:tcW w:w="597" w:type="pct"/>
            <w:shd w:val="clear" w:color="auto" w:fill="auto"/>
            <w:vAlign w:val="center"/>
            <w:hideMark/>
          </w:tcPr>
          <w:p w14:paraId="11D2E32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5 772</w:t>
            </w:r>
          </w:p>
        </w:tc>
      </w:tr>
      <w:tr w:rsidR="007278D9" w:rsidRPr="007278D9" w14:paraId="623508E7" w14:textId="77777777" w:rsidTr="007278D9">
        <w:trPr>
          <w:trHeight w:val="300"/>
        </w:trPr>
        <w:tc>
          <w:tcPr>
            <w:tcW w:w="1059" w:type="pct"/>
            <w:shd w:val="clear" w:color="auto" w:fill="auto"/>
            <w:noWrap/>
            <w:vAlign w:val="center"/>
            <w:hideMark/>
          </w:tcPr>
          <w:p w14:paraId="46BF28C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2E8B6E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6 400</w:t>
            </w:r>
          </w:p>
        </w:tc>
        <w:tc>
          <w:tcPr>
            <w:tcW w:w="596" w:type="pct"/>
            <w:shd w:val="clear" w:color="auto" w:fill="auto"/>
            <w:vAlign w:val="center"/>
            <w:hideMark/>
          </w:tcPr>
          <w:p w14:paraId="362B226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1 191</w:t>
            </w:r>
          </w:p>
        </w:tc>
        <w:tc>
          <w:tcPr>
            <w:tcW w:w="828" w:type="pct"/>
            <w:shd w:val="clear" w:color="auto" w:fill="auto"/>
            <w:vAlign w:val="center"/>
            <w:hideMark/>
          </w:tcPr>
          <w:p w14:paraId="2FD3E55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629</w:t>
            </w:r>
          </w:p>
        </w:tc>
        <w:tc>
          <w:tcPr>
            <w:tcW w:w="594" w:type="pct"/>
            <w:shd w:val="clear" w:color="auto" w:fill="auto"/>
            <w:vAlign w:val="center"/>
            <w:hideMark/>
          </w:tcPr>
          <w:p w14:paraId="6F123A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1 516</w:t>
            </w:r>
          </w:p>
        </w:tc>
        <w:tc>
          <w:tcPr>
            <w:tcW w:w="828" w:type="pct"/>
            <w:shd w:val="clear" w:color="auto" w:fill="auto"/>
            <w:vAlign w:val="center"/>
            <w:hideMark/>
          </w:tcPr>
          <w:p w14:paraId="295E494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750</w:t>
            </w:r>
          </w:p>
        </w:tc>
        <w:tc>
          <w:tcPr>
            <w:tcW w:w="597" w:type="pct"/>
            <w:shd w:val="clear" w:color="auto" w:fill="auto"/>
            <w:vAlign w:val="center"/>
            <w:hideMark/>
          </w:tcPr>
          <w:p w14:paraId="212D4EC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2 236</w:t>
            </w:r>
          </w:p>
        </w:tc>
      </w:tr>
      <w:tr w:rsidR="007278D9" w:rsidRPr="007278D9" w14:paraId="35977933" w14:textId="77777777" w:rsidTr="007278D9">
        <w:trPr>
          <w:trHeight w:val="300"/>
        </w:trPr>
        <w:tc>
          <w:tcPr>
            <w:tcW w:w="1059" w:type="pct"/>
            <w:shd w:val="clear" w:color="auto" w:fill="auto"/>
            <w:noWrap/>
            <w:vAlign w:val="center"/>
            <w:hideMark/>
          </w:tcPr>
          <w:p w14:paraId="27A37E7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4637F22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15 681</w:t>
            </w:r>
          </w:p>
        </w:tc>
        <w:tc>
          <w:tcPr>
            <w:tcW w:w="596" w:type="pct"/>
            <w:shd w:val="clear" w:color="auto" w:fill="auto"/>
            <w:vAlign w:val="center"/>
            <w:hideMark/>
          </w:tcPr>
          <w:p w14:paraId="6B508D5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1 084</w:t>
            </w:r>
          </w:p>
        </w:tc>
        <w:tc>
          <w:tcPr>
            <w:tcW w:w="828" w:type="pct"/>
            <w:shd w:val="clear" w:color="auto" w:fill="auto"/>
            <w:vAlign w:val="center"/>
            <w:hideMark/>
          </w:tcPr>
          <w:p w14:paraId="0C4C1D8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2 657</w:t>
            </w:r>
          </w:p>
        </w:tc>
        <w:tc>
          <w:tcPr>
            <w:tcW w:w="594" w:type="pct"/>
            <w:shd w:val="clear" w:color="auto" w:fill="auto"/>
            <w:vAlign w:val="center"/>
            <w:hideMark/>
          </w:tcPr>
          <w:p w14:paraId="5F15778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2 548</w:t>
            </w:r>
          </w:p>
        </w:tc>
        <w:tc>
          <w:tcPr>
            <w:tcW w:w="828" w:type="pct"/>
            <w:shd w:val="clear" w:color="auto" w:fill="auto"/>
            <w:vAlign w:val="center"/>
            <w:hideMark/>
          </w:tcPr>
          <w:p w14:paraId="5596FAF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3 519</w:t>
            </w:r>
          </w:p>
        </w:tc>
        <w:tc>
          <w:tcPr>
            <w:tcW w:w="597" w:type="pct"/>
            <w:shd w:val="clear" w:color="auto" w:fill="auto"/>
            <w:vAlign w:val="center"/>
            <w:hideMark/>
          </w:tcPr>
          <w:p w14:paraId="1C27954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4 725</w:t>
            </w:r>
          </w:p>
        </w:tc>
      </w:tr>
      <w:tr w:rsidR="007278D9" w:rsidRPr="007278D9" w14:paraId="167B6851" w14:textId="77777777" w:rsidTr="007278D9">
        <w:trPr>
          <w:trHeight w:val="300"/>
        </w:trPr>
        <w:tc>
          <w:tcPr>
            <w:tcW w:w="1059" w:type="pct"/>
            <w:shd w:val="clear" w:color="auto" w:fill="auto"/>
            <w:noWrap/>
            <w:vAlign w:val="center"/>
            <w:hideMark/>
          </w:tcPr>
          <w:p w14:paraId="0F11654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2967472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29 717</w:t>
            </w:r>
          </w:p>
        </w:tc>
        <w:tc>
          <w:tcPr>
            <w:tcW w:w="596" w:type="pct"/>
            <w:shd w:val="clear" w:color="auto" w:fill="auto"/>
            <w:vAlign w:val="center"/>
            <w:hideMark/>
          </w:tcPr>
          <w:p w14:paraId="7A20C43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3 009</w:t>
            </w:r>
          </w:p>
        </w:tc>
        <w:tc>
          <w:tcPr>
            <w:tcW w:w="828" w:type="pct"/>
            <w:shd w:val="clear" w:color="auto" w:fill="auto"/>
            <w:vAlign w:val="center"/>
            <w:hideMark/>
          </w:tcPr>
          <w:p w14:paraId="5615065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6 031</w:t>
            </w:r>
          </w:p>
        </w:tc>
        <w:tc>
          <w:tcPr>
            <w:tcW w:w="594" w:type="pct"/>
            <w:shd w:val="clear" w:color="auto" w:fill="auto"/>
            <w:vAlign w:val="center"/>
            <w:hideMark/>
          </w:tcPr>
          <w:p w14:paraId="7FA0271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3 797</w:t>
            </w:r>
          </w:p>
        </w:tc>
        <w:tc>
          <w:tcPr>
            <w:tcW w:w="828" w:type="pct"/>
            <w:shd w:val="clear" w:color="auto" w:fill="auto"/>
            <w:vAlign w:val="center"/>
            <w:hideMark/>
          </w:tcPr>
          <w:p w14:paraId="3E07A89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11 040</w:t>
            </w:r>
          </w:p>
        </w:tc>
        <w:tc>
          <w:tcPr>
            <w:tcW w:w="597" w:type="pct"/>
            <w:shd w:val="clear" w:color="auto" w:fill="auto"/>
            <w:vAlign w:val="center"/>
            <w:hideMark/>
          </w:tcPr>
          <w:p w14:paraId="46DC8F8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5 135</w:t>
            </w:r>
          </w:p>
        </w:tc>
      </w:tr>
      <w:tr w:rsidR="007278D9" w:rsidRPr="007278D9" w14:paraId="56566552" w14:textId="77777777" w:rsidTr="007278D9">
        <w:trPr>
          <w:trHeight w:val="300"/>
        </w:trPr>
        <w:tc>
          <w:tcPr>
            <w:tcW w:w="1059" w:type="pct"/>
            <w:shd w:val="clear" w:color="auto" w:fill="auto"/>
            <w:noWrap/>
            <w:vAlign w:val="center"/>
            <w:hideMark/>
          </w:tcPr>
          <w:p w14:paraId="175DB455"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00DBF09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23 008</w:t>
            </w:r>
          </w:p>
        </w:tc>
        <w:tc>
          <w:tcPr>
            <w:tcW w:w="596" w:type="pct"/>
            <w:shd w:val="clear" w:color="auto" w:fill="auto"/>
            <w:vAlign w:val="center"/>
            <w:hideMark/>
          </w:tcPr>
          <w:p w14:paraId="10AA27F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3 791</w:t>
            </w:r>
          </w:p>
        </w:tc>
        <w:tc>
          <w:tcPr>
            <w:tcW w:w="828" w:type="pct"/>
            <w:shd w:val="clear" w:color="auto" w:fill="auto"/>
            <w:vAlign w:val="center"/>
            <w:hideMark/>
          </w:tcPr>
          <w:p w14:paraId="6ACC681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3 737</w:t>
            </w:r>
          </w:p>
        </w:tc>
        <w:tc>
          <w:tcPr>
            <w:tcW w:w="594" w:type="pct"/>
            <w:shd w:val="clear" w:color="auto" w:fill="auto"/>
            <w:vAlign w:val="center"/>
            <w:hideMark/>
          </w:tcPr>
          <w:p w14:paraId="3EC2A15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5 214</w:t>
            </w:r>
          </w:p>
        </w:tc>
        <w:tc>
          <w:tcPr>
            <w:tcW w:w="828" w:type="pct"/>
            <w:shd w:val="clear" w:color="auto" w:fill="auto"/>
            <w:vAlign w:val="center"/>
            <w:hideMark/>
          </w:tcPr>
          <w:p w14:paraId="4BB3B05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3 060</w:t>
            </w:r>
          </w:p>
        </w:tc>
        <w:tc>
          <w:tcPr>
            <w:tcW w:w="597" w:type="pct"/>
            <w:shd w:val="clear" w:color="auto" w:fill="auto"/>
            <w:vAlign w:val="center"/>
            <w:hideMark/>
          </w:tcPr>
          <w:p w14:paraId="4781B70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6 102</w:t>
            </w:r>
          </w:p>
        </w:tc>
      </w:tr>
      <w:tr w:rsidR="007278D9" w:rsidRPr="007278D9" w14:paraId="0980032A" w14:textId="77777777" w:rsidTr="007278D9">
        <w:trPr>
          <w:trHeight w:val="300"/>
        </w:trPr>
        <w:tc>
          <w:tcPr>
            <w:tcW w:w="1059" w:type="pct"/>
            <w:shd w:val="clear" w:color="auto" w:fill="auto"/>
            <w:noWrap/>
            <w:vAlign w:val="center"/>
            <w:hideMark/>
          </w:tcPr>
          <w:p w14:paraId="4B79F153"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Opolskie</w:t>
            </w:r>
          </w:p>
        </w:tc>
        <w:tc>
          <w:tcPr>
            <w:tcW w:w="498" w:type="pct"/>
            <w:shd w:val="clear" w:color="auto" w:fill="auto"/>
            <w:noWrap/>
            <w:vAlign w:val="center"/>
            <w:hideMark/>
          </w:tcPr>
          <w:p w14:paraId="202BE4A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7 199</w:t>
            </w:r>
          </w:p>
        </w:tc>
        <w:tc>
          <w:tcPr>
            <w:tcW w:w="596" w:type="pct"/>
            <w:shd w:val="clear" w:color="auto" w:fill="auto"/>
            <w:vAlign w:val="center"/>
            <w:hideMark/>
          </w:tcPr>
          <w:p w14:paraId="4EEEC86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413</w:t>
            </w:r>
          </w:p>
        </w:tc>
        <w:tc>
          <w:tcPr>
            <w:tcW w:w="828" w:type="pct"/>
            <w:shd w:val="clear" w:color="auto" w:fill="auto"/>
            <w:vAlign w:val="center"/>
            <w:hideMark/>
          </w:tcPr>
          <w:p w14:paraId="398B286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1 169</w:t>
            </w:r>
          </w:p>
        </w:tc>
        <w:tc>
          <w:tcPr>
            <w:tcW w:w="594" w:type="pct"/>
            <w:shd w:val="clear" w:color="auto" w:fill="auto"/>
            <w:vAlign w:val="center"/>
            <w:hideMark/>
          </w:tcPr>
          <w:p w14:paraId="2A99E3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1 354</w:t>
            </w:r>
          </w:p>
        </w:tc>
        <w:tc>
          <w:tcPr>
            <w:tcW w:w="828" w:type="pct"/>
            <w:shd w:val="clear" w:color="auto" w:fill="auto"/>
            <w:vAlign w:val="center"/>
            <w:hideMark/>
          </w:tcPr>
          <w:p w14:paraId="6CB8233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545</w:t>
            </w:r>
          </w:p>
        </w:tc>
        <w:tc>
          <w:tcPr>
            <w:tcW w:w="597" w:type="pct"/>
            <w:shd w:val="clear" w:color="auto" w:fill="auto"/>
            <w:vAlign w:val="center"/>
            <w:hideMark/>
          </w:tcPr>
          <w:p w14:paraId="6F2C171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2 796</w:t>
            </w:r>
          </w:p>
        </w:tc>
      </w:tr>
      <w:tr w:rsidR="007278D9" w:rsidRPr="007278D9" w14:paraId="390F4C47" w14:textId="77777777" w:rsidTr="007278D9">
        <w:trPr>
          <w:trHeight w:val="300"/>
        </w:trPr>
        <w:tc>
          <w:tcPr>
            <w:tcW w:w="1059" w:type="pct"/>
            <w:shd w:val="clear" w:color="auto" w:fill="auto"/>
            <w:noWrap/>
            <w:vAlign w:val="center"/>
            <w:hideMark/>
          </w:tcPr>
          <w:p w14:paraId="0F062253"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795F893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24 901</w:t>
            </w:r>
          </w:p>
        </w:tc>
        <w:tc>
          <w:tcPr>
            <w:tcW w:w="596" w:type="pct"/>
            <w:shd w:val="clear" w:color="auto" w:fill="auto"/>
            <w:vAlign w:val="center"/>
            <w:hideMark/>
          </w:tcPr>
          <w:p w14:paraId="6120E71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2 383</w:t>
            </w:r>
          </w:p>
        </w:tc>
        <w:tc>
          <w:tcPr>
            <w:tcW w:w="828" w:type="pct"/>
            <w:shd w:val="clear" w:color="auto" w:fill="auto"/>
            <w:vAlign w:val="center"/>
            <w:hideMark/>
          </w:tcPr>
          <w:p w14:paraId="464F2A6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3 173</w:t>
            </w:r>
          </w:p>
        </w:tc>
        <w:tc>
          <w:tcPr>
            <w:tcW w:w="594" w:type="pct"/>
            <w:shd w:val="clear" w:color="auto" w:fill="auto"/>
            <w:vAlign w:val="center"/>
            <w:hideMark/>
          </w:tcPr>
          <w:p w14:paraId="661AE70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4 354</w:t>
            </w:r>
          </w:p>
        </w:tc>
        <w:tc>
          <w:tcPr>
            <w:tcW w:w="828" w:type="pct"/>
            <w:shd w:val="clear" w:color="auto" w:fill="auto"/>
            <w:vAlign w:val="center"/>
            <w:hideMark/>
          </w:tcPr>
          <w:p w14:paraId="311E763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5 286</w:t>
            </w:r>
          </w:p>
        </w:tc>
        <w:tc>
          <w:tcPr>
            <w:tcW w:w="597" w:type="pct"/>
            <w:shd w:val="clear" w:color="auto" w:fill="auto"/>
            <w:vAlign w:val="center"/>
            <w:hideMark/>
          </w:tcPr>
          <w:p w14:paraId="78AA51C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8 906</w:t>
            </w:r>
          </w:p>
        </w:tc>
      </w:tr>
      <w:tr w:rsidR="007278D9" w:rsidRPr="007278D9" w14:paraId="5C22C477" w14:textId="77777777" w:rsidTr="007278D9">
        <w:trPr>
          <w:trHeight w:val="300"/>
        </w:trPr>
        <w:tc>
          <w:tcPr>
            <w:tcW w:w="1059" w:type="pct"/>
            <w:shd w:val="clear" w:color="auto" w:fill="auto"/>
            <w:noWrap/>
            <w:vAlign w:val="center"/>
            <w:hideMark/>
          </w:tcPr>
          <w:p w14:paraId="1AEE20A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3C68615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9 768</w:t>
            </w:r>
          </w:p>
        </w:tc>
        <w:tc>
          <w:tcPr>
            <w:tcW w:w="596" w:type="pct"/>
            <w:shd w:val="clear" w:color="auto" w:fill="auto"/>
            <w:vAlign w:val="center"/>
            <w:hideMark/>
          </w:tcPr>
          <w:p w14:paraId="0B6C28C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983</w:t>
            </w:r>
          </w:p>
        </w:tc>
        <w:tc>
          <w:tcPr>
            <w:tcW w:w="828" w:type="pct"/>
            <w:shd w:val="clear" w:color="auto" w:fill="auto"/>
            <w:vAlign w:val="center"/>
            <w:hideMark/>
          </w:tcPr>
          <w:p w14:paraId="4F65BED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1 314</w:t>
            </w:r>
          </w:p>
        </w:tc>
        <w:tc>
          <w:tcPr>
            <w:tcW w:w="594" w:type="pct"/>
            <w:shd w:val="clear" w:color="auto" w:fill="auto"/>
            <w:vAlign w:val="center"/>
            <w:hideMark/>
          </w:tcPr>
          <w:p w14:paraId="0D567EA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1 970</w:t>
            </w:r>
          </w:p>
        </w:tc>
        <w:tc>
          <w:tcPr>
            <w:tcW w:w="828" w:type="pct"/>
            <w:shd w:val="clear" w:color="auto" w:fill="auto"/>
            <w:vAlign w:val="center"/>
            <w:hideMark/>
          </w:tcPr>
          <w:p w14:paraId="4A45393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2 198</w:t>
            </w:r>
          </w:p>
        </w:tc>
        <w:tc>
          <w:tcPr>
            <w:tcW w:w="597" w:type="pct"/>
            <w:shd w:val="clear" w:color="auto" w:fill="auto"/>
            <w:vAlign w:val="center"/>
            <w:hideMark/>
          </w:tcPr>
          <w:p w14:paraId="5CAFB7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2 606</w:t>
            </w:r>
          </w:p>
        </w:tc>
      </w:tr>
      <w:tr w:rsidR="007278D9" w:rsidRPr="007278D9" w14:paraId="51CDB832" w14:textId="77777777" w:rsidTr="007278D9">
        <w:trPr>
          <w:trHeight w:val="300"/>
        </w:trPr>
        <w:tc>
          <w:tcPr>
            <w:tcW w:w="1059" w:type="pct"/>
            <w:shd w:val="clear" w:color="auto" w:fill="auto"/>
            <w:noWrap/>
            <w:vAlign w:val="center"/>
            <w:hideMark/>
          </w:tcPr>
          <w:p w14:paraId="3CD7F44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43C41D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9 299</w:t>
            </w:r>
          </w:p>
        </w:tc>
        <w:tc>
          <w:tcPr>
            <w:tcW w:w="596" w:type="pct"/>
            <w:shd w:val="clear" w:color="auto" w:fill="auto"/>
            <w:vAlign w:val="center"/>
            <w:hideMark/>
          </w:tcPr>
          <w:p w14:paraId="55AB42D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903</w:t>
            </w:r>
          </w:p>
        </w:tc>
        <w:tc>
          <w:tcPr>
            <w:tcW w:w="828" w:type="pct"/>
            <w:shd w:val="clear" w:color="auto" w:fill="auto"/>
            <w:vAlign w:val="center"/>
            <w:hideMark/>
          </w:tcPr>
          <w:p w14:paraId="2630C9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1 365</w:t>
            </w:r>
          </w:p>
        </w:tc>
        <w:tc>
          <w:tcPr>
            <w:tcW w:w="594" w:type="pct"/>
            <w:shd w:val="clear" w:color="auto" w:fill="auto"/>
            <w:vAlign w:val="center"/>
            <w:hideMark/>
          </w:tcPr>
          <w:p w14:paraId="38B26D4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2 270</w:t>
            </w:r>
          </w:p>
        </w:tc>
        <w:tc>
          <w:tcPr>
            <w:tcW w:w="828" w:type="pct"/>
            <w:shd w:val="clear" w:color="auto" w:fill="auto"/>
            <w:vAlign w:val="center"/>
            <w:hideMark/>
          </w:tcPr>
          <w:p w14:paraId="3016812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1 464</w:t>
            </w:r>
          </w:p>
        </w:tc>
        <w:tc>
          <w:tcPr>
            <w:tcW w:w="597" w:type="pct"/>
            <w:shd w:val="clear" w:color="auto" w:fill="auto"/>
            <w:vAlign w:val="center"/>
            <w:hideMark/>
          </w:tcPr>
          <w:p w14:paraId="6A65788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3 008</w:t>
            </w:r>
          </w:p>
        </w:tc>
      </w:tr>
      <w:tr w:rsidR="007278D9" w:rsidRPr="007278D9" w14:paraId="41A0BA08" w14:textId="77777777" w:rsidTr="007278D9">
        <w:trPr>
          <w:trHeight w:val="300"/>
        </w:trPr>
        <w:tc>
          <w:tcPr>
            <w:tcW w:w="1059" w:type="pct"/>
            <w:shd w:val="clear" w:color="auto" w:fill="auto"/>
            <w:noWrap/>
            <w:vAlign w:val="center"/>
            <w:hideMark/>
          </w:tcPr>
          <w:p w14:paraId="5C20383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5B1A99C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27 298</w:t>
            </w:r>
          </w:p>
        </w:tc>
        <w:tc>
          <w:tcPr>
            <w:tcW w:w="596" w:type="pct"/>
            <w:shd w:val="clear" w:color="auto" w:fill="auto"/>
            <w:vAlign w:val="center"/>
            <w:hideMark/>
          </w:tcPr>
          <w:p w14:paraId="268B7AA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2 114</w:t>
            </w:r>
          </w:p>
        </w:tc>
        <w:tc>
          <w:tcPr>
            <w:tcW w:w="828" w:type="pct"/>
            <w:shd w:val="clear" w:color="auto" w:fill="auto"/>
            <w:vAlign w:val="center"/>
            <w:hideMark/>
          </w:tcPr>
          <w:p w14:paraId="4FEC69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3 833</w:t>
            </w:r>
          </w:p>
        </w:tc>
        <w:tc>
          <w:tcPr>
            <w:tcW w:w="594" w:type="pct"/>
            <w:shd w:val="clear" w:color="auto" w:fill="auto"/>
            <w:vAlign w:val="center"/>
            <w:hideMark/>
          </w:tcPr>
          <w:p w14:paraId="3BA8711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4 963</w:t>
            </w:r>
          </w:p>
        </w:tc>
        <w:tc>
          <w:tcPr>
            <w:tcW w:w="828" w:type="pct"/>
            <w:shd w:val="clear" w:color="auto" w:fill="auto"/>
            <w:vAlign w:val="center"/>
            <w:hideMark/>
          </w:tcPr>
          <w:p w14:paraId="4807E1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5 650</w:t>
            </w:r>
          </w:p>
        </w:tc>
        <w:tc>
          <w:tcPr>
            <w:tcW w:w="597" w:type="pct"/>
            <w:shd w:val="clear" w:color="auto" w:fill="auto"/>
            <w:vAlign w:val="center"/>
            <w:hideMark/>
          </w:tcPr>
          <w:p w14:paraId="7168195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9 372</w:t>
            </w:r>
          </w:p>
        </w:tc>
      </w:tr>
      <w:tr w:rsidR="007278D9" w:rsidRPr="007278D9" w14:paraId="0A01A7BF" w14:textId="77777777" w:rsidTr="007278D9">
        <w:trPr>
          <w:trHeight w:val="300"/>
        </w:trPr>
        <w:tc>
          <w:tcPr>
            <w:tcW w:w="1059" w:type="pct"/>
            <w:shd w:val="clear" w:color="auto" w:fill="auto"/>
            <w:noWrap/>
            <w:vAlign w:val="center"/>
            <w:hideMark/>
          </w:tcPr>
          <w:p w14:paraId="4E0D8AF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7898F93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7 950</w:t>
            </w:r>
          </w:p>
        </w:tc>
        <w:tc>
          <w:tcPr>
            <w:tcW w:w="596" w:type="pct"/>
            <w:shd w:val="clear" w:color="auto" w:fill="auto"/>
            <w:vAlign w:val="center"/>
            <w:hideMark/>
          </w:tcPr>
          <w:p w14:paraId="1F9D00B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538</w:t>
            </w:r>
          </w:p>
        </w:tc>
        <w:tc>
          <w:tcPr>
            <w:tcW w:w="828" w:type="pct"/>
            <w:shd w:val="clear" w:color="auto" w:fill="auto"/>
            <w:vAlign w:val="center"/>
            <w:hideMark/>
          </w:tcPr>
          <w:p w14:paraId="6530D7E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1 478</w:t>
            </w:r>
          </w:p>
        </w:tc>
        <w:tc>
          <w:tcPr>
            <w:tcW w:w="594" w:type="pct"/>
            <w:shd w:val="clear" w:color="auto" w:fill="auto"/>
            <w:vAlign w:val="center"/>
            <w:hideMark/>
          </w:tcPr>
          <w:p w14:paraId="1DD6881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1 133</w:t>
            </w:r>
          </w:p>
        </w:tc>
        <w:tc>
          <w:tcPr>
            <w:tcW w:w="828" w:type="pct"/>
            <w:shd w:val="clear" w:color="auto" w:fill="auto"/>
            <w:vAlign w:val="center"/>
            <w:hideMark/>
          </w:tcPr>
          <w:p w14:paraId="4A2F9A6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2 539</w:t>
            </w:r>
          </w:p>
        </w:tc>
        <w:tc>
          <w:tcPr>
            <w:tcW w:w="597" w:type="pct"/>
            <w:shd w:val="clear" w:color="auto" w:fill="auto"/>
            <w:vAlign w:val="center"/>
            <w:hideMark/>
          </w:tcPr>
          <w:p w14:paraId="1F43E05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1 983</w:t>
            </w:r>
          </w:p>
        </w:tc>
      </w:tr>
      <w:tr w:rsidR="007278D9" w:rsidRPr="007278D9" w14:paraId="6FEEF28A" w14:textId="77777777" w:rsidTr="007278D9">
        <w:trPr>
          <w:trHeight w:val="300"/>
        </w:trPr>
        <w:tc>
          <w:tcPr>
            <w:tcW w:w="1059" w:type="pct"/>
            <w:shd w:val="clear" w:color="auto" w:fill="auto"/>
            <w:noWrap/>
            <w:vAlign w:val="center"/>
            <w:hideMark/>
          </w:tcPr>
          <w:p w14:paraId="7C8D0AD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49E522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7 961</w:t>
            </w:r>
          </w:p>
        </w:tc>
        <w:tc>
          <w:tcPr>
            <w:tcW w:w="596" w:type="pct"/>
            <w:shd w:val="clear" w:color="auto" w:fill="auto"/>
            <w:vAlign w:val="center"/>
            <w:hideMark/>
          </w:tcPr>
          <w:p w14:paraId="766C978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857</w:t>
            </w:r>
          </w:p>
        </w:tc>
        <w:tc>
          <w:tcPr>
            <w:tcW w:w="828" w:type="pct"/>
            <w:shd w:val="clear" w:color="auto" w:fill="auto"/>
            <w:vAlign w:val="center"/>
            <w:hideMark/>
          </w:tcPr>
          <w:p w14:paraId="3EFEEBD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1 144</w:t>
            </w:r>
          </w:p>
        </w:tc>
        <w:tc>
          <w:tcPr>
            <w:tcW w:w="594" w:type="pct"/>
            <w:shd w:val="clear" w:color="auto" w:fill="auto"/>
            <w:vAlign w:val="center"/>
            <w:hideMark/>
          </w:tcPr>
          <w:p w14:paraId="54AB700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1 565</w:t>
            </w:r>
          </w:p>
        </w:tc>
        <w:tc>
          <w:tcPr>
            <w:tcW w:w="828" w:type="pct"/>
            <w:shd w:val="clear" w:color="auto" w:fill="auto"/>
            <w:vAlign w:val="center"/>
            <w:hideMark/>
          </w:tcPr>
          <w:p w14:paraId="4FF48D5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1 213</w:t>
            </w:r>
          </w:p>
        </w:tc>
        <w:tc>
          <w:tcPr>
            <w:tcW w:w="597" w:type="pct"/>
            <w:shd w:val="clear" w:color="auto" w:fill="auto"/>
            <w:vAlign w:val="center"/>
            <w:hideMark/>
          </w:tcPr>
          <w:p w14:paraId="73DFE8B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2 441</w:t>
            </w:r>
          </w:p>
        </w:tc>
      </w:tr>
      <w:tr w:rsidR="007278D9" w:rsidRPr="007278D9" w14:paraId="7CF1009C" w14:textId="77777777" w:rsidTr="007278D9">
        <w:trPr>
          <w:trHeight w:val="300"/>
        </w:trPr>
        <w:tc>
          <w:tcPr>
            <w:tcW w:w="1059" w:type="pct"/>
            <w:shd w:val="clear" w:color="auto" w:fill="auto"/>
            <w:noWrap/>
            <w:vAlign w:val="center"/>
            <w:hideMark/>
          </w:tcPr>
          <w:p w14:paraId="3CDB9E5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5055E2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20 199</w:t>
            </w:r>
          </w:p>
        </w:tc>
        <w:tc>
          <w:tcPr>
            <w:tcW w:w="596" w:type="pct"/>
            <w:shd w:val="clear" w:color="auto" w:fill="auto"/>
            <w:vAlign w:val="center"/>
            <w:hideMark/>
          </w:tcPr>
          <w:p w14:paraId="09E49D8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1 839</w:t>
            </w:r>
          </w:p>
        </w:tc>
        <w:tc>
          <w:tcPr>
            <w:tcW w:w="828" w:type="pct"/>
            <w:shd w:val="clear" w:color="auto" w:fill="auto"/>
            <w:vAlign w:val="center"/>
            <w:hideMark/>
          </w:tcPr>
          <w:p w14:paraId="227BDF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3 738</w:t>
            </w:r>
          </w:p>
        </w:tc>
        <w:tc>
          <w:tcPr>
            <w:tcW w:w="594" w:type="pct"/>
            <w:shd w:val="clear" w:color="auto" w:fill="auto"/>
            <w:vAlign w:val="center"/>
            <w:hideMark/>
          </w:tcPr>
          <w:p w14:paraId="0535E4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5 572</w:t>
            </w:r>
          </w:p>
        </w:tc>
        <w:tc>
          <w:tcPr>
            <w:tcW w:w="828" w:type="pct"/>
            <w:shd w:val="clear" w:color="auto" w:fill="auto"/>
            <w:vAlign w:val="center"/>
            <w:hideMark/>
          </w:tcPr>
          <w:p w14:paraId="7F90E4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2 720</w:t>
            </w:r>
          </w:p>
        </w:tc>
        <w:tc>
          <w:tcPr>
            <w:tcW w:w="597" w:type="pct"/>
            <w:shd w:val="clear" w:color="auto" w:fill="auto"/>
            <w:vAlign w:val="center"/>
            <w:hideMark/>
          </w:tcPr>
          <w:p w14:paraId="749B17E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5 809</w:t>
            </w:r>
          </w:p>
        </w:tc>
      </w:tr>
      <w:tr w:rsidR="007278D9" w:rsidRPr="007278D9" w14:paraId="7AFEC9C7" w14:textId="77777777" w:rsidTr="007278D9">
        <w:trPr>
          <w:trHeight w:val="300"/>
        </w:trPr>
        <w:tc>
          <w:tcPr>
            <w:tcW w:w="1059" w:type="pct"/>
            <w:shd w:val="clear" w:color="auto" w:fill="auto"/>
            <w:noWrap/>
            <w:vAlign w:val="center"/>
            <w:hideMark/>
          </w:tcPr>
          <w:p w14:paraId="44B15F13"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Zachodniopomorskie</w:t>
            </w:r>
          </w:p>
        </w:tc>
        <w:tc>
          <w:tcPr>
            <w:tcW w:w="498" w:type="pct"/>
            <w:shd w:val="clear" w:color="auto" w:fill="auto"/>
            <w:noWrap/>
            <w:vAlign w:val="center"/>
            <w:hideMark/>
          </w:tcPr>
          <w:p w14:paraId="6399463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8 982</w:t>
            </w:r>
          </w:p>
        </w:tc>
        <w:tc>
          <w:tcPr>
            <w:tcW w:w="596" w:type="pct"/>
            <w:shd w:val="clear" w:color="auto" w:fill="auto"/>
            <w:vAlign w:val="center"/>
            <w:hideMark/>
          </w:tcPr>
          <w:p w14:paraId="0A27EF3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803</w:t>
            </w:r>
          </w:p>
        </w:tc>
        <w:tc>
          <w:tcPr>
            <w:tcW w:w="828" w:type="pct"/>
            <w:shd w:val="clear" w:color="auto" w:fill="auto"/>
            <w:vAlign w:val="center"/>
            <w:hideMark/>
          </w:tcPr>
          <w:p w14:paraId="3912050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1 306</w:t>
            </w:r>
          </w:p>
        </w:tc>
        <w:tc>
          <w:tcPr>
            <w:tcW w:w="594" w:type="pct"/>
            <w:shd w:val="clear" w:color="auto" w:fill="auto"/>
            <w:vAlign w:val="center"/>
            <w:hideMark/>
          </w:tcPr>
          <w:p w14:paraId="0356A4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1 754</w:t>
            </w:r>
          </w:p>
        </w:tc>
        <w:tc>
          <w:tcPr>
            <w:tcW w:w="828" w:type="pct"/>
            <w:shd w:val="clear" w:color="auto" w:fill="auto"/>
            <w:vAlign w:val="center"/>
            <w:hideMark/>
          </w:tcPr>
          <w:p w14:paraId="2E01B5F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1 102</w:t>
            </w:r>
          </w:p>
        </w:tc>
        <w:tc>
          <w:tcPr>
            <w:tcW w:w="597" w:type="pct"/>
            <w:shd w:val="clear" w:color="auto" w:fill="auto"/>
            <w:vAlign w:val="center"/>
            <w:hideMark/>
          </w:tcPr>
          <w:p w14:paraId="12AFBD5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3 479</w:t>
            </w:r>
          </w:p>
        </w:tc>
      </w:tr>
      <w:tr w:rsidR="007278D9" w:rsidRPr="007278D9" w14:paraId="77A15C70" w14:textId="77777777" w:rsidTr="007278D9">
        <w:trPr>
          <w:trHeight w:val="300"/>
        </w:trPr>
        <w:tc>
          <w:tcPr>
            <w:tcW w:w="5000" w:type="pct"/>
            <w:gridSpan w:val="7"/>
            <w:shd w:val="clear" w:color="auto" w:fill="auto"/>
            <w:vAlign w:val="center"/>
            <w:hideMark/>
          </w:tcPr>
          <w:p w14:paraId="1B8FD314"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MIASTA </w:t>
            </w:r>
          </w:p>
        </w:tc>
      </w:tr>
      <w:tr w:rsidR="007278D9" w:rsidRPr="007278D9" w14:paraId="668455F2" w14:textId="77777777" w:rsidTr="007278D9">
        <w:trPr>
          <w:trHeight w:val="300"/>
        </w:trPr>
        <w:tc>
          <w:tcPr>
            <w:tcW w:w="1059" w:type="pct"/>
            <w:shd w:val="clear" w:color="auto" w:fill="auto"/>
            <w:noWrap/>
            <w:vAlign w:val="center"/>
            <w:hideMark/>
          </w:tcPr>
          <w:p w14:paraId="04641B0B"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0F6E2D45"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146 457</w:t>
            </w:r>
          </w:p>
        </w:tc>
        <w:tc>
          <w:tcPr>
            <w:tcW w:w="596" w:type="pct"/>
            <w:shd w:val="clear" w:color="auto" w:fill="auto"/>
            <w:vAlign w:val="center"/>
            <w:hideMark/>
          </w:tcPr>
          <w:p w14:paraId="10CB735B"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16 106</w:t>
            </w:r>
          </w:p>
        </w:tc>
        <w:tc>
          <w:tcPr>
            <w:tcW w:w="828" w:type="pct"/>
            <w:shd w:val="clear" w:color="auto" w:fill="auto"/>
            <w:vAlign w:val="center"/>
            <w:hideMark/>
          </w:tcPr>
          <w:p w14:paraId="681521E1"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20 752</w:t>
            </w:r>
          </w:p>
        </w:tc>
        <w:tc>
          <w:tcPr>
            <w:tcW w:w="594" w:type="pct"/>
            <w:shd w:val="clear" w:color="auto" w:fill="auto"/>
            <w:vAlign w:val="center"/>
            <w:hideMark/>
          </w:tcPr>
          <w:p w14:paraId="0DC19AF2"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29 337</w:t>
            </w:r>
          </w:p>
        </w:tc>
        <w:tc>
          <w:tcPr>
            <w:tcW w:w="828" w:type="pct"/>
            <w:shd w:val="clear" w:color="auto" w:fill="auto"/>
            <w:vAlign w:val="center"/>
            <w:hideMark/>
          </w:tcPr>
          <w:p w14:paraId="5761E019"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22 439</w:t>
            </w:r>
          </w:p>
        </w:tc>
        <w:tc>
          <w:tcPr>
            <w:tcW w:w="597" w:type="pct"/>
            <w:shd w:val="clear" w:color="auto" w:fill="auto"/>
            <w:vAlign w:val="center"/>
            <w:hideMark/>
          </w:tcPr>
          <w:p w14:paraId="60DF0309"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49 715</w:t>
            </w:r>
          </w:p>
        </w:tc>
      </w:tr>
      <w:tr w:rsidR="007278D9" w:rsidRPr="007278D9" w14:paraId="7F3D1712" w14:textId="77777777" w:rsidTr="007278D9">
        <w:trPr>
          <w:trHeight w:val="300"/>
        </w:trPr>
        <w:tc>
          <w:tcPr>
            <w:tcW w:w="1059" w:type="pct"/>
            <w:shd w:val="clear" w:color="auto" w:fill="auto"/>
            <w:noWrap/>
            <w:vAlign w:val="center"/>
            <w:hideMark/>
          </w:tcPr>
          <w:p w14:paraId="7DE2116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64C2C3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10 640</w:t>
            </w:r>
          </w:p>
        </w:tc>
        <w:tc>
          <w:tcPr>
            <w:tcW w:w="596" w:type="pct"/>
            <w:shd w:val="clear" w:color="auto" w:fill="auto"/>
            <w:vAlign w:val="center"/>
            <w:hideMark/>
          </w:tcPr>
          <w:p w14:paraId="1ED60E4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1 111</w:t>
            </w:r>
          </w:p>
        </w:tc>
        <w:tc>
          <w:tcPr>
            <w:tcW w:w="828" w:type="pct"/>
            <w:shd w:val="clear" w:color="auto" w:fill="auto"/>
            <w:vAlign w:val="center"/>
            <w:hideMark/>
          </w:tcPr>
          <w:p w14:paraId="14EDDFB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1 238</w:t>
            </w:r>
          </w:p>
        </w:tc>
        <w:tc>
          <w:tcPr>
            <w:tcW w:w="594" w:type="pct"/>
            <w:shd w:val="clear" w:color="auto" w:fill="auto"/>
            <w:vAlign w:val="center"/>
            <w:hideMark/>
          </w:tcPr>
          <w:p w14:paraId="04ACD60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1 841</w:t>
            </w:r>
          </w:p>
        </w:tc>
        <w:tc>
          <w:tcPr>
            <w:tcW w:w="828" w:type="pct"/>
            <w:shd w:val="clear" w:color="auto" w:fill="auto"/>
            <w:vAlign w:val="center"/>
            <w:hideMark/>
          </w:tcPr>
          <w:p w14:paraId="759BED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1 813</w:t>
            </w:r>
          </w:p>
        </w:tc>
        <w:tc>
          <w:tcPr>
            <w:tcW w:w="597" w:type="pct"/>
            <w:shd w:val="clear" w:color="auto" w:fill="auto"/>
            <w:vAlign w:val="center"/>
            <w:hideMark/>
          </w:tcPr>
          <w:p w14:paraId="79F676E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3 640</w:t>
            </w:r>
          </w:p>
        </w:tc>
      </w:tr>
      <w:tr w:rsidR="007278D9" w:rsidRPr="007278D9" w14:paraId="056C6DA6" w14:textId="77777777" w:rsidTr="007278D9">
        <w:trPr>
          <w:trHeight w:val="300"/>
        </w:trPr>
        <w:tc>
          <w:tcPr>
            <w:tcW w:w="1059" w:type="pct"/>
            <w:shd w:val="clear" w:color="auto" w:fill="auto"/>
            <w:noWrap/>
            <w:vAlign w:val="center"/>
            <w:hideMark/>
          </w:tcPr>
          <w:p w14:paraId="65AAF79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6AE82A0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5 341</w:t>
            </w:r>
          </w:p>
        </w:tc>
        <w:tc>
          <w:tcPr>
            <w:tcW w:w="596" w:type="pct"/>
            <w:shd w:val="clear" w:color="auto" w:fill="auto"/>
            <w:vAlign w:val="center"/>
            <w:hideMark/>
          </w:tcPr>
          <w:p w14:paraId="67A20D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457</w:t>
            </w:r>
          </w:p>
        </w:tc>
        <w:tc>
          <w:tcPr>
            <w:tcW w:w="828" w:type="pct"/>
            <w:shd w:val="clear" w:color="auto" w:fill="auto"/>
            <w:vAlign w:val="center"/>
            <w:hideMark/>
          </w:tcPr>
          <w:p w14:paraId="4EE49E5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978</w:t>
            </w:r>
          </w:p>
        </w:tc>
        <w:tc>
          <w:tcPr>
            <w:tcW w:w="594" w:type="pct"/>
            <w:shd w:val="clear" w:color="auto" w:fill="auto"/>
            <w:vAlign w:val="center"/>
            <w:hideMark/>
          </w:tcPr>
          <w:p w14:paraId="339B038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1 152</w:t>
            </w:r>
          </w:p>
        </w:tc>
        <w:tc>
          <w:tcPr>
            <w:tcW w:w="828" w:type="pct"/>
            <w:shd w:val="clear" w:color="auto" w:fill="auto"/>
            <w:vAlign w:val="center"/>
            <w:hideMark/>
          </w:tcPr>
          <w:p w14:paraId="5CE384B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561</w:t>
            </w:r>
          </w:p>
        </w:tc>
        <w:tc>
          <w:tcPr>
            <w:tcW w:w="597" w:type="pct"/>
            <w:shd w:val="clear" w:color="auto" w:fill="auto"/>
            <w:vAlign w:val="center"/>
            <w:hideMark/>
          </w:tcPr>
          <w:p w14:paraId="1F6875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1 873</w:t>
            </w:r>
          </w:p>
        </w:tc>
      </w:tr>
      <w:tr w:rsidR="007278D9" w:rsidRPr="007278D9" w14:paraId="2D19DD78" w14:textId="77777777" w:rsidTr="007278D9">
        <w:trPr>
          <w:trHeight w:val="300"/>
        </w:trPr>
        <w:tc>
          <w:tcPr>
            <w:tcW w:w="1059" w:type="pct"/>
            <w:shd w:val="clear" w:color="auto" w:fill="auto"/>
            <w:noWrap/>
            <w:vAlign w:val="center"/>
            <w:hideMark/>
          </w:tcPr>
          <w:p w14:paraId="2BB7377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2ED8D3D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9 647</w:t>
            </w:r>
          </w:p>
        </w:tc>
        <w:tc>
          <w:tcPr>
            <w:tcW w:w="596" w:type="pct"/>
            <w:shd w:val="clear" w:color="auto" w:fill="auto"/>
            <w:vAlign w:val="center"/>
            <w:hideMark/>
          </w:tcPr>
          <w:p w14:paraId="4F43844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915</w:t>
            </w:r>
          </w:p>
        </w:tc>
        <w:tc>
          <w:tcPr>
            <w:tcW w:w="828" w:type="pct"/>
            <w:shd w:val="clear" w:color="auto" w:fill="auto"/>
            <w:vAlign w:val="center"/>
            <w:hideMark/>
          </w:tcPr>
          <w:p w14:paraId="6C36288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1 018</w:t>
            </w:r>
          </w:p>
        </w:tc>
        <w:tc>
          <w:tcPr>
            <w:tcW w:w="594" w:type="pct"/>
            <w:shd w:val="clear" w:color="auto" w:fill="auto"/>
            <w:vAlign w:val="center"/>
            <w:hideMark/>
          </w:tcPr>
          <w:p w14:paraId="74BCA3B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1 531</w:t>
            </w:r>
          </w:p>
        </w:tc>
        <w:tc>
          <w:tcPr>
            <w:tcW w:w="828" w:type="pct"/>
            <w:shd w:val="clear" w:color="auto" w:fill="auto"/>
            <w:vAlign w:val="center"/>
            <w:hideMark/>
          </w:tcPr>
          <w:p w14:paraId="03E2A9F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2 314</w:t>
            </w:r>
          </w:p>
        </w:tc>
        <w:tc>
          <w:tcPr>
            <w:tcW w:w="597" w:type="pct"/>
            <w:shd w:val="clear" w:color="auto" w:fill="auto"/>
            <w:vAlign w:val="center"/>
            <w:hideMark/>
          </w:tcPr>
          <w:p w14:paraId="299DFDA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3 533</w:t>
            </w:r>
          </w:p>
        </w:tc>
      </w:tr>
      <w:tr w:rsidR="007278D9" w:rsidRPr="007278D9" w14:paraId="07F80FF5" w14:textId="77777777" w:rsidTr="007278D9">
        <w:trPr>
          <w:trHeight w:val="300"/>
        </w:trPr>
        <w:tc>
          <w:tcPr>
            <w:tcW w:w="1059" w:type="pct"/>
            <w:shd w:val="clear" w:color="auto" w:fill="auto"/>
            <w:noWrap/>
            <w:vAlign w:val="center"/>
            <w:hideMark/>
          </w:tcPr>
          <w:p w14:paraId="5452159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6C13294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5 504</w:t>
            </w:r>
          </w:p>
        </w:tc>
        <w:tc>
          <w:tcPr>
            <w:tcW w:w="596" w:type="pct"/>
            <w:shd w:val="clear" w:color="auto" w:fill="auto"/>
            <w:vAlign w:val="center"/>
            <w:hideMark/>
          </w:tcPr>
          <w:p w14:paraId="362295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1 132</w:t>
            </w:r>
          </w:p>
        </w:tc>
        <w:tc>
          <w:tcPr>
            <w:tcW w:w="828" w:type="pct"/>
            <w:shd w:val="clear" w:color="auto" w:fill="auto"/>
            <w:vAlign w:val="center"/>
            <w:hideMark/>
          </w:tcPr>
          <w:p w14:paraId="67DE93E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538</w:t>
            </w:r>
          </w:p>
        </w:tc>
        <w:tc>
          <w:tcPr>
            <w:tcW w:w="594" w:type="pct"/>
            <w:shd w:val="clear" w:color="auto" w:fill="auto"/>
            <w:vAlign w:val="center"/>
            <w:hideMark/>
          </w:tcPr>
          <w:p w14:paraId="60DD6AA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1 322</w:t>
            </w:r>
          </w:p>
        </w:tc>
        <w:tc>
          <w:tcPr>
            <w:tcW w:w="828" w:type="pct"/>
            <w:shd w:val="clear" w:color="auto" w:fill="auto"/>
            <w:vAlign w:val="center"/>
            <w:hideMark/>
          </w:tcPr>
          <w:p w14:paraId="295138B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514</w:t>
            </w:r>
          </w:p>
        </w:tc>
        <w:tc>
          <w:tcPr>
            <w:tcW w:w="597" w:type="pct"/>
            <w:shd w:val="clear" w:color="auto" w:fill="auto"/>
            <w:vAlign w:val="center"/>
            <w:hideMark/>
          </w:tcPr>
          <w:p w14:paraId="2BF8EF1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1 920</w:t>
            </w:r>
          </w:p>
        </w:tc>
      </w:tr>
      <w:tr w:rsidR="007278D9" w:rsidRPr="007278D9" w14:paraId="08CA16BC" w14:textId="77777777" w:rsidTr="007278D9">
        <w:trPr>
          <w:trHeight w:val="300"/>
        </w:trPr>
        <w:tc>
          <w:tcPr>
            <w:tcW w:w="1059" w:type="pct"/>
            <w:shd w:val="clear" w:color="auto" w:fill="auto"/>
            <w:noWrap/>
            <w:vAlign w:val="center"/>
            <w:hideMark/>
          </w:tcPr>
          <w:p w14:paraId="5288E6F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691298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8 677</w:t>
            </w:r>
          </w:p>
        </w:tc>
        <w:tc>
          <w:tcPr>
            <w:tcW w:w="596" w:type="pct"/>
            <w:shd w:val="clear" w:color="auto" w:fill="auto"/>
            <w:vAlign w:val="center"/>
            <w:hideMark/>
          </w:tcPr>
          <w:p w14:paraId="0981C99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869</w:t>
            </w:r>
          </w:p>
        </w:tc>
        <w:tc>
          <w:tcPr>
            <w:tcW w:w="828" w:type="pct"/>
            <w:shd w:val="clear" w:color="auto" w:fill="auto"/>
            <w:vAlign w:val="center"/>
            <w:hideMark/>
          </w:tcPr>
          <w:p w14:paraId="531E70C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1 145</w:t>
            </w:r>
          </w:p>
        </w:tc>
        <w:tc>
          <w:tcPr>
            <w:tcW w:w="594" w:type="pct"/>
            <w:shd w:val="clear" w:color="auto" w:fill="auto"/>
            <w:vAlign w:val="center"/>
            <w:hideMark/>
          </w:tcPr>
          <w:p w14:paraId="51D874F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1 502</w:t>
            </w:r>
          </w:p>
        </w:tc>
        <w:tc>
          <w:tcPr>
            <w:tcW w:w="828" w:type="pct"/>
            <w:shd w:val="clear" w:color="auto" w:fill="auto"/>
            <w:vAlign w:val="center"/>
            <w:hideMark/>
          </w:tcPr>
          <w:p w14:paraId="780C84F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1 368</w:t>
            </w:r>
          </w:p>
        </w:tc>
        <w:tc>
          <w:tcPr>
            <w:tcW w:w="597" w:type="pct"/>
            <w:shd w:val="clear" w:color="auto" w:fill="auto"/>
            <w:vAlign w:val="center"/>
            <w:hideMark/>
          </w:tcPr>
          <w:p w14:paraId="1356ECE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3 213</w:t>
            </w:r>
          </w:p>
        </w:tc>
      </w:tr>
      <w:tr w:rsidR="007278D9" w:rsidRPr="007278D9" w14:paraId="00C748A6" w14:textId="77777777" w:rsidTr="007278D9">
        <w:trPr>
          <w:trHeight w:val="300"/>
        </w:trPr>
        <w:tc>
          <w:tcPr>
            <w:tcW w:w="1059" w:type="pct"/>
            <w:shd w:val="clear" w:color="auto" w:fill="auto"/>
            <w:noWrap/>
            <w:vAlign w:val="center"/>
            <w:hideMark/>
          </w:tcPr>
          <w:p w14:paraId="4BD6D71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0C06F21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10 881</w:t>
            </w:r>
          </w:p>
        </w:tc>
        <w:tc>
          <w:tcPr>
            <w:tcW w:w="596" w:type="pct"/>
            <w:shd w:val="clear" w:color="auto" w:fill="auto"/>
            <w:vAlign w:val="center"/>
            <w:hideMark/>
          </w:tcPr>
          <w:p w14:paraId="01830B1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1 487</w:t>
            </w:r>
          </w:p>
        </w:tc>
        <w:tc>
          <w:tcPr>
            <w:tcW w:w="828" w:type="pct"/>
            <w:shd w:val="clear" w:color="auto" w:fill="auto"/>
            <w:vAlign w:val="center"/>
            <w:hideMark/>
          </w:tcPr>
          <w:p w14:paraId="1B4C5E6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1 620</w:t>
            </w:r>
          </w:p>
        </w:tc>
        <w:tc>
          <w:tcPr>
            <w:tcW w:w="594" w:type="pct"/>
            <w:shd w:val="clear" w:color="auto" w:fill="auto"/>
            <w:vAlign w:val="center"/>
            <w:hideMark/>
          </w:tcPr>
          <w:p w14:paraId="5BCF27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1 972</w:t>
            </w:r>
          </w:p>
        </w:tc>
        <w:tc>
          <w:tcPr>
            <w:tcW w:w="828" w:type="pct"/>
            <w:shd w:val="clear" w:color="auto" w:fill="auto"/>
            <w:vAlign w:val="center"/>
            <w:hideMark/>
          </w:tcPr>
          <w:p w14:paraId="352B762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3 216</w:t>
            </w:r>
          </w:p>
        </w:tc>
        <w:tc>
          <w:tcPr>
            <w:tcW w:w="597" w:type="pct"/>
            <w:shd w:val="clear" w:color="auto" w:fill="auto"/>
            <w:vAlign w:val="center"/>
            <w:hideMark/>
          </w:tcPr>
          <w:p w14:paraId="5F5FFF0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2 299</w:t>
            </w:r>
          </w:p>
        </w:tc>
      </w:tr>
      <w:tr w:rsidR="007278D9" w:rsidRPr="007278D9" w14:paraId="0ED4F3CE" w14:textId="77777777" w:rsidTr="007278D9">
        <w:trPr>
          <w:trHeight w:val="300"/>
        </w:trPr>
        <w:tc>
          <w:tcPr>
            <w:tcW w:w="1059" w:type="pct"/>
            <w:shd w:val="clear" w:color="auto" w:fill="auto"/>
            <w:noWrap/>
            <w:vAlign w:val="center"/>
            <w:hideMark/>
          </w:tcPr>
          <w:p w14:paraId="783AB60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7F6563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17 389</w:t>
            </w:r>
          </w:p>
        </w:tc>
        <w:tc>
          <w:tcPr>
            <w:tcW w:w="596" w:type="pct"/>
            <w:shd w:val="clear" w:color="auto" w:fill="auto"/>
            <w:vAlign w:val="center"/>
            <w:hideMark/>
          </w:tcPr>
          <w:p w14:paraId="6F9ED6E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3 072</w:t>
            </w:r>
          </w:p>
        </w:tc>
        <w:tc>
          <w:tcPr>
            <w:tcW w:w="828" w:type="pct"/>
            <w:shd w:val="clear" w:color="auto" w:fill="auto"/>
            <w:vAlign w:val="center"/>
            <w:hideMark/>
          </w:tcPr>
          <w:p w14:paraId="3BA892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2 691</w:t>
            </w:r>
          </w:p>
        </w:tc>
        <w:tc>
          <w:tcPr>
            <w:tcW w:w="594" w:type="pct"/>
            <w:shd w:val="clear" w:color="auto" w:fill="auto"/>
            <w:vAlign w:val="center"/>
            <w:hideMark/>
          </w:tcPr>
          <w:p w14:paraId="4D194A9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4 019</w:t>
            </w:r>
          </w:p>
        </w:tc>
        <w:tc>
          <w:tcPr>
            <w:tcW w:w="828" w:type="pct"/>
            <w:shd w:val="clear" w:color="auto" w:fill="auto"/>
            <w:vAlign w:val="center"/>
            <w:hideMark/>
          </w:tcPr>
          <w:p w14:paraId="5E4E668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1 783</w:t>
            </w:r>
          </w:p>
        </w:tc>
        <w:tc>
          <w:tcPr>
            <w:tcW w:w="597" w:type="pct"/>
            <w:shd w:val="clear" w:color="auto" w:fill="auto"/>
            <w:vAlign w:val="center"/>
            <w:hideMark/>
          </w:tcPr>
          <w:p w14:paraId="00C1332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4 930</w:t>
            </w:r>
          </w:p>
        </w:tc>
      </w:tr>
      <w:tr w:rsidR="007278D9" w:rsidRPr="007278D9" w14:paraId="6EEACC50" w14:textId="77777777" w:rsidTr="007278D9">
        <w:trPr>
          <w:trHeight w:val="300"/>
        </w:trPr>
        <w:tc>
          <w:tcPr>
            <w:tcW w:w="1059" w:type="pct"/>
            <w:shd w:val="clear" w:color="auto" w:fill="auto"/>
            <w:noWrap/>
            <w:vAlign w:val="center"/>
            <w:hideMark/>
          </w:tcPr>
          <w:p w14:paraId="1A99F0F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lastRenderedPageBreak/>
              <w:t>Opolskie</w:t>
            </w:r>
          </w:p>
        </w:tc>
        <w:tc>
          <w:tcPr>
            <w:tcW w:w="498" w:type="pct"/>
            <w:shd w:val="clear" w:color="auto" w:fill="auto"/>
            <w:noWrap/>
            <w:vAlign w:val="center"/>
            <w:hideMark/>
          </w:tcPr>
          <w:p w14:paraId="1EBF06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6 058</w:t>
            </w:r>
          </w:p>
        </w:tc>
        <w:tc>
          <w:tcPr>
            <w:tcW w:w="596" w:type="pct"/>
            <w:shd w:val="clear" w:color="auto" w:fill="auto"/>
            <w:vAlign w:val="center"/>
            <w:hideMark/>
          </w:tcPr>
          <w:p w14:paraId="21642E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334</w:t>
            </w:r>
          </w:p>
        </w:tc>
        <w:tc>
          <w:tcPr>
            <w:tcW w:w="828" w:type="pct"/>
            <w:shd w:val="clear" w:color="auto" w:fill="auto"/>
            <w:vAlign w:val="center"/>
            <w:hideMark/>
          </w:tcPr>
          <w:p w14:paraId="1B50787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947</w:t>
            </w:r>
          </w:p>
        </w:tc>
        <w:tc>
          <w:tcPr>
            <w:tcW w:w="594" w:type="pct"/>
            <w:shd w:val="clear" w:color="auto" w:fill="auto"/>
            <w:vAlign w:val="center"/>
            <w:hideMark/>
          </w:tcPr>
          <w:p w14:paraId="7929D8B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1 050</w:t>
            </w:r>
          </w:p>
        </w:tc>
        <w:tc>
          <w:tcPr>
            <w:tcW w:w="828" w:type="pct"/>
            <w:shd w:val="clear" w:color="auto" w:fill="auto"/>
            <w:vAlign w:val="center"/>
            <w:hideMark/>
          </w:tcPr>
          <w:p w14:paraId="556C9D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377</w:t>
            </w:r>
          </w:p>
        </w:tc>
        <w:tc>
          <w:tcPr>
            <w:tcW w:w="597" w:type="pct"/>
            <w:shd w:val="clear" w:color="auto" w:fill="auto"/>
            <w:vAlign w:val="center"/>
            <w:hideMark/>
          </w:tcPr>
          <w:p w14:paraId="42E8900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2 453</w:t>
            </w:r>
          </w:p>
        </w:tc>
      </w:tr>
      <w:tr w:rsidR="007278D9" w:rsidRPr="007278D9" w14:paraId="7C8099AA" w14:textId="77777777" w:rsidTr="007278D9">
        <w:trPr>
          <w:trHeight w:val="300"/>
        </w:trPr>
        <w:tc>
          <w:tcPr>
            <w:tcW w:w="1059" w:type="pct"/>
            <w:shd w:val="clear" w:color="auto" w:fill="auto"/>
            <w:noWrap/>
            <w:vAlign w:val="center"/>
            <w:hideMark/>
          </w:tcPr>
          <w:p w14:paraId="40ACFC7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475F491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11 880</w:t>
            </w:r>
          </w:p>
        </w:tc>
        <w:tc>
          <w:tcPr>
            <w:tcW w:w="596" w:type="pct"/>
            <w:shd w:val="clear" w:color="auto" w:fill="auto"/>
            <w:vAlign w:val="center"/>
            <w:hideMark/>
          </w:tcPr>
          <w:p w14:paraId="2D84A11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1 225</w:t>
            </w:r>
          </w:p>
        </w:tc>
        <w:tc>
          <w:tcPr>
            <w:tcW w:w="828" w:type="pct"/>
            <w:shd w:val="clear" w:color="auto" w:fill="auto"/>
            <w:vAlign w:val="center"/>
            <w:hideMark/>
          </w:tcPr>
          <w:p w14:paraId="5425F5F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1 497</w:t>
            </w:r>
          </w:p>
        </w:tc>
        <w:tc>
          <w:tcPr>
            <w:tcW w:w="594" w:type="pct"/>
            <w:shd w:val="clear" w:color="auto" w:fill="auto"/>
            <w:vAlign w:val="center"/>
            <w:hideMark/>
          </w:tcPr>
          <w:p w14:paraId="4F598DB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1 996</w:t>
            </w:r>
          </w:p>
        </w:tc>
        <w:tc>
          <w:tcPr>
            <w:tcW w:w="828" w:type="pct"/>
            <w:shd w:val="clear" w:color="auto" w:fill="auto"/>
            <w:vAlign w:val="center"/>
            <w:hideMark/>
          </w:tcPr>
          <w:p w14:paraId="399EC44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1 916</w:t>
            </w:r>
          </w:p>
        </w:tc>
        <w:tc>
          <w:tcPr>
            <w:tcW w:w="597" w:type="pct"/>
            <w:shd w:val="clear" w:color="auto" w:fill="auto"/>
            <w:vAlign w:val="center"/>
            <w:hideMark/>
          </w:tcPr>
          <w:p w14:paraId="1ADBC77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4 933</w:t>
            </w:r>
          </w:p>
        </w:tc>
      </w:tr>
      <w:tr w:rsidR="007278D9" w:rsidRPr="007278D9" w14:paraId="511E7A07" w14:textId="77777777" w:rsidTr="007278D9">
        <w:trPr>
          <w:trHeight w:val="300"/>
        </w:trPr>
        <w:tc>
          <w:tcPr>
            <w:tcW w:w="1059" w:type="pct"/>
            <w:shd w:val="clear" w:color="auto" w:fill="auto"/>
            <w:noWrap/>
            <w:vAlign w:val="center"/>
            <w:hideMark/>
          </w:tcPr>
          <w:p w14:paraId="6C9402B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053A3A2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6 836</w:t>
            </w:r>
          </w:p>
        </w:tc>
        <w:tc>
          <w:tcPr>
            <w:tcW w:w="596" w:type="pct"/>
            <w:shd w:val="clear" w:color="auto" w:fill="auto"/>
            <w:vAlign w:val="center"/>
            <w:hideMark/>
          </w:tcPr>
          <w:p w14:paraId="25D47D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697</w:t>
            </w:r>
          </w:p>
        </w:tc>
        <w:tc>
          <w:tcPr>
            <w:tcW w:w="828" w:type="pct"/>
            <w:shd w:val="clear" w:color="auto" w:fill="auto"/>
            <w:vAlign w:val="center"/>
            <w:hideMark/>
          </w:tcPr>
          <w:p w14:paraId="63EF853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889</w:t>
            </w:r>
          </w:p>
        </w:tc>
        <w:tc>
          <w:tcPr>
            <w:tcW w:w="594" w:type="pct"/>
            <w:shd w:val="clear" w:color="auto" w:fill="auto"/>
            <w:vAlign w:val="center"/>
            <w:hideMark/>
          </w:tcPr>
          <w:p w14:paraId="76D6C84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1 334</w:t>
            </w:r>
          </w:p>
        </w:tc>
        <w:tc>
          <w:tcPr>
            <w:tcW w:w="828" w:type="pct"/>
            <w:shd w:val="clear" w:color="auto" w:fill="auto"/>
            <w:vAlign w:val="center"/>
            <w:hideMark/>
          </w:tcPr>
          <w:p w14:paraId="28CE2D3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1 373</w:t>
            </w:r>
          </w:p>
        </w:tc>
        <w:tc>
          <w:tcPr>
            <w:tcW w:w="597" w:type="pct"/>
            <w:shd w:val="clear" w:color="auto" w:fill="auto"/>
            <w:vAlign w:val="center"/>
            <w:hideMark/>
          </w:tcPr>
          <w:p w14:paraId="08A8DC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1 881</w:t>
            </w:r>
          </w:p>
        </w:tc>
      </w:tr>
      <w:tr w:rsidR="007278D9" w:rsidRPr="007278D9" w14:paraId="645B9DE6" w14:textId="77777777" w:rsidTr="007278D9">
        <w:trPr>
          <w:trHeight w:val="300"/>
        </w:trPr>
        <w:tc>
          <w:tcPr>
            <w:tcW w:w="1059" w:type="pct"/>
            <w:shd w:val="clear" w:color="auto" w:fill="auto"/>
            <w:noWrap/>
            <w:vAlign w:val="center"/>
            <w:hideMark/>
          </w:tcPr>
          <w:p w14:paraId="193C2C3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347A2E3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5 312</w:t>
            </w:r>
          </w:p>
        </w:tc>
        <w:tc>
          <w:tcPr>
            <w:tcW w:w="596" w:type="pct"/>
            <w:shd w:val="clear" w:color="auto" w:fill="auto"/>
            <w:vAlign w:val="center"/>
            <w:hideMark/>
          </w:tcPr>
          <w:p w14:paraId="4E4C298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535</w:t>
            </w:r>
          </w:p>
        </w:tc>
        <w:tc>
          <w:tcPr>
            <w:tcW w:w="828" w:type="pct"/>
            <w:shd w:val="clear" w:color="auto" w:fill="auto"/>
            <w:vAlign w:val="center"/>
            <w:hideMark/>
          </w:tcPr>
          <w:p w14:paraId="5AE224A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678</w:t>
            </w:r>
          </w:p>
        </w:tc>
        <w:tc>
          <w:tcPr>
            <w:tcW w:w="594" w:type="pct"/>
            <w:shd w:val="clear" w:color="auto" w:fill="auto"/>
            <w:vAlign w:val="center"/>
            <w:hideMark/>
          </w:tcPr>
          <w:p w14:paraId="30A57A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1 337</w:t>
            </w:r>
          </w:p>
        </w:tc>
        <w:tc>
          <w:tcPr>
            <w:tcW w:w="828" w:type="pct"/>
            <w:shd w:val="clear" w:color="auto" w:fill="auto"/>
            <w:vAlign w:val="center"/>
            <w:hideMark/>
          </w:tcPr>
          <w:p w14:paraId="5769C8E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735</w:t>
            </w:r>
          </w:p>
        </w:tc>
        <w:tc>
          <w:tcPr>
            <w:tcW w:w="597" w:type="pct"/>
            <w:shd w:val="clear" w:color="auto" w:fill="auto"/>
            <w:vAlign w:val="center"/>
            <w:hideMark/>
          </w:tcPr>
          <w:p w14:paraId="104C90C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1 885</w:t>
            </w:r>
          </w:p>
        </w:tc>
      </w:tr>
      <w:tr w:rsidR="007278D9" w:rsidRPr="007278D9" w14:paraId="0D480B66" w14:textId="77777777" w:rsidTr="007278D9">
        <w:trPr>
          <w:trHeight w:val="300"/>
        </w:trPr>
        <w:tc>
          <w:tcPr>
            <w:tcW w:w="1059" w:type="pct"/>
            <w:shd w:val="clear" w:color="auto" w:fill="auto"/>
            <w:noWrap/>
            <w:vAlign w:val="center"/>
            <w:hideMark/>
          </w:tcPr>
          <w:p w14:paraId="29C57EC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189EA78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16 367</w:t>
            </w:r>
          </w:p>
        </w:tc>
        <w:tc>
          <w:tcPr>
            <w:tcW w:w="596" w:type="pct"/>
            <w:shd w:val="clear" w:color="auto" w:fill="auto"/>
            <w:vAlign w:val="center"/>
            <w:hideMark/>
          </w:tcPr>
          <w:p w14:paraId="198D1E0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1 485</w:t>
            </w:r>
          </w:p>
        </w:tc>
        <w:tc>
          <w:tcPr>
            <w:tcW w:w="828" w:type="pct"/>
            <w:shd w:val="clear" w:color="auto" w:fill="auto"/>
            <w:vAlign w:val="center"/>
            <w:hideMark/>
          </w:tcPr>
          <w:p w14:paraId="55C62A1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1 899</w:t>
            </w:r>
          </w:p>
        </w:tc>
        <w:tc>
          <w:tcPr>
            <w:tcW w:w="594" w:type="pct"/>
            <w:shd w:val="clear" w:color="auto" w:fill="auto"/>
            <w:vAlign w:val="center"/>
            <w:hideMark/>
          </w:tcPr>
          <w:p w14:paraId="2E4A9B7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3 101</w:t>
            </w:r>
          </w:p>
        </w:tc>
        <w:tc>
          <w:tcPr>
            <w:tcW w:w="828" w:type="pct"/>
            <w:shd w:val="clear" w:color="auto" w:fill="auto"/>
            <w:vAlign w:val="center"/>
            <w:hideMark/>
          </w:tcPr>
          <w:p w14:paraId="7F3BD50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2 552</w:t>
            </w:r>
          </w:p>
        </w:tc>
        <w:tc>
          <w:tcPr>
            <w:tcW w:w="597" w:type="pct"/>
            <w:shd w:val="clear" w:color="auto" w:fill="auto"/>
            <w:vAlign w:val="center"/>
            <w:hideMark/>
          </w:tcPr>
          <w:p w14:paraId="3568B72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6 392</w:t>
            </w:r>
          </w:p>
        </w:tc>
      </w:tr>
      <w:tr w:rsidR="007278D9" w:rsidRPr="007278D9" w14:paraId="2E81FAA4" w14:textId="77777777" w:rsidTr="007278D9">
        <w:trPr>
          <w:trHeight w:val="300"/>
        </w:trPr>
        <w:tc>
          <w:tcPr>
            <w:tcW w:w="1059" w:type="pct"/>
            <w:shd w:val="clear" w:color="auto" w:fill="auto"/>
            <w:noWrap/>
            <w:vAlign w:val="center"/>
            <w:hideMark/>
          </w:tcPr>
          <w:p w14:paraId="1FE9F79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6DCB08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4 779</w:t>
            </w:r>
          </w:p>
        </w:tc>
        <w:tc>
          <w:tcPr>
            <w:tcW w:w="596" w:type="pct"/>
            <w:shd w:val="clear" w:color="auto" w:fill="auto"/>
            <w:vAlign w:val="center"/>
            <w:hideMark/>
          </w:tcPr>
          <w:p w14:paraId="2122867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378</w:t>
            </w:r>
          </w:p>
        </w:tc>
        <w:tc>
          <w:tcPr>
            <w:tcW w:w="828" w:type="pct"/>
            <w:shd w:val="clear" w:color="auto" w:fill="auto"/>
            <w:vAlign w:val="center"/>
            <w:hideMark/>
          </w:tcPr>
          <w:p w14:paraId="448CCA8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956</w:t>
            </w:r>
          </w:p>
        </w:tc>
        <w:tc>
          <w:tcPr>
            <w:tcW w:w="594" w:type="pct"/>
            <w:shd w:val="clear" w:color="auto" w:fill="auto"/>
            <w:vAlign w:val="center"/>
            <w:hideMark/>
          </w:tcPr>
          <w:p w14:paraId="6841CA2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780</w:t>
            </w:r>
          </w:p>
        </w:tc>
        <w:tc>
          <w:tcPr>
            <w:tcW w:w="828" w:type="pct"/>
            <w:shd w:val="clear" w:color="auto" w:fill="auto"/>
            <w:vAlign w:val="center"/>
            <w:hideMark/>
          </w:tcPr>
          <w:p w14:paraId="3EF5D7D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885</w:t>
            </w:r>
          </w:p>
        </w:tc>
        <w:tc>
          <w:tcPr>
            <w:tcW w:w="597" w:type="pct"/>
            <w:shd w:val="clear" w:color="auto" w:fill="auto"/>
            <w:vAlign w:val="center"/>
            <w:hideMark/>
          </w:tcPr>
          <w:p w14:paraId="7867505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1 574</w:t>
            </w:r>
          </w:p>
        </w:tc>
      </w:tr>
      <w:tr w:rsidR="007278D9" w:rsidRPr="007278D9" w14:paraId="2D9D27DD" w14:textId="77777777" w:rsidTr="007278D9">
        <w:trPr>
          <w:trHeight w:val="300"/>
        </w:trPr>
        <w:tc>
          <w:tcPr>
            <w:tcW w:w="1059" w:type="pct"/>
            <w:shd w:val="clear" w:color="auto" w:fill="auto"/>
            <w:noWrap/>
            <w:vAlign w:val="center"/>
            <w:hideMark/>
          </w:tcPr>
          <w:p w14:paraId="4B7921B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011070C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5 712</w:t>
            </w:r>
          </w:p>
        </w:tc>
        <w:tc>
          <w:tcPr>
            <w:tcW w:w="596" w:type="pct"/>
            <w:shd w:val="clear" w:color="auto" w:fill="auto"/>
            <w:vAlign w:val="center"/>
            <w:hideMark/>
          </w:tcPr>
          <w:p w14:paraId="6EC28A2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614</w:t>
            </w:r>
          </w:p>
        </w:tc>
        <w:tc>
          <w:tcPr>
            <w:tcW w:w="828" w:type="pct"/>
            <w:shd w:val="clear" w:color="auto" w:fill="auto"/>
            <w:vAlign w:val="center"/>
            <w:hideMark/>
          </w:tcPr>
          <w:p w14:paraId="383C00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792</w:t>
            </w:r>
          </w:p>
        </w:tc>
        <w:tc>
          <w:tcPr>
            <w:tcW w:w="594" w:type="pct"/>
            <w:shd w:val="clear" w:color="auto" w:fill="auto"/>
            <w:vAlign w:val="center"/>
            <w:hideMark/>
          </w:tcPr>
          <w:p w14:paraId="70E8077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1 000</w:t>
            </w:r>
          </w:p>
        </w:tc>
        <w:tc>
          <w:tcPr>
            <w:tcW w:w="828" w:type="pct"/>
            <w:shd w:val="clear" w:color="auto" w:fill="auto"/>
            <w:vAlign w:val="center"/>
            <w:hideMark/>
          </w:tcPr>
          <w:p w14:paraId="10736C3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705</w:t>
            </w:r>
          </w:p>
        </w:tc>
        <w:tc>
          <w:tcPr>
            <w:tcW w:w="597" w:type="pct"/>
            <w:shd w:val="clear" w:color="auto" w:fill="auto"/>
            <w:vAlign w:val="center"/>
            <w:hideMark/>
          </w:tcPr>
          <w:p w14:paraId="370A9FB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2 020</w:t>
            </w:r>
          </w:p>
        </w:tc>
      </w:tr>
      <w:tr w:rsidR="007278D9" w:rsidRPr="007278D9" w14:paraId="3F51D310" w14:textId="77777777" w:rsidTr="007278D9">
        <w:trPr>
          <w:trHeight w:val="300"/>
        </w:trPr>
        <w:tc>
          <w:tcPr>
            <w:tcW w:w="1059" w:type="pct"/>
            <w:shd w:val="clear" w:color="auto" w:fill="auto"/>
            <w:noWrap/>
            <w:vAlign w:val="center"/>
            <w:hideMark/>
          </w:tcPr>
          <w:p w14:paraId="010F059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3856C74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13 629</w:t>
            </w:r>
          </w:p>
        </w:tc>
        <w:tc>
          <w:tcPr>
            <w:tcW w:w="596" w:type="pct"/>
            <w:shd w:val="clear" w:color="auto" w:fill="auto"/>
            <w:vAlign w:val="center"/>
            <w:hideMark/>
          </w:tcPr>
          <w:p w14:paraId="7426C81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1 111</w:t>
            </w:r>
          </w:p>
        </w:tc>
        <w:tc>
          <w:tcPr>
            <w:tcW w:w="828" w:type="pct"/>
            <w:shd w:val="clear" w:color="auto" w:fill="auto"/>
            <w:vAlign w:val="center"/>
            <w:hideMark/>
          </w:tcPr>
          <w:p w14:paraId="0ED686C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2 643</w:t>
            </w:r>
          </w:p>
        </w:tc>
        <w:tc>
          <w:tcPr>
            <w:tcW w:w="594" w:type="pct"/>
            <w:shd w:val="clear" w:color="auto" w:fill="auto"/>
            <w:vAlign w:val="center"/>
            <w:hideMark/>
          </w:tcPr>
          <w:p w14:paraId="56FE30B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3 783</w:t>
            </w:r>
          </w:p>
        </w:tc>
        <w:tc>
          <w:tcPr>
            <w:tcW w:w="828" w:type="pct"/>
            <w:shd w:val="clear" w:color="auto" w:fill="auto"/>
            <w:vAlign w:val="center"/>
            <w:hideMark/>
          </w:tcPr>
          <w:p w14:paraId="70A029A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1 570</w:t>
            </w:r>
          </w:p>
        </w:tc>
        <w:tc>
          <w:tcPr>
            <w:tcW w:w="597" w:type="pct"/>
            <w:shd w:val="clear" w:color="auto" w:fill="auto"/>
            <w:vAlign w:val="center"/>
            <w:hideMark/>
          </w:tcPr>
          <w:p w14:paraId="4B6A126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4 155</w:t>
            </w:r>
          </w:p>
        </w:tc>
      </w:tr>
      <w:tr w:rsidR="007278D9" w:rsidRPr="007278D9" w14:paraId="3A849CD0" w14:textId="77777777" w:rsidTr="007278D9">
        <w:trPr>
          <w:trHeight w:val="300"/>
        </w:trPr>
        <w:tc>
          <w:tcPr>
            <w:tcW w:w="1059" w:type="pct"/>
            <w:shd w:val="clear" w:color="auto" w:fill="auto"/>
            <w:noWrap/>
            <w:vAlign w:val="center"/>
            <w:hideMark/>
          </w:tcPr>
          <w:p w14:paraId="411AE32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Zachodniopomorskie</w:t>
            </w:r>
          </w:p>
        </w:tc>
        <w:tc>
          <w:tcPr>
            <w:tcW w:w="498" w:type="pct"/>
            <w:shd w:val="clear" w:color="auto" w:fill="auto"/>
            <w:noWrap/>
            <w:vAlign w:val="center"/>
            <w:hideMark/>
          </w:tcPr>
          <w:p w14:paraId="3F884C6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7 805</w:t>
            </w:r>
          </w:p>
        </w:tc>
        <w:tc>
          <w:tcPr>
            <w:tcW w:w="596" w:type="pct"/>
            <w:shd w:val="clear" w:color="auto" w:fill="auto"/>
            <w:vAlign w:val="center"/>
            <w:hideMark/>
          </w:tcPr>
          <w:p w14:paraId="6AE8802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684</w:t>
            </w:r>
          </w:p>
        </w:tc>
        <w:tc>
          <w:tcPr>
            <w:tcW w:w="828" w:type="pct"/>
            <w:shd w:val="clear" w:color="auto" w:fill="auto"/>
            <w:vAlign w:val="center"/>
            <w:hideMark/>
          </w:tcPr>
          <w:p w14:paraId="74887B5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1 223</w:t>
            </w:r>
          </w:p>
        </w:tc>
        <w:tc>
          <w:tcPr>
            <w:tcW w:w="594" w:type="pct"/>
            <w:shd w:val="clear" w:color="auto" w:fill="auto"/>
            <w:vAlign w:val="center"/>
            <w:hideMark/>
          </w:tcPr>
          <w:p w14:paraId="32F043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1 617</w:t>
            </w:r>
          </w:p>
        </w:tc>
        <w:tc>
          <w:tcPr>
            <w:tcW w:w="828" w:type="pct"/>
            <w:shd w:val="clear" w:color="auto" w:fill="auto"/>
            <w:vAlign w:val="center"/>
            <w:hideMark/>
          </w:tcPr>
          <w:p w14:paraId="4664B8F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757</w:t>
            </w:r>
          </w:p>
        </w:tc>
        <w:tc>
          <w:tcPr>
            <w:tcW w:w="597" w:type="pct"/>
            <w:shd w:val="clear" w:color="auto" w:fill="auto"/>
            <w:vAlign w:val="center"/>
            <w:hideMark/>
          </w:tcPr>
          <w:p w14:paraId="2118410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3 014</w:t>
            </w:r>
          </w:p>
        </w:tc>
      </w:tr>
      <w:tr w:rsidR="007278D9" w:rsidRPr="007278D9" w14:paraId="404DAC26" w14:textId="77777777" w:rsidTr="007278D9">
        <w:trPr>
          <w:trHeight w:val="300"/>
        </w:trPr>
        <w:tc>
          <w:tcPr>
            <w:tcW w:w="5000" w:type="pct"/>
            <w:gridSpan w:val="7"/>
            <w:shd w:val="clear" w:color="auto" w:fill="auto"/>
            <w:vAlign w:val="center"/>
            <w:hideMark/>
          </w:tcPr>
          <w:p w14:paraId="0C80B287"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WIEŚ</w:t>
            </w:r>
          </w:p>
        </w:tc>
      </w:tr>
      <w:tr w:rsidR="007278D9" w:rsidRPr="007278D9" w14:paraId="1E84C3E6" w14:textId="77777777" w:rsidTr="007278D9">
        <w:trPr>
          <w:trHeight w:val="300"/>
        </w:trPr>
        <w:tc>
          <w:tcPr>
            <w:tcW w:w="1059" w:type="pct"/>
            <w:shd w:val="clear" w:color="auto" w:fill="auto"/>
            <w:noWrap/>
            <w:vAlign w:val="center"/>
            <w:hideMark/>
          </w:tcPr>
          <w:p w14:paraId="7ED2161A"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5CA6DDA7"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94 975</w:t>
            </w:r>
          </w:p>
        </w:tc>
        <w:tc>
          <w:tcPr>
            <w:tcW w:w="596" w:type="pct"/>
            <w:shd w:val="clear" w:color="auto" w:fill="auto"/>
            <w:vAlign w:val="center"/>
            <w:hideMark/>
          </w:tcPr>
          <w:p w14:paraId="08923367"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8 089</w:t>
            </w:r>
          </w:p>
        </w:tc>
        <w:tc>
          <w:tcPr>
            <w:tcW w:w="828" w:type="pct"/>
            <w:shd w:val="clear" w:color="auto" w:fill="auto"/>
            <w:vAlign w:val="center"/>
            <w:hideMark/>
          </w:tcPr>
          <w:p w14:paraId="6BCAA0D3"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16 403</w:t>
            </w:r>
          </w:p>
        </w:tc>
        <w:tc>
          <w:tcPr>
            <w:tcW w:w="594" w:type="pct"/>
            <w:shd w:val="clear" w:color="auto" w:fill="auto"/>
            <w:vAlign w:val="center"/>
            <w:hideMark/>
          </w:tcPr>
          <w:p w14:paraId="5788B783"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16 533</w:t>
            </w:r>
          </w:p>
        </w:tc>
        <w:tc>
          <w:tcPr>
            <w:tcW w:w="828" w:type="pct"/>
            <w:shd w:val="clear" w:color="auto" w:fill="auto"/>
            <w:vAlign w:val="center"/>
            <w:hideMark/>
          </w:tcPr>
          <w:p w14:paraId="32F4F5FB"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28 186</w:t>
            </w:r>
          </w:p>
        </w:tc>
        <w:tc>
          <w:tcPr>
            <w:tcW w:w="597" w:type="pct"/>
            <w:shd w:val="clear" w:color="auto" w:fill="auto"/>
            <w:vAlign w:val="center"/>
            <w:hideMark/>
          </w:tcPr>
          <w:p w14:paraId="7A8D6C68"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22 317</w:t>
            </w:r>
          </w:p>
        </w:tc>
      </w:tr>
      <w:tr w:rsidR="007278D9" w:rsidRPr="007278D9" w14:paraId="22D33636" w14:textId="77777777" w:rsidTr="007278D9">
        <w:trPr>
          <w:trHeight w:val="300"/>
        </w:trPr>
        <w:tc>
          <w:tcPr>
            <w:tcW w:w="1059" w:type="pct"/>
            <w:shd w:val="clear" w:color="auto" w:fill="auto"/>
            <w:noWrap/>
            <w:vAlign w:val="center"/>
            <w:hideMark/>
          </w:tcPr>
          <w:p w14:paraId="665C1A9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7675942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4 563</w:t>
            </w:r>
          </w:p>
        </w:tc>
        <w:tc>
          <w:tcPr>
            <w:tcW w:w="596" w:type="pct"/>
            <w:shd w:val="clear" w:color="auto" w:fill="auto"/>
            <w:vAlign w:val="center"/>
            <w:hideMark/>
          </w:tcPr>
          <w:p w14:paraId="17C1B94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535</w:t>
            </w:r>
          </w:p>
        </w:tc>
        <w:tc>
          <w:tcPr>
            <w:tcW w:w="828" w:type="pct"/>
            <w:shd w:val="clear" w:color="auto" w:fill="auto"/>
            <w:vAlign w:val="center"/>
            <w:hideMark/>
          </w:tcPr>
          <w:p w14:paraId="7DEE485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556</w:t>
            </w:r>
          </w:p>
        </w:tc>
        <w:tc>
          <w:tcPr>
            <w:tcW w:w="594" w:type="pct"/>
            <w:shd w:val="clear" w:color="auto" w:fill="auto"/>
            <w:vAlign w:val="center"/>
            <w:hideMark/>
          </w:tcPr>
          <w:p w14:paraId="395A002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628</w:t>
            </w:r>
          </w:p>
        </w:tc>
        <w:tc>
          <w:tcPr>
            <w:tcW w:w="828" w:type="pct"/>
            <w:shd w:val="clear" w:color="auto" w:fill="auto"/>
            <w:vAlign w:val="center"/>
            <w:hideMark/>
          </w:tcPr>
          <w:p w14:paraId="4CC3D99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1 650</w:t>
            </w:r>
          </w:p>
        </w:tc>
        <w:tc>
          <w:tcPr>
            <w:tcW w:w="597" w:type="pct"/>
            <w:shd w:val="clear" w:color="auto" w:fill="auto"/>
            <w:vAlign w:val="center"/>
            <w:hideMark/>
          </w:tcPr>
          <w:p w14:paraId="10803DE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1 098</w:t>
            </w:r>
          </w:p>
        </w:tc>
      </w:tr>
      <w:tr w:rsidR="007278D9" w:rsidRPr="007278D9" w14:paraId="72341A11" w14:textId="77777777" w:rsidTr="007278D9">
        <w:trPr>
          <w:trHeight w:val="300"/>
        </w:trPr>
        <w:tc>
          <w:tcPr>
            <w:tcW w:w="1059" w:type="pct"/>
            <w:shd w:val="clear" w:color="auto" w:fill="auto"/>
            <w:noWrap/>
            <w:vAlign w:val="center"/>
            <w:hideMark/>
          </w:tcPr>
          <w:p w14:paraId="1BD37C0D"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1B4ACE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3 724</w:t>
            </w:r>
          </w:p>
        </w:tc>
        <w:tc>
          <w:tcPr>
            <w:tcW w:w="596" w:type="pct"/>
            <w:shd w:val="clear" w:color="auto" w:fill="auto"/>
            <w:vAlign w:val="center"/>
            <w:hideMark/>
          </w:tcPr>
          <w:p w14:paraId="1FE76F0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359</w:t>
            </w:r>
          </w:p>
        </w:tc>
        <w:tc>
          <w:tcPr>
            <w:tcW w:w="828" w:type="pct"/>
            <w:shd w:val="clear" w:color="auto" w:fill="auto"/>
            <w:vAlign w:val="center"/>
            <w:hideMark/>
          </w:tcPr>
          <w:p w14:paraId="0C9C4C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599</w:t>
            </w:r>
          </w:p>
        </w:tc>
        <w:tc>
          <w:tcPr>
            <w:tcW w:w="594" w:type="pct"/>
            <w:shd w:val="clear" w:color="auto" w:fill="auto"/>
            <w:vAlign w:val="center"/>
            <w:hideMark/>
          </w:tcPr>
          <w:p w14:paraId="632A9BA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929</w:t>
            </w:r>
          </w:p>
        </w:tc>
        <w:tc>
          <w:tcPr>
            <w:tcW w:w="828" w:type="pct"/>
            <w:shd w:val="clear" w:color="auto" w:fill="auto"/>
            <w:vAlign w:val="center"/>
            <w:hideMark/>
          </w:tcPr>
          <w:p w14:paraId="74A1FF8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554</w:t>
            </w:r>
          </w:p>
        </w:tc>
        <w:tc>
          <w:tcPr>
            <w:tcW w:w="597" w:type="pct"/>
            <w:shd w:val="clear" w:color="auto" w:fill="auto"/>
            <w:vAlign w:val="center"/>
            <w:hideMark/>
          </w:tcPr>
          <w:p w14:paraId="05D5B2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1 051</w:t>
            </w:r>
          </w:p>
        </w:tc>
      </w:tr>
      <w:tr w:rsidR="007278D9" w:rsidRPr="007278D9" w14:paraId="6FF8D513" w14:textId="77777777" w:rsidTr="007278D9">
        <w:trPr>
          <w:trHeight w:val="300"/>
        </w:trPr>
        <w:tc>
          <w:tcPr>
            <w:tcW w:w="1059" w:type="pct"/>
            <w:shd w:val="clear" w:color="auto" w:fill="auto"/>
            <w:noWrap/>
            <w:vAlign w:val="center"/>
            <w:hideMark/>
          </w:tcPr>
          <w:p w14:paraId="53D8F71C"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458CCD9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9 154</w:t>
            </w:r>
          </w:p>
        </w:tc>
        <w:tc>
          <w:tcPr>
            <w:tcW w:w="596" w:type="pct"/>
            <w:shd w:val="clear" w:color="auto" w:fill="auto"/>
            <w:vAlign w:val="center"/>
            <w:hideMark/>
          </w:tcPr>
          <w:p w14:paraId="45B8846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910</w:t>
            </w:r>
          </w:p>
        </w:tc>
        <w:tc>
          <w:tcPr>
            <w:tcW w:w="828" w:type="pct"/>
            <w:shd w:val="clear" w:color="auto" w:fill="auto"/>
            <w:vAlign w:val="center"/>
            <w:hideMark/>
          </w:tcPr>
          <w:p w14:paraId="52BB6B9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1 192</w:t>
            </w:r>
          </w:p>
        </w:tc>
        <w:tc>
          <w:tcPr>
            <w:tcW w:w="594" w:type="pct"/>
            <w:shd w:val="clear" w:color="auto" w:fill="auto"/>
            <w:vAlign w:val="center"/>
            <w:hideMark/>
          </w:tcPr>
          <w:p w14:paraId="7B1C088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1 779</w:t>
            </w:r>
          </w:p>
        </w:tc>
        <w:tc>
          <w:tcPr>
            <w:tcW w:w="828" w:type="pct"/>
            <w:shd w:val="clear" w:color="auto" w:fill="auto"/>
            <w:vAlign w:val="center"/>
            <w:hideMark/>
          </w:tcPr>
          <w:p w14:paraId="7D7F059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2 647</w:t>
            </w:r>
          </w:p>
        </w:tc>
        <w:tc>
          <w:tcPr>
            <w:tcW w:w="597" w:type="pct"/>
            <w:shd w:val="clear" w:color="auto" w:fill="auto"/>
            <w:vAlign w:val="center"/>
            <w:hideMark/>
          </w:tcPr>
          <w:p w14:paraId="0D0766A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2 239</w:t>
            </w:r>
          </w:p>
        </w:tc>
      </w:tr>
      <w:tr w:rsidR="007278D9" w:rsidRPr="007278D9" w14:paraId="67DA43B7" w14:textId="77777777" w:rsidTr="007278D9">
        <w:trPr>
          <w:trHeight w:val="300"/>
        </w:trPr>
        <w:tc>
          <w:tcPr>
            <w:tcW w:w="1059" w:type="pct"/>
            <w:shd w:val="clear" w:color="auto" w:fill="auto"/>
            <w:noWrap/>
            <w:vAlign w:val="center"/>
            <w:hideMark/>
          </w:tcPr>
          <w:p w14:paraId="381328A6"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520B2DC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896</w:t>
            </w:r>
          </w:p>
        </w:tc>
        <w:tc>
          <w:tcPr>
            <w:tcW w:w="596" w:type="pct"/>
            <w:shd w:val="clear" w:color="auto" w:fill="auto"/>
            <w:vAlign w:val="center"/>
            <w:hideMark/>
          </w:tcPr>
          <w:p w14:paraId="11E77A4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59</w:t>
            </w:r>
          </w:p>
        </w:tc>
        <w:tc>
          <w:tcPr>
            <w:tcW w:w="828" w:type="pct"/>
            <w:shd w:val="clear" w:color="auto" w:fill="auto"/>
            <w:vAlign w:val="center"/>
            <w:hideMark/>
          </w:tcPr>
          <w:p w14:paraId="784B4AA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91</w:t>
            </w:r>
          </w:p>
        </w:tc>
        <w:tc>
          <w:tcPr>
            <w:tcW w:w="594" w:type="pct"/>
            <w:shd w:val="clear" w:color="auto" w:fill="auto"/>
            <w:vAlign w:val="center"/>
            <w:hideMark/>
          </w:tcPr>
          <w:p w14:paraId="7B7C372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194</w:t>
            </w:r>
          </w:p>
        </w:tc>
        <w:tc>
          <w:tcPr>
            <w:tcW w:w="828" w:type="pct"/>
            <w:shd w:val="clear" w:color="auto" w:fill="auto"/>
            <w:vAlign w:val="center"/>
            <w:hideMark/>
          </w:tcPr>
          <w:p w14:paraId="675D5D8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236</w:t>
            </w:r>
          </w:p>
        </w:tc>
        <w:tc>
          <w:tcPr>
            <w:tcW w:w="597" w:type="pct"/>
            <w:shd w:val="clear" w:color="auto" w:fill="auto"/>
            <w:vAlign w:val="center"/>
            <w:hideMark/>
          </w:tcPr>
          <w:p w14:paraId="03DA46C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316</w:t>
            </w:r>
          </w:p>
        </w:tc>
      </w:tr>
      <w:tr w:rsidR="007278D9" w:rsidRPr="007278D9" w14:paraId="497A159A" w14:textId="77777777" w:rsidTr="007278D9">
        <w:trPr>
          <w:trHeight w:val="300"/>
        </w:trPr>
        <w:tc>
          <w:tcPr>
            <w:tcW w:w="1059" w:type="pct"/>
            <w:shd w:val="clear" w:color="auto" w:fill="auto"/>
            <w:noWrap/>
            <w:vAlign w:val="center"/>
            <w:hideMark/>
          </w:tcPr>
          <w:p w14:paraId="3B64B44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2163BCE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7 004</w:t>
            </w:r>
          </w:p>
        </w:tc>
        <w:tc>
          <w:tcPr>
            <w:tcW w:w="596" w:type="pct"/>
            <w:shd w:val="clear" w:color="auto" w:fill="auto"/>
            <w:vAlign w:val="center"/>
            <w:hideMark/>
          </w:tcPr>
          <w:p w14:paraId="0A522EC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215</w:t>
            </w:r>
          </w:p>
        </w:tc>
        <w:tc>
          <w:tcPr>
            <w:tcW w:w="828" w:type="pct"/>
            <w:shd w:val="clear" w:color="auto" w:fill="auto"/>
            <w:vAlign w:val="center"/>
            <w:hideMark/>
          </w:tcPr>
          <w:p w14:paraId="0DDA3C4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1 512</w:t>
            </w:r>
          </w:p>
        </w:tc>
        <w:tc>
          <w:tcPr>
            <w:tcW w:w="594" w:type="pct"/>
            <w:shd w:val="clear" w:color="auto" w:fill="auto"/>
            <w:vAlign w:val="center"/>
            <w:hideMark/>
          </w:tcPr>
          <w:p w14:paraId="08462B8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1 046</w:t>
            </w:r>
          </w:p>
        </w:tc>
        <w:tc>
          <w:tcPr>
            <w:tcW w:w="828" w:type="pct"/>
            <w:shd w:val="clear" w:color="auto" w:fill="auto"/>
            <w:vAlign w:val="center"/>
            <w:hideMark/>
          </w:tcPr>
          <w:p w14:paraId="0701CB4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2 151</w:t>
            </w:r>
          </w:p>
        </w:tc>
        <w:tc>
          <w:tcPr>
            <w:tcW w:w="597" w:type="pct"/>
            <w:shd w:val="clear" w:color="auto" w:fill="auto"/>
            <w:vAlign w:val="center"/>
            <w:hideMark/>
          </w:tcPr>
          <w:p w14:paraId="6AE0B48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1 512</w:t>
            </w:r>
          </w:p>
        </w:tc>
      </w:tr>
      <w:tr w:rsidR="007278D9" w:rsidRPr="007278D9" w14:paraId="7354987F" w14:textId="77777777" w:rsidTr="007278D9">
        <w:trPr>
          <w:trHeight w:val="300"/>
        </w:trPr>
        <w:tc>
          <w:tcPr>
            <w:tcW w:w="1059" w:type="pct"/>
            <w:shd w:val="clear" w:color="auto" w:fill="auto"/>
            <w:noWrap/>
            <w:vAlign w:val="center"/>
            <w:hideMark/>
          </w:tcPr>
          <w:p w14:paraId="6B9B934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4A6DFE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18 836</w:t>
            </w:r>
          </w:p>
        </w:tc>
        <w:tc>
          <w:tcPr>
            <w:tcW w:w="596" w:type="pct"/>
            <w:shd w:val="clear" w:color="auto" w:fill="auto"/>
            <w:vAlign w:val="center"/>
            <w:hideMark/>
          </w:tcPr>
          <w:p w14:paraId="78D9DF4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1 522</w:t>
            </w:r>
          </w:p>
        </w:tc>
        <w:tc>
          <w:tcPr>
            <w:tcW w:w="828" w:type="pct"/>
            <w:shd w:val="clear" w:color="auto" w:fill="auto"/>
            <w:vAlign w:val="center"/>
            <w:hideMark/>
          </w:tcPr>
          <w:p w14:paraId="5957996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4 411</w:t>
            </w:r>
          </w:p>
        </w:tc>
        <w:tc>
          <w:tcPr>
            <w:tcW w:w="594" w:type="pct"/>
            <w:shd w:val="clear" w:color="auto" w:fill="auto"/>
            <w:vAlign w:val="center"/>
            <w:hideMark/>
          </w:tcPr>
          <w:p w14:paraId="10A60DD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1 825</w:t>
            </w:r>
          </w:p>
        </w:tc>
        <w:tc>
          <w:tcPr>
            <w:tcW w:w="828" w:type="pct"/>
            <w:shd w:val="clear" w:color="auto" w:fill="auto"/>
            <w:vAlign w:val="center"/>
            <w:hideMark/>
          </w:tcPr>
          <w:p w14:paraId="4D6ECF9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7 824</w:t>
            </w:r>
          </w:p>
        </w:tc>
        <w:tc>
          <w:tcPr>
            <w:tcW w:w="597" w:type="pct"/>
            <w:shd w:val="clear" w:color="auto" w:fill="auto"/>
            <w:vAlign w:val="center"/>
            <w:hideMark/>
          </w:tcPr>
          <w:p w14:paraId="2F1FD5A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2 836</w:t>
            </w:r>
          </w:p>
        </w:tc>
      </w:tr>
      <w:tr w:rsidR="007278D9" w:rsidRPr="007278D9" w14:paraId="0D2EE2D2" w14:textId="77777777" w:rsidTr="007278D9">
        <w:trPr>
          <w:trHeight w:val="300"/>
        </w:trPr>
        <w:tc>
          <w:tcPr>
            <w:tcW w:w="1059" w:type="pct"/>
            <w:shd w:val="clear" w:color="auto" w:fill="auto"/>
            <w:noWrap/>
            <w:vAlign w:val="center"/>
            <w:hideMark/>
          </w:tcPr>
          <w:p w14:paraId="0F6B33C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1EAD311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5 619</w:t>
            </w:r>
          </w:p>
        </w:tc>
        <w:tc>
          <w:tcPr>
            <w:tcW w:w="596" w:type="pct"/>
            <w:shd w:val="clear" w:color="auto" w:fill="auto"/>
            <w:vAlign w:val="center"/>
            <w:hideMark/>
          </w:tcPr>
          <w:p w14:paraId="7540AE6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719</w:t>
            </w:r>
          </w:p>
        </w:tc>
        <w:tc>
          <w:tcPr>
            <w:tcW w:w="828" w:type="pct"/>
            <w:shd w:val="clear" w:color="auto" w:fill="auto"/>
            <w:vAlign w:val="center"/>
            <w:hideMark/>
          </w:tcPr>
          <w:p w14:paraId="4D703D2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1 046</w:t>
            </w:r>
          </w:p>
        </w:tc>
        <w:tc>
          <w:tcPr>
            <w:tcW w:w="594" w:type="pct"/>
            <w:shd w:val="clear" w:color="auto" w:fill="auto"/>
            <w:vAlign w:val="center"/>
            <w:hideMark/>
          </w:tcPr>
          <w:p w14:paraId="65E5D10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1 195</w:t>
            </w:r>
          </w:p>
        </w:tc>
        <w:tc>
          <w:tcPr>
            <w:tcW w:w="828" w:type="pct"/>
            <w:shd w:val="clear" w:color="auto" w:fill="auto"/>
            <w:vAlign w:val="center"/>
            <w:hideMark/>
          </w:tcPr>
          <w:p w14:paraId="3C9038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1 277</w:t>
            </w:r>
          </w:p>
        </w:tc>
        <w:tc>
          <w:tcPr>
            <w:tcW w:w="597" w:type="pct"/>
            <w:shd w:val="clear" w:color="auto" w:fill="auto"/>
            <w:vAlign w:val="center"/>
            <w:hideMark/>
          </w:tcPr>
          <w:p w14:paraId="03D4939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1 172</w:t>
            </w:r>
          </w:p>
        </w:tc>
      </w:tr>
      <w:tr w:rsidR="007278D9" w:rsidRPr="007278D9" w14:paraId="39485C56" w14:textId="77777777" w:rsidTr="007278D9">
        <w:trPr>
          <w:trHeight w:val="300"/>
        </w:trPr>
        <w:tc>
          <w:tcPr>
            <w:tcW w:w="1059" w:type="pct"/>
            <w:shd w:val="clear" w:color="auto" w:fill="auto"/>
            <w:noWrap/>
            <w:vAlign w:val="center"/>
            <w:hideMark/>
          </w:tcPr>
          <w:p w14:paraId="5AC05965"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Opolskie</w:t>
            </w:r>
          </w:p>
        </w:tc>
        <w:tc>
          <w:tcPr>
            <w:tcW w:w="498" w:type="pct"/>
            <w:shd w:val="clear" w:color="auto" w:fill="auto"/>
            <w:noWrap/>
            <w:vAlign w:val="center"/>
            <w:hideMark/>
          </w:tcPr>
          <w:p w14:paraId="20325FF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1 141</w:t>
            </w:r>
          </w:p>
        </w:tc>
        <w:tc>
          <w:tcPr>
            <w:tcW w:w="596" w:type="pct"/>
            <w:shd w:val="clear" w:color="auto" w:fill="auto"/>
            <w:vAlign w:val="center"/>
            <w:hideMark/>
          </w:tcPr>
          <w:p w14:paraId="4799671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79</w:t>
            </w:r>
          </w:p>
        </w:tc>
        <w:tc>
          <w:tcPr>
            <w:tcW w:w="828" w:type="pct"/>
            <w:shd w:val="clear" w:color="auto" w:fill="auto"/>
            <w:vAlign w:val="center"/>
            <w:hideMark/>
          </w:tcPr>
          <w:p w14:paraId="6315CD8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222</w:t>
            </w:r>
          </w:p>
        </w:tc>
        <w:tc>
          <w:tcPr>
            <w:tcW w:w="594" w:type="pct"/>
            <w:shd w:val="clear" w:color="auto" w:fill="auto"/>
            <w:vAlign w:val="center"/>
            <w:hideMark/>
          </w:tcPr>
          <w:p w14:paraId="567B8A6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304</w:t>
            </w:r>
          </w:p>
        </w:tc>
        <w:tc>
          <w:tcPr>
            <w:tcW w:w="828" w:type="pct"/>
            <w:shd w:val="clear" w:color="auto" w:fill="auto"/>
            <w:vAlign w:val="center"/>
            <w:hideMark/>
          </w:tcPr>
          <w:p w14:paraId="5C78F4F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168</w:t>
            </w:r>
          </w:p>
        </w:tc>
        <w:tc>
          <w:tcPr>
            <w:tcW w:w="597" w:type="pct"/>
            <w:shd w:val="clear" w:color="auto" w:fill="auto"/>
            <w:vAlign w:val="center"/>
            <w:hideMark/>
          </w:tcPr>
          <w:p w14:paraId="2759C0D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343</w:t>
            </w:r>
          </w:p>
        </w:tc>
      </w:tr>
      <w:tr w:rsidR="007278D9" w:rsidRPr="007278D9" w14:paraId="222C6A82" w14:textId="77777777" w:rsidTr="007278D9">
        <w:trPr>
          <w:trHeight w:val="300"/>
        </w:trPr>
        <w:tc>
          <w:tcPr>
            <w:tcW w:w="1059" w:type="pct"/>
            <w:shd w:val="clear" w:color="auto" w:fill="auto"/>
            <w:noWrap/>
            <w:vAlign w:val="center"/>
            <w:hideMark/>
          </w:tcPr>
          <w:p w14:paraId="280B33B9"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50CC09F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13 021</w:t>
            </w:r>
          </w:p>
        </w:tc>
        <w:tc>
          <w:tcPr>
            <w:tcW w:w="596" w:type="pct"/>
            <w:shd w:val="clear" w:color="auto" w:fill="auto"/>
            <w:vAlign w:val="center"/>
            <w:hideMark/>
          </w:tcPr>
          <w:p w14:paraId="3EA60BD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1 158</w:t>
            </w:r>
          </w:p>
        </w:tc>
        <w:tc>
          <w:tcPr>
            <w:tcW w:w="828" w:type="pct"/>
            <w:shd w:val="clear" w:color="auto" w:fill="auto"/>
            <w:vAlign w:val="center"/>
            <w:hideMark/>
          </w:tcPr>
          <w:p w14:paraId="0320EDC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1 676</w:t>
            </w:r>
          </w:p>
        </w:tc>
        <w:tc>
          <w:tcPr>
            <w:tcW w:w="594" w:type="pct"/>
            <w:shd w:val="clear" w:color="auto" w:fill="auto"/>
            <w:vAlign w:val="center"/>
            <w:hideMark/>
          </w:tcPr>
          <w:p w14:paraId="214FC23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2 358</w:t>
            </w:r>
          </w:p>
        </w:tc>
        <w:tc>
          <w:tcPr>
            <w:tcW w:w="828" w:type="pct"/>
            <w:shd w:val="clear" w:color="auto" w:fill="auto"/>
            <w:vAlign w:val="center"/>
            <w:hideMark/>
          </w:tcPr>
          <w:p w14:paraId="0BDB862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3 370</w:t>
            </w:r>
          </w:p>
        </w:tc>
        <w:tc>
          <w:tcPr>
            <w:tcW w:w="597" w:type="pct"/>
            <w:shd w:val="clear" w:color="auto" w:fill="auto"/>
            <w:vAlign w:val="center"/>
            <w:hideMark/>
          </w:tcPr>
          <w:p w14:paraId="7FB6C83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3 973</w:t>
            </w:r>
          </w:p>
        </w:tc>
      </w:tr>
      <w:tr w:rsidR="007278D9" w:rsidRPr="007278D9" w14:paraId="0FBEF33E" w14:textId="77777777" w:rsidTr="007278D9">
        <w:trPr>
          <w:trHeight w:val="300"/>
        </w:trPr>
        <w:tc>
          <w:tcPr>
            <w:tcW w:w="1059" w:type="pct"/>
            <w:shd w:val="clear" w:color="auto" w:fill="auto"/>
            <w:noWrap/>
            <w:vAlign w:val="center"/>
            <w:hideMark/>
          </w:tcPr>
          <w:p w14:paraId="1CFEC66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750F558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2 932</w:t>
            </w:r>
          </w:p>
        </w:tc>
        <w:tc>
          <w:tcPr>
            <w:tcW w:w="596" w:type="pct"/>
            <w:shd w:val="clear" w:color="auto" w:fill="auto"/>
            <w:vAlign w:val="center"/>
            <w:hideMark/>
          </w:tcPr>
          <w:p w14:paraId="6852227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286</w:t>
            </w:r>
          </w:p>
        </w:tc>
        <w:tc>
          <w:tcPr>
            <w:tcW w:w="828" w:type="pct"/>
            <w:shd w:val="clear" w:color="auto" w:fill="auto"/>
            <w:vAlign w:val="center"/>
            <w:hideMark/>
          </w:tcPr>
          <w:p w14:paraId="320229F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425</w:t>
            </w:r>
          </w:p>
        </w:tc>
        <w:tc>
          <w:tcPr>
            <w:tcW w:w="594" w:type="pct"/>
            <w:shd w:val="clear" w:color="auto" w:fill="auto"/>
            <w:vAlign w:val="center"/>
            <w:hideMark/>
          </w:tcPr>
          <w:p w14:paraId="1811D68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636</w:t>
            </w:r>
          </w:p>
        </w:tc>
        <w:tc>
          <w:tcPr>
            <w:tcW w:w="828" w:type="pct"/>
            <w:shd w:val="clear" w:color="auto" w:fill="auto"/>
            <w:vAlign w:val="center"/>
            <w:hideMark/>
          </w:tcPr>
          <w:p w14:paraId="7F5FF06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825</w:t>
            </w:r>
          </w:p>
        </w:tc>
        <w:tc>
          <w:tcPr>
            <w:tcW w:w="597" w:type="pct"/>
            <w:shd w:val="clear" w:color="auto" w:fill="auto"/>
            <w:vAlign w:val="center"/>
            <w:hideMark/>
          </w:tcPr>
          <w:p w14:paraId="1E9686D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725</w:t>
            </w:r>
          </w:p>
        </w:tc>
      </w:tr>
      <w:tr w:rsidR="007278D9" w:rsidRPr="007278D9" w14:paraId="29544BF4" w14:textId="77777777" w:rsidTr="007278D9">
        <w:trPr>
          <w:trHeight w:val="300"/>
        </w:trPr>
        <w:tc>
          <w:tcPr>
            <w:tcW w:w="1059" w:type="pct"/>
            <w:shd w:val="clear" w:color="auto" w:fill="auto"/>
            <w:noWrap/>
            <w:vAlign w:val="center"/>
            <w:hideMark/>
          </w:tcPr>
          <w:p w14:paraId="2B8659E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5C33DE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3 987</w:t>
            </w:r>
          </w:p>
        </w:tc>
        <w:tc>
          <w:tcPr>
            <w:tcW w:w="596" w:type="pct"/>
            <w:shd w:val="clear" w:color="auto" w:fill="auto"/>
            <w:vAlign w:val="center"/>
            <w:hideMark/>
          </w:tcPr>
          <w:p w14:paraId="4CEF215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368</w:t>
            </w:r>
          </w:p>
        </w:tc>
        <w:tc>
          <w:tcPr>
            <w:tcW w:w="828" w:type="pct"/>
            <w:shd w:val="clear" w:color="auto" w:fill="auto"/>
            <w:vAlign w:val="center"/>
            <w:hideMark/>
          </w:tcPr>
          <w:p w14:paraId="0CDFFD2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687</w:t>
            </w:r>
          </w:p>
        </w:tc>
        <w:tc>
          <w:tcPr>
            <w:tcW w:w="594" w:type="pct"/>
            <w:shd w:val="clear" w:color="auto" w:fill="auto"/>
            <w:vAlign w:val="center"/>
            <w:hideMark/>
          </w:tcPr>
          <w:p w14:paraId="08005BA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933</w:t>
            </w:r>
          </w:p>
        </w:tc>
        <w:tc>
          <w:tcPr>
            <w:tcW w:w="828" w:type="pct"/>
            <w:shd w:val="clear" w:color="auto" w:fill="auto"/>
            <w:vAlign w:val="center"/>
            <w:hideMark/>
          </w:tcPr>
          <w:p w14:paraId="10C8C0E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729</w:t>
            </w:r>
          </w:p>
        </w:tc>
        <w:tc>
          <w:tcPr>
            <w:tcW w:w="597" w:type="pct"/>
            <w:shd w:val="clear" w:color="auto" w:fill="auto"/>
            <w:vAlign w:val="center"/>
            <w:hideMark/>
          </w:tcPr>
          <w:p w14:paraId="009D305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1 123</w:t>
            </w:r>
          </w:p>
        </w:tc>
      </w:tr>
      <w:tr w:rsidR="007278D9" w:rsidRPr="007278D9" w14:paraId="2F154EBB" w14:textId="77777777" w:rsidTr="007278D9">
        <w:trPr>
          <w:trHeight w:val="300"/>
        </w:trPr>
        <w:tc>
          <w:tcPr>
            <w:tcW w:w="1059" w:type="pct"/>
            <w:shd w:val="clear" w:color="auto" w:fill="auto"/>
            <w:noWrap/>
            <w:vAlign w:val="center"/>
            <w:hideMark/>
          </w:tcPr>
          <w:p w14:paraId="21F29B06"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7331E9D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10 931</w:t>
            </w:r>
          </w:p>
        </w:tc>
        <w:tc>
          <w:tcPr>
            <w:tcW w:w="596" w:type="pct"/>
            <w:shd w:val="clear" w:color="auto" w:fill="auto"/>
            <w:vAlign w:val="center"/>
            <w:hideMark/>
          </w:tcPr>
          <w:p w14:paraId="5CE3D4B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629</w:t>
            </w:r>
          </w:p>
        </w:tc>
        <w:tc>
          <w:tcPr>
            <w:tcW w:w="828" w:type="pct"/>
            <w:shd w:val="clear" w:color="auto" w:fill="auto"/>
            <w:vAlign w:val="center"/>
            <w:hideMark/>
          </w:tcPr>
          <w:p w14:paraId="2B63AA2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1 934</w:t>
            </w:r>
          </w:p>
        </w:tc>
        <w:tc>
          <w:tcPr>
            <w:tcW w:w="594" w:type="pct"/>
            <w:shd w:val="clear" w:color="auto" w:fill="auto"/>
            <w:vAlign w:val="center"/>
            <w:hideMark/>
          </w:tcPr>
          <w:p w14:paraId="298251F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1 862</w:t>
            </w:r>
          </w:p>
        </w:tc>
        <w:tc>
          <w:tcPr>
            <w:tcW w:w="828" w:type="pct"/>
            <w:shd w:val="clear" w:color="auto" w:fill="auto"/>
            <w:vAlign w:val="center"/>
            <w:hideMark/>
          </w:tcPr>
          <w:p w14:paraId="078F17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3 098</w:t>
            </w:r>
          </w:p>
        </w:tc>
        <w:tc>
          <w:tcPr>
            <w:tcW w:w="597" w:type="pct"/>
            <w:shd w:val="clear" w:color="auto" w:fill="auto"/>
            <w:vAlign w:val="center"/>
            <w:hideMark/>
          </w:tcPr>
          <w:p w14:paraId="1772EDB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2 980</w:t>
            </w:r>
          </w:p>
        </w:tc>
      </w:tr>
      <w:tr w:rsidR="007278D9" w:rsidRPr="007278D9" w14:paraId="5223F13B" w14:textId="77777777" w:rsidTr="007278D9">
        <w:trPr>
          <w:trHeight w:val="300"/>
        </w:trPr>
        <w:tc>
          <w:tcPr>
            <w:tcW w:w="1059" w:type="pct"/>
            <w:shd w:val="clear" w:color="auto" w:fill="auto"/>
            <w:noWrap/>
            <w:vAlign w:val="center"/>
            <w:hideMark/>
          </w:tcPr>
          <w:p w14:paraId="5F7A34F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6E4E20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3 171</w:t>
            </w:r>
          </w:p>
        </w:tc>
        <w:tc>
          <w:tcPr>
            <w:tcW w:w="596" w:type="pct"/>
            <w:shd w:val="clear" w:color="auto" w:fill="auto"/>
            <w:vAlign w:val="center"/>
            <w:hideMark/>
          </w:tcPr>
          <w:p w14:paraId="462F668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160</w:t>
            </w:r>
          </w:p>
        </w:tc>
        <w:tc>
          <w:tcPr>
            <w:tcW w:w="828" w:type="pct"/>
            <w:shd w:val="clear" w:color="auto" w:fill="auto"/>
            <w:vAlign w:val="center"/>
            <w:hideMark/>
          </w:tcPr>
          <w:p w14:paraId="237D866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522</w:t>
            </w:r>
          </w:p>
        </w:tc>
        <w:tc>
          <w:tcPr>
            <w:tcW w:w="594" w:type="pct"/>
            <w:shd w:val="clear" w:color="auto" w:fill="auto"/>
            <w:vAlign w:val="center"/>
            <w:hideMark/>
          </w:tcPr>
          <w:p w14:paraId="21995E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353</w:t>
            </w:r>
          </w:p>
        </w:tc>
        <w:tc>
          <w:tcPr>
            <w:tcW w:w="828" w:type="pct"/>
            <w:shd w:val="clear" w:color="auto" w:fill="auto"/>
            <w:vAlign w:val="center"/>
            <w:hideMark/>
          </w:tcPr>
          <w:p w14:paraId="13B9191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1 654</w:t>
            </w:r>
          </w:p>
        </w:tc>
        <w:tc>
          <w:tcPr>
            <w:tcW w:w="597" w:type="pct"/>
            <w:shd w:val="clear" w:color="auto" w:fill="auto"/>
            <w:vAlign w:val="center"/>
            <w:hideMark/>
          </w:tcPr>
          <w:p w14:paraId="3F0587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409</w:t>
            </w:r>
          </w:p>
        </w:tc>
      </w:tr>
      <w:tr w:rsidR="007278D9" w:rsidRPr="007278D9" w14:paraId="7F17AE52" w14:textId="77777777" w:rsidTr="007278D9">
        <w:trPr>
          <w:trHeight w:val="300"/>
        </w:trPr>
        <w:tc>
          <w:tcPr>
            <w:tcW w:w="1059" w:type="pct"/>
            <w:shd w:val="clear" w:color="auto" w:fill="auto"/>
            <w:noWrap/>
            <w:vAlign w:val="center"/>
            <w:hideMark/>
          </w:tcPr>
          <w:p w14:paraId="47EA4BFC"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0271DD7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2 249</w:t>
            </w:r>
          </w:p>
        </w:tc>
        <w:tc>
          <w:tcPr>
            <w:tcW w:w="596" w:type="pct"/>
            <w:shd w:val="clear" w:color="auto" w:fill="auto"/>
            <w:vAlign w:val="center"/>
            <w:hideMark/>
          </w:tcPr>
          <w:p w14:paraId="6548D1D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243</w:t>
            </w:r>
          </w:p>
        </w:tc>
        <w:tc>
          <w:tcPr>
            <w:tcW w:w="828" w:type="pct"/>
            <w:shd w:val="clear" w:color="auto" w:fill="auto"/>
            <w:vAlign w:val="center"/>
            <w:hideMark/>
          </w:tcPr>
          <w:p w14:paraId="35A6781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352</w:t>
            </w:r>
          </w:p>
        </w:tc>
        <w:tc>
          <w:tcPr>
            <w:tcW w:w="594" w:type="pct"/>
            <w:shd w:val="clear" w:color="auto" w:fill="auto"/>
            <w:vAlign w:val="center"/>
            <w:hideMark/>
          </w:tcPr>
          <w:p w14:paraId="4E595B6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565</w:t>
            </w:r>
          </w:p>
        </w:tc>
        <w:tc>
          <w:tcPr>
            <w:tcW w:w="828" w:type="pct"/>
            <w:shd w:val="clear" w:color="auto" w:fill="auto"/>
            <w:vAlign w:val="center"/>
            <w:hideMark/>
          </w:tcPr>
          <w:p w14:paraId="55134FF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508</w:t>
            </w:r>
          </w:p>
        </w:tc>
        <w:tc>
          <w:tcPr>
            <w:tcW w:w="597" w:type="pct"/>
            <w:shd w:val="clear" w:color="auto" w:fill="auto"/>
            <w:vAlign w:val="center"/>
            <w:hideMark/>
          </w:tcPr>
          <w:p w14:paraId="60F055C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421</w:t>
            </w:r>
          </w:p>
        </w:tc>
      </w:tr>
      <w:tr w:rsidR="007278D9" w:rsidRPr="007278D9" w14:paraId="0D979F67" w14:textId="77777777" w:rsidTr="007278D9">
        <w:trPr>
          <w:trHeight w:val="300"/>
        </w:trPr>
        <w:tc>
          <w:tcPr>
            <w:tcW w:w="1059" w:type="pct"/>
            <w:shd w:val="clear" w:color="auto" w:fill="auto"/>
            <w:noWrap/>
            <w:vAlign w:val="center"/>
            <w:hideMark/>
          </w:tcPr>
          <w:p w14:paraId="4A8789B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4CBBB43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6 570</w:t>
            </w:r>
          </w:p>
        </w:tc>
        <w:tc>
          <w:tcPr>
            <w:tcW w:w="596" w:type="pct"/>
            <w:shd w:val="clear" w:color="auto" w:fill="auto"/>
            <w:vAlign w:val="center"/>
            <w:hideMark/>
          </w:tcPr>
          <w:p w14:paraId="57FD36F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728</w:t>
            </w:r>
          </w:p>
        </w:tc>
        <w:tc>
          <w:tcPr>
            <w:tcW w:w="828" w:type="pct"/>
            <w:shd w:val="clear" w:color="auto" w:fill="auto"/>
            <w:vAlign w:val="center"/>
            <w:hideMark/>
          </w:tcPr>
          <w:p w14:paraId="28324FD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1 095</w:t>
            </w:r>
          </w:p>
        </w:tc>
        <w:tc>
          <w:tcPr>
            <w:tcW w:w="594" w:type="pct"/>
            <w:shd w:val="clear" w:color="auto" w:fill="auto"/>
            <w:vAlign w:val="center"/>
            <w:hideMark/>
          </w:tcPr>
          <w:p w14:paraId="2D2CAD3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1 789</w:t>
            </w:r>
          </w:p>
        </w:tc>
        <w:tc>
          <w:tcPr>
            <w:tcW w:w="828" w:type="pct"/>
            <w:shd w:val="clear" w:color="auto" w:fill="auto"/>
            <w:vAlign w:val="center"/>
            <w:hideMark/>
          </w:tcPr>
          <w:p w14:paraId="25FECC5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1 150</w:t>
            </w:r>
          </w:p>
        </w:tc>
        <w:tc>
          <w:tcPr>
            <w:tcW w:w="597" w:type="pct"/>
            <w:shd w:val="clear" w:color="auto" w:fill="auto"/>
            <w:vAlign w:val="center"/>
            <w:hideMark/>
          </w:tcPr>
          <w:p w14:paraId="3AF2BF0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1 654</w:t>
            </w:r>
          </w:p>
        </w:tc>
      </w:tr>
      <w:tr w:rsidR="007278D9" w:rsidRPr="007278D9" w14:paraId="41C5FAD6" w14:textId="77777777" w:rsidTr="007278D9">
        <w:trPr>
          <w:trHeight w:val="300"/>
        </w:trPr>
        <w:tc>
          <w:tcPr>
            <w:tcW w:w="1059" w:type="pct"/>
            <w:shd w:val="clear" w:color="auto" w:fill="auto"/>
            <w:noWrap/>
            <w:vAlign w:val="center"/>
            <w:hideMark/>
          </w:tcPr>
          <w:p w14:paraId="0CCAF1D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Zachodniopomorskie</w:t>
            </w:r>
          </w:p>
        </w:tc>
        <w:tc>
          <w:tcPr>
            <w:tcW w:w="498" w:type="pct"/>
            <w:shd w:val="clear" w:color="auto" w:fill="auto"/>
            <w:noWrap/>
            <w:vAlign w:val="center"/>
            <w:hideMark/>
          </w:tcPr>
          <w:p w14:paraId="60AB5F4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1 177</w:t>
            </w:r>
          </w:p>
        </w:tc>
        <w:tc>
          <w:tcPr>
            <w:tcW w:w="596" w:type="pct"/>
            <w:shd w:val="clear" w:color="auto" w:fill="auto"/>
            <w:vAlign w:val="center"/>
            <w:hideMark/>
          </w:tcPr>
          <w:p w14:paraId="2973E34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119</w:t>
            </w:r>
          </w:p>
        </w:tc>
        <w:tc>
          <w:tcPr>
            <w:tcW w:w="828" w:type="pct"/>
            <w:shd w:val="clear" w:color="auto" w:fill="auto"/>
            <w:vAlign w:val="center"/>
            <w:hideMark/>
          </w:tcPr>
          <w:p w14:paraId="5DE3715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83</w:t>
            </w:r>
          </w:p>
        </w:tc>
        <w:tc>
          <w:tcPr>
            <w:tcW w:w="594" w:type="pct"/>
            <w:shd w:val="clear" w:color="auto" w:fill="auto"/>
            <w:vAlign w:val="center"/>
            <w:hideMark/>
          </w:tcPr>
          <w:p w14:paraId="797EE55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137</w:t>
            </w:r>
          </w:p>
        </w:tc>
        <w:tc>
          <w:tcPr>
            <w:tcW w:w="828" w:type="pct"/>
            <w:shd w:val="clear" w:color="auto" w:fill="auto"/>
            <w:vAlign w:val="center"/>
            <w:hideMark/>
          </w:tcPr>
          <w:p w14:paraId="1430842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345</w:t>
            </w:r>
          </w:p>
        </w:tc>
        <w:tc>
          <w:tcPr>
            <w:tcW w:w="597" w:type="pct"/>
            <w:shd w:val="clear" w:color="auto" w:fill="auto"/>
            <w:vAlign w:val="center"/>
            <w:hideMark/>
          </w:tcPr>
          <w:p w14:paraId="2449E43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465</w:t>
            </w:r>
          </w:p>
        </w:tc>
      </w:tr>
      <w:tr w:rsidR="007278D9" w:rsidRPr="007278D9" w14:paraId="7817DD48" w14:textId="77777777" w:rsidTr="007278D9">
        <w:trPr>
          <w:trHeight w:val="300"/>
        </w:trPr>
        <w:tc>
          <w:tcPr>
            <w:tcW w:w="5000" w:type="pct"/>
            <w:gridSpan w:val="7"/>
            <w:shd w:val="clear" w:color="auto" w:fill="auto"/>
            <w:noWrap/>
            <w:vAlign w:val="center"/>
            <w:hideMark/>
          </w:tcPr>
          <w:p w14:paraId="6334B530"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Z OGÓŁEM OSOBY POWYŻEJ 60. ROKU ŻYCIA</w:t>
            </w:r>
          </w:p>
        </w:tc>
      </w:tr>
      <w:tr w:rsidR="007278D9" w:rsidRPr="007278D9" w14:paraId="46BD40E0" w14:textId="77777777" w:rsidTr="007278D9">
        <w:trPr>
          <w:trHeight w:val="300"/>
        </w:trPr>
        <w:tc>
          <w:tcPr>
            <w:tcW w:w="5000" w:type="pct"/>
            <w:gridSpan w:val="7"/>
            <w:shd w:val="clear" w:color="auto" w:fill="auto"/>
            <w:noWrap/>
            <w:vAlign w:val="center"/>
            <w:hideMark/>
          </w:tcPr>
          <w:p w14:paraId="4691141C"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RAZEM</w:t>
            </w:r>
          </w:p>
        </w:tc>
      </w:tr>
      <w:tr w:rsidR="007278D9" w:rsidRPr="007278D9" w14:paraId="1B5A4B27" w14:textId="77777777" w:rsidTr="007278D9">
        <w:trPr>
          <w:trHeight w:val="300"/>
        </w:trPr>
        <w:tc>
          <w:tcPr>
            <w:tcW w:w="1059" w:type="pct"/>
            <w:shd w:val="clear" w:color="auto" w:fill="auto"/>
            <w:noWrap/>
            <w:vAlign w:val="center"/>
            <w:hideMark/>
          </w:tcPr>
          <w:p w14:paraId="656EAEE2"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62380850"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50 449</w:t>
            </w:r>
          </w:p>
        </w:tc>
        <w:tc>
          <w:tcPr>
            <w:tcW w:w="596" w:type="pct"/>
            <w:shd w:val="clear" w:color="auto" w:fill="auto"/>
            <w:vAlign w:val="center"/>
            <w:hideMark/>
          </w:tcPr>
          <w:p w14:paraId="1AA3DAB4"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4 061</w:t>
            </w:r>
          </w:p>
        </w:tc>
        <w:tc>
          <w:tcPr>
            <w:tcW w:w="828" w:type="pct"/>
            <w:shd w:val="clear" w:color="auto" w:fill="auto"/>
            <w:vAlign w:val="center"/>
            <w:hideMark/>
          </w:tcPr>
          <w:p w14:paraId="1B09E59D"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4 194</w:t>
            </w:r>
          </w:p>
        </w:tc>
        <w:tc>
          <w:tcPr>
            <w:tcW w:w="594" w:type="pct"/>
            <w:shd w:val="clear" w:color="auto" w:fill="auto"/>
            <w:vAlign w:val="center"/>
            <w:hideMark/>
          </w:tcPr>
          <w:p w14:paraId="65BA70AE"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18 486</w:t>
            </w:r>
          </w:p>
        </w:tc>
        <w:tc>
          <w:tcPr>
            <w:tcW w:w="828" w:type="pct"/>
            <w:shd w:val="clear" w:color="auto" w:fill="auto"/>
            <w:vAlign w:val="center"/>
            <w:hideMark/>
          </w:tcPr>
          <w:p w14:paraId="3C81A957"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17 696</w:t>
            </w:r>
          </w:p>
        </w:tc>
        <w:tc>
          <w:tcPr>
            <w:tcW w:w="597" w:type="pct"/>
            <w:shd w:val="clear" w:color="auto" w:fill="auto"/>
            <w:vAlign w:val="center"/>
            <w:hideMark/>
          </w:tcPr>
          <w:p w14:paraId="554A382F"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3 521</w:t>
            </w:r>
          </w:p>
        </w:tc>
      </w:tr>
      <w:tr w:rsidR="007278D9" w:rsidRPr="007278D9" w14:paraId="2C81B43B" w14:textId="77777777" w:rsidTr="007278D9">
        <w:trPr>
          <w:trHeight w:val="300"/>
        </w:trPr>
        <w:tc>
          <w:tcPr>
            <w:tcW w:w="1059" w:type="pct"/>
            <w:shd w:val="clear" w:color="auto" w:fill="auto"/>
            <w:noWrap/>
            <w:vAlign w:val="center"/>
            <w:hideMark/>
          </w:tcPr>
          <w:p w14:paraId="7201D61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4B7FB9D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4 510</w:t>
            </w:r>
          </w:p>
        </w:tc>
        <w:tc>
          <w:tcPr>
            <w:tcW w:w="596" w:type="pct"/>
            <w:shd w:val="clear" w:color="auto" w:fill="auto"/>
            <w:vAlign w:val="center"/>
            <w:hideMark/>
          </w:tcPr>
          <w:p w14:paraId="7E08C2C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352</w:t>
            </w:r>
          </w:p>
        </w:tc>
        <w:tc>
          <w:tcPr>
            <w:tcW w:w="828" w:type="pct"/>
            <w:shd w:val="clear" w:color="auto" w:fill="auto"/>
            <w:vAlign w:val="center"/>
            <w:hideMark/>
          </w:tcPr>
          <w:p w14:paraId="3124E7B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298</w:t>
            </w:r>
          </w:p>
        </w:tc>
        <w:tc>
          <w:tcPr>
            <w:tcW w:w="594" w:type="pct"/>
            <w:shd w:val="clear" w:color="auto" w:fill="auto"/>
            <w:vAlign w:val="center"/>
            <w:hideMark/>
          </w:tcPr>
          <w:p w14:paraId="6FDA43E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1 220</w:t>
            </w:r>
          </w:p>
        </w:tc>
        <w:tc>
          <w:tcPr>
            <w:tcW w:w="828" w:type="pct"/>
            <w:shd w:val="clear" w:color="auto" w:fill="auto"/>
            <w:vAlign w:val="center"/>
            <w:hideMark/>
          </w:tcPr>
          <w:p w14:paraId="236BC86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2 153</w:t>
            </w:r>
          </w:p>
        </w:tc>
        <w:tc>
          <w:tcPr>
            <w:tcW w:w="597" w:type="pct"/>
            <w:shd w:val="clear" w:color="auto" w:fill="auto"/>
            <w:vAlign w:val="center"/>
            <w:hideMark/>
          </w:tcPr>
          <w:p w14:paraId="78F365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302</w:t>
            </w:r>
          </w:p>
        </w:tc>
      </w:tr>
      <w:tr w:rsidR="007278D9" w:rsidRPr="007278D9" w14:paraId="725E0D92" w14:textId="77777777" w:rsidTr="007278D9">
        <w:trPr>
          <w:trHeight w:val="300"/>
        </w:trPr>
        <w:tc>
          <w:tcPr>
            <w:tcW w:w="1059" w:type="pct"/>
            <w:shd w:val="clear" w:color="auto" w:fill="auto"/>
            <w:noWrap/>
            <w:vAlign w:val="center"/>
            <w:hideMark/>
          </w:tcPr>
          <w:p w14:paraId="06EC081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27FF06D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2 002</w:t>
            </w:r>
          </w:p>
        </w:tc>
        <w:tc>
          <w:tcPr>
            <w:tcW w:w="596" w:type="pct"/>
            <w:shd w:val="clear" w:color="auto" w:fill="auto"/>
            <w:vAlign w:val="center"/>
            <w:hideMark/>
          </w:tcPr>
          <w:p w14:paraId="7DB7221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153</w:t>
            </w:r>
          </w:p>
        </w:tc>
        <w:tc>
          <w:tcPr>
            <w:tcW w:w="828" w:type="pct"/>
            <w:shd w:val="clear" w:color="auto" w:fill="auto"/>
            <w:vAlign w:val="center"/>
            <w:hideMark/>
          </w:tcPr>
          <w:p w14:paraId="75A3324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145</w:t>
            </w:r>
          </w:p>
        </w:tc>
        <w:tc>
          <w:tcPr>
            <w:tcW w:w="594" w:type="pct"/>
            <w:shd w:val="clear" w:color="auto" w:fill="auto"/>
            <w:vAlign w:val="center"/>
            <w:hideMark/>
          </w:tcPr>
          <w:p w14:paraId="10CCC5E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1 020</w:t>
            </w:r>
          </w:p>
        </w:tc>
        <w:tc>
          <w:tcPr>
            <w:tcW w:w="828" w:type="pct"/>
            <w:shd w:val="clear" w:color="auto" w:fill="auto"/>
            <w:vAlign w:val="center"/>
            <w:hideMark/>
          </w:tcPr>
          <w:p w14:paraId="1AD10F5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519</w:t>
            </w:r>
          </w:p>
        </w:tc>
        <w:tc>
          <w:tcPr>
            <w:tcW w:w="597" w:type="pct"/>
            <w:shd w:val="clear" w:color="auto" w:fill="auto"/>
            <w:vAlign w:val="center"/>
            <w:hideMark/>
          </w:tcPr>
          <w:p w14:paraId="6146C0C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131</w:t>
            </w:r>
          </w:p>
        </w:tc>
      </w:tr>
      <w:tr w:rsidR="007278D9" w:rsidRPr="007278D9" w14:paraId="2286A0F3" w14:textId="77777777" w:rsidTr="007278D9">
        <w:trPr>
          <w:trHeight w:val="300"/>
        </w:trPr>
        <w:tc>
          <w:tcPr>
            <w:tcW w:w="1059" w:type="pct"/>
            <w:shd w:val="clear" w:color="auto" w:fill="auto"/>
            <w:noWrap/>
            <w:vAlign w:val="center"/>
            <w:hideMark/>
          </w:tcPr>
          <w:p w14:paraId="1D3B893C"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100C8B8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4 450</w:t>
            </w:r>
          </w:p>
        </w:tc>
        <w:tc>
          <w:tcPr>
            <w:tcW w:w="596" w:type="pct"/>
            <w:shd w:val="clear" w:color="auto" w:fill="auto"/>
            <w:vAlign w:val="center"/>
            <w:hideMark/>
          </w:tcPr>
          <w:p w14:paraId="4C5288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385</w:t>
            </w:r>
          </w:p>
        </w:tc>
        <w:tc>
          <w:tcPr>
            <w:tcW w:w="828" w:type="pct"/>
            <w:shd w:val="clear" w:color="auto" w:fill="auto"/>
            <w:vAlign w:val="center"/>
            <w:hideMark/>
          </w:tcPr>
          <w:p w14:paraId="154690C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366</w:t>
            </w:r>
          </w:p>
        </w:tc>
        <w:tc>
          <w:tcPr>
            <w:tcW w:w="594" w:type="pct"/>
            <w:shd w:val="clear" w:color="auto" w:fill="auto"/>
            <w:vAlign w:val="center"/>
            <w:hideMark/>
          </w:tcPr>
          <w:p w14:paraId="4F2D348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1 493</w:t>
            </w:r>
          </w:p>
        </w:tc>
        <w:tc>
          <w:tcPr>
            <w:tcW w:w="828" w:type="pct"/>
            <w:shd w:val="clear" w:color="auto" w:fill="auto"/>
            <w:vAlign w:val="center"/>
            <w:hideMark/>
          </w:tcPr>
          <w:p w14:paraId="1445F4A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1 921</w:t>
            </w:r>
          </w:p>
        </w:tc>
        <w:tc>
          <w:tcPr>
            <w:tcW w:w="597" w:type="pct"/>
            <w:shd w:val="clear" w:color="auto" w:fill="auto"/>
            <w:vAlign w:val="center"/>
            <w:hideMark/>
          </w:tcPr>
          <w:p w14:paraId="5AC7153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200</w:t>
            </w:r>
          </w:p>
        </w:tc>
      </w:tr>
      <w:tr w:rsidR="007278D9" w:rsidRPr="007278D9" w14:paraId="7B4C1A2A" w14:textId="77777777" w:rsidTr="007278D9">
        <w:trPr>
          <w:trHeight w:val="300"/>
        </w:trPr>
        <w:tc>
          <w:tcPr>
            <w:tcW w:w="1059" w:type="pct"/>
            <w:shd w:val="clear" w:color="auto" w:fill="auto"/>
            <w:noWrap/>
            <w:vAlign w:val="center"/>
            <w:hideMark/>
          </w:tcPr>
          <w:p w14:paraId="21D9515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291125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1 320</w:t>
            </w:r>
          </w:p>
        </w:tc>
        <w:tc>
          <w:tcPr>
            <w:tcW w:w="596" w:type="pct"/>
            <w:shd w:val="clear" w:color="auto" w:fill="auto"/>
            <w:vAlign w:val="center"/>
            <w:hideMark/>
          </w:tcPr>
          <w:p w14:paraId="11C67BE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96</w:t>
            </w:r>
          </w:p>
        </w:tc>
        <w:tc>
          <w:tcPr>
            <w:tcW w:w="828" w:type="pct"/>
            <w:shd w:val="clear" w:color="auto" w:fill="auto"/>
            <w:vAlign w:val="center"/>
            <w:hideMark/>
          </w:tcPr>
          <w:p w14:paraId="068AFD4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43</w:t>
            </w:r>
          </w:p>
        </w:tc>
        <w:tc>
          <w:tcPr>
            <w:tcW w:w="594" w:type="pct"/>
            <w:shd w:val="clear" w:color="auto" w:fill="auto"/>
            <w:vAlign w:val="center"/>
            <w:hideMark/>
          </w:tcPr>
          <w:p w14:paraId="1D23F39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714</w:t>
            </w:r>
          </w:p>
        </w:tc>
        <w:tc>
          <w:tcPr>
            <w:tcW w:w="828" w:type="pct"/>
            <w:shd w:val="clear" w:color="auto" w:fill="auto"/>
            <w:vAlign w:val="center"/>
            <w:hideMark/>
          </w:tcPr>
          <w:p w14:paraId="0744134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341</w:t>
            </w:r>
          </w:p>
        </w:tc>
        <w:tc>
          <w:tcPr>
            <w:tcW w:w="597" w:type="pct"/>
            <w:shd w:val="clear" w:color="auto" w:fill="auto"/>
            <w:vAlign w:val="center"/>
            <w:hideMark/>
          </w:tcPr>
          <w:p w14:paraId="59A3C86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81</w:t>
            </w:r>
          </w:p>
        </w:tc>
      </w:tr>
      <w:tr w:rsidR="007278D9" w:rsidRPr="007278D9" w14:paraId="60742C6A" w14:textId="77777777" w:rsidTr="007278D9">
        <w:trPr>
          <w:trHeight w:val="300"/>
        </w:trPr>
        <w:tc>
          <w:tcPr>
            <w:tcW w:w="1059" w:type="pct"/>
            <w:shd w:val="clear" w:color="auto" w:fill="auto"/>
            <w:noWrap/>
            <w:vAlign w:val="center"/>
            <w:hideMark/>
          </w:tcPr>
          <w:p w14:paraId="3194BC0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31FE8BF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2 913</w:t>
            </w:r>
          </w:p>
        </w:tc>
        <w:tc>
          <w:tcPr>
            <w:tcW w:w="596" w:type="pct"/>
            <w:shd w:val="clear" w:color="auto" w:fill="auto"/>
            <w:vAlign w:val="center"/>
            <w:hideMark/>
          </w:tcPr>
          <w:p w14:paraId="0D4D909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176</w:t>
            </w:r>
          </w:p>
        </w:tc>
        <w:tc>
          <w:tcPr>
            <w:tcW w:w="828" w:type="pct"/>
            <w:shd w:val="clear" w:color="auto" w:fill="auto"/>
            <w:vAlign w:val="center"/>
            <w:hideMark/>
          </w:tcPr>
          <w:p w14:paraId="73B12B0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231</w:t>
            </w:r>
          </w:p>
        </w:tc>
        <w:tc>
          <w:tcPr>
            <w:tcW w:w="594" w:type="pct"/>
            <w:shd w:val="clear" w:color="auto" w:fill="auto"/>
            <w:vAlign w:val="center"/>
            <w:hideMark/>
          </w:tcPr>
          <w:p w14:paraId="6ECD7A0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863</w:t>
            </w:r>
          </w:p>
        </w:tc>
        <w:tc>
          <w:tcPr>
            <w:tcW w:w="828" w:type="pct"/>
            <w:shd w:val="clear" w:color="auto" w:fill="auto"/>
            <w:vAlign w:val="center"/>
            <w:hideMark/>
          </w:tcPr>
          <w:p w14:paraId="5BCF0C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1 280</w:t>
            </w:r>
          </w:p>
        </w:tc>
        <w:tc>
          <w:tcPr>
            <w:tcW w:w="597" w:type="pct"/>
            <w:shd w:val="clear" w:color="auto" w:fill="auto"/>
            <w:vAlign w:val="center"/>
            <w:hideMark/>
          </w:tcPr>
          <w:p w14:paraId="310D25E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154</w:t>
            </w:r>
          </w:p>
        </w:tc>
      </w:tr>
      <w:tr w:rsidR="007278D9" w:rsidRPr="007278D9" w14:paraId="3C7469F2" w14:textId="77777777" w:rsidTr="007278D9">
        <w:trPr>
          <w:trHeight w:val="300"/>
        </w:trPr>
        <w:tc>
          <w:tcPr>
            <w:tcW w:w="1059" w:type="pct"/>
            <w:shd w:val="clear" w:color="auto" w:fill="auto"/>
            <w:noWrap/>
            <w:vAlign w:val="center"/>
            <w:hideMark/>
          </w:tcPr>
          <w:p w14:paraId="63D8D75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10CB0A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4 474</w:t>
            </w:r>
          </w:p>
        </w:tc>
        <w:tc>
          <w:tcPr>
            <w:tcW w:w="596" w:type="pct"/>
            <w:shd w:val="clear" w:color="auto" w:fill="auto"/>
            <w:vAlign w:val="center"/>
            <w:hideMark/>
          </w:tcPr>
          <w:p w14:paraId="585D3E7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497</w:t>
            </w:r>
          </w:p>
        </w:tc>
        <w:tc>
          <w:tcPr>
            <w:tcW w:w="828" w:type="pct"/>
            <w:shd w:val="clear" w:color="auto" w:fill="auto"/>
            <w:vAlign w:val="center"/>
            <w:hideMark/>
          </w:tcPr>
          <w:p w14:paraId="0C3311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530</w:t>
            </w:r>
          </w:p>
        </w:tc>
        <w:tc>
          <w:tcPr>
            <w:tcW w:w="594" w:type="pct"/>
            <w:shd w:val="clear" w:color="auto" w:fill="auto"/>
            <w:vAlign w:val="center"/>
            <w:hideMark/>
          </w:tcPr>
          <w:p w14:paraId="1E2AE92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1 205</w:t>
            </w:r>
          </w:p>
        </w:tc>
        <w:tc>
          <w:tcPr>
            <w:tcW w:w="828" w:type="pct"/>
            <w:shd w:val="clear" w:color="auto" w:fill="auto"/>
            <w:vAlign w:val="center"/>
            <w:hideMark/>
          </w:tcPr>
          <w:p w14:paraId="6F3E2EA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1 816</w:t>
            </w:r>
          </w:p>
        </w:tc>
        <w:tc>
          <w:tcPr>
            <w:tcW w:w="597" w:type="pct"/>
            <w:shd w:val="clear" w:color="auto" w:fill="auto"/>
            <w:vAlign w:val="center"/>
            <w:hideMark/>
          </w:tcPr>
          <w:p w14:paraId="3F9118E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218</w:t>
            </w:r>
          </w:p>
        </w:tc>
      </w:tr>
      <w:tr w:rsidR="007278D9" w:rsidRPr="007278D9" w14:paraId="2E7C931D" w14:textId="77777777" w:rsidTr="007278D9">
        <w:trPr>
          <w:trHeight w:val="300"/>
        </w:trPr>
        <w:tc>
          <w:tcPr>
            <w:tcW w:w="1059" w:type="pct"/>
            <w:shd w:val="clear" w:color="auto" w:fill="auto"/>
            <w:noWrap/>
            <w:vAlign w:val="center"/>
            <w:hideMark/>
          </w:tcPr>
          <w:p w14:paraId="59114C9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07B346D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4 843</w:t>
            </w:r>
          </w:p>
        </w:tc>
        <w:tc>
          <w:tcPr>
            <w:tcW w:w="596" w:type="pct"/>
            <w:shd w:val="clear" w:color="auto" w:fill="auto"/>
            <w:vAlign w:val="center"/>
            <w:hideMark/>
          </w:tcPr>
          <w:p w14:paraId="03B1A31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661</w:t>
            </w:r>
          </w:p>
        </w:tc>
        <w:tc>
          <w:tcPr>
            <w:tcW w:w="828" w:type="pct"/>
            <w:shd w:val="clear" w:color="auto" w:fill="auto"/>
            <w:vAlign w:val="center"/>
            <w:hideMark/>
          </w:tcPr>
          <w:p w14:paraId="50CA5B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359</w:t>
            </w:r>
          </w:p>
        </w:tc>
        <w:tc>
          <w:tcPr>
            <w:tcW w:w="594" w:type="pct"/>
            <w:shd w:val="clear" w:color="auto" w:fill="auto"/>
            <w:vAlign w:val="center"/>
            <w:hideMark/>
          </w:tcPr>
          <w:p w14:paraId="7E35AA9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2 067</w:t>
            </w:r>
          </w:p>
        </w:tc>
        <w:tc>
          <w:tcPr>
            <w:tcW w:w="828" w:type="pct"/>
            <w:shd w:val="clear" w:color="auto" w:fill="auto"/>
            <w:vAlign w:val="center"/>
            <w:hideMark/>
          </w:tcPr>
          <w:p w14:paraId="6BDEBA6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946</w:t>
            </w:r>
          </w:p>
        </w:tc>
        <w:tc>
          <w:tcPr>
            <w:tcW w:w="597" w:type="pct"/>
            <w:shd w:val="clear" w:color="auto" w:fill="auto"/>
            <w:vAlign w:val="center"/>
            <w:hideMark/>
          </w:tcPr>
          <w:p w14:paraId="5AA2B16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452</w:t>
            </w:r>
          </w:p>
        </w:tc>
      </w:tr>
      <w:tr w:rsidR="007278D9" w:rsidRPr="007278D9" w14:paraId="53E023BC" w14:textId="77777777" w:rsidTr="007278D9">
        <w:trPr>
          <w:trHeight w:val="300"/>
        </w:trPr>
        <w:tc>
          <w:tcPr>
            <w:tcW w:w="1059" w:type="pct"/>
            <w:shd w:val="clear" w:color="auto" w:fill="auto"/>
            <w:noWrap/>
            <w:vAlign w:val="center"/>
            <w:hideMark/>
          </w:tcPr>
          <w:p w14:paraId="7C24791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Opolskie</w:t>
            </w:r>
          </w:p>
        </w:tc>
        <w:tc>
          <w:tcPr>
            <w:tcW w:w="498" w:type="pct"/>
            <w:shd w:val="clear" w:color="auto" w:fill="auto"/>
            <w:noWrap/>
            <w:vAlign w:val="center"/>
            <w:hideMark/>
          </w:tcPr>
          <w:p w14:paraId="1E45E1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1 348</w:t>
            </w:r>
          </w:p>
        </w:tc>
        <w:tc>
          <w:tcPr>
            <w:tcW w:w="596" w:type="pct"/>
            <w:shd w:val="clear" w:color="auto" w:fill="auto"/>
            <w:vAlign w:val="center"/>
            <w:hideMark/>
          </w:tcPr>
          <w:p w14:paraId="79E0927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w:t>
            </w:r>
          </w:p>
        </w:tc>
        <w:tc>
          <w:tcPr>
            <w:tcW w:w="828" w:type="pct"/>
            <w:shd w:val="clear" w:color="auto" w:fill="auto"/>
            <w:vAlign w:val="center"/>
            <w:hideMark/>
          </w:tcPr>
          <w:p w14:paraId="375F12F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88</w:t>
            </w:r>
          </w:p>
        </w:tc>
        <w:tc>
          <w:tcPr>
            <w:tcW w:w="594" w:type="pct"/>
            <w:shd w:val="clear" w:color="auto" w:fill="auto"/>
            <w:vAlign w:val="center"/>
            <w:hideMark/>
          </w:tcPr>
          <w:p w14:paraId="5566F81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573</w:t>
            </w:r>
          </w:p>
        </w:tc>
        <w:tc>
          <w:tcPr>
            <w:tcW w:w="828" w:type="pct"/>
            <w:shd w:val="clear" w:color="auto" w:fill="auto"/>
            <w:vAlign w:val="center"/>
            <w:hideMark/>
          </w:tcPr>
          <w:p w14:paraId="6A47DE2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304</w:t>
            </w:r>
          </w:p>
        </w:tc>
        <w:tc>
          <w:tcPr>
            <w:tcW w:w="597" w:type="pct"/>
            <w:shd w:val="clear" w:color="auto" w:fill="auto"/>
            <w:vAlign w:val="center"/>
            <w:hideMark/>
          </w:tcPr>
          <w:p w14:paraId="62222B3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145</w:t>
            </w:r>
          </w:p>
        </w:tc>
      </w:tr>
      <w:tr w:rsidR="007278D9" w:rsidRPr="007278D9" w14:paraId="69D1E78D" w14:textId="77777777" w:rsidTr="007278D9">
        <w:trPr>
          <w:trHeight w:val="300"/>
        </w:trPr>
        <w:tc>
          <w:tcPr>
            <w:tcW w:w="1059" w:type="pct"/>
            <w:shd w:val="clear" w:color="auto" w:fill="auto"/>
            <w:noWrap/>
            <w:vAlign w:val="center"/>
            <w:hideMark/>
          </w:tcPr>
          <w:p w14:paraId="58C7C5D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02FD2A6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3 986</w:t>
            </w:r>
          </w:p>
        </w:tc>
        <w:tc>
          <w:tcPr>
            <w:tcW w:w="596" w:type="pct"/>
            <w:shd w:val="clear" w:color="auto" w:fill="auto"/>
            <w:vAlign w:val="center"/>
            <w:hideMark/>
          </w:tcPr>
          <w:p w14:paraId="454FDF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366</w:t>
            </w:r>
          </w:p>
        </w:tc>
        <w:tc>
          <w:tcPr>
            <w:tcW w:w="828" w:type="pct"/>
            <w:shd w:val="clear" w:color="auto" w:fill="auto"/>
            <w:vAlign w:val="center"/>
            <w:hideMark/>
          </w:tcPr>
          <w:p w14:paraId="24449CC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394</w:t>
            </w:r>
          </w:p>
        </w:tc>
        <w:tc>
          <w:tcPr>
            <w:tcW w:w="594" w:type="pct"/>
            <w:shd w:val="clear" w:color="auto" w:fill="auto"/>
            <w:vAlign w:val="center"/>
            <w:hideMark/>
          </w:tcPr>
          <w:p w14:paraId="77407B1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1 270</w:t>
            </w:r>
          </w:p>
        </w:tc>
        <w:tc>
          <w:tcPr>
            <w:tcW w:w="828" w:type="pct"/>
            <w:shd w:val="clear" w:color="auto" w:fill="auto"/>
            <w:vAlign w:val="center"/>
            <w:hideMark/>
          </w:tcPr>
          <w:p w14:paraId="7FBE8BD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1 520</w:t>
            </w:r>
          </w:p>
        </w:tc>
        <w:tc>
          <w:tcPr>
            <w:tcW w:w="597" w:type="pct"/>
            <w:shd w:val="clear" w:color="auto" w:fill="auto"/>
            <w:vAlign w:val="center"/>
            <w:hideMark/>
          </w:tcPr>
          <w:p w14:paraId="4C07FF1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329</w:t>
            </w:r>
          </w:p>
        </w:tc>
      </w:tr>
      <w:tr w:rsidR="007278D9" w:rsidRPr="007278D9" w14:paraId="1E45B35D" w14:textId="77777777" w:rsidTr="007278D9">
        <w:trPr>
          <w:trHeight w:val="300"/>
        </w:trPr>
        <w:tc>
          <w:tcPr>
            <w:tcW w:w="1059" w:type="pct"/>
            <w:shd w:val="clear" w:color="auto" w:fill="auto"/>
            <w:noWrap/>
            <w:vAlign w:val="center"/>
            <w:hideMark/>
          </w:tcPr>
          <w:p w14:paraId="34ACF00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6981144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1 840</w:t>
            </w:r>
          </w:p>
        </w:tc>
        <w:tc>
          <w:tcPr>
            <w:tcW w:w="596" w:type="pct"/>
            <w:shd w:val="clear" w:color="auto" w:fill="auto"/>
            <w:vAlign w:val="center"/>
            <w:hideMark/>
          </w:tcPr>
          <w:p w14:paraId="17F402E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164</w:t>
            </w:r>
          </w:p>
        </w:tc>
        <w:tc>
          <w:tcPr>
            <w:tcW w:w="828" w:type="pct"/>
            <w:shd w:val="clear" w:color="auto" w:fill="auto"/>
            <w:vAlign w:val="center"/>
            <w:hideMark/>
          </w:tcPr>
          <w:p w14:paraId="071FE4E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148</w:t>
            </w:r>
          </w:p>
        </w:tc>
        <w:tc>
          <w:tcPr>
            <w:tcW w:w="594" w:type="pct"/>
            <w:shd w:val="clear" w:color="auto" w:fill="auto"/>
            <w:vAlign w:val="center"/>
            <w:hideMark/>
          </w:tcPr>
          <w:p w14:paraId="6D9C75D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613</w:t>
            </w:r>
          </w:p>
        </w:tc>
        <w:tc>
          <w:tcPr>
            <w:tcW w:w="828" w:type="pct"/>
            <w:shd w:val="clear" w:color="auto" w:fill="auto"/>
            <w:vAlign w:val="center"/>
            <w:hideMark/>
          </w:tcPr>
          <w:p w14:paraId="2661746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735</w:t>
            </w:r>
          </w:p>
        </w:tc>
        <w:tc>
          <w:tcPr>
            <w:tcW w:w="597" w:type="pct"/>
            <w:shd w:val="clear" w:color="auto" w:fill="auto"/>
            <w:vAlign w:val="center"/>
            <w:hideMark/>
          </w:tcPr>
          <w:p w14:paraId="03BA546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122</w:t>
            </w:r>
          </w:p>
        </w:tc>
      </w:tr>
      <w:tr w:rsidR="007278D9" w:rsidRPr="007278D9" w14:paraId="244CB05D" w14:textId="77777777" w:rsidTr="007278D9">
        <w:trPr>
          <w:trHeight w:val="300"/>
        </w:trPr>
        <w:tc>
          <w:tcPr>
            <w:tcW w:w="1059" w:type="pct"/>
            <w:shd w:val="clear" w:color="auto" w:fill="auto"/>
            <w:noWrap/>
            <w:vAlign w:val="center"/>
            <w:hideMark/>
          </w:tcPr>
          <w:p w14:paraId="72FEC17C"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3251B5E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1 566</w:t>
            </w:r>
          </w:p>
        </w:tc>
        <w:tc>
          <w:tcPr>
            <w:tcW w:w="596" w:type="pct"/>
            <w:shd w:val="clear" w:color="auto" w:fill="auto"/>
            <w:vAlign w:val="center"/>
            <w:hideMark/>
          </w:tcPr>
          <w:p w14:paraId="03BCEC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80</w:t>
            </w:r>
          </w:p>
        </w:tc>
        <w:tc>
          <w:tcPr>
            <w:tcW w:w="828" w:type="pct"/>
            <w:shd w:val="clear" w:color="auto" w:fill="auto"/>
            <w:vAlign w:val="center"/>
            <w:hideMark/>
          </w:tcPr>
          <w:p w14:paraId="01CD05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101</w:t>
            </w:r>
          </w:p>
        </w:tc>
        <w:tc>
          <w:tcPr>
            <w:tcW w:w="594" w:type="pct"/>
            <w:shd w:val="clear" w:color="auto" w:fill="auto"/>
            <w:vAlign w:val="center"/>
            <w:hideMark/>
          </w:tcPr>
          <w:p w14:paraId="316310C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755</w:t>
            </w:r>
          </w:p>
        </w:tc>
        <w:tc>
          <w:tcPr>
            <w:tcW w:w="828" w:type="pct"/>
            <w:shd w:val="clear" w:color="auto" w:fill="auto"/>
            <w:vAlign w:val="center"/>
            <w:hideMark/>
          </w:tcPr>
          <w:p w14:paraId="4087CE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374</w:t>
            </w:r>
          </w:p>
        </w:tc>
        <w:tc>
          <w:tcPr>
            <w:tcW w:w="597" w:type="pct"/>
            <w:shd w:val="clear" w:color="auto" w:fill="auto"/>
            <w:vAlign w:val="center"/>
            <w:hideMark/>
          </w:tcPr>
          <w:p w14:paraId="34F7DFA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158</w:t>
            </w:r>
          </w:p>
        </w:tc>
      </w:tr>
      <w:tr w:rsidR="007278D9" w:rsidRPr="007278D9" w14:paraId="500AB472" w14:textId="77777777" w:rsidTr="007278D9">
        <w:trPr>
          <w:trHeight w:val="300"/>
        </w:trPr>
        <w:tc>
          <w:tcPr>
            <w:tcW w:w="1059" w:type="pct"/>
            <w:shd w:val="clear" w:color="auto" w:fill="auto"/>
            <w:noWrap/>
            <w:vAlign w:val="center"/>
            <w:hideMark/>
          </w:tcPr>
          <w:p w14:paraId="2D16A253"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585E090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6 257</w:t>
            </w:r>
          </w:p>
        </w:tc>
        <w:tc>
          <w:tcPr>
            <w:tcW w:w="596" w:type="pct"/>
            <w:shd w:val="clear" w:color="auto" w:fill="auto"/>
            <w:vAlign w:val="center"/>
            <w:hideMark/>
          </w:tcPr>
          <w:p w14:paraId="2A8CC7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334</w:t>
            </w:r>
          </w:p>
        </w:tc>
        <w:tc>
          <w:tcPr>
            <w:tcW w:w="828" w:type="pct"/>
            <w:shd w:val="clear" w:color="auto" w:fill="auto"/>
            <w:vAlign w:val="center"/>
            <w:hideMark/>
          </w:tcPr>
          <w:p w14:paraId="75CE6CA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595</w:t>
            </w:r>
          </w:p>
        </w:tc>
        <w:tc>
          <w:tcPr>
            <w:tcW w:w="594" w:type="pct"/>
            <w:shd w:val="clear" w:color="auto" w:fill="auto"/>
            <w:vAlign w:val="center"/>
            <w:hideMark/>
          </w:tcPr>
          <w:p w14:paraId="0B2B969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2 222</w:t>
            </w:r>
          </w:p>
        </w:tc>
        <w:tc>
          <w:tcPr>
            <w:tcW w:w="828" w:type="pct"/>
            <w:shd w:val="clear" w:color="auto" w:fill="auto"/>
            <w:vAlign w:val="center"/>
            <w:hideMark/>
          </w:tcPr>
          <w:p w14:paraId="223C063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2 322</w:t>
            </w:r>
          </w:p>
        </w:tc>
        <w:tc>
          <w:tcPr>
            <w:tcW w:w="597" w:type="pct"/>
            <w:shd w:val="clear" w:color="auto" w:fill="auto"/>
            <w:vAlign w:val="center"/>
            <w:hideMark/>
          </w:tcPr>
          <w:p w14:paraId="73C7B8D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407</w:t>
            </w:r>
          </w:p>
        </w:tc>
      </w:tr>
      <w:tr w:rsidR="007278D9" w:rsidRPr="007278D9" w14:paraId="7C05AE42" w14:textId="77777777" w:rsidTr="007278D9">
        <w:trPr>
          <w:trHeight w:val="300"/>
        </w:trPr>
        <w:tc>
          <w:tcPr>
            <w:tcW w:w="1059" w:type="pct"/>
            <w:shd w:val="clear" w:color="auto" w:fill="auto"/>
            <w:noWrap/>
            <w:vAlign w:val="center"/>
            <w:hideMark/>
          </w:tcPr>
          <w:p w14:paraId="45B9570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724B6FD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2 203</w:t>
            </w:r>
          </w:p>
        </w:tc>
        <w:tc>
          <w:tcPr>
            <w:tcW w:w="596" w:type="pct"/>
            <w:shd w:val="clear" w:color="auto" w:fill="auto"/>
            <w:vAlign w:val="center"/>
            <w:hideMark/>
          </w:tcPr>
          <w:p w14:paraId="530D967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w:t>
            </w:r>
          </w:p>
        </w:tc>
        <w:tc>
          <w:tcPr>
            <w:tcW w:w="828" w:type="pct"/>
            <w:shd w:val="clear" w:color="auto" w:fill="auto"/>
            <w:vAlign w:val="center"/>
            <w:hideMark/>
          </w:tcPr>
          <w:p w14:paraId="4B514E1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197</w:t>
            </w:r>
          </w:p>
        </w:tc>
        <w:tc>
          <w:tcPr>
            <w:tcW w:w="594" w:type="pct"/>
            <w:shd w:val="clear" w:color="auto" w:fill="auto"/>
            <w:vAlign w:val="center"/>
            <w:hideMark/>
          </w:tcPr>
          <w:p w14:paraId="092D5E1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374</w:t>
            </w:r>
          </w:p>
        </w:tc>
        <w:tc>
          <w:tcPr>
            <w:tcW w:w="828" w:type="pct"/>
            <w:shd w:val="clear" w:color="auto" w:fill="auto"/>
            <w:vAlign w:val="center"/>
            <w:hideMark/>
          </w:tcPr>
          <w:p w14:paraId="2C7F3F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1 407</w:t>
            </w:r>
          </w:p>
        </w:tc>
        <w:tc>
          <w:tcPr>
            <w:tcW w:w="597" w:type="pct"/>
            <w:shd w:val="clear" w:color="auto" w:fill="auto"/>
            <w:vAlign w:val="center"/>
            <w:hideMark/>
          </w:tcPr>
          <w:p w14:paraId="28AFD18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80</w:t>
            </w:r>
          </w:p>
        </w:tc>
      </w:tr>
      <w:tr w:rsidR="007278D9" w:rsidRPr="007278D9" w14:paraId="3C4B14F2" w14:textId="77777777" w:rsidTr="007278D9">
        <w:trPr>
          <w:trHeight w:val="300"/>
        </w:trPr>
        <w:tc>
          <w:tcPr>
            <w:tcW w:w="1059" w:type="pct"/>
            <w:shd w:val="clear" w:color="auto" w:fill="auto"/>
            <w:noWrap/>
            <w:vAlign w:val="center"/>
            <w:hideMark/>
          </w:tcPr>
          <w:p w14:paraId="00FB1D1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3C98437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1 809</w:t>
            </w:r>
          </w:p>
        </w:tc>
        <w:tc>
          <w:tcPr>
            <w:tcW w:w="596" w:type="pct"/>
            <w:shd w:val="clear" w:color="auto" w:fill="auto"/>
            <w:vAlign w:val="center"/>
            <w:hideMark/>
          </w:tcPr>
          <w:p w14:paraId="3861F27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192</w:t>
            </w:r>
          </w:p>
        </w:tc>
        <w:tc>
          <w:tcPr>
            <w:tcW w:w="828" w:type="pct"/>
            <w:shd w:val="clear" w:color="auto" w:fill="auto"/>
            <w:vAlign w:val="center"/>
            <w:hideMark/>
          </w:tcPr>
          <w:p w14:paraId="209FC5A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103</w:t>
            </w:r>
          </w:p>
        </w:tc>
        <w:tc>
          <w:tcPr>
            <w:tcW w:w="594" w:type="pct"/>
            <w:shd w:val="clear" w:color="auto" w:fill="auto"/>
            <w:vAlign w:val="center"/>
            <w:hideMark/>
          </w:tcPr>
          <w:p w14:paraId="2C6E6C4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560</w:t>
            </w:r>
          </w:p>
        </w:tc>
        <w:tc>
          <w:tcPr>
            <w:tcW w:w="828" w:type="pct"/>
            <w:shd w:val="clear" w:color="auto" w:fill="auto"/>
            <w:vAlign w:val="center"/>
            <w:hideMark/>
          </w:tcPr>
          <w:p w14:paraId="233C22F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466</w:t>
            </w:r>
          </w:p>
        </w:tc>
        <w:tc>
          <w:tcPr>
            <w:tcW w:w="597" w:type="pct"/>
            <w:shd w:val="clear" w:color="auto" w:fill="auto"/>
            <w:vAlign w:val="center"/>
            <w:hideMark/>
          </w:tcPr>
          <w:p w14:paraId="5515B19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241</w:t>
            </w:r>
          </w:p>
        </w:tc>
      </w:tr>
      <w:tr w:rsidR="007278D9" w:rsidRPr="007278D9" w14:paraId="1134DC4E" w14:textId="77777777" w:rsidTr="007278D9">
        <w:trPr>
          <w:trHeight w:val="300"/>
        </w:trPr>
        <w:tc>
          <w:tcPr>
            <w:tcW w:w="1059" w:type="pct"/>
            <w:shd w:val="clear" w:color="auto" w:fill="auto"/>
            <w:noWrap/>
            <w:vAlign w:val="center"/>
            <w:hideMark/>
          </w:tcPr>
          <w:p w14:paraId="276F640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775C36E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4 550</w:t>
            </w:r>
          </w:p>
        </w:tc>
        <w:tc>
          <w:tcPr>
            <w:tcW w:w="596" w:type="pct"/>
            <w:shd w:val="clear" w:color="auto" w:fill="auto"/>
            <w:vAlign w:val="center"/>
            <w:hideMark/>
          </w:tcPr>
          <w:p w14:paraId="27B3332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290</w:t>
            </w:r>
          </w:p>
        </w:tc>
        <w:tc>
          <w:tcPr>
            <w:tcW w:w="828" w:type="pct"/>
            <w:shd w:val="clear" w:color="auto" w:fill="auto"/>
            <w:vAlign w:val="center"/>
            <w:hideMark/>
          </w:tcPr>
          <w:p w14:paraId="20BD528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375</w:t>
            </w:r>
          </w:p>
        </w:tc>
        <w:tc>
          <w:tcPr>
            <w:tcW w:w="594" w:type="pct"/>
            <w:shd w:val="clear" w:color="auto" w:fill="auto"/>
            <w:vAlign w:val="center"/>
            <w:hideMark/>
          </w:tcPr>
          <w:p w14:paraId="1A13E13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2 694</w:t>
            </w:r>
          </w:p>
        </w:tc>
        <w:tc>
          <w:tcPr>
            <w:tcW w:w="828" w:type="pct"/>
            <w:shd w:val="clear" w:color="auto" w:fill="auto"/>
            <w:vAlign w:val="center"/>
            <w:hideMark/>
          </w:tcPr>
          <w:p w14:paraId="07B371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863</w:t>
            </w:r>
          </w:p>
        </w:tc>
        <w:tc>
          <w:tcPr>
            <w:tcW w:w="597" w:type="pct"/>
            <w:shd w:val="clear" w:color="auto" w:fill="auto"/>
            <w:vAlign w:val="center"/>
            <w:hideMark/>
          </w:tcPr>
          <w:p w14:paraId="0A2038E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248</w:t>
            </w:r>
          </w:p>
        </w:tc>
      </w:tr>
      <w:tr w:rsidR="007278D9" w:rsidRPr="007278D9" w14:paraId="43EF48DA" w14:textId="77777777" w:rsidTr="007278D9">
        <w:trPr>
          <w:trHeight w:val="300"/>
        </w:trPr>
        <w:tc>
          <w:tcPr>
            <w:tcW w:w="1059" w:type="pct"/>
            <w:shd w:val="clear" w:color="auto" w:fill="auto"/>
            <w:noWrap/>
            <w:vAlign w:val="center"/>
            <w:hideMark/>
          </w:tcPr>
          <w:p w14:paraId="33F447A5"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lastRenderedPageBreak/>
              <w:t>Zachodniopomorskie</w:t>
            </w:r>
          </w:p>
        </w:tc>
        <w:tc>
          <w:tcPr>
            <w:tcW w:w="498" w:type="pct"/>
            <w:shd w:val="clear" w:color="auto" w:fill="auto"/>
            <w:noWrap/>
            <w:vAlign w:val="center"/>
            <w:hideMark/>
          </w:tcPr>
          <w:p w14:paraId="3D6D5E5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2 378</w:t>
            </w:r>
          </w:p>
        </w:tc>
        <w:tc>
          <w:tcPr>
            <w:tcW w:w="596" w:type="pct"/>
            <w:shd w:val="clear" w:color="auto" w:fill="auto"/>
            <w:vAlign w:val="center"/>
            <w:hideMark/>
          </w:tcPr>
          <w:p w14:paraId="27C8B11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167</w:t>
            </w:r>
          </w:p>
        </w:tc>
        <w:tc>
          <w:tcPr>
            <w:tcW w:w="828" w:type="pct"/>
            <w:shd w:val="clear" w:color="auto" w:fill="auto"/>
            <w:vAlign w:val="center"/>
            <w:hideMark/>
          </w:tcPr>
          <w:p w14:paraId="593F248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221</w:t>
            </w:r>
          </w:p>
        </w:tc>
        <w:tc>
          <w:tcPr>
            <w:tcW w:w="594" w:type="pct"/>
            <w:shd w:val="clear" w:color="auto" w:fill="auto"/>
            <w:vAlign w:val="center"/>
            <w:hideMark/>
          </w:tcPr>
          <w:p w14:paraId="666A74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843</w:t>
            </w:r>
          </w:p>
        </w:tc>
        <w:tc>
          <w:tcPr>
            <w:tcW w:w="828" w:type="pct"/>
            <w:shd w:val="clear" w:color="auto" w:fill="auto"/>
            <w:vAlign w:val="center"/>
            <w:hideMark/>
          </w:tcPr>
          <w:p w14:paraId="1CFC1BC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729</w:t>
            </w:r>
          </w:p>
        </w:tc>
        <w:tc>
          <w:tcPr>
            <w:tcW w:w="597" w:type="pct"/>
            <w:shd w:val="clear" w:color="auto" w:fill="auto"/>
            <w:vAlign w:val="center"/>
            <w:hideMark/>
          </w:tcPr>
          <w:p w14:paraId="0EC202B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253</w:t>
            </w:r>
          </w:p>
        </w:tc>
      </w:tr>
      <w:tr w:rsidR="007278D9" w:rsidRPr="007278D9" w14:paraId="7126BD6A" w14:textId="77777777" w:rsidTr="007278D9">
        <w:trPr>
          <w:trHeight w:val="300"/>
        </w:trPr>
        <w:tc>
          <w:tcPr>
            <w:tcW w:w="5000" w:type="pct"/>
            <w:gridSpan w:val="7"/>
            <w:shd w:val="clear" w:color="auto" w:fill="auto"/>
            <w:vAlign w:val="center"/>
            <w:hideMark/>
          </w:tcPr>
          <w:p w14:paraId="4DCA9E46"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MIASTA </w:t>
            </w:r>
          </w:p>
        </w:tc>
      </w:tr>
      <w:tr w:rsidR="007278D9" w:rsidRPr="007278D9" w14:paraId="68371365" w14:textId="77777777" w:rsidTr="007278D9">
        <w:trPr>
          <w:trHeight w:val="300"/>
        </w:trPr>
        <w:tc>
          <w:tcPr>
            <w:tcW w:w="1059" w:type="pct"/>
            <w:shd w:val="clear" w:color="auto" w:fill="auto"/>
            <w:noWrap/>
            <w:vAlign w:val="center"/>
            <w:hideMark/>
          </w:tcPr>
          <w:p w14:paraId="763D917A"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3302ECD5"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29 103</w:t>
            </w:r>
          </w:p>
        </w:tc>
        <w:tc>
          <w:tcPr>
            <w:tcW w:w="596" w:type="pct"/>
            <w:shd w:val="clear" w:color="auto" w:fill="auto"/>
            <w:vAlign w:val="center"/>
            <w:hideMark/>
          </w:tcPr>
          <w:p w14:paraId="1244766E"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2 712</w:t>
            </w:r>
          </w:p>
        </w:tc>
        <w:tc>
          <w:tcPr>
            <w:tcW w:w="828" w:type="pct"/>
            <w:shd w:val="clear" w:color="auto" w:fill="auto"/>
            <w:vAlign w:val="center"/>
            <w:hideMark/>
          </w:tcPr>
          <w:p w14:paraId="678025A3"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2 541</w:t>
            </w:r>
          </w:p>
        </w:tc>
        <w:tc>
          <w:tcPr>
            <w:tcW w:w="594" w:type="pct"/>
            <w:shd w:val="clear" w:color="auto" w:fill="auto"/>
            <w:vAlign w:val="center"/>
            <w:hideMark/>
          </w:tcPr>
          <w:p w14:paraId="3A30C996"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11 828</w:t>
            </w:r>
          </w:p>
        </w:tc>
        <w:tc>
          <w:tcPr>
            <w:tcW w:w="828" w:type="pct"/>
            <w:shd w:val="clear" w:color="auto" w:fill="auto"/>
            <w:vAlign w:val="center"/>
            <w:hideMark/>
          </w:tcPr>
          <w:p w14:paraId="7CB2647E"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7 278</w:t>
            </w:r>
          </w:p>
        </w:tc>
        <w:tc>
          <w:tcPr>
            <w:tcW w:w="597" w:type="pct"/>
            <w:shd w:val="clear" w:color="auto" w:fill="auto"/>
            <w:vAlign w:val="center"/>
            <w:hideMark/>
          </w:tcPr>
          <w:p w14:paraId="62C63048"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3 029</w:t>
            </w:r>
          </w:p>
        </w:tc>
      </w:tr>
      <w:tr w:rsidR="007278D9" w:rsidRPr="007278D9" w14:paraId="034D516B" w14:textId="77777777" w:rsidTr="007278D9">
        <w:trPr>
          <w:trHeight w:val="300"/>
        </w:trPr>
        <w:tc>
          <w:tcPr>
            <w:tcW w:w="1059" w:type="pct"/>
            <w:shd w:val="clear" w:color="auto" w:fill="auto"/>
            <w:noWrap/>
            <w:vAlign w:val="center"/>
            <w:hideMark/>
          </w:tcPr>
          <w:p w14:paraId="23EFF05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46E433F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2 976</w:t>
            </w:r>
          </w:p>
        </w:tc>
        <w:tc>
          <w:tcPr>
            <w:tcW w:w="596" w:type="pct"/>
            <w:shd w:val="clear" w:color="auto" w:fill="auto"/>
            <w:vAlign w:val="center"/>
            <w:hideMark/>
          </w:tcPr>
          <w:p w14:paraId="3BAA55F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269</w:t>
            </w:r>
          </w:p>
        </w:tc>
        <w:tc>
          <w:tcPr>
            <w:tcW w:w="828" w:type="pct"/>
            <w:shd w:val="clear" w:color="auto" w:fill="auto"/>
            <w:vAlign w:val="center"/>
            <w:hideMark/>
          </w:tcPr>
          <w:p w14:paraId="10B07FE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230</w:t>
            </w:r>
          </w:p>
        </w:tc>
        <w:tc>
          <w:tcPr>
            <w:tcW w:w="594" w:type="pct"/>
            <w:shd w:val="clear" w:color="auto" w:fill="auto"/>
            <w:vAlign w:val="center"/>
            <w:hideMark/>
          </w:tcPr>
          <w:p w14:paraId="5E28A4D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990</w:t>
            </w:r>
          </w:p>
        </w:tc>
        <w:tc>
          <w:tcPr>
            <w:tcW w:w="828" w:type="pct"/>
            <w:shd w:val="clear" w:color="auto" w:fill="auto"/>
            <w:vAlign w:val="center"/>
            <w:hideMark/>
          </w:tcPr>
          <w:p w14:paraId="58482AE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1 084</w:t>
            </w:r>
          </w:p>
        </w:tc>
        <w:tc>
          <w:tcPr>
            <w:tcW w:w="597" w:type="pct"/>
            <w:shd w:val="clear" w:color="auto" w:fill="auto"/>
            <w:vAlign w:val="center"/>
            <w:hideMark/>
          </w:tcPr>
          <w:p w14:paraId="63A31AF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224</w:t>
            </w:r>
          </w:p>
        </w:tc>
      </w:tr>
      <w:tr w:rsidR="007278D9" w:rsidRPr="007278D9" w14:paraId="5F33D32D" w14:textId="77777777" w:rsidTr="007278D9">
        <w:trPr>
          <w:trHeight w:val="300"/>
        </w:trPr>
        <w:tc>
          <w:tcPr>
            <w:tcW w:w="1059" w:type="pct"/>
            <w:shd w:val="clear" w:color="auto" w:fill="auto"/>
            <w:noWrap/>
            <w:vAlign w:val="center"/>
            <w:hideMark/>
          </w:tcPr>
          <w:p w14:paraId="48391C62"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5202C36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1 156</w:t>
            </w:r>
          </w:p>
        </w:tc>
        <w:tc>
          <w:tcPr>
            <w:tcW w:w="596" w:type="pct"/>
            <w:shd w:val="clear" w:color="auto" w:fill="auto"/>
            <w:vAlign w:val="center"/>
            <w:hideMark/>
          </w:tcPr>
          <w:p w14:paraId="4F0E40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93</w:t>
            </w:r>
          </w:p>
        </w:tc>
        <w:tc>
          <w:tcPr>
            <w:tcW w:w="828" w:type="pct"/>
            <w:shd w:val="clear" w:color="auto" w:fill="auto"/>
            <w:vAlign w:val="center"/>
            <w:hideMark/>
          </w:tcPr>
          <w:p w14:paraId="70D3D78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78</w:t>
            </w:r>
          </w:p>
        </w:tc>
        <w:tc>
          <w:tcPr>
            <w:tcW w:w="594" w:type="pct"/>
            <w:shd w:val="clear" w:color="auto" w:fill="auto"/>
            <w:vAlign w:val="center"/>
            <w:hideMark/>
          </w:tcPr>
          <w:p w14:paraId="0A0150F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544</w:t>
            </w:r>
          </w:p>
        </w:tc>
        <w:tc>
          <w:tcPr>
            <w:tcW w:w="828" w:type="pct"/>
            <w:shd w:val="clear" w:color="auto" w:fill="auto"/>
            <w:vAlign w:val="center"/>
            <w:hideMark/>
          </w:tcPr>
          <w:p w14:paraId="6F8B8FE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301</w:t>
            </w:r>
          </w:p>
        </w:tc>
        <w:tc>
          <w:tcPr>
            <w:tcW w:w="597" w:type="pct"/>
            <w:shd w:val="clear" w:color="auto" w:fill="auto"/>
            <w:vAlign w:val="center"/>
            <w:hideMark/>
          </w:tcPr>
          <w:p w14:paraId="581CAD5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111</w:t>
            </w:r>
          </w:p>
        </w:tc>
      </w:tr>
      <w:tr w:rsidR="007278D9" w:rsidRPr="007278D9" w14:paraId="76CD0851" w14:textId="77777777" w:rsidTr="007278D9">
        <w:trPr>
          <w:trHeight w:val="300"/>
        </w:trPr>
        <w:tc>
          <w:tcPr>
            <w:tcW w:w="1059" w:type="pct"/>
            <w:shd w:val="clear" w:color="auto" w:fill="auto"/>
            <w:noWrap/>
            <w:vAlign w:val="center"/>
            <w:hideMark/>
          </w:tcPr>
          <w:p w14:paraId="623951FE"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4C0B65A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1 686</w:t>
            </w:r>
          </w:p>
        </w:tc>
        <w:tc>
          <w:tcPr>
            <w:tcW w:w="596" w:type="pct"/>
            <w:shd w:val="clear" w:color="auto" w:fill="auto"/>
            <w:vAlign w:val="center"/>
            <w:hideMark/>
          </w:tcPr>
          <w:p w14:paraId="6C476C1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174</w:t>
            </w:r>
          </w:p>
        </w:tc>
        <w:tc>
          <w:tcPr>
            <w:tcW w:w="828" w:type="pct"/>
            <w:shd w:val="clear" w:color="auto" w:fill="auto"/>
            <w:vAlign w:val="center"/>
            <w:hideMark/>
          </w:tcPr>
          <w:p w14:paraId="0B0B9A7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170</w:t>
            </w:r>
          </w:p>
        </w:tc>
        <w:tc>
          <w:tcPr>
            <w:tcW w:w="594" w:type="pct"/>
            <w:shd w:val="clear" w:color="auto" w:fill="auto"/>
            <w:vAlign w:val="center"/>
            <w:hideMark/>
          </w:tcPr>
          <w:p w14:paraId="57305E9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647</w:t>
            </w:r>
          </w:p>
        </w:tc>
        <w:tc>
          <w:tcPr>
            <w:tcW w:w="828" w:type="pct"/>
            <w:shd w:val="clear" w:color="auto" w:fill="auto"/>
            <w:vAlign w:val="center"/>
            <w:hideMark/>
          </w:tcPr>
          <w:p w14:paraId="75A92DD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480</w:t>
            </w:r>
          </w:p>
        </w:tc>
        <w:tc>
          <w:tcPr>
            <w:tcW w:w="597" w:type="pct"/>
            <w:shd w:val="clear" w:color="auto" w:fill="auto"/>
            <w:vAlign w:val="center"/>
            <w:hideMark/>
          </w:tcPr>
          <w:p w14:paraId="765004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170</w:t>
            </w:r>
          </w:p>
        </w:tc>
      </w:tr>
      <w:tr w:rsidR="007278D9" w:rsidRPr="007278D9" w14:paraId="6A747E4D" w14:textId="77777777" w:rsidTr="007278D9">
        <w:trPr>
          <w:trHeight w:val="300"/>
        </w:trPr>
        <w:tc>
          <w:tcPr>
            <w:tcW w:w="1059" w:type="pct"/>
            <w:shd w:val="clear" w:color="auto" w:fill="auto"/>
            <w:noWrap/>
            <w:vAlign w:val="center"/>
            <w:hideMark/>
          </w:tcPr>
          <w:p w14:paraId="32C5082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4BD7B72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1 027</w:t>
            </w:r>
          </w:p>
        </w:tc>
        <w:tc>
          <w:tcPr>
            <w:tcW w:w="596" w:type="pct"/>
            <w:shd w:val="clear" w:color="auto" w:fill="auto"/>
            <w:vAlign w:val="center"/>
            <w:hideMark/>
          </w:tcPr>
          <w:p w14:paraId="2D9B643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96</w:t>
            </w:r>
          </w:p>
        </w:tc>
        <w:tc>
          <w:tcPr>
            <w:tcW w:w="828" w:type="pct"/>
            <w:shd w:val="clear" w:color="auto" w:fill="auto"/>
            <w:vAlign w:val="center"/>
            <w:hideMark/>
          </w:tcPr>
          <w:p w14:paraId="3D5F3E4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w:t>
            </w:r>
          </w:p>
        </w:tc>
        <w:tc>
          <w:tcPr>
            <w:tcW w:w="594" w:type="pct"/>
            <w:shd w:val="clear" w:color="auto" w:fill="auto"/>
            <w:vAlign w:val="center"/>
            <w:hideMark/>
          </w:tcPr>
          <w:p w14:paraId="09E631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609</w:t>
            </w:r>
          </w:p>
        </w:tc>
        <w:tc>
          <w:tcPr>
            <w:tcW w:w="828" w:type="pct"/>
            <w:shd w:val="clear" w:color="auto" w:fill="auto"/>
            <w:vAlign w:val="center"/>
            <w:hideMark/>
          </w:tcPr>
          <w:p w14:paraId="5F00C6B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192</w:t>
            </w:r>
          </w:p>
        </w:tc>
        <w:tc>
          <w:tcPr>
            <w:tcW w:w="597" w:type="pct"/>
            <w:shd w:val="clear" w:color="auto" w:fill="auto"/>
            <w:vAlign w:val="center"/>
            <w:hideMark/>
          </w:tcPr>
          <w:p w14:paraId="3BD4B6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71</w:t>
            </w:r>
          </w:p>
        </w:tc>
      </w:tr>
      <w:tr w:rsidR="007278D9" w:rsidRPr="007278D9" w14:paraId="00A033E8" w14:textId="77777777" w:rsidTr="007278D9">
        <w:trPr>
          <w:trHeight w:val="300"/>
        </w:trPr>
        <w:tc>
          <w:tcPr>
            <w:tcW w:w="1059" w:type="pct"/>
            <w:shd w:val="clear" w:color="auto" w:fill="auto"/>
            <w:noWrap/>
            <w:vAlign w:val="center"/>
            <w:hideMark/>
          </w:tcPr>
          <w:p w14:paraId="121E4EE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2FC5C23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1 452</w:t>
            </w:r>
          </w:p>
        </w:tc>
        <w:tc>
          <w:tcPr>
            <w:tcW w:w="596" w:type="pct"/>
            <w:shd w:val="clear" w:color="auto" w:fill="auto"/>
            <w:vAlign w:val="center"/>
            <w:hideMark/>
          </w:tcPr>
          <w:p w14:paraId="50B8B11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131</w:t>
            </w:r>
          </w:p>
        </w:tc>
        <w:tc>
          <w:tcPr>
            <w:tcW w:w="828" w:type="pct"/>
            <w:shd w:val="clear" w:color="auto" w:fill="auto"/>
            <w:vAlign w:val="center"/>
            <w:hideMark/>
          </w:tcPr>
          <w:p w14:paraId="586DA1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99</w:t>
            </w:r>
          </w:p>
        </w:tc>
        <w:tc>
          <w:tcPr>
            <w:tcW w:w="594" w:type="pct"/>
            <w:shd w:val="clear" w:color="auto" w:fill="auto"/>
            <w:vAlign w:val="center"/>
            <w:hideMark/>
          </w:tcPr>
          <w:p w14:paraId="00C7912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513</w:t>
            </w:r>
          </w:p>
        </w:tc>
        <w:tc>
          <w:tcPr>
            <w:tcW w:w="828" w:type="pct"/>
            <w:shd w:val="clear" w:color="auto" w:fill="auto"/>
            <w:vAlign w:val="center"/>
            <w:hideMark/>
          </w:tcPr>
          <w:p w14:paraId="0318C94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482</w:t>
            </w:r>
          </w:p>
        </w:tc>
        <w:tc>
          <w:tcPr>
            <w:tcW w:w="597" w:type="pct"/>
            <w:shd w:val="clear" w:color="auto" w:fill="auto"/>
            <w:vAlign w:val="center"/>
            <w:hideMark/>
          </w:tcPr>
          <w:p w14:paraId="68EDAA0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151</w:t>
            </w:r>
          </w:p>
        </w:tc>
      </w:tr>
      <w:tr w:rsidR="007278D9" w:rsidRPr="007278D9" w14:paraId="277CF63A" w14:textId="77777777" w:rsidTr="007278D9">
        <w:trPr>
          <w:trHeight w:val="300"/>
        </w:trPr>
        <w:tc>
          <w:tcPr>
            <w:tcW w:w="1059" w:type="pct"/>
            <w:shd w:val="clear" w:color="auto" w:fill="auto"/>
            <w:noWrap/>
            <w:vAlign w:val="center"/>
            <w:hideMark/>
          </w:tcPr>
          <w:p w14:paraId="1CF40B59"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5964146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1 978</w:t>
            </w:r>
          </w:p>
        </w:tc>
        <w:tc>
          <w:tcPr>
            <w:tcW w:w="596" w:type="pct"/>
            <w:shd w:val="clear" w:color="auto" w:fill="auto"/>
            <w:vAlign w:val="center"/>
            <w:hideMark/>
          </w:tcPr>
          <w:p w14:paraId="6F70565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299</w:t>
            </w:r>
          </w:p>
        </w:tc>
        <w:tc>
          <w:tcPr>
            <w:tcW w:w="828" w:type="pct"/>
            <w:shd w:val="clear" w:color="auto" w:fill="auto"/>
            <w:vAlign w:val="center"/>
            <w:hideMark/>
          </w:tcPr>
          <w:p w14:paraId="43ACA3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188</w:t>
            </w:r>
          </w:p>
        </w:tc>
        <w:tc>
          <w:tcPr>
            <w:tcW w:w="594" w:type="pct"/>
            <w:shd w:val="clear" w:color="auto" w:fill="auto"/>
            <w:vAlign w:val="center"/>
            <w:hideMark/>
          </w:tcPr>
          <w:p w14:paraId="510E9D3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682</w:t>
            </w:r>
          </w:p>
        </w:tc>
        <w:tc>
          <w:tcPr>
            <w:tcW w:w="828" w:type="pct"/>
            <w:shd w:val="clear" w:color="auto" w:fill="auto"/>
            <w:vAlign w:val="center"/>
            <w:hideMark/>
          </w:tcPr>
          <w:p w14:paraId="38B27AF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622</w:t>
            </w:r>
          </w:p>
        </w:tc>
        <w:tc>
          <w:tcPr>
            <w:tcW w:w="597" w:type="pct"/>
            <w:shd w:val="clear" w:color="auto" w:fill="auto"/>
            <w:vAlign w:val="center"/>
            <w:hideMark/>
          </w:tcPr>
          <w:p w14:paraId="3223EE6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136</w:t>
            </w:r>
          </w:p>
        </w:tc>
      </w:tr>
      <w:tr w:rsidR="007278D9" w:rsidRPr="007278D9" w14:paraId="1B42B68B" w14:textId="77777777" w:rsidTr="007278D9">
        <w:trPr>
          <w:trHeight w:val="300"/>
        </w:trPr>
        <w:tc>
          <w:tcPr>
            <w:tcW w:w="1059" w:type="pct"/>
            <w:shd w:val="clear" w:color="auto" w:fill="auto"/>
            <w:noWrap/>
            <w:vAlign w:val="center"/>
            <w:hideMark/>
          </w:tcPr>
          <w:p w14:paraId="7FFED3A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6E09A90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3 477</w:t>
            </w:r>
          </w:p>
        </w:tc>
        <w:tc>
          <w:tcPr>
            <w:tcW w:w="596" w:type="pct"/>
            <w:shd w:val="clear" w:color="auto" w:fill="auto"/>
            <w:vAlign w:val="center"/>
            <w:hideMark/>
          </w:tcPr>
          <w:p w14:paraId="03A6F80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478</w:t>
            </w:r>
          </w:p>
        </w:tc>
        <w:tc>
          <w:tcPr>
            <w:tcW w:w="828" w:type="pct"/>
            <w:shd w:val="clear" w:color="auto" w:fill="auto"/>
            <w:vAlign w:val="center"/>
            <w:hideMark/>
          </w:tcPr>
          <w:p w14:paraId="3785966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274</w:t>
            </w:r>
          </w:p>
        </w:tc>
        <w:tc>
          <w:tcPr>
            <w:tcW w:w="594" w:type="pct"/>
            <w:shd w:val="clear" w:color="auto" w:fill="auto"/>
            <w:vAlign w:val="center"/>
            <w:hideMark/>
          </w:tcPr>
          <w:p w14:paraId="1AE6FAC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1 592</w:t>
            </w:r>
          </w:p>
        </w:tc>
        <w:tc>
          <w:tcPr>
            <w:tcW w:w="828" w:type="pct"/>
            <w:shd w:val="clear" w:color="auto" w:fill="auto"/>
            <w:vAlign w:val="center"/>
            <w:hideMark/>
          </w:tcPr>
          <w:p w14:paraId="2A2F81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379</w:t>
            </w:r>
          </w:p>
        </w:tc>
        <w:tc>
          <w:tcPr>
            <w:tcW w:w="597" w:type="pct"/>
            <w:shd w:val="clear" w:color="auto" w:fill="auto"/>
            <w:vAlign w:val="center"/>
            <w:hideMark/>
          </w:tcPr>
          <w:p w14:paraId="7B8AEA1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451</w:t>
            </w:r>
          </w:p>
        </w:tc>
      </w:tr>
      <w:tr w:rsidR="007278D9" w:rsidRPr="007278D9" w14:paraId="4757B7BB" w14:textId="77777777" w:rsidTr="007278D9">
        <w:trPr>
          <w:trHeight w:val="300"/>
        </w:trPr>
        <w:tc>
          <w:tcPr>
            <w:tcW w:w="1059" w:type="pct"/>
            <w:shd w:val="clear" w:color="auto" w:fill="auto"/>
            <w:noWrap/>
            <w:vAlign w:val="center"/>
            <w:hideMark/>
          </w:tcPr>
          <w:p w14:paraId="6961ABA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Opolskie</w:t>
            </w:r>
          </w:p>
        </w:tc>
        <w:tc>
          <w:tcPr>
            <w:tcW w:w="498" w:type="pct"/>
            <w:shd w:val="clear" w:color="auto" w:fill="auto"/>
            <w:noWrap/>
            <w:vAlign w:val="center"/>
            <w:hideMark/>
          </w:tcPr>
          <w:p w14:paraId="6303894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1 065</w:t>
            </w:r>
          </w:p>
        </w:tc>
        <w:tc>
          <w:tcPr>
            <w:tcW w:w="596" w:type="pct"/>
            <w:shd w:val="clear" w:color="auto" w:fill="auto"/>
            <w:vAlign w:val="center"/>
            <w:hideMark/>
          </w:tcPr>
          <w:p w14:paraId="19B7221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66</w:t>
            </w:r>
          </w:p>
        </w:tc>
        <w:tc>
          <w:tcPr>
            <w:tcW w:w="828" w:type="pct"/>
            <w:shd w:val="clear" w:color="auto" w:fill="auto"/>
            <w:vAlign w:val="center"/>
            <w:hideMark/>
          </w:tcPr>
          <w:p w14:paraId="21A2D0E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82</w:t>
            </w:r>
          </w:p>
        </w:tc>
        <w:tc>
          <w:tcPr>
            <w:tcW w:w="594" w:type="pct"/>
            <w:shd w:val="clear" w:color="auto" w:fill="auto"/>
            <w:vAlign w:val="center"/>
            <w:hideMark/>
          </w:tcPr>
          <w:p w14:paraId="7E33EE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433</w:t>
            </w:r>
          </w:p>
        </w:tc>
        <w:tc>
          <w:tcPr>
            <w:tcW w:w="828" w:type="pct"/>
            <w:shd w:val="clear" w:color="auto" w:fill="auto"/>
            <w:vAlign w:val="center"/>
            <w:hideMark/>
          </w:tcPr>
          <w:p w14:paraId="293F556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192</w:t>
            </w:r>
          </w:p>
        </w:tc>
        <w:tc>
          <w:tcPr>
            <w:tcW w:w="597" w:type="pct"/>
            <w:shd w:val="clear" w:color="auto" w:fill="auto"/>
            <w:vAlign w:val="center"/>
            <w:hideMark/>
          </w:tcPr>
          <w:p w14:paraId="7DBC997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140</w:t>
            </w:r>
          </w:p>
        </w:tc>
      </w:tr>
      <w:tr w:rsidR="007278D9" w:rsidRPr="007278D9" w14:paraId="74B691FF" w14:textId="77777777" w:rsidTr="007278D9">
        <w:trPr>
          <w:trHeight w:val="300"/>
        </w:trPr>
        <w:tc>
          <w:tcPr>
            <w:tcW w:w="1059" w:type="pct"/>
            <w:shd w:val="clear" w:color="auto" w:fill="auto"/>
            <w:noWrap/>
            <w:vAlign w:val="center"/>
            <w:hideMark/>
          </w:tcPr>
          <w:p w14:paraId="0B304A9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56AA4B8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1 756</w:t>
            </w:r>
          </w:p>
        </w:tc>
        <w:tc>
          <w:tcPr>
            <w:tcW w:w="596" w:type="pct"/>
            <w:shd w:val="clear" w:color="auto" w:fill="auto"/>
            <w:vAlign w:val="center"/>
            <w:hideMark/>
          </w:tcPr>
          <w:p w14:paraId="5E20A7F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206</w:t>
            </w:r>
          </w:p>
        </w:tc>
        <w:tc>
          <w:tcPr>
            <w:tcW w:w="828" w:type="pct"/>
            <w:shd w:val="clear" w:color="auto" w:fill="auto"/>
            <w:vAlign w:val="center"/>
            <w:hideMark/>
          </w:tcPr>
          <w:p w14:paraId="25D805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158</w:t>
            </w:r>
          </w:p>
        </w:tc>
        <w:tc>
          <w:tcPr>
            <w:tcW w:w="594" w:type="pct"/>
            <w:shd w:val="clear" w:color="auto" w:fill="auto"/>
            <w:vAlign w:val="center"/>
            <w:hideMark/>
          </w:tcPr>
          <w:p w14:paraId="6B5E5C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602</w:t>
            </w:r>
          </w:p>
        </w:tc>
        <w:tc>
          <w:tcPr>
            <w:tcW w:w="828" w:type="pct"/>
            <w:shd w:val="clear" w:color="auto" w:fill="auto"/>
            <w:vAlign w:val="center"/>
            <w:hideMark/>
          </w:tcPr>
          <w:p w14:paraId="1E14F28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459</w:t>
            </w:r>
          </w:p>
        </w:tc>
        <w:tc>
          <w:tcPr>
            <w:tcW w:w="597" w:type="pct"/>
            <w:shd w:val="clear" w:color="auto" w:fill="auto"/>
            <w:vAlign w:val="center"/>
            <w:hideMark/>
          </w:tcPr>
          <w:p w14:paraId="24A8A4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264</w:t>
            </w:r>
          </w:p>
        </w:tc>
      </w:tr>
      <w:tr w:rsidR="007278D9" w:rsidRPr="007278D9" w14:paraId="2116DAE3" w14:textId="77777777" w:rsidTr="007278D9">
        <w:trPr>
          <w:trHeight w:val="300"/>
        </w:trPr>
        <w:tc>
          <w:tcPr>
            <w:tcW w:w="1059" w:type="pct"/>
            <w:shd w:val="clear" w:color="auto" w:fill="auto"/>
            <w:noWrap/>
            <w:vAlign w:val="center"/>
            <w:hideMark/>
          </w:tcPr>
          <w:p w14:paraId="1B0BDA6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30C6512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1 086</w:t>
            </w:r>
          </w:p>
        </w:tc>
        <w:tc>
          <w:tcPr>
            <w:tcW w:w="596" w:type="pct"/>
            <w:shd w:val="clear" w:color="auto" w:fill="auto"/>
            <w:vAlign w:val="center"/>
            <w:hideMark/>
          </w:tcPr>
          <w:p w14:paraId="4323ED5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107</w:t>
            </w:r>
          </w:p>
        </w:tc>
        <w:tc>
          <w:tcPr>
            <w:tcW w:w="828" w:type="pct"/>
            <w:shd w:val="clear" w:color="auto" w:fill="auto"/>
            <w:vAlign w:val="center"/>
            <w:hideMark/>
          </w:tcPr>
          <w:p w14:paraId="5454972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102</w:t>
            </w:r>
          </w:p>
        </w:tc>
        <w:tc>
          <w:tcPr>
            <w:tcW w:w="594" w:type="pct"/>
            <w:shd w:val="clear" w:color="auto" w:fill="auto"/>
            <w:vAlign w:val="center"/>
            <w:hideMark/>
          </w:tcPr>
          <w:p w14:paraId="4C3721E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454</w:t>
            </w:r>
          </w:p>
        </w:tc>
        <w:tc>
          <w:tcPr>
            <w:tcW w:w="828" w:type="pct"/>
            <w:shd w:val="clear" w:color="auto" w:fill="auto"/>
            <w:vAlign w:val="center"/>
            <w:hideMark/>
          </w:tcPr>
          <w:p w14:paraId="7A1DB03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255</w:t>
            </w:r>
          </w:p>
        </w:tc>
        <w:tc>
          <w:tcPr>
            <w:tcW w:w="597" w:type="pct"/>
            <w:shd w:val="clear" w:color="auto" w:fill="auto"/>
            <w:vAlign w:val="center"/>
            <w:hideMark/>
          </w:tcPr>
          <w:p w14:paraId="5FFDA7A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110</w:t>
            </w:r>
          </w:p>
        </w:tc>
      </w:tr>
      <w:tr w:rsidR="007278D9" w:rsidRPr="007278D9" w14:paraId="20C11BCE" w14:textId="77777777" w:rsidTr="007278D9">
        <w:trPr>
          <w:trHeight w:val="300"/>
        </w:trPr>
        <w:tc>
          <w:tcPr>
            <w:tcW w:w="1059" w:type="pct"/>
            <w:shd w:val="clear" w:color="auto" w:fill="auto"/>
            <w:noWrap/>
            <w:vAlign w:val="center"/>
            <w:hideMark/>
          </w:tcPr>
          <w:p w14:paraId="04D8090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6EDF7E8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739</w:t>
            </w:r>
          </w:p>
        </w:tc>
        <w:tc>
          <w:tcPr>
            <w:tcW w:w="596" w:type="pct"/>
            <w:shd w:val="clear" w:color="auto" w:fill="auto"/>
            <w:vAlign w:val="center"/>
            <w:hideMark/>
          </w:tcPr>
          <w:p w14:paraId="0F06D0B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w:t>
            </w:r>
          </w:p>
        </w:tc>
        <w:tc>
          <w:tcPr>
            <w:tcW w:w="828" w:type="pct"/>
            <w:shd w:val="clear" w:color="auto" w:fill="auto"/>
            <w:vAlign w:val="center"/>
            <w:hideMark/>
          </w:tcPr>
          <w:p w14:paraId="1382197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55</w:t>
            </w:r>
          </w:p>
        </w:tc>
        <w:tc>
          <w:tcPr>
            <w:tcW w:w="594" w:type="pct"/>
            <w:shd w:val="clear" w:color="auto" w:fill="auto"/>
            <w:vAlign w:val="center"/>
            <w:hideMark/>
          </w:tcPr>
          <w:p w14:paraId="0117659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354</w:t>
            </w:r>
          </w:p>
        </w:tc>
        <w:tc>
          <w:tcPr>
            <w:tcW w:w="828" w:type="pct"/>
            <w:shd w:val="clear" w:color="auto" w:fill="auto"/>
            <w:vAlign w:val="center"/>
            <w:hideMark/>
          </w:tcPr>
          <w:p w14:paraId="79A0FB4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137</w:t>
            </w:r>
          </w:p>
        </w:tc>
        <w:tc>
          <w:tcPr>
            <w:tcW w:w="597" w:type="pct"/>
            <w:shd w:val="clear" w:color="auto" w:fill="auto"/>
            <w:vAlign w:val="center"/>
            <w:hideMark/>
          </w:tcPr>
          <w:p w14:paraId="2FD530E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114</w:t>
            </w:r>
          </w:p>
        </w:tc>
      </w:tr>
      <w:tr w:rsidR="007278D9" w:rsidRPr="007278D9" w14:paraId="54EF3611" w14:textId="77777777" w:rsidTr="007278D9">
        <w:trPr>
          <w:trHeight w:val="300"/>
        </w:trPr>
        <w:tc>
          <w:tcPr>
            <w:tcW w:w="1059" w:type="pct"/>
            <w:shd w:val="clear" w:color="auto" w:fill="auto"/>
            <w:noWrap/>
            <w:vAlign w:val="center"/>
            <w:hideMark/>
          </w:tcPr>
          <w:p w14:paraId="2B546F2D"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6139D3C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3 549</w:t>
            </w:r>
          </w:p>
        </w:tc>
        <w:tc>
          <w:tcPr>
            <w:tcW w:w="596" w:type="pct"/>
            <w:shd w:val="clear" w:color="auto" w:fill="auto"/>
            <w:vAlign w:val="center"/>
            <w:hideMark/>
          </w:tcPr>
          <w:p w14:paraId="027F8A7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221</w:t>
            </w:r>
          </w:p>
        </w:tc>
        <w:tc>
          <w:tcPr>
            <w:tcW w:w="828" w:type="pct"/>
            <w:shd w:val="clear" w:color="auto" w:fill="auto"/>
            <w:vAlign w:val="center"/>
            <w:hideMark/>
          </w:tcPr>
          <w:p w14:paraId="71EF97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379</w:t>
            </w:r>
          </w:p>
        </w:tc>
        <w:tc>
          <w:tcPr>
            <w:tcW w:w="594" w:type="pct"/>
            <w:shd w:val="clear" w:color="auto" w:fill="auto"/>
            <w:vAlign w:val="center"/>
            <w:hideMark/>
          </w:tcPr>
          <w:p w14:paraId="0F9A944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1 321</w:t>
            </w:r>
          </w:p>
        </w:tc>
        <w:tc>
          <w:tcPr>
            <w:tcW w:w="828" w:type="pct"/>
            <w:shd w:val="clear" w:color="auto" w:fill="auto"/>
            <w:vAlign w:val="center"/>
            <w:hideMark/>
          </w:tcPr>
          <w:p w14:paraId="38373CD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1 048</w:t>
            </w:r>
          </w:p>
        </w:tc>
        <w:tc>
          <w:tcPr>
            <w:tcW w:w="597" w:type="pct"/>
            <w:shd w:val="clear" w:color="auto" w:fill="auto"/>
            <w:vAlign w:val="center"/>
            <w:hideMark/>
          </w:tcPr>
          <w:p w14:paraId="3A25BDC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368</w:t>
            </w:r>
          </w:p>
        </w:tc>
      </w:tr>
      <w:tr w:rsidR="007278D9" w:rsidRPr="007278D9" w14:paraId="0EA3488F" w14:textId="77777777" w:rsidTr="007278D9">
        <w:trPr>
          <w:trHeight w:val="300"/>
        </w:trPr>
        <w:tc>
          <w:tcPr>
            <w:tcW w:w="1059" w:type="pct"/>
            <w:shd w:val="clear" w:color="auto" w:fill="auto"/>
            <w:noWrap/>
            <w:vAlign w:val="center"/>
            <w:hideMark/>
          </w:tcPr>
          <w:p w14:paraId="77FA06C9"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4DE33A5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1 040</w:t>
            </w:r>
          </w:p>
        </w:tc>
        <w:tc>
          <w:tcPr>
            <w:tcW w:w="596" w:type="pct"/>
            <w:shd w:val="clear" w:color="auto" w:fill="auto"/>
            <w:vAlign w:val="center"/>
            <w:hideMark/>
          </w:tcPr>
          <w:p w14:paraId="2141F60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w:t>
            </w:r>
          </w:p>
        </w:tc>
        <w:tc>
          <w:tcPr>
            <w:tcW w:w="828" w:type="pct"/>
            <w:shd w:val="clear" w:color="auto" w:fill="auto"/>
            <w:vAlign w:val="center"/>
            <w:hideMark/>
          </w:tcPr>
          <w:p w14:paraId="7A88E70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133</w:t>
            </w:r>
          </w:p>
        </w:tc>
        <w:tc>
          <w:tcPr>
            <w:tcW w:w="594" w:type="pct"/>
            <w:shd w:val="clear" w:color="auto" w:fill="auto"/>
            <w:vAlign w:val="center"/>
            <w:hideMark/>
          </w:tcPr>
          <w:p w14:paraId="7114BC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267</w:t>
            </w:r>
          </w:p>
        </w:tc>
        <w:tc>
          <w:tcPr>
            <w:tcW w:w="828" w:type="pct"/>
            <w:shd w:val="clear" w:color="auto" w:fill="auto"/>
            <w:vAlign w:val="center"/>
            <w:hideMark/>
          </w:tcPr>
          <w:p w14:paraId="4390988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466</w:t>
            </w:r>
          </w:p>
        </w:tc>
        <w:tc>
          <w:tcPr>
            <w:tcW w:w="597" w:type="pct"/>
            <w:shd w:val="clear" w:color="auto" w:fill="auto"/>
            <w:vAlign w:val="center"/>
            <w:hideMark/>
          </w:tcPr>
          <w:p w14:paraId="1D3829A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80</w:t>
            </w:r>
          </w:p>
        </w:tc>
      </w:tr>
      <w:tr w:rsidR="007278D9" w:rsidRPr="007278D9" w14:paraId="423511A0" w14:textId="77777777" w:rsidTr="007278D9">
        <w:trPr>
          <w:trHeight w:val="300"/>
        </w:trPr>
        <w:tc>
          <w:tcPr>
            <w:tcW w:w="1059" w:type="pct"/>
            <w:shd w:val="clear" w:color="auto" w:fill="auto"/>
            <w:noWrap/>
            <w:vAlign w:val="center"/>
            <w:hideMark/>
          </w:tcPr>
          <w:p w14:paraId="29235BB6"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4C820CB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1 223</w:t>
            </w:r>
          </w:p>
        </w:tc>
        <w:tc>
          <w:tcPr>
            <w:tcW w:w="596" w:type="pct"/>
            <w:shd w:val="clear" w:color="auto" w:fill="auto"/>
            <w:vAlign w:val="center"/>
            <w:hideMark/>
          </w:tcPr>
          <w:p w14:paraId="342E99C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139</w:t>
            </w:r>
          </w:p>
        </w:tc>
        <w:tc>
          <w:tcPr>
            <w:tcW w:w="828" w:type="pct"/>
            <w:shd w:val="clear" w:color="auto" w:fill="auto"/>
            <w:vAlign w:val="center"/>
            <w:hideMark/>
          </w:tcPr>
          <w:p w14:paraId="7ACE443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84</w:t>
            </w:r>
          </w:p>
        </w:tc>
        <w:tc>
          <w:tcPr>
            <w:tcW w:w="594" w:type="pct"/>
            <w:shd w:val="clear" w:color="auto" w:fill="auto"/>
            <w:vAlign w:val="center"/>
            <w:hideMark/>
          </w:tcPr>
          <w:p w14:paraId="561B61B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326</w:t>
            </w:r>
          </w:p>
        </w:tc>
        <w:tc>
          <w:tcPr>
            <w:tcW w:w="828" w:type="pct"/>
            <w:shd w:val="clear" w:color="auto" w:fill="auto"/>
            <w:vAlign w:val="center"/>
            <w:hideMark/>
          </w:tcPr>
          <w:p w14:paraId="7380C02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259</w:t>
            </w:r>
          </w:p>
        </w:tc>
        <w:tc>
          <w:tcPr>
            <w:tcW w:w="597" w:type="pct"/>
            <w:shd w:val="clear" w:color="auto" w:fill="auto"/>
            <w:vAlign w:val="center"/>
            <w:hideMark/>
          </w:tcPr>
          <w:p w14:paraId="2D58C97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207</w:t>
            </w:r>
          </w:p>
        </w:tc>
      </w:tr>
      <w:tr w:rsidR="007278D9" w:rsidRPr="007278D9" w14:paraId="574AF9EC" w14:textId="77777777" w:rsidTr="007278D9">
        <w:trPr>
          <w:trHeight w:val="300"/>
        </w:trPr>
        <w:tc>
          <w:tcPr>
            <w:tcW w:w="1059" w:type="pct"/>
            <w:shd w:val="clear" w:color="auto" w:fill="auto"/>
            <w:noWrap/>
            <w:vAlign w:val="center"/>
            <w:hideMark/>
          </w:tcPr>
          <w:p w14:paraId="08F2009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470D760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2 935</w:t>
            </w:r>
          </w:p>
        </w:tc>
        <w:tc>
          <w:tcPr>
            <w:tcW w:w="596" w:type="pct"/>
            <w:shd w:val="clear" w:color="auto" w:fill="auto"/>
            <w:vAlign w:val="center"/>
            <w:hideMark/>
          </w:tcPr>
          <w:p w14:paraId="6A76985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214</w:t>
            </w:r>
          </w:p>
        </w:tc>
        <w:tc>
          <w:tcPr>
            <w:tcW w:w="828" w:type="pct"/>
            <w:shd w:val="clear" w:color="auto" w:fill="auto"/>
            <w:vAlign w:val="center"/>
            <w:hideMark/>
          </w:tcPr>
          <w:p w14:paraId="62BFA76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282</w:t>
            </w:r>
          </w:p>
        </w:tc>
        <w:tc>
          <w:tcPr>
            <w:tcW w:w="594" w:type="pct"/>
            <w:shd w:val="clear" w:color="auto" w:fill="auto"/>
            <w:vAlign w:val="center"/>
            <w:hideMark/>
          </w:tcPr>
          <w:p w14:paraId="6D8644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1 728</w:t>
            </w:r>
          </w:p>
        </w:tc>
        <w:tc>
          <w:tcPr>
            <w:tcW w:w="828" w:type="pct"/>
            <w:shd w:val="clear" w:color="auto" w:fill="auto"/>
            <w:vAlign w:val="center"/>
            <w:hideMark/>
          </w:tcPr>
          <w:p w14:paraId="52FEEF2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473</w:t>
            </w:r>
          </w:p>
        </w:tc>
        <w:tc>
          <w:tcPr>
            <w:tcW w:w="597" w:type="pct"/>
            <w:shd w:val="clear" w:color="auto" w:fill="auto"/>
            <w:vAlign w:val="center"/>
            <w:hideMark/>
          </w:tcPr>
          <w:p w14:paraId="19290F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207</w:t>
            </w:r>
          </w:p>
        </w:tc>
      </w:tr>
      <w:tr w:rsidR="007278D9" w:rsidRPr="007278D9" w14:paraId="3F3342FA" w14:textId="77777777" w:rsidTr="007278D9">
        <w:trPr>
          <w:trHeight w:val="300"/>
        </w:trPr>
        <w:tc>
          <w:tcPr>
            <w:tcW w:w="1059" w:type="pct"/>
            <w:shd w:val="clear" w:color="auto" w:fill="auto"/>
            <w:noWrap/>
            <w:vAlign w:val="center"/>
            <w:hideMark/>
          </w:tcPr>
          <w:p w14:paraId="7262B4AA"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Zachodniopomorskie</w:t>
            </w:r>
          </w:p>
        </w:tc>
        <w:tc>
          <w:tcPr>
            <w:tcW w:w="498" w:type="pct"/>
            <w:shd w:val="clear" w:color="auto" w:fill="auto"/>
            <w:noWrap/>
            <w:vAlign w:val="center"/>
            <w:hideMark/>
          </w:tcPr>
          <w:p w14:paraId="4FB9C71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1 958</w:t>
            </w:r>
          </w:p>
        </w:tc>
        <w:tc>
          <w:tcPr>
            <w:tcW w:w="596" w:type="pct"/>
            <w:shd w:val="clear" w:color="auto" w:fill="auto"/>
            <w:vAlign w:val="center"/>
            <w:hideMark/>
          </w:tcPr>
          <w:p w14:paraId="25183F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155</w:t>
            </w:r>
          </w:p>
        </w:tc>
        <w:tc>
          <w:tcPr>
            <w:tcW w:w="828" w:type="pct"/>
            <w:shd w:val="clear" w:color="auto" w:fill="auto"/>
            <w:vAlign w:val="center"/>
            <w:hideMark/>
          </w:tcPr>
          <w:p w14:paraId="2E4E081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213</w:t>
            </w:r>
          </w:p>
        </w:tc>
        <w:tc>
          <w:tcPr>
            <w:tcW w:w="594" w:type="pct"/>
            <w:shd w:val="clear" w:color="auto" w:fill="auto"/>
            <w:vAlign w:val="center"/>
            <w:hideMark/>
          </w:tcPr>
          <w:p w14:paraId="029A075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766</w:t>
            </w:r>
          </w:p>
        </w:tc>
        <w:tc>
          <w:tcPr>
            <w:tcW w:w="828" w:type="pct"/>
            <w:shd w:val="clear" w:color="auto" w:fill="auto"/>
            <w:vAlign w:val="center"/>
            <w:hideMark/>
          </w:tcPr>
          <w:p w14:paraId="6A18876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449</w:t>
            </w:r>
          </w:p>
        </w:tc>
        <w:tc>
          <w:tcPr>
            <w:tcW w:w="597" w:type="pct"/>
            <w:shd w:val="clear" w:color="auto" w:fill="auto"/>
            <w:vAlign w:val="center"/>
            <w:hideMark/>
          </w:tcPr>
          <w:p w14:paraId="4A0F12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225</w:t>
            </w:r>
          </w:p>
        </w:tc>
      </w:tr>
      <w:tr w:rsidR="007278D9" w:rsidRPr="007278D9" w14:paraId="279F7A14" w14:textId="77777777" w:rsidTr="007278D9">
        <w:trPr>
          <w:trHeight w:val="300"/>
        </w:trPr>
        <w:tc>
          <w:tcPr>
            <w:tcW w:w="5000" w:type="pct"/>
            <w:gridSpan w:val="7"/>
            <w:shd w:val="clear" w:color="auto" w:fill="auto"/>
            <w:vAlign w:val="center"/>
            <w:hideMark/>
          </w:tcPr>
          <w:p w14:paraId="2C9D3FA5" w14:textId="77777777" w:rsidR="007278D9" w:rsidRPr="0019609D" w:rsidRDefault="007278D9" w:rsidP="007278D9">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WIEŚ</w:t>
            </w:r>
          </w:p>
        </w:tc>
      </w:tr>
      <w:tr w:rsidR="007278D9" w:rsidRPr="007278D9" w14:paraId="190CB750" w14:textId="77777777" w:rsidTr="007278D9">
        <w:trPr>
          <w:trHeight w:val="300"/>
        </w:trPr>
        <w:tc>
          <w:tcPr>
            <w:tcW w:w="1059" w:type="pct"/>
            <w:shd w:val="clear" w:color="auto" w:fill="auto"/>
            <w:noWrap/>
            <w:vAlign w:val="center"/>
            <w:hideMark/>
          </w:tcPr>
          <w:p w14:paraId="2C1B22A4" w14:textId="77777777" w:rsidR="007278D9" w:rsidRPr="0019609D" w:rsidRDefault="007278D9" w:rsidP="007278D9">
            <w:pPr>
              <w:spacing w:after="0" w:line="240" w:lineRule="auto"/>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 xml:space="preserve">POLSKA   </w:t>
            </w:r>
          </w:p>
        </w:tc>
        <w:tc>
          <w:tcPr>
            <w:tcW w:w="498" w:type="pct"/>
            <w:shd w:val="clear" w:color="auto" w:fill="auto"/>
            <w:noWrap/>
            <w:vAlign w:val="center"/>
            <w:hideMark/>
          </w:tcPr>
          <w:p w14:paraId="280CAB19"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21 346</w:t>
            </w:r>
          </w:p>
        </w:tc>
        <w:tc>
          <w:tcPr>
            <w:tcW w:w="596" w:type="pct"/>
            <w:shd w:val="clear" w:color="auto" w:fill="auto"/>
            <w:vAlign w:val="center"/>
            <w:hideMark/>
          </w:tcPr>
          <w:p w14:paraId="090C966F"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1 349</w:t>
            </w:r>
          </w:p>
        </w:tc>
        <w:tc>
          <w:tcPr>
            <w:tcW w:w="828" w:type="pct"/>
            <w:shd w:val="clear" w:color="auto" w:fill="auto"/>
            <w:vAlign w:val="center"/>
            <w:hideMark/>
          </w:tcPr>
          <w:p w14:paraId="42F3C437"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1 653</w:t>
            </w:r>
          </w:p>
        </w:tc>
        <w:tc>
          <w:tcPr>
            <w:tcW w:w="594" w:type="pct"/>
            <w:shd w:val="clear" w:color="auto" w:fill="auto"/>
            <w:vAlign w:val="center"/>
            <w:hideMark/>
          </w:tcPr>
          <w:p w14:paraId="1CBB4C0C"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6 658</w:t>
            </w:r>
          </w:p>
        </w:tc>
        <w:tc>
          <w:tcPr>
            <w:tcW w:w="828" w:type="pct"/>
            <w:shd w:val="clear" w:color="auto" w:fill="auto"/>
            <w:vAlign w:val="center"/>
            <w:hideMark/>
          </w:tcPr>
          <w:p w14:paraId="58612892"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10 418</w:t>
            </w:r>
          </w:p>
        </w:tc>
        <w:tc>
          <w:tcPr>
            <w:tcW w:w="597" w:type="pct"/>
            <w:shd w:val="clear" w:color="auto" w:fill="auto"/>
            <w:vAlign w:val="center"/>
            <w:hideMark/>
          </w:tcPr>
          <w:p w14:paraId="225E5C6E" w14:textId="77777777" w:rsidR="007278D9" w:rsidRPr="0019609D" w:rsidRDefault="007278D9" w:rsidP="007278D9">
            <w:pPr>
              <w:spacing w:after="0" w:line="240" w:lineRule="auto"/>
              <w:jc w:val="right"/>
              <w:rPr>
                <w:rFonts w:ascii="Lato" w:eastAsia="Times New Roman" w:hAnsi="Lato" w:cs="Arial"/>
                <w:b/>
                <w:bCs/>
                <w:sz w:val="18"/>
                <w:szCs w:val="18"/>
                <w:lang w:eastAsia="pl-PL"/>
              </w:rPr>
            </w:pPr>
            <w:r w:rsidRPr="0019609D">
              <w:rPr>
                <w:rFonts w:ascii="Lato" w:eastAsia="Times New Roman" w:hAnsi="Lato" w:cs="Arial"/>
                <w:b/>
                <w:bCs/>
                <w:sz w:val="18"/>
                <w:szCs w:val="18"/>
                <w:lang w:eastAsia="pl-PL"/>
              </w:rPr>
              <w:t>492</w:t>
            </w:r>
          </w:p>
        </w:tc>
      </w:tr>
      <w:tr w:rsidR="007278D9" w:rsidRPr="007278D9" w14:paraId="2F99C670" w14:textId="77777777" w:rsidTr="007278D9">
        <w:trPr>
          <w:trHeight w:val="300"/>
        </w:trPr>
        <w:tc>
          <w:tcPr>
            <w:tcW w:w="1059" w:type="pct"/>
            <w:shd w:val="clear" w:color="auto" w:fill="auto"/>
            <w:noWrap/>
            <w:vAlign w:val="center"/>
            <w:hideMark/>
          </w:tcPr>
          <w:p w14:paraId="17E1394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Dolnośląskie</w:t>
            </w:r>
          </w:p>
        </w:tc>
        <w:tc>
          <w:tcPr>
            <w:tcW w:w="498" w:type="pct"/>
            <w:shd w:val="clear" w:color="auto" w:fill="auto"/>
            <w:noWrap/>
            <w:vAlign w:val="center"/>
            <w:hideMark/>
          </w:tcPr>
          <w:p w14:paraId="365E272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1 534</w:t>
            </w:r>
          </w:p>
        </w:tc>
        <w:tc>
          <w:tcPr>
            <w:tcW w:w="596" w:type="pct"/>
            <w:shd w:val="clear" w:color="auto" w:fill="auto"/>
            <w:vAlign w:val="center"/>
            <w:hideMark/>
          </w:tcPr>
          <w:p w14:paraId="5510503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83</w:t>
            </w:r>
          </w:p>
        </w:tc>
        <w:tc>
          <w:tcPr>
            <w:tcW w:w="828" w:type="pct"/>
            <w:shd w:val="clear" w:color="auto" w:fill="auto"/>
            <w:vAlign w:val="center"/>
            <w:hideMark/>
          </w:tcPr>
          <w:p w14:paraId="6DE23A6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w:t>
            </w:r>
          </w:p>
        </w:tc>
        <w:tc>
          <w:tcPr>
            <w:tcW w:w="594" w:type="pct"/>
            <w:shd w:val="clear" w:color="auto" w:fill="auto"/>
            <w:vAlign w:val="center"/>
            <w:hideMark/>
          </w:tcPr>
          <w:p w14:paraId="1AE754E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230</w:t>
            </w:r>
          </w:p>
        </w:tc>
        <w:tc>
          <w:tcPr>
            <w:tcW w:w="828" w:type="pct"/>
            <w:shd w:val="clear" w:color="auto" w:fill="auto"/>
            <w:vAlign w:val="center"/>
            <w:hideMark/>
          </w:tcPr>
          <w:p w14:paraId="37B06FC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1 069</w:t>
            </w:r>
          </w:p>
        </w:tc>
        <w:tc>
          <w:tcPr>
            <w:tcW w:w="597" w:type="pct"/>
            <w:shd w:val="clear" w:color="auto" w:fill="auto"/>
            <w:vAlign w:val="center"/>
            <w:hideMark/>
          </w:tcPr>
          <w:p w14:paraId="06BD84B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78</w:t>
            </w:r>
          </w:p>
        </w:tc>
      </w:tr>
      <w:tr w:rsidR="007278D9" w:rsidRPr="007278D9" w14:paraId="62443AE0" w14:textId="77777777" w:rsidTr="007278D9">
        <w:trPr>
          <w:trHeight w:val="300"/>
        </w:trPr>
        <w:tc>
          <w:tcPr>
            <w:tcW w:w="1059" w:type="pct"/>
            <w:shd w:val="clear" w:color="auto" w:fill="auto"/>
            <w:noWrap/>
            <w:vAlign w:val="center"/>
            <w:hideMark/>
          </w:tcPr>
          <w:p w14:paraId="395E7B9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Kujawsko-pomorskie</w:t>
            </w:r>
          </w:p>
        </w:tc>
        <w:tc>
          <w:tcPr>
            <w:tcW w:w="498" w:type="pct"/>
            <w:shd w:val="clear" w:color="auto" w:fill="auto"/>
            <w:noWrap/>
            <w:vAlign w:val="center"/>
            <w:hideMark/>
          </w:tcPr>
          <w:p w14:paraId="78B960C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846</w:t>
            </w:r>
          </w:p>
        </w:tc>
        <w:tc>
          <w:tcPr>
            <w:tcW w:w="596" w:type="pct"/>
            <w:shd w:val="clear" w:color="auto" w:fill="auto"/>
            <w:vAlign w:val="center"/>
            <w:hideMark/>
          </w:tcPr>
          <w:p w14:paraId="7AC34A5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60</w:t>
            </w:r>
          </w:p>
        </w:tc>
        <w:tc>
          <w:tcPr>
            <w:tcW w:w="828" w:type="pct"/>
            <w:shd w:val="clear" w:color="auto" w:fill="auto"/>
            <w:vAlign w:val="center"/>
            <w:hideMark/>
          </w:tcPr>
          <w:p w14:paraId="31091DD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67</w:t>
            </w:r>
          </w:p>
        </w:tc>
        <w:tc>
          <w:tcPr>
            <w:tcW w:w="594" w:type="pct"/>
            <w:shd w:val="clear" w:color="auto" w:fill="auto"/>
            <w:vAlign w:val="center"/>
            <w:hideMark/>
          </w:tcPr>
          <w:p w14:paraId="45C9A5C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476</w:t>
            </w:r>
          </w:p>
        </w:tc>
        <w:tc>
          <w:tcPr>
            <w:tcW w:w="828" w:type="pct"/>
            <w:shd w:val="clear" w:color="auto" w:fill="auto"/>
            <w:vAlign w:val="center"/>
            <w:hideMark/>
          </w:tcPr>
          <w:p w14:paraId="63E9AEB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218</w:t>
            </w:r>
          </w:p>
        </w:tc>
        <w:tc>
          <w:tcPr>
            <w:tcW w:w="597" w:type="pct"/>
            <w:shd w:val="clear" w:color="auto" w:fill="auto"/>
            <w:vAlign w:val="center"/>
            <w:hideMark/>
          </w:tcPr>
          <w:p w14:paraId="16E174A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w:t>
            </w:r>
          </w:p>
        </w:tc>
      </w:tr>
      <w:tr w:rsidR="007278D9" w:rsidRPr="007278D9" w14:paraId="2D01A7EF" w14:textId="77777777" w:rsidTr="007278D9">
        <w:trPr>
          <w:trHeight w:val="300"/>
        </w:trPr>
        <w:tc>
          <w:tcPr>
            <w:tcW w:w="1059" w:type="pct"/>
            <w:shd w:val="clear" w:color="auto" w:fill="auto"/>
            <w:noWrap/>
            <w:vAlign w:val="center"/>
            <w:hideMark/>
          </w:tcPr>
          <w:p w14:paraId="6E937CE9"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Lubelskie</w:t>
            </w:r>
          </w:p>
        </w:tc>
        <w:tc>
          <w:tcPr>
            <w:tcW w:w="498" w:type="pct"/>
            <w:shd w:val="clear" w:color="auto" w:fill="auto"/>
            <w:noWrap/>
            <w:vAlign w:val="center"/>
            <w:hideMark/>
          </w:tcPr>
          <w:p w14:paraId="2B2BF92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2 764</w:t>
            </w:r>
          </w:p>
        </w:tc>
        <w:tc>
          <w:tcPr>
            <w:tcW w:w="596" w:type="pct"/>
            <w:shd w:val="clear" w:color="auto" w:fill="auto"/>
            <w:vAlign w:val="center"/>
            <w:hideMark/>
          </w:tcPr>
          <w:p w14:paraId="5102D0A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211</w:t>
            </w:r>
          </w:p>
        </w:tc>
        <w:tc>
          <w:tcPr>
            <w:tcW w:w="828" w:type="pct"/>
            <w:shd w:val="clear" w:color="auto" w:fill="auto"/>
            <w:vAlign w:val="center"/>
            <w:hideMark/>
          </w:tcPr>
          <w:p w14:paraId="740B249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196</w:t>
            </w:r>
          </w:p>
        </w:tc>
        <w:tc>
          <w:tcPr>
            <w:tcW w:w="594" w:type="pct"/>
            <w:shd w:val="clear" w:color="auto" w:fill="auto"/>
            <w:vAlign w:val="center"/>
            <w:hideMark/>
          </w:tcPr>
          <w:p w14:paraId="6A881FE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846</w:t>
            </w:r>
          </w:p>
        </w:tc>
        <w:tc>
          <w:tcPr>
            <w:tcW w:w="828" w:type="pct"/>
            <w:shd w:val="clear" w:color="auto" w:fill="auto"/>
            <w:vAlign w:val="center"/>
            <w:hideMark/>
          </w:tcPr>
          <w:p w14:paraId="033CD9C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1 441</w:t>
            </w:r>
          </w:p>
        </w:tc>
        <w:tc>
          <w:tcPr>
            <w:tcW w:w="597" w:type="pct"/>
            <w:shd w:val="clear" w:color="auto" w:fill="auto"/>
            <w:vAlign w:val="center"/>
            <w:hideMark/>
          </w:tcPr>
          <w:p w14:paraId="507B809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w:t>
            </w:r>
          </w:p>
        </w:tc>
      </w:tr>
      <w:tr w:rsidR="007278D9" w:rsidRPr="007278D9" w14:paraId="44B764A3" w14:textId="77777777" w:rsidTr="007278D9">
        <w:trPr>
          <w:trHeight w:val="300"/>
        </w:trPr>
        <w:tc>
          <w:tcPr>
            <w:tcW w:w="1059" w:type="pct"/>
            <w:shd w:val="clear" w:color="auto" w:fill="auto"/>
            <w:noWrap/>
            <w:vAlign w:val="center"/>
            <w:hideMark/>
          </w:tcPr>
          <w:p w14:paraId="33943C57"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Lubuskie</w:t>
            </w:r>
          </w:p>
        </w:tc>
        <w:tc>
          <w:tcPr>
            <w:tcW w:w="498" w:type="pct"/>
            <w:shd w:val="clear" w:color="auto" w:fill="auto"/>
            <w:noWrap/>
            <w:vAlign w:val="center"/>
            <w:hideMark/>
          </w:tcPr>
          <w:p w14:paraId="58DB982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293</w:t>
            </w:r>
          </w:p>
        </w:tc>
        <w:tc>
          <w:tcPr>
            <w:tcW w:w="596" w:type="pct"/>
            <w:shd w:val="clear" w:color="auto" w:fill="auto"/>
            <w:vAlign w:val="center"/>
            <w:hideMark/>
          </w:tcPr>
          <w:p w14:paraId="7B68824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0</w:t>
            </w:r>
          </w:p>
        </w:tc>
        <w:tc>
          <w:tcPr>
            <w:tcW w:w="828" w:type="pct"/>
            <w:shd w:val="clear" w:color="auto" w:fill="auto"/>
            <w:vAlign w:val="center"/>
            <w:hideMark/>
          </w:tcPr>
          <w:p w14:paraId="735BD36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w:t>
            </w:r>
          </w:p>
        </w:tc>
        <w:tc>
          <w:tcPr>
            <w:tcW w:w="594" w:type="pct"/>
            <w:shd w:val="clear" w:color="auto" w:fill="auto"/>
            <w:vAlign w:val="center"/>
            <w:hideMark/>
          </w:tcPr>
          <w:p w14:paraId="24C949E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105</w:t>
            </w:r>
          </w:p>
        </w:tc>
        <w:tc>
          <w:tcPr>
            <w:tcW w:w="828" w:type="pct"/>
            <w:shd w:val="clear" w:color="auto" w:fill="auto"/>
            <w:vAlign w:val="center"/>
            <w:hideMark/>
          </w:tcPr>
          <w:p w14:paraId="592584D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149</w:t>
            </w:r>
          </w:p>
        </w:tc>
        <w:tc>
          <w:tcPr>
            <w:tcW w:w="597" w:type="pct"/>
            <w:shd w:val="clear" w:color="auto" w:fill="auto"/>
            <w:vAlign w:val="center"/>
            <w:hideMark/>
          </w:tcPr>
          <w:p w14:paraId="0F65854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w:t>
            </w:r>
          </w:p>
        </w:tc>
      </w:tr>
      <w:tr w:rsidR="007278D9" w:rsidRPr="007278D9" w14:paraId="47FBE1F3" w14:textId="77777777" w:rsidTr="007278D9">
        <w:trPr>
          <w:trHeight w:val="300"/>
        </w:trPr>
        <w:tc>
          <w:tcPr>
            <w:tcW w:w="1059" w:type="pct"/>
            <w:shd w:val="clear" w:color="auto" w:fill="auto"/>
            <w:noWrap/>
            <w:vAlign w:val="center"/>
            <w:hideMark/>
          </w:tcPr>
          <w:p w14:paraId="4A9CAB9D"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Łódzkie</w:t>
            </w:r>
          </w:p>
        </w:tc>
        <w:tc>
          <w:tcPr>
            <w:tcW w:w="498" w:type="pct"/>
            <w:shd w:val="clear" w:color="auto" w:fill="auto"/>
            <w:noWrap/>
            <w:vAlign w:val="center"/>
            <w:hideMark/>
          </w:tcPr>
          <w:p w14:paraId="77707D2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1 461</w:t>
            </w:r>
          </w:p>
        </w:tc>
        <w:tc>
          <w:tcPr>
            <w:tcW w:w="596" w:type="pct"/>
            <w:shd w:val="clear" w:color="auto" w:fill="auto"/>
            <w:vAlign w:val="center"/>
            <w:hideMark/>
          </w:tcPr>
          <w:p w14:paraId="317F0AB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45</w:t>
            </w:r>
          </w:p>
        </w:tc>
        <w:tc>
          <w:tcPr>
            <w:tcW w:w="828" w:type="pct"/>
            <w:shd w:val="clear" w:color="auto" w:fill="auto"/>
            <w:vAlign w:val="center"/>
            <w:hideMark/>
          </w:tcPr>
          <w:p w14:paraId="71CA6FD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132</w:t>
            </w:r>
          </w:p>
        </w:tc>
        <w:tc>
          <w:tcPr>
            <w:tcW w:w="594" w:type="pct"/>
            <w:shd w:val="clear" w:color="auto" w:fill="auto"/>
            <w:vAlign w:val="center"/>
            <w:hideMark/>
          </w:tcPr>
          <w:p w14:paraId="7E31336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350</w:t>
            </w:r>
          </w:p>
        </w:tc>
        <w:tc>
          <w:tcPr>
            <w:tcW w:w="828" w:type="pct"/>
            <w:shd w:val="clear" w:color="auto" w:fill="auto"/>
            <w:vAlign w:val="center"/>
            <w:hideMark/>
          </w:tcPr>
          <w:p w14:paraId="408E5F3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798</w:t>
            </w:r>
          </w:p>
        </w:tc>
        <w:tc>
          <w:tcPr>
            <w:tcW w:w="597" w:type="pct"/>
            <w:shd w:val="clear" w:color="auto" w:fill="auto"/>
            <w:vAlign w:val="center"/>
            <w:hideMark/>
          </w:tcPr>
          <w:p w14:paraId="30E7CEF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w:t>
            </w:r>
          </w:p>
        </w:tc>
      </w:tr>
      <w:tr w:rsidR="007278D9" w:rsidRPr="007278D9" w14:paraId="173B882E" w14:textId="77777777" w:rsidTr="007278D9">
        <w:trPr>
          <w:trHeight w:val="300"/>
        </w:trPr>
        <w:tc>
          <w:tcPr>
            <w:tcW w:w="1059" w:type="pct"/>
            <w:shd w:val="clear" w:color="auto" w:fill="auto"/>
            <w:noWrap/>
            <w:vAlign w:val="center"/>
            <w:hideMark/>
          </w:tcPr>
          <w:p w14:paraId="251809A9"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Małopolskie</w:t>
            </w:r>
          </w:p>
        </w:tc>
        <w:tc>
          <w:tcPr>
            <w:tcW w:w="498" w:type="pct"/>
            <w:shd w:val="clear" w:color="auto" w:fill="auto"/>
            <w:noWrap/>
            <w:vAlign w:val="center"/>
            <w:hideMark/>
          </w:tcPr>
          <w:p w14:paraId="26375ED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2 496</w:t>
            </w:r>
          </w:p>
        </w:tc>
        <w:tc>
          <w:tcPr>
            <w:tcW w:w="596" w:type="pct"/>
            <w:shd w:val="clear" w:color="auto" w:fill="auto"/>
            <w:vAlign w:val="center"/>
            <w:hideMark/>
          </w:tcPr>
          <w:p w14:paraId="353DBAF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198</w:t>
            </w:r>
          </w:p>
        </w:tc>
        <w:tc>
          <w:tcPr>
            <w:tcW w:w="828" w:type="pct"/>
            <w:shd w:val="clear" w:color="auto" w:fill="auto"/>
            <w:vAlign w:val="center"/>
            <w:hideMark/>
          </w:tcPr>
          <w:p w14:paraId="1C3A684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342</w:t>
            </w:r>
          </w:p>
        </w:tc>
        <w:tc>
          <w:tcPr>
            <w:tcW w:w="594" w:type="pct"/>
            <w:shd w:val="clear" w:color="auto" w:fill="auto"/>
            <w:vAlign w:val="center"/>
            <w:hideMark/>
          </w:tcPr>
          <w:p w14:paraId="07C0324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523</w:t>
            </w:r>
          </w:p>
        </w:tc>
        <w:tc>
          <w:tcPr>
            <w:tcW w:w="828" w:type="pct"/>
            <w:shd w:val="clear" w:color="auto" w:fill="auto"/>
            <w:vAlign w:val="center"/>
            <w:hideMark/>
          </w:tcPr>
          <w:p w14:paraId="7354D11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1 194</w:t>
            </w:r>
          </w:p>
        </w:tc>
        <w:tc>
          <w:tcPr>
            <w:tcW w:w="597" w:type="pct"/>
            <w:shd w:val="clear" w:color="auto" w:fill="auto"/>
            <w:vAlign w:val="center"/>
            <w:hideMark/>
          </w:tcPr>
          <w:p w14:paraId="17E715C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82</w:t>
            </w:r>
          </w:p>
        </w:tc>
      </w:tr>
      <w:tr w:rsidR="007278D9" w:rsidRPr="007278D9" w14:paraId="74B47DBE" w14:textId="77777777" w:rsidTr="007278D9">
        <w:trPr>
          <w:trHeight w:val="300"/>
        </w:trPr>
        <w:tc>
          <w:tcPr>
            <w:tcW w:w="1059" w:type="pct"/>
            <w:shd w:val="clear" w:color="auto" w:fill="auto"/>
            <w:noWrap/>
            <w:vAlign w:val="center"/>
            <w:hideMark/>
          </w:tcPr>
          <w:p w14:paraId="61E3FD1D"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Mazowieckie</w:t>
            </w:r>
          </w:p>
        </w:tc>
        <w:tc>
          <w:tcPr>
            <w:tcW w:w="498" w:type="pct"/>
            <w:shd w:val="clear" w:color="auto" w:fill="auto"/>
            <w:noWrap/>
            <w:vAlign w:val="center"/>
            <w:hideMark/>
          </w:tcPr>
          <w:p w14:paraId="0272286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1 366</w:t>
            </w:r>
          </w:p>
        </w:tc>
        <w:tc>
          <w:tcPr>
            <w:tcW w:w="596" w:type="pct"/>
            <w:shd w:val="clear" w:color="auto" w:fill="auto"/>
            <w:vAlign w:val="center"/>
            <w:hideMark/>
          </w:tcPr>
          <w:p w14:paraId="70852D0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183</w:t>
            </w:r>
          </w:p>
        </w:tc>
        <w:tc>
          <w:tcPr>
            <w:tcW w:w="828" w:type="pct"/>
            <w:shd w:val="clear" w:color="auto" w:fill="auto"/>
            <w:vAlign w:val="center"/>
            <w:hideMark/>
          </w:tcPr>
          <w:p w14:paraId="401DE43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85</w:t>
            </w:r>
          </w:p>
        </w:tc>
        <w:tc>
          <w:tcPr>
            <w:tcW w:w="594" w:type="pct"/>
            <w:shd w:val="clear" w:color="auto" w:fill="auto"/>
            <w:vAlign w:val="center"/>
            <w:hideMark/>
          </w:tcPr>
          <w:p w14:paraId="55C95EC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475</w:t>
            </w:r>
          </w:p>
        </w:tc>
        <w:tc>
          <w:tcPr>
            <w:tcW w:w="828" w:type="pct"/>
            <w:shd w:val="clear" w:color="auto" w:fill="auto"/>
            <w:vAlign w:val="center"/>
            <w:hideMark/>
          </w:tcPr>
          <w:p w14:paraId="2945229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567</w:t>
            </w:r>
          </w:p>
        </w:tc>
        <w:tc>
          <w:tcPr>
            <w:tcW w:w="597" w:type="pct"/>
            <w:shd w:val="clear" w:color="auto" w:fill="auto"/>
            <w:vAlign w:val="center"/>
            <w:hideMark/>
          </w:tcPr>
          <w:p w14:paraId="5C4C43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w:t>
            </w:r>
          </w:p>
        </w:tc>
      </w:tr>
      <w:tr w:rsidR="007278D9" w:rsidRPr="007278D9" w14:paraId="570DE38C" w14:textId="77777777" w:rsidTr="007278D9">
        <w:trPr>
          <w:trHeight w:val="300"/>
        </w:trPr>
        <w:tc>
          <w:tcPr>
            <w:tcW w:w="1059" w:type="pct"/>
            <w:shd w:val="clear" w:color="auto" w:fill="auto"/>
            <w:noWrap/>
            <w:vAlign w:val="center"/>
            <w:hideMark/>
          </w:tcPr>
          <w:p w14:paraId="4B48DB2F"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Opolskie</w:t>
            </w:r>
          </w:p>
        </w:tc>
        <w:tc>
          <w:tcPr>
            <w:tcW w:w="498" w:type="pct"/>
            <w:shd w:val="clear" w:color="auto" w:fill="auto"/>
            <w:noWrap/>
            <w:vAlign w:val="center"/>
            <w:hideMark/>
          </w:tcPr>
          <w:p w14:paraId="450D68F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283</w:t>
            </w:r>
          </w:p>
        </w:tc>
        <w:tc>
          <w:tcPr>
            <w:tcW w:w="596" w:type="pct"/>
            <w:shd w:val="clear" w:color="auto" w:fill="auto"/>
            <w:vAlign w:val="center"/>
            <w:hideMark/>
          </w:tcPr>
          <w:p w14:paraId="2E80FC9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w:t>
            </w:r>
          </w:p>
        </w:tc>
        <w:tc>
          <w:tcPr>
            <w:tcW w:w="828" w:type="pct"/>
            <w:shd w:val="clear" w:color="auto" w:fill="auto"/>
            <w:vAlign w:val="center"/>
            <w:hideMark/>
          </w:tcPr>
          <w:p w14:paraId="2565ED9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w:t>
            </w:r>
          </w:p>
        </w:tc>
        <w:tc>
          <w:tcPr>
            <w:tcW w:w="594" w:type="pct"/>
            <w:shd w:val="clear" w:color="auto" w:fill="auto"/>
            <w:vAlign w:val="center"/>
            <w:hideMark/>
          </w:tcPr>
          <w:p w14:paraId="5257919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140</w:t>
            </w:r>
          </w:p>
        </w:tc>
        <w:tc>
          <w:tcPr>
            <w:tcW w:w="828" w:type="pct"/>
            <w:shd w:val="clear" w:color="auto" w:fill="auto"/>
            <w:vAlign w:val="center"/>
            <w:hideMark/>
          </w:tcPr>
          <w:p w14:paraId="047842D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112</w:t>
            </w:r>
          </w:p>
        </w:tc>
        <w:tc>
          <w:tcPr>
            <w:tcW w:w="597" w:type="pct"/>
            <w:shd w:val="clear" w:color="auto" w:fill="auto"/>
            <w:vAlign w:val="center"/>
            <w:hideMark/>
          </w:tcPr>
          <w:p w14:paraId="14A9F44D"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w:t>
            </w:r>
          </w:p>
        </w:tc>
      </w:tr>
      <w:tr w:rsidR="007278D9" w:rsidRPr="007278D9" w14:paraId="5F6F13CA" w14:textId="77777777" w:rsidTr="007278D9">
        <w:trPr>
          <w:trHeight w:val="300"/>
        </w:trPr>
        <w:tc>
          <w:tcPr>
            <w:tcW w:w="1059" w:type="pct"/>
            <w:shd w:val="clear" w:color="auto" w:fill="auto"/>
            <w:noWrap/>
            <w:vAlign w:val="center"/>
            <w:hideMark/>
          </w:tcPr>
          <w:p w14:paraId="4ADF46D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Podkarpackie</w:t>
            </w:r>
          </w:p>
        </w:tc>
        <w:tc>
          <w:tcPr>
            <w:tcW w:w="498" w:type="pct"/>
            <w:shd w:val="clear" w:color="auto" w:fill="auto"/>
            <w:noWrap/>
            <w:vAlign w:val="center"/>
            <w:hideMark/>
          </w:tcPr>
          <w:p w14:paraId="72AD0C1A"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2 230</w:t>
            </w:r>
          </w:p>
        </w:tc>
        <w:tc>
          <w:tcPr>
            <w:tcW w:w="596" w:type="pct"/>
            <w:shd w:val="clear" w:color="auto" w:fill="auto"/>
            <w:vAlign w:val="center"/>
            <w:hideMark/>
          </w:tcPr>
          <w:p w14:paraId="73B6408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160</w:t>
            </w:r>
          </w:p>
        </w:tc>
        <w:tc>
          <w:tcPr>
            <w:tcW w:w="828" w:type="pct"/>
            <w:shd w:val="clear" w:color="auto" w:fill="auto"/>
            <w:vAlign w:val="center"/>
            <w:hideMark/>
          </w:tcPr>
          <w:p w14:paraId="31D630E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236</w:t>
            </w:r>
          </w:p>
        </w:tc>
        <w:tc>
          <w:tcPr>
            <w:tcW w:w="594" w:type="pct"/>
            <w:shd w:val="clear" w:color="auto" w:fill="auto"/>
            <w:vAlign w:val="center"/>
            <w:hideMark/>
          </w:tcPr>
          <w:p w14:paraId="011F71E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668</w:t>
            </w:r>
          </w:p>
        </w:tc>
        <w:tc>
          <w:tcPr>
            <w:tcW w:w="828" w:type="pct"/>
            <w:shd w:val="clear" w:color="auto" w:fill="auto"/>
            <w:vAlign w:val="center"/>
            <w:hideMark/>
          </w:tcPr>
          <w:p w14:paraId="2E6260A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1 061</w:t>
            </w:r>
          </w:p>
        </w:tc>
        <w:tc>
          <w:tcPr>
            <w:tcW w:w="597" w:type="pct"/>
            <w:shd w:val="clear" w:color="auto" w:fill="auto"/>
            <w:vAlign w:val="center"/>
            <w:hideMark/>
          </w:tcPr>
          <w:p w14:paraId="0F237C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65</w:t>
            </w:r>
          </w:p>
        </w:tc>
      </w:tr>
      <w:tr w:rsidR="007278D9" w:rsidRPr="007278D9" w14:paraId="2D2BCB8C" w14:textId="77777777" w:rsidTr="007278D9">
        <w:trPr>
          <w:trHeight w:val="300"/>
        </w:trPr>
        <w:tc>
          <w:tcPr>
            <w:tcW w:w="1059" w:type="pct"/>
            <w:shd w:val="clear" w:color="auto" w:fill="auto"/>
            <w:noWrap/>
            <w:vAlign w:val="center"/>
            <w:hideMark/>
          </w:tcPr>
          <w:p w14:paraId="435722A8"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Podlaskie</w:t>
            </w:r>
          </w:p>
        </w:tc>
        <w:tc>
          <w:tcPr>
            <w:tcW w:w="498" w:type="pct"/>
            <w:shd w:val="clear" w:color="auto" w:fill="auto"/>
            <w:noWrap/>
            <w:vAlign w:val="center"/>
            <w:hideMark/>
          </w:tcPr>
          <w:p w14:paraId="00D9695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754</w:t>
            </w:r>
          </w:p>
        </w:tc>
        <w:tc>
          <w:tcPr>
            <w:tcW w:w="596" w:type="pct"/>
            <w:shd w:val="clear" w:color="auto" w:fill="auto"/>
            <w:vAlign w:val="center"/>
            <w:hideMark/>
          </w:tcPr>
          <w:p w14:paraId="2FAAEE1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57</w:t>
            </w:r>
          </w:p>
        </w:tc>
        <w:tc>
          <w:tcPr>
            <w:tcW w:w="828" w:type="pct"/>
            <w:shd w:val="clear" w:color="auto" w:fill="auto"/>
            <w:vAlign w:val="center"/>
            <w:hideMark/>
          </w:tcPr>
          <w:p w14:paraId="4B7BFC9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46</w:t>
            </w:r>
          </w:p>
        </w:tc>
        <w:tc>
          <w:tcPr>
            <w:tcW w:w="594" w:type="pct"/>
            <w:shd w:val="clear" w:color="auto" w:fill="auto"/>
            <w:vAlign w:val="center"/>
            <w:hideMark/>
          </w:tcPr>
          <w:p w14:paraId="6E96CA5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159</w:t>
            </w:r>
          </w:p>
        </w:tc>
        <w:tc>
          <w:tcPr>
            <w:tcW w:w="828" w:type="pct"/>
            <w:shd w:val="clear" w:color="auto" w:fill="auto"/>
            <w:vAlign w:val="center"/>
            <w:hideMark/>
          </w:tcPr>
          <w:p w14:paraId="29DE6AA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480</w:t>
            </w:r>
          </w:p>
        </w:tc>
        <w:tc>
          <w:tcPr>
            <w:tcW w:w="597" w:type="pct"/>
            <w:shd w:val="clear" w:color="auto" w:fill="auto"/>
            <w:vAlign w:val="center"/>
            <w:hideMark/>
          </w:tcPr>
          <w:p w14:paraId="54ADDE08"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w:t>
            </w:r>
          </w:p>
        </w:tc>
      </w:tr>
      <w:tr w:rsidR="007278D9" w:rsidRPr="007278D9" w14:paraId="7ADB75A0" w14:textId="77777777" w:rsidTr="007278D9">
        <w:trPr>
          <w:trHeight w:val="300"/>
        </w:trPr>
        <w:tc>
          <w:tcPr>
            <w:tcW w:w="1059" w:type="pct"/>
            <w:shd w:val="clear" w:color="auto" w:fill="auto"/>
            <w:noWrap/>
            <w:vAlign w:val="center"/>
            <w:hideMark/>
          </w:tcPr>
          <w:p w14:paraId="042C904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Pomorskie</w:t>
            </w:r>
          </w:p>
        </w:tc>
        <w:tc>
          <w:tcPr>
            <w:tcW w:w="498" w:type="pct"/>
            <w:shd w:val="clear" w:color="auto" w:fill="auto"/>
            <w:noWrap/>
            <w:vAlign w:val="center"/>
            <w:hideMark/>
          </w:tcPr>
          <w:p w14:paraId="3CA6D1A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827</w:t>
            </w:r>
          </w:p>
        </w:tc>
        <w:tc>
          <w:tcPr>
            <w:tcW w:w="596" w:type="pct"/>
            <w:shd w:val="clear" w:color="auto" w:fill="auto"/>
            <w:vAlign w:val="center"/>
            <w:hideMark/>
          </w:tcPr>
          <w:p w14:paraId="66C5A472"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44</w:t>
            </w:r>
          </w:p>
        </w:tc>
        <w:tc>
          <w:tcPr>
            <w:tcW w:w="828" w:type="pct"/>
            <w:shd w:val="clear" w:color="auto" w:fill="auto"/>
            <w:vAlign w:val="center"/>
            <w:hideMark/>
          </w:tcPr>
          <w:p w14:paraId="47428CC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46</w:t>
            </w:r>
          </w:p>
        </w:tc>
        <w:tc>
          <w:tcPr>
            <w:tcW w:w="594" w:type="pct"/>
            <w:shd w:val="clear" w:color="auto" w:fill="auto"/>
            <w:vAlign w:val="center"/>
            <w:hideMark/>
          </w:tcPr>
          <w:p w14:paraId="5F1F35D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401</w:t>
            </w:r>
          </w:p>
        </w:tc>
        <w:tc>
          <w:tcPr>
            <w:tcW w:w="828" w:type="pct"/>
            <w:shd w:val="clear" w:color="auto" w:fill="auto"/>
            <w:vAlign w:val="center"/>
            <w:hideMark/>
          </w:tcPr>
          <w:p w14:paraId="4B62200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237</w:t>
            </w:r>
          </w:p>
        </w:tc>
        <w:tc>
          <w:tcPr>
            <w:tcW w:w="597" w:type="pct"/>
            <w:shd w:val="clear" w:color="auto" w:fill="auto"/>
            <w:vAlign w:val="center"/>
            <w:hideMark/>
          </w:tcPr>
          <w:p w14:paraId="0E735DA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44</w:t>
            </w:r>
          </w:p>
        </w:tc>
      </w:tr>
      <w:tr w:rsidR="007278D9" w:rsidRPr="007278D9" w14:paraId="0155B044" w14:textId="77777777" w:rsidTr="007278D9">
        <w:trPr>
          <w:trHeight w:val="300"/>
        </w:trPr>
        <w:tc>
          <w:tcPr>
            <w:tcW w:w="1059" w:type="pct"/>
            <w:shd w:val="clear" w:color="auto" w:fill="auto"/>
            <w:noWrap/>
            <w:vAlign w:val="center"/>
            <w:hideMark/>
          </w:tcPr>
          <w:p w14:paraId="503C654C"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Śląskie</w:t>
            </w:r>
          </w:p>
        </w:tc>
        <w:tc>
          <w:tcPr>
            <w:tcW w:w="498" w:type="pct"/>
            <w:shd w:val="clear" w:color="auto" w:fill="auto"/>
            <w:noWrap/>
            <w:vAlign w:val="center"/>
            <w:hideMark/>
          </w:tcPr>
          <w:p w14:paraId="3806FD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2 708</w:t>
            </w:r>
          </w:p>
        </w:tc>
        <w:tc>
          <w:tcPr>
            <w:tcW w:w="596" w:type="pct"/>
            <w:shd w:val="clear" w:color="auto" w:fill="auto"/>
            <w:vAlign w:val="center"/>
            <w:hideMark/>
          </w:tcPr>
          <w:p w14:paraId="7F2FA9D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113</w:t>
            </w:r>
          </w:p>
        </w:tc>
        <w:tc>
          <w:tcPr>
            <w:tcW w:w="828" w:type="pct"/>
            <w:shd w:val="clear" w:color="auto" w:fill="auto"/>
            <w:vAlign w:val="center"/>
            <w:hideMark/>
          </w:tcPr>
          <w:p w14:paraId="6293928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216</w:t>
            </w:r>
          </w:p>
        </w:tc>
        <w:tc>
          <w:tcPr>
            <w:tcW w:w="594" w:type="pct"/>
            <w:shd w:val="clear" w:color="auto" w:fill="auto"/>
            <w:vAlign w:val="center"/>
            <w:hideMark/>
          </w:tcPr>
          <w:p w14:paraId="5268C41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901</w:t>
            </w:r>
          </w:p>
        </w:tc>
        <w:tc>
          <w:tcPr>
            <w:tcW w:w="828" w:type="pct"/>
            <w:shd w:val="clear" w:color="auto" w:fill="auto"/>
            <w:vAlign w:val="center"/>
            <w:hideMark/>
          </w:tcPr>
          <w:p w14:paraId="1836B28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1 274</w:t>
            </w:r>
          </w:p>
        </w:tc>
        <w:tc>
          <w:tcPr>
            <w:tcW w:w="597" w:type="pct"/>
            <w:shd w:val="clear" w:color="auto" w:fill="auto"/>
            <w:vAlign w:val="center"/>
            <w:hideMark/>
          </w:tcPr>
          <w:p w14:paraId="056B52D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39</w:t>
            </w:r>
          </w:p>
        </w:tc>
      </w:tr>
      <w:tr w:rsidR="007278D9" w:rsidRPr="007278D9" w14:paraId="52909EE8" w14:textId="77777777" w:rsidTr="007278D9">
        <w:trPr>
          <w:trHeight w:val="300"/>
        </w:trPr>
        <w:tc>
          <w:tcPr>
            <w:tcW w:w="1059" w:type="pct"/>
            <w:shd w:val="clear" w:color="auto" w:fill="auto"/>
            <w:noWrap/>
            <w:vAlign w:val="center"/>
            <w:hideMark/>
          </w:tcPr>
          <w:p w14:paraId="4F57CFFB"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Świętokrzyskie</w:t>
            </w:r>
          </w:p>
        </w:tc>
        <w:tc>
          <w:tcPr>
            <w:tcW w:w="498" w:type="pct"/>
            <w:shd w:val="clear" w:color="auto" w:fill="auto"/>
            <w:noWrap/>
            <w:vAlign w:val="center"/>
            <w:hideMark/>
          </w:tcPr>
          <w:p w14:paraId="76D2C1A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1 163</w:t>
            </w:r>
          </w:p>
        </w:tc>
        <w:tc>
          <w:tcPr>
            <w:tcW w:w="596" w:type="pct"/>
            <w:shd w:val="clear" w:color="auto" w:fill="auto"/>
            <w:vAlign w:val="center"/>
            <w:hideMark/>
          </w:tcPr>
          <w:p w14:paraId="0E5AFC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w:t>
            </w:r>
          </w:p>
        </w:tc>
        <w:tc>
          <w:tcPr>
            <w:tcW w:w="828" w:type="pct"/>
            <w:shd w:val="clear" w:color="auto" w:fill="auto"/>
            <w:vAlign w:val="center"/>
            <w:hideMark/>
          </w:tcPr>
          <w:p w14:paraId="5398918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64</w:t>
            </w:r>
          </w:p>
        </w:tc>
        <w:tc>
          <w:tcPr>
            <w:tcW w:w="594" w:type="pct"/>
            <w:shd w:val="clear" w:color="auto" w:fill="auto"/>
            <w:vAlign w:val="center"/>
            <w:hideMark/>
          </w:tcPr>
          <w:p w14:paraId="1F12F69B"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107</w:t>
            </w:r>
          </w:p>
        </w:tc>
        <w:tc>
          <w:tcPr>
            <w:tcW w:w="828" w:type="pct"/>
            <w:shd w:val="clear" w:color="auto" w:fill="auto"/>
            <w:vAlign w:val="center"/>
            <w:hideMark/>
          </w:tcPr>
          <w:p w14:paraId="358B4BA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941</w:t>
            </w:r>
          </w:p>
        </w:tc>
        <w:tc>
          <w:tcPr>
            <w:tcW w:w="597" w:type="pct"/>
            <w:shd w:val="clear" w:color="auto" w:fill="auto"/>
            <w:vAlign w:val="center"/>
            <w:hideMark/>
          </w:tcPr>
          <w:p w14:paraId="3BE16FF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0</w:t>
            </w:r>
          </w:p>
        </w:tc>
      </w:tr>
      <w:tr w:rsidR="007278D9" w:rsidRPr="007278D9" w14:paraId="6BA67943" w14:textId="77777777" w:rsidTr="007278D9">
        <w:trPr>
          <w:trHeight w:val="300"/>
        </w:trPr>
        <w:tc>
          <w:tcPr>
            <w:tcW w:w="1059" w:type="pct"/>
            <w:shd w:val="clear" w:color="auto" w:fill="auto"/>
            <w:noWrap/>
            <w:vAlign w:val="center"/>
            <w:hideMark/>
          </w:tcPr>
          <w:p w14:paraId="112D1E20"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Warmińsko-mazurskie</w:t>
            </w:r>
          </w:p>
        </w:tc>
        <w:tc>
          <w:tcPr>
            <w:tcW w:w="498" w:type="pct"/>
            <w:shd w:val="clear" w:color="auto" w:fill="auto"/>
            <w:noWrap/>
            <w:vAlign w:val="center"/>
            <w:hideMark/>
          </w:tcPr>
          <w:p w14:paraId="0AE95E1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586</w:t>
            </w:r>
          </w:p>
        </w:tc>
        <w:tc>
          <w:tcPr>
            <w:tcW w:w="596" w:type="pct"/>
            <w:shd w:val="clear" w:color="auto" w:fill="auto"/>
            <w:vAlign w:val="center"/>
            <w:hideMark/>
          </w:tcPr>
          <w:p w14:paraId="35CA3446"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w:t>
            </w:r>
          </w:p>
        </w:tc>
        <w:tc>
          <w:tcPr>
            <w:tcW w:w="828" w:type="pct"/>
            <w:shd w:val="clear" w:color="auto" w:fill="auto"/>
            <w:vAlign w:val="center"/>
            <w:hideMark/>
          </w:tcPr>
          <w:p w14:paraId="29443E91"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w:t>
            </w:r>
          </w:p>
        </w:tc>
        <w:tc>
          <w:tcPr>
            <w:tcW w:w="594" w:type="pct"/>
            <w:shd w:val="clear" w:color="auto" w:fill="auto"/>
            <w:vAlign w:val="center"/>
            <w:hideMark/>
          </w:tcPr>
          <w:p w14:paraId="3A21120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234</w:t>
            </w:r>
          </w:p>
        </w:tc>
        <w:tc>
          <w:tcPr>
            <w:tcW w:w="828" w:type="pct"/>
            <w:shd w:val="clear" w:color="auto" w:fill="auto"/>
            <w:vAlign w:val="center"/>
            <w:hideMark/>
          </w:tcPr>
          <w:p w14:paraId="21BE3A3E"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207</w:t>
            </w:r>
          </w:p>
        </w:tc>
        <w:tc>
          <w:tcPr>
            <w:tcW w:w="597" w:type="pct"/>
            <w:shd w:val="clear" w:color="auto" w:fill="auto"/>
            <w:vAlign w:val="center"/>
            <w:hideMark/>
          </w:tcPr>
          <w:p w14:paraId="19CD14D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34</w:t>
            </w:r>
          </w:p>
        </w:tc>
      </w:tr>
      <w:tr w:rsidR="007278D9" w:rsidRPr="007278D9" w14:paraId="00643CB0" w14:textId="77777777" w:rsidTr="007278D9">
        <w:trPr>
          <w:trHeight w:val="300"/>
        </w:trPr>
        <w:tc>
          <w:tcPr>
            <w:tcW w:w="1059" w:type="pct"/>
            <w:shd w:val="clear" w:color="auto" w:fill="auto"/>
            <w:noWrap/>
            <w:vAlign w:val="center"/>
            <w:hideMark/>
          </w:tcPr>
          <w:p w14:paraId="6C86FFC4"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Wielkopolskie</w:t>
            </w:r>
          </w:p>
        </w:tc>
        <w:tc>
          <w:tcPr>
            <w:tcW w:w="498" w:type="pct"/>
            <w:shd w:val="clear" w:color="auto" w:fill="auto"/>
            <w:noWrap/>
            <w:vAlign w:val="center"/>
            <w:hideMark/>
          </w:tcPr>
          <w:p w14:paraId="120EE8E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1 615</w:t>
            </w:r>
          </w:p>
        </w:tc>
        <w:tc>
          <w:tcPr>
            <w:tcW w:w="596" w:type="pct"/>
            <w:shd w:val="clear" w:color="auto" w:fill="auto"/>
            <w:vAlign w:val="center"/>
            <w:hideMark/>
          </w:tcPr>
          <w:p w14:paraId="610ACD7F"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76</w:t>
            </w:r>
          </w:p>
        </w:tc>
        <w:tc>
          <w:tcPr>
            <w:tcW w:w="828" w:type="pct"/>
            <w:shd w:val="clear" w:color="auto" w:fill="auto"/>
            <w:vAlign w:val="center"/>
            <w:hideMark/>
          </w:tcPr>
          <w:p w14:paraId="767A759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93</w:t>
            </w:r>
          </w:p>
        </w:tc>
        <w:tc>
          <w:tcPr>
            <w:tcW w:w="594" w:type="pct"/>
            <w:shd w:val="clear" w:color="auto" w:fill="auto"/>
            <w:vAlign w:val="center"/>
            <w:hideMark/>
          </w:tcPr>
          <w:p w14:paraId="52FD6C95"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966</w:t>
            </w:r>
          </w:p>
        </w:tc>
        <w:tc>
          <w:tcPr>
            <w:tcW w:w="828" w:type="pct"/>
            <w:shd w:val="clear" w:color="auto" w:fill="auto"/>
            <w:vAlign w:val="center"/>
            <w:hideMark/>
          </w:tcPr>
          <w:p w14:paraId="5F3B646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390</w:t>
            </w:r>
          </w:p>
        </w:tc>
        <w:tc>
          <w:tcPr>
            <w:tcW w:w="597" w:type="pct"/>
            <w:shd w:val="clear" w:color="auto" w:fill="auto"/>
            <w:vAlign w:val="center"/>
            <w:hideMark/>
          </w:tcPr>
          <w:p w14:paraId="04886A57"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41</w:t>
            </w:r>
          </w:p>
        </w:tc>
      </w:tr>
      <w:tr w:rsidR="007278D9" w:rsidRPr="007278D9" w14:paraId="7CB29D22" w14:textId="77777777" w:rsidTr="007278D9">
        <w:trPr>
          <w:trHeight w:val="300"/>
        </w:trPr>
        <w:tc>
          <w:tcPr>
            <w:tcW w:w="1059" w:type="pct"/>
            <w:shd w:val="clear" w:color="auto" w:fill="auto"/>
            <w:noWrap/>
            <w:vAlign w:val="center"/>
            <w:hideMark/>
          </w:tcPr>
          <w:p w14:paraId="2078DE71" w14:textId="77777777" w:rsidR="007278D9" w:rsidRPr="0019609D" w:rsidRDefault="007278D9" w:rsidP="007278D9">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Zachodniopomorskie</w:t>
            </w:r>
          </w:p>
        </w:tc>
        <w:tc>
          <w:tcPr>
            <w:tcW w:w="498" w:type="pct"/>
            <w:shd w:val="clear" w:color="auto" w:fill="auto"/>
            <w:noWrap/>
            <w:vAlign w:val="center"/>
            <w:hideMark/>
          </w:tcPr>
          <w:p w14:paraId="57FA58DC"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420</w:t>
            </w:r>
          </w:p>
        </w:tc>
        <w:tc>
          <w:tcPr>
            <w:tcW w:w="596" w:type="pct"/>
            <w:shd w:val="clear" w:color="auto" w:fill="auto"/>
            <w:vAlign w:val="center"/>
            <w:hideMark/>
          </w:tcPr>
          <w:p w14:paraId="3A2FE6E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w:t>
            </w:r>
          </w:p>
        </w:tc>
        <w:tc>
          <w:tcPr>
            <w:tcW w:w="828" w:type="pct"/>
            <w:shd w:val="clear" w:color="auto" w:fill="auto"/>
            <w:vAlign w:val="center"/>
            <w:hideMark/>
          </w:tcPr>
          <w:p w14:paraId="5ABA3D34"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w:t>
            </w:r>
          </w:p>
        </w:tc>
        <w:tc>
          <w:tcPr>
            <w:tcW w:w="594" w:type="pct"/>
            <w:shd w:val="clear" w:color="auto" w:fill="auto"/>
            <w:vAlign w:val="center"/>
            <w:hideMark/>
          </w:tcPr>
          <w:p w14:paraId="35CAD573"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77</w:t>
            </w:r>
          </w:p>
        </w:tc>
        <w:tc>
          <w:tcPr>
            <w:tcW w:w="828" w:type="pct"/>
            <w:shd w:val="clear" w:color="auto" w:fill="auto"/>
            <w:vAlign w:val="center"/>
            <w:hideMark/>
          </w:tcPr>
          <w:p w14:paraId="416B6349"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280</w:t>
            </w:r>
          </w:p>
        </w:tc>
        <w:tc>
          <w:tcPr>
            <w:tcW w:w="597" w:type="pct"/>
            <w:shd w:val="clear" w:color="auto" w:fill="auto"/>
            <w:vAlign w:val="center"/>
            <w:hideMark/>
          </w:tcPr>
          <w:p w14:paraId="4FCCBE70" w14:textId="77777777" w:rsidR="007278D9" w:rsidRPr="0019609D" w:rsidRDefault="007278D9" w:rsidP="007278D9">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w:t>
            </w:r>
          </w:p>
        </w:tc>
      </w:tr>
    </w:tbl>
    <w:p w14:paraId="7B4C29F5" w14:textId="6F0CF09E" w:rsidR="007278D9" w:rsidRPr="004F5101" w:rsidRDefault="007278D9" w:rsidP="004F5101">
      <w:pPr>
        <w:spacing w:after="0" w:line="240" w:lineRule="auto"/>
        <w:rPr>
          <w:rFonts w:ascii="Lato" w:hAnsi="Lato"/>
          <w:sz w:val="16"/>
          <w:szCs w:val="16"/>
        </w:rPr>
      </w:pPr>
      <w:r w:rsidRPr="004F5101">
        <w:rPr>
          <w:rFonts w:ascii="Lato" w:hAnsi="Lato"/>
          <w:sz w:val="16"/>
          <w:szCs w:val="16"/>
        </w:rPr>
        <w:t>Stan w dniu 31 XII</w:t>
      </w:r>
    </w:p>
    <w:p w14:paraId="716EC2B8" w14:textId="5DC77243" w:rsidR="007278D9" w:rsidRPr="004F5101" w:rsidRDefault="007278D9" w:rsidP="004F5101">
      <w:pPr>
        <w:spacing w:after="0" w:line="240" w:lineRule="auto"/>
        <w:rPr>
          <w:rFonts w:ascii="Lato" w:hAnsi="Lato"/>
          <w:sz w:val="16"/>
          <w:szCs w:val="16"/>
        </w:rPr>
      </w:pPr>
      <w:r w:rsidRPr="004F5101">
        <w:rPr>
          <w:rFonts w:ascii="Lato" w:hAnsi="Lato"/>
          <w:sz w:val="16"/>
          <w:szCs w:val="16"/>
        </w:rPr>
        <w:t>Źródło:  Badanie GUS (sprawozdanie K-07)</w:t>
      </w:r>
    </w:p>
    <w:p w14:paraId="53A2E0F9" w14:textId="77777777" w:rsidR="007C3F9B" w:rsidRPr="007278D9" w:rsidRDefault="007C3F9B" w:rsidP="007278D9">
      <w:pPr>
        <w:spacing w:after="0"/>
        <w:rPr>
          <w:rFonts w:ascii="Lato" w:hAnsi="Lato"/>
          <w:sz w:val="18"/>
          <w:szCs w:val="18"/>
        </w:rPr>
      </w:pPr>
    </w:p>
    <w:p w14:paraId="7FA4B7AD" w14:textId="24847A6A" w:rsidR="007B07C8" w:rsidRPr="00C111D2" w:rsidRDefault="00D8384B" w:rsidP="00C111D2">
      <w:pPr>
        <w:spacing w:after="0" w:line="240" w:lineRule="auto"/>
        <w:rPr>
          <w:rFonts w:ascii="Lato" w:hAnsi="Lato"/>
          <w:b/>
          <w:bCs/>
          <w:sz w:val="20"/>
          <w:szCs w:val="20"/>
        </w:rPr>
      </w:pPr>
      <w:r w:rsidRPr="00C111D2">
        <w:rPr>
          <w:rFonts w:ascii="Lato" w:hAnsi="Lato"/>
          <w:b/>
          <w:bCs/>
          <w:sz w:val="20"/>
          <w:szCs w:val="20"/>
        </w:rPr>
        <w:t>Gminne rady seniorów</w:t>
      </w:r>
    </w:p>
    <w:p w14:paraId="2DD44C4C" w14:textId="09AE763D" w:rsidR="004A07EE" w:rsidRPr="004A07EE" w:rsidRDefault="004A07EE" w:rsidP="004F5101">
      <w:pPr>
        <w:autoSpaceDE w:val="0"/>
        <w:autoSpaceDN w:val="0"/>
        <w:adjustRightInd w:val="0"/>
        <w:spacing w:after="0" w:line="240" w:lineRule="auto"/>
        <w:jc w:val="both"/>
        <w:rPr>
          <w:rFonts w:ascii="Lato" w:hAnsi="Lato" w:cs="TimesNewRomanPSMT"/>
          <w:sz w:val="20"/>
          <w:szCs w:val="20"/>
        </w:rPr>
      </w:pPr>
      <w:r w:rsidRPr="004A07EE">
        <w:rPr>
          <w:rFonts w:ascii="Lato" w:hAnsi="Lato" w:cs="TimesNewRomanPSMT"/>
          <w:sz w:val="20"/>
          <w:szCs w:val="20"/>
        </w:rPr>
        <w:t>Gminne rady seniorów są podmiotami o charakterze konsultacyjnym, doradczym</w:t>
      </w:r>
      <w:r>
        <w:rPr>
          <w:rFonts w:ascii="Lato" w:hAnsi="Lato" w:cs="TimesNewRomanPSMT"/>
          <w:sz w:val="20"/>
          <w:szCs w:val="20"/>
        </w:rPr>
        <w:t xml:space="preserve"> </w:t>
      </w:r>
      <w:r w:rsidRPr="004A07EE">
        <w:rPr>
          <w:rFonts w:ascii="Lato" w:hAnsi="Lato" w:cs="Times New Roman"/>
          <w:sz w:val="20"/>
          <w:szCs w:val="20"/>
        </w:rPr>
        <w:t xml:space="preserve">i </w:t>
      </w:r>
      <w:r w:rsidRPr="004A07EE">
        <w:rPr>
          <w:rFonts w:ascii="Lato" w:hAnsi="Lato" w:cs="TimesNewRomanPSMT"/>
          <w:sz w:val="20"/>
          <w:szCs w:val="20"/>
        </w:rPr>
        <w:t>inicjatywnym. Głównym celem ich działania jest integracja, wspieranie i reprezentowanie</w:t>
      </w:r>
      <w:r>
        <w:rPr>
          <w:rFonts w:ascii="Lato" w:hAnsi="Lato" w:cs="TimesNewRomanPSMT"/>
          <w:sz w:val="20"/>
          <w:szCs w:val="20"/>
        </w:rPr>
        <w:t xml:space="preserve"> </w:t>
      </w:r>
      <w:r w:rsidRPr="004A07EE">
        <w:rPr>
          <w:rFonts w:ascii="Lato" w:hAnsi="Lato" w:cs="TimesNewRomanPSMT"/>
          <w:sz w:val="20"/>
          <w:szCs w:val="20"/>
        </w:rPr>
        <w:t>środowisk seniorów poprzez współpracę z władzami gminy, przedstawianie propozycji zadań</w:t>
      </w:r>
      <w:r>
        <w:rPr>
          <w:rFonts w:ascii="Lato" w:hAnsi="Lato" w:cs="TimesNewRomanPSMT"/>
          <w:sz w:val="20"/>
          <w:szCs w:val="20"/>
        </w:rPr>
        <w:t xml:space="preserve"> </w:t>
      </w:r>
      <w:r w:rsidRPr="004A07EE">
        <w:rPr>
          <w:rFonts w:ascii="Lato" w:hAnsi="Lato" w:cs="Times New Roman"/>
          <w:sz w:val="20"/>
          <w:szCs w:val="20"/>
        </w:rPr>
        <w:t>i d</w:t>
      </w:r>
      <w:r w:rsidRPr="004A07EE">
        <w:rPr>
          <w:rFonts w:ascii="Lato" w:hAnsi="Lato" w:cs="TimesNewRomanPSMT"/>
          <w:sz w:val="20"/>
          <w:szCs w:val="20"/>
        </w:rPr>
        <w:t>ziałań na rzecz seniorów, wydawanie opinii i formułowanie wniosków służących rozwojowi</w:t>
      </w:r>
      <w:r>
        <w:rPr>
          <w:rFonts w:ascii="Lato" w:hAnsi="Lato" w:cs="TimesNewRomanPSMT"/>
          <w:sz w:val="20"/>
          <w:szCs w:val="20"/>
        </w:rPr>
        <w:t xml:space="preserve"> </w:t>
      </w:r>
      <w:r w:rsidRPr="004A07EE">
        <w:rPr>
          <w:rFonts w:ascii="Lato" w:hAnsi="Lato" w:cs="TimesNewRomanPSMT"/>
          <w:sz w:val="20"/>
          <w:szCs w:val="20"/>
        </w:rPr>
        <w:t>działalności samorządu terytorialnego na rzecz seniorów, zgłaszanie uwag do aktów prawa miejscowego, wspieranie wszelkich form aktywności seniorów, działania na rzecz um</w:t>
      </w:r>
      <w:r w:rsidRPr="004A07EE">
        <w:rPr>
          <w:rFonts w:ascii="Lato" w:hAnsi="Lato" w:cs="Times New Roman"/>
          <w:sz w:val="20"/>
          <w:szCs w:val="20"/>
        </w:rPr>
        <w:t>acniania</w:t>
      </w:r>
      <w:r>
        <w:rPr>
          <w:rFonts w:ascii="Lato" w:hAnsi="Lato" w:cs="TimesNewRomanPSMT"/>
          <w:sz w:val="20"/>
          <w:szCs w:val="20"/>
        </w:rPr>
        <w:t xml:space="preserve"> </w:t>
      </w:r>
      <w:r w:rsidRPr="004A07EE">
        <w:rPr>
          <w:rFonts w:ascii="Lato" w:hAnsi="Lato" w:cs="TimesNewRomanPSMT"/>
          <w:sz w:val="20"/>
          <w:szCs w:val="20"/>
        </w:rPr>
        <w:t xml:space="preserve">międzypokoleniowych więzi społecznych oraz upowszechnianie </w:t>
      </w:r>
      <w:r w:rsidRPr="004A07EE">
        <w:rPr>
          <w:rFonts w:ascii="Lato" w:hAnsi="Lato" w:cs="TimesNewRomanPSMT"/>
          <w:sz w:val="20"/>
          <w:szCs w:val="20"/>
        </w:rPr>
        <w:lastRenderedPageBreak/>
        <w:t>wiedzy o potrzebach, prawach</w:t>
      </w:r>
      <w:r>
        <w:rPr>
          <w:rFonts w:ascii="Lato" w:hAnsi="Lato" w:cs="TimesNewRomanPSMT"/>
          <w:sz w:val="20"/>
          <w:szCs w:val="20"/>
        </w:rPr>
        <w:t xml:space="preserve"> </w:t>
      </w:r>
      <w:r w:rsidRPr="004A07EE">
        <w:rPr>
          <w:rFonts w:ascii="Lato" w:hAnsi="Lato" w:cs="TimesNewRomanPSMT"/>
          <w:sz w:val="20"/>
          <w:szCs w:val="20"/>
        </w:rPr>
        <w:t>i możliwościach osób starszych. Członkowie gminnych rad seniorów pełnią swoje funkcje</w:t>
      </w:r>
      <w:r>
        <w:rPr>
          <w:rFonts w:ascii="Lato" w:hAnsi="Lato" w:cs="TimesNewRomanPSMT"/>
          <w:sz w:val="20"/>
          <w:szCs w:val="20"/>
        </w:rPr>
        <w:t xml:space="preserve"> </w:t>
      </w:r>
      <w:r w:rsidRPr="004A07EE">
        <w:rPr>
          <w:rFonts w:ascii="Lato" w:hAnsi="Lato" w:cs="TimesNewRomanPSMT"/>
          <w:sz w:val="20"/>
          <w:szCs w:val="20"/>
        </w:rPr>
        <w:t xml:space="preserve">społecznie. Rada seniorów powoływana są przez radę gmina, która </w:t>
      </w:r>
      <w:r w:rsidRPr="004A07EE">
        <w:rPr>
          <w:rFonts w:ascii="Lato" w:hAnsi="Lato" w:cs="Times New Roman"/>
          <w:sz w:val="20"/>
          <w:szCs w:val="20"/>
        </w:rPr>
        <w:t xml:space="preserve">nadaje jej statut </w:t>
      </w:r>
      <w:r w:rsidRPr="004A07EE">
        <w:rPr>
          <w:rFonts w:ascii="Lato" w:hAnsi="Lato" w:cs="TimesNewRomanPSMT"/>
          <w:sz w:val="20"/>
          <w:szCs w:val="20"/>
        </w:rPr>
        <w:t>określając</w:t>
      </w:r>
      <w:r>
        <w:rPr>
          <w:rFonts w:ascii="Lato" w:hAnsi="Lato" w:cs="TimesNewRomanPSMT"/>
          <w:sz w:val="20"/>
          <w:szCs w:val="20"/>
        </w:rPr>
        <w:t xml:space="preserve"> </w:t>
      </w:r>
      <w:r w:rsidRPr="004A07EE">
        <w:rPr>
          <w:rFonts w:ascii="Lato" w:hAnsi="Lato" w:cs="Times New Roman"/>
          <w:sz w:val="20"/>
          <w:szCs w:val="20"/>
        </w:rPr>
        <w:t>w nim m.in. tryb wyboru je</w:t>
      </w:r>
      <w:r w:rsidRPr="004A07EE">
        <w:rPr>
          <w:rFonts w:ascii="Lato" w:hAnsi="Lato" w:cs="TimesNewRomanPSMT"/>
          <w:sz w:val="20"/>
          <w:szCs w:val="20"/>
        </w:rPr>
        <w:t>j członków i zasady działania oraz dążąc do wykorzystania</w:t>
      </w:r>
      <w:r>
        <w:rPr>
          <w:rFonts w:ascii="Lato" w:hAnsi="Lato" w:cs="TimesNewRomanPSMT"/>
          <w:sz w:val="20"/>
          <w:szCs w:val="20"/>
        </w:rPr>
        <w:t xml:space="preserve"> </w:t>
      </w:r>
      <w:r w:rsidRPr="004A07EE">
        <w:rPr>
          <w:rFonts w:ascii="Lato" w:hAnsi="Lato" w:cs="TimesNewRomanPSMT"/>
          <w:sz w:val="20"/>
          <w:szCs w:val="20"/>
        </w:rPr>
        <w:t>potencjału działających organizacji osób starszych oraz podmiotów działających na rzecz osób</w:t>
      </w:r>
      <w:r>
        <w:rPr>
          <w:rFonts w:ascii="Lato" w:hAnsi="Lato" w:cs="TimesNewRomanPSMT"/>
          <w:sz w:val="20"/>
          <w:szCs w:val="20"/>
        </w:rPr>
        <w:t xml:space="preserve"> </w:t>
      </w:r>
      <w:r w:rsidRPr="004A07EE">
        <w:rPr>
          <w:rFonts w:ascii="Lato" w:hAnsi="Lato" w:cs="TimesNewRomanPSMT"/>
          <w:sz w:val="20"/>
          <w:szCs w:val="20"/>
        </w:rPr>
        <w:t>starszych, a także</w:t>
      </w:r>
      <w:r>
        <w:rPr>
          <w:rFonts w:ascii="Lato" w:hAnsi="Lato" w:cs="TimesNewRomanPSMT"/>
          <w:sz w:val="20"/>
          <w:szCs w:val="20"/>
        </w:rPr>
        <w:t xml:space="preserve"> </w:t>
      </w:r>
      <w:r w:rsidRPr="004A07EE">
        <w:rPr>
          <w:rFonts w:ascii="Lato" w:hAnsi="Lato" w:cs="TimesNewRomanPSMT"/>
          <w:sz w:val="20"/>
          <w:szCs w:val="20"/>
        </w:rPr>
        <w:t>zapewnienia sprawnego sposobu wyboru członków gminnej rady seniorów.</w:t>
      </w:r>
      <w:r>
        <w:rPr>
          <w:rFonts w:ascii="Lato" w:hAnsi="Lato" w:cs="TimesNewRomanPSMT"/>
          <w:sz w:val="20"/>
          <w:szCs w:val="20"/>
        </w:rPr>
        <w:t xml:space="preserve"> </w:t>
      </w:r>
      <w:r w:rsidRPr="004A07EE">
        <w:rPr>
          <w:rFonts w:ascii="Lato" w:hAnsi="Lato" w:cs="TimesNewRomanPSMT"/>
          <w:sz w:val="20"/>
          <w:szCs w:val="20"/>
        </w:rPr>
        <w:t>Z danych Ministerstwa Administracji i Spraw Wewnętrznych wynika, że pod koniec 202</w:t>
      </w:r>
      <w:r>
        <w:rPr>
          <w:rFonts w:ascii="Lato" w:hAnsi="Lato" w:cs="TimesNewRomanPSMT"/>
          <w:sz w:val="20"/>
          <w:szCs w:val="20"/>
        </w:rPr>
        <w:t>2</w:t>
      </w:r>
      <w:r w:rsidRPr="004A07EE">
        <w:rPr>
          <w:rFonts w:ascii="Lato" w:hAnsi="Lato" w:cs="TimesNewRomanPSMT"/>
          <w:sz w:val="20"/>
          <w:szCs w:val="20"/>
        </w:rPr>
        <w:t xml:space="preserve"> r.</w:t>
      </w:r>
      <w:r>
        <w:rPr>
          <w:rFonts w:ascii="Lato" w:hAnsi="Lato" w:cs="TimesNewRomanPSMT"/>
          <w:sz w:val="20"/>
          <w:szCs w:val="20"/>
        </w:rPr>
        <w:t xml:space="preserve"> </w:t>
      </w:r>
      <w:r w:rsidRPr="004A07EE">
        <w:rPr>
          <w:rFonts w:ascii="Lato" w:hAnsi="Lato" w:cs="TimesNewRomanPSMT"/>
          <w:sz w:val="20"/>
          <w:szCs w:val="20"/>
        </w:rPr>
        <w:t>gminne rady seniorów działały w ponad 1</w:t>
      </w:r>
      <w:r>
        <w:rPr>
          <w:rFonts w:ascii="Lato" w:hAnsi="Lato" w:cs="TimesNewRomanPSMT"/>
          <w:sz w:val="20"/>
          <w:szCs w:val="20"/>
        </w:rPr>
        <w:t>8</w:t>
      </w:r>
      <w:r w:rsidRPr="004A07EE">
        <w:rPr>
          <w:rFonts w:ascii="Lato" w:hAnsi="Lato" w:cs="TimesNewRomanPSMT"/>
          <w:sz w:val="20"/>
          <w:szCs w:val="20"/>
        </w:rPr>
        <w:t>% gmin w Polsce. Szczegółowe informacje</w:t>
      </w:r>
      <w:r>
        <w:rPr>
          <w:rFonts w:ascii="Lato" w:hAnsi="Lato" w:cs="TimesNewRomanPSMT"/>
          <w:sz w:val="20"/>
          <w:szCs w:val="20"/>
        </w:rPr>
        <w:t xml:space="preserve"> </w:t>
      </w:r>
      <w:r w:rsidRPr="004A07EE">
        <w:rPr>
          <w:rFonts w:ascii="Lato" w:hAnsi="Lato" w:cs="TimesNewRomanPSMT"/>
          <w:sz w:val="20"/>
          <w:szCs w:val="20"/>
        </w:rPr>
        <w:t>przedstawia poniższa tabela.</w:t>
      </w:r>
    </w:p>
    <w:p w14:paraId="5B0F67AE" w14:textId="77777777" w:rsidR="00D8384B" w:rsidRPr="00C111D2" w:rsidRDefault="00D8384B" w:rsidP="00003E46">
      <w:pPr>
        <w:spacing w:after="0" w:line="240" w:lineRule="auto"/>
        <w:rPr>
          <w:rFonts w:ascii="Lato" w:hAnsi="Lato"/>
          <w:b/>
          <w:sz w:val="20"/>
          <w:szCs w:val="20"/>
        </w:rPr>
      </w:pPr>
    </w:p>
    <w:p w14:paraId="33499FE0" w14:textId="6400E7C9" w:rsidR="00003E46" w:rsidRPr="00003E46" w:rsidRDefault="00DB632F" w:rsidP="00003E46">
      <w:pPr>
        <w:pStyle w:val="Legenda"/>
        <w:keepNext/>
      </w:pPr>
      <w:bookmarkStart w:id="34" w:name="_Toc142565994"/>
      <w:r>
        <w:t xml:space="preserve">Tabela </w:t>
      </w:r>
      <w:fldSimple w:instr=" SEQ Tabela \* ARABIC ">
        <w:r w:rsidR="00AA385B">
          <w:rPr>
            <w:noProof/>
          </w:rPr>
          <w:t>29</w:t>
        </w:r>
      </w:fldSimple>
      <w:r>
        <w:t xml:space="preserve"> Liczba gmin w poszczególnych województwach, w których funkcjonują gminne rady seniorów powołane zgodnie z art. 5c ustawy o samorządzie gminnym (dane przekazane przez wojewodów)</w:t>
      </w:r>
      <w:bookmarkEnd w:id="34"/>
    </w:p>
    <w:tbl>
      <w:tblPr>
        <w:tblStyle w:val="Tabela-Siatka"/>
        <w:tblW w:w="0" w:type="auto"/>
        <w:tblLook w:val="04A0" w:firstRow="1" w:lastRow="0" w:firstColumn="1" w:lastColumn="0" w:noHBand="0" w:noVBand="1"/>
      </w:tblPr>
      <w:tblGrid>
        <w:gridCol w:w="485"/>
        <w:gridCol w:w="2211"/>
        <w:gridCol w:w="848"/>
        <w:gridCol w:w="788"/>
        <w:gridCol w:w="788"/>
        <w:gridCol w:w="788"/>
        <w:gridCol w:w="788"/>
        <w:gridCol w:w="788"/>
        <w:gridCol w:w="789"/>
        <w:gridCol w:w="789"/>
      </w:tblGrid>
      <w:tr w:rsidR="00003E46" w:rsidRPr="0019609D" w14:paraId="0CABEC37" w14:textId="77777777" w:rsidTr="0019609D">
        <w:tc>
          <w:tcPr>
            <w:tcW w:w="474" w:type="dxa"/>
            <w:shd w:val="clear" w:color="auto" w:fill="8EAADB" w:themeFill="accent1" w:themeFillTint="99"/>
          </w:tcPr>
          <w:p w14:paraId="742D7760" w14:textId="77777777" w:rsidR="00003E46" w:rsidRPr="0019609D" w:rsidRDefault="00003E46" w:rsidP="00BD02D7">
            <w:pPr>
              <w:rPr>
                <w:rFonts w:ascii="Lato" w:hAnsi="Lato"/>
                <w:sz w:val="18"/>
                <w:szCs w:val="18"/>
              </w:rPr>
            </w:pPr>
            <w:r w:rsidRPr="0019609D">
              <w:rPr>
                <w:rFonts w:ascii="Lato" w:hAnsi="Lato"/>
                <w:sz w:val="18"/>
                <w:szCs w:val="18"/>
              </w:rPr>
              <w:t>L.p.</w:t>
            </w:r>
          </w:p>
        </w:tc>
        <w:tc>
          <w:tcPr>
            <w:tcW w:w="2215" w:type="dxa"/>
            <w:shd w:val="clear" w:color="auto" w:fill="8EAADB" w:themeFill="accent1" w:themeFillTint="99"/>
          </w:tcPr>
          <w:p w14:paraId="0F49A520" w14:textId="77777777" w:rsidR="00003E46" w:rsidRPr="0019609D" w:rsidRDefault="00003E46" w:rsidP="00BD02D7">
            <w:pPr>
              <w:rPr>
                <w:rFonts w:ascii="Lato" w:hAnsi="Lato"/>
                <w:sz w:val="18"/>
                <w:szCs w:val="18"/>
              </w:rPr>
            </w:pPr>
            <w:r w:rsidRPr="0019609D">
              <w:rPr>
                <w:rFonts w:ascii="Lato" w:hAnsi="Lato"/>
                <w:sz w:val="18"/>
                <w:szCs w:val="18"/>
              </w:rPr>
              <w:t>Województwo</w:t>
            </w:r>
          </w:p>
        </w:tc>
        <w:tc>
          <w:tcPr>
            <w:tcW w:w="848" w:type="dxa"/>
            <w:shd w:val="clear" w:color="auto" w:fill="8EAADB" w:themeFill="accent1" w:themeFillTint="99"/>
          </w:tcPr>
          <w:p w14:paraId="17506ADC" w14:textId="77777777" w:rsidR="00003E46" w:rsidRPr="0019609D" w:rsidRDefault="00003E46" w:rsidP="00BD02D7">
            <w:pPr>
              <w:rPr>
                <w:rFonts w:ascii="Lato" w:hAnsi="Lato"/>
                <w:bCs/>
                <w:sz w:val="18"/>
                <w:szCs w:val="18"/>
              </w:rPr>
            </w:pPr>
            <w:r w:rsidRPr="0019609D">
              <w:rPr>
                <w:rFonts w:ascii="Lato" w:hAnsi="Lato"/>
                <w:bCs/>
                <w:sz w:val="18"/>
                <w:szCs w:val="18"/>
              </w:rPr>
              <w:t>Liczba ogółem stan na 31.12. 2022 r.</w:t>
            </w:r>
          </w:p>
        </w:tc>
        <w:tc>
          <w:tcPr>
            <w:tcW w:w="789" w:type="dxa"/>
            <w:shd w:val="clear" w:color="auto" w:fill="8EAADB" w:themeFill="accent1" w:themeFillTint="99"/>
          </w:tcPr>
          <w:p w14:paraId="0320302D" w14:textId="77777777" w:rsidR="00003E46" w:rsidRPr="0019609D" w:rsidRDefault="00003E46" w:rsidP="00BD02D7">
            <w:pPr>
              <w:rPr>
                <w:rFonts w:ascii="Lato" w:hAnsi="Lato"/>
                <w:sz w:val="18"/>
                <w:szCs w:val="18"/>
              </w:rPr>
            </w:pPr>
            <w:r w:rsidRPr="0019609D">
              <w:rPr>
                <w:rFonts w:ascii="Lato" w:hAnsi="Lato"/>
                <w:bCs/>
                <w:sz w:val="18"/>
                <w:szCs w:val="18"/>
              </w:rPr>
              <w:t>stan na 31.12. 2016 r.</w:t>
            </w:r>
          </w:p>
        </w:tc>
        <w:tc>
          <w:tcPr>
            <w:tcW w:w="789" w:type="dxa"/>
            <w:shd w:val="clear" w:color="auto" w:fill="8EAADB" w:themeFill="accent1" w:themeFillTint="99"/>
          </w:tcPr>
          <w:p w14:paraId="04E4CEF2" w14:textId="77777777" w:rsidR="00003E46" w:rsidRPr="0019609D" w:rsidRDefault="00003E46" w:rsidP="00BD02D7">
            <w:pPr>
              <w:rPr>
                <w:rFonts w:ascii="Lato" w:hAnsi="Lato"/>
                <w:sz w:val="18"/>
                <w:szCs w:val="18"/>
              </w:rPr>
            </w:pPr>
            <w:r w:rsidRPr="0019609D">
              <w:rPr>
                <w:rFonts w:ascii="Lato" w:hAnsi="Lato"/>
                <w:bCs/>
                <w:sz w:val="18"/>
                <w:szCs w:val="18"/>
              </w:rPr>
              <w:t>stan na 31.12. 2017 r.</w:t>
            </w:r>
          </w:p>
        </w:tc>
        <w:tc>
          <w:tcPr>
            <w:tcW w:w="789" w:type="dxa"/>
            <w:shd w:val="clear" w:color="auto" w:fill="8EAADB" w:themeFill="accent1" w:themeFillTint="99"/>
          </w:tcPr>
          <w:p w14:paraId="58E3CDEA" w14:textId="77777777" w:rsidR="00003E46" w:rsidRPr="0019609D" w:rsidRDefault="00003E46" w:rsidP="00BD02D7">
            <w:pPr>
              <w:rPr>
                <w:rFonts w:ascii="Lato" w:hAnsi="Lato"/>
                <w:sz w:val="18"/>
                <w:szCs w:val="18"/>
              </w:rPr>
            </w:pPr>
            <w:r w:rsidRPr="0019609D">
              <w:rPr>
                <w:rFonts w:ascii="Lato" w:hAnsi="Lato"/>
                <w:bCs/>
                <w:sz w:val="18"/>
                <w:szCs w:val="18"/>
              </w:rPr>
              <w:t>stan na 31.12. 2018 r.</w:t>
            </w:r>
          </w:p>
        </w:tc>
        <w:tc>
          <w:tcPr>
            <w:tcW w:w="789" w:type="dxa"/>
            <w:shd w:val="clear" w:color="auto" w:fill="8EAADB" w:themeFill="accent1" w:themeFillTint="99"/>
          </w:tcPr>
          <w:p w14:paraId="365F7D17" w14:textId="77777777" w:rsidR="00003E46" w:rsidRPr="0019609D" w:rsidRDefault="00003E46" w:rsidP="00BD02D7">
            <w:pPr>
              <w:rPr>
                <w:rFonts w:ascii="Lato" w:hAnsi="Lato"/>
                <w:sz w:val="18"/>
                <w:szCs w:val="18"/>
              </w:rPr>
            </w:pPr>
            <w:r w:rsidRPr="0019609D">
              <w:rPr>
                <w:rFonts w:ascii="Lato" w:hAnsi="Lato"/>
                <w:bCs/>
                <w:sz w:val="18"/>
                <w:szCs w:val="18"/>
              </w:rPr>
              <w:t>stan na 31.12. 2019 r.</w:t>
            </w:r>
          </w:p>
        </w:tc>
        <w:tc>
          <w:tcPr>
            <w:tcW w:w="789" w:type="dxa"/>
            <w:shd w:val="clear" w:color="auto" w:fill="8EAADB" w:themeFill="accent1" w:themeFillTint="99"/>
          </w:tcPr>
          <w:p w14:paraId="084EA5EA" w14:textId="77777777" w:rsidR="00003E46" w:rsidRPr="0019609D" w:rsidRDefault="00003E46" w:rsidP="00BD02D7">
            <w:pPr>
              <w:rPr>
                <w:rFonts w:ascii="Lato" w:hAnsi="Lato"/>
                <w:sz w:val="18"/>
                <w:szCs w:val="18"/>
              </w:rPr>
            </w:pPr>
            <w:r w:rsidRPr="0019609D">
              <w:rPr>
                <w:rFonts w:ascii="Lato" w:hAnsi="Lato"/>
                <w:bCs/>
                <w:sz w:val="18"/>
                <w:szCs w:val="18"/>
              </w:rPr>
              <w:t>stan na 31.12. 2020 r.</w:t>
            </w:r>
          </w:p>
        </w:tc>
        <w:tc>
          <w:tcPr>
            <w:tcW w:w="790" w:type="dxa"/>
            <w:shd w:val="clear" w:color="auto" w:fill="8EAADB" w:themeFill="accent1" w:themeFillTint="99"/>
          </w:tcPr>
          <w:p w14:paraId="4C3FAB38" w14:textId="77777777" w:rsidR="00003E46" w:rsidRPr="0019609D" w:rsidRDefault="00003E46" w:rsidP="00BD02D7">
            <w:pPr>
              <w:rPr>
                <w:rFonts w:ascii="Lato" w:hAnsi="Lato"/>
                <w:sz w:val="18"/>
                <w:szCs w:val="18"/>
              </w:rPr>
            </w:pPr>
            <w:r w:rsidRPr="0019609D">
              <w:rPr>
                <w:rFonts w:ascii="Lato" w:hAnsi="Lato"/>
                <w:bCs/>
                <w:sz w:val="18"/>
                <w:szCs w:val="18"/>
              </w:rPr>
              <w:t>stan na 31.12. 2021 r.</w:t>
            </w:r>
          </w:p>
        </w:tc>
        <w:tc>
          <w:tcPr>
            <w:tcW w:w="790" w:type="dxa"/>
            <w:shd w:val="clear" w:color="auto" w:fill="8EAADB" w:themeFill="accent1" w:themeFillTint="99"/>
          </w:tcPr>
          <w:p w14:paraId="41985970" w14:textId="77777777" w:rsidR="00003E46" w:rsidRPr="0019609D" w:rsidRDefault="00003E46" w:rsidP="00BD02D7">
            <w:pPr>
              <w:rPr>
                <w:rFonts w:ascii="Lato" w:hAnsi="Lato"/>
                <w:sz w:val="18"/>
                <w:szCs w:val="18"/>
              </w:rPr>
            </w:pPr>
            <w:r w:rsidRPr="0019609D">
              <w:rPr>
                <w:rFonts w:ascii="Lato" w:hAnsi="Lato"/>
                <w:bCs/>
                <w:sz w:val="18"/>
                <w:szCs w:val="18"/>
              </w:rPr>
              <w:t>stan na 31.12. 2022 r.</w:t>
            </w:r>
          </w:p>
        </w:tc>
      </w:tr>
      <w:tr w:rsidR="00003E46" w:rsidRPr="0019609D" w14:paraId="3F9B05DA" w14:textId="77777777" w:rsidTr="00BD02D7">
        <w:tc>
          <w:tcPr>
            <w:tcW w:w="474" w:type="dxa"/>
          </w:tcPr>
          <w:p w14:paraId="3A91BB3E" w14:textId="77777777" w:rsidR="00003E46" w:rsidRPr="0019609D" w:rsidRDefault="00003E46" w:rsidP="00BD02D7">
            <w:pPr>
              <w:rPr>
                <w:rFonts w:ascii="Lato" w:hAnsi="Lato"/>
                <w:sz w:val="18"/>
                <w:szCs w:val="18"/>
              </w:rPr>
            </w:pPr>
            <w:r w:rsidRPr="0019609D">
              <w:rPr>
                <w:rFonts w:ascii="Lato" w:hAnsi="Lato"/>
                <w:sz w:val="18"/>
                <w:szCs w:val="18"/>
              </w:rPr>
              <w:t>1.</w:t>
            </w:r>
          </w:p>
        </w:tc>
        <w:tc>
          <w:tcPr>
            <w:tcW w:w="2215" w:type="dxa"/>
          </w:tcPr>
          <w:p w14:paraId="03C91B62" w14:textId="77777777" w:rsidR="00003E46" w:rsidRPr="0019609D" w:rsidRDefault="00003E46" w:rsidP="00BD02D7">
            <w:pPr>
              <w:rPr>
                <w:rFonts w:ascii="Lato" w:hAnsi="Lato"/>
                <w:sz w:val="18"/>
                <w:szCs w:val="18"/>
              </w:rPr>
            </w:pPr>
          </w:p>
          <w:p w14:paraId="552C3A9E" w14:textId="77777777" w:rsidR="00003E46" w:rsidRPr="0019609D" w:rsidRDefault="00003E46" w:rsidP="00BD02D7">
            <w:pPr>
              <w:rPr>
                <w:rFonts w:ascii="Lato" w:hAnsi="Lato"/>
                <w:sz w:val="18"/>
                <w:szCs w:val="18"/>
              </w:rPr>
            </w:pPr>
            <w:r w:rsidRPr="0019609D">
              <w:rPr>
                <w:rFonts w:ascii="Lato" w:hAnsi="Lato"/>
                <w:sz w:val="18"/>
                <w:szCs w:val="18"/>
              </w:rPr>
              <w:t>dolnośląskie</w:t>
            </w:r>
          </w:p>
        </w:tc>
        <w:tc>
          <w:tcPr>
            <w:tcW w:w="848" w:type="dxa"/>
          </w:tcPr>
          <w:p w14:paraId="1CD1AC32" w14:textId="77777777" w:rsidR="00003E46" w:rsidRPr="0019609D" w:rsidRDefault="00003E46" w:rsidP="00BD02D7">
            <w:pPr>
              <w:jc w:val="center"/>
              <w:rPr>
                <w:rFonts w:ascii="Lato" w:hAnsi="Lato"/>
                <w:sz w:val="18"/>
                <w:szCs w:val="18"/>
              </w:rPr>
            </w:pPr>
          </w:p>
          <w:p w14:paraId="32C7CA1D" w14:textId="77777777" w:rsidR="00003E46" w:rsidRPr="0019609D" w:rsidRDefault="00003E46" w:rsidP="00BD02D7">
            <w:pPr>
              <w:rPr>
                <w:rFonts w:ascii="Lato" w:hAnsi="Lato"/>
                <w:sz w:val="18"/>
                <w:szCs w:val="18"/>
              </w:rPr>
            </w:pPr>
            <w:r w:rsidRPr="0019609D">
              <w:rPr>
                <w:rFonts w:ascii="Lato" w:hAnsi="Lato"/>
                <w:sz w:val="18"/>
                <w:szCs w:val="18"/>
              </w:rPr>
              <w:t>169</w:t>
            </w:r>
          </w:p>
        </w:tc>
        <w:tc>
          <w:tcPr>
            <w:tcW w:w="789" w:type="dxa"/>
          </w:tcPr>
          <w:p w14:paraId="35A18D1B" w14:textId="77777777" w:rsidR="00003E46" w:rsidRPr="0019609D" w:rsidRDefault="00003E46" w:rsidP="00BD02D7">
            <w:pPr>
              <w:jc w:val="center"/>
              <w:rPr>
                <w:rFonts w:ascii="Lato" w:hAnsi="Lato"/>
                <w:sz w:val="18"/>
                <w:szCs w:val="18"/>
              </w:rPr>
            </w:pPr>
          </w:p>
          <w:p w14:paraId="11AF2518" w14:textId="77777777" w:rsidR="00003E46" w:rsidRPr="0019609D" w:rsidRDefault="00003E46" w:rsidP="00BD02D7">
            <w:pPr>
              <w:rPr>
                <w:rFonts w:ascii="Lato" w:hAnsi="Lato"/>
                <w:sz w:val="18"/>
                <w:szCs w:val="18"/>
              </w:rPr>
            </w:pPr>
            <w:r w:rsidRPr="0019609D">
              <w:rPr>
                <w:rFonts w:ascii="Lato" w:hAnsi="Lato"/>
                <w:sz w:val="18"/>
                <w:szCs w:val="18"/>
              </w:rPr>
              <w:t>16</w:t>
            </w:r>
          </w:p>
        </w:tc>
        <w:tc>
          <w:tcPr>
            <w:tcW w:w="789" w:type="dxa"/>
          </w:tcPr>
          <w:p w14:paraId="072ECCDC" w14:textId="77777777" w:rsidR="00003E46" w:rsidRPr="0019609D" w:rsidRDefault="00003E46" w:rsidP="00BD02D7">
            <w:pPr>
              <w:jc w:val="center"/>
              <w:rPr>
                <w:rFonts w:ascii="Lato" w:hAnsi="Lato"/>
                <w:sz w:val="18"/>
                <w:szCs w:val="18"/>
              </w:rPr>
            </w:pPr>
          </w:p>
          <w:p w14:paraId="2975BDCF" w14:textId="77777777" w:rsidR="00003E46" w:rsidRPr="0019609D" w:rsidRDefault="00003E46" w:rsidP="00BD02D7">
            <w:pPr>
              <w:rPr>
                <w:rFonts w:ascii="Lato" w:hAnsi="Lato"/>
                <w:sz w:val="18"/>
                <w:szCs w:val="18"/>
              </w:rPr>
            </w:pPr>
            <w:r w:rsidRPr="0019609D">
              <w:rPr>
                <w:rFonts w:ascii="Lato" w:hAnsi="Lato"/>
                <w:sz w:val="18"/>
                <w:szCs w:val="18"/>
              </w:rPr>
              <w:t>25</w:t>
            </w:r>
          </w:p>
        </w:tc>
        <w:tc>
          <w:tcPr>
            <w:tcW w:w="789" w:type="dxa"/>
          </w:tcPr>
          <w:p w14:paraId="24FF7648" w14:textId="77777777" w:rsidR="00003E46" w:rsidRPr="0019609D" w:rsidRDefault="00003E46" w:rsidP="00BD02D7">
            <w:pPr>
              <w:jc w:val="center"/>
              <w:rPr>
                <w:rFonts w:ascii="Lato" w:hAnsi="Lato"/>
                <w:sz w:val="18"/>
                <w:szCs w:val="18"/>
              </w:rPr>
            </w:pPr>
          </w:p>
          <w:p w14:paraId="776977F4" w14:textId="77777777" w:rsidR="00003E46" w:rsidRPr="0019609D" w:rsidRDefault="00003E46" w:rsidP="00BD02D7">
            <w:pPr>
              <w:rPr>
                <w:rFonts w:ascii="Lato" w:hAnsi="Lato"/>
                <w:sz w:val="18"/>
                <w:szCs w:val="18"/>
              </w:rPr>
            </w:pPr>
            <w:r w:rsidRPr="0019609D">
              <w:rPr>
                <w:rFonts w:ascii="Lato" w:hAnsi="Lato"/>
                <w:sz w:val="18"/>
                <w:szCs w:val="18"/>
              </w:rPr>
              <w:t>27</w:t>
            </w:r>
          </w:p>
        </w:tc>
        <w:tc>
          <w:tcPr>
            <w:tcW w:w="789" w:type="dxa"/>
          </w:tcPr>
          <w:p w14:paraId="242BB6A4" w14:textId="77777777" w:rsidR="00003E46" w:rsidRPr="0019609D" w:rsidRDefault="00003E46" w:rsidP="00BD02D7">
            <w:pPr>
              <w:jc w:val="center"/>
              <w:rPr>
                <w:rFonts w:ascii="Lato" w:hAnsi="Lato"/>
                <w:sz w:val="18"/>
                <w:szCs w:val="18"/>
              </w:rPr>
            </w:pPr>
          </w:p>
          <w:p w14:paraId="3C0A73BE" w14:textId="77777777" w:rsidR="00003E46" w:rsidRPr="0019609D" w:rsidRDefault="00003E46" w:rsidP="00BD02D7">
            <w:pPr>
              <w:rPr>
                <w:rFonts w:ascii="Lato" w:hAnsi="Lato"/>
                <w:sz w:val="18"/>
                <w:szCs w:val="18"/>
              </w:rPr>
            </w:pPr>
            <w:r w:rsidRPr="0019609D">
              <w:rPr>
                <w:rFonts w:ascii="Lato" w:hAnsi="Lato"/>
                <w:sz w:val="18"/>
                <w:szCs w:val="18"/>
              </w:rPr>
              <w:t>33</w:t>
            </w:r>
          </w:p>
        </w:tc>
        <w:tc>
          <w:tcPr>
            <w:tcW w:w="789" w:type="dxa"/>
          </w:tcPr>
          <w:p w14:paraId="78070268" w14:textId="77777777" w:rsidR="00003E46" w:rsidRPr="0019609D" w:rsidRDefault="00003E46" w:rsidP="00BD02D7">
            <w:pPr>
              <w:jc w:val="center"/>
              <w:rPr>
                <w:rFonts w:ascii="Lato" w:hAnsi="Lato"/>
                <w:sz w:val="18"/>
                <w:szCs w:val="18"/>
              </w:rPr>
            </w:pPr>
          </w:p>
          <w:p w14:paraId="3FF44D70" w14:textId="77777777" w:rsidR="00003E46" w:rsidRPr="0019609D" w:rsidRDefault="00003E46" w:rsidP="00BD02D7">
            <w:pPr>
              <w:rPr>
                <w:rFonts w:ascii="Lato" w:hAnsi="Lato"/>
                <w:sz w:val="18"/>
                <w:szCs w:val="18"/>
              </w:rPr>
            </w:pPr>
            <w:r w:rsidRPr="0019609D">
              <w:rPr>
                <w:rFonts w:ascii="Lato" w:hAnsi="Lato"/>
                <w:sz w:val="18"/>
                <w:szCs w:val="18"/>
              </w:rPr>
              <w:t>32</w:t>
            </w:r>
          </w:p>
        </w:tc>
        <w:tc>
          <w:tcPr>
            <w:tcW w:w="790" w:type="dxa"/>
          </w:tcPr>
          <w:p w14:paraId="1A4B8CB1" w14:textId="77777777" w:rsidR="00003E46" w:rsidRPr="0019609D" w:rsidRDefault="00003E46" w:rsidP="00BD02D7">
            <w:pPr>
              <w:jc w:val="center"/>
              <w:rPr>
                <w:rFonts w:ascii="Lato" w:hAnsi="Lato"/>
                <w:sz w:val="18"/>
                <w:szCs w:val="18"/>
              </w:rPr>
            </w:pPr>
          </w:p>
          <w:p w14:paraId="5F613552" w14:textId="77777777" w:rsidR="00003E46" w:rsidRPr="0019609D" w:rsidRDefault="00003E46" w:rsidP="00BD02D7">
            <w:pPr>
              <w:rPr>
                <w:rFonts w:ascii="Lato" w:hAnsi="Lato"/>
                <w:sz w:val="18"/>
                <w:szCs w:val="18"/>
              </w:rPr>
            </w:pPr>
            <w:r w:rsidRPr="0019609D">
              <w:rPr>
                <w:rFonts w:ascii="Lato" w:hAnsi="Lato"/>
                <w:sz w:val="18"/>
                <w:szCs w:val="18"/>
              </w:rPr>
              <w:t>32</w:t>
            </w:r>
          </w:p>
        </w:tc>
        <w:tc>
          <w:tcPr>
            <w:tcW w:w="790" w:type="dxa"/>
          </w:tcPr>
          <w:p w14:paraId="2F476E85" w14:textId="77777777" w:rsidR="00003E46" w:rsidRPr="0019609D" w:rsidRDefault="00003E46" w:rsidP="00BD02D7">
            <w:pPr>
              <w:jc w:val="center"/>
              <w:rPr>
                <w:rFonts w:ascii="Lato" w:hAnsi="Lato"/>
                <w:sz w:val="18"/>
                <w:szCs w:val="18"/>
              </w:rPr>
            </w:pPr>
          </w:p>
          <w:p w14:paraId="6267B516" w14:textId="77777777" w:rsidR="00003E46" w:rsidRPr="0019609D" w:rsidRDefault="00003E46" w:rsidP="00BD02D7">
            <w:pPr>
              <w:rPr>
                <w:rFonts w:ascii="Lato" w:hAnsi="Lato"/>
                <w:sz w:val="18"/>
                <w:szCs w:val="18"/>
              </w:rPr>
            </w:pPr>
            <w:r w:rsidRPr="0019609D">
              <w:rPr>
                <w:rFonts w:ascii="Lato" w:hAnsi="Lato"/>
                <w:sz w:val="18"/>
                <w:szCs w:val="18"/>
              </w:rPr>
              <w:t>34</w:t>
            </w:r>
          </w:p>
        </w:tc>
      </w:tr>
      <w:tr w:rsidR="00003E46" w:rsidRPr="0019609D" w14:paraId="4E35D21B" w14:textId="77777777" w:rsidTr="00BD02D7">
        <w:tc>
          <w:tcPr>
            <w:tcW w:w="474" w:type="dxa"/>
          </w:tcPr>
          <w:p w14:paraId="393C5583" w14:textId="77777777" w:rsidR="00003E46" w:rsidRPr="0019609D" w:rsidRDefault="00003E46" w:rsidP="00BD02D7">
            <w:pPr>
              <w:rPr>
                <w:rFonts w:ascii="Lato" w:hAnsi="Lato"/>
                <w:sz w:val="18"/>
                <w:szCs w:val="18"/>
              </w:rPr>
            </w:pPr>
            <w:r w:rsidRPr="0019609D">
              <w:rPr>
                <w:rFonts w:ascii="Lato" w:hAnsi="Lato"/>
                <w:sz w:val="18"/>
                <w:szCs w:val="18"/>
              </w:rPr>
              <w:t>2.</w:t>
            </w:r>
          </w:p>
        </w:tc>
        <w:tc>
          <w:tcPr>
            <w:tcW w:w="2215" w:type="dxa"/>
          </w:tcPr>
          <w:p w14:paraId="5AA949D8" w14:textId="77777777" w:rsidR="00003E46" w:rsidRPr="0019609D" w:rsidRDefault="00003E46" w:rsidP="00BD02D7">
            <w:pPr>
              <w:rPr>
                <w:rFonts w:ascii="Lato" w:hAnsi="Lato"/>
                <w:sz w:val="18"/>
                <w:szCs w:val="18"/>
              </w:rPr>
            </w:pPr>
          </w:p>
          <w:p w14:paraId="2B82D9B5" w14:textId="77777777" w:rsidR="00003E46" w:rsidRPr="0019609D" w:rsidRDefault="00003E46" w:rsidP="00BD02D7">
            <w:pPr>
              <w:rPr>
                <w:rFonts w:ascii="Lato" w:hAnsi="Lato"/>
                <w:sz w:val="18"/>
                <w:szCs w:val="18"/>
              </w:rPr>
            </w:pPr>
            <w:r w:rsidRPr="0019609D">
              <w:rPr>
                <w:rFonts w:ascii="Lato" w:hAnsi="Lato"/>
                <w:sz w:val="18"/>
                <w:szCs w:val="18"/>
              </w:rPr>
              <w:t>pomorskie</w:t>
            </w:r>
          </w:p>
        </w:tc>
        <w:tc>
          <w:tcPr>
            <w:tcW w:w="848" w:type="dxa"/>
          </w:tcPr>
          <w:p w14:paraId="55E6C05B" w14:textId="77777777" w:rsidR="00003E46" w:rsidRPr="0019609D" w:rsidRDefault="00003E46" w:rsidP="00BD02D7">
            <w:pPr>
              <w:jc w:val="center"/>
              <w:rPr>
                <w:rFonts w:ascii="Lato" w:hAnsi="Lato"/>
                <w:sz w:val="18"/>
                <w:szCs w:val="18"/>
              </w:rPr>
            </w:pPr>
          </w:p>
          <w:p w14:paraId="106E4777" w14:textId="77777777" w:rsidR="00003E46" w:rsidRPr="0019609D" w:rsidRDefault="00003E46" w:rsidP="00BD02D7">
            <w:pPr>
              <w:rPr>
                <w:rFonts w:ascii="Lato" w:hAnsi="Lato"/>
                <w:sz w:val="18"/>
                <w:szCs w:val="18"/>
              </w:rPr>
            </w:pPr>
            <w:r w:rsidRPr="0019609D">
              <w:rPr>
                <w:rFonts w:ascii="Lato" w:hAnsi="Lato"/>
                <w:sz w:val="18"/>
                <w:szCs w:val="18"/>
              </w:rPr>
              <w:t>123</w:t>
            </w:r>
          </w:p>
        </w:tc>
        <w:tc>
          <w:tcPr>
            <w:tcW w:w="789" w:type="dxa"/>
          </w:tcPr>
          <w:p w14:paraId="71B862FD" w14:textId="77777777" w:rsidR="00003E46" w:rsidRPr="0019609D" w:rsidRDefault="00003E46" w:rsidP="00BD02D7">
            <w:pPr>
              <w:jc w:val="center"/>
              <w:rPr>
                <w:rFonts w:ascii="Lato" w:hAnsi="Lato"/>
                <w:sz w:val="18"/>
                <w:szCs w:val="18"/>
              </w:rPr>
            </w:pPr>
          </w:p>
          <w:p w14:paraId="49BA7E0B"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128248D6" w14:textId="77777777" w:rsidR="00003E46" w:rsidRPr="0019609D" w:rsidRDefault="00003E46" w:rsidP="00BD02D7">
            <w:pPr>
              <w:jc w:val="center"/>
              <w:rPr>
                <w:rFonts w:ascii="Lato" w:hAnsi="Lato"/>
                <w:sz w:val="18"/>
                <w:szCs w:val="18"/>
              </w:rPr>
            </w:pPr>
          </w:p>
          <w:p w14:paraId="2B30EF3E" w14:textId="77777777" w:rsidR="00003E46" w:rsidRPr="0019609D" w:rsidRDefault="00003E46" w:rsidP="00BD02D7">
            <w:pPr>
              <w:rPr>
                <w:rFonts w:ascii="Lato" w:hAnsi="Lato"/>
                <w:sz w:val="18"/>
                <w:szCs w:val="18"/>
              </w:rPr>
            </w:pPr>
            <w:r w:rsidRPr="0019609D">
              <w:rPr>
                <w:rFonts w:ascii="Lato" w:hAnsi="Lato"/>
                <w:sz w:val="18"/>
                <w:szCs w:val="18"/>
              </w:rPr>
              <w:t>14</w:t>
            </w:r>
          </w:p>
        </w:tc>
        <w:tc>
          <w:tcPr>
            <w:tcW w:w="789" w:type="dxa"/>
          </w:tcPr>
          <w:p w14:paraId="0F56EB87" w14:textId="77777777" w:rsidR="00003E46" w:rsidRPr="0019609D" w:rsidRDefault="00003E46" w:rsidP="00BD02D7">
            <w:pPr>
              <w:jc w:val="center"/>
              <w:rPr>
                <w:rFonts w:ascii="Lato" w:hAnsi="Lato"/>
                <w:sz w:val="18"/>
                <w:szCs w:val="18"/>
              </w:rPr>
            </w:pPr>
          </w:p>
          <w:p w14:paraId="149650E5" w14:textId="77777777" w:rsidR="00003E46" w:rsidRPr="0019609D" w:rsidRDefault="00003E46" w:rsidP="00BD02D7">
            <w:pPr>
              <w:rPr>
                <w:rFonts w:ascii="Lato" w:hAnsi="Lato"/>
                <w:sz w:val="18"/>
                <w:szCs w:val="18"/>
              </w:rPr>
            </w:pPr>
            <w:r w:rsidRPr="0019609D">
              <w:rPr>
                <w:rFonts w:ascii="Lato" w:hAnsi="Lato"/>
                <w:sz w:val="18"/>
                <w:szCs w:val="18"/>
              </w:rPr>
              <w:t>25</w:t>
            </w:r>
          </w:p>
        </w:tc>
        <w:tc>
          <w:tcPr>
            <w:tcW w:w="789" w:type="dxa"/>
          </w:tcPr>
          <w:p w14:paraId="65AA132B" w14:textId="77777777" w:rsidR="00003E46" w:rsidRPr="0019609D" w:rsidRDefault="00003E46" w:rsidP="00BD02D7">
            <w:pPr>
              <w:jc w:val="center"/>
              <w:rPr>
                <w:rFonts w:ascii="Lato" w:hAnsi="Lato"/>
                <w:sz w:val="18"/>
                <w:szCs w:val="18"/>
              </w:rPr>
            </w:pPr>
          </w:p>
          <w:p w14:paraId="48AE3861" w14:textId="77777777" w:rsidR="00003E46" w:rsidRPr="0019609D" w:rsidRDefault="00003E46" w:rsidP="00BD02D7">
            <w:pPr>
              <w:rPr>
                <w:rFonts w:ascii="Lato" w:hAnsi="Lato"/>
                <w:sz w:val="18"/>
                <w:szCs w:val="18"/>
              </w:rPr>
            </w:pPr>
            <w:r w:rsidRPr="0019609D">
              <w:rPr>
                <w:rFonts w:ascii="Lato" w:hAnsi="Lato"/>
                <w:sz w:val="18"/>
                <w:szCs w:val="18"/>
              </w:rPr>
              <w:t>35</w:t>
            </w:r>
          </w:p>
        </w:tc>
        <w:tc>
          <w:tcPr>
            <w:tcW w:w="789" w:type="dxa"/>
          </w:tcPr>
          <w:p w14:paraId="5EB5C052" w14:textId="77777777" w:rsidR="00003E46" w:rsidRPr="0019609D" w:rsidRDefault="00003E46" w:rsidP="00BD02D7">
            <w:pPr>
              <w:jc w:val="center"/>
              <w:rPr>
                <w:rFonts w:ascii="Lato" w:hAnsi="Lato"/>
                <w:sz w:val="18"/>
                <w:szCs w:val="18"/>
              </w:rPr>
            </w:pPr>
          </w:p>
          <w:p w14:paraId="7D9FF6E2" w14:textId="77777777" w:rsidR="00003E46" w:rsidRPr="0019609D" w:rsidRDefault="00003E46" w:rsidP="00BD02D7">
            <w:pPr>
              <w:rPr>
                <w:rFonts w:ascii="Lato" w:hAnsi="Lato"/>
                <w:sz w:val="18"/>
                <w:szCs w:val="18"/>
              </w:rPr>
            </w:pPr>
            <w:r w:rsidRPr="0019609D">
              <w:rPr>
                <w:rFonts w:ascii="Lato" w:hAnsi="Lato"/>
                <w:sz w:val="18"/>
                <w:szCs w:val="18"/>
              </w:rPr>
              <w:t>29</w:t>
            </w:r>
          </w:p>
        </w:tc>
        <w:tc>
          <w:tcPr>
            <w:tcW w:w="790" w:type="dxa"/>
          </w:tcPr>
          <w:p w14:paraId="7CCF27EC" w14:textId="77777777" w:rsidR="00003E46" w:rsidRPr="0019609D" w:rsidRDefault="00003E46" w:rsidP="00BD02D7">
            <w:pPr>
              <w:jc w:val="center"/>
              <w:rPr>
                <w:rFonts w:ascii="Lato" w:hAnsi="Lato"/>
                <w:sz w:val="18"/>
                <w:szCs w:val="18"/>
              </w:rPr>
            </w:pPr>
          </w:p>
          <w:p w14:paraId="323B7143" w14:textId="77777777" w:rsidR="00003E46" w:rsidRPr="0019609D" w:rsidRDefault="00003E46" w:rsidP="00BD02D7">
            <w:pPr>
              <w:rPr>
                <w:rFonts w:ascii="Lato" w:hAnsi="Lato"/>
                <w:sz w:val="18"/>
                <w:szCs w:val="18"/>
              </w:rPr>
            </w:pPr>
            <w:r w:rsidRPr="0019609D">
              <w:rPr>
                <w:rFonts w:ascii="Lato" w:hAnsi="Lato"/>
                <w:sz w:val="18"/>
                <w:szCs w:val="18"/>
              </w:rPr>
              <w:t>43</w:t>
            </w:r>
          </w:p>
        </w:tc>
        <w:tc>
          <w:tcPr>
            <w:tcW w:w="790" w:type="dxa"/>
          </w:tcPr>
          <w:p w14:paraId="2D74D9CD" w14:textId="77777777" w:rsidR="00003E46" w:rsidRPr="0019609D" w:rsidRDefault="00003E46" w:rsidP="00BD02D7">
            <w:pPr>
              <w:jc w:val="center"/>
              <w:rPr>
                <w:rFonts w:ascii="Lato" w:hAnsi="Lato"/>
                <w:sz w:val="18"/>
                <w:szCs w:val="18"/>
              </w:rPr>
            </w:pPr>
          </w:p>
          <w:p w14:paraId="76D46BBB" w14:textId="77777777" w:rsidR="00003E46" w:rsidRPr="0019609D" w:rsidRDefault="00003E46" w:rsidP="00BD02D7">
            <w:pPr>
              <w:rPr>
                <w:rFonts w:ascii="Lato" w:hAnsi="Lato"/>
                <w:sz w:val="18"/>
                <w:szCs w:val="18"/>
              </w:rPr>
            </w:pPr>
            <w:r w:rsidRPr="0019609D">
              <w:rPr>
                <w:rFonts w:ascii="Lato" w:hAnsi="Lato"/>
                <w:sz w:val="18"/>
                <w:szCs w:val="18"/>
              </w:rPr>
              <w:t>44</w:t>
            </w:r>
          </w:p>
        </w:tc>
      </w:tr>
      <w:tr w:rsidR="00003E46" w:rsidRPr="0019609D" w14:paraId="416E5C74" w14:textId="77777777" w:rsidTr="00BD02D7">
        <w:tc>
          <w:tcPr>
            <w:tcW w:w="474" w:type="dxa"/>
          </w:tcPr>
          <w:p w14:paraId="01CA2251" w14:textId="77777777" w:rsidR="00003E46" w:rsidRPr="0019609D" w:rsidRDefault="00003E46" w:rsidP="00BD02D7">
            <w:pPr>
              <w:rPr>
                <w:rFonts w:ascii="Lato" w:hAnsi="Lato"/>
                <w:sz w:val="18"/>
                <w:szCs w:val="18"/>
              </w:rPr>
            </w:pPr>
            <w:r w:rsidRPr="0019609D">
              <w:rPr>
                <w:rFonts w:ascii="Lato" w:hAnsi="Lato"/>
                <w:sz w:val="18"/>
                <w:szCs w:val="18"/>
              </w:rPr>
              <w:t>3.</w:t>
            </w:r>
          </w:p>
        </w:tc>
        <w:tc>
          <w:tcPr>
            <w:tcW w:w="2215" w:type="dxa"/>
          </w:tcPr>
          <w:p w14:paraId="42931BFF" w14:textId="77777777" w:rsidR="00003E46" w:rsidRPr="0019609D" w:rsidRDefault="00003E46" w:rsidP="00BD02D7">
            <w:pPr>
              <w:rPr>
                <w:rFonts w:ascii="Lato" w:hAnsi="Lato"/>
                <w:sz w:val="18"/>
                <w:szCs w:val="18"/>
              </w:rPr>
            </w:pPr>
          </w:p>
          <w:p w14:paraId="20A5E3AD" w14:textId="77777777" w:rsidR="00003E46" w:rsidRPr="0019609D" w:rsidRDefault="00003E46" w:rsidP="00BD02D7">
            <w:pPr>
              <w:rPr>
                <w:rFonts w:ascii="Lato" w:hAnsi="Lato"/>
                <w:sz w:val="18"/>
                <w:szCs w:val="18"/>
              </w:rPr>
            </w:pPr>
            <w:r w:rsidRPr="0019609D">
              <w:rPr>
                <w:rFonts w:ascii="Lato" w:hAnsi="Lato"/>
                <w:sz w:val="18"/>
                <w:szCs w:val="18"/>
              </w:rPr>
              <w:t>zachodniopomorskie</w:t>
            </w:r>
          </w:p>
        </w:tc>
        <w:tc>
          <w:tcPr>
            <w:tcW w:w="848" w:type="dxa"/>
          </w:tcPr>
          <w:p w14:paraId="171C2CC1" w14:textId="77777777" w:rsidR="00003E46" w:rsidRPr="0019609D" w:rsidRDefault="00003E46" w:rsidP="00BD02D7">
            <w:pPr>
              <w:jc w:val="center"/>
              <w:rPr>
                <w:rFonts w:ascii="Lato" w:hAnsi="Lato"/>
                <w:sz w:val="18"/>
                <w:szCs w:val="18"/>
              </w:rPr>
            </w:pPr>
          </w:p>
          <w:p w14:paraId="2EEDB7D7" w14:textId="77777777" w:rsidR="00003E46" w:rsidRPr="0019609D" w:rsidRDefault="00003E46" w:rsidP="00BD02D7">
            <w:pPr>
              <w:rPr>
                <w:rFonts w:ascii="Lato" w:hAnsi="Lato"/>
                <w:sz w:val="18"/>
                <w:szCs w:val="18"/>
              </w:rPr>
            </w:pPr>
            <w:r w:rsidRPr="0019609D">
              <w:rPr>
                <w:rFonts w:ascii="Lato" w:hAnsi="Lato"/>
                <w:sz w:val="18"/>
                <w:szCs w:val="18"/>
              </w:rPr>
              <w:t>113</w:t>
            </w:r>
          </w:p>
        </w:tc>
        <w:tc>
          <w:tcPr>
            <w:tcW w:w="789" w:type="dxa"/>
          </w:tcPr>
          <w:p w14:paraId="70B270C5" w14:textId="77777777" w:rsidR="00003E46" w:rsidRPr="0019609D" w:rsidRDefault="00003E46" w:rsidP="00BD02D7">
            <w:pPr>
              <w:jc w:val="center"/>
              <w:rPr>
                <w:rFonts w:ascii="Lato" w:hAnsi="Lato"/>
                <w:sz w:val="18"/>
                <w:szCs w:val="18"/>
              </w:rPr>
            </w:pPr>
          </w:p>
          <w:p w14:paraId="089D2237" w14:textId="77777777" w:rsidR="00003E46" w:rsidRPr="0019609D" w:rsidRDefault="00003E46" w:rsidP="00BD02D7">
            <w:pPr>
              <w:rPr>
                <w:rFonts w:ascii="Lato" w:hAnsi="Lato"/>
                <w:sz w:val="18"/>
                <w:szCs w:val="18"/>
              </w:rPr>
            </w:pPr>
            <w:r w:rsidRPr="0019609D">
              <w:rPr>
                <w:rFonts w:ascii="Lato" w:hAnsi="Lato"/>
                <w:sz w:val="18"/>
                <w:szCs w:val="18"/>
              </w:rPr>
              <w:t>8</w:t>
            </w:r>
          </w:p>
        </w:tc>
        <w:tc>
          <w:tcPr>
            <w:tcW w:w="789" w:type="dxa"/>
          </w:tcPr>
          <w:p w14:paraId="0F365A25" w14:textId="77777777" w:rsidR="00003E46" w:rsidRPr="0019609D" w:rsidRDefault="00003E46" w:rsidP="00BD02D7">
            <w:pPr>
              <w:rPr>
                <w:rFonts w:ascii="Lato" w:hAnsi="Lato"/>
                <w:sz w:val="18"/>
                <w:szCs w:val="18"/>
              </w:rPr>
            </w:pPr>
          </w:p>
          <w:p w14:paraId="332CFFD4"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789" w:type="dxa"/>
          </w:tcPr>
          <w:p w14:paraId="605F3F4E" w14:textId="77777777" w:rsidR="00003E46" w:rsidRPr="0019609D" w:rsidRDefault="00003E46" w:rsidP="00BD02D7">
            <w:pPr>
              <w:jc w:val="center"/>
              <w:rPr>
                <w:rFonts w:ascii="Lato" w:hAnsi="Lato"/>
                <w:sz w:val="18"/>
                <w:szCs w:val="18"/>
              </w:rPr>
            </w:pPr>
          </w:p>
          <w:p w14:paraId="410C84A1"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1848E08B" w14:textId="77777777" w:rsidR="00003E46" w:rsidRPr="0019609D" w:rsidRDefault="00003E46" w:rsidP="00BD02D7">
            <w:pPr>
              <w:jc w:val="center"/>
              <w:rPr>
                <w:rFonts w:ascii="Lato" w:hAnsi="Lato"/>
                <w:sz w:val="18"/>
                <w:szCs w:val="18"/>
              </w:rPr>
            </w:pPr>
          </w:p>
          <w:p w14:paraId="3EDAF5FC" w14:textId="77777777" w:rsidR="00003E46" w:rsidRPr="0019609D" w:rsidRDefault="00003E46" w:rsidP="00BD02D7">
            <w:pPr>
              <w:rPr>
                <w:rFonts w:ascii="Lato" w:hAnsi="Lato"/>
                <w:sz w:val="18"/>
                <w:szCs w:val="18"/>
              </w:rPr>
            </w:pPr>
            <w:r w:rsidRPr="0019609D">
              <w:rPr>
                <w:rFonts w:ascii="Lato" w:hAnsi="Lato"/>
                <w:sz w:val="18"/>
                <w:szCs w:val="18"/>
              </w:rPr>
              <w:t>19</w:t>
            </w:r>
          </w:p>
        </w:tc>
        <w:tc>
          <w:tcPr>
            <w:tcW w:w="789" w:type="dxa"/>
          </w:tcPr>
          <w:p w14:paraId="711B94F1" w14:textId="77777777" w:rsidR="00003E46" w:rsidRPr="0019609D" w:rsidRDefault="00003E46" w:rsidP="00BD02D7">
            <w:pPr>
              <w:jc w:val="center"/>
              <w:rPr>
                <w:rFonts w:ascii="Lato" w:hAnsi="Lato"/>
                <w:sz w:val="18"/>
                <w:szCs w:val="18"/>
              </w:rPr>
            </w:pPr>
          </w:p>
          <w:p w14:paraId="4A2DDDEE"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90" w:type="dxa"/>
          </w:tcPr>
          <w:p w14:paraId="5CA7E161" w14:textId="77777777" w:rsidR="00003E46" w:rsidRPr="0019609D" w:rsidRDefault="00003E46" w:rsidP="00BD02D7">
            <w:pPr>
              <w:jc w:val="center"/>
              <w:rPr>
                <w:rFonts w:ascii="Lato" w:hAnsi="Lato"/>
                <w:sz w:val="18"/>
                <w:szCs w:val="18"/>
              </w:rPr>
            </w:pPr>
          </w:p>
          <w:p w14:paraId="2F7E31FD" w14:textId="77777777" w:rsidR="00003E46" w:rsidRPr="0019609D" w:rsidRDefault="00003E46" w:rsidP="00BD02D7">
            <w:pPr>
              <w:rPr>
                <w:rFonts w:ascii="Lato" w:hAnsi="Lato"/>
                <w:sz w:val="18"/>
                <w:szCs w:val="18"/>
              </w:rPr>
            </w:pPr>
            <w:r w:rsidRPr="0019609D">
              <w:rPr>
                <w:rFonts w:ascii="Lato" w:hAnsi="Lato"/>
                <w:sz w:val="18"/>
                <w:szCs w:val="18"/>
              </w:rPr>
              <w:t>21</w:t>
            </w:r>
          </w:p>
        </w:tc>
        <w:tc>
          <w:tcPr>
            <w:tcW w:w="790" w:type="dxa"/>
          </w:tcPr>
          <w:p w14:paraId="17507208" w14:textId="77777777" w:rsidR="00003E46" w:rsidRPr="0019609D" w:rsidRDefault="00003E46" w:rsidP="00BD02D7">
            <w:pPr>
              <w:jc w:val="center"/>
              <w:rPr>
                <w:rFonts w:ascii="Lato" w:hAnsi="Lato"/>
                <w:sz w:val="18"/>
                <w:szCs w:val="18"/>
              </w:rPr>
            </w:pPr>
          </w:p>
          <w:p w14:paraId="04335C73" w14:textId="77777777" w:rsidR="00003E46" w:rsidRPr="0019609D" w:rsidRDefault="00003E46" w:rsidP="00BD02D7">
            <w:pPr>
              <w:rPr>
                <w:rFonts w:ascii="Lato" w:hAnsi="Lato"/>
                <w:sz w:val="18"/>
                <w:szCs w:val="18"/>
              </w:rPr>
            </w:pPr>
            <w:r w:rsidRPr="0019609D">
              <w:rPr>
                <w:rFonts w:ascii="Lato" w:hAnsi="Lato"/>
                <w:sz w:val="18"/>
                <w:szCs w:val="18"/>
              </w:rPr>
              <w:t>21</w:t>
            </w:r>
          </w:p>
        </w:tc>
      </w:tr>
      <w:tr w:rsidR="00003E46" w:rsidRPr="0019609D" w14:paraId="5EAFAAFA" w14:textId="77777777" w:rsidTr="00BD02D7">
        <w:tc>
          <w:tcPr>
            <w:tcW w:w="474" w:type="dxa"/>
          </w:tcPr>
          <w:p w14:paraId="41DD9C37" w14:textId="77777777" w:rsidR="00003E46" w:rsidRPr="0019609D" w:rsidRDefault="00003E46" w:rsidP="00BD02D7">
            <w:pPr>
              <w:rPr>
                <w:rFonts w:ascii="Lato" w:hAnsi="Lato"/>
                <w:sz w:val="18"/>
                <w:szCs w:val="18"/>
              </w:rPr>
            </w:pPr>
            <w:r w:rsidRPr="0019609D">
              <w:rPr>
                <w:rFonts w:ascii="Lato" w:hAnsi="Lato"/>
                <w:sz w:val="18"/>
                <w:szCs w:val="18"/>
              </w:rPr>
              <w:t>4.</w:t>
            </w:r>
          </w:p>
        </w:tc>
        <w:tc>
          <w:tcPr>
            <w:tcW w:w="2215" w:type="dxa"/>
          </w:tcPr>
          <w:p w14:paraId="6DBECE28" w14:textId="77777777" w:rsidR="00003E46" w:rsidRPr="0019609D" w:rsidRDefault="00003E46" w:rsidP="00BD02D7">
            <w:pPr>
              <w:rPr>
                <w:rFonts w:ascii="Lato" w:hAnsi="Lato"/>
                <w:sz w:val="18"/>
                <w:szCs w:val="18"/>
              </w:rPr>
            </w:pPr>
          </w:p>
          <w:p w14:paraId="4BF7CF1D" w14:textId="77777777" w:rsidR="00003E46" w:rsidRPr="0019609D" w:rsidRDefault="00003E46" w:rsidP="00BD02D7">
            <w:pPr>
              <w:rPr>
                <w:rFonts w:ascii="Lato" w:hAnsi="Lato"/>
                <w:sz w:val="18"/>
                <w:szCs w:val="18"/>
              </w:rPr>
            </w:pPr>
            <w:r w:rsidRPr="0019609D">
              <w:rPr>
                <w:rFonts w:ascii="Lato" w:hAnsi="Lato"/>
                <w:sz w:val="18"/>
                <w:szCs w:val="18"/>
              </w:rPr>
              <w:t>śląskie</w:t>
            </w:r>
          </w:p>
        </w:tc>
        <w:tc>
          <w:tcPr>
            <w:tcW w:w="848" w:type="dxa"/>
          </w:tcPr>
          <w:p w14:paraId="7CD16BAA" w14:textId="77777777" w:rsidR="00003E46" w:rsidRPr="0019609D" w:rsidRDefault="00003E46" w:rsidP="00BD02D7">
            <w:pPr>
              <w:jc w:val="center"/>
              <w:rPr>
                <w:rFonts w:ascii="Lato" w:hAnsi="Lato"/>
                <w:sz w:val="18"/>
                <w:szCs w:val="18"/>
              </w:rPr>
            </w:pPr>
          </w:p>
          <w:p w14:paraId="091C5AB0" w14:textId="77777777" w:rsidR="00003E46" w:rsidRPr="0019609D" w:rsidRDefault="00003E46" w:rsidP="00BD02D7">
            <w:pPr>
              <w:rPr>
                <w:rFonts w:ascii="Lato" w:hAnsi="Lato"/>
                <w:sz w:val="18"/>
                <w:szCs w:val="18"/>
              </w:rPr>
            </w:pPr>
            <w:r w:rsidRPr="0019609D">
              <w:rPr>
                <w:rFonts w:ascii="Lato" w:hAnsi="Lato"/>
                <w:sz w:val="18"/>
                <w:szCs w:val="18"/>
              </w:rPr>
              <w:t>167</w:t>
            </w:r>
          </w:p>
        </w:tc>
        <w:tc>
          <w:tcPr>
            <w:tcW w:w="789" w:type="dxa"/>
          </w:tcPr>
          <w:p w14:paraId="1FCFC437" w14:textId="77777777" w:rsidR="00003E46" w:rsidRPr="0019609D" w:rsidRDefault="00003E46" w:rsidP="00BD02D7">
            <w:pPr>
              <w:jc w:val="center"/>
              <w:rPr>
                <w:rFonts w:ascii="Lato" w:hAnsi="Lato"/>
                <w:sz w:val="18"/>
                <w:szCs w:val="18"/>
              </w:rPr>
            </w:pPr>
          </w:p>
          <w:p w14:paraId="00A74741" w14:textId="77777777" w:rsidR="00003E46" w:rsidRPr="0019609D" w:rsidRDefault="00003E46" w:rsidP="00BD02D7">
            <w:pPr>
              <w:rPr>
                <w:rFonts w:ascii="Lato" w:hAnsi="Lato"/>
                <w:sz w:val="18"/>
                <w:szCs w:val="18"/>
              </w:rPr>
            </w:pPr>
            <w:r w:rsidRPr="0019609D">
              <w:rPr>
                <w:rFonts w:ascii="Lato" w:hAnsi="Lato"/>
                <w:sz w:val="18"/>
                <w:szCs w:val="18"/>
              </w:rPr>
              <w:t>25</w:t>
            </w:r>
          </w:p>
        </w:tc>
        <w:tc>
          <w:tcPr>
            <w:tcW w:w="789" w:type="dxa"/>
          </w:tcPr>
          <w:p w14:paraId="2C6530DA" w14:textId="77777777" w:rsidR="00003E46" w:rsidRPr="0019609D" w:rsidRDefault="00003E46" w:rsidP="00BD02D7">
            <w:pPr>
              <w:rPr>
                <w:rFonts w:ascii="Lato" w:hAnsi="Lato"/>
                <w:sz w:val="18"/>
                <w:szCs w:val="18"/>
              </w:rPr>
            </w:pPr>
          </w:p>
          <w:p w14:paraId="410FE36D" w14:textId="77777777" w:rsidR="00003E46" w:rsidRPr="0019609D" w:rsidRDefault="00003E46" w:rsidP="00BD02D7">
            <w:pPr>
              <w:rPr>
                <w:rFonts w:ascii="Lato" w:hAnsi="Lato"/>
                <w:sz w:val="18"/>
                <w:szCs w:val="18"/>
              </w:rPr>
            </w:pPr>
            <w:r w:rsidRPr="0019609D">
              <w:rPr>
                <w:rFonts w:ascii="Lato" w:hAnsi="Lato"/>
                <w:sz w:val="18"/>
                <w:szCs w:val="18"/>
              </w:rPr>
              <w:t>32</w:t>
            </w:r>
          </w:p>
        </w:tc>
        <w:tc>
          <w:tcPr>
            <w:tcW w:w="789" w:type="dxa"/>
          </w:tcPr>
          <w:p w14:paraId="1994B5D6" w14:textId="77777777" w:rsidR="00003E46" w:rsidRPr="0019609D" w:rsidRDefault="00003E46" w:rsidP="00BD02D7">
            <w:pPr>
              <w:jc w:val="center"/>
              <w:rPr>
                <w:rFonts w:ascii="Lato" w:hAnsi="Lato"/>
                <w:sz w:val="18"/>
                <w:szCs w:val="18"/>
              </w:rPr>
            </w:pPr>
          </w:p>
          <w:p w14:paraId="79109DD1" w14:textId="77777777" w:rsidR="00003E46" w:rsidRPr="0019609D" w:rsidRDefault="00003E46" w:rsidP="00BD02D7">
            <w:pPr>
              <w:rPr>
                <w:rFonts w:ascii="Lato" w:hAnsi="Lato"/>
                <w:sz w:val="18"/>
                <w:szCs w:val="18"/>
              </w:rPr>
            </w:pPr>
            <w:r w:rsidRPr="0019609D">
              <w:rPr>
                <w:rFonts w:ascii="Lato" w:hAnsi="Lato"/>
                <w:sz w:val="18"/>
                <w:szCs w:val="18"/>
              </w:rPr>
              <w:t>31</w:t>
            </w:r>
          </w:p>
        </w:tc>
        <w:tc>
          <w:tcPr>
            <w:tcW w:w="789" w:type="dxa"/>
          </w:tcPr>
          <w:p w14:paraId="0D835B48" w14:textId="77777777" w:rsidR="00003E46" w:rsidRPr="0019609D" w:rsidRDefault="00003E46" w:rsidP="00BD02D7">
            <w:pPr>
              <w:jc w:val="center"/>
              <w:rPr>
                <w:rFonts w:ascii="Lato" w:hAnsi="Lato"/>
                <w:sz w:val="18"/>
                <w:szCs w:val="18"/>
              </w:rPr>
            </w:pPr>
          </w:p>
          <w:p w14:paraId="0351927B" w14:textId="77777777" w:rsidR="00003E46" w:rsidRPr="0019609D" w:rsidRDefault="00003E46" w:rsidP="00BD02D7">
            <w:pPr>
              <w:rPr>
                <w:rFonts w:ascii="Lato" w:hAnsi="Lato"/>
                <w:sz w:val="18"/>
                <w:szCs w:val="18"/>
              </w:rPr>
            </w:pPr>
            <w:r w:rsidRPr="0019609D">
              <w:rPr>
                <w:rFonts w:ascii="Lato" w:hAnsi="Lato"/>
                <w:sz w:val="18"/>
                <w:szCs w:val="18"/>
              </w:rPr>
              <w:t>35</w:t>
            </w:r>
          </w:p>
        </w:tc>
        <w:tc>
          <w:tcPr>
            <w:tcW w:w="789" w:type="dxa"/>
          </w:tcPr>
          <w:p w14:paraId="6B6D2A6F" w14:textId="77777777" w:rsidR="00003E46" w:rsidRPr="0019609D" w:rsidRDefault="00003E46" w:rsidP="00BD02D7">
            <w:pPr>
              <w:jc w:val="center"/>
              <w:rPr>
                <w:rFonts w:ascii="Lato" w:hAnsi="Lato"/>
                <w:sz w:val="18"/>
                <w:szCs w:val="18"/>
              </w:rPr>
            </w:pPr>
          </w:p>
          <w:p w14:paraId="5601D58B" w14:textId="77777777" w:rsidR="00003E46" w:rsidRPr="0019609D" w:rsidRDefault="00003E46" w:rsidP="00BD02D7">
            <w:pPr>
              <w:rPr>
                <w:rFonts w:ascii="Lato" w:hAnsi="Lato"/>
                <w:sz w:val="18"/>
                <w:szCs w:val="18"/>
              </w:rPr>
            </w:pPr>
            <w:r w:rsidRPr="0019609D">
              <w:rPr>
                <w:rFonts w:ascii="Lato" w:hAnsi="Lato"/>
                <w:sz w:val="18"/>
                <w:szCs w:val="18"/>
              </w:rPr>
              <w:t>37</w:t>
            </w:r>
          </w:p>
        </w:tc>
        <w:tc>
          <w:tcPr>
            <w:tcW w:w="790" w:type="dxa"/>
          </w:tcPr>
          <w:p w14:paraId="1F6A1196" w14:textId="77777777" w:rsidR="00003E46" w:rsidRPr="0019609D" w:rsidRDefault="00003E46" w:rsidP="00BD02D7">
            <w:pPr>
              <w:jc w:val="center"/>
              <w:rPr>
                <w:rFonts w:ascii="Lato" w:hAnsi="Lato"/>
                <w:sz w:val="18"/>
                <w:szCs w:val="18"/>
              </w:rPr>
            </w:pPr>
          </w:p>
          <w:p w14:paraId="43316409" w14:textId="77777777" w:rsidR="00003E46" w:rsidRPr="0019609D" w:rsidRDefault="00003E46" w:rsidP="00BD02D7">
            <w:pPr>
              <w:rPr>
                <w:rFonts w:ascii="Lato" w:hAnsi="Lato"/>
                <w:sz w:val="18"/>
                <w:szCs w:val="18"/>
              </w:rPr>
            </w:pPr>
            <w:r w:rsidRPr="0019609D">
              <w:rPr>
                <w:rFonts w:ascii="Lato" w:hAnsi="Lato"/>
                <w:sz w:val="18"/>
                <w:szCs w:val="18"/>
              </w:rPr>
              <w:t>37</w:t>
            </w:r>
          </w:p>
        </w:tc>
        <w:tc>
          <w:tcPr>
            <w:tcW w:w="790" w:type="dxa"/>
          </w:tcPr>
          <w:p w14:paraId="58D77E1E" w14:textId="77777777" w:rsidR="00003E46" w:rsidRPr="0019609D" w:rsidRDefault="00003E46" w:rsidP="00BD02D7">
            <w:pPr>
              <w:jc w:val="center"/>
              <w:rPr>
                <w:rFonts w:ascii="Lato" w:hAnsi="Lato"/>
                <w:sz w:val="18"/>
                <w:szCs w:val="18"/>
              </w:rPr>
            </w:pPr>
          </w:p>
          <w:p w14:paraId="5E0E1E5C" w14:textId="77777777" w:rsidR="00003E46" w:rsidRPr="0019609D" w:rsidRDefault="00003E46" w:rsidP="00BD02D7">
            <w:pPr>
              <w:rPr>
                <w:rFonts w:ascii="Lato" w:hAnsi="Lato"/>
                <w:sz w:val="18"/>
                <w:szCs w:val="18"/>
              </w:rPr>
            </w:pPr>
            <w:r w:rsidRPr="0019609D">
              <w:rPr>
                <w:rFonts w:ascii="Lato" w:hAnsi="Lato"/>
                <w:sz w:val="18"/>
                <w:szCs w:val="18"/>
              </w:rPr>
              <w:t>41</w:t>
            </w:r>
          </w:p>
        </w:tc>
      </w:tr>
      <w:tr w:rsidR="00003E46" w:rsidRPr="0019609D" w14:paraId="6E5C83DA" w14:textId="77777777" w:rsidTr="00BD02D7">
        <w:tc>
          <w:tcPr>
            <w:tcW w:w="474" w:type="dxa"/>
          </w:tcPr>
          <w:p w14:paraId="143F26D1" w14:textId="77777777" w:rsidR="00003E46" w:rsidRPr="0019609D" w:rsidRDefault="00003E46" w:rsidP="00BD02D7">
            <w:pPr>
              <w:rPr>
                <w:rFonts w:ascii="Lato" w:hAnsi="Lato"/>
                <w:sz w:val="18"/>
                <w:szCs w:val="18"/>
              </w:rPr>
            </w:pPr>
            <w:r w:rsidRPr="0019609D">
              <w:rPr>
                <w:rFonts w:ascii="Lato" w:hAnsi="Lato"/>
                <w:sz w:val="18"/>
                <w:szCs w:val="18"/>
              </w:rPr>
              <w:t>5.</w:t>
            </w:r>
          </w:p>
        </w:tc>
        <w:tc>
          <w:tcPr>
            <w:tcW w:w="2215" w:type="dxa"/>
          </w:tcPr>
          <w:p w14:paraId="55C0EC47" w14:textId="77777777" w:rsidR="00003E46" w:rsidRPr="0019609D" w:rsidRDefault="00003E46" w:rsidP="00BD02D7">
            <w:pPr>
              <w:rPr>
                <w:rFonts w:ascii="Lato" w:hAnsi="Lato"/>
                <w:sz w:val="18"/>
                <w:szCs w:val="18"/>
              </w:rPr>
            </w:pPr>
          </w:p>
          <w:p w14:paraId="65353D27" w14:textId="77777777" w:rsidR="00003E46" w:rsidRPr="0019609D" w:rsidRDefault="00003E46" w:rsidP="00BD02D7">
            <w:pPr>
              <w:rPr>
                <w:rFonts w:ascii="Lato" w:hAnsi="Lato"/>
                <w:sz w:val="18"/>
                <w:szCs w:val="18"/>
              </w:rPr>
            </w:pPr>
            <w:r w:rsidRPr="0019609D">
              <w:rPr>
                <w:rFonts w:ascii="Lato" w:hAnsi="Lato"/>
                <w:sz w:val="18"/>
                <w:szCs w:val="18"/>
              </w:rPr>
              <w:t>podkarpackie</w:t>
            </w:r>
          </w:p>
        </w:tc>
        <w:tc>
          <w:tcPr>
            <w:tcW w:w="848" w:type="dxa"/>
          </w:tcPr>
          <w:p w14:paraId="4677E772" w14:textId="77777777" w:rsidR="00003E46" w:rsidRPr="0019609D" w:rsidRDefault="00003E46" w:rsidP="00BD02D7">
            <w:pPr>
              <w:jc w:val="center"/>
              <w:rPr>
                <w:rFonts w:ascii="Lato" w:hAnsi="Lato"/>
                <w:sz w:val="18"/>
                <w:szCs w:val="18"/>
              </w:rPr>
            </w:pPr>
          </w:p>
          <w:p w14:paraId="00F6D7EF" w14:textId="77777777" w:rsidR="00003E46" w:rsidRPr="0019609D" w:rsidRDefault="00003E46" w:rsidP="00BD02D7">
            <w:pPr>
              <w:rPr>
                <w:rFonts w:ascii="Lato" w:hAnsi="Lato"/>
                <w:sz w:val="18"/>
                <w:szCs w:val="18"/>
              </w:rPr>
            </w:pPr>
            <w:r w:rsidRPr="0019609D">
              <w:rPr>
                <w:rFonts w:ascii="Lato" w:hAnsi="Lato"/>
                <w:sz w:val="18"/>
                <w:szCs w:val="18"/>
              </w:rPr>
              <w:t>160</w:t>
            </w:r>
          </w:p>
        </w:tc>
        <w:tc>
          <w:tcPr>
            <w:tcW w:w="789" w:type="dxa"/>
          </w:tcPr>
          <w:p w14:paraId="18C6A54C" w14:textId="77777777" w:rsidR="00003E46" w:rsidRPr="0019609D" w:rsidRDefault="00003E46" w:rsidP="00BD02D7">
            <w:pPr>
              <w:jc w:val="center"/>
              <w:rPr>
                <w:rFonts w:ascii="Lato" w:hAnsi="Lato"/>
                <w:sz w:val="18"/>
                <w:szCs w:val="18"/>
              </w:rPr>
            </w:pPr>
          </w:p>
          <w:p w14:paraId="17C0144D" w14:textId="77777777" w:rsidR="00003E46" w:rsidRPr="0019609D" w:rsidRDefault="00003E46" w:rsidP="00BD02D7">
            <w:pPr>
              <w:rPr>
                <w:rFonts w:ascii="Lato" w:hAnsi="Lato"/>
                <w:sz w:val="18"/>
                <w:szCs w:val="18"/>
              </w:rPr>
            </w:pPr>
            <w:r w:rsidRPr="0019609D">
              <w:rPr>
                <w:rFonts w:ascii="Lato" w:hAnsi="Lato"/>
                <w:sz w:val="18"/>
                <w:szCs w:val="18"/>
              </w:rPr>
              <w:t>11</w:t>
            </w:r>
          </w:p>
        </w:tc>
        <w:tc>
          <w:tcPr>
            <w:tcW w:w="789" w:type="dxa"/>
          </w:tcPr>
          <w:p w14:paraId="3ED79C16" w14:textId="77777777" w:rsidR="00003E46" w:rsidRPr="0019609D" w:rsidRDefault="00003E46" w:rsidP="00BD02D7">
            <w:pPr>
              <w:rPr>
                <w:rFonts w:ascii="Lato" w:hAnsi="Lato"/>
                <w:sz w:val="18"/>
                <w:szCs w:val="18"/>
              </w:rPr>
            </w:pPr>
          </w:p>
          <w:p w14:paraId="708BCC79"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3E302343" w14:textId="77777777" w:rsidR="00003E46" w:rsidRPr="0019609D" w:rsidRDefault="00003E46" w:rsidP="00BD02D7">
            <w:pPr>
              <w:jc w:val="center"/>
              <w:rPr>
                <w:rFonts w:ascii="Lato" w:hAnsi="Lato"/>
                <w:sz w:val="18"/>
                <w:szCs w:val="18"/>
              </w:rPr>
            </w:pPr>
          </w:p>
          <w:p w14:paraId="57C58AFE" w14:textId="77777777" w:rsidR="00003E46" w:rsidRPr="0019609D" w:rsidRDefault="00003E46" w:rsidP="00BD02D7">
            <w:pPr>
              <w:rPr>
                <w:rFonts w:ascii="Lato" w:hAnsi="Lato"/>
                <w:sz w:val="18"/>
                <w:szCs w:val="18"/>
              </w:rPr>
            </w:pPr>
            <w:r w:rsidRPr="0019609D">
              <w:rPr>
                <w:rFonts w:ascii="Lato" w:hAnsi="Lato"/>
                <w:sz w:val="18"/>
                <w:szCs w:val="18"/>
              </w:rPr>
              <w:t>22</w:t>
            </w:r>
          </w:p>
        </w:tc>
        <w:tc>
          <w:tcPr>
            <w:tcW w:w="789" w:type="dxa"/>
          </w:tcPr>
          <w:p w14:paraId="50722151" w14:textId="77777777" w:rsidR="00003E46" w:rsidRPr="0019609D" w:rsidRDefault="00003E46" w:rsidP="00BD02D7">
            <w:pPr>
              <w:jc w:val="center"/>
              <w:rPr>
                <w:rFonts w:ascii="Lato" w:hAnsi="Lato"/>
                <w:sz w:val="18"/>
                <w:szCs w:val="18"/>
              </w:rPr>
            </w:pPr>
          </w:p>
          <w:p w14:paraId="4575019C"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89" w:type="dxa"/>
          </w:tcPr>
          <w:p w14:paraId="34CB87B4" w14:textId="77777777" w:rsidR="00003E46" w:rsidRPr="0019609D" w:rsidRDefault="00003E46" w:rsidP="00BD02D7">
            <w:pPr>
              <w:jc w:val="center"/>
              <w:rPr>
                <w:rFonts w:ascii="Lato" w:hAnsi="Lato"/>
                <w:sz w:val="18"/>
                <w:szCs w:val="18"/>
              </w:rPr>
            </w:pPr>
          </w:p>
          <w:p w14:paraId="7F21C98C" w14:textId="77777777" w:rsidR="00003E46" w:rsidRPr="0019609D" w:rsidRDefault="00003E46" w:rsidP="00BD02D7">
            <w:pPr>
              <w:rPr>
                <w:rFonts w:ascii="Lato" w:hAnsi="Lato"/>
                <w:sz w:val="18"/>
                <w:szCs w:val="18"/>
              </w:rPr>
            </w:pPr>
            <w:r w:rsidRPr="0019609D">
              <w:rPr>
                <w:rFonts w:ascii="Lato" w:hAnsi="Lato"/>
                <w:sz w:val="18"/>
                <w:szCs w:val="18"/>
              </w:rPr>
              <w:t>26</w:t>
            </w:r>
          </w:p>
        </w:tc>
        <w:tc>
          <w:tcPr>
            <w:tcW w:w="790" w:type="dxa"/>
          </w:tcPr>
          <w:p w14:paraId="4E3DF2CD" w14:textId="77777777" w:rsidR="00003E46" w:rsidRPr="0019609D" w:rsidRDefault="00003E46" w:rsidP="00BD02D7">
            <w:pPr>
              <w:jc w:val="center"/>
              <w:rPr>
                <w:rFonts w:ascii="Lato" w:hAnsi="Lato"/>
                <w:sz w:val="18"/>
                <w:szCs w:val="18"/>
              </w:rPr>
            </w:pPr>
          </w:p>
          <w:p w14:paraId="39986E87" w14:textId="77777777" w:rsidR="00003E46" w:rsidRPr="0019609D" w:rsidRDefault="00003E46" w:rsidP="00BD02D7">
            <w:pPr>
              <w:rPr>
                <w:rFonts w:ascii="Lato" w:hAnsi="Lato"/>
                <w:sz w:val="18"/>
                <w:szCs w:val="18"/>
              </w:rPr>
            </w:pPr>
            <w:r w:rsidRPr="0019609D">
              <w:rPr>
                <w:rFonts w:ascii="Lato" w:hAnsi="Lato"/>
                <w:sz w:val="18"/>
                <w:szCs w:val="18"/>
              </w:rPr>
              <w:t>25</w:t>
            </w:r>
          </w:p>
        </w:tc>
        <w:tc>
          <w:tcPr>
            <w:tcW w:w="790" w:type="dxa"/>
          </w:tcPr>
          <w:p w14:paraId="27D4F288" w14:textId="77777777" w:rsidR="00003E46" w:rsidRPr="0019609D" w:rsidRDefault="00003E46" w:rsidP="00BD02D7">
            <w:pPr>
              <w:jc w:val="center"/>
              <w:rPr>
                <w:rFonts w:ascii="Lato" w:hAnsi="Lato"/>
                <w:sz w:val="18"/>
                <w:szCs w:val="18"/>
              </w:rPr>
            </w:pPr>
          </w:p>
          <w:p w14:paraId="2F691BCE" w14:textId="77777777" w:rsidR="00003E46" w:rsidRPr="0019609D" w:rsidRDefault="00003E46" w:rsidP="00BD02D7">
            <w:pPr>
              <w:rPr>
                <w:rFonts w:ascii="Lato" w:hAnsi="Lato"/>
                <w:sz w:val="18"/>
                <w:szCs w:val="18"/>
              </w:rPr>
            </w:pPr>
            <w:r w:rsidRPr="0019609D">
              <w:rPr>
                <w:rFonts w:ascii="Lato" w:hAnsi="Lato"/>
                <w:sz w:val="18"/>
                <w:szCs w:val="18"/>
              </w:rPr>
              <w:t>25</w:t>
            </w:r>
          </w:p>
        </w:tc>
      </w:tr>
      <w:tr w:rsidR="00003E46" w:rsidRPr="0019609D" w14:paraId="3E7D45D5" w14:textId="77777777" w:rsidTr="00BD02D7">
        <w:tc>
          <w:tcPr>
            <w:tcW w:w="474" w:type="dxa"/>
          </w:tcPr>
          <w:p w14:paraId="6E3B301D" w14:textId="77777777" w:rsidR="00003E46" w:rsidRPr="0019609D" w:rsidRDefault="00003E46" w:rsidP="00BD02D7">
            <w:pPr>
              <w:rPr>
                <w:rFonts w:ascii="Lato" w:hAnsi="Lato"/>
                <w:sz w:val="18"/>
                <w:szCs w:val="18"/>
              </w:rPr>
            </w:pPr>
            <w:r w:rsidRPr="0019609D">
              <w:rPr>
                <w:rFonts w:ascii="Lato" w:hAnsi="Lato"/>
                <w:sz w:val="18"/>
                <w:szCs w:val="18"/>
              </w:rPr>
              <w:t>6.</w:t>
            </w:r>
          </w:p>
        </w:tc>
        <w:tc>
          <w:tcPr>
            <w:tcW w:w="2215" w:type="dxa"/>
          </w:tcPr>
          <w:p w14:paraId="6FB1B45B" w14:textId="77777777" w:rsidR="00003E46" w:rsidRPr="0019609D" w:rsidRDefault="00003E46" w:rsidP="00BD02D7">
            <w:pPr>
              <w:rPr>
                <w:rFonts w:ascii="Lato" w:hAnsi="Lato"/>
                <w:sz w:val="18"/>
                <w:szCs w:val="18"/>
              </w:rPr>
            </w:pPr>
          </w:p>
          <w:p w14:paraId="0F60EF96" w14:textId="77777777" w:rsidR="00003E46" w:rsidRPr="0019609D" w:rsidRDefault="00003E46" w:rsidP="00BD02D7">
            <w:pPr>
              <w:rPr>
                <w:rFonts w:ascii="Lato" w:hAnsi="Lato"/>
                <w:sz w:val="18"/>
                <w:szCs w:val="18"/>
              </w:rPr>
            </w:pPr>
            <w:r w:rsidRPr="0019609D">
              <w:rPr>
                <w:rFonts w:ascii="Lato" w:hAnsi="Lato"/>
                <w:sz w:val="18"/>
                <w:szCs w:val="18"/>
              </w:rPr>
              <w:t>małopolskie</w:t>
            </w:r>
          </w:p>
        </w:tc>
        <w:tc>
          <w:tcPr>
            <w:tcW w:w="848" w:type="dxa"/>
          </w:tcPr>
          <w:p w14:paraId="14D40FF5" w14:textId="77777777" w:rsidR="00003E46" w:rsidRPr="0019609D" w:rsidRDefault="00003E46" w:rsidP="00BD02D7">
            <w:pPr>
              <w:jc w:val="center"/>
              <w:rPr>
                <w:rFonts w:ascii="Lato" w:hAnsi="Lato"/>
                <w:sz w:val="18"/>
                <w:szCs w:val="18"/>
              </w:rPr>
            </w:pPr>
          </w:p>
          <w:p w14:paraId="2674E1E7" w14:textId="77777777" w:rsidR="00003E46" w:rsidRPr="0019609D" w:rsidRDefault="00003E46" w:rsidP="00BD02D7">
            <w:pPr>
              <w:rPr>
                <w:rFonts w:ascii="Lato" w:hAnsi="Lato"/>
                <w:sz w:val="18"/>
                <w:szCs w:val="18"/>
              </w:rPr>
            </w:pPr>
            <w:r w:rsidRPr="0019609D">
              <w:rPr>
                <w:rFonts w:ascii="Lato" w:hAnsi="Lato"/>
                <w:sz w:val="18"/>
                <w:szCs w:val="18"/>
              </w:rPr>
              <w:t>182</w:t>
            </w:r>
          </w:p>
        </w:tc>
        <w:tc>
          <w:tcPr>
            <w:tcW w:w="789" w:type="dxa"/>
          </w:tcPr>
          <w:p w14:paraId="6D0B21B9" w14:textId="77777777" w:rsidR="00003E46" w:rsidRPr="0019609D" w:rsidRDefault="00003E46" w:rsidP="00BD02D7">
            <w:pPr>
              <w:jc w:val="center"/>
              <w:rPr>
                <w:rFonts w:ascii="Lato" w:hAnsi="Lato"/>
                <w:sz w:val="18"/>
                <w:szCs w:val="18"/>
              </w:rPr>
            </w:pPr>
          </w:p>
          <w:p w14:paraId="5F19A8FF" w14:textId="77777777" w:rsidR="00003E46" w:rsidRPr="0019609D" w:rsidRDefault="00003E46" w:rsidP="00BD02D7">
            <w:pPr>
              <w:rPr>
                <w:rFonts w:ascii="Lato" w:hAnsi="Lato"/>
                <w:sz w:val="18"/>
                <w:szCs w:val="18"/>
              </w:rPr>
            </w:pPr>
            <w:r w:rsidRPr="0019609D">
              <w:rPr>
                <w:rFonts w:ascii="Lato" w:hAnsi="Lato"/>
                <w:sz w:val="18"/>
                <w:szCs w:val="18"/>
              </w:rPr>
              <w:t>17</w:t>
            </w:r>
          </w:p>
        </w:tc>
        <w:tc>
          <w:tcPr>
            <w:tcW w:w="789" w:type="dxa"/>
          </w:tcPr>
          <w:p w14:paraId="767522F6" w14:textId="77777777" w:rsidR="00003E46" w:rsidRPr="0019609D" w:rsidRDefault="00003E46" w:rsidP="00BD02D7">
            <w:pPr>
              <w:rPr>
                <w:rFonts w:ascii="Lato" w:hAnsi="Lato"/>
                <w:sz w:val="18"/>
                <w:szCs w:val="18"/>
              </w:rPr>
            </w:pPr>
          </w:p>
          <w:p w14:paraId="06CB3FE4" w14:textId="77777777" w:rsidR="00003E46" w:rsidRPr="0019609D" w:rsidRDefault="00003E46" w:rsidP="00BD02D7">
            <w:pPr>
              <w:rPr>
                <w:rFonts w:ascii="Lato" w:hAnsi="Lato"/>
                <w:sz w:val="18"/>
                <w:szCs w:val="18"/>
              </w:rPr>
            </w:pPr>
            <w:r w:rsidRPr="0019609D">
              <w:rPr>
                <w:rFonts w:ascii="Lato" w:hAnsi="Lato"/>
                <w:sz w:val="18"/>
                <w:szCs w:val="18"/>
              </w:rPr>
              <w:t>26</w:t>
            </w:r>
          </w:p>
        </w:tc>
        <w:tc>
          <w:tcPr>
            <w:tcW w:w="789" w:type="dxa"/>
          </w:tcPr>
          <w:p w14:paraId="3E5EBF82" w14:textId="77777777" w:rsidR="00003E46" w:rsidRPr="0019609D" w:rsidRDefault="00003E46" w:rsidP="00BD02D7">
            <w:pPr>
              <w:jc w:val="center"/>
              <w:rPr>
                <w:rFonts w:ascii="Lato" w:hAnsi="Lato"/>
                <w:sz w:val="18"/>
                <w:szCs w:val="18"/>
              </w:rPr>
            </w:pPr>
          </w:p>
          <w:p w14:paraId="53E5A21C" w14:textId="77777777" w:rsidR="00003E46" w:rsidRPr="0019609D" w:rsidRDefault="00003E46" w:rsidP="00BD02D7">
            <w:pPr>
              <w:rPr>
                <w:rFonts w:ascii="Lato" w:hAnsi="Lato"/>
                <w:sz w:val="18"/>
                <w:szCs w:val="18"/>
              </w:rPr>
            </w:pPr>
            <w:r w:rsidRPr="0019609D">
              <w:rPr>
                <w:rFonts w:ascii="Lato" w:hAnsi="Lato"/>
                <w:sz w:val="18"/>
                <w:szCs w:val="18"/>
              </w:rPr>
              <w:t>35</w:t>
            </w:r>
          </w:p>
        </w:tc>
        <w:tc>
          <w:tcPr>
            <w:tcW w:w="789" w:type="dxa"/>
          </w:tcPr>
          <w:p w14:paraId="2B88FBBE" w14:textId="77777777" w:rsidR="00003E46" w:rsidRPr="0019609D" w:rsidRDefault="00003E46" w:rsidP="00BD02D7">
            <w:pPr>
              <w:jc w:val="center"/>
              <w:rPr>
                <w:rFonts w:ascii="Lato" w:hAnsi="Lato"/>
                <w:sz w:val="18"/>
                <w:szCs w:val="18"/>
              </w:rPr>
            </w:pPr>
          </w:p>
          <w:p w14:paraId="412E6D42" w14:textId="77777777" w:rsidR="00003E46" w:rsidRPr="0019609D" w:rsidRDefault="00003E46" w:rsidP="00BD02D7">
            <w:pPr>
              <w:rPr>
                <w:rFonts w:ascii="Lato" w:hAnsi="Lato"/>
                <w:sz w:val="18"/>
                <w:szCs w:val="18"/>
              </w:rPr>
            </w:pPr>
            <w:r w:rsidRPr="0019609D">
              <w:rPr>
                <w:rFonts w:ascii="Lato" w:hAnsi="Lato"/>
                <w:sz w:val="18"/>
                <w:szCs w:val="18"/>
              </w:rPr>
              <w:t>34</w:t>
            </w:r>
          </w:p>
        </w:tc>
        <w:tc>
          <w:tcPr>
            <w:tcW w:w="789" w:type="dxa"/>
          </w:tcPr>
          <w:p w14:paraId="2D225086" w14:textId="77777777" w:rsidR="00003E46" w:rsidRPr="0019609D" w:rsidRDefault="00003E46" w:rsidP="00BD02D7">
            <w:pPr>
              <w:jc w:val="center"/>
              <w:rPr>
                <w:rFonts w:ascii="Lato" w:hAnsi="Lato"/>
                <w:sz w:val="18"/>
                <w:szCs w:val="18"/>
              </w:rPr>
            </w:pPr>
          </w:p>
          <w:p w14:paraId="1877EC77" w14:textId="77777777" w:rsidR="00003E46" w:rsidRPr="0019609D" w:rsidRDefault="00003E46" w:rsidP="00BD02D7">
            <w:pPr>
              <w:rPr>
                <w:rFonts w:ascii="Lato" w:hAnsi="Lato"/>
                <w:sz w:val="18"/>
                <w:szCs w:val="18"/>
              </w:rPr>
            </w:pPr>
            <w:r w:rsidRPr="0019609D">
              <w:rPr>
                <w:rFonts w:ascii="Lato" w:hAnsi="Lato"/>
                <w:sz w:val="18"/>
                <w:szCs w:val="18"/>
              </w:rPr>
              <w:t>37</w:t>
            </w:r>
          </w:p>
        </w:tc>
        <w:tc>
          <w:tcPr>
            <w:tcW w:w="790" w:type="dxa"/>
          </w:tcPr>
          <w:p w14:paraId="4BB74528" w14:textId="77777777" w:rsidR="00003E46" w:rsidRPr="0019609D" w:rsidRDefault="00003E46" w:rsidP="00BD02D7">
            <w:pPr>
              <w:jc w:val="center"/>
              <w:rPr>
                <w:rFonts w:ascii="Lato" w:hAnsi="Lato"/>
                <w:sz w:val="18"/>
                <w:szCs w:val="18"/>
              </w:rPr>
            </w:pPr>
          </w:p>
          <w:p w14:paraId="50E4E4A6" w14:textId="77777777" w:rsidR="00003E46" w:rsidRPr="0019609D" w:rsidRDefault="00003E46" w:rsidP="00BD02D7">
            <w:pPr>
              <w:rPr>
                <w:rFonts w:ascii="Lato" w:hAnsi="Lato"/>
                <w:sz w:val="18"/>
                <w:szCs w:val="18"/>
              </w:rPr>
            </w:pPr>
            <w:r w:rsidRPr="0019609D">
              <w:rPr>
                <w:rFonts w:ascii="Lato" w:hAnsi="Lato"/>
                <w:sz w:val="18"/>
                <w:szCs w:val="18"/>
              </w:rPr>
              <w:t>35</w:t>
            </w:r>
          </w:p>
        </w:tc>
        <w:tc>
          <w:tcPr>
            <w:tcW w:w="790" w:type="dxa"/>
          </w:tcPr>
          <w:p w14:paraId="78249B54" w14:textId="77777777" w:rsidR="00003E46" w:rsidRPr="0019609D" w:rsidRDefault="00003E46" w:rsidP="00BD02D7">
            <w:pPr>
              <w:jc w:val="center"/>
              <w:rPr>
                <w:rFonts w:ascii="Lato" w:hAnsi="Lato"/>
                <w:sz w:val="18"/>
                <w:szCs w:val="18"/>
              </w:rPr>
            </w:pPr>
          </w:p>
          <w:p w14:paraId="2F67DC5A" w14:textId="77777777" w:rsidR="00003E46" w:rsidRPr="0019609D" w:rsidRDefault="00003E46" w:rsidP="00BD02D7">
            <w:pPr>
              <w:rPr>
                <w:rFonts w:ascii="Lato" w:hAnsi="Lato"/>
                <w:sz w:val="18"/>
                <w:szCs w:val="18"/>
              </w:rPr>
            </w:pPr>
            <w:r w:rsidRPr="0019609D">
              <w:rPr>
                <w:rFonts w:ascii="Lato" w:hAnsi="Lato"/>
                <w:sz w:val="18"/>
                <w:szCs w:val="18"/>
              </w:rPr>
              <w:t>38</w:t>
            </w:r>
          </w:p>
        </w:tc>
      </w:tr>
      <w:tr w:rsidR="00003E46" w:rsidRPr="0019609D" w14:paraId="2C56F2CE" w14:textId="77777777" w:rsidTr="00BD02D7">
        <w:tc>
          <w:tcPr>
            <w:tcW w:w="474" w:type="dxa"/>
          </w:tcPr>
          <w:p w14:paraId="66ECCDC0" w14:textId="77777777" w:rsidR="00003E46" w:rsidRPr="0019609D" w:rsidRDefault="00003E46" w:rsidP="00BD02D7">
            <w:pPr>
              <w:rPr>
                <w:rFonts w:ascii="Lato" w:hAnsi="Lato"/>
                <w:sz w:val="18"/>
                <w:szCs w:val="18"/>
              </w:rPr>
            </w:pPr>
            <w:r w:rsidRPr="0019609D">
              <w:rPr>
                <w:rFonts w:ascii="Lato" w:hAnsi="Lato"/>
                <w:sz w:val="18"/>
                <w:szCs w:val="18"/>
              </w:rPr>
              <w:t>7.</w:t>
            </w:r>
          </w:p>
        </w:tc>
        <w:tc>
          <w:tcPr>
            <w:tcW w:w="2215" w:type="dxa"/>
          </w:tcPr>
          <w:p w14:paraId="259E22A2" w14:textId="77777777" w:rsidR="00003E46" w:rsidRPr="0019609D" w:rsidRDefault="00003E46" w:rsidP="00BD02D7">
            <w:pPr>
              <w:rPr>
                <w:rFonts w:ascii="Lato" w:hAnsi="Lato"/>
                <w:sz w:val="18"/>
                <w:szCs w:val="18"/>
              </w:rPr>
            </w:pPr>
          </w:p>
          <w:p w14:paraId="3EA35933" w14:textId="77777777" w:rsidR="00003E46" w:rsidRPr="0019609D" w:rsidRDefault="00003E46" w:rsidP="00BD02D7">
            <w:pPr>
              <w:rPr>
                <w:rFonts w:ascii="Lato" w:hAnsi="Lato"/>
                <w:sz w:val="18"/>
                <w:szCs w:val="18"/>
              </w:rPr>
            </w:pPr>
            <w:r w:rsidRPr="0019609D">
              <w:rPr>
                <w:rFonts w:ascii="Lato" w:hAnsi="Lato"/>
                <w:sz w:val="18"/>
                <w:szCs w:val="18"/>
              </w:rPr>
              <w:t>lubelskie</w:t>
            </w:r>
          </w:p>
        </w:tc>
        <w:tc>
          <w:tcPr>
            <w:tcW w:w="848" w:type="dxa"/>
          </w:tcPr>
          <w:p w14:paraId="1BA1C3C9" w14:textId="77777777" w:rsidR="00003E46" w:rsidRPr="0019609D" w:rsidRDefault="00003E46" w:rsidP="00BD02D7">
            <w:pPr>
              <w:jc w:val="center"/>
              <w:rPr>
                <w:rFonts w:ascii="Lato" w:hAnsi="Lato"/>
                <w:sz w:val="18"/>
                <w:szCs w:val="18"/>
              </w:rPr>
            </w:pPr>
          </w:p>
          <w:p w14:paraId="27E0A9B9" w14:textId="77777777" w:rsidR="00003E46" w:rsidRPr="0019609D" w:rsidRDefault="00003E46" w:rsidP="00BD02D7">
            <w:pPr>
              <w:rPr>
                <w:rFonts w:ascii="Lato" w:hAnsi="Lato"/>
                <w:sz w:val="18"/>
                <w:szCs w:val="18"/>
              </w:rPr>
            </w:pPr>
            <w:r w:rsidRPr="0019609D">
              <w:rPr>
                <w:rFonts w:ascii="Lato" w:hAnsi="Lato"/>
                <w:sz w:val="18"/>
                <w:szCs w:val="18"/>
              </w:rPr>
              <w:t>213</w:t>
            </w:r>
          </w:p>
        </w:tc>
        <w:tc>
          <w:tcPr>
            <w:tcW w:w="789" w:type="dxa"/>
          </w:tcPr>
          <w:p w14:paraId="70DBDE6B" w14:textId="77777777" w:rsidR="00003E46" w:rsidRPr="0019609D" w:rsidRDefault="00003E46" w:rsidP="00BD02D7">
            <w:pPr>
              <w:jc w:val="center"/>
              <w:rPr>
                <w:rFonts w:ascii="Lato" w:hAnsi="Lato"/>
                <w:sz w:val="18"/>
                <w:szCs w:val="18"/>
              </w:rPr>
            </w:pPr>
          </w:p>
          <w:p w14:paraId="3DF0A243" w14:textId="77777777" w:rsidR="00003E46" w:rsidRPr="0019609D" w:rsidRDefault="00003E46" w:rsidP="00BD02D7">
            <w:pPr>
              <w:rPr>
                <w:rFonts w:ascii="Lato" w:hAnsi="Lato"/>
                <w:sz w:val="18"/>
                <w:szCs w:val="18"/>
              </w:rPr>
            </w:pPr>
            <w:r w:rsidRPr="0019609D">
              <w:rPr>
                <w:rFonts w:ascii="Lato" w:hAnsi="Lato"/>
                <w:sz w:val="18"/>
                <w:szCs w:val="18"/>
              </w:rPr>
              <w:t>10</w:t>
            </w:r>
          </w:p>
        </w:tc>
        <w:tc>
          <w:tcPr>
            <w:tcW w:w="789" w:type="dxa"/>
          </w:tcPr>
          <w:p w14:paraId="538DB3B0" w14:textId="77777777" w:rsidR="00003E46" w:rsidRPr="0019609D" w:rsidRDefault="00003E46" w:rsidP="00BD02D7">
            <w:pPr>
              <w:rPr>
                <w:rFonts w:ascii="Lato" w:hAnsi="Lato"/>
                <w:sz w:val="18"/>
                <w:szCs w:val="18"/>
              </w:rPr>
            </w:pPr>
          </w:p>
          <w:p w14:paraId="7E334E7C" w14:textId="77777777" w:rsidR="00003E46" w:rsidRPr="0019609D" w:rsidRDefault="00003E46" w:rsidP="00BD02D7">
            <w:pPr>
              <w:rPr>
                <w:rFonts w:ascii="Lato" w:hAnsi="Lato"/>
                <w:sz w:val="18"/>
                <w:szCs w:val="18"/>
              </w:rPr>
            </w:pPr>
            <w:r w:rsidRPr="0019609D">
              <w:rPr>
                <w:rFonts w:ascii="Lato" w:hAnsi="Lato"/>
                <w:sz w:val="18"/>
                <w:szCs w:val="18"/>
              </w:rPr>
              <w:t>18</w:t>
            </w:r>
          </w:p>
        </w:tc>
        <w:tc>
          <w:tcPr>
            <w:tcW w:w="789" w:type="dxa"/>
          </w:tcPr>
          <w:p w14:paraId="1156EC4D" w14:textId="77777777" w:rsidR="00003E46" w:rsidRPr="0019609D" w:rsidRDefault="00003E46" w:rsidP="00BD02D7">
            <w:pPr>
              <w:jc w:val="center"/>
              <w:rPr>
                <w:rFonts w:ascii="Lato" w:hAnsi="Lato"/>
                <w:sz w:val="18"/>
                <w:szCs w:val="18"/>
              </w:rPr>
            </w:pPr>
          </w:p>
          <w:p w14:paraId="4EB40630"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89" w:type="dxa"/>
          </w:tcPr>
          <w:p w14:paraId="6B5E2C76" w14:textId="77777777" w:rsidR="00003E46" w:rsidRPr="0019609D" w:rsidRDefault="00003E46" w:rsidP="00BD02D7">
            <w:pPr>
              <w:jc w:val="center"/>
              <w:rPr>
                <w:rFonts w:ascii="Lato" w:hAnsi="Lato"/>
                <w:sz w:val="18"/>
                <w:szCs w:val="18"/>
              </w:rPr>
            </w:pPr>
          </w:p>
          <w:p w14:paraId="16DCA095"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89" w:type="dxa"/>
          </w:tcPr>
          <w:p w14:paraId="29093565" w14:textId="77777777" w:rsidR="00003E46" w:rsidRPr="0019609D" w:rsidRDefault="00003E46" w:rsidP="00BD02D7">
            <w:pPr>
              <w:jc w:val="center"/>
              <w:rPr>
                <w:rFonts w:ascii="Lato" w:hAnsi="Lato"/>
                <w:sz w:val="18"/>
                <w:szCs w:val="18"/>
              </w:rPr>
            </w:pPr>
          </w:p>
          <w:p w14:paraId="61521F2F" w14:textId="77777777" w:rsidR="00003E46" w:rsidRPr="0019609D" w:rsidRDefault="00003E46" w:rsidP="00BD02D7">
            <w:pPr>
              <w:rPr>
                <w:rFonts w:ascii="Lato" w:hAnsi="Lato"/>
                <w:sz w:val="18"/>
                <w:szCs w:val="18"/>
              </w:rPr>
            </w:pPr>
            <w:r w:rsidRPr="0019609D">
              <w:rPr>
                <w:rFonts w:ascii="Lato" w:hAnsi="Lato"/>
                <w:sz w:val="18"/>
                <w:szCs w:val="18"/>
              </w:rPr>
              <w:t>22</w:t>
            </w:r>
          </w:p>
        </w:tc>
        <w:tc>
          <w:tcPr>
            <w:tcW w:w="790" w:type="dxa"/>
          </w:tcPr>
          <w:p w14:paraId="26833075" w14:textId="77777777" w:rsidR="00003E46" w:rsidRPr="0019609D" w:rsidRDefault="00003E46" w:rsidP="00BD02D7">
            <w:pPr>
              <w:jc w:val="center"/>
              <w:rPr>
                <w:rFonts w:ascii="Lato" w:hAnsi="Lato"/>
                <w:sz w:val="18"/>
                <w:szCs w:val="18"/>
              </w:rPr>
            </w:pPr>
          </w:p>
          <w:p w14:paraId="11E6BEF1" w14:textId="77777777" w:rsidR="00003E46" w:rsidRPr="0019609D" w:rsidRDefault="00003E46" w:rsidP="00BD02D7">
            <w:pPr>
              <w:rPr>
                <w:rFonts w:ascii="Lato" w:hAnsi="Lato"/>
                <w:sz w:val="18"/>
                <w:szCs w:val="18"/>
              </w:rPr>
            </w:pPr>
            <w:r w:rsidRPr="0019609D">
              <w:rPr>
                <w:rFonts w:ascii="Lato" w:hAnsi="Lato"/>
                <w:sz w:val="18"/>
                <w:szCs w:val="18"/>
              </w:rPr>
              <w:t>25</w:t>
            </w:r>
          </w:p>
        </w:tc>
        <w:tc>
          <w:tcPr>
            <w:tcW w:w="790" w:type="dxa"/>
          </w:tcPr>
          <w:p w14:paraId="5C37CD22" w14:textId="77777777" w:rsidR="00003E46" w:rsidRPr="0019609D" w:rsidRDefault="00003E46" w:rsidP="00BD02D7">
            <w:pPr>
              <w:jc w:val="center"/>
              <w:rPr>
                <w:rFonts w:ascii="Lato" w:hAnsi="Lato"/>
                <w:sz w:val="18"/>
                <w:szCs w:val="18"/>
              </w:rPr>
            </w:pPr>
          </w:p>
          <w:p w14:paraId="63C58A49" w14:textId="77777777" w:rsidR="00003E46" w:rsidRPr="0019609D" w:rsidRDefault="00003E46" w:rsidP="00BD02D7">
            <w:pPr>
              <w:rPr>
                <w:rFonts w:ascii="Lato" w:hAnsi="Lato"/>
                <w:sz w:val="18"/>
                <w:szCs w:val="18"/>
              </w:rPr>
            </w:pPr>
            <w:r w:rsidRPr="0019609D">
              <w:rPr>
                <w:rFonts w:ascii="Lato" w:hAnsi="Lato"/>
                <w:sz w:val="18"/>
                <w:szCs w:val="18"/>
              </w:rPr>
              <w:t>27</w:t>
            </w:r>
          </w:p>
        </w:tc>
      </w:tr>
      <w:tr w:rsidR="00003E46" w:rsidRPr="0019609D" w14:paraId="18AD8617" w14:textId="77777777" w:rsidTr="00BD02D7">
        <w:tc>
          <w:tcPr>
            <w:tcW w:w="474" w:type="dxa"/>
          </w:tcPr>
          <w:p w14:paraId="1EAD8BF9" w14:textId="77777777" w:rsidR="00003E46" w:rsidRPr="0019609D" w:rsidRDefault="00003E46" w:rsidP="00BD02D7">
            <w:pPr>
              <w:rPr>
                <w:rFonts w:ascii="Lato" w:hAnsi="Lato"/>
                <w:sz w:val="18"/>
                <w:szCs w:val="18"/>
              </w:rPr>
            </w:pPr>
            <w:r w:rsidRPr="0019609D">
              <w:rPr>
                <w:rFonts w:ascii="Lato" w:hAnsi="Lato"/>
                <w:sz w:val="18"/>
                <w:szCs w:val="18"/>
              </w:rPr>
              <w:t>8.</w:t>
            </w:r>
          </w:p>
        </w:tc>
        <w:tc>
          <w:tcPr>
            <w:tcW w:w="2215" w:type="dxa"/>
          </w:tcPr>
          <w:p w14:paraId="02DF9FB6" w14:textId="77777777" w:rsidR="00003E46" w:rsidRPr="0019609D" w:rsidRDefault="00003E46" w:rsidP="00BD02D7">
            <w:pPr>
              <w:rPr>
                <w:rFonts w:ascii="Lato" w:hAnsi="Lato"/>
                <w:sz w:val="18"/>
                <w:szCs w:val="18"/>
              </w:rPr>
            </w:pPr>
          </w:p>
          <w:p w14:paraId="57FEAAD5" w14:textId="77777777" w:rsidR="00003E46" w:rsidRPr="0019609D" w:rsidRDefault="00003E46" w:rsidP="00BD02D7">
            <w:pPr>
              <w:rPr>
                <w:rFonts w:ascii="Lato" w:hAnsi="Lato"/>
                <w:sz w:val="18"/>
                <w:szCs w:val="18"/>
              </w:rPr>
            </w:pPr>
            <w:r w:rsidRPr="0019609D">
              <w:rPr>
                <w:rFonts w:ascii="Lato" w:hAnsi="Lato"/>
                <w:sz w:val="18"/>
                <w:szCs w:val="18"/>
              </w:rPr>
              <w:t>mazowieckie</w:t>
            </w:r>
          </w:p>
        </w:tc>
        <w:tc>
          <w:tcPr>
            <w:tcW w:w="848" w:type="dxa"/>
          </w:tcPr>
          <w:p w14:paraId="5FECA38B" w14:textId="77777777" w:rsidR="00003E46" w:rsidRPr="0019609D" w:rsidRDefault="00003E46" w:rsidP="00BD02D7">
            <w:pPr>
              <w:jc w:val="center"/>
              <w:rPr>
                <w:rFonts w:ascii="Lato" w:hAnsi="Lato"/>
                <w:sz w:val="18"/>
                <w:szCs w:val="18"/>
              </w:rPr>
            </w:pPr>
          </w:p>
          <w:p w14:paraId="144AE723" w14:textId="77777777" w:rsidR="00003E46" w:rsidRPr="0019609D" w:rsidRDefault="00003E46" w:rsidP="00BD02D7">
            <w:pPr>
              <w:rPr>
                <w:rFonts w:ascii="Lato" w:hAnsi="Lato"/>
                <w:sz w:val="18"/>
                <w:szCs w:val="18"/>
              </w:rPr>
            </w:pPr>
            <w:r w:rsidRPr="0019609D">
              <w:rPr>
                <w:rFonts w:ascii="Lato" w:hAnsi="Lato"/>
                <w:sz w:val="18"/>
                <w:szCs w:val="18"/>
              </w:rPr>
              <w:t>314</w:t>
            </w:r>
          </w:p>
        </w:tc>
        <w:tc>
          <w:tcPr>
            <w:tcW w:w="789" w:type="dxa"/>
          </w:tcPr>
          <w:p w14:paraId="1891E2D0" w14:textId="77777777" w:rsidR="00003E46" w:rsidRPr="0019609D" w:rsidRDefault="00003E46" w:rsidP="00BD02D7">
            <w:pPr>
              <w:jc w:val="center"/>
              <w:rPr>
                <w:rFonts w:ascii="Lato" w:hAnsi="Lato"/>
                <w:sz w:val="18"/>
                <w:szCs w:val="18"/>
              </w:rPr>
            </w:pPr>
          </w:p>
          <w:p w14:paraId="2FB708C6" w14:textId="77777777" w:rsidR="00003E46" w:rsidRPr="0019609D" w:rsidRDefault="00003E46" w:rsidP="00BD02D7">
            <w:pPr>
              <w:rPr>
                <w:rFonts w:ascii="Lato" w:hAnsi="Lato"/>
                <w:sz w:val="18"/>
                <w:szCs w:val="18"/>
              </w:rPr>
            </w:pPr>
            <w:r w:rsidRPr="0019609D">
              <w:rPr>
                <w:rFonts w:ascii="Lato" w:hAnsi="Lato"/>
                <w:sz w:val="18"/>
                <w:szCs w:val="18"/>
              </w:rPr>
              <w:t xml:space="preserve">17 </w:t>
            </w:r>
          </w:p>
        </w:tc>
        <w:tc>
          <w:tcPr>
            <w:tcW w:w="789" w:type="dxa"/>
          </w:tcPr>
          <w:p w14:paraId="1BD86B26" w14:textId="77777777" w:rsidR="00003E46" w:rsidRPr="0019609D" w:rsidRDefault="00003E46" w:rsidP="00BD02D7">
            <w:pPr>
              <w:jc w:val="center"/>
              <w:rPr>
                <w:rFonts w:ascii="Lato" w:hAnsi="Lato"/>
                <w:sz w:val="18"/>
                <w:szCs w:val="18"/>
              </w:rPr>
            </w:pPr>
          </w:p>
          <w:p w14:paraId="589354C3" w14:textId="77777777" w:rsidR="00003E46" w:rsidRPr="0019609D" w:rsidRDefault="00003E46" w:rsidP="00BD02D7">
            <w:pPr>
              <w:rPr>
                <w:rFonts w:ascii="Lato" w:hAnsi="Lato"/>
                <w:sz w:val="18"/>
                <w:szCs w:val="18"/>
              </w:rPr>
            </w:pPr>
            <w:r w:rsidRPr="0019609D">
              <w:rPr>
                <w:rFonts w:ascii="Lato" w:hAnsi="Lato"/>
                <w:sz w:val="18"/>
                <w:szCs w:val="18"/>
              </w:rPr>
              <w:t xml:space="preserve">41 </w:t>
            </w:r>
          </w:p>
        </w:tc>
        <w:tc>
          <w:tcPr>
            <w:tcW w:w="789" w:type="dxa"/>
          </w:tcPr>
          <w:p w14:paraId="2727B361" w14:textId="77777777" w:rsidR="00003E46" w:rsidRPr="0019609D" w:rsidRDefault="00003E46" w:rsidP="00BD02D7">
            <w:pPr>
              <w:jc w:val="center"/>
              <w:rPr>
                <w:rFonts w:ascii="Lato" w:hAnsi="Lato"/>
                <w:sz w:val="18"/>
                <w:szCs w:val="18"/>
              </w:rPr>
            </w:pPr>
          </w:p>
          <w:p w14:paraId="3919515A" w14:textId="77777777" w:rsidR="00003E46" w:rsidRPr="0019609D" w:rsidRDefault="00003E46" w:rsidP="00BD02D7">
            <w:pPr>
              <w:jc w:val="center"/>
              <w:rPr>
                <w:rFonts w:ascii="Lato" w:hAnsi="Lato"/>
                <w:sz w:val="18"/>
                <w:szCs w:val="18"/>
              </w:rPr>
            </w:pPr>
            <w:r w:rsidRPr="0019609D">
              <w:rPr>
                <w:rFonts w:ascii="Lato" w:hAnsi="Lato"/>
                <w:sz w:val="18"/>
                <w:szCs w:val="18"/>
              </w:rPr>
              <w:t xml:space="preserve">29 </w:t>
            </w:r>
          </w:p>
          <w:p w14:paraId="1B52BD9E" w14:textId="77777777" w:rsidR="00003E46" w:rsidRPr="0019609D" w:rsidRDefault="00003E46" w:rsidP="00BD02D7">
            <w:pPr>
              <w:rPr>
                <w:rFonts w:ascii="Lato" w:hAnsi="Lato"/>
                <w:sz w:val="18"/>
                <w:szCs w:val="18"/>
              </w:rPr>
            </w:pPr>
          </w:p>
        </w:tc>
        <w:tc>
          <w:tcPr>
            <w:tcW w:w="789" w:type="dxa"/>
          </w:tcPr>
          <w:p w14:paraId="50411AA8" w14:textId="77777777" w:rsidR="00003E46" w:rsidRPr="0019609D" w:rsidRDefault="00003E46" w:rsidP="00BD02D7">
            <w:pPr>
              <w:jc w:val="center"/>
              <w:rPr>
                <w:rFonts w:ascii="Lato" w:hAnsi="Lato"/>
                <w:sz w:val="18"/>
                <w:szCs w:val="18"/>
              </w:rPr>
            </w:pPr>
          </w:p>
          <w:p w14:paraId="6CA88B13" w14:textId="77777777" w:rsidR="00003E46" w:rsidRPr="0019609D" w:rsidRDefault="00003E46" w:rsidP="00BD02D7">
            <w:pPr>
              <w:jc w:val="center"/>
              <w:rPr>
                <w:rFonts w:ascii="Lato" w:hAnsi="Lato"/>
                <w:sz w:val="18"/>
                <w:szCs w:val="18"/>
              </w:rPr>
            </w:pPr>
            <w:r w:rsidRPr="0019609D">
              <w:rPr>
                <w:rFonts w:ascii="Lato" w:hAnsi="Lato"/>
                <w:sz w:val="18"/>
                <w:szCs w:val="18"/>
              </w:rPr>
              <w:t xml:space="preserve">36 </w:t>
            </w:r>
          </w:p>
          <w:p w14:paraId="18EC5543" w14:textId="77777777" w:rsidR="00003E46" w:rsidRPr="0019609D" w:rsidRDefault="00003E46" w:rsidP="00BD02D7">
            <w:pPr>
              <w:rPr>
                <w:rFonts w:ascii="Lato" w:hAnsi="Lato"/>
                <w:sz w:val="18"/>
                <w:szCs w:val="18"/>
              </w:rPr>
            </w:pPr>
          </w:p>
        </w:tc>
        <w:tc>
          <w:tcPr>
            <w:tcW w:w="789" w:type="dxa"/>
          </w:tcPr>
          <w:p w14:paraId="3D8F9A78" w14:textId="77777777" w:rsidR="00003E46" w:rsidRPr="0019609D" w:rsidRDefault="00003E46" w:rsidP="00BD02D7">
            <w:pPr>
              <w:jc w:val="center"/>
              <w:rPr>
                <w:rFonts w:ascii="Lato" w:hAnsi="Lato"/>
                <w:sz w:val="18"/>
                <w:szCs w:val="18"/>
              </w:rPr>
            </w:pPr>
          </w:p>
          <w:p w14:paraId="4925D119" w14:textId="77777777" w:rsidR="00003E46" w:rsidRPr="0019609D" w:rsidRDefault="00003E46" w:rsidP="00BD02D7">
            <w:pPr>
              <w:jc w:val="center"/>
              <w:rPr>
                <w:rFonts w:ascii="Lato" w:hAnsi="Lato"/>
                <w:sz w:val="18"/>
                <w:szCs w:val="18"/>
              </w:rPr>
            </w:pPr>
            <w:r w:rsidRPr="0019609D">
              <w:rPr>
                <w:rFonts w:ascii="Lato" w:hAnsi="Lato"/>
                <w:sz w:val="18"/>
                <w:szCs w:val="18"/>
              </w:rPr>
              <w:t xml:space="preserve">33 </w:t>
            </w:r>
          </w:p>
          <w:p w14:paraId="4AD38E50" w14:textId="77777777" w:rsidR="00003E46" w:rsidRPr="0019609D" w:rsidRDefault="00003E46" w:rsidP="00BD02D7">
            <w:pPr>
              <w:rPr>
                <w:rFonts w:ascii="Lato" w:hAnsi="Lato"/>
                <w:sz w:val="18"/>
                <w:szCs w:val="18"/>
              </w:rPr>
            </w:pPr>
          </w:p>
        </w:tc>
        <w:tc>
          <w:tcPr>
            <w:tcW w:w="790" w:type="dxa"/>
          </w:tcPr>
          <w:p w14:paraId="310771EC" w14:textId="77777777" w:rsidR="00003E46" w:rsidRPr="0019609D" w:rsidRDefault="00003E46" w:rsidP="00BD02D7">
            <w:pPr>
              <w:jc w:val="center"/>
              <w:rPr>
                <w:rFonts w:ascii="Lato" w:hAnsi="Lato"/>
                <w:sz w:val="18"/>
                <w:szCs w:val="18"/>
              </w:rPr>
            </w:pPr>
          </w:p>
          <w:p w14:paraId="05AA42EE" w14:textId="77777777" w:rsidR="00003E46" w:rsidRPr="0019609D" w:rsidRDefault="00003E46" w:rsidP="00BD02D7">
            <w:pPr>
              <w:rPr>
                <w:rFonts w:ascii="Lato" w:hAnsi="Lato"/>
                <w:sz w:val="18"/>
                <w:szCs w:val="18"/>
              </w:rPr>
            </w:pPr>
            <w:r w:rsidRPr="0019609D">
              <w:rPr>
                <w:rFonts w:ascii="Lato" w:hAnsi="Lato"/>
                <w:sz w:val="18"/>
                <w:szCs w:val="18"/>
              </w:rPr>
              <w:t>36</w:t>
            </w:r>
          </w:p>
        </w:tc>
        <w:tc>
          <w:tcPr>
            <w:tcW w:w="790" w:type="dxa"/>
          </w:tcPr>
          <w:p w14:paraId="6FD64FEB" w14:textId="77777777" w:rsidR="00003E46" w:rsidRPr="0019609D" w:rsidRDefault="00003E46" w:rsidP="00BD02D7">
            <w:pPr>
              <w:jc w:val="center"/>
              <w:rPr>
                <w:rFonts w:ascii="Lato" w:hAnsi="Lato"/>
                <w:sz w:val="18"/>
                <w:szCs w:val="18"/>
              </w:rPr>
            </w:pPr>
          </w:p>
          <w:p w14:paraId="0BC4D1B3" w14:textId="77777777" w:rsidR="00003E46" w:rsidRPr="0019609D" w:rsidRDefault="00003E46" w:rsidP="00BD02D7">
            <w:pPr>
              <w:rPr>
                <w:rFonts w:ascii="Lato" w:hAnsi="Lato"/>
                <w:sz w:val="18"/>
                <w:szCs w:val="18"/>
              </w:rPr>
            </w:pPr>
            <w:r w:rsidRPr="0019609D">
              <w:rPr>
                <w:rFonts w:ascii="Lato" w:hAnsi="Lato"/>
                <w:sz w:val="18"/>
                <w:szCs w:val="18"/>
              </w:rPr>
              <w:t>50</w:t>
            </w:r>
          </w:p>
        </w:tc>
      </w:tr>
      <w:tr w:rsidR="00003E46" w:rsidRPr="0019609D" w14:paraId="24535393" w14:textId="77777777" w:rsidTr="00BD02D7">
        <w:tc>
          <w:tcPr>
            <w:tcW w:w="474" w:type="dxa"/>
          </w:tcPr>
          <w:p w14:paraId="53FDCD76" w14:textId="77777777" w:rsidR="00003E46" w:rsidRPr="0019609D" w:rsidRDefault="00003E46" w:rsidP="00BD02D7">
            <w:pPr>
              <w:rPr>
                <w:rFonts w:ascii="Lato" w:hAnsi="Lato"/>
                <w:sz w:val="18"/>
                <w:szCs w:val="18"/>
              </w:rPr>
            </w:pPr>
            <w:r w:rsidRPr="0019609D">
              <w:rPr>
                <w:rFonts w:ascii="Lato" w:hAnsi="Lato"/>
                <w:sz w:val="18"/>
                <w:szCs w:val="18"/>
              </w:rPr>
              <w:t>9.</w:t>
            </w:r>
          </w:p>
        </w:tc>
        <w:tc>
          <w:tcPr>
            <w:tcW w:w="2215" w:type="dxa"/>
          </w:tcPr>
          <w:p w14:paraId="4AC00F0B" w14:textId="77777777" w:rsidR="00003E46" w:rsidRPr="0019609D" w:rsidRDefault="00003E46" w:rsidP="00BD02D7">
            <w:pPr>
              <w:rPr>
                <w:rFonts w:ascii="Lato" w:hAnsi="Lato"/>
                <w:sz w:val="18"/>
                <w:szCs w:val="18"/>
              </w:rPr>
            </w:pPr>
          </w:p>
          <w:p w14:paraId="450DF768" w14:textId="77777777" w:rsidR="00003E46" w:rsidRPr="0019609D" w:rsidRDefault="00003E46" w:rsidP="00BD02D7">
            <w:pPr>
              <w:rPr>
                <w:rFonts w:ascii="Lato" w:hAnsi="Lato"/>
                <w:sz w:val="18"/>
                <w:szCs w:val="18"/>
              </w:rPr>
            </w:pPr>
            <w:r w:rsidRPr="0019609D">
              <w:rPr>
                <w:rFonts w:ascii="Lato" w:hAnsi="Lato"/>
                <w:sz w:val="18"/>
                <w:szCs w:val="18"/>
              </w:rPr>
              <w:t>opolskie</w:t>
            </w:r>
          </w:p>
        </w:tc>
        <w:tc>
          <w:tcPr>
            <w:tcW w:w="848" w:type="dxa"/>
          </w:tcPr>
          <w:p w14:paraId="43D92586" w14:textId="77777777" w:rsidR="00003E46" w:rsidRPr="0019609D" w:rsidRDefault="00003E46" w:rsidP="00BD02D7">
            <w:pPr>
              <w:jc w:val="center"/>
              <w:rPr>
                <w:rFonts w:ascii="Lato" w:hAnsi="Lato"/>
                <w:sz w:val="18"/>
                <w:szCs w:val="18"/>
              </w:rPr>
            </w:pPr>
          </w:p>
          <w:p w14:paraId="7C817039" w14:textId="77777777" w:rsidR="00003E46" w:rsidRPr="0019609D" w:rsidRDefault="00003E46" w:rsidP="00BD02D7">
            <w:pPr>
              <w:rPr>
                <w:rFonts w:ascii="Lato" w:hAnsi="Lato"/>
                <w:sz w:val="18"/>
                <w:szCs w:val="18"/>
              </w:rPr>
            </w:pPr>
            <w:r w:rsidRPr="0019609D">
              <w:rPr>
                <w:rFonts w:ascii="Lato" w:hAnsi="Lato"/>
                <w:sz w:val="18"/>
                <w:szCs w:val="18"/>
              </w:rPr>
              <w:t>71</w:t>
            </w:r>
          </w:p>
        </w:tc>
        <w:tc>
          <w:tcPr>
            <w:tcW w:w="789" w:type="dxa"/>
          </w:tcPr>
          <w:p w14:paraId="0CBB4627" w14:textId="77777777" w:rsidR="00003E46" w:rsidRPr="0019609D" w:rsidRDefault="00003E46" w:rsidP="00BD02D7">
            <w:pPr>
              <w:jc w:val="center"/>
              <w:rPr>
                <w:rFonts w:ascii="Lato" w:hAnsi="Lato"/>
                <w:sz w:val="18"/>
                <w:szCs w:val="18"/>
              </w:rPr>
            </w:pPr>
          </w:p>
          <w:p w14:paraId="077EFAFF" w14:textId="77777777" w:rsidR="00003E46" w:rsidRPr="0019609D" w:rsidRDefault="00003E46" w:rsidP="00BD02D7">
            <w:pPr>
              <w:rPr>
                <w:rFonts w:ascii="Lato" w:hAnsi="Lato"/>
                <w:sz w:val="18"/>
                <w:szCs w:val="18"/>
              </w:rPr>
            </w:pPr>
            <w:r w:rsidRPr="0019609D">
              <w:rPr>
                <w:rFonts w:ascii="Lato" w:hAnsi="Lato"/>
                <w:sz w:val="18"/>
                <w:szCs w:val="18"/>
              </w:rPr>
              <w:t>15</w:t>
            </w:r>
          </w:p>
        </w:tc>
        <w:tc>
          <w:tcPr>
            <w:tcW w:w="789" w:type="dxa"/>
          </w:tcPr>
          <w:p w14:paraId="2D6FBE49" w14:textId="77777777" w:rsidR="00003E46" w:rsidRPr="0019609D" w:rsidRDefault="00003E46" w:rsidP="00BD02D7">
            <w:pPr>
              <w:rPr>
                <w:rFonts w:ascii="Lato" w:hAnsi="Lato"/>
                <w:sz w:val="18"/>
                <w:szCs w:val="18"/>
              </w:rPr>
            </w:pPr>
          </w:p>
          <w:p w14:paraId="32E3D275" w14:textId="77777777" w:rsidR="00003E46" w:rsidRPr="0019609D" w:rsidRDefault="00003E46" w:rsidP="00BD02D7">
            <w:pPr>
              <w:rPr>
                <w:rFonts w:ascii="Lato" w:hAnsi="Lato"/>
                <w:sz w:val="18"/>
                <w:szCs w:val="18"/>
              </w:rPr>
            </w:pPr>
            <w:r w:rsidRPr="0019609D">
              <w:rPr>
                <w:rFonts w:ascii="Lato" w:hAnsi="Lato"/>
                <w:sz w:val="18"/>
                <w:szCs w:val="18"/>
              </w:rPr>
              <w:t>17</w:t>
            </w:r>
          </w:p>
        </w:tc>
        <w:tc>
          <w:tcPr>
            <w:tcW w:w="789" w:type="dxa"/>
          </w:tcPr>
          <w:p w14:paraId="690DA778" w14:textId="77777777" w:rsidR="00003E46" w:rsidRPr="0019609D" w:rsidRDefault="00003E46" w:rsidP="00BD02D7">
            <w:pPr>
              <w:jc w:val="center"/>
              <w:rPr>
                <w:rFonts w:ascii="Lato" w:hAnsi="Lato"/>
                <w:sz w:val="18"/>
                <w:szCs w:val="18"/>
              </w:rPr>
            </w:pPr>
          </w:p>
          <w:p w14:paraId="4BDEA60C"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89" w:type="dxa"/>
          </w:tcPr>
          <w:p w14:paraId="3794F313" w14:textId="77777777" w:rsidR="00003E46" w:rsidRPr="0019609D" w:rsidRDefault="00003E46" w:rsidP="00BD02D7">
            <w:pPr>
              <w:jc w:val="center"/>
              <w:rPr>
                <w:rFonts w:ascii="Lato" w:hAnsi="Lato"/>
                <w:sz w:val="18"/>
                <w:szCs w:val="18"/>
              </w:rPr>
            </w:pPr>
          </w:p>
          <w:p w14:paraId="683DFC23"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89" w:type="dxa"/>
          </w:tcPr>
          <w:p w14:paraId="2CFEBB8F" w14:textId="77777777" w:rsidR="00003E46" w:rsidRPr="0019609D" w:rsidRDefault="00003E46" w:rsidP="00BD02D7">
            <w:pPr>
              <w:jc w:val="center"/>
              <w:rPr>
                <w:rFonts w:ascii="Lato" w:hAnsi="Lato"/>
                <w:sz w:val="18"/>
                <w:szCs w:val="18"/>
              </w:rPr>
            </w:pPr>
          </w:p>
          <w:p w14:paraId="436E258E"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90" w:type="dxa"/>
          </w:tcPr>
          <w:p w14:paraId="73A392CC" w14:textId="77777777" w:rsidR="00003E46" w:rsidRPr="0019609D" w:rsidRDefault="00003E46" w:rsidP="00BD02D7">
            <w:pPr>
              <w:jc w:val="center"/>
              <w:rPr>
                <w:rFonts w:ascii="Lato" w:hAnsi="Lato"/>
                <w:sz w:val="18"/>
                <w:szCs w:val="18"/>
              </w:rPr>
            </w:pPr>
          </w:p>
          <w:p w14:paraId="6543909F"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90" w:type="dxa"/>
          </w:tcPr>
          <w:p w14:paraId="6C100EFB" w14:textId="77777777" w:rsidR="00003E46" w:rsidRPr="0019609D" w:rsidRDefault="00003E46" w:rsidP="00BD02D7">
            <w:pPr>
              <w:jc w:val="center"/>
              <w:rPr>
                <w:rFonts w:ascii="Lato" w:hAnsi="Lato"/>
                <w:sz w:val="18"/>
                <w:szCs w:val="18"/>
              </w:rPr>
            </w:pPr>
          </w:p>
          <w:p w14:paraId="3F1BB09D" w14:textId="77777777" w:rsidR="00003E46" w:rsidRPr="0019609D" w:rsidRDefault="00003E46" w:rsidP="00BD02D7">
            <w:pPr>
              <w:rPr>
                <w:rFonts w:ascii="Lato" w:hAnsi="Lato"/>
                <w:sz w:val="18"/>
                <w:szCs w:val="18"/>
              </w:rPr>
            </w:pPr>
            <w:r w:rsidRPr="0019609D">
              <w:rPr>
                <w:rFonts w:ascii="Lato" w:hAnsi="Lato"/>
                <w:sz w:val="18"/>
                <w:szCs w:val="18"/>
              </w:rPr>
              <w:t>24</w:t>
            </w:r>
          </w:p>
        </w:tc>
      </w:tr>
      <w:tr w:rsidR="00003E46" w:rsidRPr="0019609D" w14:paraId="394D7904" w14:textId="77777777" w:rsidTr="00BD02D7">
        <w:tc>
          <w:tcPr>
            <w:tcW w:w="474" w:type="dxa"/>
          </w:tcPr>
          <w:p w14:paraId="2BB9EE65" w14:textId="77777777" w:rsidR="00003E46" w:rsidRPr="0019609D" w:rsidRDefault="00003E46" w:rsidP="00BD02D7">
            <w:pPr>
              <w:rPr>
                <w:rFonts w:ascii="Lato" w:hAnsi="Lato"/>
                <w:sz w:val="18"/>
                <w:szCs w:val="18"/>
              </w:rPr>
            </w:pPr>
            <w:r w:rsidRPr="0019609D">
              <w:rPr>
                <w:rFonts w:ascii="Lato" w:hAnsi="Lato"/>
                <w:sz w:val="18"/>
                <w:szCs w:val="18"/>
              </w:rPr>
              <w:t>10.</w:t>
            </w:r>
          </w:p>
        </w:tc>
        <w:tc>
          <w:tcPr>
            <w:tcW w:w="2215" w:type="dxa"/>
          </w:tcPr>
          <w:p w14:paraId="16FB50D1" w14:textId="77777777" w:rsidR="00003E46" w:rsidRPr="0019609D" w:rsidRDefault="00003E46" w:rsidP="00BD02D7">
            <w:pPr>
              <w:rPr>
                <w:rFonts w:ascii="Lato" w:hAnsi="Lato"/>
                <w:sz w:val="18"/>
                <w:szCs w:val="18"/>
              </w:rPr>
            </w:pPr>
          </w:p>
          <w:p w14:paraId="42581746" w14:textId="77777777" w:rsidR="00003E46" w:rsidRPr="0019609D" w:rsidRDefault="00003E46" w:rsidP="00BD02D7">
            <w:pPr>
              <w:rPr>
                <w:rFonts w:ascii="Lato" w:hAnsi="Lato"/>
                <w:sz w:val="18"/>
                <w:szCs w:val="18"/>
              </w:rPr>
            </w:pPr>
            <w:r w:rsidRPr="0019609D">
              <w:rPr>
                <w:rFonts w:ascii="Lato" w:hAnsi="Lato"/>
                <w:sz w:val="18"/>
                <w:szCs w:val="18"/>
              </w:rPr>
              <w:t>świętokrzyskie</w:t>
            </w:r>
          </w:p>
        </w:tc>
        <w:tc>
          <w:tcPr>
            <w:tcW w:w="848" w:type="dxa"/>
          </w:tcPr>
          <w:p w14:paraId="4881BEDB" w14:textId="77777777" w:rsidR="00003E46" w:rsidRPr="0019609D" w:rsidRDefault="00003E46" w:rsidP="00BD02D7">
            <w:pPr>
              <w:jc w:val="center"/>
              <w:rPr>
                <w:rFonts w:ascii="Lato" w:hAnsi="Lato"/>
                <w:sz w:val="18"/>
                <w:szCs w:val="18"/>
              </w:rPr>
            </w:pPr>
          </w:p>
          <w:p w14:paraId="3483BD03" w14:textId="77777777" w:rsidR="00003E46" w:rsidRPr="0019609D" w:rsidRDefault="00003E46" w:rsidP="00BD02D7">
            <w:pPr>
              <w:rPr>
                <w:rFonts w:ascii="Lato" w:hAnsi="Lato"/>
                <w:sz w:val="18"/>
                <w:szCs w:val="18"/>
              </w:rPr>
            </w:pPr>
            <w:r w:rsidRPr="0019609D">
              <w:rPr>
                <w:rFonts w:ascii="Lato" w:hAnsi="Lato"/>
                <w:sz w:val="18"/>
                <w:szCs w:val="18"/>
              </w:rPr>
              <w:t>102</w:t>
            </w:r>
          </w:p>
        </w:tc>
        <w:tc>
          <w:tcPr>
            <w:tcW w:w="789" w:type="dxa"/>
          </w:tcPr>
          <w:p w14:paraId="3CF6F3AE" w14:textId="77777777" w:rsidR="00003E46" w:rsidRPr="0019609D" w:rsidRDefault="00003E46" w:rsidP="00BD02D7">
            <w:pPr>
              <w:jc w:val="center"/>
              <w:rPr>
                <w:rFonts w:ascii="Lato" w:hAnsi="Lato"/>
                <w:sz w:val="18"/>
                <w:szCs w:val="18"/>
              </w:rPr>
            </w:pPr>
          </w:p>
          <w:p w14:paraId="68EF4103" w14:textId="77777777" w:rsidR="00003E46" w:rsidRPr="0019609D" w:rsidRDefault="00003E46" w:rsidP="00BD02D7">
            <w:pPr>
              <w:rPr>
                <w:rFonts w:ascii="Lato" w:hAnsi="Lato"/>
                <w:sz w:val="18"/>
                <w:szCs w:val="18"/>
              </w:rPr>
            </w:pPr>
            <w:r w:rsidRPr="0019609D">
              <w:rPr>
                <w:rFonts w:ascii="Lato" w:hAnsi="Lato"/>
                <w:sz w:val="18"/>
                <w:szCs w:val="18"/>
              </w:rPr>
              <w:t>5</w:t>
            </w:r>
          </w:p>
        </w:tc>
        <w:tc>
          <w:tcPr>
            <w:tcW w:w="789" w:type="dxa"/>
          </w:tcPr>
          <w:p w14:paraId="3D9DF206" w14:textId="77777777" w:rsidR="00003E46" w:rsidRPr="0019609D" w:rsidRDefault="00003E46" w:rsidP="00BD02D7">
            <w:pPr>
              <w:rPr>
                <w:rFonts w:ascii="Lato" w:hAnsi="Lato"/>
                <w:sz w:val="18"/>
                <w:szCs w:val="18"/>
              </w:rPr>
            </w:pPr>
          </w:p>
          <w:p w14:paraId="6F5A932A" w14:textId="77777777" w:rsidR="00003E46" w:rsidRPr="0019609D" w:rsidRDefault="00003E46" w:rsidP="00BD02D7">
            <w:pPr>
              <w:rPr>
                <w:rFonts w:ascii="Lato" w:hAnsi="Lato"/>
                <w:sz w:val="18"/>
                <w:szCs w:val="18"/>
              </w:rPr>
            </w:pPr>
            <w:r w:rsidRPr="0019609D">
              <w:rPr>
                <w:rFonts w:ascii="Lato" w:hAnsi="Lato"/>
                <w:sz w:val="18"/>
                <w:szCs w:val="18"/>
              </w:rPr>
              <w:t>11</w:t>
            </w:r>
          </w:p>
        </w:tc>
        <w:tc>
          <w:tcPr>
            <w:tcW w:w="789" w:type="dxa"/>
          </w:tcPr>
          <w:p w14:paraId="00CC9AF0" w14:textId="77777777" w:rsidR="00003E46" w:rsidRPr="0019609D" w:rsidRDefault="00003E46" w:rsidP="00BD02D7">
            <w:pPr>
              <w:jc w:val="center"/>
              <w:rPr>
                <w:rFonts w:ascii="Lato" w:hAnsi="Lato"/>
                <w:sz w:val="18"/>
                <w:szCs w:val="18"/>
              </w:rPr>
            </w:pPr>
          </w:p>
          <w:p w14:paraId="44609339" w14:textId="77777777" w:rsidR="00003E46" w:rsidRPr="0019609D" w:rsidRDefault="00003E46" w:rsidP="00BD02D7">
            <w:pPr>
              <w:rPr>
                <w:rFonts w:ascii="Lato" w:hAnsi="Lato"/>
                <w:sz w:val="18"/>
                <w:szCs w:val="18"/>
              </w:rPr>
            </w:pPr>
            <w:r w:rsidRPr="0019609D">
              <w:rPr>
                <w:rFonts w:ascii="Lato" w:hAnsi="Lato"/>
                <w:sz w:val="18"/>
                <w:szCs w:val="18"/>
              </w:rPr>
              <w:t>15</w:t>
            </w:r>
          </w:p>
        </w:tc>
        <w:tc>
          <w:tcPr>
            <w:tcW w:w="789" w:type="dxa"/>
          </w:tcPr>
          <w:p w14:paraId="47FCC7BA" w14:textId="77777777" w:rsidR="00003E46" w:rsidRPr="0019609D" w:rsidRDefault="00003E46" w:rsidP="00BD02D7">
            <w:pPr>
              <w:jc w:val="center"/>
              <w:rPr>
                <w:rFonts w:ascii="Lato" w:hAnsi="Lato"/>
                <w:sz w:val="18"/>
                <w:szCs w:val="18"/>
              </w:rPr>
            </w:pPr>
          </w:p>
          <w:p w14:paraId="4786FD97"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20BB6D96" w14:textId="77777777" w:rsidR="00003E46" w:rsidRPr="0019609D" w:rsidRDefault="00003E46" w:rsidP="00BD02D7">
            <w:pPr>
              <w:jc w:val="center"/>
              <w:rPr>
                <w:rFonts w:ascii="Lato" w:hAnsi="Lato"/>
                <w:sz w:val="18"/>
                <w:szCs w:val="18"/>
              </w:rPr>
            </w:pPr>
          </w:p>
          <w:p w14:paraId="5167E444" w14:textId="77777777" w:rsidR="00003E46" w:rsidRPr="0019609D" w:rsidRDefault="00003E46" w:rsidP="00BD02D7">
            <w:pPr>
              <w:rPr>
                <w:rFonts w:ascii="Lato" w:hAnsi="Lato"/>
                <w:sz w:val="18"/>
                <w:szCs w:val="18"/>
              </w:rPr>
            </w:pPr>
            <w:r w:rsidRPr="0019609D">
              <w:rPr>
                <w:rFonts w:ascii="Lato" w:hAnsi="Lato"/>
                <w:sz w:val="18"/>
                <w:szCs w:val="18"/>
              </w:rPr>
              <w:t>15</w:t>
            </w:r>
          </w:p>
        </w:tc>
        <w:tc>
          <w:tcPr>
            <w:tcW w:w="790" w:type="dxa"/>
          </w:tcPr>
          <w:p w14:paraId="19ACD734" w14:textId="77777777" w:rsidR="00003E46" w:rsidRPr="0019609D" w:rsidRDefault="00003E46" w:rsidP="00BD02D7">
            <w:pPr>
              <w:jc w:val="center"/>
              <w:rPr>
                <w:rFonts w:ascii="Lato" w:hAnsi="Lato"/>
                <w:sz w:val="18"/>
                <w:szCs w:val="18"/>
              </w:rPr>
            </w:pPr>
          </w:p>
          <w:p w14:paraId="16C898D8"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90" w:type="dxa"/>
          </w:tcPr>
          <w:p w14:paraId="289C5DBA" w14:textId="77777777" w:rsidR="00003E46" w:rsidRPr="0019609D" w:rsidRDefault="00003E46" w:rsidP="00BD02D7">
            <w:pPr>
              <w:jc w:val="center"/>
              <w:rPr>
                <w:rFonts w:ascii="Lato" w:hAnsi="Lato"/>
                <w:sz w:val="18"/>
                <w:szCs w:val="18"/>
              </w:rPr>
            </w:pPr>
          </w:p>
          <w:p w14:paraId="11C47872" w14:textId="77777777" w:rsidR="00003E46" w:rsidRPr="0019609D" w:rsidRDefault="00003E46" w:rsidP="00BD02D7">
            <w:pPr>
              <w:rPr>
                <w:rFonts w:ascii="Lato" w:hAnsi="Lato"/>
                <w:sz w:val="18"/>
                <w:szCs w:val="18"/>
              </w:rPr>
            </w:pPr>
            <w:r w:rsidRPr="0019609D">
              <w:rPr>
                <w:rFonts w:ascii="Lato" w:hAnsi="Lato"/>
                <w:sz w:val="18"/>
                <w:szCs w:val="18"/>
              </w:rPr>
              <w:t>15</w:t>
            </w:r>
          </w:p>
        </w:tc>
      </w:tr>
      <w:tr w:rsidR="00003E46" w:rsidRPr="0019609D" w14:paraId="4246AF91" w14:textId="77777777" w:rsidTr="00BD02D7">
        <w:tc>
          <w:tcPr>
            <w:tcW w:w="474" w:type="dxa"/>
          </w:tcPr>
          <w:p w14:paraId="6C2872DB" w14:textId="77777777" w:rsidR="00003E46" w:rsidRPr="0019609D" w:rsidRDefault="00003E46" w:rsidP="00BD02D7">
            <w:pPr>
              <w:rPr>
                <w:rFonts w:ascii="Lato" w:hAnsi="Lato"/>
                <w:sz w:val="18"/>
                <w:szCs w:val="18"/>
              </w:rPr>
            </w:pPr>
            <w:r w:rsidRPr="0019609D">
              <w:rPr>
                <w:rFonts w:ascii="Lato" w:hAnsi="Lato"/>
                <w:sz w:val="18"/>
                <w:szCs w:val="18"/>
              </w:rPr>
              <w:t>11.</w:t>
            </w:r>
          </w:p>
        </w:tc>
        <w:tc>
          <w:tcPr>
            <w:tcW w:w="2215" w:type="dxa"/>
          </w:tcPr>
          <w:p w14:paraId="66CB24AE" w14:textId="77777777" w:rsidR="00003E46" w:rsidRPr="0019609D" w:rsidRDefault="00003E46" w:rsidP="00BD02D7">
            <w:pPr>
              <w:rPr>
                <w:rFonts w:ascii="Lato" w:hAnsi="Lato"/>
                <w:sz w:val="18"/>
                <w:szCs w:val="18"/>
              </w:rPr>
            </w:pPr>
          </w:p>
          <w:p w14:paraId="1A4B216C" w14:textId="77777777" w:rsidR="00003E46" w:rsidRPr="0019609D" w:rsidRDefault="00003E46" w:rsidP="00BD02D7">
            <w:pPr>
              <w:rPr>
                <w:rFonts w:ascii="Lato" w:hAnsi="Lato"/>
                <w:sz w:val="18"/>
                <w:szCs w:val="18"/>
              </w:rPr>
            </w:pPr>
            <w:r w:rsidRPr="0019609D">
              <w:rPr>
                <w:rFonts w:ascii="Lato" w:hAnsi="Lato"/>
                <w:sz w:val="18"/>
                <w:szCs w:val="18"/>
              </w:rPr>
              <w:t>wielkopolskie</w:t>
            </w:r>
          </w:p>
        </w:tc>
        <w:tc>
          <w:tcPr>
            <w:tcW w:w="848" w:type="dxa"/>
          </w:tcPr>
          <w:p w14:paraId="4F4DE986" w14:textId="77777777" w:rsidR="00003E46" w:rsidRPr="0019609D" w:rsidRDefault="00003E46" w:rsidP="00BD02D7">
            <w:pPr>
              <w:jc w:val="center"/>
              <w:rPr>
                <w:rFonts w:ascii="Lato" w:hAnsi="Lato"/>
                <w:sz w:val="18"/>
                <w:szCs w:val="18"/>
              </w:rPr>
            </w:pPr>
          </w:p>
          <w:p w14:paraId="7B04A9D8" w14:textId="77777777" w:rsidR="00003E46" w:rsidRPr="0019609D" w:rsidRDefault="00003E46" w:rsidP="00BD02D7">
            <w:pPr>
              <w:rPr>
                <w:rFonts w:ascii="Lato" w:hAnsi="Lato"/>
                <w:sz w:val="18"/>
                <w:szCs w:val="18"/>
              </w:rPr>
            </w:pPr>
            <w:r w:rsidRPr="0019609D">
              <w:rPr>
                <w:rFonts w:ascii="Lato" w:hAnsi="Lato"/>
                <w:sz w:val="18"/>
                <w:szCs w:val="18"/>
              </w:rPr>
              <w:t>226</w:t>
            </w:r>
          </w:p>
        </w:tc>
        <w:tc>
          <w:tcPr>
            <w:tcW w:w="789" w:type="dxa"/>
          </w:tcPr>
          <w:p w14:paraId="7CF4C072" w14:textId="77777777" w:rsidR="00003E46" w:rsidRPr="0019609D" w:rsidRDefault="00003E46" w:rsidP="00BD02D7">
            <w:pPr>
              <w:jc w:val="center"/>
              <w:rPr>
                <w:rFonts w:ascii="Lato" w:hAnsi="Lato"/>
                <w:sz w:val="18"/>
                <w:szCs w:val="18"/>
              </w:rPr>
            </w:pPr>
          </w:p>
          <w:p w14:paraId="5487D4B7" w14:textId="77777777" w:rsidR="00003E46" w:rsidRPr="0019609D" w:rsidRDefault="00003E46" w:rsidP="00BD02D7">
            <w:pPr>
              <w:rPr>
                <w:rFonts w:ascii="Lato" w:hAnsi="Lato"/>
                <w:sz w:val="18"/>
                <w:szCs w:val="18"/>
              </w:rPr>
            </w:pPr>
            <w:r w:rsidRPr="0019609D">
              <w:rPr>
                <w:rFonts w:ascii="Lato" w:hAnsi="Lato"/>
                <w:sz w:val="18"/>
                <w:szCs w:val="18"/>
              </w:rPr>
              <w:t>16</w:t>
            </w:r>
          </w:p>
        </w:tc>
        <w:tc>
          <w:tcPr>
            <w:tcW w:w="789" w:type="dxa"/>
          </w:tcPr>
          <w:p w14:paraId="79F861B2" w14:textId="77777777" w:rsidR="00003E46" w:rsidRPr="0019609D" w:rsidRDefault="00003E46" w:rsidP="00BD02D7">
            <w:pPr>
              <w:rPr>
                <w:rFonts w:ascii="Lato" w:hAnsi="Lato"/>
                <w:sz w:val="18"/>
                <w:szCs w:val="18"/>
              </w:rPr>
            </w:pPr>
          </w:p>
          <w:p w14:paraId="48C8D51C"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89" w:type="dxa"/>
          </w:tcPr>
          <w:p w14:paraId="5BA47F4B" w14:textId="77777777" w:rsidR="00003E46" w:rsidRPr="0019609D" w:rsidRDefault="00003E46" w:rsidP="00BD02D7">
            <w:pPr>
              <w:jc w:val="center"/>
              <w:rPr>
                <w:rFonts w:ascii="Lato" w:hAnsi="Lato"/>
                <w:sz w:val="18"/>
                <w:szCs w:val="18"/>
              </w:rPr>
            </w:pPr>
          </w:p>
          <w:p w14:paraId="50B43E35" w14:textId="77777777" w:rsidR="00003E46" w:rsidRPr="0019609D" w:rsidRDefault="00003E46" w:rsidP="00BD02D7">
            <w:pPr>
              <w:rPr>
                <w:rFonts w:ascii="Lato" w:hAnsi="Lato"/>
                <w:sz w:val="18"/>
                <w:szCs w:val="18"/>
              </w:rPr>
            </w:pPr>
            <w:r w:rsidRPr="0019609D">
              <w:rPr>
                <w:rFonts w:ascii="Lato" w:hAnsi="Lato"/>
                <w:sz w:val="18"/>
                <w:szCs w:val="18"/>
              </w:rPr>
              <w:t>29</w:t>
            </w:r>
          </w:p>
        </w:tc>
        <w:tc>
          <w:tcPr>
            <w:tcW w:w="789" w:type="dxa"/>
          </w:tcPr>
          <w:p w14:paraId="2DC3488D" w14:textId="77777777" w:rsidR="00003E46" w:rsidRPr="0019609D" w:rsidRDefault="00003E46" w:rsidP="00BD02D7">
            <w:pPr>
              <w:jc w:val="center"/>
              <w:rPr>
                <w:rFonts w:ascii="Lato" w:hAnsi="Lato"/>
                <w:sz w:val="18"/>
                <w:szCs w:val="18"/>
              </w:rPr>
            </w:pPr>
          </w:p>
          <w:p w14:paraId="37C32622" w14:textId="77777777" w:rsidR="00003E46" w:rsidRPr="0019609D" w:rsidRDefault="00003E46" w:rsidP="00BD02D7">
            <w:pPr>
              <w:rPr>
                <w:rFonts w:ascii="Lato" w:hAnsi="Lato"/>
                <w:sz w:val="18"/>
                <w:szCs w:val="18"/>
              </w:rPr>
            </w:pPr>
            <w:r w:rsidRPr="0019609D">
              <w:rPr>
                <w:rFonts w:ascii="Lato" w:hAnsi="Lato"/>
                <w:sz w:val="18"/>
                <w:szCs w:val="18"/>
              </w:rPr>
              <w:t>32</w:t>
            </w:r>
          </w:p>
        </w:tc>
        <w:tc>
          <w:tcPr>
            <w:tcW w:w="789" w:type="dxa"/>
          </w:tcPr>
          <w:p w14:paraId="549AC92E" w14:textId="77777777" w:rsidR="00003E46" w:rsidRPr="0019609D" w:rsidRDefault="00003E46" w:rsidP="00BD02D7">
            <w:pPr>
              <w:jc w:val="center"/>
              <w:rPr>
                <w:rFonts w:ascii="Lato" w:hAnsi="Lato"/>
                <w:sz w:val="18"/>
                <w:szCs w:val="18"/>
              </w:rPr>
            </w:pPr>
          </w:p>
          <w:p w14:paraId="5124D9F4" w14:textId="77777777" w:rsidR="00003E46" w:rsidRPr="0019609D" w:rsidRDefault="00003E46" w:rsidP="00BD02D7">
            <w:pPr>
              <w:rPr>
                <w:rFonts w:ascii="Lato" w:hAnsi="Lato"/>
                <w:sz w:val="18"/>
                <w:szCs w:val="18"/>
              </w:rPr>
            </w:pPr>
            <w:r w:rsidRPr="0019609D">
              <w:rPr>
                <w:rFonts w:ascii="Lato" w:hAnsi="Lato"/>
                <w:sz w:val="18"/>
                <w:szCs w:val="18"/>
              </w:rPr>
              <w:t>24</w:t>
            </w:r>
          </w:p>
        </w:tc>
        <w:tc>
          <w:tcPr>
            <w:tcW w:w="790" w:type="dxa"/>
          </w:tcPr>
          <w:p w14:paraId="0DCA433B" w14:textId="77777777" w:rsidR="00003E46" w:rsidRPr="0019609D" w:rsidRDefault="00003E46" w:rsidP="00BD02D7">
            <w:pPr>
              <w:jc w:val="center"/>
              <w:rPr>
                <w:rFonts w:ascii="Lato" w:hAnsi="Lato"/>
                <w:sz w:val="18"/>
                <w:szCs w:val="18"/>
              </w:rPr>
            </w:pPr>
          </w:p>
          <w:p w14:paraId="2381DCE4" w14:textId="77777777" w:rsidR="00003E46" w:rsidRPr="0019609D" w:rsidRDefault="00003E46" w:rsidP="00BD02D7">
            <w:pPr>
              <w:rPr>
                <w:rFonts w:ascii="Lato" w:hAnsi="Lato"/>
                <w:sz w:val="18"/>
                <w:szCs w:val="18"/>
              </w:rPr>
            </w:pPr>
            <w:r w:rsidRPr="0019609D">
              <w:rPr>
                <w:rFonts w:ascii="Lato" w:hAnsi="Lato"/>
                <w:sz w:val="18"/>
                <w:szCs w:val="18"/>
              </w:rPr>
              <w:t>40</w:t>
            </w:r>
          </w:p>
        </w:tc>
        <w:tc>
          <w:tcPr>
            <w:tcW w:w="790" w:type="dxa"/>
          </w:tcPr>
          <w:p w14:paraId="4803E1FB" w14:textId="77777777" w:rsidR="00003E46" w:rsidRPr="0019609D" w:rsidRDefault="00003E46" w:rsidP="00BD02D7">
            <w:pPr>
              <w:jc w:val="center"/>
              <w:rPr>
                <w:rFonts w:ascii="Lato" w:hAnsi="Lato"/>
                <w:sz w:val="18"/>
                <w:szCs w:val="18"/>
              </w:rPr>
            </w:pPr>
          </w:p>
          <w:p w14:paraId="58013B24" w14:textId="77777777" w:rsidR="00003E46" w:rsidRPr="0019609D" w:rsidRDefault="00003E46" w:rsidP="00BD02D7">
            <w:pPr>
              <w:rPr>
                <w:rFonts w:ascii="Lato" w:hAnsi="Lato"/>
                <w:sz w:val="18"/>
                <w:szCs w:val="18"/>
              </w:rPr>
            </w:pPr>
            <w:r w:rsidRPr="0019609D">
              <w:rPr>
                <w:rFonts w:ascii="Lato" w:hAnsi="Lato"/>
                <w:sz w:val="18"/>
                <w:szCs w:val="18"/>
              </w:rPr>
              <w:t>44</w:t>
            </w:r>
          </w:p>
        </w:tc>
      </w:tr>
      <w:tr w:rsidR="00003E46" w:rsidRPr="0019609D" w14:paraId="48C8CC96" w14:textId="77777777" w:rsidTr="00BD02D7">
        <w:tc>
          <w:tcPr>
            <w:tcW w:w="474" w:type="dxa"/>
          </w:tcPr>
          <w:p w14:paraId="2CCA1F33"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2215" w:type="dxa"/>
          </w:tcPr>
          <w:p w14:paraId="611BB2FA" w14:textId="77777777" w:rsidR="00003E46" w:rsidRPr="0019609D" w:rsidRDefault="00003E46" w:rsidP="00BD02D7">
            <w:pPr>
              <w:rPr>
                <w:rFonts w:ascii="Lato" w:hAnsi="Lato"/>
                <w:sz w:val="18"/>
                <w:szCs w:val="18"/>
              </w:rPr>
            </w:pPr>
          </w:p>
          <w:p w14:paraId="7EAE1DA6" w14:textId="77777777" w:rsidR="00003E46" w:rsidRPr="0019609D" w:rsidRDefault="00003E46" w:rsidP="00BD02D7">
            <w:pPr>
              <w:rPr>
                <w:rFonts w:ascii="Lato" w:hAnsi="Lato"/>
                <w:sz w:val="18"/>
                <w:szCs w:val="18"/>
              </w:rPr>
            </w:pPr>
            <w:r w:rsidRPr="0019609D">
              <w:rPr>
                <w:rFonts w:ascii="Lato" w:hAnsi="Lato"/>
                <w:sz w:val="18"/>
                <w:szCs w:val="18"/>
              </w:rPr>
              <w:t>warmińsko-mazurskie</w:t>
            </w:r>
          </w:p>
        </w:tc>
        <w:tc>
          <w:tcPr>
            <w:tcW w:w="848" w:type="dxa"/>
          </w:tcPr>
          <w:p w14:paraId="78B45AAB" w14:textId="77777777" w:rsidR="00003E46" w:rsidRPr="0019609D" w:rsidRDefault="00003E46" w:rsidP="00BD02D7">
            <w:pPr>
              <w:jc w:val="center"/>
              <w:rPr>
                <w:rFonts w:ascii="Lato" w:hAnsi="Lato"/>
                <w:sz w:val="18"/>
                <w:szCs w:val="18"/>
              </w:rPr>
            </w:pPr>
          </w:p>
          <w:p w14:paraId="3A074B95" w14:textId="77777777" w:rsidR="00003E46" w:rsidRPr="0019609D" w:rsidRDefault="00003E46" w:rsidP="00BD02D7">
            <w:pPr>
              <w:rPr>
                <w:rFonts w:ascii="Lato" w:hAnsi="Lato"/>
                <w:sz w:val="18"/>
                <w:szCs w:val="18"/>
              </w:rPr>
            </w:pPr>
            <w:r w:rsidRPr="0019609D">
              <w:rPr>
                <w:rFonts w:ascii="Lato" w:hAnsi="Lato"/>
                <w:sz w:val="18"/>
                <w:szCs w:val="18"/>
              </w:rPr>
              <w:t>116</w:t>
            </w:r>
          </w:p>
        </w:tc>
        <w:tc>
          <w:tcPr>
            <w:tcW w:w="789" w:type="dxa"/>
          </w:tcPr>
          <w:p w14:paraId="44EB578A" w14:textId="77777777" w:rsidR="00003E46" w:rsidRPr="0019609D" w:rsidRDefault="00003E46" w:rsidP="00BD02D7">
            <w:pPr>
              <w:jc w:val="center"/>
              <w:rPr>
                <w:rFonts w:ascii="Lato" w:hAnsi="Lato"/>
                <w:sz w:val="18"/>
                <w:szCs w:val="18"/>
              </w:rPr>
            </w:pPr>
          </w:p>
          <w:p w14:paraId="138A1CC1" w14:textId="77777777" w:rsidR="00003E46" w:rsidRPr="0019609D" w:rsidRDefault="00003E46" w:rsidP="00BD02D7">
            <w:pPr>
              <w:rPr>
                <w:rFonts w:ascii="Lato" w:hAnsi="Lato"/>
                <w:sz w:val="18"/>
                <w:szCs w:val="18"/>
              </w:rPr>
            </w:pPr>
            <w:r w:rsidRPr="0019609D">
              <w:rPr>
                <w:rFonts w:ascii="Lato" w:hAnsi="Lato"/>
                <w:sz w:val="18"/>
                <w:szCs w:val="18"/>
              </w:rPr>
              <w:t>9</w:t>
            </w:r>
          </w:p>
        </w:tc>
        <w:tc>
          <w:tcPr>
            <w:tcW w:w="789" w:type="dxa"/>
          </w:tcPr>
          <w:p w14:paraId="347DE6DD" w14:textId="77777777" w:rsidR="00003E46" w:rsidRPr="0019609D" w:rsidRDefault="00003E46" w:rsidP="00BD02D7">
            <w:pPr>
              <w:rPr>
                <w:rFonts w:ascii="Lato" w:hAnsi="Lato"/>
                <w:sz w:val="18"/>
                <w:szCs w:val="18"/>
              </w:rPr>
            </w:pPr>
          </w:p>
          <w:p w14:paraId="5D0E8274" w14:textId="77777777" w:rsidR="00003E46" w:rsidRPr="0019609D" w:rsidRDefault="00003E46" w:rsidP="00BD02D7">
            <w:pPr>
              <w:rPr>
                <w:rFonts w:ascii="Lato" w:hAnsi="Lato"/>
                <w:sz w:val="18"/>
                <w:szCs w:val="18"/>
              </w:rPr>
            </w:pPr>
            <w:r w:rsidRPr="0019609D">
              <w:rPr>
                <w:rFonts w:ascii="Lato" w:hAnsi="Lato"/>
                <w:sz w:val="18"/>
                <w:szCs w:val="18"/>
              </w:rPr>
              <w:t>9</w:t>
            </w:r>
          </w:p>
        </w:tc>
        <w:tc>
          <w:tcPr>
            <w:tcW w:w="789" w:type="dxa"/>
          </w:tcPr>
          <w:p w14:paraId="10AF71A3" w14:textId="77777777" w:rsidR="00003E46" w:rsidRPr="0019609D" w:rsidRDefault="00003E46" w:rsidP="00BD02D7">
            <w:pPr>
              <w:jc w:val="center"/>
              <w:rPr>
                <w:rFonts w:ascii="Lato" w:hAnsi="Lato"/>
                <w:sz w:val="18"/>
                <w:szCs w:val="18"/>
              </w:rPr>
            </w:pPr>
          </w:p>
          <w:p w14:paraId="35A7375B" w14:textId="77777777" w:rsidR="00003E46" w:rsidRPr="0019609D" w:rsidRDefault="00003E46" w:rsidP="00BD02D7">
            <w:pPr>
              <w:rPr>
                <w:rFonts w:ascii="Lato" w:hAnsi="Lato"/>
                <w:sz w:val="18"/>
                <w:szCs w:val="18"/>
              </w:rPr>
            </w:pPr>
            <w:r w:rsidRPr="0019609D">
              <w:rPr>
                <w:rFonts w:ascii="Lato" w:hAnsi="Lato"/>
                <w:sz w:val="18"/>
                <w:szCs w:val="18"/>
              </w:rPr>
              <w:t>14</w:t>
            </w:r>
          </w:p>
        </w:tc>
        <w:tc>
          <w:tcPr>
            <w:tcW w:w="789" w:type="dxa"/>
          </w:tcPr>
          <w:p w14:paraId="6B03804A" w14:textId="77777777" w:rsidR="00003E46" w:rsidRPr="0019609D" w:rsidRDefault="00003E46" w:rsidP="00BD02D7">
            <w:pPr>
              <w:jc w:val="center"/>
              <w:rPr>
                <w:rFonts w:ascii="Lato" w:hAnsi="Lato"/>
                <w:sz w:val="18"/>
                <w:szCs w:val="18"/>
              </w:rPr>
            </w:pPr>
          </w:p>
          <w:p w14:paraId="005D75BF" w14:textId="77777777" w:rsidR="00003E46" w:rsidRPr="0019609D" w:rsidRDefault="00003E46" w:rsidP="00BD02D7">
            <w:pPr>
              <w:rPr>
                <w:rFonts w:ascii="Lato" w:hAnsi="Lato"/>
                <w:sz w:val="18"/>
                <w:szCs w:val="18"/>
              </w:rPr>
            </w:pPr>
            <w:r w:rsidRPr="0019609D">
              <w:rPr>
                <w:rFonts w:ascii="Lato" w:hAnsi="Lato"/>
                <w:sz w:val="18"/>
                <w:szCs w:val="18"/>
              </w:rPr>
              <w:t>23</w:t>
            </w:r>
          </w:p>
        </w:tc>
        <w:tc>
          <w:tcPr>
            <w:tcW w:w="789" w:type="dxa"/>
          </w:tcPr>
          <w:p w14:paraId="1C7AD25E" w14:textId="77777777" w:rsidR="00003E46" w:rsidRPr="0019609D" w:rsidRDefault="00003E46" w:rsidP="00BD02D7">
            <w:pPr>
              <w:jc w:val="center"/>
              <w:rPr>
                <w:rFonts w:ascii="Lato" w:hAnsi="Lato"/>
                <w:sz w:val="18"/>
                <w:szCs w:val="18"/>
              </w:rPr>
            </w:pPr>
          </w:p>
          <w:p w14:paraId="2EE5198C" w14:textId="77777777" w:rsidR="00003E46" w:rsidRPr="0019609D" w:rsidRDefault="00003E46" w:rsidP="00BD02D7">
            <w:pPr>
              <w:rPr>
                <w:rFonts w:ascii="Lato" w:hAnsi="Lato"/>
                <w:sz w:val="18"/>
                <w:szCs w:val="18"/>
              </w:rPr>
            </w:pPr>
            <w:r w:rsidRPr="0019609D">
              <w:rPr>
                <w:rFonts w:ascii="Lato" w:hAnsi="Lato"/>
                <w:sz w:val="18"/>
                <w:szCs w:val="18"/>
              </w:rPr>
              <w:t>16</w:t>
            </w:r>
          </w:p>
        </w:tc>
        <w:tc>
          <w:tcPr>
            <w:tcW w:w="790" w:type="dxa"/>
          </w:tcPr>
          <w:p w14:paraId="2611D6F8" w14:textId="77777777" w:rsidR="00003E46" w:rsidRPr="0019609D" w:rsidRDefault="00003E46" w:rsidP="00BD02D7">
            <w:pPr>
              <w:jc w:val="center"/>
              <w:rPr>
                <w:rFonts w:ascii="Lato" w:hAnsi="Lato"/>
                <w:sz w:val="18"/>
                <w:szCs w:val="18"/>
              </w:rPr>
            </w:pPr>
          </w:p>
          <w:p w14:paraId="1570AA09" w14:textId="77777777" w:rsidR="00003E46" w:rsidRPr="0019609D" w:rsidRDefault="00003E46" w:rsidP="00BD02D7">
            <w:pPr>
              <w:rPr>
                <w:rFonts w:ascii="Lato" w:hAnsi="Lato"/>
                <w:sz w:val="18"/>
                <w:szCs w:val="18"/>
              </w:rPr>
            </w:pPr>
            <w:r w:rsidRPr="0019609D">
              <w:rPr>
                <w:rFonts w:ascii="Lato" w:hAnsi="Lato"/>
                <w:sz w:val="18"/>
                <w:szCs w:val="18"/>
              </w:rPr>
              <w:t>29</w:t>
            </w:r>
          </w:p>
        </w:tc>
        <w:tc>
          <w:tcPr>
            <w:tcW w:w="790" w:type="dxa"/>
          </w:tcPr>
          <w:p w14:paraId="1E37C8C1" w14:textId="77777777" w:rsidR="00003E46" w:rsidRPr="0019609D" w:rsidRDefault="00003E46" w:rsidP="00BD02D7">
            <w:pPr>
              <w:jc w:val="center"/>
              <w:rPr>
                <w:rFonts w:ascii="Lato" w:hAnsi="Lato"/>
                <w:sz w:val="18"/>
                <w:szCs w:val="18"/>
              </w:rPr>
            </w:pPr>
          </w:p>
          <w:p w14:paraId="5D1D5167" w14:textId="77777777" w:rsidR="00003E46" w:rsidRPr="0019609D" w:rsidRDefault="00003E46" w:rsidP="00BD02D7">
            <w:pPr>
              <w:rPr>
                <w:rFonts w:ascii="Lato" w:hAnsi="Lato"/>
                <w:sz w:val="18"/>
                <w:szCs w:val="18"/>
              </w:rPr>
            </w:pPr>
            <w:r w:rsidRPr="0019609D">
              <w:rPr>
                <w:rFonts w:ascii="Lato" w:hAnsi="Lato"/>
                <w:sz w:val="18"/>
                <w:szCs w:val="18"/>
              </w:rPr>
              <w:t>28</w:t>
            </w:r>
          </w:p>
        </w:tc>
      </w:tr>
      <w:tr w:rsidR="00003E46" w:rsidRPr="0019609D" w14:paraId="6D0F0839" w14:textId="77777777" w:rsidTr="00BD02D7">
        <w:tc>
          <w:tcPr>
            <w:tcW w:w="474" w:type="dxa"/>
          </w:tcPr>
          <w:p w14:paraId="5A5D6D1C"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2215" w:type="dxa"/>
          </w:tcPr>
          <w:p w14:paraId="4D2FA41C" w14:textId="77777777" w:rsidR="00003E46" w:rsidRPr="0019609D" w:rsidRDefault="00003E46" w:rsidP="00BD02D7">
            <w:pPr>
              <w:rPr>
                <w:rFonts w:ascii="Lato" w:hAnsi="Lato"/>
                <w:sz w:val="18"/>
                <w:szCs w:val="18"/>
              </w:rPr>
            </w:pPr>
          </w:p>
          <w:p w14:paraId="37B7B750" w14:textId="77777777" w:rsidR="00003E46" w:rsidRPr="0019609D" w:rsidRDefault="00003E46" w:rsidP="00BD02D7">
            <w:pPr>
              <w:rPr>
                <w:rFonts w:ascii="Lato" w:hAnsi="Lato"/>
                <w:sz w:val="18"/>
                <w:szCs w:val="18"/>
              </w:rPr>
            </w:pPr>
            <w:r w:rsidRPr="0019609D">
              <w:rPr>
                <w:rFonts w:ascii="Lato" w:hAnsi="Lato"/>
                <w:sz w:val="18"/>
                <w:szCs w:val="18"/>
              </w:rPr>
              <w:t>kujawsko-pomorskie</w:t>
            </w:r>
          </w:p>
        </w:tc>
        <w:tc>
          <w:tcPr>
            <w:tcW w:w="848" w:type="dxa"/>
          </w:tcPr>
          <w:p w14:paraId="1E005C8B" w14:textId="77777777" w:rsidR="00003E46" w:rsidRPr="0019609D" w:rsidRDefault="00003E46" w:rsidP="00BD02D7">
            <w:pPr>
              <w:jc w:val="center"/>
              <w:rPr>
                <w:rFonts w:ascii="Lato" w:hAnsi="Lato"/>
                <w:sz w:val="18"/>
                <w:szCs w:val="18"/>
              </w:rPr>
            </w:pPr>
          </w:p>
          <w:p w14:paraId="0EEB0A3B" w14:textId="77777777" w:rsidR="00003E46" w:rsidRPr="0019609D" w:rsidRDefault="00003E46" w:rsidP="00BD02D7">
            <w:pPr>
              <w:rPr>
                <w:rFonts w:ascii="Lato" w:hAnsi="Lato"/>
                <w:sz w:val="18"/>
                <w:szCs w:val="18"/>
              </w:rPr>
            </w:pPr>
            <w:r w:rsidRPr="0019609D">
              <w:rPr>
                <w:rFonts w:ascii="Lato" w:hAnsi="Lato"/>
                <w:sz w:val="18"/>
                <w:szCs w:val="18"/>
              </w:rPr>
              <w:t>144</w:t>
            </w:r>
          </w:p>
        </w:tc>
        <w:tc>
          <w:tcPr>
            <w:tcW w:w="789" w:type="dxa"/>
          </w:tcPr>
          <w:p w14:paraId="69F422B8" w14:textId="77777777" w:rsidR="00003E46" w:rsidRPr="0019609D" w:rsidRDefault="00003E46" w:rsidP="00BD02D7">
            <w:pPr>
              <w:jc w:val="center"/>
              <w:rPr>
                <w:rFonts w:ascii="Lato" w:hAnsi="Lato"/>
                <w:sz w:val="18"/>
                <w:szCs w:val="18"/>
              </w:rPr>
            </w:pPr>
          </w:p>
          <w:p w14:paraId="55E4C9E7"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789" w:type="dxa"/>
          </w:tcPr>
          <w:p w14:paraId="452293AF" w14:textId="77777777" w:rsidR="00003E46" w:rsidRPr="0019609D" w:rsidRDefault="00003E46" w:rsidP="00BD02D7">
            <w:pPr>
              <w:rPr>
                <w:rFonts w:ascii="Lato" w:hAnsi="Lato"/>
                <w:sz w:val="18"/>
                <w:szCs w:val="18"/>
              </w:rPr>
            </w:pPr>
          </w:p>
          <w:p w14:paraId="5A888893" w14:textId="77777777" w:rsidR="00003E46" w:rsidRPr="0019609D" w:rsidRDefault="00003E46" w:rsidP="00BD02D7">
            <w:pPr>
              <w:rPr>
                <w:rFonts w:ascii="Lato" w:hAnsi="Lato"/>
                <w:sz w:val="18"/>
                <w:szCs w:val="18"/>
              </w:rPr>
            </w:pPr>
            <w:r w:rsidRPr="0019609D">
              <w:rPr>
                <w:rFonts w:ascii="Lato" w:hAnsi="Lato"/>
                <w:sz w:val="18"/>
                <w:szCs w:val="18"/>
              </w:rPr>
              <w:t>17</w:t>
            </w:r>
          </w:p>
        </w:tc>
        <w:tc>
          <w:tcPr>
            <w:tcW w:w="789" w:type="dxa"/>
          </w:tcPr>
          <w:p w14:paraId="42EC4DBD" w14:textId="77777777" w:rsidR="00003E46" w:rsidRPr="0019609D" w:rsidRDefault="00003E46" w:rsidP="00BD02D7">
            <w:pPr>
              <w:jc w:val="center"/>
              <w:rPr>
                <w:rFonts w:ascii="Lato" w:hAnsi="Lato"/>
                <w:sz w:val="18"/>
                <w:szCs w:val="18"/>
              </w:rPr>
            </w:pPr>
          </w:p>
          <w:p w14:paraId="7E6F196F" w14:textId="77777777" w:rsidR="00003E46" w:rsidRPr="0019609D" w:rsidRDefault="00003E46" w:rsidP="00BD02D7">
            <w:pPr>
              <w:rPr>
                <w:rFonts w:ascii="Lato" w:hAnsi="Lato"/>
                <w:sz w:val="18"/>
                <w:szCs w:val="18"/>
              </w:rPr>
            </w:pPr>
            <w:r w:rsidRPr="0019609D">
              <w:rPr>
                <w:rFonts w:ascii="Lato" w:hAnsi="Lato"/>
                <w:sz w:val="18"/>
                <w:szCs w:val="18"/>
              </w:rPr>
              <w:t>19</w:t>
            </w:r>
          </w:p>
        </w:tc>
        <w:tc>
          <w:tcPr>
            <w:tcW w:w="789" w:type="dxa"/>
          </w:tcPr>
          <w:p w14:paraId="072FA5FF" w14:textId="77777777" w:rsidR="00003E46" w:rsidRPr="0019609D" w:rsidRDefault="00003E46" w:rsidP="00BD02D7">
            <w:pPr>
              <w:jc w:val="center"/>
              <w:rPr>
                <w:rFonts w:ascii="Lato" w:hAnsi="Lato"/>
                <w:sz w:val="18"/>
                <w:szCs w:val="18"/>
              </w:rPr>
            </w:pPr>
          </w:p>
          <w:p w14:paraId="49FFE60D" w14:textId="77777777" w:rsidR="00003E46" w:rsidRPr="0019609D" w:rsidRDefault="00003E46" w:rsidP="00BD02D7">
            <w:pPr>
              <w:rPr>
                <w:rFonts w:ascii="Lato" w:hAnsi="Lato"/>
                <w:sz w:val="18"/>
                <w:szCs w:val="18"/>
              </w:rPr>
            </w:pPr>
            <w:r w:rsidRPr="0019609D">
              <w:rPr>
                <w:rFonts w:ascii="Lato" w:hAnsi="Lato"/>
                <w:sz w:val="18"/>
                <w:szCs w:val="18"/>
              </w:rPr>
              <w:t>11</w:t>
            </w:r>
          </w:p>
        </w:tc>
        <w:tc>
          <w:tcPr>
            <w:tcW w:w="789" w:type="dxa"/>
          </w:tcPr>
          <w:p w14:paraId="79296652" w14:textId="77777777" w:rsidR="00003E46" w:rsidRPr="0019609D" w:rsidRDefault="00003E46" w:rsidP="00BD02D7">
            <w:pPr>
              <w:jc w:val="center"/>
              <w:rPr>
                <w:rFonts w:ascii="Lato" w:hAnsi="Lato"/>
                <w:sz w:val="18"/>
                <w:szCs w:val="18"/>
              </w:rPr>
            </w:pPr>
          </w:p>
          <w:p w14:paraId="444763AE"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90" w:type="dxa"/>
          </w:tcPr>
          <w:p w14:paraId="01C7E8D9" w14:textId="77777777" w:rsidR="00003E46" w:rsidRPr="0019609D" w:rsidRDefault="00003E46" w:rsidP="00BD02D7">
            <w:pPr>
              <w:jc w:val="center"/>
              <w:rPr>
                <w:rFonts w:ascii="Lato" w:hAnsi="Lato"/>
                <w:sz w:val="18"/>
                <w:szCs w:val="18"/>
              </w:rPr>
            </w:pPr>
          </w:p>
          <w:p w14:paraId="6D3C901D" w14:textId="77777777" w:rsidR="00003E46" w:rsidRPr="0019609D" w:rsidRDefault="00003E46" w:rsidP="00BD02D7">
            <w:pPr>
              <w:rPr>
                <w:rFonts w:ascii="Lato" w:hAnsi="Lato"/>
                <w:sz w:val="18"/>
                <w:szCs w:val="18"/>
              </w:rPr>
            </w:pPr>
            <w:r w:rsidRPr="0019609D">
              <w:rPr>
                <w:rFonts w:ascii="Lato" w:hAnsi="Lato"/>
                <w:sz w:val="18"/>
                <w:szCs w:val="18"/>
              </w:rPr>
              <w:t>17</w:t>
            </w:r>
          </w:p>
        </w:tc>
        <w:tc>
          <w:tcPr>
            <w:tcW w:w="790" w:type="dxa"/>
          </w:tcPr>
          <w:p w14:paraId="4771AD16" w14:textId="77777777" w:rsidR="00003E46" w:rsidRPr="0019609D" w:rsidRDefault="00003E46" w:rsidP="00BD02D7">
            <w:pPr>
              <w:jc w:val="center"/>
              <w:rPr>
                <w:rFonts w:ascii="Lato" w:hAnsi="Lato"/>
                <w:sz w:val="18"/>
                <w:szCs w:val="18"/>
              </w:rPr>
            </w:pPr>
          </w:p>
          <w:p w14:paraId="6F09FBD5" w14:textId="77777777" w:rsidR="00003E46" w:rsidRPr="0019609D" w:rsidRDefault="00003E46" w:rsidP="00BD02D7">
            <w:pPr>
              <w:rPr>
                <w:rFonts w:ascii="Lato" w:hAnsi="Lato"/>
                <w:sz w:val="18"/>
                <w:szCs w:val="18"/>
              </w:rPr>
            </w:pPr>
            <w:r w:rsidRPr="0019609D">
              <w:rPr>
                <w:rFonts w:ascii="Lato" w:hAnsi="Lato"/>
                <w:sz w:val="18"/>
                <w:szCs w:val="18"/>
              </w:rPr>
              <w:t>22</w:t>
            </w:r>
          </w:p>
        </w:tc>
      </w:tr>
      <w:tr w:rsidR="00003E46" w:rsidRPr="0019609D" w14:paraId="480A0E15" w14:textId="77777777" w:rsidTr="00BD02D7">
        <w:tc>
          <w:tcPr>
            <w:tcW w:w="474" w:type="dxa"/>
          </w:tcPr>
          <w:p w14:paraId="74BB57A2" w14:textId="77777777" w:rsidR="00003E46" w:rsidRPr="0019609D" w:rsidRDefault="00003E46" w:rsidP="00BD02D7">
            <w:pPr>
              <w:rPr>
                <w:rFonts w:ascii="Lato" w:hAnsi="Lato"/>
                <w:sz w:val="18"/>
                <w:szCs w:val="18"/>
              </w:rPr>
            </w:pPr>
            <w:r w:rsidRPr="0019609D">
              <w:rPr>
                <w:rFonts w:ascii="Lato" w:hAnsi="Lato"/>
                <w:sz w:val="18"/>
                <w:szCs w:val="18"/>
              </w:rPr>
              <w:t>14.</w:t>
            </w:r>
          </w:p>
        </w:tc>
        <w:tc>
          <w:tcPr>
            <w:tcW w:w="2215" w:type="dxa"/>
          </w:tcPr>
          <w:p w14:paraId="521DD577" w14:textId="77777777" w:rsidR="00003E46" w:rsidRPr="0019609D" w:rsidRDefault="00003E46" w:rsidP="00BD02D7">
            <w:pPr>
              <w:rPr>
                <w:rFonts w:ascii="Lato" w:hAnsi="Lato"/>
                <w:sz w:val="18"/>
                <w:szCs w:val="18"/>
              </w:rPr>
            </w:pPr>
          </w:p>
          <w:p w14:paraId="5D931A8F" w14:textId="77777777" w:rsidR="00003E46" w:rsidRPr="0019609D" w:rsidRDefault="00003E46" w:rsidP="00BD02D7">
            <w:pPr>
              <w:rPr>
                <w:rFonts w:ascii="Lato" w:hAnsi="Lato"/>
                <w:sz w:val="18"/>
                <w:szCs w:val="18"/>
              </w:rPr>
            </w:pPr>
            <w:r w:rsidRPr="0019609D">
              <w:rPr>
                <w:rFonts w:ascii="Lato" w:hAnsi="Lato"/>
                <w:sz w:val="18"/>
                <w:szCs w:val="18"/>
              </w:rPr>
              <w:t>lubuskie</w:t>
            </w:r>
          </w:p>
        </w:tc>
        <w:tc>
          <w:tcPr>
            <w:tcW w:w="848" w:type="dxa"/>
          </w:tcPr>
          <w:p w14:paraId="6F6EC21A" w14:textId="77777777" w:rsidR="00003E46" w:rsidRPr="0019609D" w:rsidRDefault="00003E46" w:rsidP="00BD02D7">
            <w:pPr>
              <w:jc w:val="center"/>
              <w:rPr>
                <w:rFonts w:ascii="Lato" w:hAnsi="Lato"/>
                <w:sz w:val="18"/>
                <w:szCs w:val="18"/>
              </w:rPr>
            </w:pPr>
          </w:p>
          <w:p w14:paraId="07195DB4" w14:textId="77777777" w:rsidR="00003E46" w:rsidRPr="0019609D" w:rsidRDefault="00003E46" w:rsidP="00BD02D7">
            <w:pPr>
              <w:rPr>
                <w:rFonts w:ascii="Lato" w:hAnsi="Lato"/>
                <w:sz w:val="18"/>
                <w:szCs w:val="18"/>
              </w:rPr>
            </w:pPr>
            <w:r w:rsidRPr="0019609D">
              <w:rPr>
                <w:rFonts w:ascii="Lato" w:hAnsi="Lato"/>
                <w:sz w:val="18"/>
                <w:szCs w:val="18"/>
              </w:rPr>
              <w:t>82</w:t>
            </w:r>
          </w:p>
        </w:tc>
        <w:tc>
          <w:tcPr>
            <w:tcW w:w="789" w:type="dxa"/>
          </w:tcPr>
          <w:p w14:paraId="732C7869" w14:textId="77777777" w:rsidR="00003E46" w:rsidRPr="0019609D" w:rsidRDefault="00003E46" w:rsidP="00BD02D7">
            <w:pPr>
              <w:jc w:val="center"/>
              <w:rPr>
                <w:rFonts w:ascii="Lato" w:hAnsi="Lato"/>
                <w:sz w:val="18"/>
                <w:szCs w:val="18"/>
              </w:rPr>
            </w:pPr>
          </w:p>
          <w:p w14:paraId="0C1452ED" w14:textId="77777777" w:rsidR="00003E46" w:rsidRPr="0019609D" w:rsidRDefault="00003E46" w:rsidP="00BD02D7">
            <w:pPr>
              <w:rPr>
                <w:rFonts w:ascii="Lato" w:hAnsi="Lato"/>
                <w:sz w:val="18"/>
                <w:szCs w:val="18"/>
              </w:rPr>
            </w:pPr>
            <w:r w:rsidRPr="0019609D">
              <w:rPr>
                <w:rFonts w:ascii="Lato" w:hAnsi="Lato"/>
                <w:sz w:val="18"/>
                <w:szCs w:val="18"/>
              </w:rPr>
              <w:t>8</w:t>
            </w:r>
          </w:p>
        </w:tc>
        <w:tc>
          <w:tcPr>
            <w:tcW w:w="789" w:type="dxa"/>
          </w:tcPr>
          <w:p w14:paraId="02BE0E77" w14:textId="77777777" w:rsidR="00003E46" w:rsidRPr="0019609D" w:rsidRDefault="00003E46" w:rsidP="00BD02D7">
            <w:pPr>
              <w:rPr>
                <w:rFonts w:ascii="Lato" w:hAnsi="Lato"/>
                <w:sz w:val="18"/>
                <w:szCs w:val="18"/>
              </w:rPr>
            </w:pPr>
          </w:p>
          <w:p w14:paraId="503D9FD4"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789" w:type="dxa"/>
          </w:tcPr>
          <w:p w14:paraId="6729757C" w14:textId="77777777" w:rsidR="00003E46" w:rsidRPr="0019609D" w:rsidRDefault="00003E46" w:rsidP="00BD02D7">
            <w:pPr>
              <w:jc w:val="center"/>
              <w:rPr>
                <w:rFonts w:ascii="Lato" w:hAnsi="Lato"/>
                <w:sz w:val="18"/>
                <w:szCs w:val="18"/>
              </w:rPr>
            </w:pPr>
          </w:p>
          <w:p w14:paraId="3C8D155A" w14:textId="77777777" w:rsidR="00003E46" w:rsidRPr="0019609D" w:rsidRDefault="00003E46" w:rsidP="00BD02D7">
            <w:pPr>
              <w:rPr>
                <w:rFonts w:ascii="Lato" w:hAnsi="Lato"/>
                <w:sz w:val="18"/>
                <w:szCs w:val="18"/>
              </w:rPr>
            </w:pPr>
            <w:r w:rsidRPr="0019609D">
              <w:rPr>
                <w:rFonts w:ascii="Lato" w:hAnsi="Lato"/>
                <w:sz w:val="18"/>
                <w:szCs w:val="18"/>
              </w:rPr>
              <w:t>16</w:t>
            </w:r>
          </w:p>
        </w:tc>
        <w:tc>
          <w:tcPr>
            <w:tcW w:w="789" w:type="dxa"/>
          </w:tcPr>
          <w:p w14:paraId="0B78E87A" w14:textId="77777777" w:rsidR="00003E46" w:rsidRPr="0019609D" w:rsidRDefault="00003E46" w:rsidP="00BD02D7">
            <w:pPr>
              <w:jc w:val="center"/>
              <w:rPr>
                <w:rFonts w:ascii="Lato" w:hAnsi="Lato"/>
                <w:sz w:val="18"/>
                <w:szCs w:val="18"/>
              </w:rPr>
            </w:pPr>
          </w:p>
          <w:p w14:paraId="387B4E70"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89" w:type="dxa"/>
          </w:tcPr>
          <w:p w14:paraId="6D7CE86A" w14:textId="77777777" w:rsidR="00003E46" w:rsidRPr="0019609D" w:rsidRDefault="00003E46" w:rsidP="00BD02D7">
            <w:pPr>
              <w:jc w:val="center"/>
              <w:rPr>
                <w:rFonts w:ascii="Lato" w:hAnsi="Lato"/>
                <w:sz w:val="18"/>
                <w:szCs w:val="18"/>
              </w:rPr>
            </w:pPr>
          </w:p>
          <w:p w14:paraId="6BED2084"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90" w:type="dxa"/>
          </w:tcPr>
          <w:p w14:paraId="03056B75" w14:textId="77777777" w:rsidR="00003E46" w:rsidRPr="0019609D" w:rsidRDefault="00003E46" w:rsidP="00BD02D7">
            <w:pPr>
              <w:jc w:val="center"/>
              <w:rPr>
                <w:rFonts w:ascii="Lato" w:hAnsi="Lato"/>
                <w:sz w:val="18"/>
                <w:szCs w:val="18"/>
              </w:rPr>
            </w:pPr>
          </w:p>
          <w:p w14:paraId="01F81297" w14:textId="77777777" w:rsidR="00003E46" w:rsidRPr="0019609D" w:rsidRDefault="00003E46" w:rsidP="00BD02D7">
            <w:pPr>
              <w:rPr>
                <w:rFonts w:ascii="Lato" w:hAnsi="Lato"/>
                <w:sz w:val="18"/>
                <w:szCs w:val="18"/>
              </w:rPr>
            </w:pPr>
            <w:r w:rsidRPr="0019609D">
              <w:rPr>
                <w:rFonts w:ascii="Lato" w:hAnsi="Lato"/>
                <w:sz w:val="18"/>
                <w:szCs w:val="18"/>
              </w:rPr>
              <w:t>20</w:t>
            </w:r>
          </w:p>
        </w:tc>
        <w:tc>
          <w:tcPr>
            <w:tcW w:w="790" w:type="dxa"/>
          </w:tcPr>
          <w:p w14:paraId="24EDEF58" w14:textId="77777777" w:rsidR="00003E46" w:rsidRPr="0019609D" w:rsidRDefault="00003E46" w:rsidP="00BD02D7">
            <w:pPr>
              <w:jc w:val="center"/>
              <w:rPr>
                <w:rFonts w:ascii="Lato" w:hAnsi="Lato"/>
                <w:sz w:val="18"/>
                <w:szCs w:val="18"/>
              </w:rPr>
            </w:pPr>
          </w:p>
          <w:p w14:paraId="5703CE31" w14:textId="77777777" w:rsidR="00003E46" w:rsidRPr="0019609D" w:rsidRDefault="00003E46" w:rsidP="00BD02D7">
            <w:pPr>
              <w:rPr>
                <w:rFonts w:ascii="Lato" w:hAnsi="Lato"/>
                <w:sz w:val="18"/>
                <w:szCs w:val="18"/>
              </w:rPr>
            </w:pPr>
            <w:r w:rsidRPr="0019609D">
              <w:rPr>
                <w:rFonts w:ascii="Lato" w:hAnsi="Lato"/>
                <w:sz w:val="18"/>
                <w:szCs w:val="18"/>
              </w:rPr>
              <w:t>14</w:t>
            </w:r>
          </w:p>
        </w:tc>
      </w:tr>
      <w:tr w:rsidR="00003E46" w:rsidRPr="0019609D" w14:paraId="77EA3011" w14:textId="77777777" w:rsidTr="00BD02D7">
        <w:tc>
          <w:tcPr>
            <w:tcW w:w="474" w:type="dxa"/>
          </w:tcPr>
          <w:p w14:paraId="44CB2521" w14:textId="77777777" w:rsidR="00003E46" w:rsidRPr="0019609D" w:rsidRDefault="00003E46" w:rsidP="00BD02D7">
            <w:pPr>
              <w:rPr>
                <w:rFonts w:ascii="Lato" w:hAnsi="Lato"/>
                <w:sz w:val="18"/>
                <w:szCs w:val="18"/>
              </w:rPr>
            </w:pPr>
            <w:r w:rsidRPr="0019609D">
              <w:rPr>
                <w:rFonts w:ascii="Lato" w:hAnsi="Lato"/>
                <w:sz w:val="18"/>
                <w:szCs w:val="18"/>
              </w:rPr>
              <w:t>15.</w:t>
            </w:r>
          </w:p>
        </w:tc>
        <w:tc>
          <w:tcPr>
            <w:tcW w:w="2215" w:type="dxa"/>
          </w:tcPr>
          <w:p w14:paraId="405C333D" w14:textId="77777777" w:rsidR="00003E46" w:rsidRPr="0019609D" w:rsidRDefault="00003E46" w:rsidP="00BD02D7">
            <w:pPr>
              <w:rPr>
                <w:rFonts w:ascii="Lato" w:hAnsi="Lato"/>
                <w:sz w:val="18"/>
                <w:szCs w:val="18"/>
              </w:rPr>
            </w:pPr>
          </w:p>
          <w:p w14:paraId="2C26733E" w14:textId="77777777" w:rsidR="00003E46" w:rsidRPr="0019609D" w:rsidRDefault="00003E46" w:rsidP="00BD02D7">
            <w:pPr>
              <w:rPr>
                <w:rFonts w:ascii="Lato" w:hAnsi="Lato"/>
                <w:sz w:val="18"/>
                <w:szCs w:val="18"/>
              </w:rPr>
            </w:pPr>
            <w:r w:rsidRPr="0019609D">
              <w:rPr>
                <w:rFonts w:ascii="Lato" w:hAnsi="Lato"/>
                <w:sz w:val="18"/>
                <w:szCs w:val="18"/>
              </w:rPr>
              <w:t>łódzkie</w:t>
            </w:r>
          </w:p>
        </w:tc>
        <w:tc>
          <w:tcPr>
            <w:tcW w:w="848" w:type="dxa"/>
          </w:tcPr>
          <w:p w14:paraId="5A1FE152" w14:textId="77777777" w:rsidR="00003E46" w:rsidRPr="0019609D" w:rsidRDefault="00003E46" w:rsidP="00BD02D7">
            <w:pPr>
              <w:jc w:val="center"/>
              <w:rPr>
                <w:rFonts w:ascii="Lato" w:hAnsi="Lato"/>
                <w:sz w:val="18"/>
                <w:szCs w:val="18"/>
              </w:rPr>
            </w:pPr>
          </w:p>
          <w:p w14:paraId="1413F1CA" w14:textId="77777777" w:rsidR="00003E46" w:rsidRPr="0019609D" w:rsidRDefault="00003E46" w:rsidP="00BD02D7">
            <w:pPr>
              <w:rPr>
                <w:rFonts w:ascii="Lato" w:hAnsi="Lato"/>
                <w:sz w:val="18"/>
                <w:szCs w:val="18"/>
              </w:rPr>
            </w:pPr>
            <w:r w:rsidRPr="0019609D">
              <w:rPr>
                <w:rFonts w:ascii="Lato" w:hAnsi="Lato"/>
                <w:sz w:val="18"/>
                <w:szCs w:val="18"/>
              </w:rPr>
              <w:t>177</w:t>
            </w:r>
          </w:p>
        </w:tc>
        <w:tc>
          <w:tcPr>
            <w:tcW w:w="789" w:type="dxa"/>
          </w:tcPr>
          <w:p w14:paraId="5C2F948B" w14:textId="77777777" w:rsidR="00003E46" w:rsidRPr="0019609D" w:rsidRDefault="00003E46" w:rsidP="00BD02D7">
            <w:pPr>
              <w:jc w:val="center"/>
              <w:rPr>
                <w:rFonts w:ascii="Lato" w:hAnsi="Lato"/>
                <w:sz w:val="18"/>
                <w:szCs w:val="18"/>
              </w:rPr>
            </w:pPr>
          </w:p>
          <w:p w14:paraId="2862813F" w14:textId="77777777" w:rsidR="00003E46" w:rsidRPr="0019609D" w:rsidRDefault="00003E46" w:rsidP="00BD02D7">
            <w:pPr>
              <w:rPr>
                <w:rFonts w:ascii="Lato" w:hAnsi="Lato"/>
                <w:sz w:val="18"/>
                <w:szCs w:val="18"/>
              </w:rPr>
            </w:pPr>
            <w:r w:rsidRPr="0019609D">
              <w:rPr>
                <w:rFonts w:ascii="Lato" w:hAnsi="Lato"/>
                <w:sz w:val="18"/>
                <w:szCs w:val="18"/>
              </w:rPr>
              <w:t>7</w:t>
            </w:r>
          </w:p>
        </w:tc>
        <w:tc>
          <w:tcPr>
            <w:tcW w:w="789" w:type="dxa"/>
          </w:tcPr>
          <w:p w14:paraId="6605252D" w14:textId="77777777" w:rsidR="00003E46" w:rsidRPr="0019609D" w:rsidRDefault="00003E46" w:rsidP="00BD02D7">
            <w:pPr>
              <w:rPr>
                <w:rFonts w:ascii="Lato" w:hAnsi="Lato"/>
                <w:sz w:val="18"/>
                <w:szCs w:val="18"/>
              </w:rPr>
            </w:pPr>
          </w:p>
          <w:p w14:paraId="6E7020A3"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5EA0FFA1" w14:textId="77777777" w:rsidR="00003E46" w:rsidRPr="0019609D" w:rsidRDefault="00003E46" w:rsidP="00BD02D7">
            <w:pPr>
              <w:jc w:val="center"/>
              <w:rPr>
                <w:rFonts w:ascii="Lato" w:hAnsi="Lato"/>
                <w:sz w:val="18"/>
                <w:szCs w:val="18"/>
              </w:rPr>
            </w:pPr>
          </w:p>
          <w:p w14:paraId="617BAB69"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789" w:type="dxa"/>
          </w:tcPr>
          <w:p w14:paraId="606BD8DF" w14:textId="77777777" w:rsidR="00003E46" w:rsidRPr="0019609D" w:rsidRDefault="00003E46" w:rsidP="00BD02D7">
            <w:pPr>
              <w:jc w:val="center"/>
              <w:rPr>
                <w:rFonts w:ascii="Lato" w:hAnsi="Lato"/>
                <w:sz w:val="18"/>
                <w:szCs w:val="18"/>
              </w:rPr>
            </w:pPr>
          </w:p>
          <w:p w14:paraId="246BDB46" w14:textId="77777777" w:rsidR="00003E46" w:rsidRPr="0019609D" w:rsidRDefault="00003E46" w:rsidP="00BD02D7">
            <w:pPr>
              <w:rPr>
                <w:rFonts w:ascii="Lato" w:hAnsi="Lato"/>
                <w:sz w:val="18"/>
                <w:szCs w:val="18"/>
              </w:rPr>
            </w:pPr>
            <w:r w:rsidRPr="0019609D">
              <w:rPr>
                <w:rFonts w:ascii="Lato" w:hAnsi="Lato"/>
                <w:sz w:val="18"/>
                <w:szCs w:val="18"/>
              </w:rPr>
              <w:t>10</w:t>
            </w:r>
          </w:p>
        </w:tc>
        <w:tc>
          <w:tcPr>
            <w:tcW w:w="789" w:type="dxa"/>
          </w:tcPr>
          <w:p w14:paraId="58C7D45C" w14:textId="77777777" w:rsidR="00003E46" w:rsidRPr="0019609D" w:rsidRDefault="00003E46" w:rsidP="00BD02D7">
            <w:pPr>
              <w:jc w:val="center"/>
              <w:rPr>
                <w:rFonts w:ascii="Lato" w:hAnsi="Lato"/>
                <w:sz w:val="18"/>
                <w:szCs w:val="18"/>
              </w:rPr>
            </w:pPr>
          </w:p>
          <w:p w14:paraId="052AB5A7"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90" w:type="dxa"/>
          </w:tcPr>
          <w:p w14:paraId="52876E2E" w14:textId="77777777" w:rsidR="00003E46" w:rsidRPr="0019609D" w:rsidRDefault="00003E46" w:rsidP="00BD02D7">
            <w:pPr>
              <w:jc w:val="center"/>
              <w:rPr>
                <w:rFonts w:ascii="Lato" w:hAnsi="Lato"/>
                <w:sz w:val="18"/>
                <w:szCs w:val="18"/>
              </w:rPr>
            </w:pPr>
          </w:p>
          <w:p w14:paraId="309AC27D" w14:textId="77777777" w:rsidR="00003E46" w:rsidRPr="0019609D" w:rsidRDefault="00003E46" w:rsidP="00BD02D7">
            <w:pPr>
              <w:rPr>
                <w:rFonts w:ascii="Lato" w:hAnsi="Lato"/>
                <w:sz w:val="18"/>
                <w:szCs w:val="18"/>
              </w:rPr>
            </w:pPr>
            <w:r w:rsidRPr="0019609D">
              <w:rPr>
                <w:rFonts w:ascii="Lato" w:hAnsi="Lato"/>
                <w:sz w:val="18"/>
                <w:szCs w:val="18"/>
              </w:rPr>
              <w:t>12</w:t>
            </w:r>
          </w:p>
        </w:tc>
        <w:tc>
          <w:tcPr>
            <w:tcW w:w="790" w:type="dxa"/>
          </w:tcPr>
          <w:p w14:paraId="3C23FED7" w14:textId="77777777" w:rsidR="00003E46" w:rsidRPr="0019609D" w:rsidRDefault="00003E46" w:rsidP="00BD02D7">
            <w:pPr>
              <w:rPr>
                <w:rFonts w:ascii="Lato" w:hAnsi="Lato"/>
                <w:sz w:val="18"/>
                <w:szCs w:val="18"/>
              </w:rPr>
            </w:pPr>
          </w:p>
          <w:p w14:paraId="4BF4583E" w14:textId="77777777" w:rsidR="00003E46" w:rsidRPr="0019609D" w:rsidRDefault="00003E46" w:rsidP="00BD02D7">
            <w:pPr>
              <w:rPr>
                <w:rFonts w:ascii="Lato" w:hAnsi="Lato"/>
                <w:sz w:val="18"/>
                <w:szCs w:val="18"/>
              </w:rPr>
            </w:pPr>
            <w:r w:rsidRPr="0019609D">
              <w:rPr>
                <w:rFonts w:ascii="Lato" w:hAnsi="Lato"/>
                <w:sz w:val="18"/>
                <w:szCs w:val="18"/>
              </w:rPr>
              <w:t>14</w:t>
            </w:r>
          </w:p>
        </w:tc>
      </w:tr>
      <w:tr w:rsidR="00003E46" w:rsidRPr="0019609D" w14:paraId="1BF28E3C" w14:textId="77777777" w:rsidTr="00BD02D7">
        <w:tc>
          <w:tcPr>
            <w:tcW w:w="474" w:type="dxa"/>
          </w:tcPr>
          <w:p w14:paraId="6E42EB71" w14:textId="77777777" w:rsidR="00003E46" w:rsidRPr="0019609D" w:rsidRDefault="00003E46" w:rsidP="00BD02D7">
            <w:pPr>
              <w:rPr>
                <w:rFonts w:ascii="Lato" w:hAnsi="Lato"/>
                <w:sz w:val="18"/>
                <w:szCs w:val="18"/>
              </w:rPr>
            </w:pPr>
            <w:r w:rsidRPr="0019609D">
              <w:rPr>
                <w:rFonts w:ascii="Lato" w:hAnsi="Lato"/>
                <w:sz w:val="18"/>
                <w:szCs w:val="18"/>
              </w:rPr>
              <w:t>16.</w:t>
            </w:r>
          </w:p>
        </w:tc>
        <w:tc>
          <w:tcPr>
            <w:tcW w:w="2215" w:type="dxa"/>
          </w:tcPr>
          <w:p w14:paraId="184F4437" w14:textId="77777777" w:rsidR="00003E46" w:rsidRPr="0019609D" w:rsidRDefault="00003E46" w:rsidP="00BD02D7">
            <w:pPr>
              <w:rPr>
                <w:rFonts w:ascii="Lato" w:hAnsi="Lato"/>
                <w:sz w:val="18"/>
                <w:szCs w:val="18"/>
              </w:rPr>
            </w:pPr>
          </w:p>
          <w:p w14:paraId="33F8B6B1" w14:textId="77777777" w:rsidR="00003E46" w:rsidRPr="0019609D" w:rsidRDefault="00003E46" w:rsidP="00BD02D7">
            <w:pPr>
              <w:rPr>
                <w:rFonts w:ascii="Lato" w:hAnsi="Lato"/>
                <w:sz w:val="18"/>
                <w:szCs w:val="18"/>
              </w:rPr>
            </w:pPr>
            <w:r w:rsidRPr="0019609D">
              <w:rPr>
                <w:rFonts w:ascii="Lato" w:hAnsi="Lato"/>
                <w:sz w:val="18"/>
                <w:szCs w:val="18"/>
              </w:rPr>
              <w:t>podlaskie</w:t>
            </w:r>
          </w:p>
        </w:tc>
        <w:tc>
          <w:tcPr>
            <w:tcW w:w="848" w:type="dxa"/>
          </w:tcPr>
          <w:p w14:paraId="67856D6E" w14:textId="77777777" w:rsidR="00003E46" w:rsidRPr="0019609D" w:rsidRDefault="00003E46" w:rsidP="00BD02D7">
            <w:pPr>
              <w:jc w:val="center"/>
              <w:rPr>
                <w:rFonts w:ascii="Lato" w:hAnsi="Lato"/>
                <w:sz w:val="18"/>
                <w:szCs w:val="18"/>
              </w:rPr>
            </w:pPr>
          </w:p>
          <w:p w14:paraId="04C3F998" w14:textId="77777777" w:rsidR="00003E46" w:rsidRPr="0019609D" w:rsidRDefault="00003E46" w:rsidP="00BD02D7">
            <w:pPr>
              <w:rPr>
                <w:rFonts w:ascii="Lato" w:hAnsi="Lato"/>
                <w:sz w:val="18"/>
                <w:szCs w:val="18"/>
              </w:rPr>
            </w:pPr>
            <w:r w:rsidRPr="0019609D">
              <w:rPr>
                <w:rFonts w:ascii="Lato" w:hAnsi="Lato"/>
                <w:sz w:val="18"/>
                <w:szCs w:val="18"/>
              </w:rPr>
              <w:t>118</w:t>
            </w:r>
          </w:p>
        </w:tc>
        <w:tc>
          <w:tcPr>
            <w:tcW w:w="789" w:type="dxa"/>
          </w:tcPr>
          <w:p w14:paraId="6D4AED85" w14:textId="77777777" w:rsidR="00003E46" w:rsidRPr="0019609D" w:rsidRDefault="00003E46" w:rsidP="00BD02D7">
            <w:pPr>
              <w:jc w:val="center"/>
              <w:rPr>
                <w:rFonts w:ascii="Lato" w:hAnsi="Lato"/>
                <w:sz w:val="18"/>
                <w:szCs w:val="18"/>
              </w:rPr>
            </w:pPr>
          </w:p>
          <w:p w14:paraId="6E86F515" w14:textId="77777777" w:rsidR="00003E46" w:rsidRPr="0019609D" w:rsidRDefault="00003E46" w:rsidP="00BD02D7">
            <w:pPr>
              <w:rPr>
                <w:rFonts w:ascii="Lato" w:hAnsi="Lato"/>
                <w:sz w:val="18"/>
                <w:szCs w:val="18"/>
              </w:rPr>
            </w:pPr>
            <w:r w:rsidRPr="0019609D">
              <w:rPr>
                <w:rFonts w:ascii="Lato" w:hAnsi="Lato"/>
                <w:sz w:val="18"/>
                <w:szCs w:val="18"/>
              </w:rPr>
              <w:t>8</w:t>
            </w:r>
          </w:p>
        </w:tc>
        <w:tc>
          <w:tcPr>
            <w:tcW w:w="789" w:type="dxa"/>
          </w:tcPr>
          <w:p w14:paraId="4A752AE1" w14:textId="77777777" w:rsidR="00003E46" w:rsidRPr="0019609D" w:rsidRDefault="00003E46" w:rsidP="00BD02D7">
            <w:pPr>
              <w:rPr>
                <w:rFonts w:ascii="Lato" w:hAnsi="Lato"/>
                <w:sz w:val="18"/>
                <w:szCs w:val="18"/>
              </w:rPr>
            </w:pPr>
          </w:p>
          <w:p w14:paraId="0BFAC425" w14:textId="77777777" w:rsidR="00003E46" w:rsidRPr="0019609D" w:rsidRDefault="00003E46" w:rsidP="00BD02D7">
            <w:pPr>
              <w:rPr>
                <w:rFonts w:ascii="Lato" w:hAnsi="Lato"/>
                <w:sz w:val="18"/>
                <w:szCs w:val="18"/>
              </w:rPr>
            </w:pPr>
            <w:r w:rsidRPr="0019609D">
              <w:rPr>
                <w:rFonts w:ascii="Lato" w:hAnsi="Lato"/>
                <w:sz w:val="18"/>
                <w:szCs w:val="18"/>
              </w:rPr>
              <w:t>10</w:t>
            </w:r>
          </w:p>
        </w:tc>
        <w:tc>
          <w:tcPr>
            <w:tcW w:w="789" w:type="dxa"/>
          </w:tcPr>
          <w:p w14:paraId="2E438114" w14:textId="77777777" w:rsidR="00003E46" w:rsidRPr="0019609D" w:rsidRDefault="00003E46" w:rsidP="00BD02D7">
            <w:pPr>
              <w:jc w:val="center"/>
              <w:rPr>
                <w:rFonts w:ascii="Lato" w:hAnsi="Lato"/>
                <w:sz w:val="18"/>
                <w:szCs w:val="18"/>
              </w:rPr>
            </w:pPr>
          </w:p>
          <w:p w14:paraId="6EBBBA99" w14:textId="77777777" w:rsidR="00003E46" w:rsidRPr="0019609D" w:rsidRDefault="00003E46" w:rsidP="00BD02D7">
            <w:pPr>
              <w:rPr>
                <w:rFonts w:ascii="Lato" w:hAnsi="Lato"/>
                <w:sz w:val="18"/>
                <w:szCs w:val="18"/>
              </w:rPr>
            </w:pPr>
            <w:r w:rsidRPr="0019609D">
              <w:rPr>
                <w:rFonts w:ascii="Lato" w:hAnsi="Lato"/>
                <w:sz w:val="18"/>
                <w:szCs w:val="18"/>
              </w:rPr>
              <w:t>11</w:t>
            </w:r>
          </w:p>
        </w:tc>
        <w:tc>
          <w:tcPr>
            <w:tcW w:w="789" w:type="dxa"/>
          </w:tcPr>
          <w:p w14:paraId="32F273B9" w14:textId="77777777" w:rsidR="00003E46" w:rsidRPr="0019609D" w:rsidRDefault="00003E46" w:rsidP="00BD02D7">
            <w:pPr>
              <w:jc w:val="center"/>
              <w:rPr>
                <w:rFonts w:ascii="Lato" w:hAnsi="Lato"/>
                <w:sz w:val="18"/>
                <w:szCs w:val="18"/>
              </w:rPr>
            </w:pPr>
          </w:p>
          <w:p w14:paraId="1A4E48AA" w14:textId="77777777" w:rsidR="00003E46" w:rsidRPr="0019609D" w:rsidRDefault="00003E46" w:rsidP="00BD02D7">
            <w:pPr>
              <w:rPr>
                <w:rFonts w:ascii="Lato" w:hAnsi="Lato"/>
                <w:sz w:val="18"/>
                <w:szCs w:val="18"/>
              </w:rPr>
            </w:pPr>
            <w:r w:rsidRPr="0019609D">
              <w:rPr>
                <w:rFonts w:ascii="Lato" w:hAnsi="Lato"/>
                <w:sz w:val="18"/>
                <w:szCs w:val="18"/>
              </w:rPr>
              <w:t>13</w:t>
            </w:r>
          </w:p>
        </w:tc>
        <w:tc>
          <w:tcPr>
            <w:tcW w:w="789" w:type="dxa"/>
          </w:tcPr>
          <w:p w14:paraId="48466E09" w14:textId="77777777" w:rsidR="00003E46" w:rsidRPr="0019609D" w:rsidRDefault="00003E46" w:rsidP="00BD02D7">
            <w:pPr>
              <w:jc w:val="center"/>
              <w:rPr>
                <w:rFonts w:ascii="Lato" w:hAnsi="Lato"/>
                <w:sz w:val="18"/>
                <w:szCs w:val="18"/>
              </w:rPr>
            </w:pPr>
          </w:p>
          <w:p w14:paraId="50F825A9" w14:textId="77777777" w:rsidR="00003E46" w:rsidRPr="0019609D" w:rsidRDefault="00003E46" w:rsidP="00BD02D7">
            <w:pPr>
              <w:rPr>
                <w:rFonts w:ascii="Lato" w:hAnsi="Lato"/>
                <w:sz w:val="18"/>
                <w:szCs w:val="18"/>
              </w:rPr>
            </w:pPr>
            <w:r w:rsidRPr="0019609D">
              <w:rPr>
                <w:rFonts w:ascii="Lato" w:hAnsi="Lato"/>
                <w:sz w:val="18"/>
                <w:szCs w:val="18"/>
              </w:rPr>
              <w:t>14</w:t>
            </w:r>
          </w:p>
        </w:tc>
        <w:tc>
          <w:tcPr>
            <w:tcW w:w="790" w:type="dxa"/>
          </w:tcPr>
          <w:p w14:paraId="5AC9AECB" w14:textId="77777777" w:rsidR="00003E46" w:rsidRPr="0019609D" w:rsidRDefault="00003E46" w:rsidP="00BD02D7">
            <w:pPr>
              <w:rPr>
                <w:rFonts w:ascii="Lato" w:hAnsi="Lato"/>
                <w:sz w:val="18"/>
                <w:szCs w:val="18"/>
              </w:rPr>
            </w:pPr>
          </w:p>
          <w:p w14:paraId="064378E4" w14:textId="77777777" w:rsidR="00003E46" w:rsidRPr="0019609D" w:rsidRDefault="00003E46" w:rsidP="00BD02D7">
            <w:pPr>
              <w:rPr>
                <w:rFonts w:ascii="Lato" w:hAnsi="Lato"/>
                <w:sz w:val="18"/>
                <w:szCs w:val="18"/>
              </w:rPr>
            </w:pPr>
            <w:r w:rsidRPr="0019609D">
              <w:rPr>
                <w:rFonts w:ascii="Lato" w:hAnsi="Lato"/>
                <w:sz w:val="18"/>
                <w:szCs w:val="18"/>
              </w:rPr>
              <w:t>15</w:t>
            </w:r>
          </w:p>
        </w:tc>
        <w:tc>
          <w:tcPr>
            <w:tcW w:w="790" w:type="dxa"/>
          </w:tcPr>
          <w:p w14:paraId="65817FD1" w14:textId="77777777" w:rsidR="00003E46" w:rsidRPr="0019609D" w:rsidRDefault="00003E46" w:rsidP="00BD02D7">
            <w:pPr>
              <w:jc w:val="center"/>
              <w:rPr>
                <w:rFonts w:ascii="Lato" w:hAnsi="Lato"/>
                <w:sz w:val="18"/>
                <w:szCs w:val="18"/>
              </w:rPr>
            </w:pPr>
          </w:p>
          <w:p w14:paraId="34116F96" w14:textId="77777777" w:rsidR="00003E46" w:rsidRPr="0019609D" w:rsidRDefault="00003E46" w:rsidP="00BD02D7">
            <w:pPr>
              <w:rPr>
                <w:rFonts w:ascii="Lato" w:hAnsi="Lato"/>
                <w:sz w:val="18"/>
                <w:szCs w:val="18"/>
              </w:rPr>
            </w:pPr>
            <w:r w:rsidRPr="0019609D">
              <w:rPr>
                <w:rFonts w:ascii="Lato" w:hAnsi="Lato"/>
                <w:sz w:val="18"/>
                <w:szCs w:val="18"/>
              </w:rPr>
              <w:t>15</w:t>
            </w:r>
          </w:p>
        </w:tc>
      </w:tr>
      <w:tr w:rsidR="00003E46" w:rsidRPr="0019609D" w14:paraId="45345090" w14:textId="77777777" w:rsidTr="00BD02D7">
        <w:tc>
          <w:tcPr>
            <w:tcW w:w="2689" w:type="dxa"/>
            <w:gridSpan w:val="2"/>
          </w:tcPr>
          <w:p w14:paraId="434744E0" w14:textId="77777777" w:rsidR="00003E46" w:rsidRPr="0019609D" w:rsidRDefault="00003E46" w:rsidP="00BD02D7">
            <w:pPr>
              <w:rPr>
                <w:rFonts w:ascii="Lato" w:hAnsi="Lato"/>
                <w:sz w:val="18"/>
                <w:szCs w:val="18"/>
              </w:rPr>
            </w:pPr>
          </w:p>
          <w:p w14:paraId="202A1E3E" w14:textId="77777777" w:rsidR="00003E46" w:rsidRPr="0019609D" w:rsidRDefault="00003E46" w:rsidP="00BD02D7">
            <w:pPr>
              <w:rPr>
                <w:rFonts w:ascii="Lato" w:hAnsi="Lato"/>
                <w:sz w:val="18"/>
                <w:szCs w:val="18"/>
              </w:rPr>
            </w:pPr>
            <w:r w:rsidRPr="0019609D">
              <w:rPr>
                <w:rFonts w:ascii="Lato" w:hAnsi="Lato"/>
                <w:b/>
                <w:sz w:val="18"/>
                <w:szCs w:val="18"/>
              </w:rPr>
              <w:t>Ogółem:</w:t>
            </w:r>
          </w:p>
        </w:tc>
        <w:tc>
          <w:tcPr>
            <w:tcW w:w="848" w:type="dxa"/>
          </w:tcPr>
          <w:p w14:paraId="0AD6F456" w14:textId="77777777" w:rsidR="00003E46" w:rsidRPr="0019609D" w:rsidRDefault="00003E46" w:rsidP="00BD02D7">
            <w:pPr>
              <w:rPr>
                <w:rFonts w:ascii="Lato" w:hAnsi="Lato"/>
                <w:sz w:val="18"/>
                <w:szCs w:val="18"/>
              </w:rPr>
            </w:pPr>
          </w:p>
          <w:p w14:paraId="7368497A" w14:textId="77777777" w:rsidR="00003E46" w:rsidRPr="0019609D" w:rsidRDefault="00003E46" w:rsidP="00BD02D7">
            <w:pPr>
              <w:jc w:val="center"/>
              <w:rPr>
                <w:rFonts w:ascii="Lato" w:hAnsi="Lato"/>
                <w:sz w:val="18"/>
                <w:szCs w:val="18"/>
              </w:rPr>
            </w:pPr>
            <w:r w:rsidRPr="0019609D">
              <w:rPr>
                <w:rFonts w:ascii="Lato" w:hAnsi="Lato"/>
                <w:b/>
                <w:sz w:val="18"/>
                <w:szCs w:val="18"/>
              </w:rPr>
              <w:t>2477</w:t>
            </w:r>
          </w:p>
        </w:tc>
        <w:tc>
          <w:tcPr>
            <w:tcW w:w="789" w:type="dxa"/>
          </w:tcPr>
          <w:p w14:paraId="02D7BD0B" w14:textId="77777777" w:rsidR="00003E46" w:rsidRPr="0019609D" w:rsidRDefault="00003E46" w:rsidP="00BD02D7">
            <w:pPr>
              <w:rPr>
                <w:rFonts w:ascii="Lato" w:hAnsi="Lato" w:cs="Times New Roman"/>
                <w:b/>
                <w:sz w:val="18"/>
                <w:szCs w:val="18"/>
              </w:rPr>
            </w:pPr>
          </w:p>
          <w:p w14:paraId="297BFBE1" w14:textId="77777777" w:rsidR="00003E46" w:rsidRPr="0019609D" w:rsidRDefault="00003E46" w:rsidP="00BD02D7">
            <w:pPr>
              <w:jc w:val="center"/>
              <w:rPr>
                <w:rFonts w:ascii="Lato" w:hAnsi="Lato"/>
                <w:sz w:val="18"/>
                <w:szCs w:val="18"/>
              </w:rPr>
            </w:pPr>
            <w:r w:rsidRPr="0019609D">
              <w:rPr>
                <w:rFonts w:ascii="Lato" w:hAnsi="Lato" w:cs="Times New Roman"/>
                <w:b/>
                <w:sz w:val="18"/>
                <w:szCs w:val="18"/>
              </w:rPr>
              <w:t xml:space="preserve">197 </w:t>
            </w:r>
          </w:p>
        </w:tc>
        <w:tc>
          <w:tcPr>
            <w:tcW w:w="789" w:type="dxa"/>
          </w:tcPr>
          <w:p w14:paraId="147AB904" w14:textId="77777777" w:rsidR="00003E46" w:rsidRPr="0019609D" w:rsidRDefault="00003E46" w:rsidP="00BD02D7">
            <w:pPr>
              <w:rPr>
                <w:rFonts w:ascii="Lato" w:hAnsi="Lato" w:cs="Times New Roman"/>
                <w:sz w:val="18"/>
                <w:szCs w:val="18"/>
              </w:rPr>
            </w:pPr>
          </w:p>
          <w:p w14:paraId="43188381" w14:textId="77777777" w:rsidR="00003E46" w:rsidRPr="0019609D" w:rsidRDefault="00003E46" w:rsidP="00BD02D7">
            <w:pPr>
              <w:rPr>
                <w:rFonts w:ascii="Lato" w:hAnsi="Lato"/>
                <w:sz w:val="18"/>
                <w:szCs w:val="18"/>
              </w:rPr>
            </w:pPr>
            <w:r w:rsidRPr="0019609D">
              <w:rPr>
                <w:rFonts w:ascii="Lato" w:hAnsi="Lato" w:cs="Times New Roman"/>
                <w:b/>
                <w:sz w:val="18"/>
                <w:szCs w:val="18"/>
              </w:rPr>
              <w:t>290</w:t>
            </w:r>
          </w:p>
        </w:tc>
        <w:tc>
          <w:tcPr>
            <w:tcW w:w="789" w:type="dxa"/>
          </w:tcPr>
          <w:p w14:paraId="1E79B66B" w14:textId="77777777" w:rsidR="00003E46" w:rsidRPr="0019609D" w:rsidRDefault="00003E46" w:rsidP="00BD02D7">
            <w:pPr>
              <w:jc w:val="center"/>
              <w:rPr>
                <w:rFonts w:ascii="Lato" w:hAnsi="Lato" w:cs="Times New Roman"/>
                <w:sz w:val="18"/>
                <w:szCs w:val="18"/>
              </w:rPr>
            </w:pPr>
          </w:p>
          <w:p w14:paraId="3E57F672" w14:textId="77777777" w:rsidR="00003E46" w:rsidRPr="0019609D" w:rsidRDefault="00003E46" w:rsidP="00BD02D7">
            <w:pPr>
              <w:jc w:val="center"/>
              <w:rPr>
                <w:rFonts w:ascii="Lato" w:hAnsi="Lato"/>
                <w:sz w:val="18"/>
                <w:szCs w:val="18"/>
              </w:rPr>
            </w:pPr>
            <w:r w:rsidRPr="0019609D">
              <w:rPr>
                <w:rFonts w:ascii="Lato" w:hAnsi="Lato" w:cs="Times New Roman"/>
                <w:b/>
                <w:sz w:val="18"/>
                <w:szCs w:val="18"/>
              </w:rPr>
              <w:t>338</w:t>
            </w:r>
          </w:p>
        </w:tc>
        <w:tc>
          <w:tcPr>
            <w:tcW w:w="789" w:type="dxa"/>
          </w:tcPr>
          <w:p w14:paraId="4F964982" w14:textId="77777777" w:rsidR="00003E46" w:rsidRPr="0019609D" w:rsidRDefault="00003E46" w:rsidP="00BD02D7">
            <w:pPr>
              <w:jc w:val="center"/>
              <w:rPr>
                <w:rFonts w:ascii="Lato" w:hAnsi="Lato" w:cs="Times New Roman"/>
                <w:b/>
                <w:sz w:val="18"/>
                <w:szCs w:val="18"/>
              </w:rPr>
            </w:pPr>
          </w:p>
          <w:p w14:paraId="538ECEC0" w14:textId="77777777" w:rsidR="00003E46" w:rsidRPr="0019609D" w:rsidRDefault="00003E46" w:rsidP="00BD02D7">
            <w:pPr>
              <w:jc w:val="center"/>
              <w:rPr>
                <w:rFonts w:ascii="Lato" w:hAnsi="Lato"/>
                <w:sz w:val="18"/>
                <w:szCs w:val="18"/>
              </w:rPr>
            </w:pPr>
            <w:r w:rsidRPr="0019609D">
              <w:rPr>
                <w:rFonts w:ascii="Lato" w:hAnsi="Lato" w:cs="Times New Roman"/>
                <w:b/>
                <w:sz w:val="18"/>
                <w:szCs w:val="18"/>
              </w:rPr>
              <w:t>380</w:t>
            </w:r>
          </w:p>
        </w:tc>
        <w:tc>
          <w:tcPr>
            <w:tcW w:w="789" w:type="dxa"/>
          </w:tcPr>
          <w:p w14:paraId="289E8361" w14:textId="77777777" w:rsidR="00003E46" w:rsidRPr="0019609D" w:rsidRDefault="00003E46" w:rsidP="00BD02D7">
            <w:pPr>
              <w:jc w:val="center"/>
              <w:rPr>
                <w:rFonts w:ascii="Lato" w:hAnsi="Lato" w:cs="Times New Roman"/>
                <w:b/>
                <w:sz w:val="18"/>
                <w:szCs w:val="18"/>
              </w:rPr>
            </w:pPr>
          </w:p>
          <w:p w14:paraId="6422DBBB" w14:textId="77777777" w:rsidR="00003E46" w:rsidRPr="0019609D" w:rsidRDefault="00003E46" w:rsidP="00BD02D7">
            <w:pPr>
              <w:jc w:val="center"/>
              <w:rPr>
                <w:rFonts w:ascii="Lato" w:hAnsi="Lato"/>
                <w:sz w:val="18"/>
                <w:szCs w:val="18"/>
              </w:rPr>
            </w:pPr>
            <w:r w:rsidRPr="0019609D">
              <w:rPr>
                <w:rFonts w:ascii="Lato" w:hAnsi="Lato" w:cs="Times New Roman"/>
                <w:b/>
                <w:sz w:val="18"/>
                <w:szCs w:val="18"/>
              </w:rPr>
              <w:t>377</w:t>
            </w:r>
          </w:p>
        </w:tc>
        <w:tc>
          <w:tcPr>
            <w:tcW w:w="790" w:type="dxa"/>
          </w:tcPr>
          <w:p w14:paraId="28547751" w14:textId="77777777" w:rsidR="00003E46" w:rsidRPr="0019609D" w:rsidRDefault="00003E46" w:rsidP="00BD02D7">
            <w:pPr>
              <w:jc w:val="center"/>
              <w:rPr>
                <w:rFonts w:ascii="Lato" w:hAnsi="Lato" w:cs="Times New Roman"/>
                <w:b/>
                <w:sz w:val="18"/>
                <w:szCs w:val="18"/>
              </w:rPr>
            </w:pPr>
          </w:p>
          <w:p w14:paraId="4B7224DC" w14:textId="77777777" w:rsidR="00003E46" w:rsidRPr="0019609D" w:rsidRDefault="00003E46" w:rsidP="00BD02D7">
            <w:pPr>
              <w:rPr>
                <w:rFonts w:ascii="Lato" w:hAnsi="Lato"/>
                <w:sz w:val="18"/>
                <w:szCs w:val="18"/>
              </w:rPr>
            </w:pPr>
            <w:r w:rsidRPr="0019609D">
              <w:rPr>
                <w:rFonts w:ascii="Lato" w:hAnsi="Lato" w:cs="Times New Roman"/>
                <w:b/>
                <w:sz w:val="18"/>
                <w:szCs w:val="18"/>
              </w:rPr>
              <w:t>423</w:t>
            </w:r>
          </w:p>
        </w:tc>
        <w:tc>
          <w:tcPr>
            <w:tcW w:w="790" w:type="dxa"/>
          </w:tcPr>
          <w:p w14:paraId="74FCDBDE" w14:textId="77777777" w:rsidR="00003E46" w:rsidRPr="0019609D" w:rsidRDefault="00003E46" w:rsidP="00BD02D7">
            <w:pPr>
              <w:jc w:val="center"/>
              <w:rPr>
                <w:rFonts w:ascii="Lato" w:hAnsi="Lato" w:cs="Times New Roman"/>
                <w:b/>
                <w:sz w:val="18"/>
                <w:szCs w:val="18"/>
              </w:rPr>
            </w:pPr>
          </w:p>
          <w:p w14:paraId="238BCC96" w14:textId="77777777" w:rsidR="00003E46" w:rsidRPr="0019609D" w:rsidRDefault="00003E46" w:rsidP="00BD02D7">
            <w:pPr>
              <w:jc w:val="center"/>
              <w:rPr>
                <w:rFonts w:ascii="Lato" w:hAnsi="Lato"/>
                <w:sz w:val="18"/>
                <w:szCs w:val="18"/>
              </w:rPr>
            </w:pPr>
            <w:r w:rsidRPr="0019609D">
              <w:rPr>
                <w:rFonts w:ascii="Lato" w:hAnsi="Lato" w:cs="Times New Roman"/>
                <w:b/>
                <w:sz w:val="18"/>
                <w:szCs w:val="18"/>
              </w:rPr>
              <w:t>456</w:t>
            </w:r>
          </w:p>
        </w:tc>
      </w:tr>
    </w:tbl>
    <w:p w14:paraId="6A1CBC78" w14:textId="21245AFA" w:rsidR="00D8384B" w:rsidRPr="00003E46" w:rsidRDefault="00D8384B" w:rsidP="00C55E92">
      <w:pPr>
        <w:tabs>
          <w:tab w:val="left" w:pos="14317"/>
        </w:tabs>
        <w:spacing w:after="0" w:line="240" w:lineRule="auto"/>
        <w:ind w:right="4"/>
        <w:jc w:val="both"/>
        <w:rPr>
          <w:rFonts w:ascii="Lato" w:hAnsi="Lato"/>
          <w:sz w:val="16"/>
          <w:szCs w:val="16"/>
        </w:rPr>
      </w:pPr>
      <w:r w:rsidRPr="00003E46">
        <w:rPr>
          <w:rFonts w:ascii="Lato" w:hAnsi="Lato"/>
          <w:sz w:val="16"/>
          <w:szCs w:val="16"/>
        </w:rPr>
        <w:t>Liczba gminnych rad seniorów (ogółem w poszczególnych latach) podana jest bez</w:t>
      </w:r>
      <w:r w:rsidR="00C55E92" w:rsidRPr="00003E46">
        <w:rPr>
          <w:rFonts w:ascii="Lato" w:hAnsi="Lato"/>
          <w:sz w:val="16"/>
          <w:szCs w:val="16"/>
        </w:rPr>
        <w:t xml:space="preserve"> </w:t>
      </w:r>
      <w:r w:rsidRPr="00003E46">
        <w:rPr>
          <w:rFonts w:ascii="Lato" w:hAnsi="Lato"/>
          <w:sz w:val="16"/>
          <w:szCs w:val="16"/>
        </w:rPr>
        <w:t>dzielnicowych rad seniorów m.st. Warszawy.</w:t>
      </w:r>
    </w:p>
    <w:p w14:paraId="52230892" w14:textId="4EE03073" w:rsidR="00C55E92" w:rsidRPr="00003E46" w:rsidRDefault="00003E46" w:rsidP="00C111D2">
      <w:pPr>
        <w:tabs>
          <w:tab w:val="left" w:pos="14317"/>
        </w:tabs>
        <w:spacing w:after="0" w:line="240" w:lineRule="auto"/>
        <w:ind w:right="1102"/>
        <w:rPr>
          <w:rFonts w:ascii="Lato" w:hAnsi="Lato"/>
          <w:sz w:val="16"/>
          <w:szCs w:val="16"/>
        </w:rPr>
      </w:pPr>
      <w:r w:rsidRPr="00003E46">
        <w:rPr>
          <w:rFonts w:ascii="Lato" w:hAnsi="Lato"/>
          <w:sz w:val="16"/>
          <w:szCs w:val="16"/>
        </w:rPr>
        <w:t>Źródło: dane z Ministerstwa Spraw Wewnętrznych i Administracji</w:t>
      </w:r>
    </w:p>
    <w:p w14:paraId="52FB0188" w14:textId="0276A344" w:rsidR="003D7225" w:rsidRDefault="003D7225" w:rsidP="00C111D2">
      <w:pPr>
        <w:spacing w:after="0" w:line="240" w:lineRule="auto"/>
        <w:rPr>
          <w:rFonts w:ascii="Lato" w:hAnsi="Lato" w:cs="Arial"/>
          <w:color w:val="000000"/>
          <w:sz w:val="20"/>
          <w:szCs w:val="20"/>
        </w:rPr>
      </w:pPr>
    </w:p>
    <w:p w14:paraId="1C62078D" w14:textId="11602044" w:rsidR="003D7225" w:rsidRDefault="003D7225" w:rsidP="00C111D2">
      <w:pPr>
        <w:spacing w:after="0" w:line="240" w:lineRule="auto"/>
        <w:rPr>
          <w:rFonts w:ascii="Lato" w:hAnsi="Lato" w:cs="Arial"/>
          <w:b/>
          <w:bCs/>
          <w:color w:val="000000"/>
          <w:sz w:val="20"/>
          <w:szCs w:val="20"/>
        </w:rPr>
      </w:pPr>
      <w:r w:rsidRPr="003D7225">
        <w:rPr>
          <w:rFonts w:ascii="Lato" w:hAnsi="Lato" w:cs="Arial"/>
          <w:b/>
          <w:bCs/>
          <w:color w:val="000000"/>
          <w:sz w:val="20"/>
          <w:szCs w:val="20"/>
        </w:rPr>
        <w:t xml:space="preserve">Umiejętności cyfrowe osób starszych </w:t>
      </w:r>
    </w:p>
    <w:p w14:paraId="2FC29C4F" w14:textId="40D6E31B" w:rsidR="003D7225" w:rsidRDefault="00B27383" w:rsidP="009C7A2A">
      <w:pPr>
        <w:spacing w:after="0" w:line="240" w:lineRule="auto"/>
        <w:jc w:val="both"/>
        <w:rPr>
          <w:rFonts w:ascii="Lato" w:hAnsi="Lato"/>
          <w:sz w:val="20"/>
          <w:szCs w:val="20"/>
        </w:rPr>
      </w:pPr>
      <w:r w:rsidRPr="009C7A2A">
        <w:rPr>
          <w:rFonts w:ascii="Lato" w:hAnsi="Lato"/>
          <w:sz w:val="20"/>
          <w:szCs w:val="20"/>
        </w:rPr>
        <w:t xml:space="preserve">W Polsce w 2022 r. z Internetu (w ciągu ostatnich 3 miesięcy poprzedzających badanie) korzystało 4340,6 tys. osób w wieku 60-74 lata, co stanowiło 61,1% ogółu osób w tej grupie wieku. </w:t>
      </w:r>
    </w:p>
    <w:p w14:paraId="0ED352C3" w14:textId="77777777" w:rsidR="009C7A2A" w:rsidRPr="009C7A2A" w:rsidRDefault="009C7A2A" w:rsidP="009C7A2A">
      <w:pPr>
        <w:spacing w:after="0" w:line="240" w:lineRule="auto"/>
        <w:jc w:val="both"/>
        <w:rPr>
          <w:rFonts w:ascii="Lato" w:hAnsi="Lato"/>
          <w:sz w:val="20"/>
          <w:szCs w:val="20"/>
        </w:rPr>
      </w:pPr>
    </w:p>
    <w:p w14:paraId="77388B57" w14:textId="72CAE9A9" w:rsidR="003D7225" w:rsidRDefault="003D7225" w:rsidP="003D7225">
      <w:pPr>
        <w:pStyle w:val="Legenda"/>
        <w:keepNext/>
      </w:pPr>
      <w:bookmarkStart w:id="35" w:name="_Toc142565995"/>
      <w:r>
        <w:t xml:space="preserve">Tabela </w:t>
      </w:r>
      <w:fldSimple w:instr=" SEQ Tabela \* ARABIC ">
        <w:r w:rsidR="00AA385B">
          <w:rPr>
            <w:noProof/>
          </w:rPr>
          <w:t>30</w:t>
        </w:r>
      </w:fldSimple>
      <w:r>
        <w:t xml:space="preserve"> Osoby korzystające z Internetu w 2022 r.</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0"/>
        <w:gridCol w:w="946"/>
        <w:gridCol w:w="981"/>
        <w:gridCol w:w="913"/>
        <w:gridCol w:w="948"/>
        <w:gridCol w:w="981"/>
        <w:gridCol w:w="913"/>
      </w:tblGrid>
      <w:tr w:rsidR="003D7225" w:rsidRPr="0019609D" w14:paraId="14323662" w14:textId="77777777" w:rsidTr="0019609D">
        <w:trPr>
          <w:trHeight w:val="564"/>
        </w:trPr>
        <w:tc>
          <w:tcPr>
            <w:tcW w:w="1865" w:type="pct"/>
            <w:vMerge w:val="restart"/>
            <w:shd w:val="clear" w:color="auto" w:fill="8EAADB" w:themeFill="accent1" w:themeFillTint="99"/>
            <w:noWrap/>
            <w:vAlign w:val="center"/>
            <w:hideMark/>
          </w:tcPr>
          <w:p w14:paraId="58F0EB95"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Wyszczególnienie</w:t>
            </w:r>
          </w:p>
        </w:tc>
        <w:tc>
          <w:tcPr>
            <w:tcW w:w="522" w:type="pct"/>
            <w:vMerge w:val="restart"/>
            <w:shd w:val="clear" w:color="auto" w:fill="8EAADB" w:themeFill="accent1" w:themeFillTint="99"/>
            <w:vAlign w:val="center"/>
            <w:hideMark/>
          </w:tcPr>
          <w:p w14:paraId="2D8AA1B9"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Ogółem osoby w </w:t>
            </w:r>
            <w:r w:rsidRPr="0019609D">
              <w:rPr>
                <w:rFonts w:ascii="Lato" w:eastAsia="Times New Roman" w:hAnsi="Lato" w:cs="Arial"/>
                <w:sz w:val="18"/>
                <w:szCs w:val="18"/>
                <w:lang w:eastAsia="pl-PL"/>
              </w:rPr>
              <w:lastRenderedPageBreak/>
              <w:t>wieku 16-74 lat</w:t>
            </w:r>
          </w:p>
        </w:tc>
        <w:tc>
          <w:tcPr>
            <w:tcW w:w="541" w:type="pct"/>
            <w:vMerge w:val="restart"/>
            <w:shd w:val="clear" w:color="auto" w:fill="8EAADB" w:themeFill="accent1" w:themeFillTint="99"/>
            <w:vAlign w:val="center"/>
            <w:hideMark/>
          </w:tcPr>
          <w:p w14:paraId="3A6B13F1"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lastRenderedPageBreak/>
              <w:t>Mężczyźni</w:t>
            </w:r>
          </w:p>
        </w:tc>
        <w:tc>
          <w:tcPr>
            <w:tcW w:w="504" w:type="pct"/>
            <w:vMerge w:val="restart"/>
            <w:shd w:val="clear" w:color="auto" w:fill="8EAADB" w:themeFill="accent1" w:themeFillTint="99"/>
            <w:vAlign w:val="center"/>
            <w:hideMark/>
          </w:tcPr>
          <w:p w14:paraId="38E8E74F"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Kobiety</w:t>
            </w:r>
          </w:p>
        </w:tc>
        <w:tc>
          <w:tcPr>
            <w:tcW w:w="1568" w:type="pct"/>
            <w:gridSpan w:val="3"/>
            <w:shd w:val="clear" w:color="auto" w:fill="8EAADB" w:themeFill="accent1" w:themeFillTint="99"/>
            <w:vAlign w:val="center"/>
            <w:hideMark/>
          </w:tcPr>
          <w:p w14:paraId="59FE849C"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Z liczby ogółem</w:t>
            </w:r>
            <w:r w:rsidRPr="0019609D">
              <w:rPr>
                <w:rFonts w:ascii="Lato" w:eastAsia="Times New Roman" w:hAnsi="Lato" w:cs="Arial"/>
                <w:sz w:val="18"/>
                <w:szCs w:val="18"/>
                <w:lang w:eastAsia="pl-PL"/>
              </w:rPr>
              <w:br/>
              <w:t xml:space="preserve"> osoby w wieku 60 - 74 lata </w:t>
            </w:r>
          </w:p>
        </w:tc>
      </w:tr>
      <w:tr w:rsidR="003D7225" w:rsidRPr="0019609D" w14:paraId="7F838D65" w14:textId="77777777" w:rsidTr="0019609D">
        <w:trPr>
          <w:trHeight w:val="399"/>
        </w:trPr>
        <w:tc>
          <w:tcPr>
            <w:tcW w:w="1865" w:type="pct"/>
            <w:vMerge/>
            <w:shd w:val="clear" w:color="auto" w:fill="8EAADB" w:themeFill="accent1" w:themeFillTint="99"/>
            <w:vAlign w:val="center"/>
            <w:hideMark/>
          </w:tcPr>
          <w:p w14:paraId="655CFBAE"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522" w:type="pct"/>
            <w:vMerge/>
            <w:shd w:val="clear" w:color="auto" w:fill="8EAADB" w:themeFill="accent1" w:themeFillTint="99"/>
            <w:vAlign w:val="center"/>
            <w:hideMark/>
          </w:tcPr>
          <w:p w14:paraId="3B303740"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541" w:type="pct"/>
            <w:vMerge/>
            <w:shd w:val="clear" w:color="auto" w:fill="8EAADB" w:themeFill="accent1" w:themeFillTint="99"/>
            <w:vAlign w:val="center"/>
            <w:hideMark/>
          </w:tcPr>
          <w:p w14:paraId="43C46173"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504" w:type="pct"/>
            <w:vMerge/>
            <w:shd w:val="clear" w:color="auto" w:fill="8EAADB" w:themeFill="accent1" w:themeFillTint="99"/>
            <w:vAlign w:val="center"/>
            <w:hideMark/>
          </w:tcPr>
          <w:p w14:paraId="5FDB5264"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523" w:type="pct"/>
            <w:shd w:val="clear" w:color="auto" w:fill="8EAADB" w:themeFill="accent1" w:themeFillTint="99"/>
            <w:vAlign w:val="center"/>
            <w:hideMark/>
          </w:tcPr>
          <w:p w14:paraId="7BF4A974"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razem</w:t>
            </w:r>
          </w:p>
        </w:tc>
        <w:tc>
          <w:tcPr>
            <w:tcW w:w="541" w:type="pct"/>
            <w:shd w:val="clear" w:color="auto" w:fill="8EAADB" w:themeFill="accent1" w:themeFillTint="99"/>
            <w:vAlign w:val="center"/>
            <w:hideMark/>
          </w:tcPr>
          <w:p w14:paraId="7415D341"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mężczyźni</w:t>
            </w:r>
          </w:p>
        </w:tc>
        <w:tc>
          <w:tcPr>
            <w:tcW w:w="504" w:type="pct"/>
            <w:shd w:val="clear" w:color="auto" w:fill="8EAADB" w:themeFill="accent1" w:themeFillTint="99"/>
            <w:vAlign w:val="center"/>
            <w:hideMark/>
          </w:tcPr>
          <w:p w14:paraId="0456583B"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kobiety</w:t>
            </w:r>
          </w:p>
        </w:tc>
      </w:tr>
      <w:tr w:rsidR="003D7225" w:rsidRPr="0019609D" w14:paraId="131543A9" w14:textId="77777777" w:rsidTr="003D7225">
        <w:trPr>
          <w:trHeight w:val="300"/>
        </w:trPr>
        <w:tc>
          <w:tcPr>
            <w:tcW w:w="5000" w:type="pct"/>
            <w:gridSpan w:val="7"/>
            <w:shd w:val="clear" w:color="auto" w:fill="auto"/>
            <w:noWrap/>
            <w:vAlign w:val="center"/>
            <w:hideMark/>
          </w:tcPr>
          <w:p w14:paraId="74D46435"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tysiącach</w:t>
            </w:r>
          </w:p>
        </w:tc>
      </w:tr>
      <w:tr w:rsidR="003D7225" w:rsidRPr="0019609D" w14:paraId="340D4CC8" w14:textId="77777777" w:rsidTr="003D7225">
        <w:trPr>
          <w:trHeight w:val="300"/>
        </w:trPr>
        <w:tc>
          <w:tcPr>
            <w:tcW w:w="1865" w:type="pct"/>
            <w:shd w:val="clear" w:color="auto" w:fill="auto"/>
            <w:noWrap/>
            <w:vAlign w:val="center"/>
            <w:hideMark/>
          </w:tcPr>
          <w:p w14:paraId="31D16E5B"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korzystające z Internetu</w:t>
            </w:r>
          </w:p>
        </w:tc>
        <w:tc>
          <w:tcPr>
            <w:tcW w:w="522" w:type="pct"/>
            <w:shd w:val="clear" w:color="auto" w:fill="auto"/>
            <w:noWrap/>
            <w:vAlign w:val="center"/>
            <w:hideMark/>
          </w:tcPr>
          <w:p w14:paraId="4A83693B"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26 123,1</w:t>
            </w:r>
          </w:p>
        </w:tc>
        <w:tc>
          <w:tcPr>
            <w:tcW w:w="541" w:type="pct"/>
            <w:shd w:val="clear" w:color="auto" w:fill="auto"/>
            <w:noWrap/>
            <w:vAlign w:val="center"/>
            <w:hideMark/>
          </w:tcPr>
          <w:p w14:paraId="2E68E3E9"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12 865,4</w:t>
            </w:r>
          </w:p>
        </w:tc>
        <w:tc>
          <w:tcPr>
            <w:tcW w:w="504" w:type="pct"/>
            <w:shd w:val="clear" w:color="auto" w:fill="auto"/>
            <w:noWrap/>
            <w:vAlign w:val="center"/>
            <w:hideMark/>
          </w:tcPr>
          <w:p w14:paraId="08FC359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13 257,7</w:t>
            </w:r>
          </w:p>
        </w:tc>
        <w:tc>
          <w:tcPr>
            <w:tcW w:w="523" w:type="pct"/>
            <w:shd w:val="clear" w:color="auto" w:fill="auto"/>
            <w:noWrap/>
            <w:vAlign w:val="center"/>
            <w:hideMark/>
          </w:tcPr>
          <w:p w14:paraId="4E9FBFE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4 982,9</w:t>
            </w:r>
          </w:p>
        </w:tc>
        <w:tc>
          <w:tcPr>
            <w:tcW w:w="541" w:type="pct"/>
            <w:shd w:val="clear" w:color="auto" w:fill="auto"/>
            <w:noWrap/>
            <w:vAlign w:val="center"/>
            <w:hideMark/>
          </w:tcPr>
          <w:p w14:paraId="61931FD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2 186,9</w:t>
            </w:r>
          </w:p>
        </w:tc>
        <w:tc>
          <w:tcPr>
            <w:tcW w:w="504" w:type="pct"/>
            <w:shd w:val="clear" w:color="auto" w:fill="auto"/>
            <w:noWrap/>
            <w:vAlign w:val="center"/>
            <w:hideMark/>
          </w:tcPr>
          <w:p w14:paraId="643A850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2 796,0</w:t>
            </w:r>
          </w:p>
        </w:tc>
      </w:tr>
      <w:tr w:rsidR="003D7225" w:rsidRPr="0019609D" w14:paraId="616645DE" w14:textId="77777777" w:rsidTr="003D7225">
        <w:trPr>
          <w:trHeight w:val="300"/>
        </w:trPr>
        <w:tc>
          <w:tcPr>
            <w:tcW w:w="1865" w:type="pct"/>
            <w:shd w:val="clear" w:color="auto" w:fill="auto"/>
            <w:noWrap/>
            <w:vAlign w:val="center"/>
            <w:hideMark/>
          </w:tcPr>
          <w:p w14:paraId="7D477130"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w ciągu ostatnich 3 miesięcy</w:t>
            </w:r>
          </w:p>
        </w:tc>
        <w:tc>
          <w:tcPr>
            <w:tcW w:w="522" w:type="pct"/>
            <w:shd w:val="clear" w:color="auto" w:fill="auto"/>
            <w:noWrap/>
            <w:vAlign w:val="center"/>
            <w:hideMark/>
          </w:tcPr>
          <w:p w14:paraId="38CE4B2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25 072,6</w:t>
            </w:r>
          </w:p>
        </w:tc>
        <w:tc>
          <w:tcPr>
            <w:tcW w:w="541" w:type="pct"/>
            <w:shd w:val="clear" w:color="auto" w:fill="auto"/>
            <w:noWrap/>
            <w:vAlign w:val="center"/>
            <w:hideMark/>
          </w:tcPr>
          <w:p w14:paraId="5D25F5C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12 397,2</w:t>
            </w:r>
          </w:p>
        </w:tc>
        <w:tc>
          <w:tcPr>
            <w:tcW w:w="504" w:type="pct"/>
            <w:shd w:val="clear" w:color="auto" w:fill="auto"/>
            <w:noWrap/>
            <w:vAlign w:val="center"/>
            <w:hideMark/>
          </w:tcPr>
          <w:p w14:paraId="1453A32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12 675,4</w:t>
            </w:r>
          </w:p>
        </w:tc>
        <w:tc>
          <w:tcPr>
            <w:tcW w:w="523" w:type="pct"/>
            <w:shd w:val="clear" w:color="auto" w:fill="auto"/>
            <w:noWrap/>
            <w:vAlign w:val="center"/>
            <w:hideMark/>
          </w:tcPr>
          <w:p w14:paraId="67A5BA7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4 340,6</w:t>
            </w:r>
          </w:p>
        </w:tc>
        <w:tc>
          <w:tcPr>
            <w:tcW w:w="541" w:type="pct"/>
            <w:shd w:val="clear" w:color="auto" w:fill="auto"/>
            <w:noWrap/>
            <w:vAlign w:val="center"/>
            <w:hideMark/>
          </w:tcPr>
          <w:p w14:paraId="5BEE8D9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1 944,3</w:t>
            </w:r>
          </w:p>
        </w:tc>
        <w:tc>
          <w:tcPr>
            <w:tcW w:w="504" w:type="pct"/>
            <w:shd w:val="clear" w:color="auto" w:fill="auto"/>
            <w:noWrap/>
            <w:vAlign w:val="center"/>
            <w:hideMark/>
          </w:tcPr>
          <w:p w14:paraId="69BBB6F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2 396,4</w:t>
            </w:r>
          </w:p>
        </w:tc>
      </w:tr>
      <w:tr w:rsidR="003D7225" w:rsidRPr="0019609D" w14:paraId="6FD75F95" w14:textId="77777777" w:rsidTr="003D7225">
        <w:trPr>
          <w:trHeight w:val="300"/>
        </w:trPr>
        <w:tc>
          <w:tcPr>
            <w:tcW w:w="1865" w:type="pct"/>
            <w:shd w:val="clear" w:color="auto" w:fill="auto"/>
            <w:noWrap/>
            <w:vAlign w:val="center"/>
            <w:hideMark/>
          </w:tcPr>
          <w:p w14:paraId="2B933B54"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od 3 miesięcy do 12 miesięcy temu</w:t>
            </w:r>
          </w:p>
        </w:tc>
        <w:tc>
          <w:tcPr>
            <w:tcW w:w="522" w:type="pct"/>
            <w:shd w:val="clear" w:color="auto" w:fill="auto"/>
            <w:noWrap/>
            <w:vAlign w:val="center"/>
            <w:hideMark/>
          </w:tcPr>
          <w:p w14:paraId="4A57CBA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428,5</w:t>
            </w:r>
          </w:p>
        </w:tc>
        <w:tc>
          <w:tcPr>
            <w:tcW w:w="541" w:type="pct"/>
            <w:shd w:val="clear" w:color="auto" w:fill="auto"/>
            <w:noWrap/>
            <w:vAlign w:val="center"/>
            <w:hideMark/>
          </w:tcPr>
          <w:p w14:paraId="252C79B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199,6</w:t>
            </w:r>
          </w:p>
        </w:tc>
        <w:tc>
          <w:tcPr>
            <w:tcW w:w="504" w:type="pct"/>
            <w:shd w:val="clear" w:color="auto" w:fill="auto"/>
            <w:noWrap/>
            <w:vAlign w:val="center"/>
            <w:hideMark/>
          </w:tcPr>
          <w:p w14:paraId="3647511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229,0</w:t>
            </w:r>
          </w:p>
        </w:tc>
        <w:tc>
          <w:tcPr>
            <w:tcW w:w="523" w:type="pct"/>
            <w:shd w:val="clear" w:color="auto" w:fill="auto"/>
            <w:noWrap/>
            <w:vAlign w:val="center"/>
            <w:hideMark/>
          </w:tcPr>
          <w:p w14:paraId="68FE4B0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207,7</w:t>
            </w:r>
          </w:p>
        </w:tc>
        <w:tc>
          <w:tcPr>
            <w:tcW w:w="541" w:type="pct"/>
            <w:shd w:val="clear" w:color="auto" w:fill="auto"/>
            <w:noWrap/>
            <w:vAlign w:val="center"/>
            <w:hideMark/>
          </w:tcPr>
          <w:p w14:paraId="7E9202F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86,5</w:t>
            </w:r>
          </w:p>
        </w:tc>
        <w:tc>
          <w:tcPr>
            <w:tcW w:w="504" w:type="pct"/>
            <w:shd w:val="clear" w:color="auto" w:fill="auto"/>
            <w:noWrap/>
            <w:vAlign w:val="center"/>
            <w:hideMark/>
          </w:tcPr>
          <w:p w14:paraId="4287D3DB"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121,1</w:t>
            </w:r>
          </w:p>
        </w:tc>
      </w:tr>
      <w:tr w:rsidR="003D7225" w:rsidRPr="0019609D" w14:paraId="2779234D" w14:textId="77777777" w:rsidTr="003D7225">
        <w:trPr>
          <w:trHeight w:val="300"/>
        </w:trPr>
        <w:tc>
          <w:tcPr>
            <w:tcW w:w="1865" w:type="pct"/>
            <w:shd w:val="clear" w:color="auto" w:fill="auto"/>
            <w:noWrap/>
            <w:vAlign w:val="center"/>
            <w:hideMark/>
          </w:tcPr>
          <w:p w14:paraId="347ACDF7"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ponad rok temu</w:t>
            </w:r>
          </w:p>
        </w:tc>
        <w:tc>
          <w:tcPr>
            <w:tcW w:w="522" w:type="pct"/>
            <w:shd w:val="clear" w:color="auto" w:fill="auto"/>
            <w:noWrap/>
            <w:vAlign w:val="center"/>
            <w:hideMark/>
          </w:tcPr>
          <w:p w14:paraId="663C59D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621,9</w:t>
            </w:r>
          </w:p>
        </w:tc>
        <w:tc>
          <w:tcPr>
            <w:tcW w:w="541" w:type="pct"/>
            <w:shd w:val="clear" w:color="auto" w:fill="auto"/>
            <w:noWrap/>
            <w:vAlign w:val="center"/>
            <w:hideMark/>
          </w:tcPr>
          <w:p w14:paraId="34506B0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268,6</w:t>
            </w:r>
          </w:p>
        </w:tc>
        <w:tc>
          <w:tcPr>
            <w:tcW w:w="504" w:type="pct"/>
            <w:shd w:val="clear" w:color="auto" w:fill="auto"/>
            <w:noWrap/>
            <w:vAlign w:val="center"/>
            <w:hideMark/>
          </w:tcPr>
          <w:p w14:paraId="0C2682B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353,3</w:t>
            </w:r>
          </w:p>
        </w:tc>
        <w:tc>
          <w:tcPr>
            <w:tcW w:w="523" w:type="pct"/>
            <w:shd w:val="clear" w:color="auto" w:fill="auto"/>
            <w:noWrap/>
            <w:vAlign w:val="center"/>
            <w:hideMark/>
          </w:tcPr>
          <w:p w14:paraId="3C70C56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434,6</w:t>
            </w:r>
          </w:p>
        </w:tc>
        <w:tc>
          <w:tcPr>
            <w:tcW w:w="541" w:type="pct"/>
            <w:shd w:val="clear" w:color="auto" w:fill="auto"/>
            <w:noWrap/>
            <w:vAlign w:val="center"/>
            <w:hideMark/>
          </w:tcPr>
          <w:p w14:paraId="4D50BE2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156,1</w:t>
            </w:r>
          </w:p>
        </w:tc>
        <w:tc>
          <w:tcPr>
            <w:tcW w:w="504" w:type="pct"/>
            <w:shd w:val="clear" w:color="auto" w:fill="auto"/>
            <w:noWrap/>
            <w:vAlign w:val="center"/>
            <w:hideMark/>
          </w:tcPr>
          <w:p w14:paraId="2D9AD20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278,5</w:t>
            </w:r>
          </w:p>
        </w:tc>
      </w:tr>
      <w:tr w:rsidR="003D7225" w:rsidRPr="0019609D" w14:paraId="2A625187" w14:textId="77777777" w:rsidTr="003D7225">
        <w:trPr>
          <w:trHeight w:val="300"/>
        </w:trPr>
        <w:tc>
          <w:tcPr>
            <w:tcW w:w="1865" w:type="pct"/>
            <w:shd w:val="clear" w:color="auto" w:fill="auto"/>
            <w:noWrap/>
            <w:vAlign w:val="center"/>
            <w:hideMark/>
          </w:tcPr>
          <w:p w14:paraId="6D4C0DFF"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nigdy nie korzystające z Internetu</w:t>
            </w:r>
          </w:p>
        </w:tc>
        <w:tc>
          <w:tcPr>
            <w:tcW w:w="522" w:type="pct"/>
            <w:shd w:val="clear" w:color="auto" w:fill="auto"/>
            <w:noWrap/>
            <w:vAlign w:val="center"/>
            <w:hideMark/>
          </w:tcPr>
          <w:p w14:paraId="19C1E55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2 715,6</w:t>
            </w:r>
          </w:p>
        </w:tc>
        <w:tc>
          <w:tcPr>
            <w:tcW w:w="541" w:type="pct"/>
            <w:shd w:val="clear" w:color="auto" w:fill="auto"/>
            <w:noWrap/>
            <w:vAlign w:val="center"/>
            <w:hideMark/>
          </w:tcPr>
          <w:p w14:paraId="3E886EF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1 264,7</w:t>
            </w:r>
          </w:p>
        </w:tc>
        <w:tc>
          <w:tcPr>
            <w:tcW w:w="504" w:type="pct"/>
            <w:shd w:val="clear" w:color="auto" w:fill="auto"/>
            <w:noWrap/>
            <w:vAlign w:val="center"/>
            <w:hideMark/>
          </w:tcPr>
          <w:p w14:paraId="13158ED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1 450,8</w:t>
            </w:r>
          </w:p>
        </w:tc>
        <w:tc>
          <w:tcPr>
            <w:tcW w:w="523" w:type="pct"/>
            <w:shd w:val="clear" w:color="auto" w:fill="auto"/>
            <w:noWrap/>
            <w:vAlign w:val="center"/>
            <w:hideMark/>
          </w:tcPr>
          <w:p w14:paraId="3D16704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2 120,7</w:t>
            </w:r>
          </w:p>
        </w:tc>
        <w:tc>
          <w:tcPr>
            <w:tcW w:w="541" w:type="pct"/>
            <w:shd w:val="clear" w:color="auto" w:fill="auto"/>
            <w:noWrap/>
            <w:vAlign w:val="center"/>
            <w:hideMark/>
          </w:tcPr>
          <w:p w14:paraId="20DF26C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938,2</w:t>
            </w:r>
          </w:p>
        </w:tc>
        <w:tc>
          <w:tcPr>
            <w:tcW w:w="504" w:type="pct"/>
            <w:shd w:val="clear" w:color="auto" w:fill="auto"/>
            <w:noWrap/>
            <w:vAlign w:val="center"/>
            <w:hideMark/>
          </w:tcPr>
          <w:p w14:paraId="2BDF238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1 182,6</w:t>
            </w:r>
          </w:p>
        </w:tc>
      </w:tr>
      <w:tr w:rsidR="003D7225" w:rsidRPr="0019609D" w14:paraId="266103DE" w14:textId="77777777" w:rsidTr="003D7225">
        <w:trPr>
          <w:trHeight w:val="300"/>
        </w:trPr>
        <w:tc>
          <w:tcPr>
            <w:tcW w:w="5000" w:type="pct"/>
            <w:gridSpan w:val="7"/>
            <w:shd w:val="clear" w:color="auto" w:fill="auto"/>
            <w:noWrap/>
            <w:vAlign w:val="center"/>
            <w:hideMark/>
          </w:tcPr>
          <w:p w14:paraId="18DE61F7"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odsetkach</w:t>
            </w:r>
          </w:p>
        </w:tc>
      </w:tr>
      <w:tr w:rsidR="003D7225" w:rsidRPr="0019609D" w14:paraId="1368A8AC" w14:textId="77777777" w:rsidTr="003D7225">
        <w:trPr>
          <w:trHeight w:val="300"/>
        </w:trPr>
        <w:tc>
          <w:tcPr>
            <w:tcW w:w="1865" w:type="pct"/>
            <w:shd w:val="clear" w:color="auto" w:fill="auto"/>
            <w:noWrap/>
            <w:vAlign w:val="center"/>
            <w:hideMark/>
          </w:tcPr>
          <w:p w14:paraId="72DE2BE5"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korzystające z Internetu</w:t>
            </w:r>
          </w:p>
        </w:tc>
        <w:tc>
          <w:tcPr>
            <w:tcW w:w="522" w:type="pct"/>
            <w:shd w:val="clear" w:color="auto" w:fill="auto"/>
            <w:noWrap/>
            <w:vAlign w:val="center"/>
            <w:hideMark/>
          </w:tcPr>
          <w:p w14:paraId="5046DEA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90,6</w:t>
            </w:r>
          </w:p>
        </w:tc>
        <w:tc>
          <w:tcPr>
            <w:tcW w:w="541" w:type="pct"/>
            <w:shd w:val="clear" w:color="auto" w:fill="auto"/>
            <w:noWrap/>
            <w:vAlign w:val="center"/>
            <w:hideMark/>
          </w:tcPr>
          <w:p w14:paraId="49D7E32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91,0</w:t>
            </w:r>
          </w:p>
        </w:tc>
        <w:tc>
          <w:tcPr>
            <w:tcW w:w="504" w:type="pct"/>
            <w:shd w:val="clear" w:color="auto" w:fill="auto"/>
            <w:noWrap/>
            <w:vAlign w:val="center"/>
            <w:hideMark/>
          </w:tcPr>
          <w:p w14:paraId="7A3294D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90,1</w:t>
            </w:r>
          </w:p>
        </w:tc>
        <w:tc>
          <w:tcPr>
            <w:tcW w:w="523" w:type="pct"/>
            <w:shd w:val="clear" w:color="auto" w:fill="auto"/>
            <w:noWrap/>
            <w:vAlign w:val="center"/>
            <w:hideMark/>
          </w:tcPr>
          <w:p w14:paraId="0184694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70,1</w:t>
            </w:r>
          </w:p>
        </w:tc>
        <w:tc>
          <w:tcPr>
            <w:tcW w:w="541" w:type="pct"/>
            <w:shd w:val="clear" w:color="auto" w:fill="auto"/>
            <w:noWrap/>
            <w:vAlign w:val="center"/>
            <w:hideMark/>
          </w:tcPr>
          <w:p w14:paraId="4FC8722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70,0</w:t>
            </w:r>
          </w:p>
        </w:tc>
        <w:tc>
          <w:tcPr>
            <w:tcW w:w="504" w:type="pct"/>
            <w:shd w:val="clear" w:color="auto" w:fill="auto"/>
            <w:noWrap/>
            <w:vAlign w:val="center"/>
            <w:hideMark/>
          </w:tcPr>
          <w:p w14:paraId="57D14C4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70,3</w:t>
            </w:r>
          </w:p>
        </w:tc>
      </w:tr>
      <w:tr w:rsidR="003D7225" w:rsidRPr="0019609D" w14:paraId="1A799941" w14:textId="77777777" w:rsidTr="003D7225">
        <w:trPr>
          <w:trHeight w:val="300"/>
        </w:trPr>
        <w:tc>
          <w:tcPr>
            <w:tcW w:w="1865" w:type="pct"/>
            <w:shd w:val="clear" w:color="auto" w:fill="auto"/>
            <w:noWrap/>
            <w:vAlign w:val="center"/>
            <w:hideMark/>
          </w:tcPr>
          <w:p w14:paraId="311B96A4"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w ciągu ostatnich 3 miesięcy</w:t>
            </w:r>
          </w:p>
        </w:tc>
        <w:tc>
          <w:tcPr>
            <w:tcW w:w="522" w:type="pct"/>
            <w:shd w:val="clear" w:color="auto" w:fill="auto"/>
            <w:noWrap/>
            <w:vAlign w:val="center"/>
            <w:hideMark/>
          </w:tcPr>
          <w:p w14:paraId="0A6EE859"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86,9</w:t>
            </w:r>
          </w:p>
        </w:tc>
        <w:tc>
          <w:tcPr>
            <w:tcW w:w="541" w:type="pct"/>
            <w:shd w:val="clear" w:color="auto" w:fill="auto"/>
            <w:noWrap/>
            <w:vAlign w:val="center"/>
            <w:hideMark/>
          </w:tcPr>
          <w:p w14:paraId="5BD45ED8"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87,7</w:t>
            </w:r>
          </w:p>
        </w:tc>
        <w:tc>
          <w:tcPr>
            <w:tcW w:w="504" w:type="pct"/>
            <w:shd w:val="clear" w:color="auto" w:fill="auto"/>
            <w:noWrap/>
            <w:vAlign w:val="center"/>
            <w:hideMark/>
          </w:tcPr>
          <w:p w14:paraId="7D476D5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86,2</w:t>
            </w:r>
          </w:p>
        </w:tc>
        <w:tc>
          <w:tcPr>
            <w:tcW w:w="523" w:type="pct"/>
            <w:shd w:val="clear" w:color="auto" w:fill="auto"/>
            <w:noWrap/>
            <w:vAlign w:val="center"/>
            <w:hideMark/>
          </w:tcPr>
          <w:p w14:paraId="383B946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61,1</w:t>
            </w:r>
          </w:p>
        </w:tc>
        <w:tc>
          <w:tcPr>
            <w:tcW w:w="541" w:type="pct"/>
            <w:shd w:val="clear" w:color="auto" w:fill="auto"/>
            <w:noWrap/>
            <w:vAlign w:val="center"/>
            <w:hideMark/>
          </w:tcPr>
          <w:p w14:paraId="60B80FF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62,2</w:t>
            </w:r>
          </w:p>
        </w:tc>
        <w:tc>
          <w:tcPr>
            <w:tcW w:w="504" w:type="pct"/>
            <w:shd w:val="clear" w:color="auto" w:fill="auto"/>
            <w:noWrap/>
            <w:vAlign w:val="center"/>
            <w:hideMark/>
          </w:tcPr>
          <w:p w14:paraId="104AA3C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60,2</w:t>
            </w:r>
          </w:p>
        </w:tc>
      </w:tr>
      <w:tr w:rsidR="003D7225" w:rsidRPr="0019609D" w14:paraId="2E7B1A54" w14:textId="77777777" w:rsidTr="003D7225">
        <w:trPr>
          <w:trHeight w:val="300"/>
        </w:trPr>
        <w:tc>
          <w:tcPr>
            <w:tcW w:w="1865" w:type="pct"/>
            <w:shd w:val="clear" w:color="auto" w:fill="auto"/>
            <w:noWrap/>
            <w:vAlign w:val="center"/>
            <w:hideMark/>
          </w:tcPr>
          <w:p w14:paraId="45F9208A"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od 3 miesięcy do 12 miesięcy temu</w:t>
            </w:r>
          </w:p>
        </w:tc>
        <w:tc>
          <w:tcPr>
            <w:tcW w:w="522" w:type="pct"/>
            <w:shd w:val="clear" w:color="auto" w:fill="auto"/>
            <w:noWrap/>
            <w:vAlign w:val="center"/>
            <w:hideMark/>
          </w:tcPr>
          <w:p w14:paraId="0162246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w:t>
            </w:r>
          </w:p>
        </w:tc>
        <w:tc>
          <w:tcPr>
            <w:tcW w:w="541" w:type="pct"/>
            <w:shd w:val="clear" w:color="auto" w:fill="auto"/>
            <w:noWrap/>
            <w:vAlign w:val="center"/>
            <w:hideMark/>
          </w:tcPr>
          <w:p w14:paraId="2D1A535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1,4</w:t>
            </w:r>
          </w:p>
        </w:tc>
        <w:tc>
          <w:tcPr>
            <w:tcW w:w="504" w:type="pct"/>
            <w:shd w:val="clear" w:color="auto" w:fill="auto"/>
            <w:noWrap/>
            <w:vAlign w:val="center"/>
            <w:hideMark/>
          </w:tcPr>
          <w:p w14:paraId="65FBE9A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w:t>
            </w:r>
          </w:p>
        </w:tc>
        <w:tc>
          <w:tcPr>
            <w:tcW w:w="523" w:type="pct"/>
            <w:shd w:val="clear" w:color="auto" w:fill="auto"/>
            <w:noWrap/>
            <w:vAlign w:val="center"/>
            <w:hideMark/>
          </w:tcPr>
          <w:p w14:paraId="0C3E8D3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w:t>
            </w:r>
          </w:p>
        </w:tc>
        <w:tc>
          <w:tcPr>
            <w:tcW w:w="541" w:type="pct"/>
            <w:shd w:val="clear" w:color="auto" w:fill="auto"/>
            <w:noWrap/>
            <w:vAlign w:val="center"/>
            <w:hideMark/>
          </w:tcPr>
          <w:p w14:paraId="56BCFA6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w:t>
            </w:r>
          </w:p>
        </w:tc>
        <w:tc>
          <w:tcPr>
            <w:tcW w:w="504" w:type="pct"/>
            <w:shd w:val="clear" w:color="auto" w:fill="auto"/>
            <w:noWrap/>
            <w:vAlign w:val="center"/>
            <w:hideMark/>
          </w:tcPr>
          <w:p w14:paraId="2ADE554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w:t>
            </w:r>
          </w:p>
        </w:tc>
      </w:tr>
      <w:tr w:rsidR="003D7225" w:rsidRPr="0019609D" w14:paraId="58D06B3C" w14:textId="77777777" w:rsidTr="003D7225">
        <w:trPr>
          <w:trHeight w:val="300"/>
        </w:trPr>
        <w:tc>
          <w:tcPr>
            <w:tcW w:w="1865" w:type="pct"/>
            <w:shd w:val="clear" w:color="auto" w:fill="auto"/>
            <w:noWrap/>
            <w:vAlign w:val="center"/>
            <w:hideMark/>
          </w:tcPr>
          <w:p w14:paraId="43ADDA90"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ponad rok temu</w:t>
            </w:r>
          </w:p>
        </w:tc>
        <w:tc>
          <w:tcPr>
            <w:tcW w:w="522" w:type="pct"/>
            <w:shd w:val="clear" w:color="auto" w:fill="auto"/>
            <w:noWrap/>
            <w:vAlign w:val="center"/>
            <w:hideMark/>
          </w:tcPr>
          <w:p w14:paraId="7FA69C2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2,2</w:t>
            </w:r>
          </w:p>
        </w:tc>
        <w:tc>
          <w:tcPr>
            <w:tcW w:w="541" w:type="pct"/>
            <w:shd w:val="clear" w:color="auto" w:fill="auto"/>
            <w:noWrap/>
            <w:vAlign w:val="center"/>
            <w:hideMark/>
          </w:tcPr>
          <w:p w14:paraId="35C270B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w:t>
            </w:r>
          </w:p>
        </w:tc>
        <w:tc>
          <w:tcPr>
            <w:tcW w:w="504" w:type="pct"/>
            <w:shd w:val="clear" w:color="auto" w:fill="auto"/>
            <w:noWrap/>
            <w:vAlign w:val="center"/>
            <w:hideMark/>
          </w:tcPr>
          <w:p w14:paraId="7F6A2A5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2,4</w:t>
            </w:r>
          </w:p>
        </w:tc>
        <w:tc>
          <w:tcPr>
            <w:tcW w:w="523" w:type="pct"/>
            <w:shd w:val="clear" w:color="auto" w:fill="auto"/>
            <w:noWrap/>
            <w:vAlign w:val="center"/>
            <w:hideMark/>
          </w:tcPr>
          <w:p w14:paraId="26E8197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6,1</w:t>
            </w:r>
          </w:p>
        </w:tc>
        <w:tc>
          <w:tcPr>
            <w:tcW w:w="541" w:type="pct"/>
            <w:shd w:val="clear" w:color="auto" w:fill="auto"/>
            <w:noWrap/>
            <w:vAlign w:val="center"/>
            <w:hideMark/>
          </w:tcPr>
          <w:p w14:paraId="312692D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5,0</w:t>
            </w:r>
          </w:p>
        </w:tc>
        <w:tc>
          <w:tcPr>
            <w:tcW w:w="504" w:type="pct"/>
            <w:shd w:val="clear" w:color="auto" w:fill="auto"/>
            <w:noWrap/>
            <w:vAlign w:val="center"/>
            <w:hideMark/>
          </w:tcPr>
          <w:p w14:paraId="2FDD534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7,0</w:t>
            </w:r>
          </w:p>
        </w:tc>
      </w:tr>
      <w:tr w:rsidR="003D7225" w:rsidRPr="0019609D" w14:paraId="4BD1B55F" w14:textId="77777777" w:rsidTr="003D7225">
        <w:trPr>
          <w:trHeight w:val="300"/>
        </w:trPr>
        <w:tc>
          <w:tcPr>
            <w:tcW w:w="1865" w:type="pct"/>
            <w:shd w:val="clear" w:color="auto" w:fill="auto"/>
            <w:noWrap/>
            <w:vAlign w:val="center"/>
            <w:hideMark/>
          </w:tcPr>
          <w:p w14:paraId="4EAECF96"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nigdy nie korzystające z Internetu</w:t>
            </w:r>
          </w:p>
        </w:tc>
        <w:tc>
          <w:tcPr>
            <w:tcW w:w="522" w:type="pct"/>
            <w:shd w:val="clear" w:color="auto" w:fill="auto"/>
            <w:noWrap/>
            <w:vAlign w:val="center"/>
            <w:hideMark/>
          </w:tcPr>
          <w:p w14:paraId="235E91D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9,4</w:t>
            </w:r>
          </w:p>
        </w:tc>
        <w:tc>
          <w:tcPr>
            <w:tcW w:w="541" w:type="pct"/>
            <w:shd w:val="clear" w:color="auto" w:fill="auto"/>
            <w:noWrap/>
            <w:vAlign w:val="center"/>
            <w:hideMark/>
          </w:tcPr>
          <w:p w14:paraId="7E0D077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9,0</w:t>
            </w:r>
          </w:p>
        </w:tc>
        <w:tc>
          <w:tcPr>
            <w:tcW w:w="504" w:type="pct"/>
            <w:shd w:val="clear" w:color="auto" w:fill="auto"/>
            <w:noWrap/>
            <w:vAlign w:val="center"/>
            <w:hideMark/>
          </w:tcPr>
          <w:p w14:paraId="54E3784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9,9</w:t>
            </w:r>
          </w:p>
        </w:tc>
        <w:tc>
          <w:tcPr>
            <w:tcW w:w="523" w:type="pct"/>
            <w:shd w:val="clear" w:color="auto" w:fill="auto"/>
            <w:noWrap/>
            <w:vAlign w:val="center"/>
            <w:hideMark/>
          </w:tcPr>
          <w:p w14:paraId="358B24B9"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29,9</w:t>
            </w:r>
          </w:p>
        </w:tc>
        <w:tc>
          <w:tcPr>
            <w:tcW w:w="541" w:type="pct"/>
            <w:shd w:val="clear" w:color="auto" w:fill="auto"/>
            <w:noWrap/>
            <w:vAlign w:val="center"/>
            <w:hideMark/>
          </w:tcPr>
          <w:p w14:paraId="360CA5A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30,0</w:t>
            </w:r>
          </w:p>
        </w:tc>
        <w:tc>
          <w:tcPr>
            <w:tcW w:w="504" w:type="pct"/>
            <w:shd w:val="clear" w:color="auto" w:fill="auto"/>
            <w:noWrap/>
            <w:vAlign w:val="center"/>
            <w:hideMark/>
          </w:tcPr>
          <w:p w14:paraId="1E3AAB7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29,7</w:t>
            </w:r>
          </w:p>
        </w:tc>
      </w:tr>
    </w:tbl>
    <w:p w14:paraId="1B5F7171" w14:textId="57F340BD" w:rsidR="007B07C8" w:rsidRPr="004F5101" w:rsidRDefault="003D7225" w:rsidP="004F5101">
      <w:pPr>
        <w:tabs>
          <w:tab w:val="left" w:pos="3261"/>
        </w:tabs>
        <w:spacing w:line="240" w:lineRule="auto"/>
        <w:rPr>
          <w:rFonts w:ascii="Lato" w:hAnsi="Lato"/>
          <w:sz w:val="16"/>
          <w:szCs w:val="16"/>
        </w:rPr>
      </w:pPr>
      <w:r w:rsidRPr="004F5101">
        <w:rPr>
          <w:rFonts w:ascii="Lato" w:hAnsi="Lato"/>
          <w:sz w:val="16"/>
          <w:szCs w:val="16"/>
        </w:rPr>
        <w:t>Źródło: Badanie "Wykorzystanie technologii informacyjno-komunikacyjnych w gospodarstwach domowych", GUS</w:t>
      </w:r>
    </w:p>
    <w:p w14:paraId="2A077BC9" w14:textId="3945A627" w:rsidR="003D7225" w:rsidRDefault="00B27383" w:rsidP="009C7A2A">
      <w:pPr>
        <w:spacing w:after="0" w:line="240" w:lineRule="auto"/>
        <w:jc w:val="both"/>
        <w:rPr>
          <w:rFonts w:ascii="Lato" w:hAnsi="Lato"/>
          <w:sz w:val="20"/>
          <w:szCs w:val="20"/>
        </w:rPr>
      </w:pPr>
      <w:r w:rsidRPr="009C7A2A">
        <w:rPr>
          <w:rFonts w:ascii="Lato" w:hAnsi="Lato"/>
          <w:sz w:val="20"/>
          <w:szCs w:val="20"/>
        </w:rPr>
        <w:t>Kilka razy dziennie z Internetu korzystało 28,5% osób z tej grupy wieku, raz dziennie lub prawie codziennie – 20,7%, a przynajmniej raz w tygodniu, ale nie każdego dnia - 9,7%. Rzadziej niż raz w tygodniu z Internetem łączyło się 2,3% osób w wieku 60-74 lata.</w:t>
      </w:r>
    </w:p>
    <w:p w14:paraId="4003F6F1" w14:textId="77777777" w:rsidR="009C7A2A" w:rsidRPr="009C7A2A" w:rsidRDefault="009C7A2A" w:rsidP="009C7A2A">
      <w:pPr>
        <w:spacing w:after="0" w:line="240" w:lineRule="auto"/>
        <w:jc w:val="both"/>
        <w:rPr>
          <w:rFonts w:ascii="Lato" w:hAnsi="Lato"/>
          <w:sz w:val="20"/>
          <w:szCs w:val="20"/>
        </w:rPr>
      </w:pPr>
    </w:p>
    <w:p w14:paraId="0DAE869E" w14:textId="1A1A3624" w:rsidR="003D7225" w:rsidRDefault="003D7225" w:rsidP="003D7225">
      <w:pPr>
        <w:pStyle w:val="Legenda"/>
        <w:keepNext/>
      </w:pPr>
      <w:bookmarkStart w:id="36" w:name="_Toc142565996"/>
      <w:r>
        <w:t xml:space="preserve">Tabela </w:t>
      </w:r>
      <w:fldSimple w:instr=" SEQ Tabela \* ARABIC ">
        <w:r w:rsidR="00AA385B">
          <w:rPr>
            <w:noProof/>
          </w:rPr>
          <w:t>31</w:t>
        </w:r>
      </w:fldSimple>
      <w:r>
        <w:t xml:space="preserve"> Częstotliwość korzystania z Internetu w ciągu ostatnich 3 miesięcy w 2022 r.</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2"/>
        <w:gridCol w:w="831"/>
        <w:gridCol w:w="961"/>
        <w:gridCol w:w="831"/>
        <w:gridCol w:w="727"/>
        <w:gridCol w:w="943"/>
        <w:gridCol w:w="727"/>
      </w:tblGrid>
      <w:tr w:rsidR="003D7225" w:rsidRPr="0019609D" w14:paraId="0BDC3E26" w14:textId="77777777" w:rsidTr="0019609D">
        <w:trPr>
          <w:trHeight w:val="600"/>
        </w:trPr>
        <w:tc>
          <w:tcPr>
            <w:tcW w:w="2263" w:type="pct"/>
            <w:vMerge w:val="restart"/>
            <w:shd w:val="clear" w:color="auto" w:fill="8EAADB" w:themeFill="accent1" w:themeFillTint="99"/>
            <w:noWrap/>
            <w:vAlign w:val="center"/>
            <w:hideMark/>
          </w:tcPr>
          <w:p w14:paraId="14A2036C"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Wyszczególnienie</w:t>
            </w:r>
          </w:p>
        </w:tc>
        <w:tc>
          <w:tcPr>
            <w:tcW w:w="449" w:type="pct"/>
            <w:vMerge w:val="restart"/>
            <w:shd w:val="clear" w:color="auto" w:fill="8EAADB" w:themeFill="accent1" w:themeFillTint="99"/>
            <w:vAlign w:val="center"/>
            <w:hideMark/>
          </w:tcPr>
          <w:p w14:paraId="266A033A"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Ogółem osoby w wieku 16-74 lat</w:t>
            </w:r>
          </w:p>
        </w:tc>
        <w:tc>
          <w:tcPr>
            <w:tcW w:w="523" w:type="pct"/>
            <w:vMerge w:val="restart"/>
            <w:shd w:val="clear" w:color="auto" w:fill="8EAADB" w:themeFill="accent1" w:themeFillTint="99"/>
            <w:vAlign w:val="center"/>
            <w:hideMark/>
          </w:tcPr>
          <w:p w14:paraId="4C0A9C5D"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Mężczyźni</w:t>
            </w:r>
          </w:p>
        </w:tc>
        <w:tc>
          <w:tcPr>
            <w:tcW w:w="449" w:type="pct"/>
            <w:vMerge w:val="restart"/>
            <w:shd w:val="clear" w:color="auto" w:fill="8EAADB" w:themeFill="accent1" w:themeFillTint="99"/>
            <w:vAlign w:val="center"/>
            <w:hideMark/>
          </w:tcPr>
          <w:p w14:paraId="4E1D82E3"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Kobiety</w:t>
            </w:r>
          </w:p>
        </w:tc>
        <w:tc>
          <w:tcPr>
            <w:tcW w:w="1315" w:type="pct"/>
            <w:gridSpan w:val="3"/>
            <w:shd w:val="clear" w:color="auto" w:fill="8EAADB" w:themeFill="accent1" w:themeFillTint="99"/>
            <w:vAlign w:val="center"/>
            <w:hideMark/>
          </w:tcPr>
          <w:p w14:paraId="5D3315E8"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Z liczby ogółem</w:t>
            </w:r>
            <w:r w:rsidRPr="0019609D">
              <w:rPr>
                <w:rFonts w:ascii="Lato" w:eastAsia="Times New Roman" w:hAnsi="Lato" w:cs="Arial"/>
                <w:sz w:val="18"/>
                <w:szCs w:val="18"/>
                <w:lang w:eastAsia="pl-PL"/>
              </w:rPr>
              <w:br/>
              <w:t xml:space="preserve"> osoby w wieku 60 - 74 lata </w:t>
            </w:r>
          </w:p>
        </w:tc>
      </w:tr>
      <w:tr w:rsidR="003D7225" w:rsidRPr="0019609D" w14:paraId="23BEFDD9" w14:textId="77777777" w:rsidTr="0019609D">
        <w:trPr>
          <w:trHeight w:val="399"/>
        </w:trPr>
        <w:tc>
          <w:tcPr>
            <w:tcW w:w="2263" w:type="pct"/>
            <w:vMerge/>
            <w:shd w:val="clear" w:color="auto" w:fill="8EAADB" w:themeFill="accent1" w:themeFillTint="99"/>
            <w:vAlign w:val="center"/>
            <w:hideMark/>
          </w:tcPr>
          <w:p w14:paraId="1B48FB9E"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449" w:type="pct"/>
            <w:vMerge/>
            <w:shd w:val="clear" w:color="auto" w:fill="8EAADB" w:themeFill="accent1" w:themeFillTint="99"/>
            <w:vAlign w:val="center"/>
            <w:hideMark/>
          </w:tcPr>
          <w:p w14:paraId="59E99EA2"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523" w:type="pct"/>
            <w:vMerge/>
            <w:shd w:val="clear" w:color="auto" w:fill="8EAADB" w:themeFill="accent1" w:themeFillTint="99"/>
            <w:vAlign w:val="center"/>
            <w:hideMark/>
          </w:tcPr>
          <w:p w14:paraId="72779C91"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449" w:type="pct"/>
            <w:vMerge/>
            <w:shd w:val="clear" w:color="auto" w:fill="8EAADB" w:themeFill="accent1" w:themeFillTint="99"/>
            <w:vAlign w:val="center"/>
            <w:hideMark/>
          </w:tcPr>
          <w:p w14:paraId="71BE6035" w14:textId="77777777" w:rsidR="003D7225" w:rsidRPr="0019609D" w:rsidRDefault="003D7225" w:rsidP="003D7225">
            <w:pPr>
              <w:spacing w:after="0" w:line="240" w:lineRule="auto"/>
              <w:rPr>
                <w:rFonts w:ascii="Lato" w:eastAsia="Times New Roman" w:hAnsi="Lato" w:cs="Arial"/>
                <w:sz w:val="18"/>
                <w:szCs w:val="18"/>
                <w:lang w:eastAsia="pl-PL"/>
              </w:rPr>
            </w:pPr>
          </w:p>
        </w:tc>
        <w:tc>
          <w:tcPr>
            <w:tcW w:w="396" w:type="pct"/>
            <w:shd w:val="clear" w:color="auto" w:fill="8EAADB" w:themeFill="accent1" w:themeFillTint="99"/>
            <w:vAlign w:val="center"/>
            <w:hideMark/>
          </w:tcPr>
          <w:p w14:paraId="2F7DC312"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razem</w:t>
            </w:r>
          </w:p>
        </w:tc>
        <w:tc>
          <w:tcPr>
            <w:tcW w:w="523" w:type="pct"/>
            <w:shd w:val="clear" w:color="auto" w:fill="8EAADB" w:themeFill="accent1" w:themeFillTint="99"/>
            <w:vAlign w:val="center"/>
            <w:hideMark/>
          </w:tcPr>
          <w:p w14:paraId="06B16016"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mężczyźni</w:t>
            </w:r>
          </w:p>
        </w:tc>
        <w:tc>
          <w:tcPr>
            <w:tcW w:w="396" w:type="pct"/>
            <w:shd w:val="clear" w:color="auto" w:fill="8EAADB" w:themeFill="accent1" w:themeFillTint="99"/>
            <w:vAlign w:val="center"/>
            <w:hideMark/>
          </w:tcPr>
          <w:p w14:paraId="5DBFD799"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kobiety</w:t>
            </w:r>
          </w:p>
        </w:tc>
      </w:tr>
      <w:tr w:rsidR="003D7225" w:rsidRPr="0019609D" w14:paraId="071D73A8" w14:textId="77777777" w:rsidTr="003D7225">
        <w:trPr>
          <w:trHeight w:val="300"/>
        </w:trPr>
        <w:tc>
          <w:tcPr>
            <w:tcW w:w="5000" w:type="pct"/>
            <w:gridSpan w:val="7"/>
            <w:shd w:val="clear" w:color="auto" w:fill="auto"/>
            <w:noWrap/>
            <w:vAlign w:val="center"/>
            <w:hideMark/>
          </w:tcPr>
          <w:p w14:paraId="711D2B92"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tysiącach</w:t>
            </w:r>
          </w:p>
        </w:tc>
      </w:tr>
      <w:tr w:rsidR="003D7225" w:rsidRPr="0019609D" w14:paraId="1FBA0433" w14:textId="77777777" w:rsidTr="003D7225">
        <w:trPr>
          <w:trHeight w:val="300"/>
        </w:trPr>
        <w:tc>
          <w:tcPr>
            <w:tcW w:w="2263" w:type="pct"/>
            <w:shd w:val="clear" w:color="auto" w:fill="auto"/>
            <w:vAlign w:val="center"/>
            <w:hideMark/>
          </w:tcPr>
          <w:p w14:paraId="0FEAB200"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korzystające z Internetu w ciągu ostatnich 3 miesięcy</w:t>
            </w:r>
          </w:p>
        </w:tc>
        <w:tc>
          <w:tcPr>
            <w:tcW w:w="449" w:type="pct"/>
            <w:shd w:val="clear" w:color="auto" w:fill="auto"/>
            <w:noWrap/>
            <w:vAlign w:val="center"/>
            <w:hideMark/>
          </w:tcPr>
          <w:p w14:paraId="39BB65CB"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25 072,6</w:t>
            </w:r>
          </w:p>
        </w:tc>
        <w:tc>
          <w:tcPr>
            <w:tcW w:w="523" w:type="pct"/>
            <w:shd w:val="clear" w:color="auto" w:fill="auto"/>
            <w:noWrap/>
            <w:vAlign w:val="center"/>
            <w:hideMark/>
          </w:tcPr>
          <w:p w14:paraId="653CF4A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12 397,2</w:t>
            </w:r>
          </w:p>
        </w:tc>
        <w:tc>
          <w:tcPr>
            <w:tcW w:w="449" w:type="pct"/>
            <w:shd w:val="clear" w:color="auto" w:fill="auto"/>
            <w:noWrap/>
            <w:vAlign w:val="center"/>
            <w:hideMark/>
          </w:tcPr>
          <w:p w14:paraId="6E81ED8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12 675,4</w:t>
            </w:r>
          </w:p>
        </w:tc>
        <w:tc>
          <w:tcPr>
            <w:tcW w:w="396" w:type="pct"/>
            <w:shd w:val="clear" w:color="auto" w:fill="auto"/>
            <w:noWrap/>
            <w:vAlign w:val="center"/>
            <w:hideMark/>
          </w:tcPr>
          <w:p w14:paraId="0982257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4 340,6</w:t>
            </w:r>
          </w:p>
        </w:tc>
        <w:tc>
          <w:tcPr>
            <w:tcW w:w="523" w:type="pct"/>
            <w:shd w:val="clear" w:color="auto" w:fill="auto"/>
            <w:noWrap/>
            <w:vAlign w:val="center"/>
            <w:hideMark/>
          </w:tcPr>
          <w:p w14:paraId="60E5175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1 944,3</w:t>
            </w:r>
          </w:p>
        </w:tc>
        <w:tc>
          <w:tcPr>
            <w:tcW w:w="396" w:type="pct"/>
            <w:shd w:val="clear" w:color="auto" w:fill="auto"/>
            <w:noWrap/>
            <w:vAlign w:val="center"/>
            <w:hideMark/>
          </w:tcPr>
          <w:p w14:paraId="4FBCF96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2 396,4</w:t>
            </w:r>
          </w:p>
        </w:tc>
      </w:tr>
      <w:tr w:rsidR="003D7225" w:rsidRPr="0019609D" w14:paraId="5F3CE07C" w14:textId="77777777" w:rsidTr="003D7225">
        <w:trPr>
          <w:trHeight w:val="300"/>
        </w:trPr>
        <w:tc>
          <w:tcPr>
            <w:tcW w:w="2263" w:type="pct"/>
            <w:shd w:val="clear" w:color="auto" w:fill="auto"/>
            <w:noWrap/>
            <w:vAlign w:val="center"/>
            <w:hideMark/>
          </w:tcPr>
          <w:p w14:paraId="3E3FC915"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kilka razy dziennie</w:t>
            </w:r>
          </w:p>
        </w:tc>
        <w:tc>
          <w:tcPr>
            <w:tcW w:w="449" w:type="pct"/>
            <w:shd w:val="clear" w:color="auto" w:fill="auto"/>
            <w:noWrap/>
            <w:vAlign w:val="center"/>
            <w:hideMark/>
          </w:tcPr>
          <w:p w14:paraId="3011F91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18 564,0</w:t>
            </w:r>
          </w:p>
        </w:tc>
        <w:tc>
          <w:tcPr>
            <w:tcW w:w="523" w:type="pct"/>
            <w:shd w:val="clear" w:color="auto" w:fill="auto"/>
            <w:noWrap/>
            <w:vAlign w:val="center"/>
            <w:hideMark/>
          </w:tcPr>
          <w:p w14:paraId="3C8D54E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9 090,5</w:t>
            </w:r>
          </w:p>
        </w:tc>
        <w:tc>
          <w:tcPr>
            <w:tcW w:w="449" w:type="pct"/>
            <w:shd w:val="clear" w:color="auto" w:fill="auto"/>
            <w:noWrap/>
            <w:vAlign w:val="center"/>
            <w:hideMark/>
          </w:tcPr>
          <w:p w14:paraId="14FFC7B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9 473,5</w:t>
            </w:r>
          </w:p>
        </w:tc>
        <w:tc>
          <w:tcPr>
            <w:tcW w:w="396" w:type="pct"/>
            <w:shd w:val="clear" w:color="auto" w:fill="auto"/>
            <w:noWrap/>
            <w:vAlign w:val="center"/>
            <w:hideMark/>
          </w:tcPr>
          <w:p w14:paraId="339D732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2 021,1</w:t>
            </w:r>
          </w:p>
        </w:tc>
        <w:tc>
          <w:tcPr>
            <w:tcW w:w="523" w:type="pct"/>
            <w:shd w:val="clear" w:color="auto" w:fill="auto"/>
            <w:noWrap/>
            <w:vAlign w:val="center"/>
            <w:hideMark/>
          </w:tcPr>
          <w:p w14:paraId="3A565C9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882,6</w:t>
            </w:r>
          </w:p>
        </w:tc>
        <w:tc>
          <w:tcPr>
            <w:tcW w:w="396" w:type="pct"/>
            <w:shd w:val="clear" w:color="auto" w:fill="auto"/>
            <w:noWrap/>
            <w:vAlign w:val="center"/>
            <w:hideMark/>
          </w:tcPr>
          <w:p w14:paraId="1E2A7E5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1 138,4</w:t>
            </w:r>
          </w:p>
        </w:tc>
      </w:tr>
      <w:tr w:rsidR="003D7225" w:rsidRPr="0019609D" w14:paraId="617195F3" w14:textId="77777777" w:rsidTr="003D7225">
        <w:trPr>
          <w:trHeight w:val="300"/>
        </w:trPr>
        <w:tc>
          <w:tcPr>
            <w:tcW w:w="2263" w:type="pct"/>
            <w:shd w:val="clear" w:color="auto" w:fill="auto"/>
            <w:noWrap/>
            <w:vAlign w:val="center"/>
            <w:hideMark/>
          </w:tcPr>
          <w:p w14:paraId="3D7CE6F0"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raz dziennie lub prawie codziennie</w:t>
            </w:r>
          </w:p>
        </w:tc>
        <w:tc>
          <w:tcPr>
            <w:tcW w:w="449" w:type="pct"/>
            <w:shd w:val="clear" w:color="auto" w:fill="auto"/>
            <w:noWrap/>
            <w:vAlign w:val="center"/>
            <w:hideMark/>
          </w:tcPr>
          <w:p w14:paraId="7BB4629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4 599,6</w:t>
            </w:r>
          </w:p>
        </w:tc>
        <w:tc>
          <w:tcPr>
            <w:tcW w:w="523" w:type="pct"/>
            <w:shd w:val="clear" w:color="auto" w:fill="auto"/>
            <w:noWrap/>
            <w:vAlign w:val="center"/>
            <w:hideMark/>
          </w:tcPr>
          <w:p w14:paraId="52385B0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2 345,4</w:t>
            </w:r>
          </w:p>
        </w:tc>
        <w:tc>
          <w:tcPr>
            <w:tcW w:w="449" w:type="pct"/>
            <w:shd w:val="clear" w:color="auto" w:fill="auto"/>
            <w:noWrap/>
            <w:vAlign w:val="center"/>
            <w:hideMark/>
          </w:tcPr>
          <w:p w14:paraId="57082F4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2 254,2</w:t>
            </w:r>
          </w:p>
        </w:tc>
        <w:tc>
          <w:tcPr>
            <w:tcW w:w="396" w:type="pct"/>
            <w:shd w:val="clear" w:color="auto" w:fill="auto"/>
            <w:noWrap/>
            <w:vAlign w:val="center"/>
            <w:hideMark/>
          </w:tcPr>
          <w:p w14:paraId="700A583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1 467,2</w:t>
            </w:r>
          </w:p>
        </w:tc>
        <w:tc>
          <w:tcPr>
            <w:tcW w:w="523" w:type="pct"/>
            <w:shd w:val="clear" w:color="auto" w:fill="auto"/>
            <w:noWrap/>
            <w:vAlign w:val="center"/>
            <w:hideMark/>
          </w:tcPr>
          <w:p w14:paraId="57E6E9E8"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672,3</w:t>
            </w:r>
          </w:p>
        </w:tc>
        <w:tc>
          <w:tcPr>
            <w:tcW w:w="396" w:type="pct"/>
            <w:shd w:val="clear" w:color="auto" w:fill="auto"/>
            <w:noWrap/>
            <w:vAlign w:val="center"/>
            <w:hideMark/>
          </w:tcPr>
          <w:p w14:paraId="50A83E79"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794,8</w:t>
            </w:r>
          </w:p>
        </w:tc>
      </w:tr>
      <w:tr w:rsidR="003D7225" w:rsidRPr="0019609D" w14:paraId="697AFD56" w14:textId="77777777" w:rsidTr="003D7225">
        <w:trPr>
          <w:trHeight w:val="300"/>
        </w:trPr>
        <w:tc>
          <w:tcPr>
            <w:tcW w:w="2263" w:type="pct"/>
            <w:shd w:val="clear" w:color="auto" w:fill="auto"/>
            <w:noWrap/>
            <w:vAlign w:val="center"/>
            <w:hideMark/>
          </w:tcPr>
          <w:p w14:paraId="5D927DFE"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przynajmniej raz w tygodniu, ale nie każdego dnia</w:t>
            </w:r>
          </w:p>
        </w:tc>
        <w:tc>
          <w:tcPr>
            <w:tcW w:w="449" w:type="pct"/>
            <w:shd w:val="clear" w:color="auto" w:fill="auto"/>
            <w:noWrap/>
            <w:vAlign w:val="center"/>
            <w:hideMark/>
          </w:tcPr>
          <w:p w14:paraId="57F856A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1 553,8</w:t>
            </w:r>
          </w:p>
        </w:tc>
        <w:tc>
          <w:tcPr>
            <w:tcW w:w="523" w:type="pct"/>
            <w:shd w:val="clear" w:color="auto" w:fill="auto"/>
            <w:noWrap/>
            <w:vAlign w:val="center"/>
            <w:hideMark/>
          </w:tcPr>
          <w:p w14:paraId="6D206B2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779,7</w:t>
            </w:r>
          </w:p>
        </w:tc>
        <w:tc>
          <w:tcPr>
            <w:tcW w:w="449" w:type="pct"/>
            <w:shd w:val="clear" w:color="auto" w:fill="auto"/>
            <w:noWrap/>
            <w:vAlign w:val="center"/>
            <w:hideMark/>
          </w:tcPr>
          <w:p w14:paraId="0FBAA88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774,1</w:t>
            </w:r>
          </w:p>
        </w:tc>
        <w:tc>
          <w:tcPr>
            <w:tcW w:w="396" w:type="pct"/>
            <w:shd w:val="clear" w:color="auto" w:fill="auto"/>
            <w:noWrap/>
            <w:vAlign w:val="center"/>
            <w:hideMark/>
          </w:tcPr>
          <w:p w14:paraId="06DF3CB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688,5</w:t>
            </w:r>
          </w:p>
        </w:tc>
        <w:tc>
          <w:tcPr>
            <w:tcW w:w="523" w:type="pct"/>
            <w:shd w:val="clear" w:color="auto" w:fill="auto"/>
            <w:noWrap/>
            <w:vAlign w:val="center"/>
            <w:hideMark/>
          </w:tcPr>
          <w:p w14:paraId="3D285EB8"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309,9</w:t>
            </w:r>
          </w:p>
        </w:tc>
        <w:tc>
          <w:tcPr>
            <w:tcW w:w="396" w:type="pct"/>
            <w:shd w:val="clear" w:color="auto" w:fill="auto"/>
            <w:noWrap/>
            <w:vAlign w:val="center"/>
            <w:hideMark/>
          </w:tcPr>
          <w:p w14:paraId="50C67B7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378,7</w:t>
            </w:r>
          </w:p>
        </w:tc>
      </w:tr>
      <w:tr w:rsidR="003D7225" w:rsidRPr="0019609D" w14:paraId="500DAAA3" w14:textId="77777777" w:rsidTr="003D7225">
        <w:trPr>
          <w:trHeight w:val="300"/>
        </w:trPr>
        <w:tc>
          <w:tcPr>
            <w:tcW w:w="2263" w:type="pct"/>
            <w:shd w:val="clear" w:color="auto" w:fill="auto"/>
            <w:noWrap/>
            <w:vAlign w:val="center"/>
            <w:hideMark/>
          </w:tcPr>
          <w:p w14:paraId="2E55B12C"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rzadziej niż raz w tygodniu</w:t>
            </w:r>
          </w:p>
        </w:tc>
        <w:tc>
          <w:tcPr>
            <w:tcW w:w="449" w:type="pct"/>
            <w:shd w:val="clear" w:color="auto" w:fill="auto"/>
            <w:noWrap/>
            <w:vAlign w:val="center"/>
            <w:hideMark/>
          </w:tcPr>
          <w:p w14:paraId="287AB22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355,3</w:t>
            </w:r>
          </w:p>
        </w:tc>
        <w:tc>
          <w:tcPr>
            <w:tcW w:w="523" w:type="pct"/>
            <w:shd w:val="clear" w:color="auto" w:fill="auto"/>
            <w:noWrap/>
            <w:vAlign w:val="center"/>
            <w:hideMark/>
          </w:tcPr>
          <w:p w14:paraId="0611AC2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181,6</w:t>
            </w:r>
          </w:p>
        </w:tc>
        <w:tc>
          <w:tcPr>
            <w:tcW w:w="449" w:type="pct"/>
            <w:shd w:val="clear" w:color="auto" w:fill="auto"/>
            <w:noWrap/>
            <w:vAlign w:val="center"/>
            <w:hideMark/>
          </w:tcPr>
          <w:p w14:paraId="6F07400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173,7</w:t>
            </w:r>
          </w:p>
        </w:tc>
        <w:tc>
          <w:tcPr>
            <w:tcW w:w="396" w:type="pct"/>
            <w:shd w:val="clear" w:color="auto" w:fill="auto"/>
            <w:noWrap/>
            <w:vAlign w:val="center"/>
            <w:hideMark/>
          </w:tcPr>
          <w:p w14:paraId="042FDB75"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163,9</w:t>
            </w:r>
          </w:p>
        </w:tc>
        <w:tc>
          <w:tcPr>
            <w:tcW w:w="523" w:type="pct"/>
            <w:shd w:val="clear" w:color="auto" w:fill="auto"/>
            <w:noWrap/>
            <w:vAlign w:val="center"/>
            <w:hideMark/>
          </w:tcPr>
          <w:p w14:paraId="3B02D0A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79,5</w:t>
            </w:r>
          </w:p>
        </w:tc>
        <w:tc>
          <w:tcPr>
            <w:tcW w:w="396" w:type="pct"/>
            <w:shd w:val="clear" w:color="auto" w:fill="auto"/>
            <w:noWrap/>
            <w:vAlign w:val="center"/>
            <w:hideMark/>
          </w:tcPr>
          <w:p w14:paraId="760C470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84,4</w:t>
            </w:r>
          </w:p>
        </w:tc>
      </w:tr>
      <w:tr w:rsidR="003D7225" w:rsidRPr="0019609D" w14:paraId="49E9D288" w14:textId="77777777" w:rsidTr="003D7225">
        <w:trPr>
          <w:trHeight w:val="300"/>
        </w:trPr>
        <w:tc>
          <w:tcPr>
            <w:tcW w:w="5000" w:type="pct"/>
            <w:gridSpan w:val="7"/>
            <w:shd w:val="clear" w:color="auto" w:fill="auto"/>
            <w:noWrap/>
            <w:vAlign w:val="center"/>
            <w:hideMark/>
          </w:tcPr>
          <w:p w14:paraId="375819FD"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odsetkach</w:t>
            </w:r>
          </w:p>
        </w:tc>
      </w:tr>
      <w:tr w:rsidR="003D7225" w:rsidRPr="0019609D" w14:paraId="6D9F93F4" w14:textId="77777777" w:rsidTr="003D7225">
        <w:trPr>
          <w:trHeight w:val="300"/>
        </w:trPr>
        <w:tc>
          <w:tcPr>
            <w:tcW w:w="2263" w:type="pct"/>
            <w:shd w:val="clear" w:color="auto" w:fill="auto"/>
            <w:vAlign w:val="center"/>
            <w:hideMark/>
          </w:tcPr>
          <w:p w14:paraId="2A3E7A28"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Osoby korzystające z Internetu w ciągu ostatnich 3 miesięcy</w:t>
            </w:r>
          </w:p>
        </w:tc>
        <w:tc>
          <w:tcPr>
            <w:tcW w:w="449" w:type="pct"/>
            <w:shd w:val="clear" w:color="auto" w:fill="auto"/>
            <w:noWrap/>
            <w:vAlign w:val="center"/>
            <w:hideMark/>
          </w:tcPr>
          <w:p w14:paraId="39E126B3"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86,9</w:t>
            </w:r>
          </w:p>
        </w:tc>
        <w:tc>
          <w:tcPr>
            <w:tcW w:w="523" w:type="pct"/>
            <w:shd w:val="clear" w:color="auto" w:fill="auto"/>
            <w:noWrap/>
            <w:vAlign w:val="center"/>
            <w:hideMark/>
          </w:tcPr>
          <w:p w14:paraId="0D96768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87,7</w:t>
            </w:r>
          </w:p>
        </w:tc>
        <w:tc>
          <w:tcPr>
            <w:tcW w:w="449" w:type="pct"/>
            <w:shd w:val="clear" w:color="auto" w:fill="auto"/>
            <w:noWrap/>
            <w:vAlign w:val="center"/>
            <w:hideMark/>
          </w:tcPr>
          <w:p w14:paraId="604DAFD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86,2</w:t>
            </w:r>
          </w:p>
        </w:tc>
        <w:tc>
          <w:tcPr>
            <w:tcW w:w="396" w:type="pct"/>
            <w:shd w:val="clear" w:color="auto" w:fill="auto"/>
            <w:noWrap/>
            <w:vAlign w:val="center"/>
            <w:hideMark/>
          </w:tcPr>
          <w:p w14:paraId="1F5EED8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61,1</w:t>
            </w:r>
          </w:p>
        </w:tc>
        <w:tc>
          <w:tcPr>
            <w:tcW w:w="523" w:type="pct"/>
            <w:shd w:val="clear" w:color="auto" w:fill="auto"/>
            <w:noWrap/>
            <w:vAlign w:val="center"/>
            <w:hideMark/>
          </w:tcPr>
          <w:p w14:paraId="17CAE62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62,2</w:t>
            </w:r>
          </w:p>
        </w:tc>
        <w:tc>
          <w:tcPr>
            <w:tcW w:w="396" w:type="pct"/>
            <w:shd w:val="clear" w:color="auto" w:fill="auto"/>
            <w:noWrap/>
            <w:vAlign w:val="center"/>
            <w:hideMark/>
          </w:tcPr>
          <w:p w14:paraId="5DED2489"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60,2</w:t>
            </w:r>
          </w:p>
        </w:tc>
      </w:tr>
      <w:tr w:rsidR="003D7225" w:rsidRPr="0019609D" w14:paraId="37D7A7CF" w14:textId="77777777" w:rsidTr="003D7225">
        <w:trPr>
          <w:trHeight w:val="300"/>
        </w:trPr>
        <w:tc>
          <w:tcPr>
            <w:tcW w:w="2263" w:type="pct"/>
            <w:shd w:val="clear" w:color="auto" w:fill="auto"/>
            <w:noWrap/>
            <w:vAlign w:val="center"/>
            <w:hideMark/>
          </w:tcPr>
          <w:p w14:paraId="1DFBDEF8"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kilka razy dziennie</w:t>
            </w:r>
          </w:p>
        </w:tc>
        <w:tc>
          <w:tcPr>
            <w:tcW w:w="449" w:type="pct"/>
            <w:shd w:val="clear" w:color="auto" w:fill="auto"/>
            <w:noWrap/>
            <w:vAlign w:val="center"/>
            <w:hideMark/>
          </w:tcPr>
          <w:p w14:paraId="62A5962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64,4</w:t>
            </w:r>
          </w:p>
        </w:tc>
        <w:tc>
          <w:tcPr>
            <w:tcW w:w="523" w:type="pct"/>
            <w:shd w:val="clear" w:color="auto" w:fill="auto"/>
            <w:noWrap/>
            <w:vAlign w:val="center"/>
            <w:hideMark/>
          </w:tcPr>
          <w:p w14:paraId="057E29A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64,3</w:t>
            </w:r>
          </w:p>
        </w:tc>
        <w:tc>
          <w:tcPr>
            <w:tcW w:w="449" w:type="pct"/>
            <w:shd w:val="clear" w:color="auto" w:fill="auto"/>
            <w:noWrap/>
            <w:vAlign w:val="center"/>
            <w:hideMark/>
          </w:tcPr>
          <w:p w14:paraId="5410396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64,4</w:t>
            </w:r>
          </w:p>
        </w:tc>
        <w:tc>
          <w:tcPr>
            <w:tcW w:w="396" w:type="pct"/>
            <w:shd w:val="clear" w:color="auto" w:fill="auto"/>
            <w:noWrap/>
            <w:vAlign w:val="center"/>
            <w:hideMark/>
          </w:tcPr>
          <w:p w14:paraId="0D768FB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28,5</w:t>
            </w:r>
          </w:p>
        </w:tc>
        <w:tc>
          <w:tcPr>
            <w:tcW w:w="523" w:type="pct"/>
            <w:shd w:val="clear" w:color="auto" w:fill="auto"/>
            <w:noWrap/>
            <w:vAlign w:val="center"/>
            <w:hideMark/>
          </w:tcPr>
          <w:p w14:paraId="18751A68"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28,2</w:t>
            </w:r>
          </w:p>
        </w:tc>
        <w:tc>
          <w:tcPr>
            <w:tcW w:w="396" w:type="pct"/>
            <w:shd w:val="clear" w:color="auto" w:fill="auto"/>
            <w:noWrap/>
            <w:vAlign w:val="center"/>
            <w:hideMark/>
          </w:tcPr>
          <w:p w14:paraId="5F82CBF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28,6</w:t>
            </w:r>
          </w:p>
        </w:tc>
      </w:tr>
      <w:tr w:rsidR="003D7225" w:rsidRPr="0019609D" w14:paraId="5BF011EB" w14:textId="77777777" w:rsidTr="003D7225">
        <w:trPr>
          <w:trHeight w:val="300"/>
        </w:trPr>
        <w:tc>
          <w:tcPr>
            <w:tcW w:w="2263" w:type="pct"/>
            <w:shd w:val="clear" w:color="auto" w:fill="auto"/>
            <w:noWrap/>
            <w:vAlign w:val="center"/>
            <w:hideMark/>
          </w:tcPr>
          <w:p w14:paraId="674D8B4F"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raz dziennie lub prawie codziennie</w:t>
            </w:r>
          </w:p>
        </w:tc>
        <w:tc>
          <w:tcPr>
            <w:tcW w:w="449" w:type="pct"/>
            <w:shd w:val="clear" w:color="auto" w:fill="auto"/>
            <w:noWrap/>
            <w:vAlign w:val="center"/>
            <w:hideMark/>
          </w:tcPr>
          <w:p w14:paraId="24E6511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15,9</w:t>
            </w:r>
          </w:p>
        </w:tc>
        <w:tc>
          <w:tcPr>
            <w:tcW w:w="523" w:type="pct"/>
            <w:shd w:val="clear" w:color="auto" w:fill="auto"/>
            <w:noWrap/>
            <w:vAlign w:val="center"/>
            <w:hideMark/>
          </w:tcPr>
          <w:p w14:paraId="32C258D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16,6</w:t>
            </w:r>
          </w:p>
        </w:tc>
        <w:tc>
          <w:tcPr>
            <w:tcW w:w="449" w:type="pct"/>
            <w:shd w:val="clear" w:color="auto" w:fill="auto"/>
            <w:noWrap/>
            <w:vAlign w:val="center"/>
            <w:hideMark/>
          </w:tcPr>
          <w:p w14:paraId="64D8113E"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15,3</w:t>
            </w:r>
          </w:p>
        </w:tc>
        <w:tc>
          <w:tcPr>
            <w:tcW w:w="396" w:type="pct"/>
            <w:shd w:val="clear" w:color="auto" w:fill="auto"/>
            <w:noWrap/>
            <w:vAlign w:val="center"/>
            <w:hideMark/>
          </w:tcPr>
          <w:p w14:paraId="501A5422"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20,7</w:t>
            </w:r>
          </w:p>
        </w:tc>
        <w:tc>
          <w:tcPr>
            <w:tcW w:w="523" w:type="pct"/>
            <w:shd w:val="clear" w:color="auto" w:fill="auto"/>
            <w:noWrap/>
            <w:vAlign w:val="center"/>
            <w:hideMark/>
          </w:tcPr>
          <w:p w14:paraId="1D1A89A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21,5</w:t>
            </w:r>
          </w:p>
        </w:tc>
        <w:tc>
          <w:tcPr>
            <w:tcW w:w="396" w:type="pct"/>
            <w:shd w:val="clear" w:color="auto" w:fill="auto"/>
            <w:noWrap/>
            <w:vAlign w:val="center"/>
            <w:hideMark/>
          </w:tcPr>
          <w:p w14:paraId="1E2065D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20,0</w:t>
            </w:r>
          </w:p>
        </w:tc>
      </w:tr>
      <w:tr w:rsidR="003D7225" w:rsidRPr="0019609D" w14:paraId="6EECAD87" w14:textId="77777777" w:rsidTr="003D7225">
        <w:trPr>
          <w:trHeight w:val="300"/>
        </w:trPr>
        <w:tc>
          <w:tcPr>
            <w:tcW w:w="2263" w:type="pct"/>
            <w:shd w:val="clear" w:color="auto" w:fill="auto"/>
            <w:noWrap/>
            <w:vAlign w:val="center"/>
            <w:hideMark/>
          </w:tcPr>
          <w:p w14:paraId="23EC4747"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przynajmniej raz w tygodniu, ale nie każdego dnia</w:t>
            </w:r>
          </w:p>
        </w:tc>
        <w:tc>
          <w:tcPr>
            <w:tcW w:w="449" w:type="pct"/>
            <w:shd w:val="clear" w:color="auto" w:fill="auto"/>
            <w:noWrap/>
            <w:vAlign w:val="center"/>
            <w:hideMark/>
          </w:tcPr>
          <w:p w14:paraId="3A773FA4"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5,4</w:t>
            </w:r>
          </w:p>
        </w:tc>
        <w:tc>
          <w:tcPr>
            <w:tcW w:w="523" w:type="pct"/>
            <w:shd w:val="clear" w:color="auto" w:fill="auto"/>
            <w:noWrap/>
            <w:vAlign w:val="center"/>
            <w:hideMark/>
          </w:tcPr>
          <w:p w14:paraId="0BD1500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5,5</w:t>
            </w:r>
          </w:p>
        </w:tc>
        <w:tc>
          <w:tcPr>
            <w:tcW w:w="449" w:type="pct"/>
            <w:shd w:val="clear" w:color="auto" w:fill="auto"/>
            <w:noWrap/>
            <w:vAlign w:val="center"/>
            <w:hideMark/>
          </w:tcPr>
          <w:p w14:paraId="77F88B3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5,3</w:t>
            </w:r>
          </w:p>
        </w:tc>
        <w:tc>
          <w:tcPr>
            <w:tcW w:w="396" w:type="pct"/>
            <w:shd w:val="clear" w:color="auto" w:fill="auto"/>
            <w:noWrap/>
            <w:vAlign w:val="center"/>
            <w:hideMark/>
          </w:tcPr>
          <w:p w14:paraId="15009E6F"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9,7</w:t>
            </w:r>
          </w:p>
        </w:tc>
        <w:tc>
          <w:tcPr>
            <w:tcW w:w="523" w:type="pct"/>
            <w:shd w:val="clear" w:color="auto" w:fill="auto"/>
            <w:noWrap/>
            <w:vAlign w:val="center"/>
            <w:hideMark/>
          </w:tcPr>
          <w:p w14:paraId="53CAD4A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9,9</w:t>
            </w:r>
          </w:p>
        </w:tc>
        <w:tc>
          <w:tcPr>
            <w:tcW w:w="396" w:type="pct"/>
            <w:shd w:val="clear" w:color="auto" w:fill="auto"/>
            <w:noWrap/>
            <w:vAlign w:val="center"/>
            <w:hideMark/>
          </w:tcPr>
          <w:p w14:paraId="274DCE3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9,5</w:t>
            </w:r>
          </w:p>
        </w:tc>
      </w:tr>
      <w:tr w:rsidR="003D7225" w:rsidRPr="0019609D" w14:paraId="0E5D56F6" w14:textId="77777777" w:rsidTr="003D7225">
        <w:trPr>
          <w:trHeight w:val="300"/>
        </w:trPr>
        <w:tc>
          <w:tcPr>
            <w:tcW w:w="2263" w:type="pct"/>
            <w:shd w:val="clear" w:color="auto" w:fill="auto"/>
            <w:noWrap/>
            <w:vAlign w:val="center"/>
            <w:hideMark/>
          </w:tcPr>
          <w:p w14:paraId="08CA11ED"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rzadziej niż raz w tygodniu</w:t>
            </w:r>
          </w:p>
        </w:tc>
        <w:tc>
          <w:tcPr>
            <w:tcW w:w="449" w:type="pct"/>
            <w:shd w:val="clear" w:color="auto" w:fill="auto"/>
            <w:noWrap/>
            <w:vAlign w:val="center"/>
            <w:hideMark/>
          </w:tcPr>
          <w:p w14:paraId="4B1E6A9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w:t>
            </w:r>
          </w:p>
        </w:tc>
        <w:tc>
          <w:tcPr>
            <w:tcW w:w="523" w:type="pct"/>
            <w:shd w:val="clear" w:color="auto" w:fill="auto"/>
            <w:noWrap/>
            <w:vAlign w:val="center"/>
            <w:hideMark/>
          </w:tcPr>
          <w:p w14:paraId="68EB22B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1,3</w:t>
            </w:r>
          </w:p>
        </w:tc>
        <w:tc>
          <w:tcPr>
            <w:tcW w:w="449" w:type="pct"/>
            <w:shd w:val="clear" w:color="auto" w:fill="auto"/>
            <w:noWrap/>
            <w:vAlign w:val="center"/>
            <w:hideMark/>
          </w:tcPr>
          <w:p w14:paraId="1FA0228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1,2</w:t>
            </w:r>
          </w:p>
        </w:tc>
        <w:tc>
          <w:tcPr>
            <w:tcW w:w="396" w:type="pct"/>
            <w:shd w:val="clear" w:color="auto" w:fill="auto"/>
            <w:noWrap/>
            <w:vAlign w:val="center"/>
            <w:hideMark/>
          </w:tcPr>
          <w:p w14:paraId="5D5A1AB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2,3</w:t>
            </w:r>
          </w:p>
        </w:tc>
        <w:tc>
          <w:tcPr>
            <w:tcW w:w="523" w:type="pct"/>
            <w:shd w:val="clear" w:color="auto" w:fill="auto"/>
            <w:noWrap/>
            <w:vAlign w:val="center"/>
            <w:hideMark/>
          </w:tcPr>
          <w:p w14:paraId="64BEDD3A"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2,5</w:t>
            </w:r>
          </w:p>
        </w:tc>
        <w:tc>
          <w:tcPr>
            <w:tcW w:w="396" w:type="pct"/>
            <w:shd w:val="clear" w:color="auto" w:fill="auto"/>
            <w:noWrap/>
            <w:vAlign w:val="center"/>
            <w:hideMark/>
          </w:tcPr>
          <w:p w14:paraId="0939ED9D"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2,1</w:t>
            </w:r>
          </w:p>
        </w:tc>
      </w:tr>
    </w:tbl>
    <w:p w14:paraId="0CEFE6AC" w14:textId="5BE1A375" w:rsidR="009C7A2A" w:rsidRPr="004F5101" w:rsidRDefault="003D7225" w:rsidP="009C7A2A">
      <w:pPr>
        <w:tabs>
          <w:tab w:val="left" w:pos="3261"/>
        </w:tabs>
        <w:spacing w:after="0" w:line="240" w:lineRule="auto"/>
        <w:rPr>
          <w:rFonts w:ascii="Lato" w:hAnsi="Lato"/>
          <w:sz w:val="16"/>
          <w:szCs w:val="16"/>
        </w:rPr>
      </w:pPr>
      <w:r w:rsidRPr="009C7A2A">
        <w:rPr>
          <w:rFonts w:ascii="Lato" w:hAnsi="Lato"/>
          <w:sz w:val="16"/>
          <w:szCs w:val="16"/>
        </w:rPr>
        <w:t>Źródło: Badanie "Wykorzystanie technologii informacyjno-komunikacyjnych w gospodarstwach domowych", GUS</w:t>
      </w:r>
    </w:p>
    <w:p w14:paraId="36240D89" w14:textId="77777777" w:rsidR="0019609D" w:rsidRDefault="0019609D" w:rsidP="009C7A2A">
      <w:pPr>
        <w:tabs>
          <w:tab w:val="left" w:pos="3261"/>
        </w:tabs>
        <w:spacing w:after="0" w:line="240" w:lineRule="auto"/>
        <w:rPr>
          <w:rFonts w:ascii="Lato" w:hAnsi="Lato"/>
          <w:b/>
          <w:bCs/>
          <w:sz w:val="20"/>
          <w:szCs w:val="20"/>
        </w:rPr>
      </w:pPr>
    </w:p>
    <w:p w14:paraId="366D0015" w14:textId="4BA28DBB" w:rsidR="003D7225" w:rsidRPr="009C7A2A" w:rsidRDefault="003D7225" w:rsidP="009C7A2A">
      <w:pPr>
        <w:tabs>
          <w:tab w:val="left" w:pos="3261"/>
        </w:tabs>
        <w:spacing w:after="0" w:line="240" w:lineRule="auto"/>
        <w:rPr>
          <w:rFonts w:ascii="Lato" w:hAnsi="Lato"/>
          <w:b/>
          <w:bCs/>
          <w:sz w:val="20"/>
          <w:szCs w:val="20"/>
        </w:rPr>
      </w:pPr>
      <w:r w:rsidRPr="009C7A2A">
        <w:rPr>
          <w:rFonts w:ascii="Lato" w:hAnsi="Lato"/>
          <w:b/>
          <w:bCs/>
          <w:sz w:val="20"/>
          <w:szCs w:val="20"/>
        </w:rPr>
        <w:t>Aktywność sportowa</w:t>
      </w:r>
    </w:p>
    <w:p w14:paraId="06574E13" w14:textId="6A710376" w:rsidR="000F16AE" w:rsidRDefault="000F16AE" w:rsidP="009C7A2A">
      <w:pPr>
        <w:spacing w:after="0" w:line="240" w:lineRule="auto"/>
        <w:jc w:val="both"/>
        <w:rPr>
          <w:rFonts w:ascii="Lato" w:hAnsi="Lato"/>
          <w:sz w:val="20"/>
          <w:szCs w:val="20"/>
        </w:rPr>
      </w:pPr>
      <w:r w:rsidRPr="009C7A2A">
        <w:rPr>
          <w:rFonts w:ascii="Lato" w:hAnsi="Lato"/>
          <w:sz w:val="20"/>
          <w:szCs w:val="20"/>
        </w:rPr>
        <w:t>Na podstawie wyników badania statystycznego „Uczestnictwo w sporcie i rekreacji ruchowej” można stwierdzić, że w okresie objętym badaniem (od 1.10.2020 r. do 30.09.2021 r.) 28,8% członków gospodarstw domowych w wieku 60 lat i więcej oceniło swoją sprawność fizyczną jako bardzo dobrą lub dobrą, w tym jako bardzo dobrą jedynie – 1,4%. Odsetek osób starszych określających swoją kondycję jako złą wyniósł 18,0%, a bardzo złą – 3,0%. Co drugi senior ocenił ją jako średnią.</w:t>
      </w:r>
    </w:p>
    <w:p w14:paraId="0C9EC1CD" w14:textId="77777777" w:rsidR="009C7A2A" w:rsidRPr="009C7A2A" w:rsidRDefault="009C7A2A" w:rsidP="009C7A2A">
      <w:pPr>
        <w:spacing w:after="0" w:line="240" w:lineRule="auto"/>
        <w:jc w:val="both"/>
        <w:rPr>
          <w:rFonts w:ascii="Lato" w:hAnsi="Lato"/>
          <w:sz w:val="20"/>
          <w:szCs w:val="20"/>
        </w:rPr>
      </w:pPr>
    </w:p>
    <w:p w14:paraId="0EE51B5C" w14:textId="417D9995" w:rsidR="000F16AE" w:rsidRDefault="000F16AE" w:rsidP="009C7A2A">
      <w:pPr>
        <w:spacing w:after="0" w:line="240" w:lineRule="auto"/>
        <w:jc w:val="both"/>
        <w:rPr>
          <w:rFonts w:ascii="Lato" w:hAnsi="Lato"/>
          <w:sz w:val="20"/>
          <w:szCs w:val="20"/>
        </w:rPr>
      </w:pPr>
      <w:r w:rsidRPr="009C7A2A">
        <w:rPr>
          <w:rFonts w:ascii="Lato" w:hAnsi="Lato"/>
          <w:sz w:val="20"/>
          <w:szCs w:val="20"/>
        </w:rPr>
        <w:lastRenderedPageBreak/>
        <w:t>Ocena kondycji fizycznej w dużym stopniu zależy od płci. Generalnie to kobiety znacznie gorzej niż męż</w:t>
      </w:r>
      <w:r w:rsidRPr="009C7A2A">
        <w:rPr>
          <w:rFonts w:ascii="Lato" w:hAnsi="Lato"/>
          <w:sz w:val="20"/>
          <w:szCs w:val="20"/>
        </w:rPr>
        <w:softHyphen/>
        <w:t>czyźni oceniają swoją sprawność fizyczną. W 2021 r. odsetek kobiet w wieku 60 lat i więcej, które oceniły swoją sprawność jako bardzo dobrą lub dobrą był blisko o 6 p. proc mniej niższy niż w przypadku męż</w:t>
      </w:r>
      <w:r w:rsidRPr="009C7A2A">
        <w:rPr>
          <w:rFonts w:ascii="Lato" w:hAnsi="Lato"/>
          <w:sz w:val="20"/>
          <w:szCs w:val="20"/>
        </w:rPr>
        <w:softHyphen/>
        <w:t>czyzn. Kobiet określających swoją kondycję fizyczną jako złą lub bardzo złą było 21,7%, a mężczyzn z taką oceną – o 1,5 p. proc. mniej.</w:t>
      </w:r>
    </w:p>
    <w:p w14:paraId="0A79C73E" w14:textId="77777777" w:rsidR="009C7A2A" w:rsidRPr="009C7A2A" w:rsidRDefault="009C7A2A" w:rsidP="009C7A2A">
      <w:pPr>
        <w:spacing w:after="0" w:line="240" w:lineRule="auto"/>
        <w:jc w:val="both"/>
        <w:rPr>
          <w:rFonts w:ascii="Lato" w:hAnsi="Lato"/>
          <w:sz w:val="20"/>
          <w:szCs w:val="20"/>
        </w:rPr>
      </w:pPr>
    </w:p>
    <w:p w14:paraId="2E8B10E8" w14:textId="2F84FE54" w:rsidR="003D7225" w:rsidRDefault="003D7225" w:rsidP="003D7225">
      <w:pPr>
        <w:pStyle w:val="Legenda"/>
        <w:keepNext/>
      </w:pPr>
      <w:bookmarkStart w:id="37" w:name="_Toc142565997"/>
      <w:r>
        <w:t xml:space="preserve">Tabela </w:t>
      </w:r>
      <w:fldSimple w:instr=" SEQ Tabela \* ARABIC ">
        <w:r w:rsidR="00AA385B">
          <w:rPr>
            <w:noProof/>
          </w:rPr>
          <w:t>32</w:t>
        </w:r>
      </w:fldSimple>
      <w:r>
        <w:t xml:space="preserve"> Uczestnictwo członków gospodarstw domowych w zajęciach sportowych lub rekreacji ruchowej w 2021 r.</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4"/>
        <w:gridCol w:w="1691"/>
        <w:gridCol w:w="1693"/>
        <w:gridCol w:w="1704"/>
      </w:tblGrid>
      <w:tr w:rsidR="003D7225" w:rsidRPr="0019609D" w14:paraId="4A978650" w14:textId="77777777" w:rsidTr="0019609D">
        <w:trPr>
          <w:trHeight w:val="252"/>
        </w:trPr>
        <w:tc>
          <w:tcPr>
            <w:tcW w:w="2193" w:type="pct"/>
            <w:vMerge w:val="restart"/>
            <w:shd w:val="clear" w:color="auto" w:fill="8EAADB" w:themeFill="accent1" w:themeFillTint="99"/>
            <w:vAlign w:val="center"/>
            <w:hideMark/>
          </w:tcPr>
          <w:p w14:paraId="6076DA0D"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Wyszczególnienie</w:t>
            </w:r>
          </w:p>
        </w:tc>
        <w:tc>
          <w:tcPr>
            <w:tcW w:w="933" w:type="pct"/>
            <w:shd w:val="clear" w:color="auto" w:fill="8EAADB" w:themeFill="accent1" w:themeFillTint="99"/>
            <w:vAlign w:val="center"/>
            <w:hideMark/>
          </w:tcPr>
          <w:p w14:paraId="4A9816EA"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Ogółem</w:t>
            </w:r>
          </w:p>
        </w:tc>
        <w:tc>
          <w:tcPr>
            <w:tcW w:w="934" w:type="pct"/>
            <w:shd w:val="clear" w:color="auto" w:fill="8EAADB" w:themeFill="accent1" w:themeFillTint="99"/>
            <w:noWrap/>
            <w:vAlign w:val="center"/>
            <w:hideMark/>
          </w:tcPr>
          <w:p w14:paraId="47B3E1F4"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Mężczyźni</w:t>
            </w:r>
          </w:p>
        </w:tc>
        <w:tc>
          <w:tcPr>
            <w:tcW w:w="939" w:type="pct"/>
            <w:shd w:val="clear" w:color="auto" w:fill="8EAADB" w:themeFill="accent1" w:themeFillTint="99"/>
            <w:noWrap/>
            <w:vAlign w:val="center"/>
            <w:hideMark/>
          </w:tcPr>
          <w:p w14:paraId="5AF02A67"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 xml:space="preserve">Kobiety </w:t>
            </w:r>
          </w:p>
        </w:tc>
      </w:tr>
      <w:tr w:rsidR="003D7225" w:rsidRPr="0019609D" w14:paraId="35A7D682" w14:textId="77777777" w:rsidTr="0019609D">
        <w:trPr>
          <w:trHeight w:val="270"/>
        </w:trPr>
        <w:tc>
          <w:tcPr>
            <w:tcW w:w="2193" w:type="pct"/>
            <w:vMerge/>
            <w:shd w:val="clear" w:color="auto" w:fill="8EAADB" w:themeFill="accent1" w:themeFillTint="99"/>
            <w:vAlign w:val="center"/>
            <w:hideMark/>
          </w:tcPr>
          <w:p w14:paraId="32087D2F" w14:textId="77777777" w:rsidR="003D7225" w:rsidRPr="0019609D" w:rsidRDefault="003D7225" w:rsidP="003D7225">
            <w:pPr>
              <w:spacing w:after="0" w:line="240" w:lineRule="auto"/>
              <w:rPr>
                <w:rFonts w:ascii="Lato" w:eastAsia="Times New Roman" w:hAnsi="Lato" w:cs="Arial"/>
                <w:color w:val="000000"/>
                <w:sz w:val="18"/>
                <w:szCs w:val="18"/>
                <w:lang w:eastAsia="pl-PL"/>
              </w:rPr>
            </w:pPr>
          </w:p>
        </w:tc>
        <w:tc>
          <w:tcPr>
            <w:tcW w:w="2807" w:type="pct"/>
            <w:gridSpan w:val="3"/>
            <w:shd w:val="clear" w:color="auto" w:fill="8EAADB" w:themeFill="accent1" w:themeFillTint="99"/>
            <w:noWrap/>
            <w:vAlign w:val="center"/>
            <w:hideMark/>
          </w:tcPr>
          <w:p w14:paraId="0AB750EA"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odsetkach</w:t>
            </w:r>
          </w:p>
        </w:tc>
      </w:tr>
      <w:tr w:rsidR="003D7225" w:rsidRPr="0019609D" w14:paraId="584A4292" w14:textId="77777777" w:rsidTr="0019609D">
        <w:trPr>
          <w:trHeight w:val="146"/>
        </w:trPr>
        <w:tc>
          <w:tcPr>
            <w:tcW w:w="2193" w:type="pct"/>
            <w:shd w:val="clear" w:color="auto" w:fill="auto"/>
            <w:noWrap/>
            <w:vAlign w:val="center"/>
            <w:hideMark/>
          </w:tcPr>
          <w:p w14:paraId="02DD073B" w14:textId="77777777" w:rsidR="003D7225" w:rsidRPr="0019609D" w:rsidRDefault="003D7225" w:rsidP="003D7225">
            <w:pPr>
              <w:spacing w:after="0" w:line="240" w:lineRule="auto"/>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Ogółem</w:t>
            </w:r>
          </w:p>
        </w:tc>
        <w:tc>
          <w:tcPr>
            <w:tcW w:w="933" w:type="pct"/>
            <w:shd w:val="clear" w:color="auto" w:fill="auto"/>
            <w:noWrap/>
            <w:vAlign w:val="bottom"/>
            <w:hideMark/>
          </w:tcPr>
          <w:p w14:paraId="746B194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38,8</w:t>
            </w:r>
          </w:p>
        </w:tc>
        <w:tc>
          <w:tcPr>
            <w:tcW w:w="934" w:type="pct"/>
            <w:shd w:val="clear" w:color="auto" w:fill="auto"/>
            <w:noWrap/>
            <w:vAlign w:val="bottom"/>
            <w:hideMark/>
          </w:tcPr>
          <w:p w14:paraId="4BB5B780"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41,0</w:t>
            </w:r>
          </w:p>
        </w:tc>
        <w:tc>
          <w:tcPr>
            <w:tcW w:w="939" w:type="pct"/>
            <w:shd w:val="clear" w:color="auto" w:fill="auto"/>
            <w:noWrap/>
            <w:vAlign w:val="bottom"/>
            <w:hideMark/>
          </w:tcPr>
          <w:p w14:paraId="154D79E7"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36,7</w:t>
            </w:r>
          </w:p>
        </w:tc>
      </w:tr>
      <w:tr w:rsidR="003D7225" w:rsidRPr="0019609D" w14:paraId="3717F848" w14:textId="77777777" w:rsidTr="0019609D">
        <w:trPr>
          <w:trHeight w:val="193"/>
        </w:trPr>
        <w:tc>
          <w:tcPr>
            <w:tcW w:w="2193" w:type="pct"/>
            <w:shd w:val="clear" w:color="auto" w:fill="auto"/>
            <w:noWrap/>
            <w:vAlign w:val="center"/>
            <w:hideMark/>
          </w:tcPr>
          <w:p w14:paraId="33E8C8F6" w14:textId="77777777" w:rsidR="003D7225" w:rsidRPr="0019609D" w:rsidRDefault="003D7225" w:rsidP="003D7225">
            <w:pPr>
              <w:spacing w:after="0" w:line="240" w:lineRule="auto"/>
              <w:rPr>
                <w:rFonts w:ascii="Lato" w:eastAsia="Times New Roman" w:hAnsi="Lato" w:cs="Arial"/>
                <w:sz w:val="18"/>
                <w:szCs w:val="18"/>
                <w:lang w:eastAsia="pl-PL"/>
              </w:rPr>
            </w:pPr>
            <w:r w:rsidRPr="0019609D">
              <w:rPr>
                <w:rFonts w:ascii="Lato" w:eastAsia="Times New Roman" w:hAnsi="Lato" w:cs="Arial"/>
                <w:sz w:val="18"/>
                <w:szCs w:val="18"/>
                <w:lang w:eastAsia="pl-PL"/>
              </w:rPr>
              <w:t xml:space="preserve">   60 lat i więcej</w:t>
            </w:r>
          </w:p>
        </w:tc>
        <w:tc>
          <w:tcPr>
            <w:tcW w:w="933" w:type="pct"/>
            <w:shd w:val="clear" w:color="auto" w:fill="auto"/>
            <w:noWrap/>
            <w:vAlign w:val="bottom"/>
            <w:hideMark/>
          </w:tcPr>
          <w:p w14:paraId="04724AC1"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18,3</w:t>
            </w:r>
          </w:p>
        </w:tc>
        <w:tc>
          <w:tcPr>
            <w:tcW w:w="934" w:type="pct"/>
            <w:shd w:val="clear" w:color="auto" w:fill="auto"/>
            <w:noWrap/>
            <w:vAlign w:val="bottom"/>
            <w:hideMark/>
          </w:tcPr>
          <w:p w14:paraId="2FAA893C"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19,3</w:t>
            </w:r>
          </w:p>
        </w:tc>
        <w:tc>
          <w:tcPr>
            <w:tcW w:w="939" w:type="pct"/>
            <w:shd w:val="clear" w:color="auto" w:fill="auto"/>
            <w:noWrap/>
            <w:vAlign w:val="bottom"/>
            <w:hideMark/>
          </w:tcPr>
          <w:p w14:paraId="3C5F8256" w14:textId="77777777" w:rsidR="003D7225" w:rsidRPr="0019609D" w:rsidRDefault="003D7225" w:rsidP="003D7225">
            <w:pPr>
              <w:spacing w:after="0" w:line="240" w:lineRule="auto"/>
              <w:jc w:val="right"/>
              <w:rPr>
                <w:rFonts w:ascii="Lato" w:eastAsia="Times New Roman" w:hAnsi="Lato" w:cs="Arial"/>
                <w:sz w:val="18"/>
                <w:szCs w:val="18"/>
                <w:lang w:eastAsia="pl-PL"/>
              </w:rPr>
            </w:pPr>
            <w:r w:rsidRPr="0019609D">
              <w:rPr>
                <w:rFonts w:ascii="Lato" w:eastAsia="Times New Roman" w:hAnsi="Lato" w:cs="Arial"/>
                <w:sz w:val="18"/>
                <w:szCs w:val="18"/>
                <w:lang w:eastAsia="pl-PL"/>
              </w:rPr>
              <w:t>17,6</w:t>
            </w:r>
          </w:p>
        </w:tc>
      </w:tr>
    </w:tbl>
    <w:p w14:paraId="431ED9F8" w14:textId="3D07FCA8" w:rsidR="003D7225" w:rsidRPr="004F5101" w:rsidRDefault="00F37B4C" w:rsidP="000F16AE">
      <w:pPr>
        <w:tabs>
          <w:tab w:val="left" w:pos="3261"/>
        </w:tabs>
        <w:rPr>
          <w:rFonts w:ascii="Lato" w:hAnsi="Lato"/>
          <w:sz w:val="16"/>
          <w:szCs w:val="16"/>
        </w:rPr>
      </w:pPr>
      <w:r w:rsidRPr="004F5101">
        <w:rPr>
          <w:rFonts w:ascii="Lato" w:hAnsi="Lato"/>
          <w:sz w:val="16"/>
          <w:szCs w:val="16"/>
        </w:rPr>
        <w:t>Źródło</w:t>
      </w:r>
      <w:r w:rsidR="003D7225" w:rsidRPr="004F5101">
        <w:rPr>
          <w:rFonts w:ascii="Lato" w:hAnsi="Lato"/>
          <w:sz w:val="16"/>
          <w:szCs w:val="16"/>
        </w:rPr>
        <w:t>: Badanie "</w:t>
      </w:r>
      <w:r w:rsidRPr="004F5101">
        <w:rPr>
          <w:rFonts w:ascii="Lato" w:hAnsi="Lato"/>
          <w:sz w:val="16"/>
          <w:szCs w:val="16"/>
        </w:rPr>
        <w:t>Uczestnictwo</w:t>
      </w:r>
      <w:r w:rsidR="003D7225" w:rsidRPr="004F5101">
        <w:rPr>
          <w:rFonts w:ascii="Lato" w:hAnsi="Lato"/>
          <w:sz w:val="16"/>
          <w:szCs w:val="16"/>
        </w:rPr>
        <w:t xml:space="preserve"> w sporcie i rekreacji ruchowej" 2021, GUS</w:t>
      </w:r>
    </w:p>
    <w:p w14:paraId="5F01F3CB" w14:textId="7A4898E4" w:rsidR="000F16AE" w:rsidRDefault="000F16AE" w:rsidP="009C7A2A">
      <w:pPr>
        <w:spacing w:after="0" w:line="240" w:lineRule="auto"/>
        <w:jc w:val="both"/>
        <w:rPr>
          <w:rFonts w:ascii="Lato" w:hAnsi="Lato"/>
          <w:sz w:val="20"/>
          <w:szCs w:val="20"/>
        </w:rPr>
      </w:pPr>
      <w:r w:rsidRPr="009C7A2A">
        <w:rPr>
          <w:rFonts w:ascii="Lato" w:hAnsi="Lato"/>
          <w:sz w:val="20"/>
          <w:szCs w:val="20"/>
        </w:rPr>
        <w:t>W okresie od 1.10.2020 r. do 30.09.2021 r. w zajęciach sportowych lub rekreacji ruchowej uczestniczyło 18,3% osób w wieku 60 lat i więcej. Wśród mężczyzn w tym wieku odsetek uczestników zajęć sporto</w:t>
      </w:r>
      <w:r w:rsidRPr="009C7A2A">
        <w:rPr>
          <w:rFonts w:ascii="Lato" w:hAnsi="Lato"/>
          <w:sz w:val="20"/>
          <w:szCs w:val="20"/>
        </w:rPr>
        <w:softHyphen/>
        <w:t xml:space="preserve">wych i rekreacji ruchowej wyniósł 19,3%, podczas gdy w grupie kobiet był nieco niższy i ukształtował się na poziomie 17,6%. </w:t>
      </w:r>
    </w:p>
    <w:p w14:paraId="4E1E576A" w14:textId="77777777" w:rsidR="004F5101" w:rsidRPr="009C7A2A" w:rsidRDefault="004F5101" w:rsidP="009C7A2A">
      <w:pPr>
        <w:spacing w:after="0" w:line="240" w:lineRule="auto"/>
        <w:jc w:val="both"/>
        <w:rPr>
          <w:rFonts w:ascii="Lato" w:hAnsi="Lato"/>
          <w:sz w:val="20"/>
          <w:szCs w:val="20"/>
        </w:rPr>
      </w:pPr>
    </w:p>
    <w:p w14:paraId="17D5E50E" w14:textId="2F9213F8" w:rsidR="003D7225" w:rsidRDefault="003D7225" w:rsidP="003D7225">
      <w:pPr>
        <w:pStyle w:val="Legenda"/>
        <w:keepNext/>
      </w:pPr>
      <w:bookmarkStart w:id="38" w:name="_Toc142565998"/>
      <w:r>
        <w:t xml:space="preserve">Tabela </w:t>
      </w:r>
      <w:fldSimple w:instr=" SEQ Tabela \* ARABIC ">
        <w:r w:rsidR="00AA385B">
          <w:rPr>
            <w:noProof/>
          </w:rPr>
          <w:t>33</w:t>
        </w:r>
      </w:fldSimple>
      <w:r>
        <w:t xml:space="preserve"> Subiektywna ocena ogólnej sprawności (kondycji) fizycznej członków gospodarstw domowych w 2021 r.</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8"/>
        <w:gridCol w:w="1084"/>
        <w:gridCol w:w="1742"/>
        <w:gridCol w:w="767"/>
        <w:gridCol w:w="977"/>
        <w:gridCol w:w="587"/>
        <w:gridCol w:w="1357"/>
      </w:tblGrid>
      <w:tr w:rsidR="003D7225" w:rsidRPr="003D7225" w14:paraId="57D1D5BE" w14:textId="77777777" w:rsidTr="0019609D">
        <w:trPr>
          <w:trHeight w:val="252"/>
        </w:trPr>
        <w:tc>
          <w:tcPr>
            <w:tcW w:w="1406" w:type="pct"/>
            <w:vMerge w:val="restart"/>
            <w:shd w:val="clear" w:color="auto" w:fill="8EAADB" w:themeFill="accent1" w:themeFillTint="99"/>
            <w:vAlign w:val="center"/>
            <w:hideMark/>
          </w:tcPr>
          <w:p w14:paraId="2B506F20"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Wyszczególnienie</w:t>
            </w:r>
          </w:p>
        </w:tc>
        <w:tc>
          <w:tcPr>
            <w:tcW w:w="598" w:type="pct"/>
            <w:vMerge w:val="restart"/>
            <w:shd w:val="clear" w:color="auto" w:fill="8EAADB" w:themeFill="accent1" w:themeFillTint="99"/>
            <w:vAlign w:val="center"/>
            <w:hideMark/>
          </w:tcPr>
          <w:p w14:paraId="47C3F82A"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Ogółem</w:t>
            </w:r>
          </w:p>
        </w:tc>
        <w:tc>
          <w:tcPr>
            <w:tcW w:w="2995" w:type="pct"/>
            <w:gridSpan w:val="5"/>
            <w:shd w:val="clear" w:color="auto" w:fill="8EAADB" w:themeFill="accent1" w:themeFillTint="99"/>
            <w:noWrap/>
            <w:vAlign w:val="center"/>
            <w:hideMark/>
          </w:tcPr>
          <w:p w14:paraId="44143F6B"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Ocena ogólnej sprawności fizycznej</w:t>
            </w:r>
          </w:p>
        </w:tc>
      </w:tr>
      <w:tr w:rsidR="003D7225" w:rsidRPr="003D7225" w14:paraId="4BB7C49F" w14:textId="77777777" w:rsidTr="0019609D">
        <w:trPr>
          <w:trHeight w:val="128"/>
        </w:trPr>
        <w:tc>
          <w:tcPr>
            <w:tcW w:w="1406" w:type="pct"/>
            <w:vMerge/>
            <w:shd w:val="clear" w:color="auto" w:fill="8EAADB" w:themeFill="accent1" w:themeFillTint="99"/>
            <w:vAlign w:val="center"/>
            <w:hideMark/>
          </w:tcPr>
          <w:p w14:paraId="2801CD1D" w14:textId="77777777" w:rsidR="003D7225" w:rsidRPr="0019609D" w:rsidRDefault="003D7225" w:rsidP="003D7225">
            <w:pPr>
              <w:spacing w:after="0" w:line="240" w:lineRule="auto"/>
              <w:rPr>
                <w:rFonts w:ascii="Lato" w:eastAsia="Times New Roman" w:hAnsi="Lato" w:cs="Arial"/>
                <w:color w:val="000000"/>
                <w:sz w:val="18"/>
                <w:szCs w:val="18"/>
                <w:lang w:eastAsia="pl-PL"/>
              </w:rPr>
            </w:pPr>
          </w:p>
        </w:tc>
        <w:tc>
          <w:tcPr>
            <w:tcW w:w="598" w:type="pct"/>
            <w:vMerge/>
            <w:shd w:val="clear" w:color="auto" w:fill="8EAADB" w:themeFill="accent1" w:themeFillTint="99"/>
            <w:vAlign w:val="center"/>
            <w:hideMark/>
          </w:tcPr>
          <w:p w14:paraId="6826AB5F" w14:textId="77777777" w:rsidR="003D7225" w:rsidRPr="0019609D" w:rsidRDefault="003D7225" w:rsidP="003D7225">
            <w:pPr>
              <w:spacing w:after="0" w:line="240" w:lineRule="auto"/>
              <w:rPr>
                <w:rFonts w:ascii="Lato" w:eastAsia="Times New Roman" w:hAnsi="Lato" w:cs="Arial"/>
                <w:color w:val="000000"/>
                <w:sz w:val="18"/>
                <w:szCs w:val="18"/>
                <w:lang w:eastAsia="pl-PL"/>
              </w:rPr>
            </w:pPr>
          </w:p>
        </w:tc>
        <w:tc>
          <w:tcPr>
            <w:tcW w:w="961" w:type="pct"/>
            <w:shd w:val="clear" w:color="auto" w:fill="8EAADB" w:themeFill="accent1" w:themeFillTint="99"/>
            <w:noWrap/>
            <w:vAlign w:val="center"/>
            <w:hideMark/>
          </w:tcPr>
          <w:p w14:paraId="2E89538C"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bardzo dobra</w:t>
            </w:r>
          </w:p>
        </w:tc>
        <w:tc>
          <w:tcPr>
            <w:tcW w:w="423" w:type="pct"/>
            <w:shd w:val="clear" w:color="auto" w:fill="8EAADB" w:themeFill="accent1" w:themeFillTint="99"/>
            <w:noWrap/>
            <w:vAlign w:val="center"/>
            <w:hideMark/>
          </w:tcPr>
          <w:p w14:paraId="6556FB3F"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dobra</w:t>
            </w:r>
          </w:p>
        </w:tc>
        <w:tc>
          <w:tcPr>
            <w:tcW w:w="539" w:type="pct"/>
            <w:shd w:val="clear" w:color="auto" w:fill="8EAADB" w:themeFill="accent1" w:themeFillTint="99"/>
            <w:noWrap/>
            <w:vAlign w:val="center"/>
            <w:hideMark/>
          </w:tcPr>
          <w:p w14:paraId="54F19479"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średnia</w:t>
            </w:r>
          </w:p>
        </w:tc>
        <w:tc>
          <w:tcPr>
            <w:tcW w:w="324" w:type="pct"/>
            <w:shd w:val="clear" w:color="auto" w:fill="8EAADB" w:themeFill="accent1" w:themeFillTint="99"/>
            <w:noWrap/>
            <w:vAlign w:val="center"/>
            <w:hideMark/>
          </w:tcPr>
          <w:p w14:paraId="52D9D812"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zła</w:t>
            </w:r>
          </w:p>
        </w:tc>
        <w:tc>
          <w:tcPr>
            <w:tcW w:w="749" w:type="pct"/>
            <w:shd w:val="clear" w:color="auto" w:fill="8EAADB" w:themeFill="accent1" w:themeFillTint="99"/>
            <w:noWrap/>
            <w:vAlign w:val="center"/>
            <w:hideMark/>
          </w:tcPr>
          <w:p w14:paraId="0A431CE2" w14:textId="77777777" w:rsidR="003D7225" w:rsidRPr="0019609D" w:rsidRDefault="003D7225" w:rsidP="003D7225">
            <w:pPr>
              <w:spacing w:after="0" w:line="240" w:lineRule="auto"/>
              <w:jc w:val="center"/>
              <w:rPr>
                <w:rFonts w:ascii="Lato" w:eastAsia="Times New Roman" w:hAnsi="Lato" w:cs="Arial"/>
                <w:color w:val="000000"/>
                <w:sz w:val="18"/>
                <w:szCs w:val="18"/>
                <w:lang w:eastAsia="pl-PL"/>
              </w:rPr>
            </w:pPr>
            <w:r w:rsidRPr="0019609D">
              <w:rPr>
                <w:rFonts w:ascii="Lato" w:eastAsia="Times New Roman" w:hAnsi="Lato" w:cs="Arial"/>
                <w:color w:val="000000"/>
                <w:sz w:val="18"/>
                <w:szCs w:val="18"/>
                <w:lang w:eastAsia="pl-PL"/>
              </w:rPr>
              <w:t>bardzo zła</w:t>
            </w:r>
          </w:p>
        </w:tc>
      </w:tr>
      <w:tr w:rsidR="003D7225" w:rsidRPr="003D7225" w14:paraId="43E1028D" w14:textId="77777777" w:rsidTr="0019609D">
        <w:trPr>
          <w:trHeight w:val="174"/>
        </w:trPr>
        <w:tc>
          <w:tcPr>
            <w:tcW w:w="1406" w:type="pct"/>
            <w:vMerge/>
            <w:shd w:val="clear" w:color="auto" w:fill="8EAADB" w:themeFill="accent1" w:themeFillTint="99"/>
            <w:vAlign w:val="center"/>
            <w:hideMark/>
          </w:tcPr>
          <w:p w14:paraId="63FEDC47" w14:textId="77777777" w:rsidR="003D7225" w:rsidRPr="0019609D" w:rsidRDefault="003D7225" w:rsidP="003D7225">
            <w:pPr>
              <w:spacing w:after="0" w:line="240" w:lineRule="auto"/>
              <w:rPr>
                <w:rFonts w:ascii="Lato" w:eastAsia="Times New Roman" w:hAnsi="Lato" w:cs="Arial"/>
                <w:color w:val="000000"/>
                <w:sz w:val="18"/>
                <w:szCs w:val="18"/>
                <w:lang w:eastAsia="pl-PL"/>
              </w:rPr>
            </w:pPr>
          </w:p>
        </w:tc>
        <w:tc>
          <w:tcPr>
            <w:tcW w:w="3594" w:type="pct"/>
            <w:gridSpan w:val="6"/>
            <w:shd w:val="clear" w:color="auto" w:fill="8EAADB" w:themeFill="accent1" w:themeFillTint="99"/>
            <w:noWrap/>
            <w:vAlign w:val="center"/>
            <w:hideMark/>
          </w:tcPr>
          <w:p w14:paraId="43558BCD" w14:textId="77777777" w:rsidR="003D7225" w:rsidRPr="0019609D" w:rsidRDefault="003D7225" w:rsidP="003D7225">
            <w:pPr>
              <w:spacing w:after="0" w:line="240" w:lineRule="auto"/>
              <w:jc w:val="center"/>
              <w:rPr>
                <w:rFonts w:ascii="Lato" w:eastAsia="Times New Roman" w:hAnsi="Lato" w:cs="Arial"/>
                <w:sz w:val="18"/>
                <w:szCs w:val="18"/>
                <w:lang w:eastAsia="pl-PL"/>
              </w:rPr>
            </w:pPr>
            <w:r w:rsidRPr="0019609D">
              <w:rPr>
                <w:rFonts w:ascii="Lato" w:eastAsia="Times New Roman" w:hAnsi="Lato" w:cs="Arial"/>
                <w:sz w:val="18"/>
                <w:szCs w:val="18"/>
                <w:lang w:eastAsia="pl-PL"/>
              </w:rPr>
              <w:t>w odsetkach</w:t>
            </w:r>
          </w:p>
        </w:tc>
      </w:tr>
      <w:tr w:rsidR="003D7225" w:rsidRPr="003D7225" w14:paraId="011DF1F9" w14:textId="77777777" w:rsidTr="0019609D">
        <w:trPr>
          <w:trHeight w:val="234"/>
        </w:trPr>
        <w:tc>
          <w:tcPr>
            <w:tcW w:w="1406" w:type="pct"/>
            <w:shd w:val="clear" w:color="auto" w:fill="auto"/>
            <w:noWrap/>
            <w:vAlign w:val="center"/>
            <w:hideMark/>
          </w:tcPr>
          <w:p w14:paraId="2A2BB537" w14:textId="77777777" w:rsidR="003D7225" w:rsidRPr="003D7225" w:rsidRDefault="003D7225" w:rsidP="003D7225">
            <w:pPr>
              <w:spacing w:after="0" w:line="240" w:lineRule="auto"/>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Ogółem</w:t>
            </w:r>
          </w:p>
        </w:tc>
        <w:tc>
          <w:tcPr>
            <w:tcW w:w="598" w:type="pct"/>
            <w:shd w:val="clear" w:color="auto" w:fill="auto"/>
            <w:noWrap/>
            <w:vAlign w:val="bottom"/>
            <w:hideMark/>
          </w:tcPr>
          <w:p w14:paraId="69D3B839"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100,0</w:t>
            </w:r>
          </w:p>
        </w:tc>
        <w:tc>
          <w:tcPr>
            <w:tcW w:w="961" w:type="pct"/>
            <w:shd w:val="clear" w:color="auto" w:fill="auto"/>
            <w:noWrap/>
            <w:vAlign w:val="bottom"/>
            <w:hideMark/>
          </w:tcPr>
          <w:p w14:paraId="7A4F5A37"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22,0</w:t>
            </w:r>
          </w:p>
        </w:tc>
        <w:tc>
          <w:tcPr>
            <w:tcW w:w="423" w:type="pct"/>
            <w:shd w:val="clear" w:color="auto" w:fill="auto"/>
            <w:noWrap/>
            <w:vAlign w:val="bottom"/>
            <w:hideMark/>
          </w:tcPr>
          <w:p w14:paraId="5144E551"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43,7</w:t>
            </w:r>
          </w:p>
        </w:tc>
        <w:tc>
          <w:tcPr>
            <w:tcW w:w="539" w:type="pct"/>
            <w:shd w:val="clear" w:color="auto" w:fill="auto"/>
            <w:noWrap/>
            <w:vAlign w:val="bottom"/>
            <w:hideMark/>
          </w:tcPr>
          <w:p w14:paraId="5B1E3FA6"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26,4</w:t>
            </w:r>
          </w:p>
        </w:tc>
        <w:tc>
          <w:tcPr>
            <w:tcW w:w="324" w:type="pct"/>
            <w:shd w:val="clear" w:color="auto" w:fill="auto"/>
            <w:noWrap/>
            <w:vAlign w:val="bottom"/>
            <w:hideMark/>
          </w:tcPr>
          <w:p w14:paraId="327C9A5F"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6,8</w:t>
            </w:r>
          </w:p>
        </w:tc>
        <w:tc>
          <w:tcPr>
            <w:tcW w:w="749" w:type="pct"/>
            <w:shd w:val="clear" w:color="auto" w:fill="auto"/>
            <w:noWrap/>
            <w:vAlign w:val="bottom"/>
            <w:hideMark/>
          </w:tcPr>
          <w:p w14:paraId="713B0AE5"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1,0</w:t>
            </w:r>
          </w:p>
        </w:tc>
      </w:tr>
      <w:tr w:rsidR="003D7225" w:rsidRPr="003D7225" w14:paraId="7EFA4060" w14:textId="77777777" w:rsidTr="0019609D">
        <w:trPr>
          <w:trHeight w:val="138"/>
        </w:trPr>
        <w:tc>
          <w:tcPr>
            <w:tcW w:w="1406" w:type="pct"/>
            <w:shd w:val="clear" w:color="auto" w:fill="auto"/>
            <w:noWrap/>
            <w:vAlign w:val="center"/>
            <w:hideMark/>
          </w:tcPr>
          <w:p w14:paraId="74D89DD1" w14:textId="77777777" w:rsidR="003D7225" w:rsidRPr="003D7225" w:rsidRDefault="003D7225" w:rsidP="003D7225">
            <w:pPr>
              <w:spacing w:after="0" w:line="240" w:lineRule="auto"/>
              <w:rPr>
                <w:rFonts w:ascii="Arial" w:eastAsia="Times New Roman" w:hAnsi="Arial" w:cs="Arial"/>
                <w:sz w:val="18"/>
                <w:szCs w:val="18"/>
                <w:lang w:eastAsia="pl-PL"/>
              </w:rPr>
            </w:pPr>
            <w:r w:rsidRPr="003D7225">
              <w:rPr>
                <w:rFonts w:ascii="Arial" w:eastAsia="Times New Roman" w:hAnsi="Arial" w:cs="Arial"/>
                <w:sz w:val="18"/>
                <w:szCs w:val="18"/>
                <w:lang w:eastAsia="pl-PL"/>
              </w:rPr>
              <w:t xml:space="preserve">   60 lat i więcej</w:t>
            </w:r>
          </w:p>
        </w:tc>
        <w:tc>
          <w:tcPr>
            <w:tcW w:w="598" w:type="pct"/>
            <w:shd w:val="clear" w:color="auto" w:fill="auto"/>
            <w:noWrap/>
            <w:vAlign w:val="bottom"/>
            <w:hideMark/>
          </w:tcPr>
          <w:p w14:paraId="352B5C41"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100,0</w:t>
            </w:r>
          </w:p>
        </w:tc>
        <w:tc>
          <w:tcPr>
            <w:tcW w:w="961" w:type="pct"/>
            <w:shd w:val="clear" w:color="auto" w:fill="auto"/>
            <w:noWrap/>
            <w:vAlign w:val="bottom"/>
            <w:hideMark/>
          </w:tcPr>
          <w:p w14:paraId="5B7EFC42"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1,4</w:t>
            </w:r>
          </w:p>
        </w:tc>
        <w:tc>
          <w:tcPr>
            <w:tcW w:w="423" w:type="pct"/>
            <w:shd w:val="clear" w:color="auto" w:fill="auto"/>
            <w:noWrap/>
            <w:vAlign w:val="bottom"/>
            <w:hideMark/>
          </w:tcPr>
          <w:p w14:paraId="31A0573B" w14:textId="77777777" w:rsidR="003D7225" w:rsidRPr="003D7225" w:rsidRDefault="003D7225" w:rsidP="003D7225">
            <w:pPr>
              <w:spacing w:after="0" w:line="240" w:lineRule="auto"/>
              <w:jc w:val="right"/>
              <w:rPr>
                <w:rFonts w:ascii="Arial" w:eastAsia="Times New Roman" w:hAnsi="Arial" w:cs="Arial"/>
                <w:sz w:val="18"/>
                <w:szCs w:val="18"/>
                <w:lang w:eastAsia="pl-PL"/>
              </w:rPr>
            </w:pPr>
            <w:r w:rsidRPr="003D7225">
              <w:rPr>
                <w:rFonts w:ascii="Arial" w:eastAsia="Times New Roman" w:hAnsi="Arial" w:cs="Arial"/>
                <w:sz w:val="18"/>
                <w:szCs w:val="18"/>
                <w:lang w:eastAsia="pl-PL"/>
              </w:rPr>
              <w:t>27,4</w:t>
            </w:r>
          </w:p>
        </w:tc>
        <w:tc>
          <w:tcPr>
            <w:tcW w:w="539" w:type="pct"/>
            <w:shd w:val="clear" w:color="auto" w:fill="auto"/>
            <w:noWrap/>
            <w:vAlign w:val="bottom"/>
            <w:hideMark/>
          </w:tcPr>
          <w:p w14:paraId="6F3F3172"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50,2</w:t>
            </w:r>
          </w:p>
        </w:tc>
        <w:tc>
          <w:tcPr>
            <w:tcW w:w="324" w:type="pct"/>
            <w:shd w:val="clear" w:color="auto" w:fill="auto"/>
            <w:noWrap/>
            <w:vAlign w:val="bottom"/>
            <w:hideMark/>
          </w:tcPr>
          <w:p w14:paraId="6658D966"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18,0</w:t>
            </w:r>
          </w:p>
        </w:tc>
        <w:tc>
          <w:tcPr>
            <w:tcW w:w="749" w:type="pct"/>
            <w:shd w:val="clear" w:color="auto" w:fill="auto"/>
            <w:noWrap/>
            <w:vAlign w:val="bottom"/>
            <w:hideMark/>
          </w:tcPr>
          <w:p w14:paraId="799908F9" w14:textId="77777777" w:rsidR="003D7225" w:rsidRPr="003D7225" w:rsidRDefault="003D7225" w:rsidP="003D7225">
            <w:pPr>
              <w:spacing w:after="0" w:line="240" w:lineRule="auto"/>
              <w:jc w:val="right"/>
              <w:rPr>
                <w:rFonts w:ascii="Arial" w:eastAsia="Times New Roman" w:hAnsi="Arial" w:cs="Arial"/>
                <w:color w:val="000000"/>
                <w:sz w:val="18"/>
                <w:szCs w:val="18"/>
                <w:lang w:eastAsia="pl-PL"/>
              </w:rPr>
            </w:pPr>
            <w:r w:rsidRPr="003D7225">
              <w:rPr>
                <w:rFonts w:ascii="Arial" w:eastAsia="Times New Roman" w:hAnsi="Arial" w:cs="Arial"/>
                <w:color w:val="000000"/>
                <w:sz w:val="18"/>
                <w:szCs w:val="18"/>
                <w:lang w:eastAsia="pl-PL"/>
              </w:rPr>
              <w:t>3,0</w:t>
            </w:r>
          </w:p>
        </w:tc>
      </w:tr>
    </w:tbl>
    <w:p w14:paraId="36E4BF51" w14:textId="347FC50F" w:rsidR="003D7225" w:rsidRPr="004F5101" w:rsidRDefault="003D7225" w:rsidP="004F5101">
      <w:pPr>
        <w:tabs>
          <w:tab w:val="left" w:pos="3261"/>
        </w:tabs>
        <w:spacing w:line="240" w:lineRule="auto"/>
        <w:rPr>
          <w:rFonts w:ascii="Lato" w:hAnsi="Lato"/>
          <w:sz w:val="16"/>
          <w:szCs w:val="16"/>
        </w:rPr>
      </w:pPr>
      <w:r w:rsidRPr="004F5101">
        <w:rPr>
          <w:rFonts w:ascii="Lato" w:hAnsi="Lato"/>
          <w:sz w:val="16"/>
          <w:szCs w:val="16"/>
        </w:rPr>
        <w:t>Źródło:  Badanie "Uczestnictwo w sporcie i rekreacji ruchowej" 2021, GUS</w:t>
      </w:r>
    </w:p>
    <w:p w14:paraId="12EFA1C9" w14:textId="24B79828" w:rsidR="003D7225" w:rsidRDefault="000F16AE" w:rsidP="004F5101">
      <w:pPr>
        <w:spacing w:after="0" w:line="240" w:lineRule="auto"/>
        <w:jc w:val="both"/>
        <w:rPr>
          <w:rFonts w:ascii="Lato" w:hAnsi="Lato"/>
          <w:sz w:val="20"/>
          <w:szCs w:val="20"/>
        </w:rPr>
      </w:pPr>
      <w:r w:rsidRPr="009C7A2A">
        <w:rPr>
          <w:rFonts w:ascii="Lato" w:hAnsi="Lato"/>
          <w:sz w:val="20"/>
          <w:szCs w:val="20"/>
        </w:rPr>
        <w:t>Najpopularniejszą aktywnością sportową wśród osób w wieku 60 lat i więcej była jazda na rowerze. W 2021 r. wskazała ją połowa uczestników zajęć sportowych lub rekreacji ruchowej w tym wieku. Po</w:t>
      </w:r>
      <w:r w:rsidRPr="009C7A2A">
        <w:rPr>
          <w:rFonts w:ascii="Lato" w:hAnsi="Lato"/>
          <w:sz w:val="20"/>
          <w:szCs w:val="20"/>
        </w:rPr>
        <w:softHyphen/>
        <w:t>pularne wśród seniorów były również ogólnorozwojowe zajęcia ruchowe poprawiające kondycję fizyczną (m.in. spacery rekreacyjne, skakanie na skakance, ćwiczenia na rowerze stacjonarnym, trenażerze), które w 2021 r. wykonywało około 40% osób. Dużą popularnością w gronie osób starszych cieszył się również jog</w:t>
      </w:r>
      <w:r w:rsidRPr="009C7A2A">
        <w:rPr>
          <w:rFonts w:ascii="Lato" w:hAnsi="Lato"/>
          <w:sz w:val="20"/>
          <w:szCs w:val="20"/>
        </w:rPr>
        <w:softHyphen/>
        <w:t xml:space="preserve">ging i </w:t>
      </w:r>
      <w:proofErr w:type="spellStart"/>
      <w:r w:rsidRPr="009C7A2A">
        <w:rPr>
          <w:rFonts w:ascii="Lato" w:hAnsi="Lato"/>
          <w:sz w:val="20"/>
          <w:szCs w:val="20"/>
        </w:rPr>
        <w:t>nordic</w:t>
      </w:r>
      <w:proofErr w:type="spellEnd"/>
      <w:r w:rsidRPr="009C7A2A">
        <w:rPr>
          <w:rFonts w:ascii="Lato" w:hAnsi="Lato"/>
          <w:sz w:val="20"/>
          <w:szCs w:val="20"/>
        </w:rPr>
        <w:t xml:space="preserve"> </w:t>
      </w:r>
      <w:proofErr w:type="spellStart"/>
      <w:r w:rsidRPr="009C7A2A">
        <w:rPr>
          <w:rFonts w:ascii="Lato" w:hAnsi="Lato"/>
          <w:sz w:val="20"/>
          <w:szCs w:val="20"/>
        </w:rPr>
        <w:t>walking</w:t>
      </w:r>
      <w:proofErr w:type="spellEnd"/>
      <w:r w:rsidRPr="009C7A2A">
        <w:rPr>
          <w:rFonts w:ascii="Lato" w:hAnsi="Lato"/>
          <w:sz w:val="20"/>
          <w:szCs w:val="20"/>
        </w:rPr>
        <w:t xml:space="preserve">, a także pływanie. </w:t>
      </w:r>
    </w:p>
    <w:p w14:paraId="0975A443" w14:textId="77777777" w:rsidR="00BB5CBF" w:rsidRDefault="00BB5CBF" w:rsidP="004F5101">
      <w:pPr>
        <w:spacing w:after="0" w:line="240" w:lineRule="auto"/>
        <w:jc w:val="both"/>
        <w:rPr>
          <w:rFonts w:ascii="Lato" w:hAnsi="Lato"/>
          <w:sz w:val="20"/>
          <w:szCs w:val="20"/>
        </w:rPr>
      </w:pPr>
    </w:p>
    <w:p w14:paraId="513189A6" w14:textId="6C84EFEC" w:rsidR="00BB5CBF" w:rsidRDefault="00BB5CBF" w:rsidP="004F5101">
      <w:pPr>
        <w:spacing w:after="0" w:line="240" w:lineRule="auto"/>
        <w:jc w:val="both"/>
        <w:rPr>
          <w:rFonts w:ascii="Lato" w:hAnsi="Lato"/>
          <w:sz w:val="20"/>
          <w:szCs w:val="20"/>
        </w:rPr>
      </w:pPr>
      <w:r w:rsidRPr="00BB5CBF">
        <w:rPr>
          <w:rFonts w:ascii="Lato" w:hAnsi="Lato"/>
          <w:sz w:val="20"/>
          <w:szCs w:val="20"/>
        </w:rPr>
        <w:t xml:space="preserve">W 2022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 wyniósł 11,3%, </w:t>
      </w:r>
      <w:proofErr w:type="spellStart"/>
      <w:r w:rsidRPr="00BB5CBF">
        <w:rPr>
          <w:rFonts w:ascii="Lato" w:hAnsi="Lato"/>
          <w:sz w:val="20"/>
          <w:szCs w:val="20"/>
        </w:rPr>
        <w:t>t.j</w:t>
      </w:r>
      <w:proofErr w:type="spellEnd"/>
      <w:r w:rsidRPr="00BB5CBF">
        <w:rPr>
          <w:rFonts w:ascii="Lato" w:hAnsi="Lato"/>
          <w:sz w:val="20"/>
          <w:szCs w:val="20"/>
        </w:rPr>
        <w:t>. o 1,5 p. proc więcej w stosunku do roku poprzedniego. Mieszkańcy miast w wieku 60 lat lub więcej uczestniczący w podróżach (krajowych i/lub zagranicznych), z co najmniej jednym noclegiem w celu prywatnym stanowili w 2022 r. 8,5% ogółu ludności w wieku 15 lat lub więcej, a mieszkańcy wsi w wieku senioralnym  – 2,8%.</w:t>
      </w:r>
    </w:p>
    <w:p w14:paraId="42F53189" w14:textId="77777777" w:rsidR="009C7A2A" w:rsidRPr="00BB5CBF" w:rsidRDefault="009C7A2A" w:rsidP="004F5101">
      <w:pPr>
        <w:spacing w:after="0" w:line="240" w:lineRule="auto"/>
        <w:jc w:val="both"/>
        <w:rPr>
          <w:rFonts w:ascii="Lato" w:hAnsi="Lato"/>
          <w:sz w:val="20"/>
          <w:szCs w:val="20"/>
        </w:rPr>
      </w:pPr>
    </w:p>
    <w:p w14:paraId="44AF2789" w14:textId="057F975C" w:rsidR="00781EA1" w:rsidRPr="00DB2792" w:rsidRDefault="00781EA1" w:rsidP="006B2B17">
      <w:pPr>
        <w:pStyle w:val="Nagwek2"/>
        <w:rPr>
          <w:b/>
          <w:bCs/>
        </w:rPr>
      </w:pPr>
      <w:bookmarkStart w:id="39" w:name="_Toc142565928"/>
      <w:r w:rsidRPr="00DB2792">
        <w:rPr>
          <w:b/>
          <w:bCs/>
        </w:rPr>
        <w:t>Równe traktowanie</w:t>
      </w:r>
      <w:r w:rsidR="00A92F77" w:rsidRPr="00DB2792">
        <w:rPr>
          <w:b/>
          <w:bCs/>
        </w:rPr>
        <w:t xml:space="preserve">, </w:t>
      </w:r>
      <w:r w:rsidRPr="00DB2792">
        <w:rPr>
          <w:b/>
          <w:bCs/>
        </w:rPr>
        <w:t>przeciwdziałanie dyskryminacji</w:t>
      </w:r>
      <w:r w:rsidR="00A92F77" w:rsidRPr="00DB2792">
        <w:rPr>
          <w:b/>
          <w:bCs/>
        </w:rPr>
        <w:t xml:space="preserve"> i przemocy</w:t>
      </w:r>
      <w:bookmarkEnd w:id="39"/>
    </w:p>
    <w:p w14:paraId="6CAF3DBA" w14:textId="71B8EB7A" w:rsidR="00EA0165" w:rsidRDefault="00EA0165" w:rsidP="004F5101">
      <w:pPr>
        <w:spacing w:after="0" w:line="240" w:lineRule="auto"/>
        <w:jc w:val="both"/>
        <w:rPr>
          <w:rFonts w:ascii="Lato" w:hAnsi="Lato"/>
          <w:sz w:val="20"/>
        </w:rPr>
      </w:pPr>
      <w:r w:rsidRPr="00BF4171">
        <w:rPr>
          <w:rFonts w:ascii="Lato" w:hAnsi="Lato"/>
          <w:sz w:val="20"/>
        </w:rPr>
        <w:t>W Polsce podstawowym dokumentem, który określa politykę rządu w zakresie równego traktowania oraz przeciwdziałania dyskryminacji jest Konstytucja RP z 2 kwietnia 1997 roku (Dz.U. 1997 nr 78 poz. 483)</w:t>
      </w:r>
      <w:r w:rsidR="00A92F77">
        <w:rPr>
          <w:rFonts w:ascii="Lato" w:hAnsi="Lato"/>
          <w:sz w:val="20"/>
        </w:rPr>
        <w:t xml:space="preserve">, a </w:t>
      </w:r>
      <w:r w:rsidRPr="00BF4171">
        <w:rPr>
          <w:rFonts w:ascii="Lato" w:hAnsi="Lato"/>
          <w:sz w:val="20"/>
        </w:rPr>
        <w:t>konkretnie art. 32. Zasada równości obywatela wobec prawa, który głosi, że wszyscy są wobec prawa równi oraz mają prawo do równego traktowania przez władze publiczne,  a tak</w:t>
      </w:r>
      <w:r>
        <w:rPr>
          <w:rFonts w:ascii="Lato" w:hAnsi="Lato"/>
          <w:sz w:val="20"/>
        </w:rPr>
        <w:t>że świadczy</w:t>
      </w:r>
      <w:r w:rsidRPr="00BF4171">
        <w:rPr>
          <w:rFonts w:ascii="Lato" w:hAnsi="Lato"/>
          <w:sz w:val="20"/>
        </w:rPr>
        <w:t xml:space="preserve"> o tym, że nikt nie może być dyskryminowany w życiu politycznym, społecznym lub gospodarczym z jakiejkolwiek przyczyny. </w:t>
      </w:r>
    </w:p>
    <w:p w14:paraId="19E00780" w14:textId="77777777" w:rsidR="00EA0165" w:rsidRPr="00BF4171" w:rsidRDefault="00EA0165" w:rsidP="004F5101">
      <w:pPr>
        <w:spacing w:after="0" w:line="240" w:lineRule="auto"/>
        <w:jc w:val="both"/>
        <w:rPr>
          <w:rFonts w:ascii="Lato" w:hAnsi="Lato"/>
          <w:sz w:val="20"/>
        </w:rPr>
      </w:pPr>
    </w:p>
    <w:p w14:paraId="428C87F3" w14:textId="7CD305FA" w:rsidR="00EA0165" w:rsidRDefault="00EA0165" w:rsidP="004F5101">
      <w:pPr>
        <w:spacing w:after="0" w:line="240" w:lineRule="auto"/>
        <w:jc w:val="both"/>
        <w:rPr>
          <w:rFonts w:ascii="Lato" w:hAnsi="Lato"/>
          <w:sz w:val="20"/>
        </w:rPr>
      </w:pPr>
      <w:r w:rsidRPr="00BF4171">
        <w:rPr>
          <w:rFonts w:ascii="Lato" w:hAnsi="Lato"/>
          <w:sz w:val="20"/>
        </w:rPr>
        <w:t xml:space="preserve">Dokumentem szczegółowo określającym przesłanki dyskryminacji oraz możliwość wszczęcia procedury w przypadku, gdy dochodzi do dyskryminacji jest ustawa o wdrożeniu niektórych przepisów Unii Europejskiej (Dz.U. z 2020 r. poz. 2156) w zakresie równego traktowania, określa ona również organy właściwe w sprawach przeciwdziałania naruszeniom zasady równego traktowania. W Polsce są to Pełnomocnik Rządu do Spraw Równego Traktowania oraz Rzecznik Praw Obywatelskich. </w:t>
      </w:r>
      <w:r w:rsidR="00A92F77">
        <w:rPr>
          <w:rFonts w:ascii="Lato" w:hAnsi="Lato"/>
          <w:sz w:val="20"/>
        </w:rPr>
        <w:t>Przytoczona</w:t>
      </w:r>
      <w:r w:rsidRPr="00BF4171">
        <w:rPr>
          <w:rFonts w:ascii="Lato" w:hAnsi="Lato"/>
          <w:sz w:val="20"/>
        </w:rPr>
        <w:t xml:space="preserve"> ustawa zakazuje dyskryminacji ze względu na płeć, rasę, pochodzenie etniczne, narodowość, religię, wyznanie, światopogląd, niepełnosprawność, wiek lub orientację seksualną. </w:t>
      </w:r>
    </w:p>
    <w:p w14:paraId="244855F0" w14:textId="77777777" w:rsidR="00EA0165" w:rsidRDefault="00EA0165" w:rsidP="004F5101">
      <w:pPr>
        <w:spacing w:after="0" w:line="240" w:lineRule="auto"/>
        <w:jc w:val="both"/>
        <w:rPr>
          <w:rFonts w:ascii="Lato" w:hAnsi="Lato"/>
          <w:sz w:val="20"/>
        </w:rPr>
      </w:pPr>
    </w:p>
    <w:p w14:paraId="061597CE" w14:textId="77777777" w:rsidR="00EA0165" w:rsidRPr="00BF4171" w:rsidRDefault="00EA0165" w:rsidP="004F5101">
      <w:pPr>
        <w:spacing w:after="0" w:line="240" w:lineRule="auto"/>
        <w:jc w:val="both"/>
        <w:rPr>
          <w:rFonts w:ascii="Lato" w:hAnsi="Lato"/>
          <w:sz w:val="20"/>
        </w:rPr>
      </w:pPr>
      <w:r w:rsidRPr="00BF4171">
        <w:rPr>
          <w:rFonts w:ascii="Lato" w:hAnsi="Lato"/>
          <w:sz w:val="20"/>
        </w:rPr>
        <w:lastRenderedPageBreak/>
        <w:t>Zgodnie z art. 22 „ustawy równościowej” Pełnomocnik Rządu do Spraw Równego Traktowania opracowuje i przedkłada Radzie Ministrów Krajowy Program Działań na rzecz Równego Traktowania, który określa cele i priorytety działań na rzecz równego traktowania, w szczególności w zakresie:</w:t>
      </w:r>
    </w:p>
    <w:p w14:paraId="430076FE" w14:textId="77777777" w:rsidR="00EA0165" w:rsidRDefault="00EA0165" w:rsidP="004F5101">
      <w:pPr>
        <w:pStyle w:val="Akapitzlist"/>
        <w:numPr>
          <w:ilvl w:val="0"/>
          <w:numId w:val="140"/>
        </w:numPr>
        <w:spacing w:after="0" w:line="240" w:lineRule="auto"/>
        <w:jc w:val="both"/>
        <w:rPr>
          <w:rFonts w:ascii="Lato" w:hAnsi="Lato"/>
          <w:sz w:val="20"/>
        </w:rPr>
      </w:pPr>
      <w:r w:rsidRPr="00EA0165">
        <w:rPr>
          <w:rFonts w:ascii="Lato" w:hAnsi="Lato"/>
          <w:sz w:val="20"/>
        </w:rPr>
        <w:t>podnoszenia świadomości społecznej w zakresie równego traktowania, w tym na temat przyczyn i skutków naruszenia zasady równego traktowania;</w:t>
      </w:r>
    </w:p>
    <w:p w14:paraId="2F5E43FD" w14:textId="77777777" w:rsidR="00EA0165" w:rsidRDefault="00EA0165" w:rsidP="004F5101">
      <w:pPr>
        <w:pStyle w:val="Akapitzlist"/>
        <w:numPr>
          <w:ilvl w:val="0"/>
          <w:numId w:val="140"/>
        </w:numPr>
        <w:spacing w:after="0" w:line="240" w:lineRule="auto"/>
        <w:jc w:val="both"/>
        <w:rPr>
          <w:rFonts w:ascii="Lato" w:hAnsi="Lato"/>
          <w:sz w:val="20"/>
        </w:rPr>
      </w:pPr>
      <w:r w:rsidRPr="00EA0165">
        <w:rPr>
          <w:rFonts w:ascii="Lato" w:hAnsi="Lato"/>
          <w:sz w:val="20"/>
        </w:rPr>
        <w:t>przeciwdziałania naruszeniom zasady równego traktowania;</w:t>
      </w:r>
    </w:p>
    <w:p w14:paraId="751E86C4" w14:textId="160DED88" w:rsidR="00EA0165" w:rsidRPr="00EA0165" w:rsidRDefault="00EA0165" w:rsidP="004F5101">
      <w:pPr>
        <w:pStyle w:val="Akapitzlist"/>
        <w:numPr>
          <w:ilvl w:val="0"/>
          <w:numId w:val="140"/>
        </w:numPr>
        <w:spacing w:after="0" w:line="240" w:lineRule="auto"/>
        <w:jc w:val="both"/>
        <w:rPr>
          <w:rFonts w:ascii="Lato" w:hAnsi="Lato"/>
          <w:sz w:val="20"/>
        </w:rPr>
      </w:pPr>
      <w:r w:rsidRPr="00EA0165">
        <w:rPr>
          <w:rFonts w:ascii="Lato" w:hAnsi="Lato"/>
          <w:sz w:val="20"/>
        </w:rPr>
        <w:t>współpracy z partnerami społecznymi, organizacjami pozarządowymi i innymi podmiotami w zakresie równego traktowania.</w:t>
      </w:r>
    </w:p>
    <w:p w14:paraId="2F250444" w14:textId="77777777" w:rsidR="00EA0165" w:rsidRPr="007B0FBA" w:rsidRDefault="00EA0165" w:rsidP="004F5101">
      <w:pPr>
        <w:spacing w:after="0" w:line="240" w:lineRule="auto"/>
        <w:jc w:val="both"/>
        <w:rPr>
          <w:rFonts w:ascii="Lato" w:hAnsi="Lato"/>
          <w:sz w:val="20"/>
        </w:rPr>
      </w:pPr>
    </w:p>
    <w:p w14:paraId="3A21704E" w14:textId="28B24920" w:rsidR="00EA0165" w:rsidRDefault="00A92F77" w:rsidP="004F5101">
      <w:pPr>
        <w:spacing w:after="0" w:line="240" w:lineRule="auto"/>
        <w:jc w:val="both"/>
        <w:rPr>
          <w:rFonts w:ascii="Lato" w:hAnsi="Lato"/>
          <w:sz w:val="20"/>
        </w:rPr>
      </w:pPr>
      <w:r>
        <w:rPr>
          <w:rFonts w:ascii="Lato" w:hAnsi="Lato"/>
          <w:sz w:val="20"/>
        </w:rPr>
        <w:t xml:space="preserve">W dniu </w:t>
      </w:r>
      <w:r w:rsidR="00EA0165" w:rsidRPr="00BF4171">
        <w:rPr>
          <w:rFonts w:ascii="Lato" w:hAnsi="Lato"/>
          <w:sz w:val="20"/>
        </w:rPr>
        <w:t>24 maja 2022 r</w:t>
      </w:r>
      <w:r w:rsidR="00EA0165">
        <w:rPr>
          <w:rFonts w:ascii="Lato" w:hAnsi="Lato"/>
          <w:sz w:val="20"/>
        </w:rPr>
        <w:t>.</w:t>
      </w:r>
      <w:r w:rsidR="00EA0165" w:rsidRPr="00BF4171">
        <w:rPr>
          <w:rFonts w:ascii="Lato" w:hAnsi="Lato"/>
          <w:sz w:val="20"/>
        </w:rPr>
        <w:t xml:space="preserve"> w drodze uchwały został przyjęty Krajowy Program Działań na rzecz Równego Traktowania 2022-2030, który skupia się wokół VIII Priorytetów: Polityka antydyskryminacyjna, Praca i zabezpieczanie społeczne, Edukacja, Zdrowie, Dostęp do dóbr i usług, Budowanie świadomości, Gromadzenie danych i badania, Koordynacja. </w:t>
      </w:r>
    </w:p>
    <w:p w14:paraId="2FDE44BE" w14:textId="77777777" w:rsidR="00EA0165" w:rsidRPr="00BF4171" w:rsidRDefault="00EA0165" w:rsidP="004F5101">
      <w:pPr>
        <w:spacing w:after="0" w:line="240" w:lineRule="auto"/>
        <w:jc w:val="both"/>
        <w:rPr>
          <w:rFonts w:ascii="Lato" w:hAnsi="Lato"/>
          <w:sz w:val="20"/>
        </w:rPr>
      </w:pPr>
    </w:p>
    <w:p w14:paraId="7CFFEFC8" w14:textId="77777777" w:rsidR="00EA0165" w:rsidRDefault="00EA0165" w:rsidP="004F5101">
      <w:pPr>
        <w:spacing w:after="0" w:line="240" w:lineRule="auto"/>
        <w:jc w:val="both"/>
        <w:rPr>
          <w:rFonts w:ascii="Lato" w:hAnsi="Lato"/>
          <w:sz w:val="20"/>
        </w:rPr>
      </w:pPr>
      <w:r w:rsidRPr="00BF4171">
        <w:rPr>
          <w:rFonts w:ascii="Lato" w:hAnsi="Lato"/>
          <w:sz w:val="20"/>
        </w:rPr>
        <w:t>Krajowy Program Działań na rzecz Równego Traktowania 2022-2030 przewiduje zadania, które będą realizowane w perspektywie wieloletniej</w:t>
      </w:r>
      <w:r>
        <w:rPr>
          <w:rFonts w:ascii="Lato" w:hAnsi="Lato"/>
          <w:sz w:val="20"/>
        </w:rPr>
        <w:t xml:space="preserve"> w tym </w:t>
      </w:r>
      <w:r w:rsidRPr="00BF4171">
        <w:rPr>
          <w:rFonts w:ascii="Lato" w:hAnsi="Lato"/>
          <w:sz w:val="20"/>
        </w:rPr>
        <w:t>działania skierowane do osób starszych</w:t>
      </w:r>
      <w:r>
        <w:rPr>
          <w:rFonts w:ascii="Lato" w:hAnsi="Lato"/>
          <w:sz w:val="20"/>
        </w:rPr>
        <w:t>, które</w:t>
      </w:r>
      <w:r w:rsidRPr="00BF4171">
        <w:rPr>
          <w:rFonts w:ascii="Lato" w:hAnsi="Lato"/>
          <w:sz w:val="20"/>
        </w:rPr>
        <w:t xml:space="preserve"> mają na celu przeciwdziałanie wykluczeniu ze względu na wiek czy budowanie świadomości w zakresie przeciwdziałania stereotypowemu wizerunkowi osób starszych lub/i krzywdzącemu albo odbiegającemu od rzeczywistości.</w:t>
      </w:r>
    </w:p>
    <w:p w14:paraId="019EC5CB" w14:textId="77777777" w:rsidR="00EA0165" w:rsidRDefault="00EA0165" w:rsidP="004F5101">
      <w:pPr>
        <w:spacing w:after="0" w:line="240" w:lineRule="auto"/>
        <w:jc w:val="both"/>
        <w:rPr>
          <w:rFonts w:ascii="Lato" w:hAnsi="Lato"/>
          <w:sz w:val="20"/>
        </w:rPr>
      </w:pPr>
    </w:p>
    <w:p w14:paraId="4316B338" w14:textId="77777777" w:rsidR="00EA0165" w:rsidRDefault="00EA0165" w:rsidP="004F5101">
      <w:pPr>
        <w:spacing w:after="0" w:line="240" w:lineRule="auto"/>
        <w:jc w:val="both"/>
        <w:rPr>
          <w:rFonts w:ascii="Lato" w:hAnsi="Lato"/>
          <w:sz w:val="20"/>
        </w:rPr>
      </w:pPr>
      <w:r>
        <w:rPr>
          <w:rFonts w:ascii="Lato" w:hAnsi="Lato"/>
          <w:sz w:val="20"/>
        </w:rPr>
        <w:t xml:space="preserve">Konkretne zadania zawarte w Krajowym Programie, które należy wyszczególnić, to między innymi: </w:t>
      </w:r>
    </w:p>
    <w:p w14:paraId="37BF9EB8" w14:textId="77777777" w:rsidR="00EA0165" w:rsidRDefault="00EA0165" w:rsidP="004F5101">
      <w:pPr>
        <w:pStyle w:val="Akapitzlist"/>
        <w:numPr>
          <w:ilvl w:val="0"/>
          <w:numId w:val="141"/>
        </w:numPr>
        <w:spacing w:after="0" w:line="240" w:lineRule="auto"/>
        <w:jc w:val="both"/>
        <w:rPr>
          <w:rFonts w:ascii="Lato" w:hAnsi="Lato"/>
          <w:sz w:val="20"/>
        </w:rPr>
      </w:pPr>
      <w:r w:rsidRPr="00EA0165">
        <w:rPr>
          <w:rFonts w:ascii="Lato" w:hAnsi="Lato"/>
          <w:sz w:val="20"/>
        </w:rPr>
        <w:t>przeciwdziałanie negatywnemu wizerunkowi osób starszych, poprzez szkolenia dla pracowników oświaty, nauczycieli, pedagogów, a także szkolenia dla pracowników instytucji publicznych w zakresie uwrażliwiania na zjawisko dyskryminacji wiekowej na rynku pracy,</w:t>
      </w:r>
    </w:p>
    <w:p w14:paraId="4195D544" w14:textId="77777777" w:rsidR="00EA0165" w:rsidRDefault="00EA0165" w:rsidP="004F5101">
      <w:pPr>
        <w:pStyle w:val="Akapitzlist"/>
        <w:numPr>
          <w:ilvl w:val="0"/>
          <w:numId w:val="141"/>
        </w:numPr>
        <w:spacing w:after="0" w:line="240" w:lineRule="auto"/>
        <w:jc w:val="both"/>
        <w:rPr>
          <w:rFonts w:ascii="Lato" w:hAnsi="Lato"/>
          <w:sz w:val="20"/>
        </w:rPr>
      </w:pPr>
      <w:r w:rsidRPr="00EA0165">
        <w:rPr>
          <w:rFonts w:ascii="Lato" w:hAnsi="Lato"/>
          <w:sz w:val="20"/>
        </w:rPr>
        <w:t>debata z udziałem przedstawicieli organizacji pozarządowych i innych instytucji zrzeszających i zajmujących się osobami starszymi oraz reprezentantów pracodawców zainteresowanych możliwościami współpracy z osobami w starszym wieku,</w:t>
      </w:r>
    </w:p>
    <w:p w14:paraId="04A8338C" w14:textId="77777777" w:rsidR="00EA0165" w:rsidRDefault="00EA0165" w:rsidP="004F5101">
      <w:pPr>
        <w:pStyle w:val="Akapitzlist"/>
        <w:numPr>
          <w:ilvl w:val="0"/>
          <w:numId w:val="141"/>
        </w:numPr>
        <w:spacing w:after="0" w:line="240" w:lineRule="auto"/>
        <w:jc w:val="both"/>
        <w:rPr>
          <w:rFonts w:ascii="Lato" w:hAnsi="Lato"/>
          <w:sz w:val="20"/>
        </w:rPr>
      </w:pPr>
      <w:r w:rsidRPr="00EA0165">
        <w:rPr>
          <w:rFonts w:ascii="Lato" w:hAnsi="Lato"/>
          <w:sz w:val="20"/>
        </w:rPr>
        <w:t>wdrażanie polityki zarządzania wiekiem w urzędach - wzrost liczby pracowników w wieku dojrzałym, a także zmniejszenie liczby osób w wieku produkcyjnym,</w:t>
      </w:r>
    </w:p>
    <w:p w14:paraId="67947786" w14:textId="77777777" w:rsidR="00EA0165" w:rsidRDefault="00EA0165" w:rsidP="004F5101">
      <w:pPr>
        <w:pStyle w:val="Akapitzlist"/>
        <w:numPr>
          <w:ilvl w:val="0"/>
          <w:numId w:val="141"/>
        </w:numPr>
        <w:spacing w:after="0" w:line="240" w:lineRule="auto"/>
        <w:jc w:val="both"/>
        <w:rPr>
          <w:rFonts w:ascii="Lato" w:hAnsi="Lato"/>
          <w:sz w:val="20"/>
        </w:rPr>
      </w:pPr>
      <w:r w:rsidRPr="00EA0165">
        <w:rPr>
          <w:rFonts w:ascii="Lato" w:hAnsi="Lato"/>
          <w:sz w:val="20"/>
        </w:rPr>
        <w:t>współpraca z osobami, które są lub mogą być liderami w społecznościach lokalnych, w celu budowania solidarności międzypokoleniowej przez ukazywanie roli seniorów jako przekazicieli wartości, tradycji, doświadczenia życiowego poprzez wykluczenie ze względu na wiek,</w:t>
      </w:r>
    </w:p>
    <w:p w14:paraId="2B1B590F" w14:textId="698327A3" w:rsidR="00EA0165" w:rsidRPr="00EA0165" w:rsidRDefault="00EA0165" w:rsidP="004F5101">
      <w:pPr>
        <w:pStyle w:val="Akapitzlist"/>
        <w:numPr>
          <w:ilvl w:val="0"/>
          <w:numId w:val="141"/>
        </w:numPr>
        <w:spacing w:after="0" w:line="240" w:lineRule="auto"/>
        <w:jc w:val="both"/>
        <w:rPr>
          <w:rFonts w:ascii="Lato" w:hAnsi="Lato"/>
          <w:sz w:val="20"/>
        </w:rPr>
      </w:pPr>
      <w:r w:rsidRPr="00EA0165">
        <w:rPr>
          <w:rFonts w:ascii="Lato" w:hAnsi="Lato"/>
          <w:sz w:val="20"/>
        </w:rPr>
        <w:t>organizacja giełdy pracy dla seniorów w siedzibach urzędów wojewódzkich spowodowana zbyt małą aktywnością zawodową seniorów.</w:t>
      </w:r>
    </w:p>
    <w:p w14:paraId="121CA1E3" w14:textId="77777777" w:rsidR="00EA0165" w:rsidRDefault="00EA0165" w:rsidP="004F5101">
      <w:pPr>
        <w:spacing w:after="0" w:line="240" w:lineRule="auto"/>
        <w:jc w:val="both"/>
        <w:rPr>
          <w:rFonts w:ascii="Lato" w:hAnsi="Lato"/>
          <w:bCs/>
          <w:sz w:val="20"/>
        </w:rPr>
      </w:pPr>
    </w:p>
    <w:p w14:paraId="53344B85" w14:textId="45BA2B51" w:rsidR="00EA0165" w:rsidRDefault="00EA0165" w:rsidP="004F5101">
      <w:pPr>
        <w:spacing w:after="0" w:line="240" w:lineRule="auto"/>
        <w:jc w:val="both"/>
        <w:rPr>
          <w:rFonts w:ascii="Lato" w:hAnsi="Lato"/>
          <w:sz w:val="20"/>
        </w:rPr>
      </w:pPr>
      <w:r w:rsidRPr="007B0FBA">
        <w:rPr>
          <w:rFonts w:ascii="Lato" w:hAnsi="Lato"/>
          <w:bCs/>
          <w:sz w:val="20"/>
        </w:rPr>
        <w:t>Dodatkowo warto też wspomnieć, że w ramach Krajowego Programu Działań na rzecz Równego Traktowania 2022-2030 przewidywana jest także, r</w:t>
      </w:r>
      <w:r w:rsidRPr="007B0FBA">
        <w:rPr>
          <w:rFonts w:ascii="Lato" w:hAnsi="Lato"/>
          <w:sz w:val="20"/>
        </w:rPr>
        <w:t xml:space="preserve">ealizacja kampanii edukacyjnych na stronach internetowych i w mediach społecznościowych na temat starzenia się. </w:t>
      </w:r>
    </w:p>
    <w:p w14:paraId="18421A91" w14:textId="77777777" w:rsidR="00EA0165" w:rsidRDefault="00EA0165" w:rsidP="004F5101">
      <w:pPr>
        <w:spacing w:after="0" w:line="240" w:lineRule="auto"/>
        <w:jc w:val="both"/>
        <w:rPr>
          <w:rFonts w:ascii="Lato" w:hAnsi="Lato"/>
          <w:sz w:val="20"/>
        </w:rPr>
      </w:pPr>
    </w:p>
    <w:p w14:paraId="5109D4F6" w14:textId="74F3EE1C" w:rsidR="00EA0165" w:rsidRPr="00AA385B" w:rsidRDefault="00EA0165" w:rsidP="00AA385B">
      <w:pPr>
        <w:pStyle w:val="Akapitzlist"/>
        <w:spacing w:after="0" w:line="240" w:lineRule="auto"/>
        <w:ind w:left="0"/>
        <w:jc w:val="both"/>
        <w:rPr>
          <w:rFonts w:ascii="Lato" w:hAnsi="Lato"/>
          <w:sz w:val="20"/>
        </w:rPr>
      </w:pPr>
      <w:r w:rsidRPr="00A06D23">
        <w:rPr>
          <w:rFonts w:ascii="Lato" w:hAnsi="Lato"/>
          <w:sz w:val="20"/>
        </w:rPr>
        <w:t>Ponadto w Biurze Pełnomocnika Rządu</w:t>
      </w:r>
      <w:r>
        <w:rPr>
          <w:rFonts w:ascii="Lato" w:hAnsi="Lato"/>
          <w:sz w:val="20"/>
        </w:rPr>
        <w:t xml:space="preserve"> do Spraw Równego Traktowania</w:t>
      </w:r>
      <w:r w:rsidRPr="009B2183">
        <w:rPr>
          <w:rFonts w:ascii="Lato" w:hAnsi="Lato"/>
          <w:sz w:val="20"/>
        </w:rPr>
        <w:t xml:space="preserve"> </w:t>
      </w:r>
      <w:r>
        <w:rPr>
          <w:rFonts w:ascii="Lato" w:hAnsi="Lato"/>
          <w:sz w:val="20"/>
        </w:rPr>
        <w:t xml:space="preserve">realizowane są również zadania z obszaru przeciwdziałania przemocy domowej. </w:t>
      </w:r>
      <w:r>
        <w:rPr>
          <w:rFonts w:ascii="Lato" w:hAnsi="Lato"/>
          <w:color w:val="000000"/>
          <w:sz w:val="20"/>
          <w:szCs w:val="20"/>
        </w:rPr>
        <w:t>Realizacja tych zadań opiera się na</w:t>
      </w:r>
      <w:r w:rsidRPr="00CD5319">
        <w:rPr>
          <w:rFonts w:ascii="Lato" w:hAnsi="Lato"/>
          <w:color w:val="000000"/>
          <w:sz w:val="20"/>
          <w:szCs w:val="20"/>
        </w:rPr>
        <w:t xml:space="preserve"> rozwiązania</w:t>
      </w:r>
      <w:r>
        <w:rPr>
          <w:rFonts w:ascii="Lato" w:hAnsi="Lato"/>
          <w:color w:val="000000"/>
          <w:sz w:val="20"/>
          <w:szCs w:val="20"/>
        </w:rPr>
        <w:t>ch</w:t>
      </w:r>
      <w:r w:rsidRPr="00CD5319">
        <w:rPr>
          <w:rFonts w:ascii="Lato" w:hAnsi="Lato"/>
          <w:color w:val="000000"/>
          <w:sz w:val="20"/>
          <w:szCs w:val="20"/>
        </w:rPr>
        <w:t xml:space="preserve"> zapewniając</w:t>
      </w:r>
      <w:r>
        <w:rPr>
          <w:rFonts w:ascii="Lato" w:hAnsi="Lato"/>
          <w:color w:val="000000"/>
          <w:sz w:val="20"/>
          <w:szCs w:val="20"/>
        </w:rPr>
        <w:t>ych</w:t>
      </w:r>
      <w:r w:rsidRPr="00CD5319">
        <w:rPr>
          <w:rFonts w:ascii="Lato" w:hAnsi="Lato"/>
          <w:color w:val="000000"/>
          <w:sz w:val="20"/>
          <w:szCs w:val="20"/>
        </w:rPr>
        <w:t xml:space="preserve"> różnorodne formy pomocy osobom doznającym przemocy. Działania na rzecz przeciwdziałania przemocy</w:t>
      </w:r>
      <w:r>
        <w:rPr>
          <w:rFonts w:ascii="Lato" w:hAnsi="Lato"/>
          <w:color w:val="000000"/>
          <w:sz w:val="20"/>
          <w:szCs w:val="20"/>
        </w:rPr>
        <w:t xml:space="preserve"> </w:t>
      </w:r>
      <w:r w:rsidRPr="00CD5319">
        <w:rPr>
          <w:rFonts w:ascii="Lato" w:hAnsi="Lato"/>
          <w:color w:val="000000"/>
          <w:sz w:val="20"/>
          <w:szCs w:val="20"/>
        </w:rPr>
        <w:t xml:space="preserve"> uregulowane są: </w:t>
      </w:r>
    </w:p>
    <w:p w14:paraId="118D9752" w14:textId="77777777" w:rsidR="00EA0165" w:rsidRPr="00EA0165" w:rsidRDefault="00EA0165" w:rsidP="004F5101">
      <w:pPr>
        <w:pStyle w:val="Akapitzlist"/>
        <w:numPr>
          <w:ilvl w:val="0"/>
          <w:numId w:val="142"/>
        </w:numPr>
        <w:autoSpaceDE w:val="0"/>
        <w:autoSpaceDN w:val="0"/>
        <w:adjustRightInd w:val="0"/>
        <w:spacing w:after="0" w:line="240" w:lineRule="auto"/>
        <w:jc w:val="both"/>
        <w:rPr>
          <w:rFonts w:ascii="Lato" w:eastAsia="Calibri" w:hAnsi="Lato"/>
          <w:color w:val="000000"/>
          <w:sz w:val="20"/>
          <w:szCs w:val="20"/>
        </w:rPr>
      </w:pPr>
      <w:r w:rsidRPr="00EA0165">
        <w:rPr>
          <w:rFonts w:ascii="Lato" w:eastAsia="Calibri" w:hAnsi="Lato"/>
          <w:color w:val="000000"/>
          <w:sz w:val="20"/>
          <w:szCs w:val="20"/>
        </w:rPr>
        <w:t xml:space="preserve">w ustawie </w:t>
      </w:r>
      <w:r w:rsidRPr="00EA0165">
        <w:rPr>
          <w:rFonts w:ascii="Lato" w:hAnsi="Lato"/>
          <w:color w:val="000000"/>
          <w:sz w:val="20"/>
        </w:rPr>
        <w:t xml:space="preserve"> z dnia 9 marca 2023 r. o zmianie ustawy o przeciwdziałaniu przemocy w rodzinie oraz niektórych innych ustaw (Dz. U. z 2023 r. poz. 535);</w:t>
      </w:r>
    </w:p>
    <w:p w14:paraId="6CD722EC" w14:textId="2E085ABC" w:rsidR="00EA0165" w:rsidRPr="00EA0165" w:rsidRDefault="00EA0165" w:rsidP="004F5101">
      <w:pPr>
        <w:pStyle w:val="Akapitzlist"/>
        <w:numPr>
          <w:ilvl w:val="0"/>
          <w:numId w:val="142"/>
        </w:numPr>
        <w:autoSpaceDE w:val="0"/>
        <w:autoSpaceDN w:val="0"/>
        <w:adjustRightInd w:val="0"/>
        <w:spacing w:after="0" w:line="240" w:lineRule="auto"/>
        <w:jc w:val="both"/>
        <w:rPr>
          <w:rFonts w:ascii="Lato" w:eastAsia="Calibri" w:hAnsi="Lato"/>
          <w:color w:val="000000"/>
          <w:sz w:val="20"/>
          <w:szCs w:val="20"/>
        </w:rPr>
      </w:pPr>
      <w:r w:rsidRPr="00EA0165">
        <w:rPr>
          <w:rFonts w:ascii="Lato" w:eastAsia="Calibri" w:hAnsi="Lato"/>
          <w:color w:val="000000"/>
          <w:sz w:val="20"/>
          <w:szCs w:val="20"/>
        </w:rPr>
        <w:t>w Krajowym Programie Przeciwdziałania Przemocy w Rodzinie na rok 2022 przyjętym uchwałą nr 183 Rady Ministrów z dnia 21 grudnia 2021 r. (M.P. 2021 poz. 1203).</w:t>
      </w:r>
    </w:p>
    <w:p w14:paraId="1463A5CF" w14:textId="77777777" w:rsidR="00EA0165" w:rsidRPr="00F62F81" w:rsidRDefault="00EA0165" w:rsidP="004F5101">
      <w:pPr>
        <w:autoSpaceDE w:val="0"/>
        <w:autoSpaceDN w:val="0"/>
        <w:adjustRightInd w:val="0"/>
        <w:spacing w:after="0" w:line="240" w:lineRule="auto"/>
        <w:ind w:left="720"/>
        <w:jc w:val="both"/>
        <w:rPr>
          <w:rFonts w:ascii="Lato" w:eastAsia="Calibri" w:hAnsi="Lato"/>
          <w:color w:val="000000"/>
          <w:sz w:val="20"/>
          <w:szCs w:val="20"/>
        </w:rPr>
      </w:pPr>
    </w:p>
    <w:p w14:paraId="4DDCAEC5" w14:textId="23AFCB3F" w:rsidR="00EA0165" w:rsidRDefault="00EA0165" w:rsidP="004F5101">
      <w:pPr>
        <w:autoSpaceDE w:val="0"/>
        <w:autoSpaceDN w:val="0"/>
        <w:adjustRightInd w:val="0"/>
        <w:spacing w:after="0" w:line="240" w:lineRule="auto"/>
        <w:jc w:val="both"/>
        <w:rPr>
          <w:rFonts w:ascii="Lato" w:eastAsia="Calibri" w:hAnsi="Lato"/>
          <w:color w:val="000000"/>
          <w:sz w:val="20"/>
          <w:szCs w:val="20"/>
        </w:rPr>
      </w:pPr>
      <w:r w:rsidRPr="009744F5">
        <w:rPr>
          <w:rFonts w:ascii="Lato" w:eastAsia="Calibri" w:hAnsi="Lato"/>
          <w:color w:val="000000"/>
          <w:sz w:val="20"/>
          <w:szCs w:val="20"/>
        </w:rPr>
        <w:t xml:space="preserve">Regulacje zawarte w wymienionych aktach prawnych są tak skonstruowane, aby można się do nich odwołać w przypadku wszystkich kategorii osób doznających przemocy </w:t>
      </w:r>
      <w:r>
        <w:rPr>
          <w:rFonts w:ascii="Lato" w:eastAsia="Calibri" w:hAnsi="Lato"/>
          <w:color w:val="000000"/>
          <w:sz w:val="20"/>
          <w:szCs w:val="20"/>
        </w:rPr>
        <w:t>domowej</w:t>
      </w:r>
      <w:r w:rsidRPr="009744F5">
        <w:rPr>
          <w:rFonts w:ascii="Lato" w:eastAsia="Calibri" w:hAnsi="Lato"/>
          <w:color w:val="000000"/>
          <w:sz w:val="20"/>
          <w:szCs w:val="20"/>
        </w:rPr>
        <w:t>, w tym kobiet,</w:t>
      </w:r>
      <w:r>
        <w:rPr>
          <w:rFonts w:ascii="Lato" w:eastAsia="Calibri" w:hAnsi="Lato"/>
          <w:color w:val="000000"/>
          <w:sz w:val="20"/>
          <w:szCs w:val="20"/>
        </w:rPr>
        <w:t xml:space="preserve"> </w:t>
      </w:r>
      <w:r w:rsidRPr="009744F5">
        <w:rPr>
          <w:rFonts w:ascii="Lato" w:eastAsia="Calibri" w:hAnsi="Lato"/>
          <w:color w:val="000000"/>
          <w:sz w:val="20"/>
          <w:szCs w:val="20"/>
        </w:rPr>
        <w:t xml:space="preserve">mężczyzn, dzieci, osób starszych czy osób niepełnosprawnych.  </w:t>
      </w:r>
    </w:p>
    <w:p w14:paraId="2A14F38C" w14:textId="4D029BF0" w:rsidR="00EA0165" w:rsidRDefault="00EA0165" w:rsidP="004F5101">
      <w:pPr>
        <w:autoSpaceDE w:val="0"/>
        <w:autoSpaceDN w:val="0"/>
        <w:adjustRightInd w:val="0"/>
        <w:spacing w:after="0" w:line="240" w:lineRule="auto"/>
        <w:jc w:val="both"/>
        <w:rPr>
          <w:rFonts w:ascii="Lato" w:eastAsia="Calibri" w:hAnsi="Lato"/>
          <w:color w:val="000000"/>
          <w:sz w:val="20"/>
          <w:szCs w:val="20"/>
        </w:rPr>
      </w:pPr>
    </w:p>
    <w:p w14:paraId="426E463C" w14:textId="1A838C08" w:rsidR="00AA385B" w:rsidRPr="00AA385B" w:rsidRDefault="00AA385B" w:rsidP="00AA385B">
      <w:pPr>
        <w:autoSpaceDE w:val="0"/>
        <w:autoSpaceDN w:val="0"/>
        <w:adjustRightInd w:val="0"/>
        <w:spacing w:after="0" w:line="240" w:lineRule="auto"/>
        <w:jc w:val="both"/>
        <w:rPr>
          <w:rFonts w:ascii="Lato" w:eastAsia="Calibri" w:hAnsi="Lato"/>
          <w:color w:val="000000"/>
          <w:sz w:val="20"/>
          <w:szCs w:val="20"/>
        </w:rPr>
      </w:pPr>
      <w:r w:rsidRPr="00AA385B">
        <w:rPr>
          <w:rFonts w:ascii="Lato" w:eastAsia="Calibri" w:hAnsi="Lato"/>
          <w:color w:val="000000"/>
          <w:sz w:val="20"/>
          <w:szCs w:val="20"/>
        </w:rPr>
        <w:t xml:space="preserve">Na podstawie przepisów ustawy o przeciwdziałaniu przemocy domowej, pomoc w każdym indywidualnym przypadku udzielana jest w oparciu o procedurę „Niebieskie Karty”. Procedura ta obejmuje ogół czynności podejmowanych i realizowanych przez przedstawicieli: jednostek organizacyjnych pomocy społecznej, gminnych komisji rozwiązywania problemów alkoholowych, Policji, oświaty, ochrony zdrowia – w związku z uzasadnionym podejrzeniem zaistnienia przemocy w rodzinie, tj. w przypadku powzięcia, w toku prowadzonych czynności służbowych lub zawodowych, podejrzenia stosowania przemocy wobec </w:t>
      </w:r>
      <w:r w:rsidRPr="00AA385B">
        <w:rPr>
          <w:rFonts w:ascii="Lato" w:eastAsia="Calibri" w:hAnsi="Lato"/>
          <w:color w:val="000000"/>
          <w:sz w:val="20"/>
          <w:szCs w:val="20"/>
        </w:rPr>
        <w:lastRenderedPageBreak/>
        <w:t>członków rodziny lub w wyniku zgłoszenia dokonanego przez członka rodziny lub przez osobę będącą świadkiem przemocy w rodzinie. Wszczęcie procedury „Niebieskie Karty” następuje poprzez wypełnienie formularza „Niebieska Karta-A” przez przedstawiciela jednego z określonych podmiotów (wymienionych w art. 9a ust. 11-11d ustawy o przeciwdziałaniu przemocy domowej).</w:t>
      </w:r>
    </w:p>
    <w:p w14:paraId="1B893FCB" w14:textId="77777777" w:rsidR="00AA385B" w:rsidRPr="00AA385B" w:rsidRDefault="00AA385B" w:rsidP="00AA385B">
      <w:pPr>
        <w:autoSpaceDE w:val="0"/>
        <w:autoSpaceDN w:val="0"/>
        <w:adjustRightInd w:val="0"/>
        <w:spacing w:after="0" w:line="240" w:lineRule="auto"/>
        <w:jc w:val="both"/>
        <w:rPr>
          <w:rFonts w:ascii="Lato" w:eastAsia="Calibri" w:hAnsi="Lato"/>
          <w:color w:val="000000"/>
          <w:sz w:val="20"/>
          <w:szCs w:val="20"/>
        </w:rPr>
      </w:pPr>
    </w:p>
    <w:p w14:paraId="7B6119F9" w14:textId="111030E6" w:rsidR="00AA385B" w:rsidRPr="00AA385B" w:rsidRDefault="00AA385B" w:rsidP="00AA385B">
      <w:pPr>
        <w:autoSpaceDE w:val="0"/>
        <w:autoSpaceDN w:val="0"/>
        <w:adjustRightInd w:val="0"/>
        <w:spacing w:after="0" w:line="240" w:lineRule="auto"/>
        <w:jc w:val="both"/>
        <w:rPr>
          <w:rFonts w:ascii="Lato" w:eastAsia="Calibri" w:hAnsi="Lato"/>
          <w:color w:val="000000"/>
          <w:sz w:val="20"/>
          <w:szCs w:val="20"/>
        </w:rPr>
      </w:pPr>
      <w:r w:rsidRPr="00AA385B">
        <w:rPr>
          <w:rFonts w:ascii="Lato" w:eastAsia="Calibri" w:hAnsi="Lato"/>
          <w:color w:val="000000"/>
          <w:sz w:val="20"/>
          <w:szCs w:val="20"/>
        </w:rPr>
        <w:t xml:space="preserve">Krajowy Program Przeciwdziałania Przemocy w Rodzinie obowiązuje od 2006 r., pierwotnie do jego opracowania obligował przepis art. 10 ustawy z dnia 29 lipca 2005 r. o przeciwdziałaniu przemocy w rodzinie, zaś od 2022 r. – art. 10 ust. 1 w ustawy </w:t>
      </w:r>
      <w:r w:rsidRPr="00AA385B">
        <w:rPr>
          <w:rFonts w:ascii="Lato" w:hAnsi="Lato"/>
          <w:color w:val="000000"/>
          <w:sz w:val="20"/>
          <w:szCs w:val="20"/>
        </w:rPr>
        <w:t xml:space="preserve"> z dnia 9 marca 2023 r. o zmianie ustawy o przeciwdziałaniu przemocy w rodzinie oraz niektórych innych ustaw (Dz. U. z 2023 r. poz. 535). </w:t>
      </w:r>
      <w:r w:rsidRPr="00AA385B">
        <w:rPr>
          <w:rFonts w:ascii="Lato" w:eastAsia="Calibri" w:hAnsi="Lato"/>
          <w:color w:val="000000"/>
          <w:sz w:val="20"/>
          <w:szCs w:val="20"/>
        </w:rPr>
        <w:t xml:space="preserve">Krajowy Program Przeciwdziałania Przemocy w Rodzinie jest operacjonalizacją zadań określonych w przepisach tejże ustawy. </w:t>
      </w:r>
    </w:p>
    <w:p w14:paraId="572E4D62" w14:textId="77777777" w:rsidR="00AA385B" w:rsidRPr="00AA385B" w:rsidRDefault="00AA385B" w:rsidP="00AA385B">
      <w:pPr>
        <w:autoSpaceDE w:val="0"/>
        <w:autoSpaceDN w:val="0"/>
        <w:adjustRightInd w:val="0"/>
        <w:spacing w:after="0" w:line="240" w:lineRule="auto"/>
        <w:jc w:val="both"/>
        <w:rPr>
          <w:rFonts w:ascii="Lato" w:eastAsia="Calibri" w:hAnsi="Lato"/>
          <w:color w:val="000000"/>
          <w:sz w:val="20"/>
          <w:szCs w:val="20"/>
        </w:rPr>
      </w:pPr>
    </w:p>
    <w:p w14:paraId="5277307F" w14:textId="77777777" w:rsidR="00AA385B" w:rsidRDefault="00AA385B" w:rsidP="00AA385B">
      <w:pPr>
        <w:spacing w:after="0" w:line="240" w:lineRule="auto"/>
        <w:jc w:val="both"/>
        <w:rPr>
          <w:rFonts w:ascii="Lato" w:eastAsia="Calibri" w:hAnsi="Lato"/>
          <w:color w:val="000000"/>
          <w:sz w:val="20"/>
          <w:szCs w:val="20"/>
        </w:rPr>
      </w:pPr>
      <w:r w:rsidRPr="00AA385B">
        <w:rPr>
          <w:rFonts w:ascii="Lato" w:eastAsia="Calibri" w:hAnsi="Lato"/>
          <w:color w:val="000000"/>
          <w:sz w:val="20"/>
          <w:szCs w:val="20"/>
        </w:rPr>
        <w:t>Program zakłada podejmowanie działań w czterech głównych obszarach:</w:t>
      </w:r>
    </w:p>
    <w:p w14:paraId="00D97527" w14:textId="1AD5A62C" w:rsidR="00AA385B" w:rsidRDefault="00AA385B" w:rsidP="00AA385B">
      <w:pPr>
        <w:pStyle w:val="Akapitzlist"/>
        <w:numPr>
          <w:ilvl w:val="0"/>
          <w:numId w:val="246"/>
        </w:numPr>
        <w:spacing w:after="0" w:line="240" w:lineRule="auto"/>
        <w:jc w:val="both"/>
        <w:rPr>
          <w:rFonts w:ascii="Lato" w:eastAsia="Calibri" w:hAnsi="Lato"/>
          <w:color w:val="000000"/>
          <w:sz w:val="20"/>
          <w:szCs w:val="20"/>
        </w:rPr>
      </w:pPr>
      <w:r w:rsidRPr="00AA385B">
        <w:rPr>
          <w:rFonts w:ascii="Lato" w:hAnsi="Lato"/>
          <w:color w:val="000000"/>
          <w:sz w:val="20"/>
          <w:szCs w:val="20"/>
        </w:rPr>
        <w:t>zintensyfikowanie działań profilaktycznych w zakresie przeciwdziałania przemocy domowej</w:t>
      </w:r>
      <w:r>
        <w:rPr>
          <w:rFonts w:ascii="Lato" w:hAnsi="Lato"/>
          <w:color w:val="000000"/>
          <w:sz w:val="20"/>
          <w:szCs w:val="20"/>
        </w:rPr>
        <w:t>;</w:t>
      </w:r>
    </w:p>
    <w:p w14:paraId="365FC2CA" w14:textId="7E89834C" w:rsidR="00AA385B" w:rsidRDefault="00AA385B" w:rsidP="00AA385B">
      <w:pPr>
        <w:pStyle w:val="Akapitzlist"/>
        <w:numPr>
          <w:ilvl w:val="0"/>
          <w:numId w:val="246"/>
        </w:numPr>
        <w:spacing w:after="0" w:line="240" w:lineRule="auto"/>
        <w:jc w:val="both"/>
        <w:rPr>
          <w:rFonts w:ascii="Lato" w:eastAsia="Calibri" w:hAnsi="Lato"/>
          <w:color w:val="000000"/>
          <w:sz w:val="20"/>
          <w:szCs w:val="20"/>
        </w:rPr>
      </w:pPr>
      <w:r w:rsidRPr="00AA385B">
        <w:rPr>
          <w:rFonts w:ascii="Lato" w:hAnsi="Lato"/>
          <w:color w:val="000000"/>
          <w:sz w:val="20"/>
          <w:szCs w:val="20"/>
        </w:rPr>
        <w:t>zwiększenie dostępności i skuteczności ochrony oraz wsparcia osób dotkniętych przemocą domową</w:t>
      </w:r>
      <w:r>
        <w:rPr>
          <w:rFonts w:ascii="Lato" w:hAnsi="Lato"/>
          <w:color w:val="000000"/>
          <w:sz w:val="20"/>
          <w:szCs w:val="20"/>
        </w:rPr>
        <w:t>;</w:t>
      </w:r>
    </w:p>
    <w:p w14:paraId="6F4F989C" w14:textId="3319C4E3" w:rsidR="00AA385B" w:rsidRDefault="00AA385B" w:rsidP="00AA385B">
      <w:pPr>
        <w:pStyle w:val="Akapitzlist"/>
        <w:numPr>
          <w:ilvl w:val="0"/>
          <w:numId w:val="246"/>
        </w:numPr>
        <w:spacing w:after="0" w:line="240" w:lineRule="auto"/>
        <w:jc w:val="both"/>
        <w:rPr>
          <w:rFonts w:ascii="Lato" w:eastAsia="Calibri" w:hAnsi="Lato"/>
          <w:color w:val="000000"/>
          <w:sz w:val="20"/>
          <w:szCs w:val="20"/>
        </w:rPr>
      </w:pPr>
      <w:r w:rsidRPr="00AA385B">
        <w:rPr>
          <w:rFonts w:ascii="Lato" w:hAnsi="Lato"/>
          <w:color w:val="000000"/>
          <w:sz w:val="20"/>
          <w:szCs w:val="20"/>
        </w:rPr>
        <w:t>zwiększenie skuteczności oddziaływań wobec osób stosujących przemoc domową</w:t>
      </w:r>
      <w:r>
        <w:rPr>
          <w:rFonts w:ascii="Lato" w:hAnsi="Lato"/>
          <w:color w:val="000000"/>
          <w:sz w:val="20"/>
          <w:szCs w:val="20"/>
        </w:rPr>
        <w:t>;</w:t>
      </w:r>
    </w:p>
    <w:p w14:paraId="05BF8C20" w14:textId="4D94C247" w:rsidR="00AA385B" w:rsidRPr="00AA385B" w:rsidRDefault="00AA385B" w:rsidP="00AA385B">
      <w:pPr>
        <w:pStyle w:val="Akapitzlist"/>
        <w:numPr>
          <w:ilvl w:val="0"/>
          <w:numId w:val="246"/>
        </w:numPr>
        <w:spacing w:after="0" w:line="240" w:lineRule="auto"/>
        <w:jc w:val="both"/>
        <w:rPr>
          <w:rFonts w:ascii="Lato" w:eastAsia="Calibri" w:hAnsi="Lato"/>
          <w:color w:val="000000"/>
          <w:sz w:val="20"/>
          <w:szCs w:val="20"/>
        </w:rPr>
      </w:pPr>
      <w:r w:rsidRPr="00AA385B">
        <w:rPr>
          <w:rFonts w:ascii="Lato" w:hAnsi="Lato"/>
          <w:color w:val="000000"/>
          <w:sz w:val="20"/>
          <w:szCs w:val="20"/>
        </w:rPr>
        <w:t xml:space="preserve">zwiększenie poziomu kompetencji przedstawicieli instytucji i podmiotów realizujących zadania z zakresu przeciwdziałania przemocy domowej w celu podniesienia jakości i dostępności świadczonych usług. </w:t>
      </w:r>
    </w:p>
    <w:p w14:paraId="6D7F29AA" w14:textId="77777777" w:rsidR="00AA385B" w:rsidRPr="00AA385B" w:rsidRDefault="00AA385B" w:rsidP="00AA385B">
      <w:pPr>
        <w:pStyle w:val="Akapitzlist"/>
        <w:tabs>
          <w:tab w:val="left" w:pos="0"/>
        </w:tabs>
        <w:spacing w:after="0" w:line="240" w:lineRule="auto"/>
        <w:ind w:left="0"/>
        <w:jc w:val="both"/>
        <w:rPr>
          <w:rFonts w:ascii="Lato" w:hAnsi="Lato"/>
          <w:color w:val="000000"/>
          <w:sz w:val="20"/>
          <w:szCs w:val="20"/>
        </w:rPr>
      </w:pPr>
    </w:p>
    <w:p w14:paraId="2A6E1BF0" w14:textId="4B7EE1B7" w:rsidR="00AA385B" w:rsidRDefault="00AA385B" w:rsidP="00AA385B">
      <w:pPr>
        <w:pStyle w:val="Legenda"/>
        <w:keepNext/>
      </w:pPr>
      <w:bookmarkStart w:id="40" w:name="_Toc142565999"/>
      <w:r>
        <w:t xml:space="preserve">Tabela </w:t>
      </w:r>
      <w:fldSimple w:instr=" SEQ Tabela \* ARABIC ">
        <w:r>
          <w:rPr>
            <w:noProof/>
          </w:rPr>
          <w:t>34</w:t>
        </w:r>
      </w:fldSimple>
      <w:r>
        <w:t xml:space="preserve"> Łączna wysokość środków finansowych w ramach Krajowego Programu Przeciwdziałania Przemocy w Rodzinie w latach 2015-2022 (w zł)</w:t>
      </w:r>
      <w:bookmarkEnd w:id="4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938"/>
        <w:gridCol w:w="939"/>
        <w:gridCol w:w="939"/>
        <w:gridCol w:w="939"/>
        <w:gridCol w:w="939"/>
        <w:gridCol w:w="939"/>
        <w:gridCol w:w="939"/>
        <w:gridCol w:w="941"/>
      </w:tblGrid>
      <w:tr w:rsidR="00AA385B" w:rsidRPr="00AA385B" w14:paraId="362098C9" w14:textId="77777777" w:rsidTr="00AA385B">
        <w:trPr>
          <w:cantSplit/>
          <w:trHeight w:val="564"/>
        </w:trPr>
        <w:tc>
          <w:tcPr>
            <w:tcW w:w="855" w:type="pct"/>
            <w:tcBorders>
              <w:top w:val="single" w:sz="4" w:space="0" w:color="000000"/>
              <w:left w:val="single" w:sz="4" w:space="0" w:color="000000"/>
              <w:bottom w:val="single" w:sz="4" w:space="0" w:color="000000"/>
              <w:right w:val="single" w:sz="4" w:space="0" w:color="000000"/>
            </w:tcBorders>
          </w:tcPr>
          <w:p w14:paraId="45F2AB3E" w14:textId="77777777" w:rsidR="00AA385B" w:rsidRPr="00AA385B" w:rsidRDefault="00AA385B" w:rsidP="00AA385B">
            <w:pPr>
              <w:spacing w:after="0" w:line="240" w:lineRule="auto"/>
              <w:jc w:val="center"/>
              <w:rPr>
                <w:rFonts w:ascii="Lato" w:hAnsi="Lato"/>
                <w:b/>
                <w:sz w:val="18"/>
                <w:szCs w:val="18"/>
              </w:rPr>
            </w:pP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09A04876"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hAnsi="Lato"/>
                <w:bCs/>
                <w:sz w:val="18"/>
                <w:szCs w:val="18"/>
              </w:rPr>
              <w:t>2015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65088FA9"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hAnsi="Lato"/>
                <w:bCs/>
                <w:sz w:val="18"/>
                <w:szCs w:val="18"/>
              </w:rPr>
              <w:t>2016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47C3A76"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hAnsi="Lato"/>
                <w:bCs/>
                <w:sz w:val="18"/>
                <w:szCs w:val="18"/>
              </w:rPr>
              <w:t>2017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7CDB8234"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hAnsi="Lato"/>
                <w:bCs/>
                <w:sz w:val="18"/>
                <w:szCs w:val="18"/>
              </w:rPr>
              <w:t>2018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0C1EEDB8"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hAnsi="Lato"/>
                <w:bCs/>
                <w:sz w:val="18"/>
                <w:szCs w:val="18"/>
              </w:rPr>
              <w:t>2019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99263D1"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hAnsi="Lato"/>
                <w:sz w:val="18"/>
                <w:szCs w:val="18"/>
              </w:rPr>
              <w:t>2020 r.</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200C16B4"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hAnsi="Lato"/>
                <w:sz w:val="18"/>
                <w:szCs w:val="18"/>
              </w:rPr>
              <w:t>2021 r.</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0ACFBFB3"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hAnsi="Lato"/>
                <w:sz w:val="18"/>
                <w:szCs w:val="18"/>
              </w:rPr>
              <w:t>2022 r.</w:t>
            </w:r>
          </w:p>
        </w:tc>
      </w:tr>
      <w:tr w:rsidR="00AA385B" w:rsidRPr="00AA385B" w14:paraId="3209725C" w14:textId="77777777" w:rsidTr="00AA385B">
        <w:trPr>
          <w:cantSplit/>
          <w:trHeight w:val="617"/>
        </w:trPr>
        <w:tc>
          <w:tcPr>
            <w:tcW w:w="855" w:type="pct"/>
            <w:tcBorders>
              <w:top w:val="single" w:sz="4" w:space="0" w:color="000000"/>
              <w:left w:val="single" w:sz="4" w:space="0" w:color="000000"/>
              <w:bottom w:val="single" w:sz="4" w:space="0" w:color="000000"/>
              <w:right w:val="single" w:sz="4" w:space="0" w:color="000000"/>
            </w:tcBorders>
            <w:vAlign w:val="center"/>
            <w:hideMark/>
          </w:tcPr>
          <w:p w14:paraId="1B921A4F" w14:textId="77777777" w:rsidR="00AA385B" w:rsidRPr="00AA385B" w:rsidRDefault="00AA385B" w:rsidP="00AA385B">
            <w:pPr>
              <w:spacing w:after="0" w:line="240" w:lineRule="auto"/>
              <w:rPr>
                <w:rFonts w:ascii="Lato" w:eastAsia="SimSun" w:hAnsi="Lato"/>
                <w:b/>
                <w:sz w:val="18"/>
                <w:szCs w:val="18"/>
                <w:lang w:eastAsia="zh-CN"/>
              </w:rPr>
            </w:pPr>
            <w:r w:rsidRPr="00AA385B">
              <w:rPr>
                <w:rFonts w:ascii="Lato" w:eastAsia="SimSun" w:hAnsi="Lato"/>
                <w:b/>
                <w:sz w:val="18"/>
                <w:szCs w:val="18"/>
                <w:lang w:eastAsia="zh-CN"/>
              </w:rPr>
              <w:t>OGÓŁEM</w:t>
            </w:r>
          </w:p>
          <w:p w14:paraId="4F080085" w14:textId="77777777" w:rsidR="00AA385B" w:rsidRPr="00AA385B" w:rsidRDefault="00AA385B" w:rsidP="00AA385B">
            <w:pPr>
              <w:spacing w:after="0" w:line="240" w:lineRule="auto"/>
              <w:rPr>
                <w:rFonts w:ascii="Lato" w:eastAsia="SimSun" w:hAnsi="Lato"/>
                <w:bCs/>
                <w:sz w:val="18"/>
                <w:szCs w:val="18"/>
                <w:lang w:eastAsia="zh-CN"/>
              </w:rPr>
            </w:pPr>
            <w:r w:rsidRPr="00AA385B">
              <w:rPr>
                <w:rFonts w:ascii="Lato" w:eastAsia="SimSun" w:hAnsi="Lato"/>
                <w:bCs/>
                <w:sz w:val="18"/>
                <w:szCs w:val="18"/>
                <w:lang w:eastAsia="zh-CN"/>
              </w:rPr>
              <w:t xml:space="preserve">        z tego:</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0108D486"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16 600 000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4ACDC2DD"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16 570 000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52B97C3D"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18 926 000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0E0214E"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20 229 000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216A6B74"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23 356 000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0AA90AE0"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eastAsia="SimSun" w:hAnsi="Lato"/>
                <w:sz w:val="18"/>
                <w:szCs w:val="18"/>
                <w:lang w:eastAsia="zh-CN"/>
              </w:rPr>
              <w:t>23 252 000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212DCAA"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eastAsia="SimSun" w:hAnsi="Lato"/>
                <w:sz w:val="18"/>
                <w:szCs w:val="18"/>
                <w:lang w:eastAsia="zh-CN"/>
              </w:rPr>
              <w:t>22 748 000</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78A81C74" w14:textId="77777777" w:rsidR="00AA385B" w:rsidRPr="00AA385B" w:rsidRDefault="00AA385B" w:rsidP="00AA385B">
            <w:pPr>
              <w:spacing w:after="0" w:line="240" w:lineRule="auto"/>
              <w:jc w:val="center"/>
              <w:rPr>
                <w:rFonts w:ascii="Lato" w:eastAsia="SimSun" w:hAnsi="Lato"/>
                <w:sz w:val="18"/>
                <w:szCs w:val="18"/>
                <w:lang w:eastAsia="zh-CN"/>
              </w:rPr>
            </w:pPr>
            <w:r w:rsidRPr="00AA385B">
              <w:rPr>
                <w:rFonts w:ascii="Lato" w:eastAsia="SimSun" w:hAnsi="Lato"/>
                <w:sz w:val="18"/>
                <w:szCs w:val="18"/>
                <w:lang w:eastAsia="zh-CN"/>
              </w:rPr>
              <w:t>25 165 900</w:t>
            </w:r>
          </w:p>
        </w:tc>
      </w:tr>
      <w:tr w:rsidR="00AA385B" w:rsidRPr="00AA385B" w14:paraId="6A6CBE22" w14:textId="77777777" w:rsidTr="00AA385B">
        <w:trPr>
          <w:cantSplit/>
          <w:trHeight w:val="617"/>
        </w:trPr>
        <w:tc>
          <w:tcPr>
            <w:tcW w:w="855" w:type="pct"/>
            <w:tcBorders>
              <w:top w:val="single" w:sz="4" w:space="0" w:color="000000"/>
              <w:left w:val="single" w:sz="4" w:space="0" w:color="000000"/>
              <w:bottom w:val="single" w:sz="4" w:space="0" w:color="000000"/>
              <w:right w:val="single" w:sz="4" w:space="0" w:color="000000"/>
            </w:tcBorders>
            <w:vAlign w:val="center"/>
            <w:hideMark/>
          </w:tcPr>
          <w:p w14:paraId="2F74F25D" w14:textId="77777777" w:rsidR="00AA385B" w:rsidRPr="00AA385B" w:rsidRDefault="00AA385B" w:rsidP="00AA385B">
            <w:pPr>
              <w:spacing w:after="0" w:line="240" w:lineRule="auto"/>
              <w:rPr>
                <w:rFonts w:ascii="Lato" w:eastAsia="SimSun" w:hAnsi="Lato"/>
                <w:bCs/>
                <w:sz w:val="18"/>
                <w:szCs w:val="18"/>
                <w:lang w:eastAsia="zh-CN"/>
              </w:rPr>
            </w:pPr>
            <w:r w:rsidRPr="00AA385B">
              <w:rPr>
                <w:rFonts w:ascii="Lato" w:eastAsia="SimSun" w:hAnsi="Lato"/>
                <w:bCs/>
                <w:sz w:val="18"/>
                <w:szCs w:val="18"/>
                <w:lang w:eastAsia="zh-CN"/>
              </w:rPr>
              <w:t xml:space="preserve">   </w:t>
            </w:r>
            <w:proofErr w:type="spellStart"/>
            <w:r w:rsidRPr="00AA385B">
              <w:rPr>
                <w:rFonts w:ascii="Lato" w:eastAsia="SimSun" w:hAnsi="Lato"/>
                <w:bCs/>
                <w:sz w:val="18"/>
                <w:szCs w:val="18"/>
                <w:lang w:eastAsia="zh-CN"/>
              </w:rPr>
              <w:t>MRiPS</w:t>
            </w:r>
            <w:proofErr w:type="spellEnd"/>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482A371"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2C4EEBC"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170 000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28075D1E"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250 000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D8C11EE"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41989C9F"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600 000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6BD4C57"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400 000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77267181"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200 000</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18DD6225"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450 000</w:t>
            </w:r>
          </w:p>
        </w:tc>
      </w:tr>
      <w:tr w:rsidR="00AA385B" w:rsidRPr="00AA385B" w14:paraId="127AD210" w14:textId="77777777" w:rsidTr="00AA385B">
        <w:trPr>
          <w:cantSplit/>
          <w:trHeight w:val="617"/>
        </w:trPr>
        <w:tc>
          <w:tcPr>
            <w:tcW w:w="855" w:type="pct"/>
            <w:tcBorders>
              <w:top w:val="single" w:sz="4" w:space="0" w:color="000000"/>
              <w:left w:val="single" w:sz="4" w:space="0" w:color="000000"/>
              <w:bottom w:val="single" w:sz="4" w:space="0" w:color="000000"/>
              <w:right w:val="single" w:sz="4" w:space="0" w:color="000000"/>
            </w:tcBorders>
            <w:vAlign w:val="center"/>
            <w:hideMark/>
          </w:tcPr>
          <w:p w14:paraId="68C71A95" w14:textId="77777777" w:rsidR="00AA385B" w:rsidRPr="00AA385B" w:rsidRDefault="00AA385B" w:rsidP="00AA385B">
            <w:pPr>
              <w:spacing w:after="0" w:line="240" w:lineRule="auto"/>
              <w:rPr>
                <w:rFonts w:ascii="Lato" w:eastAsia="SimSun" w:hAnsi="Lato"/>
                <w:bCs/>
                <w:sz w:val="18"/>
                <w:szCs w:val="18"/>
                <w:lang w:eastAsia="zh-CN"/>
              </w:rPr>
            </w:pPr>
            <w:r w:rsidRPr="00AA385B">
              <w:rPr>
                <w:rFonts w:ascii="Lato" w:eastAsia="SimSun" w:hAnsi="Lato"/>
                <w:bCs/>
                <w:sz w:val="18"/>
                <w:szCs w:val="18"/>
                <w:lang w:eastAsia="zh-CN"/>
              </w:rPr>
              <w:t xml:space="preserve">               wojewodowie</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953A61D"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16 400 000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59187429"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16 400 000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A2D29A1"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18 336 000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51A2CC12"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19 689 000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6D7BAC6C"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22 416 000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C929BED"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22 512 000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5F74B421"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22 208 000</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1B2F3872"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24 375 900</w:t>
            </w:r>
          </w:p>
        </w:tc>
      </w:tr>
      <w:tr w:rsidR="00AA385B" w:rsidRPr="00AA385B" w14:paraId="6ED20233" w14:textId="77777777" w:rsidTr="00AA385B">
        <w:trPr>
          <w:cantSplit/>
          <w:trHeight w:val="617"/>
        </w:trPr>
        <w:tc>
          <w:tcPr>
            <w:tcW w:w="855" w:type="pct"/>
            <w:tcBorders>
              <w:top w:val="single" w:sz="4" w:space="0" w:color="000000"/>
              <w:left w:val="single" w:sz="4" w:space="0" w:color="000000"/>
              <w:bottom w:val="single" w:sz="4" w:space="0" w:color="000000"/>
              <w:right w:val="single" w:sz="4" w:space="0" w:color="000000"/>
            </w:tcBorders>
            <w:vAlign w:val="center"/>
            <w:hideMark/>
          </w:tcPr>
          <w:p w14:paraId="0CD96637" w14:textId="77777777" w:rsidR="00AA385B" w:rsidRPr="00AA385B" w:rsidRDefault="00AA385B" w:rsidP="00AA385B">
            <w:pPr>
              <w:spacing w:after="0" w:line="240" w:lineRule="auto"/>
              <w:rPr>
                <w:rFonts w:ascii="Lato" w:eastAsia="SimSun" w:hAnsi="Lato"/>
                <w:bCs/>
                <w:sz w:val="18"/>
                <w:szCs w:val="18"/>
                <w:lang w:eastAsia="zh-CN"/>
              </w:rPr>
            </w:pPr>
            <w:r w:rsidRPr="00AA385B">
              <w:rPr>
                <w:rFonts w:ascii="Lato" w:eastAsia="SimSun" w:hAnsi="Lato"/>
                <w:bCs/>
                <w:sz w:val="18"/>
                <w:szCs w:val="18"/>
                <w:lang w:eastAsia="zh-CN"/>
              </w:rPr>
              <w:t xml:space="preserve">      MZ</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0B32FA84"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DC145B6"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A9C33F4"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1581F381"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356769DD"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5B55207F"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14:paraId="6BCC807A"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1F69A815" w14:textId="77777777" w:rsidR="00AA385B" w:rsidRPr="00AA385B" w:rsidRDefault="00AA385B" w:rsidP="00AA385B">
            <w:pPr>
              <w:spacing w:after="0" w:line="240" w:lineRule="auto"/>
              <w:jc w:val="center"/>
              <w:rPr>
                <w:rFonts w:ascii="Lato" w:eastAsia="SimSun" w:hAnsi="Lato"/>
                <w:bCs/>
                <w:sz w:val="18"/>
                <w:szCs w:val="18"/>
                <w:lang w:eastAsia="zh-CN"/>
              </w:rPr>
            </w:pPr>
            <w:r w:rsidRPr="00AA385B">
              <w:rPr>
                <w:rFonts w:ascii="Lato" w:eastAsia="SimSun" w:hAnsi="Lato"/>
                <w:bCs/>
                <w:sz w:val="18"/>
                <w:szCs w:val="18"/>
                <w:lang w:eastAsia="zh-CN"/>
              </w:rPr>
              <w:t>340 000</w:t>
            </w:r>
          </w:p>
        </w:tc>
      </w:tr>
    </w:tbl>
    <w:p w14:paraId="09AB47BB" w14:textId="5C1EB400" w:rsidR="00AA385B" w:rsidRPr="00AA385B" w:rsidRDefault="00AA385B" w:rsidP="00AA385B">
      <w:pPr>
        <w:tabs>
          <w:tab w:val="left" w:pos="0"/>
        </w:tabs>
        <w:spacing w:after="0" w:line="240" w:lineRule="auto"/>
        <w:rPr>
          <w:rFonts w:ascii="Lato" w:eastAsia="Times New Roman" w:hAnsi="Lato"/>
          <w:color w:val="000000"/>
          <w:sz w:val="16"/>
          <w:szCs w:val="16"/>
          <w:lang w:eastAsia="pl-PL"/>
        </w:rPr>
      </w:pPr>
      <w:r w:rsidRPr="00AA385B">
        <w:rPr>
          <w:rFonts w:ascii="Lato" w:eastAsia="Times New Roman" w:hAnsi="Lato"/>
          <w:color w:val="000000"/>
          <w:sz w:val="16"/>
          <w:szCs w:val="16"/>
          <w:lang w:eastAsia="pl-PL"/>
        </w:rPr>
        <w:t>Źródło: Ministerstwo Rodziny i Polityki Społecznej</w:t>
      </w:r>
    </w:p>
    <w:p w14:paraId="20EC4389" w14:textId="77777777" w:rsidR="00AA385B" w:rsidRPr="00AA385B" w:rsidRDefault="00AA385B" w:rsidP="00AA385B">
      <w:pPr>
        <w:tabs>
          <w:tab w:val="left" w:pos="0"/>
        </w:tabs>
        <w:spacing w:after="0" w:line="240" w:lineRule="auto"/>
        <w:rPr>
          <w:rFonts w:ascii="Lato" w:eastAsia="Times New Roman" w:hAnsi="Lato"/>
          <w:color w:val="000000"/>
          <w:sz w:val="20"/>
          <w:szCs w:val="20"/>
          <w:lang w:eastAsia="pl-PL"/>
        </w:rPr>
      </w:pPr>
    </w:p>
    <w:p w14:paraId="178DEF47" w14:textId="77777777" w:rsidR="00AA385B" w:rsidRDefault="00AA385B" w:rsidP="00AA385B">
      <w:pPr>
        <w:tabs>
          <w:tab w:val="left" w:pos="0"/>
        </w:tabs>
        <w:spacing w:after="0" w:line="240" w:lineRule="auto"/>
        <w:jc w:val="both"/>
        <w:rPr>
          <w:rFonts w:ascii="Lato" w:hAnsi="Lato"/>
          <w:color w:val="000000"/>
          <w:sz w:val="20"/>
          <w:szCs w:val="20"/>
        </w:rPr>
      </w:pPr>
      <w:r w:rsidRPr="00AA385B">
        <w:rPr>
          <w:rFonts w:ascii="Lato" w:hAnsi="Lato"/>
          <w:color w:val="000000"/>
          <w:sz w:val="20"/>
          <w:szCs w:val="20"/>
        </w:rPr>
        <w:t xml:space="preserve">W związku modyfikacją systemu przeciwdziałania przemocy domowej wyrażonej w przepisach ustawy </w:t>
      </w:r>
      <w:r w:rsidRPr="00AA385B">
        <w:rPr>
          <w:rFonts w:ascii="Lato" w:hAnsi="Lato"/>
          <w:color w:val="000000"/>
          <w:sz w:val="20"/>
          <w:szCs w:val="20"/>
        </w:rPr>
        <w:br/>
        <w:t xml:space="preserve">z dnia 9 marca 2023 r. o zmianie ustawy o przeciwdziałaniu przemocy w rodzinie oraz niektórych innych ustaw (Dz. U. z 2023 r. poz. 535), od 2024 r. obowiązywać będzie Rządowy Program Przeciwdziałania Przemocy Domowej opracowany na kolejną perspektywę czasową. Zakłada się, że kolejna perspektywa czasowa obejmować będzie lata 2024-2030. </w:t>
      </w:r>
    </w:p>
    <w:p w14:paraId="02344CAF" w14:textId="77777777" w:rsidR="00AA385B" w:rsidRDefault="00AA385B" w:rsidP="00AA385B">
      <w:pPr>
        <w:tabs>
          <w:tab w:val="left" w:pos="0"/>
        </w:tabs>
        <w:spacing w:after="0" w:line="240" w:lineRule="auto"/>
        <w:jc w:val="both"/>
        <w:rPr>
          <w:rFonts w:ascii="Lato" w:hAnsi="Lato"/>
          <w:color w:val="000000"/>
          <w:sz w:val="20"/>
          <w:szCs w:val="20"/>
        </w:rPr>
      </w:pPr>
    </w:p>
    <w:p w14:paraId="607D9E9D" w14:textId="5A0646BE" w:rsidR="00AA385B" w:rsidRPr="004F4C6D" w:rsidRDefault="00AA385B" w:rsidP="004F4C6D">
      <w:pPr>
        <w:tabs>
          <w:tab w:val="left" w:pos="0"/>
        </w:tabs>
        <w:spacing w:after="0" w:line="240" w:lineRule="auto"/>
        <w:jc w:val="both"/>
        <w:rPr>
          <w:rFonts w:ascii="Lato" w:hAnsi="Lato"/>
          <w:color w:val="000000"/>
          <w:sz w:val="20"/>
          <w:szCs w:val="20"/>
        </w:rPr>
      </w:pPr>
      <w:r w:rsidRPr="00AA385B">
        <w:rPr>
          <w:rFonts w:ascii="Lato" w:hAnsi="Lato"/>
          <w:color w:val="000000"/>
          <w:sz w:val="20"/>
          <w:szCs w:val="20"/>
        </w:rPr>
        <w:t>Zgodnie z Rocznym sprawozdaniem z realizacji Krajowego Programu Przeciwdziałania Przemocy w Rodzinie na 2021</w:t>
      </w:r>
      <w:r w:rsidR="004F4C6D">
        <w:rPr>
          <w:rFonts w:ascii="Lato" w:hAnsi="Lato"/>
          <w:color w:val="000000"/>
          <w:sz w:val="20"/>
          <w:szCs w:val="20"/>
        </w:rPr>
        <w:t xml:space="preserve"> r. 161 575 osób doznawało przemocy w rodzinie w ramach procedury „Niebieskie Karty”, w tym 86 995 kobiet i 23 006 mężczyzn. Osoby pokrzywdzone korzystały z pomocy udzielanej przez punkty konsultacyjne (21 571 osób), gminne ośrodki wsparcia (197 osób), powiatowe ośrodki wsparcia (628 osób), ośrodki interwencji kryzysowej (10 071 osób), inne placówki świadczące specjalistyczną pomoc dla osób dotkniętych przemocą w rodzinie (2 471 osób), specjalistyczne ośrodki wsparcia dla ofiar przemocy w rodzinie (4 762 osób).</w:t>
      </w:r>
    </w:p>
    <w:p w14:paraId="38950FFC" w14:textId="77777777" w:rsidR="00AA385B" w:rsidRPr="009744F5" w:rsidRDefault="00AA385B" w:rsidP="004F5101">
      <w:pPr>
        <w:autoSpaceDE w:val="0"/>
        <w:autoSpaceDN w:val="0"/>
        <w:adjustRightInd w:val="0"/>
        <w:spacing w:after="0" w:line="240" w:lineRule="auto"/>
        <w:jc w:val="both"/>
        <w:rPr>
          <w:rFonts w:ascii="Lato" w:eastAsia="Calibri" w:hAnsi="Lato"/>
          <w:color w:val="000000"/>
          <w:sz w:val="20"/>
          <w:szCs w:val="20"/>
        </w:rPr>
      </w:pPr>
    </w:p>
    <w:p w14:paraId="26299ABA" w14:textId="161494E0" w:rsidR="00EA0165" w:rsidRDefault="00EA0165" w:rsidP="004F5101">
      <w:pPr>
        <w:spacing w:after="0" w:line="240" w:lineRule="auto"/>
        <w:jc w:val="both"/>
        <w:rPr>
          <w:rFonts w:ascii="Lato" w:hAnsi="Lato"/>
          <w:color w:val="000000"/>
          <w:sz w:val="20"/>
          <w:szCs w:val="20"/>
        </w:rPr>
      </w:pPr>
      <w:r w:rsidRPr="00D602C1">
        <w:rPr>
          <w:rFonts w:ascii="Lato" w:hAnsi="Lato"/>
          <w:color w:val="000000"/>
          <w:sz w:val="20"/>
          <w:szCs w:val="20"/>
        </w:rPr>
        <w:t>Ministerstwo Rodziny i Polityki Społecznej od wielu lat zaangażowane jest</w:t>
      </w:r>
      <w:r>
        <w:rPr>
          <w:rFonts w:ascii="Lato" w:hAnsi="Lato"/>
          <w:color w:val="000000"/>
          <w:sz w:val="20"/>
          <w:szCs w:val="20"/>
        </w:rPr>
        <w:t xml:space="preserve"> </w:t>
      </w:r>
      <w:r w:rsidRPr="00D602C1">
        <w:rPr>
          <w:rFonts w:ascii="Lato" w:hAnsi="Lato"/>
          <w:color w:val="000000"/>
          <w:sz w:val="20"/>
          <w:szCs w:val="20"/>
        </w:rPr>
        <w:t xml:space="preserve">w działania na rzecz osób starszych doznających przemocy </w:t>
      </w:r>
      <w:r>
        <w:rPr>
          <w:rFonts w:ascii="Lato" w:hAnsi="Lato"/>
          <w:color w:val="000000"/>
          <w:sz w:val="20"/>
          <w:szCs w:val="20"/>
        </w:rPr>
        <w:t>domowej</w:t>
      </w:r>
      <w:r w:rsidRPr="00D602C1">
        <w:rPr>
          <w:rFonts w:ascii="Lato" w:hAnsi="Lato"/>
          <w:color w:val="000000"/>
          <w:sz w:val="20"/>
          <w:szCs w:val="20"/>
        </w:rPr>
        <w:t xml:space="preserve">. Wśród podjętych inicjatyw warto wskazać m.in. na kampanie społeczne, czy konferencję </w:t>
      </w:r>
      <w:r>
        <w:rPr>
          <w:rFonts w:ascii="Lato" w:hAnsi="Lato"/>
          <w:color w:val="000000"/>
          <w:sz w:val="20"/>
          <w:szCs w:val="20"/>
        </w:rPr>
        <w:t xml:space="preserve">z 22 listopada 2022 r. </w:t>
      </w:r>
      <w:r w:rsidRPr="00D602C1">
        <w:rPr>
          <w:rFonts w:ascii="Lato" w:hAnsi="Lato"/>
          <w:color w:val="000000"/>
          <w:sz w:val="20"/>
          <w:szCs w:val="20"/>
        </w:rPr>
        <w:t xml:space="preserve">poświęconą </w:t>
      </w:r>
      <w:r>
        <w:rPr>
          <w:rFonts w:ascii="Lato" w:hAnsi="Lato"/>
          <w:color w:val="000000"/>
          <w:sz w:val="20"/>
          <w:szCs w:val="20"/>
        </w:rPr>
        <w:t xml:space="preserve">m.in. </w:t>
      </w:r>
      <w:r w:rsidRPr="00D602C1">
        <w:rPr>
          <w:rFonts w:ascii="Lato" w:hAnsi="Lato"/>
          <w:color w:val="000000"/>
          <w:sz w:val="20"/>
          <w:szCs w:val="20"/>
        </w:rPr>
        <w:t>tematyce krzywdzenia osób starszych</w:t>
      </w:r>
      <w:r>
        <w:rPr>
          <w:rFonts w:ascii="Lato" w:hAnsi="Lato"/>
          <w:color w:val="000000"/>
          <w:sz w:val="20"/>
          <w:szCs w:val="20"/>
        </w:rPr>
        <w:t xml:space="preserve">. Podczas konferencji zaprezentowano wyniki diagnozy społecznej zrealizowanej ze środków Norweskiego </w:t>
      </w:r>
      <w:r>
        <w:rPr>
          <w:rFonts w:ascii="Lato" w:hAnsi="Lato"/>
          <w:color w:val="000000"/>
          <w:sz w:val="20"/>
          <w:szCs w:val="20"/>
        </w:rPr>
        <w:lastRenderedPageBreak/>
        <w:t xml:space="preserve">Mechanizmu Finansowego w ramach projektu „Przeciwdziałanie przemocy wobec osób </w:t>
      </w:r>
      <w:r w:rsidR="00A92F77">
        <w:rPr>
          <w:rFonts w:ascii="Lato" w:hAnsi="Lato"/>
          <w:color w:val="000000"/>
          <w:sz w:val="20"/>
          <w:szCs w:val="20"/>
        </w:rPr>
        <w:t>starszych</w:t>
      </w:r>
      <w:r>
        <w:rPr>
          <w:rFonts w:ascii="Lato" w:hAnsi="Lato"/>
          <w:color w:val="000000"/>
          <w:sz w:val="20"/>
          <w:szCs w:val="20"/>
        </w:rPr>
        <w:t xml:space="preserve"> i niepełnosprawnych” w ramach Programu „Sprawiedliwość”. </w:t>
      </w:r>
    </w:p>
    <w:p w14:paraId="4AE31247" w14:textId="77777777" w:rsidR="00EA0165" w:rsidRDefault="00EA0165" w:rsidP="004F5101">
      <w:pPr>
        <w:spacing w:after="0" w:line="240" w:lineRule="auto"/>
        <w:jc w:val="both"/>
        <w:rPr>
          <w:rFonts w:ascii="Lato" w:hAnsi="Lato"/>
          <w:color w:val="000000"/>
          <w:sz w:val="20"/>
          <w:szCs w:val="20"/>
        </w:rPr>
      </w:pPr>
    </w:p>
    <w:p w14:paraId="15E801C5" w14:textId="260BCF0E" w:rsidR="00EA0165" w:rsidRPr="00F62F81" w:rsidRDefault="00EA0165" w:rsidP="004F5101">
      <w:pPr>
        <w:spacing w:after="0" w:line="240" w:lineRule="auto"/>
        <w:jc w:val="both"/>
        <w:rPr>
          <w:rFonts w:ascii="Lato" w:hAnsi="Lato"/>
          <w:sz w:val="20"/>
        </w:rPr>
      </w:pPr>
      <w:r>
        <w:rPr>
          <w:rFonts w:ascii="Lato" w:hAnsi="Lato"/>
          <w:color w:val="000000"/>
          <w:sz w:val="20"/>
          <w:szCs w:val="20"/>
        </w:rPr>
        <w:t>W roku 2022 przeprowadzono</w:t>
      </w:r>
      <w:r w:rsidRPr="00A0789F">
        <w:rPr>
          <w:rFonts w:ascii="Lato" w:hAnsi="Lato"/>
          <w:sz w:val="20"/>
        </w:rPr>
        <w:t xml:space="preserve"> </w:t>
      </w:r>
      <w:r w:rsidRPr="009B2183">
        <w:rPr>
          <w:rFonts w:ascii="Lato" w:hAnsi="Lato"/>
          <w:sz w:val="20"/>
        </w:rPr>
        <w:t>Ogólnopolsk</w:t>
      </w:r>
      <w:r>
        <w:rPr>
          <w:rFonts w:ascii="Lato" w:hAnsi="Lato"/>
          <w:sz w:val="20"/>
        </w:rPr>
        <w:t>ą</w:t>
      </w:r>
      <w:r w:rsidRPr="009B2183">
        <w:rPr>
          <w:rFonts w:ascii="Lato" w:hAnsi="Lato"/>
          <w:sz w:val="20"/>
        </w:rPr>
        <w:t xml:space="preserve">  Kampani</w:t>
      </w:r>
      <w:r>
        <w:rPr>
          <w:rFonts w:ascii="Lato" w:hAnsi="Lato"/>
          <w:sz w:val="20"/>
        </w:rPr>
        <w:t>ę</w:t>
      </w:r>
      <w:r w:rsidRPr="009B2183">
        <w:rPr>
          <w:rFonts w:ascii="Lato" w:hAnsi="Lato"/>
          <w:sz w:val="20"/>
        </w:rPr>
        <w:t xml:space="preserve"> Społeczn</w:t>
      </w:r>
      <w:r>
        <w:rPr>
          <w:rFonts w:ascii="Lato" w:hAnsi="Lato"/>
          <w:sz w:val="20"/>
        </w:rPr>
        <w:t>ą</w:t>
      </w:r>
      <w:r w:rsidRPr="009B2183">
        <w:rPr>
          <w:rFonts w:ascii="Lato" w:hAnsi="Lato"/>
          <w:sz w:val="20"/>
        </w:rPr>
        <w:t xml:space="preserve"> „Nie otwieraj drzwi PRZEMOCY”. W ramach kampanii społecznej Ministerstwo zleciło wyprodukowanie krótkiego filmu oraz wyprodukowanie materiałów informacyjnych w postaci plakatów, ulotek  i broszur, które celem dalszej dystrybucji zostały przekazane do wszystkich ośrodków pomocy społecznej i powiatowych centrów pomocy rodzinie.</w:t>
      </w:r>
      <w:r w:rsidR="001022C0">
        <w:rPr>
          <w:rFonts w:ascii="Lato" w:hAnsi="Lato"/>
          <w:sz w:val="20"/>
        </w:rPr>
        <w:t xml:space="preserve"> </w:t>
      </w:r>
      <w:r w:rsidRPr="009B2183">
        <w:rPr>
          <w:rFonts w:ascii="Lato" w:hAnsi="Lato"/>
          <w:sz w:val="20"/>
        </w:rPr>
        <w:t xml:space="preserve">Ogólnopolskie kampanie społeczne mają na celu zwiększenie świadomości społecznej na temat zjawiska przemocy </w:t>
      </w:r>
      <w:r>
        <w:rPr>
          <w:rFonts w:ascii="Lato" w:hAnsi="Lato"/>
          <w:sz w:val="20"/>
        </w:rPr>
        <w:t xml:space="preserve"> i są </w:t>
      </w:r>
      <w:r w:rsidRPr="009B2183">
        <w:rPr>
          <w:rFonts w:ascii="Lato" w:hAnsi="Lato"/>
          <w:sz w:val="20"/>
        </w:rPr>
        <w:t xml:space="preserve">realizowane w ramach Krajowego Programu Przeciwdziałania Przemocy w Rodzinie. </w:t>
      </w:r>
    </w:p>
    <w:p w14:paraId="21265D73" w14:textId="77777777" w:rsidR="00EA0165" w:rsidRDefault="00EA0165" w:rsidP="004F5101">
      <w:pPr>
        <w:spacing w:after="0" w:line="240" w:lineRule="auto"/>
        <w:jc w:val="both"/>
        <w:rPr>
          <w:rFonts w:ascii="Lato" w:hAnsi="Lato"/>
          <w:color w:val="000000"/>
          <w:sz w:val="20"/>
          <w:szCs w:val="20"/>
        </w:rPr>
      </w:pPr>
    </w:p>
    <w:p w14:paraId="44A034A5" w14:textId="35D62FC8" w:rsidR="00EA0165" w:rsidRPr="00AA385B" w:rsidRDefault="00EA0165" w:rsidP="00AA385B">
      <w:pPr>
        <w:spacing w:after="0" w:line="240" w:lineRule="auto"/>
        <w:jc w:val="both"/>
        <w:rPr>
          <w:rFonts w:ascii="Lato" w:hAnsi="Lato"/>
          <w:color w:val="000000"/>
          <w:sz w:val="20"/>
          <w:szCs w:val="20"/>
        </w:rPr>
      </w:pPr>
      <w:r>
        <w:rPr>
          <w:rFonts w:ascii="Lato" w:hAnsi="Lato"/>
          <w:color w:val="000000"/>
          <w:sz w:val="20"/>
          <w:szCs w:val="20"/>
        </w:rPr>
        <w:t xml:space="preserve">W 2022 r. rozpoczęto prace nad zmianami legislacyjnymi w obszarze przeciwdziałania przemocy domowej.  </w:t>
      </w:r>
      <w:r w:rsidR="00A92F77">
        <w:rPr>
          <w:rFonts w:ascii="Lato" w:hAnsi="Lato" w:cstheme="minorHAnsi"/>
          <w:sz w:val="20"/>
          <w:szCs w:val="20"/>
        </w:rPr>
        <w:t xml:space="preserve">W dniu </w:t>
      </w:r>
      <w:r w:rsidRPr="00F62F81">
        <w:rPr>
          <w:rFonts w:ascii="Lato" w:hAnsi="Lato" w:cstheme="minorHAnsi"/>
          <w:sz w:val="20"/>
          <w:szCs w:val="20"/>
        </w:rPr>
        <w:t>9 marca 2023 r. Sejm RP uchwalił ustawę o zmianie ustawy o przeciwdziałaniu przemocy w rodzinie oraz niektórych innych ustaw.  Przepisy znowelizowanej ustawy wejdą w życie 22 czerwca 2023 r. tj. trzy miesiące o opublikowaniu ustawy w Dzienniku Ustaw i przewidują między innymi:</w:t>
      </w:r>
    </w:p>
    <w:p w14:paraId="511075FB" w14:textId="77777777" w:rsidR="00EA0165" w:rsidRPr="00F62F81" w:rsidRDefault="00EA0165" w:rsidP="004F5101">
      <w:pPr>
        <w:numPr>
          <w:ilvl w:val="0"/>
          <w:numId w:val="139"/>
        </w:numPr>
        <w:spacing w:after="0" w:line="240" w:lineRule="auto"/>
        <w:contextualSpacing/>
        <w:jc w:val="both"/>
        <w:rPr>
          <w:rFonts w:ascii="Lato" w:hAnsi="Lato" w:cstheme="minorHAnsi"/>
          <w:sz w:val="20"/>
          <w:szCs w:val="20"/>
        </w:rPr>
      </w:pPr>
      <w:r w:rsidRPr="00F62F81">
        <w:rPr>
          <w:rFonts w:ascii="Lato" w:hAnsi="Lato" w:cstheme="minorHAnsi"/>
          <w:sz w:val="20"/>
          <w:szCs w:val="20"/>
        </w:rPr>
        <w:t>zmianę dotychczasowej nazwy ustawy:  „o przeciwdziałaniu przemocy w rodzinie”, na „o przeciwdziałaniu przemocy domowej”, po to aby nie stygmatyzować rodziny i nie wskazywać, że tylko tam dochodzi do aktów przemocy;</w:t>
      </w:r>
    </w:p>
    <w:p w14:paraId="7F8B086E" w14:textId="77777777" w:rsidR="00EA0165" w:rsidRPr="00F62F81" w:rsidRDefault="00EA0165" w:rsidP="004F5101">
      <w:pPr>
        <w:numPr>
          <w:ilvl w:val="0"/>
          <w:numId w:val="139"/>
        </w:numPr>
        <w:spacing w:after="0" w:line="240" w:lineRule="auto"/>
        <w:contextualSpacing/>
        <w:jc w:val="both"/>
        <w:rPr>
          <w:rFonts w:ascii="Lato" w:hAnsi="Lato" w:cstheme="minorHAnsi"/>
          <w:sz w:val="20"/>
          <w:szCs w:val="20"/>
        </w:rPr>
      </w:pPr>
      <w:r w:rsidRPr="00F62F81">
        <w:rPr>
          <w:rFonts w:ascii="Lato" w:hAnsi="Lato" w:cstheme="minorHAnsi"/>
          <w:sz w:val="20"/>
          <w:szCs w:val="20"/>
        </w:rPr>
        <w:t>Obok przemocy: fizycznej, psychicznej i wykorzystywania seksualnego, wprowadzane są dwie kolejne formy przemocy domowej, którym  należy przeciwdziałać tj. przemoc ekonomiczna i cyberprzemoc;.</w:t>
      </w:r>
    </w:p>
    <w:p w14:paraId="13CF5388"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Wprowadzone regulacj</w:t>
      </w:r>
      <w:r>
        <w:rPr>
          <w:rFonts w:ascii="Lato" w:hAnsi="Lato" w:cstheme="minorHAnsi"/>
          <w:sz w:val="20"/>
          <w:szCs w:val="20"/>
        </w:rPr>
        <w:t>ę</w:t>
      </w:r>
      <w:r w:rsidRPr="00F62F81">
        <w:rPr>
          <w:rFonts w:ascii="Lato" w:hAnsi="Lato" w:cstheme="minorHAnsi"/>
          <w:sz w:val="20"/>
          <w:szCs w:val="20"/>
        </w:rPr>
        <w:t xml:space="preserve"> rozszerzają  krąg osób, na które będą oddziaływać przepisy zmienionej ustawy, zwłaszcza o byłego małżonka, byłego partnera lub innego członka rodziny, niezależnie od faktu zamieszkiwania z osobą stosującą przemoc domową;</w:t>
      </w:r>
    </w:p>
    <w:p w14:paraId="13C44DB8"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 xml:space="preserve">W przepisach uregulowane zostały również kwestie dotyczące dzieci będących świadkami przemocy domowej, które w projektowanym  kształcie ustawy będą traktowane jako osoby doznające przemocy domowej;  </w:t>
      </w:r>
    </w:p>
    <w:p w14:paraId="6CE63FFE"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 xml:space="preserve">Dzięki wprowadzonym zmianom zwiększone zostanie bezpieczeństwo i ochrona osób zagrożonych i doznających przemocy domowej, w szczególności poprzez </w:t>
      </w:r>
      <w:r w:rsidRPr="00F62F81">
        <w:rPr>
          <w:rFonts w:ascii="Lato" w:hAnsi="Lato" w:cstheme="minorHAnsi"/>
          <w:bCs/>
          <w:sz w:val="20"/>
          <w:szCs w:val="20"/>
        </w:rPr>
        <w:t>bardziej indywidualne i podmiotowe</w:t>
      </w:r>
      <w:r w:rsidRPr="00F62F81">
        <w:rPr>
          <w:rFonts w:ascii="Lato" w:hAnsi="Lato" w:cstheme="minorHAnsi"/>
          <w:b/>
          <w:sz w:val="20"/>
          <w:szCs w:val="20"/>
        </w:rPr>
        <w:t xml:space="preserve">  </w:t>
      </w:r>
      <w:r w:rsidRPr="00F62F81">
        <w:rPr>
          <w:rFonts w:ascii="Lato" w:hAnsi="Lato" w:cstheme="minorHAnsi"/>
          <w:sz w:val="20"/>
          <w:szCs w:val="20"/>
        </w:rPr>
        <w:t xml:space="preserve">podejście do procesu wsparcia i pomagania. W tym zakresie projektuje się utworzenie w gminach, grup diagnostyczno-pomocowych, składających się z pracownika socjalnego i policjanta, którzy będą pracować odpowiednio: z osobą doznająca przemocy domowej i z osobą tę przemoc stosującą. (W obecnych przepisach skład grup roboczych to co najmniej pięciu specjalistów, co nie pozwala na zachowanie podmiotowości i atmosfery zaufania.);  </w:t>
      </w:r>
    </w:p>
    <w:p w14:paraId="5831DD4C"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 xml:space="preserve">Zakłada się również </w:t>
      </w:r>
      <w:r w:rsidRPr="00F62F81">
        <w:rPr>
          <w:rFonts w:ascii="Lato" w:hAnsi="Lato" w:cstheme="minorHAnsi"/>
          <w:bCs/>
          <w:sz w:val="20"/>
          <w:szCs w:val="20"/>
        </w:rPr>
        <w:t>poprawę funkcjonowania systemu przeciwdziałania przemocy</w:t>
      </w:r>
      <w:r w:rsidRPr="00F62F81">
        <w:rPr>
          <w:rFonts w:ascii="Lato" w:hAnsi="Lato" w:cstheme="minorHAnsi"/>
          <w:b/>
          <w:sz w:val="20"/>
          <w:szCs w:val="20"/>
        </w:rPr>
        <w:t xml:space="preserve"> </w:t>
      </w:r>
      <w:r w:rsidRPr="00F62F81">
        <w:rPr>
          <w:rFonts w:ascii="Lato" w:hAnsi="Lato" w:cstheme="minorHAnsi"/>
          <w:sz w:val="20"/>
          <w:szCs w:val="20"/>
        </w:rPr>
        <w:t>zarówno na szczeblu centralnym oraz na szczeblu jednostek samorządu terytorialnego, między innymi poprzez:</w:t>
      </w:r>
    </w:p>
    <w:p w14:paraId="73B3DB91" w14:textId="77777777" w:rsidR="00EA0165" w:rsidRDefault="00EA0165" w:rsidP="004F5101">
      <w:pPr>
        <w:pStyle w:val="Akapitzlist"/>
        <w:numPr>
          <w:ilvl w:val="0"/>
          <w:numId w:val="143"/>
        </w:numPr>
        <w:spacing w:after="0" w:line="240" w:lineRule="auto"/>
        <w:jc w:val="both"/>
        <w:rPr>
          <w:rFonts w:ascii="Lato" w:hAnsi="Lato" w:cstheme="minorHAnsi"/>
          <w:sz w:val="20"/>
          <w:szCs w:val="20"/>
        </w:rPr>
      </w:pPr>
      <w:r w:rsidRPr="00EA0165">
        <w:rPr>
          <w:rFonts w:ascii="Lato" w:hAnsi="Lato" w:cstheme="minorHAnsi"/>
          <w:sz w:val="20"/>
          <w:szCs w:val="20"/>
        </w:rPr>
        <w:t xml:space="preserve">zwiększenie reprezentacji różnych środowisk w składzie Zespołu Monitorującego do spraw Przeciwdziałania Przemocy Domowej (ciało opiniodawczo – doradcze Ministra), </w:t>
      </w:r>
    </w:p>
    <w:p w14:paraId="7E6C39E5" w14:textId="55FB34BF" w:rsidR="00EA0165" w:rsidRPr="00EA0165" w:rsidRDefault="00EA0165" w:rsidP="004F5101">
      <w:pPr>
        <w:pStyle w:val="Akapitzlist"/>
        <w:numPr>
          <w:ilvl w:val="0"/>
          <w:numId w:val="143"/>
        </w:numPr>
        <w:spacing w:after="0" w:line="240" w:lineRule="auto"/>
        <w:jc w:val="both"/>
        <w:rPr>
          <w:rFonts w:ascii="Lato" w:hAnsi="Lato" w:cstheme="minorHAnsi"/>
          <w:sz w:val="20"/>
          <w:szCs w:val="20"/>
        </w:rPr>
      </w:pPr>
      <w:r w:rsidRPr="00EA0165">
        <w:rPr>
          <w:rFonts w:ascii="Lato" w:hAnsi="Lato" w:cstheme="minorHAnsi"/>
          <w:sz w:val="20"/>
          <w:szCs w:val="20"/>
        </w:rPr>
        <w:t xml:space="preserve">wyraźne rozdzielenie zadań zespołów interdyscyplinarnych działających w samorządach gminnych od zadań grup diagnostyczno-pomocowych. </w:t>
      </w:r>
      <w:r w:rsidRPr="00EA0165">
        <w:rPr>
          <w:rFonts w:ascii="Lato" w:hAnsi="Lato" w:cstheme="minorHAnsi"/>
          <w:i/>
          <w:sz w:val="20"/>
          <w:szCs w:val="20"/>
        </w:rPr>
        <w:t>Zespół interdyscyplinarny</w:t>
      </w:r>
      <w:r w:rsidRPr="00EA0165">
        <w:rPr>
          <w:rFonts w:ascii="Lato" w:hAnsi="Lato" w:cstheme="minorHAnsi"/>
          <w:sz w:val="20"/>
          <w:szCs w:val="20"/>
        </w:rPr>
        <w:t>, to zadania o charakterze strategicznym – wyznaczającym kierunki działań „</w:t>
      </w:r>
      <w:proofErr w:type="spellStart"/>
      <w:r w:rsidRPr="00EA0165">
        <w:rPr>
          <w:rFonts w:ascii="Lato" w:hAnsi="Lato" w:cstheme="minorHAnsi"/>
          <w:sz w:val="20"/>
          <w:szCs w:val="20"/>
        </w:rPr>
        <w:t>przeciwprzemocowych</w:t>
      </w:r>
      <w:proofErr w:type="spellEnd"/>
      <w:r w:rsidRPr="00EA0165">
        <w:rPr>
          <w:rFonts w:ascii="Lato" w:hAnsi="Lato" w:cstheme="minorHAnsi"/>
          <w:sz w:val="20"/>
          <w:szCs w:val="20"/>
        </w:rPr>
        <w:t xml:space="preserve">” w gminach. </w:t>
      </w:r>
      <w:r w:rsidRPr="00EA0165">
        <w:rPr>
          <w:rFonts w:ascii="Lato" w:hAnsi="Lato" w:cstheme="minorHAnsi"/>
          <w:i/>
          <w:sz w:val="20"/>
          <w:szCs w:val="20"/>
        </w:rPr>
        <w:t>Grupa diagnostyczno-pomocowa</w:t>
      </w:r>
      <w:r w:rsidRPr="00EA0165">
        <w:rPr>
          <w:rFonts w:ascii="Lato" w:hAnsi="Lato" w:cstheme="minorHAnsi"/>
          <w:sz w:val="20"/>
          <w:szCs w:val="20"/>
        </w:rPr>
        <w:t xml:space="preserve"> – to działania prowadzone bezpośrednio z osobą doznającą przemocy domowej i tę przemoc stosującą;</w:t>
      </w:r>
      <w:r w:rsidRPr="00EA0165">
        <w:rPr>
          <w:rFonts w:ascii="Lato" w:hAnsi="Lato" w:cstheme="minorHAnsi"/>
          <w:b/>
          <w:sz w:val="20"/>
          <w:szCs w:val="20"/>
        </w:rPr>
        <w:t xml:space="preserve">    </w:t>
      </w:r>
    </w:p>
    <w:p w14:paraId="18F5FADC"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 xml:space="preserve">Poprzez wprowadzenie do przepisów ustawy </w:t>
      </w:r>
      <w:r w:rsidRPr="00F62F81">
        <w:rPr>
          <w:rFonts w:ascii="Lato" w:hAnsi="Lato" w:cstheme="minorHAnsi"/>
          <w:bCs/>
          <w:sz w:val="20"/>
          <w:szCs w:val="20"/>
        </w:rPr>
        <w:t>programów psychologiczno-terapeutycznych, dzięki którym, obok uczestnictwa w programach korekcyjno-edukacyjnych osoba stosująca przemoc, może powrócić</w:t>
      </w:r>
      <w:r w:rsidRPr="00F62F81">
        <w:rPr>
          <w:rFonts w:ascii="Lato" w:hAnsi="Lato" w:cstheme="minorHAnsi"/>
          <w:sz w:val="20"/>
          <w:szCs w:val="20"/>
        </w:rPr>
        <w:t xml:space="preserve"> do prawidłowych relacji w środowisku domowym, zakłada się rozwój oddziaływań skierowanych do osób stosujących przemoc domową. </w:t>
      </w:r>
    </w:p>
    <w:p w14:paraId="2FA5765B" w14:textId="77777777" w:rsidR="00EA0165" w:rsidRPr="00F62F81"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W zmianach, w tym w ustawie o broni i amunicji, wprowadzono regulacje, dzięki którym osoba stosująca przemoc, która posiada broń palną, zostanie jej pozbawiona, w przypadku wszczęcia procedury „Niebieskie Karty”,</w:t>
      </w:r>
    </w:p>
    <w:p w14:paraId="2B1C0316" w14:textId="56FBB4E8" w:rsidR="00EA0165" w:rsidRDefault="00EA0165" w:rsidP="004F5101">
      <w:pPr>
        <w:numPr>
          <w:ilvl w:val="0"/>
          <w:numId w:val="139"/>
        </w:numPr>
        <w:spacing w:after="0" w:line="240" w:lineRule="auto"/>
        <w:ind w:hanging="357"/>
        <w:contextualSpacing/>
        <w:jc w:val="both"/>
        <w:rPr>
          <w:rFonts w:ascii="Lato" w:hAnsi="Lato" w:cstheme="minorHAnsi"/>
          <w:sz w:val="20"/>
          <w:szCs w:val="20"/>
        </w:rPr>
      </w:pPr>
      <w:r w:rsidRPr="00F62F81">
        <w:rPr>
          <w:rFonts w:ascii="Lato" w:hAnsi="Lato" w:cstheme="minorHAnsi"/>
          <w:sz w:val="20"/>
          <w:szCs w:val="20"/>
        </w:rPr>
        <w:t xml:space="preserve">Wobec osoby stosującej przemoc domową, która uporczywie uchyla się od uczestnictwa </w:t>
      </w:r>
      <w:r w:rsidRPr="00F62F81">
        <w:rPr>
          <w:rFonts w:ascii="Lato" w:hAnsi="Lato" w:cstheme="minorHAnsi"/>
          <w:sz w:val="20"/>
          <w:szCs w:val="20"/>
        </w:rPr>
        <w:br/>
        <w:t xml:space="preserve">w programach </w:t>
      </w:r>
      <w:proofErr w:type="spellStart"/>
      <w:r w:rsidRPr="00F62F81">
        <w:rPr>
          <w:rFonts w:ascii="Lato" w:hAnsi="Lato" w:cstheme="minorHAnsi"/>
          <w:sz w:val="20"/>
          <w:szCs w:val="20"/>
        </w:rPr>
        <w:t>korekcyjno</w:t>
      </w:r>
      <w:proofErr w:type="spellEnd"/>
      <w:r w:rsidRPr="00F62F81">
        <w:rPr>
          <w:rFonts w:ascii="Lato" w:hAnsi="Lato" w:cstheme="minorHAnsi"/>
          <w:sz w:val="20"/>
          <w:szCs w:val="20"/>
        </w:rPr>
        <w:t xml:space="preserve"> – edukacyjnych lub </w:t>
      </w:r>
      <w:proofErr w:type="spellStart"/>
      <w:r w:rsidRPr="00F62F81">
        <w:rPr>
          <w:rFonts w:ascii="Lato" w:hAnsi="Lato" w:cstheme="minorHAnsi"/>
          <w:sz w:val="20"/>
          <w:szCs w:val="20"/>
        </w:rPr>
        <w:t>psychologiczno</w:t>
      </w:r>
      <w:proofErr w:type="spellEnd"/>
      <w:r w:rsidRPr="00F62F81">
        <w:rPr>
          <w:rFonts w:ascii="Lato" w:hAnsi="Lato" w:cstheme="minorHAnsi"/>
          <w:sz w:val="20"/>
          <w:szCs w:val="20"/>
        </w:rPr>
        <w:t xml:space="preserve"> – terapeutycznych, w  zmianach, wprowadza się regulacje zarówno do ustawy  o przeciwdziałaniu przemocy domowej, jak i  Kodeksu wykroczeń, które nałożą  na „sprawcę” przemocy domowej sankcje w postaci: kary ograniczenia wolności bądź  grzywny. </w:t>
      </w:r>
    </w:p>
    <w:p w14:paraId="11580D23" w14:textId="77777777" w:rsidR="00EA0165" w:rsidRPr="00EA0165" w:rsidRDefault="00EA0165" w:rsidP="00EA0165">
      <w:pPr>
        <w:spacing w:after="0" w:line="240" w:lineRule="auto"/>
        <w:ind w:left="720"/>
        <w:contextualSpacing/>
        <w:jc w:val="both"/>
        <w:rPr>
          <w:rFonts w:ascii="Lato" w:hAnsi="Lato" w:cstheme="minorHAnsi"/>
          <w:sz w:val="20"/>
          <w:szCs w:val="20"/>
        </w:rPr>
      </w:pPr>
    </w:p>
    <w:p w14:paraId="0EFCEADE" w14:textId="5B969CB3" w:rsidR="00781EA1" w:rsidRPr="00DB2792" w:rsidRDefault="00781EA1" w:rsidP="006B2B17">
      <w:pPr>
        <w:pStyle w:val="Nagwek2"/>
        <w:rPr>
          <w:b/>
          <w:bCs/>
        </w:rPr>
      </w:pPr>
      <w:bookmarkStart w:id="41" w:name="_Toc142565929"/>
      <w:r w:rsidRPr="00DB2792">
        <w:rPr>
          <w:b/>
          <w:bCs/>
        </w:rPr>
        <w:lastRenderedPageBreak/>
        <w:t>Sytuacja niepełnosprawnych osób starszych</w:t>
      </w:r>
      <w:bookmarkEnd w:id="41"/>
    </w:p>
    <w:p w14:paraId="440ECA0C" w14:textId="28A490D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Ustawa z dnia 27 sierpnia 1997 r. </w:t>
      </w:r>
      <w:r>
        <w:rPr>
          <w:rFonts w:ascii="Lato" w:hAnsi="Lato" w:cs="Calibri"/>
          <w:i/>
          <w:iCs/>
          <w:color w:val="000000"/>
          <w:sz w:val="20"/>
          <w:szCs w:val="20"/>
        </w:rPr>
        <w:t>o rehabilitacji zawodowej i społecznej oraz zatrudnianiu osób niepełnosprawnych</w:t>
      </w:r>
      <w:r>
        <w:rPr>
          <w:rFonts w:ascii="Lato" w:hAnsi="Lato" w:cs="Calibri"/>
          <w:color w:val="000000"/>
          <w:sz w:val="20"/>
          <w:szCs w:val="20"/>
        </w:rPr>
        <w:t xml:space="preserve"> (Dz. U. z 2021 r. poz. 573, z </w:t>
      </w:r>
      <w:proofErr w:type="spellStart"/>
      <w:r>
        <w:rPr>
          <w:rFonts w:ascii="Lato" w:hAnsi="Lato" w:cs="Calibri"/>
          <w:color w:val="000000"/>
          <w:sz w:val="20"/>
          <w:szCs w:val="20"/>
        </w:rPr>
        <w:t>późn</w:t>
      </w:r>
      <w:proofErr w:type="spellEnd"/>
      <w:r>
        <w:rPr>
          <w:rFonts w:ascii="Lato" w:hAnsi="Lato" w:cs="Calibri"/>
          <w:color w:val="000000"/>
          <w:sz w:val="20"/>
          <w:szCs w:val="20"/>
        </w:rPr>
        <w:t xml:space="preserve">. zm.) przewiduje szereg instrumentów służących wsparciu osób niepełnosprawnych, które mogą być dofinansowane ze środków Państwowego Funduszu Rehabilitacji Osób Niepełnosprawnych. Powyższe przepisy dotyczą wszystkich osób, których niepełnosprawność została potwierdzona stosownym orzeczeniem – o niepełnosprawności lub stopniu niepełnosprawności. </w:t>
      </w:r>
    </w:p>
    <w:p w14:paraId="4C5550C9"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066A0A9A" w14:textId="00091035"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Należy wskazać, że z instrumentów wsparcia, z których mogą korzystać osoby niepełnosprawne posiadające prawne poświadczenie niepełnosprawności na podstawie ww. ustawy, w tym instrumentów wsparcia finansowanych ze środków PFRON, mogą korzystać również osoby starsze posiadające orzeczenia o stopniu niepełnosprawności. </w:t>
      </w:r>
    </w:p>
    <w:p w14:paraId="76BF64EB"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2D255A10" w14:textId="278F76E5"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Z uwagi na procesy demograficzne zwiększa się udział osób starszych w populacji kraju. Ponadto wśród osób niepełnosprawnych osoby powyżej 65 roku życia stanowią ponad 42% tej grupy (wiek 65-89 lat, dane za IV kwartał BAEL GUS). </w:t>
      </w:r>
    </w:p>
    <w:p w14:paraId="45D1097B"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0CFCE06C" w14:textId="593EA189"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Zgodnie z ww. ustawą oraz rozporządzeniem Ministra Pracy i Polityki Społecznej z dnia</w:t>
      </w:r>
      <w:r w:rsidR="00ED327E">
        <w:rPr>
          <w:rFonts w:ascii="Lato" w:hAnsi="Lato" w:cs="Calibri"/>
          <w:color w:val="000000"/>
          <w:sz w:val="20"/>
          <w:szCs w:val="20"/>
        </w:rPr>
        <w:t xml:space="preserve"> </w:t>
      </w:r>
      <w:r>
        <w:rPr>
          <w:rFonts w:ascii="Lato" w:hAnsi="Lato" w:cs="Calibri"/>
          <w:color w:val="000000"/>
          <w:sz w:val="20"/>
          <w:szCs w:val="20"/>
        </w:rPr>
        <w:t>15 listopada 2007 r. w sprawie turnusów rehabilitacyjnych (Dz.U. z 2023 r. poz. 100), osoba niepełnosprawna może raz w roku ubiegać się o dofinansowanie – ze środków PFRON - kosztów uczestnictwa w turnusie</w:t>
      </w:r>
      <w:r w:rsidR="00ED327E">
        <w:rPr>
          <w:rFonts w:ascii="Lato" w:hAnsi="Lato" w:cs="Calibri"/>
          <w:color w:val="000000"/>
          <w:sz w:val="20"/>
          <w:szCs w:val="20"/>
        </w:rPr>
        <w:t xml:space="preserve"> </w:t>
      </w:r>
      <w:r>
        <w:rPr>
          <w:rFonts w:ascii="Lato" w:hAnsi="Lato" w:cs="Calibri"/>
          <w:color w:val="000000"/>
          <w:sz w:val="20"/>
          <w:szCs w:val="20"/>
        </w:rPr>
        <w:t xml:space="preserve">rehabilitacyjnym. </w:t>
      </w:r>
    </w:p>
    <w:p w14:paraId="753E077F"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5C3A4315"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Ponadto na podstawie wyżej wspomnianej ustawy i rozporządzenia Ministra Pracy i Polityki Społecznej z dnia 25 czerwca 2002 r. w sprawie określenia rodzajów zadań powiatu, które mogą być finansowane ze środków Państwowego Funduszu Rehabilitacji Osób Niepełnosprawnych (Dz. U. z 2015 r. poz. 926, z </w:t>
      </w:r>
      <w:proofErr w:type="spellStart"/>
      <w:r>
        <w:rPr>
          <w:rFonts w:ascii="Lato" w:hAnsi="Lato" w:cs="Calibri"/>
          <w:color w:val="000000"/>
          <w:sz w:val="20"/>
          <w:szCs w:val="20"/>
        </w:rPr>
        <w:t>późn</w:t>
      </w:r>
      <w:proofErr w:type="spellEnd"/>
      <w:r>
        <w:rPr>
          <w:rFonts w:ascii="Lato" w:hAnsi="Lato" w:cs="Calibri"/>
          <w:color w:val="000000"/>
          <w:sz w:val="20"/>
          <w:szCs w:val="20"/>
        </w:rPr>
        <w:t>. zm.), osoba niepełnosprawna może ubiegać się o dofinansowanie ze środków PFRON:</w:t>
      </w:r>
    </w:p>
    <w:p w14:paraId="422C7125" w14:textId="77777777" w:rsidR="00E70A55" w:rsidRDefault="00E70A55" w:rsidP="0059185B">
      <w:pPr>
        <w:numPr>
          <w:ilvl w:val="0"/>
          <w:numId w:val="169"/>
        </w:num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zaopatrzenia w sprzęt rehabilitacyjny, </w:t>
      </w:r>
    </w:p>
    <w:p w14:paraId="3DFD5D3A" w14:textId="77777777" w:rsidR="00E70A55" w:rsidRDefault="00E70A55" w:rsidP="0059185B">
      <w:pPr>
        <w:numPr>
          <w:ilvl w:val="0"/>
          <w:numId w:val="169"/>
        </w:num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likwidacji barier architektonicznych, w komunikowaniu się i technicznych, </w:t>
      </w:r>
    </w:p>
    <w:p w14:paraId="3BEE4A2B" w14:textId="77777777" w:rsidR="00E70A55" w:rsidRDefault="00E70A55" w:rsidP="0059185B">
      <w:pPr>
        <w:numPr>
          <w:ilvl w:val="0"/>
          <w:numId w:val="169"/>
        </w:num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zaopatrzenia w przedmioty ortopedyczne i środki pomocnicze przyznawane osobom niepełnosprawnym na podstawie odrębnych przepisów,</w:t>
      </w:r>
    </w:p>
    <w:p w14:paraId="3FA03421" w14:textId="77777777" w:rsidR="00E70A55" w:rsidRDefault="00E70A55" w:rsidP="0059185B">
      <w:pPr>
        <w:numPr>
          <w:ilvl w:val="0"/>
          <w:numId w:val="169"/>
        </w:num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usług tłumacza języka migowego lub tłumacza-przewodnika.</w:t>
      </w:r>
    </w:p>
    <w:p w14:paraId="4766D263"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7FFCAE07" w14:textId="67B28A0C"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Ponadto, zgodnie z art. 10 ustawy o rehabilitacji (…), do podstawowych form aktywności wspomagającej proces rehabilitacji zawodowej i społecznej osób niepełnosprawnych zalicza się uczestnictwo tych osób w warsztatach terapii zajęciowej.</w:t>
      </w:r>
    </w:p>
    <w:p w14:paraId="39CAA50C" w14:textId="77777777"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p>
    <w:p w14:paraId="1BAD2CCB" w14:textId="4EA20C9C" w:rsidR="00E70A55" w:rsidRDefault="00E70A55" w:rsidP="00E70A55">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Należy jednak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ustawy o rehabilitacji (…)). Tak więc głównym celem warsztatów terapii zajęciowej, poza rehabilitacją społeczną, jest aktywizacja zawodowa w zakresie pozyskania lub przywracania umiejętności niezbędnych do podjęcia zatrudnienia przez osoby niepełnosprawne.</w:t>
      </w:r>
    </w:p>
    <w:p w14:paraId="23DA5D26" w14:textId="327EF8FD" w:rsidR="00E70A55" w:rsidRPr="00295D04" w:rsidRDefault="00E70A55" w:rsidP="00295D04">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Wsparcie osób niepełnosprawnych, na zasadach określonych w ww. ustawie, dotyczy również ich aktywności zawodowej.</w:t>
      </w:r>
    </w:p>
    <w:p w14:paraId="2F90B544" w14:textId="22672F18" w:rsidR="00C611FD" w:rsidRPr="00C611FD" w:rsidRDefault="00781EA1" w:rsidP="00C611FD">
      <w:pPr>
        <w:pStyle w:val="Nagwek1"/>
      </w:pPr>
      <w:bookmarkStart w:id="42" w:name="_Toc142565930"/>
      <w:r>
        <w:t>Polityka społeczna wobec osób starszych na szczeblu centralnym</w:t>
      </w:r>
      <w:bookmarkEnd w:id="42"/>
    </w:p>
    <w:p w14:paraId="4ACBC23D" w14:textId="36C3686A" w:rsidR="00340EAF" w:rsidRPr="00DB2792" w:rsidRDefault="00781EA1" w:rsidP="00340EAF">
      <w:pPr>
        <w:pStyle w:val="Nagwek2"/>
        <w:rPr>
          <w:b/>
          <w:bCs/>
        </w:rPr>
      </w:pPr>
      <w:bookmarkStart w:id="43" w:name="_Toc142565931"/>
      <w:r w:rsidRPr="00DB2792">
        <w:rPr>
          <w:b/>
          <w:bCs/>
        </w:rPr>
        <w:t>Ministerstwo Edukacji i Nauki</w:t>
      </w:r>
      <w:bookmarkEnd w:id="43"/>
    </w:p>
    <w:p w14:paraId="2D36BDFE" w14:textId="77777777" w:rsidR="00486664" w:rsidRPr="00486664" w:rsidRDefault="00486664" w:rsidP="00486664">
      <w:pPr>
        <w:autoSpaceDE w:val="0"/>
        <w:autoSpaceDN w:val="0"/>
        <w:adjustRightInd w:val="0"/>
        <w:spacing w:after="0" w:line="240" w:lineRule="auto"/>
        <w:jc w:val="both"/>
        <w:rPr>
          <w:rFonts w:ascii="Lato" w:hAnsi="Lato" w:cs="TimesNewRomanPSMT"/>
          <w:b/>
          <w:bCs/>
          <w:color w:val="000000"/>
          <w:sz w:val="20"/>
          <w:szCs w:val="20"/>
        </w:rPr>
      </w:pPr>
      <w:r w:rsidRPr="00486664">
        <w:rPr>
          <w:rFonts w:ascii="Lato" w:hAnsi="Lato" w:cs="TimesNewRomanPSMT"/>
          <w:b/>
          <w:bCs/>
          <w:color w:val="000000"/>
          <w:sz w:val="20"/>
          <w:szCs w:val="20"/>
        </w:rPr>
        <w:t>Informacje wstępne dotyczące edukacji formalnej i innej niż formalna (</w:t>
      </w:r>
      <w:proofErr w:type="spellStart"/>
      <w:r w:rsidRPr="00486664">
        <w:rPr>
          <w:rFonts w:ascii="Lato" w:hAnsi="Lato" w:cs="TimesNewRomanPSMT"/>
          <w:b/>
          <w:bCs/>
          <w:color w:val="000000"/>
          <w:sz w:val="20"/>
          <w:szCs w:val="20"/>
        </w:rPr>
        <w:t>pozaformalnej</w:t>
      </w:r>
      <w:proofErr w:type="spellEnd"/>
      <w:r w:rsidRPr="00486664">
        <w:rPr>
          <w:rFonts w:ascii="Lato" w:hAnsi="Lato" w:cs="TimesNewRomanPSMT"/>
          <w:b/>
          <w:bCs/>
          <w:color w:val="000000"/>
          <w:sz w:val="20"/>
          <w:szCs w:val="20"/>
        </w:rPr>
        <w:t>)</w:t>
      </w:r>
    </w:p>
    <w:p w14:paraId="2823979C" w14:textId="68C3BF38"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Osoby starsze, podobnie jak inne osoby, mogą uczestniczyć w edukacji formalnej lub innej niż formalna (</w:t>
      </w:r>
      <w:proofErr w:type="spellStart"/>
      <w:r w:rsidRPr="00486664">
        <w:rPr>
          <w:rFonts w:ascii="Lato" w:hAnsi="Lato" w:cs="TimesNewRomanPSMT"/>
          <w:color w:val="000000"/>
          <w:sz w:val="20"/>
          <w:szCs w:val="20"/>
        </w:rPr>
        <w:t>pozaformalnej</w:t>
      </w:r>
      <w:proofErr w:type="spellEnd"/>
      <w:r w:rsidRPr="00486664">
        <w:rPr>
          <w:rFonts w:ascii="Lato" w:hAnsi="Lato" w:cs="TimesNewRomanPSMT"/>
          <w:color w:val="000000"/>
          <w:sz w:val="20"/>
          <w:szCs w:val="20"/>
        </w:rPr>
        <w:t xml:space="preserve">). Edukacja formalna obejmuje kształcenie w instytucjach systemu oświaty i systemu szkolnictwa wyższego w ramach programów  prowadzących do uzyskania kwalifikacji pełnych, kwalifikacji nadawanych po ukończeniu studiów podyplomowych lub kwalifikacji w zawodzie. Edukacja </w:t>
      </w:r>
      <w:proofErr w:type="spellStart"/>
      <w:r w:rsidRPr="00486664">
        <w:rPr>
          <w:rFonts w:ascii="Lato" w:hAnsi="Lato" w:cs="TimesNewRomanPSMT"/>
          <w:color w:val="000000"/>
          <w:sz w:val="20"/>
          <w:szCs w:val="20"/>
        </w:rPr>
        <w:t>pozaformalna</w:t>
      </w:r>
      <w:proofErr w:type="spellEnd"/>
      <w:r w:rsidRPr="00486664">
        <w:rPr>
          <w:rFonts w:ascii="Lato" w:hAnsi="Lato" w:cs="TimesNewRomanPSMT"/>
          <w:color w:val="000000"/>
          <w:sz w:val="20"/>
          <w:szCs w:val="20"/>
        </w:rPr>
        <w:t xml:space="preserve"> jest organizowana instytucjonalnie, ale poza programami kształcenia w oświacie i szkolnictwie wyższym i nie prowadzi do uzyskania ww. kwalifikacji.</w:t>
      </w:r>
    </w:p>
    <w:p w14:paraId="388BB32B"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787C0972" w14:textId="62653AB5"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lastRenderedPageBreak/>
        <w:t xml:space="preserve">Minister Edukacji i Nauki odpowiada za edukację formalną. Ponadto, wspiera wybrane inicjatywy w obszarze edukacji </w:t>
      </w:r>
      <w:proofErr w:type="spellStart"/>
      <w:r w:rsidRPr="00486664">
        <w:rPr>
          <w:rFonts w:ascii="Lato" w:hAnsi="Lato" w:cs="TimesNewRomanPSMT"/>
          <w:color w:val="000000"/>
          <w:sz w:val="20"/>
          <w:szCs w:val="20"/>
        </w:rPr>
        <w:t>pozaformalnej</w:t>
      </w:r>
      <w:proofErr w:type="spellEnd"/>
      <w:r w:rsidRPr="00486664">
        <w:rPr>
          <w:rFonts w:ascii="Lato" w:hAnsi="Lato" w:cs="TimesNewRomanPSMT"/>
          <w:color w:val="000000"/>
          <w:sz w:val="20"/>
          <w:szCs w:val="20"/>
        </w:rPr>
        <w:t>, a w ramach koordynacji polityki na rzecz uczenia się przez całe życie gromadzi informacje o tej edukacji. Informacje te pochodzą z różnych resortów, GUS i instytucji badawczych.</w:t>
      </w:r>
    </w:p>
    <w:p w14:paraId="608A1389"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49834915" w14:textId="77777777" w:rsidR="00486664" w:rsidRPr="00486664" w:rsidRDefault="00486664" w:rsidP="00486664">
      <w:pPr>
        <w:autoSpaceDE w:val="0"/>
        <w:autoSpaceDN w:val="0"/>
        <w:adjustRightInd w:val="0"/>
        <w:spacing w:after="0" w:line="240" w:lineRule="auto"/>
        <w:jc w:val="both"/>
        <w:rPr>
          <w:rFonts w:ascii="Lato" w:hAnsi="Lato" w:cs="TimesNewRomanPSMT"/>
          <w:b/>
          <w:bCs/>
          <w:color w:val="000000"/>
          <w:sz w:val="20"/>
          <w:szCs w:val="20"/>
        </w:rPr>
      </w:pPr>
      <w:r w:rsidRPr="00486664">
        <w:rPr>
          <w:rFonts w:ascii="Lato" w:hAnsi="Lato" w:cs="TimesNewRomanPSMT"/>
          <w:b/>
          <w:bCs/>
          <w:color w:val="000000"/>
          <w:sz w:val="20"/>
          <w:szCs w:val="20"/>
        </w:rPr>
        <w:t>Osoby starsze w kształceniu ustawicznym w systemie oświaty</w:t>
      </w:r>
    </w:p>
    <w:p w14:paraId="4C978F68" w14:textId="2C1C4A2F"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Kształcenie ustawiczne jest zdefiniowane i uregulowane w ustawie z dnia 14 grudnia 2016 r. - Prawo oświatowe (z późn.zm.). Edukacja osób starszych nie ma statusu odrębnego zadania. Osoby dorosłe, w tym także osoby starsze, mogą uczestniczyć w kształceniu ustawicznym zdefiniowanym w tej ustawie.</w:t>
      </w:r>
    </w:p>
    <w:p w14:paraId="5456B7A1"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6D656E62" w14:textId="1DCF6B11"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Kształcenie ustawiczne według tej ustawy obejmuje szkoły ogólnokształcące dla dorosłych, szkoły kształcące w zawodach (szkoły policealne i branżowe szkoły II stopnia) oraz formy pozaszkolne. Formy pozaszkolne są bardziej elastycznie organizowane niż kształcenie w szkołach, dlatego mogą być bardziej atrakcyjne dla osób niemłodych. Katalog form pozaszkolnych dla dorosłych obejmuje cztery rodzaje: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14:paraId="394B1AE8"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67488B21" w14:textId="115404CF"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Mimo że w kształceniu ustawicznym mogą uczestniczyć dorośli w każdym wieku, to jednak ukierunkowanie tego kształcenia głównie na wzrost poziomu wykształcenia i nabywanie kwalifikacji w zawodach powoduje, że tego typu edukacja cieszy się większym zainteresowaniem młodszych osób dorosłych, co dotyczy zwłaszcza szkół dla dorosłych.</w:t>
      </w:r>
    </w:p>
    <w:p w14:paraId="5F493A76"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650E4F9F" w14:textId="1754A2BA"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Kształcenie ustawiczne prowadzone w instytucjach systemu oświaty podlega monitorowaniu przez System Informacji Oświatowej (SIO). Gromadzone są w nim zanonimizowane, indywidualne dane o korzystających z kształcenia w systemie oświaty. W odniesieniu do uczestników ww. form pozaszkolnych dane te dostępne są odnośnie uczestników: kwalifikacyjnych kursów zawodowych (KKZ), kursów umiejętności zawodowych (KUZ) oraz turnusów dokształcania teoretycznego młodocianych pracowników (TDMP).W dwóch ostatnich formach nie ma uczestników w wieku 60 lat i więcej.</w:t>
      </w:r>
    </w:p>
    <w:p w14:paraId="24F37597"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71117068" w14:textId="2AF2E84A"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Według danych SIO na dzień 30 września 2022 r. uczestnikami KKZ było 558 osób w wieku od 60 roku życia, z czego 304 osoby w wieku 60-64 lat oraz 254 osoby w wieku 65 lat i więcej. W wieku do 29 lat liczba uczestników kursów kwalifikacyjnych wynosi ponad 18 tys. Nieco mniej jest osób w wieku 30 lat i więcej – ponad 16 tys. Wskazuje to, że kursowe formy kształcenia ustawicznego, w tym w szczególności KKZ, stały się atrakcyjniejsze dla osób w średnim wieku i starszych. Wcześniej formy te były zdominowane przez osoby do 30 roku życia, w tym przede wszystkim przez osoby w wieku dwudziestu kilku lat.</w:t>
      </w:r>
    </w:p>
    <w:p w14:paraId="43C62ED5"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45124A54" w14:textId="77777777" w:rsidR="00486664" w:rsidRPr="00486664" w:rsidRDefault="00486664" w:rsidP="00486664">
      <w:pPr>
        <w:autoSpaceDE w:val="0"/>
        <w:autoSpaceDN w:val="0"/>
        <w:adjustRightInd w:val="0"/>
        <w:spacing w:after="0" w:line="240" w:lineRule="auto"/>
        <w:jc w:val="both"/>
        <w:rPr>
          <w:rFonts w:ascii="Lato" w:hAnsi="Lato" w:cs="TimesNewRomanPSMT"/>
          <w:b/>
          <w:bCs/>
          <w:color w:val="000000"/>
          <w:sz w:val="20"/>
          <w:szCs w:val="20"/>
        </w:rPr>
      </w:pPr>
      <w:r w:rsidRPr="00486664">
        <w:rPr>
          <w:rFonts w:ascii="Lato" w:hAnsi="Lato" w:cs="TimesNewRomanPSMT"/>
          <w:b/>
          <w:bCs/>
          <w:color w:val="000000"/>
          <w:sz w:val="20"/>
          <w:szCs w:val="20"/>
        </w:rPr>
        <w:t>Osoby starsze w kształceniu w systemie szkolnictwa wyższego</w:t>
      </w:r>
    </w:p>
    <w:p w14:paraId="69BA5ECA" w14:textId="5F89D49F"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Na gruncie ustawy z dnia 20 lipca 2018 r. – Prawo o szkolnictwie wyższym i nauce (z późn.zm.), dalej „ustawa PSWN”, nie ma przeszkód, aby edukacja osób starszych była realizowana przez uczelnie na studiach (w oparciu o przyjęty program studiów), na studiach podyplomowych, czy też w ramach innych form kształcenia (kursy, szkolenia, warsztaty).</w:t>
      </w:r>
    </w:p>
    <w:p w14:paraId="45AECDEC"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2DD36944" w14:textId="5E1EC1BB"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t>Zgodnie z art. 70 ust. 4 Konstytucji RP władze publiczne zapewniają obywatelom powszechny i równy dostęp do wykształcenia. Granice, w jakich uczelnia może samodzielnie kształtować warunki przyjęć na studia określa art. 70 ustawy PSWN. Na studia pierwszego stopnia i jednolite studia magisterskie mogą być przyjęte osoby posiadające świadectwo dojrzałości. Na studia drugiego stopnia są przyjmowane osoby legitymujące się dyplomem ukończenia studiów. Ustawa PSWN w art. 69 daje możliwość przyjęcia na studia nie tylko przez rekrutację, ale także przez potwierdzenie efektów uczenia się uzyskanych poza systemem edukacji formalnej, ułatwiając tym samym dostęp do studiów osobom dojrzałym, posiadającym doświadczenie zdobyte poza uczelnią. Osoby te mogą być przyjęte na studia przy uwzględnieniu wcześniej uzyskanej wiedzy, umiejętności i kompetencji (efektów uczenia się), nie muszą realizować pełnych programów studiów, ale są włączane do regularnego trybu studiów jako pełnoprawni studenci. Powyższe regulacje wdrażają ideę uczenia się przez całe życie, umożliwiając rozwój oferty dydaktycznej dla niestandardowych odbiorców szkolnictwa wyższego</w:t>
      </w:r>
    </w:p>
    <w:p w14:paraId="5CFB0B75" w14:textId="77777777" w:rsidR="00486664" w:rsidRP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474EC988" w14:textId="25F37041" w:rsidR="00340EAF" w:rsidRDefault="00486664" w:rsidP="00486664">
      <w:pPr>
        <w:autoSpaceDE w:val="0"/>
        <w:autoSpaceDN w:val="0"/>
        <w:adjustRightInd w:val="0"/>
        <w:spacing w:after="0" w:line="240" w:lineRule="auto"/>
        <w:jc w:val="both"/>
        <w:rPr>
          <w:rFonts w:ascii="Lato" w:hAnsi="Lato" w:cs="TimesNewRomanPSMT"/>
          <w:color w:val="000000"/>
          <w:sz w:val="20"/>
          <w:szCs w:val="20"/>
        </w:rPr>
      </w:pPr>
      <w:r w:rsidRPr="00486664">
        <w:rPr>
          <w:rFonts w:ascii="Lato" w:hAnsi="Lato" w:cs="TimesNewRomanPSMT"/>
          <w:color w:val="000000"/>
          <w:sz w:val="20"/>
          <w:szCs w:val="20"/>
        </w:rPr>
        <w:lastRenderedPageBreak/>
        <w:t>Według danych Zintegrowanego Systemu Informacji o Szkolnictwie Wyższym i Nauce (POL-on) na dzień 31 grudnia 2022 r. na studiach doktoranckich oraz w szkołach doktorskich ubiegały się o stopień doktora 93 osoby starsze (od 60 roku życia); w tym w wieku 60 lat – 11 osób, w przedziale wiekowym 61-64 lat – 55 osób, a w wieku 65 lat i powyżej – 27 osób. W studiach podyplomowych uczestniczyło 897 osób starszych, w tym w wieku 60 lat – 194 osoby, w przedziale wiekowym 61-64 lat – 500 osób, a w wieku 65 lat i powyżej – 203 osoby.</w:t>
      </w:r>
    </w:p>
    <w:p w14:paraId="23D53AAC" w14:textId="7F886893" w:rsidR="00486664" w:rsidRDefault="00486664" w:rsidP="00486664">
      <w:pPr>
        <w:autoSpaceDE w:val="0"/>
        <w:autoSpaceDN w:val="0"/>
        <w:adjustRightInd w:val="0"/>
        <w:spacing w:after="0" w:line="240" w:lineRule="auto"/>
        <w:jc w:val="both"/>
        <w:rPr>
          <w:rFonts w:ascii="Lato" w:hAnsi="Lato" w:cs="TimesNewRomanPSMT"/>
          <w:color w:val="000000"/>
          <w:sz w:val="20"/>
          <w:szCs w:val="20"/>
        </w:rPr>
      </w:pPr>
    </w:p>
    <w:p w14:paraId="0D274934" w14:textId="08B1D64E" w:rsidR="0067132B" w:rsidRDefault="0067132B" w:rsidP="0067132B">
      <w:pPr>
        <w:pStyle w:val="Legenda"/>
        <w:keepNext/>
      </w:pPr>
      <w:bookmarkStart w:id="44" w:name="_Toc142566000"/>
      <w:r>
        <w:t xml:space="preserve">Tabela </w:t>
      </w:r>
      <w:fldSimple w:instr=" SEQ Tabela \* ARABIC ">
        <w:r w:rsidR="00AA385B">
          <w:rPr>
            <w:noProof/>
          </w:rPr>
          <w:t>37</w:t>
        </w:r>
      </w:fldSimple>
      <w:r>
        <w:t xml:space="preserve"> Uczestnicy studiów doktoranckich i szkół doktorskich, słuchacze studiów podyplomowych</w:t>
      </w:r>
      <w:bookmarkEnd w:id="44"/>
    </w:p>
    <w:tbl>
      <w:tblPr>
        <w:tblStyle w:val="Tabela-Siatka"/>
        <w:tblW w:w="0" w:type="auto"/>
        <w:tblLook w:val="04A0" w:firstRow="1" w:lastRow="0" w:firstColumn="1" w:lastColumn="0" w:noHBand="0" w:noVBand="1"/>
      </w:tblPr>
      <w:tblGrid>
        <w:gridCol w:w="1812"/>
        <w:gridCol w:w="1812"/>
        <w:gridCol w:w="1812"/>
        <w:gridCol w:w="1813"/>
        <w:gridCol w:w="1813"/>
      </w:tblGrid>
      <w:tr w:rsidR="0067132B" w:rsidRPr="0067132B" w14:paraId="0DA635B9" w14:textId="77777777" w:rsidTr="0067132B">
        <w:tc>
          <w:tcPr>
            <w:tcW w:w="1812" w:type="dxa"/>
            <w:vMerge w:val="restart"/>
            <w:shd w:val="clear" w:color="auto" w:fill="8EAADB" w:themeFill="accent1" w:themeFillTint="99"/>
          </w:tcPr>
          <w:p w14:paraId="5E7960DA" w14:textId="77777777" w:rsidR="0067132B" w:rsidRPr="0067132B" w:rsidRDefault="0067132B" w:rsidP="00EA1A9F">
            <w:pPr>
              <w:rPr>
                <w:rFonts w:ascii="Lato" w:hAnsi="Lato"/>
                <w:sz w:val="18"/>
                <w:szCs w:val="18"/>
              </w:rPr>
            </w:pPr>
          </w:p>
        </w:tc>
        <w:tc>
          <w:tcPr>
            <w:tcW w:w="5437" w:type="dxa"/>
            <w:gridSpan w:val="3"/>
            <w:shd w:val="clear" w:color="auto" w:fill="8EAADB" w:themeFill="accent1" w:themeFillTint="99"/>
          </w:tcPr>
          <w:p w14:paraId="7185669B" w14:textId="77777777" w:rsidR="0067132B" w:rsidRPr="0067132B" w:rsidRDefault="0067132B" w:rsidP="00EA1A9F">
            <w:pPr>
              <w:jc w:val="center"/>
              <w:rPr>
                <w:rFonts w:ascii="Lato" w:hAnsi="Lato"/>
                <w:sz w:val="18"/>
                <w:szCs w:val="18"/>
              </w:rPr>
            </w:pPr>
            <w:r w:rsidRPr="0067132B">
              <w:rPr>
                <w:rFonts w:ascii="Lato" w:hAnsi="Lato"/>
                <w:sz w:val="18"/>
                <w:szCs w:val="18"/>
              </w:rPr>
              <w:t>Osoby w wieku:</w:t>
            </w:r>
          </w:p>
        </w:tc>
        <w:tc>
          <w:tcPr>
            <w:tcW w:w="1813" w:type="dxa"/>
            <w:vMerge w:val="restart"/>
            <w:shd w:val="clear" w:color="auto" w:fill="8EAADB" w:themeFill="accent1" w:themeFillTint="99"/>
          </w:tcPr>
          <w:p w14:paraId="25BE393A" w14:textId="77777777" w:rsidR="0067132B" w:rsidRPr="0067132B" w:rsidRDefault="0067132B" w:rsidP="00EA1A9F">
            <w:pPr>
              <w:rPr>
                <w:rFonts w:ascii="Lato" w:hAnsi="Lato"/>
                <w:sz w:val="18"/>
                <w:szCs w:val="18"/>
              </w:rPr>
            </w:pPr>
            <w:r w:rsidRPr="0067132B">
              <w:rPr>
                <w:rFonts w:ascii="Lato" w:hAnsi="Lato"/>
                <w:sz w:val="18"/>
                <w:szCs w:val="18"/>
              </w:rPr>
              <w:t>Ogółem</w:t>
            </w:r>
          </w:p>
        </w:tc>
      </w:tr>
      <w:tr w:rsidR="0067132B" w:rsidRPr="0067132B" w14:paraId="12038125" w14:textId="77777777" w:rsidTr="0067132B">
        <w:tc>
          <w:tcPr>
            <w:tcW w:w="1812" w:type="dxa"/>
            <w:vMerge/>
            <w:shd w:val="clear" w:color="auto" w:fill="8EAADB" w:themeFill="accent1" w:themeFillTint="99"/>
          </w:tcPr>
          <w:p w14:paraId="3C67B0E8" w14:textId="77777777" w:rsidR="0067132B" w:rsidRPr="0067132B" w:rsidRDefault="0067132B" w:rsidP="00EA1A9F">
            <w:pPr>
              <w:rPr>
                <w:rFonts w:ascii="Lato" w:hAnsi="Lato"/>
                <w:sz w:val="18"/>
                <w:szCs w:val="18"/>
              </w:rPr>
            </w:pPr>
          </w:p>
        </w:tc>
        <w:tc>
          <w:tcPr>
            <w:tcW w:w="1812" w:type="dxa"/>
            <w:shd w:val="clear" w:color="auto" w:fill="8EAADB" w:themeFill="accent1" w:themeFillTint="99"/>
          </w:tcPr>
          <w:p w14:paraId="70FA7EAF" w14:textId="77777777" w:rsidR="0067132B" w:rsidRPr="0067132B" w:rsidRDefault="0067132B" w:rsidP="00EA1A9F">
            <w:pPr>
              <w:jc w:val="center"/>
              <w:rPr>
                <w:rFonts w:ascii="Lato" w:hAnsi="Lato"/>
                <w:sz w:val="18"/>
                <w:szCs w:val="18"/>
              </w:rPr>
            </w:pPr>
            <w:r w:rsidRPr="0067132B">
              <w:rPr>
                <w:rFonts w:ascii="Lato" w:hAnsi="Lato"/>
                <w:sz w:val="18"/>
                <w:szCs w:val="18"/>
              </w:rPr>
              <w:t>60 lat</w:t>
            </w:r>
          </w:p>
        </w:tc>
        <w:tc>
          <w:tcPr>
            <w:tcW w:w="1812" w:type="dxa"/>
            <w:shd w:val="clear" w:color="auto" w:fill="8EAADB" w:themeFill="accent1" w:themeFillTint="99"/>
          </w:tcPr>
          <w:p w14:paraId="54DAE793" w14:textId="77777777" w:rsidR="0067132B" w:rsidRPr="0067132B" w:rsidRDefault="0067132B" w:rsidP="00EA1A9F">
            <w:pPr>
              <w:jc w:val="center"/>
              <w:rPr>
                <w:rFonts w:ascii="Lato" w:hAnsi="Lato"/>
                <w:sz w:val="18"/>
                <w:szCs w:val="18"/>
              </w:rPr>
            </w:pPr>
            <w:r w:rsidRPr="0067132B">
              <w:rPr>
                <w:rFonts w:ascii="Lato" w:hAnsi="Lato"/>
                <w:sz w:val="18"/>
                <w:szCs w:val="18"/>
              </w:rPr>
              <w:t>61-64 lata</w:t>
            </w:r>
          </w:p>
        </w:tc>
        <w:tc>
          <w:tcPr>
            <w:tcW w:w="1813" w:type="dxa"/>
            <w:shd w:val="clear" w:color="auto" w:fill="8EAADB" w:themeFill="accent1" w:themeFillTint="99"/>
          </w:tcPr>
          <w:p w14:paraId="6CF2D0BC" w14:textId="77777777" w:rsidR="0067132B" w:rsidRPr="0067132B" w:rsidRDefault="0067132B" w:rsidP="00EA1A9F">
            <w:pPr>
              <w:jc w:val="center"/>
              <w:rPr>
                <w:rFonts w:ascii="Lato" w:hAnsi="Lato"/>
                <w:sz w:val="18"/>
                <w:szCs w:val="18"/>
              </w:rPr>
            </w:pPr>
            <w:r w:rsidRPr="0067132B">
              <w:rPr>
                <w:rFonts w:ascii="Lato" w:hAnsi="Lato"/>
                <w:sz w:val="18"/>
                <w:szCs w:val="18"/>
              </w:rPr>
              <w:t>65 lat i więcej</w:t>
            </w:r>
          </w:p>
        </w:tc>
        <w:tc>
          <w:tcPr>
            <w:tcW w:w="1813" w:type="dxa"/>
            <w:vMerge/>
            <w:shd w:val="clear" w:color="auto" w:fill="8EAADB" w:themeFill="accent1" w:themeFillTint="99"/>
          </w:tcPr>
          <w:p w14:paraId="3A3EB070" w14:textId="77777777" w:rsidR="0067132B" w:rsidRPr="0067132B" w:rsidRDefault="0067132B" w:rsidP="00EA1A9F">
            <w:pPr>
              <w:jc w:val="center"/>
              <w:rPr>
                <w:rFonts w:ascii="Lato" w:hAnsi="Lato"/>
                <w:sz w:val="18"/>
                <w:szCs w:val="18"/>
              </w:rPr>
            </w:pPr>
          </w:p>
        </w:tc>
      </w:tr>
      <w:tr w:rsidR="0067132B" w:rsidRPr="0067132B" w14:paraId="7E8EE3BE" w14:textId="77777777" w:rsidTr="00EA1A9F">
        <w:tc>
          <w:tcPr>
            <w:tcW w:w="1812" w:type="dxa"/>
            <w:vAlign w:val="center"/>
          </w:tcPr>
          <w:p w14:paraId="2B7E34B8" w14:textId="77777777" w:rsidR="0067132B" w:rsidRPr="0067132B" w:rsidRDefault="0067132B" w:rsidP="00EA1A9F">
            <w:pPr>
              <w:rPr>
                <w:rFonts w:ascii="Lato" w:hAnsi="Lato"/>
                <w:sz w:val="18"/>
                <w:szCs w:val="18"/>
              </w:rPr>
            </w:pPr>
            <w:r w:rsidRPr="0067132B">
              <w:rPr>
                <w:rFonts w:ascii="Lato" w:eastAsia="MS Mincho" w:hAnsi="Lato" w:cs="Times New Roman"/>
                <w:bCs/>
                <w:sz w:val="18"/>
                <w:szCs w:val="18"/>
              </w:rPr>
              <w:t>Uczestnicy studiów doktoranckich i szkół doktorskich</w:t>
            </w:r>
          </w:p>
        </w:tc>
        <w:tc>
          <w:tcPr>
            <w:tcW w:w="1812" w:type="dxa"/>
            <w:vAlign w:val="center"/>
          </w:tcPr>
          <w:p w14:paraId="23B94D3D"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11</w:t>
            </w:r>
          </w:p>
        </w:tc>
        <w:tc>
          <w:tcPr>
            <w:tcW w:w="1812" w:type="dxa"/>
            <w:vAlign w:val="center"/>
          </w:tcPr>
          <w:p w14:paraId="16D4E133"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55</w:t>
            </w:r>
          </w:p>
        </w:tc>
        <w:tc>
          <w:tcPr>
            <w:tcW w:w="1813" w:type="dxa"/>
            <w:vAlign w:val="center"/>
          </w:tcPr>
          <w:p w14:paraId="7FD0124D"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27</w:t>
            </w:r>
          </w:p>
        </w:tc>
        <w:tc>
          <w:tcPr>
            <w:tcW w:w="1813" w:type="dxa"/>
            <w:vAlign w:val="center"/>
          </w:tcPr>
          <w:p w14:paraId="6C5B1DB0"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93</w:t>
            </w:r>
          </w:p>
        </w:tc>
      </w:tr>
      <w:tr w:rsidR="0067132B" w:rsidRPr="0067132B" w14:paraId="261A1BEB" w14:textId="77777777" w:rsidTr="00EA1A9F">
        <w:tc>
          <w:tcPr>
            <w:tcW w:w="1812" w:type="dxa"/>
            <w:vAlign w:val="center"/>
          </w:tcPr>
          <w:p w14:paraId="4AC3E523" w14:textId="77777777" w:rsidR="0067132B" w:rsidRPr="0067132B" w:rsidRDefault="0067132B" w:rsidP="00EA1A9F">
            <w:pPr>
              <w:rPr>
                <w:rFonts w:ascii="Lato" w:hAnsi="Lato"/>
                <w:sz w:val="18"/>
                <w:szCs w:val="18"/>
              </w:rPr>
            </w:pPr>
            <w:r w:rsidRPr="0067132B">
              <w:rPr>
                <w:rFonts w:ascii="Lato" w:eastAsia="MS Mincho" w:hAnsi="Lato" w:cs="Times New Roman"/>
                <w:bCs/>
                <w:sz w:val="18"/>
                <w:szCs w:val="18"/>
              </w:rPr>
              <w:t>Słuchacze studiów podyplomowych</w:t>
            </w:r>
          </w:p>
        </w:tc>
        <w:tc>
          <w:tcPr>
            <w:tcW w:w="1812" w:type="dxa"/>
            <w:vAlign w:val="center"/>
          </w:tcPr>
          <w:p w14:paraId="583A45F5"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194</w:t>
            </w:r>
          </w:p>
        </w:tc>
        <w:tc>
          <w:tcPr>
            <w:tcW w:w="1812" w:type="dxa"/>
            <w:vAlign w:val="center"/>
          </w:tcPr>
          <w:p w14:paraId="4E9AA477"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500</w:t>
            </w:r>
          </w:p>
        </w:tc>
        <w:tc>
          <w:tcPr>
            <w:tcW w:w="1813" w:type="dxa"/>
            <w:vAlign w:val="center"/>
          </w:tcPr>
          <w:p w14:paraId="1DA4489E"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203</w:t>
            </w:r>
          </w:p>
        </w:tc>
        <w:tc>
          <w:tcPr>
            <w:tcW w:w="1813" w:type="dxa"/>
            <w:vAlign w:val="center"/>
          </w:tcPr>
          <w:p w14:paraId="428291A4"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897</w:t>
            </w:r>
          </w:p>
        </w:tc>
      </w:tr>
      <w:tr w:rsidR="0067132B" w:rsidRPr="0067132B" w14:paraId="4BB5C06F" w14:textId="77777777" w:rsidTr="00EA1A9F">
        <w:tc>
          <w:tcPr>
            <w:tcW w:w="1812" w:type="dxa"/>
            <w:vAlign w:val="center"/>
          </w:tcPr>
          <w:p w14:paraId="52ADC9F5" w14:textId="77777777" w:rsidR="0067132B" w:rsidRPr="0067132B" w:rsidRDefault="0067132B" w:rsidP="00EA1A9F">
            <w:pPr>
              <w:rPr>
                <w:rFonts w:ascii="Lato" w:hAnsi="Lato"/>
                <w:sz w:val="18"/>
                <w:szCs w:val="18"/>
              </w:rPr>
            </w:pPr>
            <w:r w:rsidRPr="0067132B">
              <w:rPr>
                <w:rFonts w:ascii="Lato" w:eastAsia="MS Mincho" w:hAnsi="Lato" w:cs="Times New Roman"/>
                <w:bCs/>
                <w:sz w:val="18"/>
                <w:szCs w:val="18"/>
              </w:rPr>
              <w:t>Razem</w:t>
            </w:r>
          </w:p>
        </w:tc>
        <w:tc>
          <w:tcPr>
            <w:tcW w:w="1812" w:type="dxa"/>
            <w:vAlign w:val="center"/>
          </w:tcPr>
          <w:p w14:paraId="70298FB2" w14:textId="77777777" w:rsidR="0067132B" w:rsidRPr="0067132B" w:rsidRDefault="0067132B" w:rsidP="00EA1A9F">
            <w:pPr>
              <w:jc w:val="center"/>
              <w:rPr>
                <w:rFonts w:ascii="Lato" w:hAnsi="Lato"/>
                <w:sz w:val="18"/>
                <w:szCs w:val="18"/>
              </w:rPr>
            </w:pPr>
            <w:r w:rsidRPr="0067132B">
              <w:rPr>
                <w:rFonts w:ascii="Lato" w:eastAsia="MS Mincho" w:hAnsi="Lato" w:cs="Times New Roman"/>
                <w:bCs/>
                <w:sz w:val="18"/>
                <w:szCs w:val="18"/>
              </w:rPr>
              <w:t>942</w:t>
            </w:r>
          </w:p>
        </w:tc>
        <w:tc>
          <w:tcPr>
            <w:tcW w:w="5438" w:type="dxa"/>
            <w:gridSpan w:val="3"/>
          </w:tcPr>
          <w:p w14:paraId="057A9BC0" w14:textId="77777777" w:rsidR="0067132B" w:rsidRPr="0067132B" w:rsidRDefault="0067132B" w:rsidP="00EA1A9F">
            <w:pPr>
              <w:jc w:val="center"/>
              <w:rPr>
                <w:rFonts w:ascii="Lato" w:hAnsi="Lato"/>
                <w:sz w:val="18"/>
                <w:szCs w:val="18"/>
              </w:rPr>
            </w:pPr>
          </w:p>
        </w:tc>
      </w:tr>
    </w:tbl>
    <w:p w14:paraId="2F20BD53" w14:textId="7DF6700B" w:rsidR="00486664" w:rsidRPr="0067132B" w:rsidRDefault="0067132B" w:rsidP="00486664">
      <w:pPr>
        <w:autoSpaceDE w:val="0"/>
        <w:autoSpaceDN w:val="0"/>
        <w:adjustRightInd w:val="0"/>
        <w:spacing w:after="0" w:line="240" w:lineRule="auto"/>
        <w:jc w:val="both"/>
        <w:rPr>
          <w:rFonts w:ascii="Lato" w:hAnsi="Lato" w:cs="TimesNewRomanPSMT"/>
          <w:color w:val="000000"/>
          <w:sz w:val="16"/>
          <w:szCs w:val="16"/>
        </w:rPr>
      </w:pPr>
      <w:r w:rsidRPr="0067132B">
        <w:rPr>
          <w:rFonts w:ascii="Lato" w:hAnsi="Lato" w:cs="TimesNewRomanPSMT"/>
          <w:color w:val="000000"/>
          <w:sz w:val="16"/>
          <w:szCs w:val="16"/>
        </w:rPr>
        <w:t>Źródło: Ministerstwo Edukacji i Nauki</w:t>
      </w:r>
    </w:p>
    <w:p w14:paraId="5DF7F568" w14:textId="0C8E865A" w:rsidR="0067132B" w:rsidRDefault="0067132B" w:rsidP="00486664">
      <w:pPr>
        <w:autoSpaceDE w:val="0"/>
        <w:autoSpaceDN w:val="0"/>
        <w:adjustRightInd w:val="0"/>
        <w:spacing w:after="0" w:line="240" w:lineRule="auto"/>
        <w:jc w:val="both"/>
        <w:rPr>
          <w:rFonts w:ascii="Lato" w:hAnsi="Lato" w:cs="TimesNewRomanPSMT"/>
          <w:color w:val="000000"/>
          <w:sz w:val="20"/>
          <w:szCs w:val="20"/>
        </w:rPr>
      </w:pPr>
    </w:p>
    <w:p w14:paraId="52C4EFEE" w14:textId="08B32653" w:rsidR="0067132B" w:rsidRPr="00BE2F9B" w:rsidRDefault="0067132B" w:rsidP="00BE2F9B">
      <w:pPr>
        <w:jc w:val="both"/>
        <w:rPr>
          <w:rFonts w:ascii="Lato" w:eastAsia="MS Mincho" w:hAnsi="Lato" w:cs="Times New Roman"/>
          <w:sz w:val="20"/>
          <w:szCs w:val="20"/>
        </w:rPr>
      </w:pPr>
      <w:r w:rsidRPr="0067132B">
        <w:rPr>
          <w:rFonts w:ascii="Lato" w:hAnsi="Lato" w:cs="Times New Roman"/>
          <w:sz w:val="20"/>
          <w:szCs w:val="20"/>
        </w:rPr>
        <w:t>Z kolei, według naszego krajowego badania  BKL z roku 2017 odsetek osób w Polsce w wieku 55-64 lat  uczestniczących w kształceniu i szkoleniu (nieobowiązkowym) w okresie 12 miesięcy przed badaniem wyniósł 22% (wynik ten znacznie przewyższa wyniki ww. AES 2016). W</w:t>
      </w:r>
      <w:r w:rsidRPr="0067132B">
        <w:rPr>
          <w:rFonts w:ascii="Lato" w:eastAsia="MS Mincho" w:hAnsi="Lato" w:cs="Times New Roman"/>
          <w:sz w:val="20"/>
          <w:szCs w:val="20"/>
        </w:rPr>
        <w:t>yższe wyniki diagnozowane w badaniu BKL można wyjaśnić tym, że w badaniach europejskich realizowanych w Polsce przez GUS (LFS i AES) pytania dla respondentów zbyt silnie kojarzą się z formami edukacji podobnymi do stosowanych w szkołach. Natomiast w badaniu BKL pytania koncentrują się na różnych sposobach nabywania umiejętności, bez sugerowania, że są one podobne do form szkolnych. Znaczna część zajęć, w których uczestniczą dorośli i które mają cechy edukacyjne, tj. w zorganizowany sposób transferujące wiedzę, umiejętności i kompetencje społeczne, mają charakter praktyczny (uczenie się przez działanie).</w:t>
      </w:r>
    </w:p>
    <w:p w14:paraId="17040479" w14:textId="34E8C54B" w:rsidR="008707D9" w:rsidRPr="00DB2792" w:rsidRDefault="00781EA1" w:rsidP="008707D9">
      <w:pPr>
        <w:pStyle w:val="Nagwek2"/>
        <w:rPr>
          <w:b/>
          <w:bCs/>
        </w:rPr>
      </w:pPr>
      <w:bookmarkStart w:id="45" w:name="_Toc142565932"/>
      <w:r w:rsidRPr="00DB2792">
        <w:rPr>
          <w:b/>
          <w:bCs/>
        </w:rPr>
        <w:t>Ministerstwo Finansów</w:t>
      </w:r>
      <w:bookmarkEnd w:id="45"/>
    </w:p>
    <w:p w14:paraId="667699C4" w14:textId="6D2E2233"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 xml:space="preserve">Osoby starsze to liczna grupa społeczna, która wymaga ułatwień w korzystaniu z Internetu (serwisy internetowe i usługowe). Jest to szczególnie ważne w przypadku serwisów administracji publicznej, do których każdy obywatel powinien mieć swobodny dostęp. </w:t>
      </w:r>
    </w:p>
    <w:p w14:paraId="1DE2F704" w14:textId="77777777" w:rsidR="004F5101" w:rsidRPr="004F5101" w:rsidRDefault="004F5101" w:rsidP="004F5101">
      <w:pPr>
        <w:spacing w:after="0" w:line="240" w:lineRule="auto"/>
        <w:jc w:val="both"/>
        <w:rPr>
          <w:rFonts w:ascii="Lato" w:eastAsia="Calibri" w:hAnsi="Lato" w:cs="Calibri"/>
          <w:sz w:val="20"/>
          <w:szCs w:val="20"/>
        </w:rPr>
      </w:pPr>
    </w:p>
    <w:p w14:paraId="678986AF" w14:textId="270B085F"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 xml:space="preserve">Ministerstwo Finansów realizowało wiele działań z zakresu dostępności cyfrowej. Wszelkie treści publikowane na stronach internetowych były jak najbardziej dostępne, w tym dla osób starszych. </w:t>
      </w:r>
    </w:p>
    <w:p w14:paraId="6D4CDB5B" w14:textId="77777777" w:rsidR="004F5101" w:rsidRPr="004F5101" w:rsidRDefault="004F5101" w:rsidP="004F5101">
      <w:pPr>
        <w:spacing w:after="0" w:line="240" w:lineRule="auto"/>
        <w:jc w:val="both"/>
        <w:rPr>
          <w:rFonts w:ascii="Lato" w:eastAsia="Calibri" w:hAnsi="Lato" w:cs="Calibri"/>
          <w:sz w:val="20"/>
          <w:szCs w:val="20"/>
        </w:rPr>
      </w:pPr>
    </w:p>
    <w:p w14:paraId="2200C89C" w14:textId="388830C3"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Resort aktywnie uczestniczył w pracach powołanego w Ministerstwie Zespołu Koordynatorów do spraw dostępności, do którego zadań należy między innymi wsparcie osób ze szczególnymi potrzebami, w tym osób starszych, w dostępie do informacji i usług świadczonych przez ministerstwo.</w:t>
      </w:r>
    </w:p>
    <w:p w14:paraId="5BC388AC" w14:textId="77777777" w:rsidR="004F5101" w:rsidRPr="004F5101" w:rsidRDefault="004F5101" w:rsidP="004F5101">
      <w:pPr>
        <w:spacing w:after="0" w:line="240" w:lineRule="auto"/>
        <w:jc w:val="both"/>
        <w:rPr>
          <w:rFonts w:ascii="Lato" w:eastAsia="Calibri" w:hAnsi="Lato" w:cs="Calibri"/>
          <w:sz w:val="20"/>
          <w:szCs w:val="20"/>
        </w:rPr>
      </w:pPr>
    </w:p>
    <w:p w14:paraId="51B5609A" w14:textId="775F1489"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Ministerstwo kontynuowało prace w ramach projektu e-Urząd Skarbowy, zapewniało wiedzę ekspercką w obszarze dostępności cyfrowej i prostego języka. Ich celem było takie zaprojektowanie usługi, aby była ona dostępna dla jak najszerszej grupy użytkowników, w tym osób starszych.</w:t>
      </w:r>
    </w:p>
    <w:p w14:paraId="15A3B4BF" w14:textId="77777777" w:rsidR="004F5101" w:rsidRPr="004F5101" w:rsidRDefault="004F5101" w:rsidP="004F5101">
      <w:pPr>
        <w:spacing w:after="0" w:line="240" w:lineRule="auto"/>
        <w:jc w:val="both"/>
        <w:rPr>
          <w:rFonts w:ascii="Lato" w:eastAsia="Calibri" w:hAnsi="Lato" w:cs="Calibri"/>
          <w:sz w:val="20"/>
          <w:szCs w:val="20"/>
        </w:rPr>
      </w:pPr>
    </w:p>
    <w:p w14:paraId="7F549FA8" w14:textId="40852E71" w:rsidR="008707D9" w:rsidRPr="004F5101"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 xml:space="preserve">W grudniu 2022 r. Ministerstwo opublikowało Poradnik dla emerytów i rencistów - jak prawidłowo rozliczyć PIT – publikacja na stronie: </w:t>
      </w:r>
      <w:hyperlink r:id="rId17" w:anchor="emeryci" w:history="1">
        <w:r w:rsidRPr="004F5101">
          <w:rPr>
            <w:rStyle w:val="Hipercze"/>
            <w:rFonts w:ascii="Lato" w:eastAsia="Calibri" w:hAnsi="Lato" w:cs="Calibri"/>
            <w:sz w:val="20"/>
            <w:szCs w:val="20"/>
          </w:rPr>
          <w:t>https://www.podatki.gov.pl/pit/poradniki-pit/#emeryci</w:t>
        </w:r>
      </w:hyperlink>
      <w:r w:rsidRPr="004F5101">
        <w:rPr>
          <w:rFonts w:ascii="Lato" w:eastAsia="Calibri" w:hAnsi="Lato" w:cs="Calibri"/>
          <w:sz w:val="20"/>
          <w:szCs w:val="20"/>
        </w:rPr>
        <w:t>. Poradnik miał pomóc w korzystaniu z usługi Twój e-PIT podczas rozliczenia podatku za 2022 r. W poradniku emeryci i renciści mogli znaleźć odpowiedzi na pytania związane z rozliczeniem PIT m.in.:</w:t>
      </w:r>
    </w:p>
    <w:p w14:paraId="6C7DF327" w14:textId="77777777" w:rsidR="008707D9" w:rsidRPr="004F5101" w:rsidRDefault="008707D9" w:rsidP="004F5101">
      <w:pPr>
        <w:numPr>
          <w:ilvl w:val="0"/>
          <w:numId w:val="2"/>
        </w:numPr>
        <w:spacing w:after="0" w:line="240" w:lineRule="auto"/>
        <w:ind w:left="723"/>
        <w:jc w:val="both"/>
        <w:rPr>
          <w:rFonts w:ascii="Lato" w:eastAsia="Calibri" w:hAnsi="Lato" w:cs="Calibri"/>
          <w:sz w:val="20"/>
          <w:szCs w:val="20"/>
        </w:rPr>
      </w:pPr>
      <w:r w:rsidRPr="004F5101">
        <w:rPr>
          <w:rFonts w:ascii="Lato" w:eastAsia="Calibri" w:hAnsi="Lato" w:cs="Calibri"/>
          <w:sz w:val="20"/>
          <w:szCs w:val="20"/>
        </w:rPr>
        <w:t>Kiedy należy złożyć więcej niż jedną deklarację podatkową?</w:t>
      </w:r>
    </w:p>
    <w:p w14:paraId="36E61A93" w14:textId="77777777" w:rsidR="008707D9" w:rsidRPr="004F5101" w:rsidRDefault="008707D9" w:rsidP="004F5101">
      <w:pPr>
        <w:numPr>
          <w:ilvl w:val="0"/>
          <w:numId w:val="2"/>
        </w:numPr>
        <w:spacing w:after="0" w:line="240" w:lineRule="auto"/>
        <w:ind w:left="723"/>
        <w:jc w:val="both"/>
        <w:rPr>
          <w:rFonts w:ascii="Lato" w:eastAsia="Calibri" w:hAnsi="Lato" w:cs="Calibri"/>
          <w:sz w:val="20"/>
          <w:szCs w:val="20"/>
        </w:rPr>
      </w:pPr>
      <w:r w:rsidRPr="004F5101">
        <w:rPr>
          <w:rFonts w:ascii="Lato" w:eastAsia="Calibri" w:hAnsi="Lato" w:cs="Calibri"/>
          <w:sz w:val="20"/>
          <w:szCs w:val="20"/>
        </w:rPr>
        <w:t>Kiedy następuje zwrot nadpłaconego podatku?</w:t>
      </w:r>
    </w:p>
    <w:p w14:paraId="34965989" w14:textId="77777777" w:rsidR="008707D9" w:rsidRPr="004F5101" w:rsidRDefault="008707D9" w:rsidP="004F5101">
      <w:pPr>
        <w:numPr>
          <w:ilvl w:val="0"/>
          <w:numId w:val="2"/>
        </w:numPr>
        <w:spacing w:after="0" w:line="240" w:lineRule="auto"/>
        <w:ind w:left="723"/>
        <w:jc w:val="both"/>
        <w:rPr>
          <w:rFonts w:ascii="Lato" w:eastAsia="Calibri" w:hAnsi="Lato" w:cs="Calibri"/>
          <w:sz w:val="20"/>
          <w:szCs w:val="20"/>
        </w:rPr>
      </w:pPr>
      <w:r w:rsidRPr="004F5101">
        <w:rPr>
          <w:rFonts w:ascii="Lato" w:eastAsia="Calibri" w:hAnsi="Lato" w:cs="Calibri"/>
          <w:sz w:val="20"/>
          <w:szCs w:val="20"/>
        </w:rPr>
        <w:t>Gdzie szukać pomocy przy rocznych rozliczeniach podatkowych?</w:t>
      </w:r>
    </w:p>
    <w:p w14:paraId="06F5B856" w14:textId="77777777" w:rsidR="008707D9" w:rsidRPr="004F5101" w:rsidRDefault="008707D9" w:rsidP="004F5101">
      <w:pPr>
        <w:numPr>
          <w:ilvl w:val="0"/>
          <w:numId w:val="2"/>
        </w:numPr>
        <w:spacing w:after="0" w:line="240" w:lineRule="auto"/>
        <w:ind w:left="723"/>
        <w:jc w:val="both"/>
        <w:rPr>
          <w:rFonts w:ascii="Lato" w:eastAsia="Calibri" w:hAnsi="Lato" w:cs="Calibri"/>
          <w:sz w:val="20"/>
          <w:szCs w:val="20"/>
        </w:rPr>
      </w:pPr>
      <w:r w:rsidRPr="004F5101">
        <w:rPr>
          <w:rFonts w:ascii="Lato" w:eastAsia="Calibri" w:hAnsi="Lato" w:cs="Calibri"/>
          <w:sz w:val="20"/>
          <w:szCs w:val="20"/>
        </w:rPr>
        <w:t>Jak rozliczyć PIT, jeśli pobierają Państwo świadczenia emerytalne lub rentowe oraz prowadzą działalność gospodarczą opodatkowaną na zasadach ogólnych?</w:t>
      </w:r>
    </w:p>
    <w:p w14:paraId="1BAD6D5F" w14:textId="4459C94B" w:rsidR="008707D9" w:rsidRDefault="008707D9" w:rsidP="004F5101">
      <w:pPr>
        <w:numPr>
          <w:ilvl w:val="0"/>
          <w:numId w:val="2"/>
        </w:numPr>
        <w:spacing w:after="0" w:line="240" w:lineRule="auto"/>
        <w:ind w:left="723"/>
        <w:jc w:val="both"/>
        <w:rPr>
          <w:rFonts w:ascii="Lato" w:eastAsia="Calibri" w:hAnsi="Lato" w:cs="Calibri"/>
          <w:sz w:val="20"/>
          <w:szCs w:val="20"/>
        </w:rPr>
      </w:pPr>
      <w:r w:rsidRPr="004F5101">
        <w:rPr>
          <w:rFonts w:ascii="Lato" w:eastAsia="Calibri" w:hAnsi="Lato" w:cs="Calibri"/>
          <w:sz w:val="20"/>
          <w:szCs w:val="20"/>
        </w:rPr>
        <w:t>Jak rozliczyć PIT po otrzymaniu informacji np. PIT-11, 40A?</w:t>
      </w:r>
    </w:p>
    <w:p w14:paraId="438C2E25" w14:textId="77777777" w:rsidR="004F5101" w:rsidRPr="004F5101" w:rsidRDefault="004F5101" w:rsidP="004F5101">
      <w:pPr>
        <w:numPr>
          <w:ilvl w:val="0"/>
          <w:numId w:val="2"/>
        </w:numPr>
        <w:spacing w:after="0" w:line="240" w:lineRule="auto"/>
        <w:ind w:left="723"/>
        <w:jc w:val="both"/>
        <w:rPr>
          <w:rFonts w:ascii="Lato" w:eastAsia="Calibri" w:hAnsi="Lato" w:cs="Calibri"/>
          <w:sz w:val="20"/>
          <w:szCs w:val="20"/>
        </w:rPr>
      </w:pPr>
    </w:p>
    <w:p w14:paraId="67499CD7" w14:textId="73D30A7E"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 xml:space="preserve">W grudniu 2022 r. i w styczniu 2023 r. odbyły się </w:t>
      </w:r>
      <w:proofErr w:type="spellStart"/>
      <w:r w:rsidRPr="004F5101">
        <w:rPr>
          <w:rFonts w:ascii="Lato" w:eastAsia="Calibri" w:hAnsi="Lato" w:cs="Calibri"/>
          <w:sz w:val="20"/>
          <w:szCs w:val="20"/>
        </w:rPr>
        <w:t>webinary</w:t>
      </w:r>
      <w:proofErr w:type="spellEnd"/>
      <w:r w:rsidRPr="004F5101">
        <w:rPr>
          <w:rFonts w:ascii="Lato" w:eastAsia="Calibri" w:hAnsi="Lato" w:cs="Calibri"/>
          <w:sz w:val="20"/>
          <w:szCs w:val="20"/>
        </w:rPr>
        <w:t xml:space="preserve"> dla pracowników urzędów skarbowych, które miały ich przygotować na nadchodzącą akcję zeznań. Podczas </w:t>
      </w:r>
      <w:proofErr w:type="spellStart"/>
      <w:r w:rsidRPr="004F5101">
        <w:rPr>
          <w:rFonts w:ascii="Lato" w:eastAsia="Calibri" w:hAnsi="Lato" w:cs="Calibri"/>
          <w:sz w:val="20"/>
          <w:szCs w:val="20"/>
        </w:rPr>
        <w:t>webinarów</w:t>
      </w:r>
      <w:proofErr w:type="spellEnd"/>
      <w:r w:rsidRPr="004F5101">
        <w:rPr>
          <w:rFonts w:ascii="Lato" w:eastAsia="Calibri" w:hAnsi="Lato" w:cs="Calibri"/>
          <w:sz w:val="20"/>
          <w:szCs w:val="20"/>
        </w:rPr>
        <w:t xml:space="preserve"> poruszane były kwestie </w:t>
      </w:r>
      <w:r w:rsidRPr="004F5101">
        <w:rPr>
          <w:rFonts w:ascii="Lato" w:eastAsia="Calibri" w:hAnsi="Lato" w:cs="Calibri"/>
          <w:sz w:val="20"/>
          <w:szCs w:val="20"/>
        </w:rPr>
        <w:lastRenderedPageBreak/>
        <w:t xml:space="preserve">rozliczeń dla osób starszych, np. ulgi rehabilitacyjnej. Na potrzeby </w:t>
      </w:r>
      <w:proofErr w:type="spellStart"/>
      <w:r w:rsidRPr="004F5101">
        <w:rPr>
          <w:rFonts w:ascii="Lato" w:eastAsia="Calibri" w:hAnsi="Lato" w:cs="Calibri"/>
          <w:sz w:val="20"/>
          <w:szCs w:val="20"/>
        </w:rPr>
        <w:t>webinarów</w:t>
      </w:r>
      <w:proofErr w:type="spellEnd"/>
      <w:r w:rsidRPr="004F5101">
        <w:rPr>
          <w:rFonts w:ascii="Lato" w:eastAsia="Calibri" w:hAnsi="Lato" w:cs="Calibri"/>
          <w:sz w:val="20"/>
          <w:szCs w:val="20"/>
        </w:rPr>
        <w:t xml:space="preserve"> przygotowana została broszura informacyjna, która uwzględniała informacje dotyczące opodatkowania osób starszych, rozliczenia ulgi rehabilitacyjnej. </w:t>
      </w:r>
    </w:p>
    <w:p w14:paraId="024687CD" w14:textId="77777777" w:rsidR="004F5101" w:rsidRPr="004F5101" w:rsidRDefault="004F5101" w:rsidP="004F5101">
      <w:pPr>
        <w:spacing w:after="0" w:line="240" w:lineRule="auto"/>
        <w:jc w:val="both"/>
        <w:rPr>
          <w:rFonts w:ascii="Lato" w:eastAsia="Calibri" w:hAnsi="Lato" w:cs="Calibri"/>
          <w:sz w:val="20"/>
          <w:szCs w:val="20"/>
        </w:rPr>
      </w:pPr>
    </w:p>
    <w:p w14:paraId="0E12E150" w14:textId="66D4790B"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Od 14 lutego do końca akcji zeznań - konsultanci obsługujący skrzynkę PIT pomagali osobom starszym podczas korzystania z usługi Twój e-PIT. W przypadku osób starszych wielokrotnie oprócz informacji przekazywanych mailowo, pomagano bezpośrednio w rozmowach telefonicznych.</w:t>
      </w:r>
    </w:p>
    <w:p w14:paraId="00349656" w14:textId="77777777" w:rsidR="004F5101" w:rsidRPr="004F5101" w:rsidRDefault="004F5101" w:rsidP="004F5101">
      <w:pPr>
        <w:spacing w:after="0" w:line="240" w:lineRule="auto"/>
        <w:jc w:val="both"/>
        <w:rPr>
          <w:rFonts w:ascii="Lato" w:eastAsia="Calibri" w:hAnsi="Lato" w:cs="Calibri"/>
          <w:sz w:val="20"/>
          <w:szCs w:val="20"/>
        </w:rPr>
      </w:pPr>
    </w:p>
    <w:p w14:paraId="055A818C" w14:textId="7C78049B"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W 2022 r. MF koordynowało projekt „Opracowanie Krajowej Strategii Edukacji Finansowej”. W projekt zaangażowane było 9 instytucji Rady Edukacji Finansowej. Projekt powstawał również we współpracy z szerokim gronem interesariuszy zaangażowanych w edukację finansową – były wśród nich stowarzyszenia branżowe podmiotów rynku finansowego, organizacje pozarządowe oraz przedstawiciele środowiska akademickiego. Projekt realizowany był dzięki wsparciu finansowemu Komisji Europejskiej i pomocy ekspertów OECD.</w:t>
      </w:r>
    </w:p>
    <w:p w14:paraId="2355A453" w14:textId="77777777" w:rsidR="004F5101" w:rsidRPr="004F5101" w:rsidRDefault="004F5101" w:rsidP="004F5101">
      <w:pPr>
        <w:spacing w:after="0" w:line="240" w:lineRule="auto"/>
        <w:jc w:val="both"/>
        <w:rPr>
          <w:rFonts w:ascii="Lato" w:eastAsia="Calibri" w:hAnsi="Lato" w:cs="Calibri"/>
          <w:sz w:val="20"/>
          <w:szCs w:val="20"/>
        </w:rPr>
      </w:pPr>
    </w:p>
    <w:p w14:paraId="37252078" w14:textId="42FC0099" w:rsidR="008707D9" w:rsidRDefault="008707D9" w:rsidP="004F5101">
      <w:pPr>
        <w:spacing w:after="0" w:line="240" w:lineRule="auto"/>
        <w:jc w:val="both"/>
        <w:rPr>
          <w:rFonts w:ascii="Lato" w:eastAsia="Calibri" w:hAnsi="Lato" w:cs="Calibri"/>
          <w:sz w:val="20"/>
          <w:szCs w:val="20"/>
        </w:rPr>
      </w:pPr>
      <w:r w:rsidRPr="004F5101">
        <w:rPr>
          <w:rFonts w:ascii="Lato" w:eastAsia="Calibri" w:hAnsi="Lato" w:cs="Calibri"/>
          <w:sz w:val="20"/>
          <w:szCs w:val="20"/>
        </w:rPr>
        <w:t>Projekt strategii zwraca uwagę m.in., że osoby starsze stanowią w Polsce grupę szczególnie narażoną na trudności związane z finansami. Z analizy badań wynika, że w 2020 r. emeryci mieli najniższy średni miesięczny dochód rozporządzalny na osobę w porównaniu z jakąkolwiek inną grupą wiekową w Polsce, a ich średni dochód na osobę był o 20,7% niższy od średniej krajowej. Wskaźnik ubóstwa dochodowego osób starszych w Polsce wzrastał na przestrzeni lat (osiągając 12,8% w 2021 r.; w 2014 r. wynosił 7,6%). Osoby w wieku 55 lat i więcej charakteryzują się mniejszym włączeniem finansowym</w:t>
      </w:r>
      <w:r w:rsidRPr="004F5101">
        <w:rPr>
          <w:rFonts w:ascii="Lato" w:eastAsia="Calibri" w:hAnsi="Lato" w:cs="ArialMT"/>
          <w:sz w:val="20"/>
          <w:szCs w:val="20"/>
        </w:rPr>
        <w:t xml:space="preserve">. </w:t>
      </w:r>
      <w:r w:rsidRPr="004F5101">
        <w:rPr>
          <w:rFonts w:ascii="Lato" w:eastAsia="Calibri" w:hAnsi="Lato" w:cs="Arial"/>
          <w:sz w:val="20"/>
          <w:szCs w:val="20"/>
        </w:rPr>
        <w:t xml:space="preserve">Dlatego jest to jedna z grup docelowych wskazanych w projekcie strategii, do której będą adresowane działania realizowane w jej ramach. </w:t>
      </w:r>
      <w:r w:rsidRPr="004F5101">
        <w:rPr>
          <w:rFonts w:ascii="Lato" w:eastAsia="Calibri" w:hAnsi="Lato" w:cs="Calibri"/>
          <w:sz w:val="20"/>
          <w:szCs w:val="20"/>
        </w:rPr>
        <w:t>Długoterminowym celem proponowanej strategii jest doprowadzenie do sytuacji, w której mieszkańcy Polski, w tym osoby starsze, będą mieli niezbędne kompetencje finansowe, które pomogą im poprawić ogólną odporność finansową oraz zapewnią finansowy dobrostan.</w:t>
      </w:r>
    </w:p>
    <w:p w14:paraId="58AFC4A6" w14:textId="77777777" w:rsidR="00DB2792" w:rsidRPr="004F5101" w:rsidRDefault="00DB2792" w:rsidP="004F5101">
      <w:pPr>
        <w:spacing w:after="0" w:line="240" w:lineRule="auto"/>
        <w:jc w:val="both"/>
        <w:rPr>
          <w:rFonts w:ascii="Lato" w:eastAsia="Calibri" w:hAnsi="Lato" w:cs="Calibri"/>
          <w:sz w:val="20"/>
          <w:szCs w:val="20"/>
        </w:rPr>
      </w:pPr>
    </w:p>
    <w:p w14:paraId="6D7ECE0F" w14:textId="2180B5B9" w:rsidR="004220AA" w:rsidRPr="00DB2792" w:rsidRDefault="00781EA1" w:rsidP="004220AA">
      <w:pPr>
        <w:pStyle w:val="Nagwek2"/>
        <w:rPr>
          <w:b/>
          <w:bCs/>
        </w:rPr>
      </w:pPr>
      <w:bookmarkStart w:id="46" w:name="_Toc142565933"/>
      <w:r w:rsidRPr="00DB2792">
        <w:rPr>
          <w:b/>
          <w:bCs/>
        </w:rPr>
        <w:t>Ministerstwo Funduszy i Polityki Regionalnej</w:t>
      </w:r>
      <w:bookmarkEnd w:id="46"/>
    </w:p>
    <w:p w14:paraId="503C2EFA" w14:textId="77777777" w:rsidR="00CC25E3" w:rsidRDefault="00841608" w:rsidP="004F5101">
      <w:pPr>
        <w:spacing w:after="0" w:line="240" w:lineRule="auto"/>
        <w:jc w:val="both"/>
        <w:rPr>
          <w:rFonts w:ascii="Lato" w:eastAsia="Arial" w:hAnsi="Lato" w:cs="Arial"/>
          <w:sz w:val="20"/>
          <w:szCs w:val="20"/>
        </w:rPr>
      </w:pPr>
      <w:r w:rsidRPr="00841608">
        <w:rPr>
          <w:rFonts w:ascii="Lato" w:eastAsia="Arial" w:hAnsi="Lato" w:cs="Arial"/>
          <w:sz w:val="20"/>
          <w:szCs w:val="20"/>
        </w:rPr>
        <w:t xml:space="preserve">W 2022 r. 5 tzw. inkubatorów dostępności, które w 2019 r. zostały wyłonione w ramach konkursu na inkubację innowacji społecznych w temacie dostępności, kontynuowało swoją działalność. Ich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 </w:t>
      </w:r>
    </w:p>
    <w:p w14:paraId="35607D99" w14:textId="77777777" w:rsidR="00CC25E3" w:rsidRDefault="00CC25E3" w:rsidP="004F5101">
      <w:pPr>
        <w:spacing w:after="0" w:line="240" w:lineRule="auto"/>
        <w:jc w:val="both"/>
        <w:rPr>
          <w:rFonts w:ascii="Lato" w:eastAsia="Arial" w:hAnsi="Lato" w:cs="Arial"/>
          <w:sz w:val="20"/>
          <w:szCs w:val="20"/>
        </w:rPr>
      </w:pPr>
    </w:p>
    <w:p w14:paraId="2F976690" w14:textId="77777777" w:rsidR="00CC25E3" w:rsidRDefault="00841608" w:rsidP="004F5101">
      <w:pPr>
        <w:spacing w:after="0" w:line="240" w:lineRule="auto"/>
        <w:jc w:val="both"/>
        <w:rPr>
          <w:rFonts w:ascii="Lato" w:eastAsia="Arial" w:hAnsi="Lato" w:cs="Arial"/>
          <w:sz w:val="20"/>
          <w:szCs w:val="20"/>
        </w:rPr>
      </w:pPr>
      <w:r w:rsidRPr="00841608">
        <w:rPr>
          <w:rFonts w:ascii="Lato" w:eastAsia="Arial" w:hAnsi="Lato" w:cs="Arial"/>
          <w:sz w:val="20"/>
          <w:szCs w:val="20"/>
        </w:rPr>
        <w:t xml:space="preserve">Do zakresu obowiązków inkubatorów należy poszukiwanie najciekawszych inicjatyw w ww. obszarze, udzielenie niezbędnej pomocy, aby mogły się one rozwinąć w konkretne rozwiązania, a na końcu wdrożenie do praktyki tych rozwiązań, które w trakcie testowania sprawdzą się najlepiej. Inkubatory udzielają pomocy eksperckiej i finansowej w formie grantu osobom indywidualnym, grupom innowatorów lub innym małym podmiotom (np. firmom, organizacjom pozarządowym), które mają pomysł na to, jak sprawić, aby osoby z niepełnosprawnościami czy osoby starsze o ograniczonej mobilności lub percepcji w jak największym stopniu mogły samodzielnie funkcjonować w codziennym życiu  i nie były wykluczone z możliwości korzystania z usług publicznych oraz innych o charakterze powszechnym (np. dostęp do mediów elektronicznych, dóbr kultury czy usług ochrony zdrowia). </w:t>
      </w:r>
    </w:p>
    <w:p w14:paraId="4D9A9DEE" w14:textId="77777777" w:rsidR="00CC25E3" w:rsidRDefault="00CC25E3" w:rsidP="004F5101">
      <w:pPr>
        <w:spacing w:after="0" w:line="240" w:lineRule="auto"/>
        <w:jc w:val="both"/>
        <w:rPr>
          <w:rFonts w:ascii="Lato" w:eastAsia="Arial" w:hAnsi="Lato" w:cs="Arial"/>
          <w:sz w:val="20"/>
          <w:szCs w:val="20"/>
        </w:rPr>
      </w:pPr>
    </w:p>
    <w:p w14:paraId="595EC376" w14:textId="3FA99864" w:rsidR="00841608" w:rsidRDefault="00841608" w:rsidP="004F5101">
      <w:pPr>
        <w:spacing w:after="0" w:line="240" w:lineRule="auto"/>
        <w:jc w:val="both"/>
        <w:rPr>
          <w:rFonts w:ascii="Lato" w:eastAsia="Arial" w:hAnsi="Lato" w:cs="Arial"/>
          <w:sz w:val="20"/>
          <w:szCs w:val="20"/>
        </w:rPr>
      </w:pPr>
      <w:r w:rsidRPr="00841608">
        <w:rPr>
          <w:rFonts w:ascii="Lato" w:eastAsia="Arial" w:hAnsi="Lato" w:cs="Arial"/>
          <w:sz w:val="20"/>
          <w:szCs w:val="20"/>
        </w:rPr>
        <w:t>Inkubatory w 2022 r. w ramach prowadzonych naborów na innowacyjne pomysły zawarły 220 umów o powierzenie grantu na ich testowanie. Jednym z pomysłów mających na celu poprawę jakości życia osób starszych jest rozwiązanie pn. „kapsuła czasu – recepta na samotność”. Jest to model nowatorskich warsztatów kulinarnych i informatycznych dla osób starszych, gdzie rolę nauczycieli pełni młodzież szkolna. Innowacja wprowadza nową formę spotkań młodzieży z osobami starszymi z takiej, gdzie seniorzy uczą młodych albo dzielą się swoim doświadczeniem na formułę, gdzie młodzi ludzie mogą wprowadzać seniorów w swój świat. Udział w warsztatach kulinarnych i informatycznych ma na celu podjęcie na nowo aktywności społecznej, nawiązanie kontaktu i relacji z osobami młodymi oraz nabycia wiedzy w zakresie przygotowywania posiłków, zdrowego odżywiania i umiejętności korzystania z nowoczesnych technologii w życiu codziennym.</w:t>
      </w:r>
    </w:p>
    <w:p w14:paraId="68480181" w14:textId="77777777" w:rsidR="00CC25E3" w:rsidRPr="00841608" w:rsidRDefault="00CC25E3" w:rsidP="004F5101">
      <w:pPr>
        <w:spacing w:after="0" w:line="240" w:lineRule="auto"/>
        <w:jc w:val="both"/>
        <w:rPr>
          <w:rFonts w:ascii="Lato" w:hAnsi="Lato"/>
          <w:sz w:val="20"/>
          <w:szCs w:val="20"/>
        </w:rPr>
      </w:pPr>
    </w:p>
    <w:p w14:paraId="237D74FD" w14:textId="1498E7D9" w:rsidR="00841608" w:rsidRDefault="00841608" w:rsidP="004F5101">
      <w:pPr>
        <w:spacing w:after="0" w:line="240" w:lineRule="auto"/>
        <w:jc w:val="both"/>
        <w:rPr>
          <w:rFonts w:ascii="Lato" w:eastAsia="Arial" w:hAnsi="Lato" w:cs="Arial"/>
          <w:sz w:val="20"/>
          <w:szCs w:val="20"/>
        </w:rPr>
      </w:pPr>
      <w:r w:rsidRPr="00841608">
        <w:rPr>
          <w:rFonts w:ascii="Lato" w:eastAsia="Arial" w:hAnsi="Lato" w:cs="Arial"/>
          <w:sz w:val="20"/>
          <w:szCs w:val="20"/>
        </w:rPr>
        <w:lastRenderedPageBreak/>
        <w:t>W 2022 r. działało również 6 inkubatorów innowacji społecznych w obszarze włączenie społeczne, w ramach których były też opracowywane nowatorskie rozwiązania ukierunkowane na poprawę komfortu życia osób starszych.</w:t>
      </w:r>
    </w:p>
    <w:p w14:paraId="490321F5" w14:textId="77777777" w:rsidR="00841608" w:rsidRPr="00841608" w:rsidRDefault="00841608" w:rsidP="004F5101">
      <w:pPr>
        <w:spacing w:after="0" w:line="240" w:lineRule="auto"/>
        <w:jc w:val="both"/>
        <w:rPr>
          <w:rFonts w:ascii="Lato" w:hAnsi="Lato"/>
          <w:sz w:val="20"/>
          <w:szCs w:val="20"/>
        </w:rPr>
      </w:pPr>
    </w:p>
    <w:p w14:paraId="5DD28FBB" w14:textId="183AA1B4" w:rsidR="00841608" w:rsidRDefault="00841608" w:rsidP="004F5101">
      <w:pPr>
        <w:spacing w:after="0" w:line="240" w:lineRule="auto"/>
        <w:jc w:val="both"/>
        <w:rPr>
          <w:rFonts w:ascii="Lato" w:eastAsia="Arial" w:hAnsi="Lato" w:cs="Arial"/>
          <w:sz w:val="20"/>
          <w:szCs w:val="20"/>
        </w:rPr>
      </w:pPr>
      <w:r w:rsidRPr="00841608">
        <w:rPr>
          <w:rFonts w:ascii="Lato" w:eastAsia="Arial" w:hAnsi="Lato" w:cs="Arial"/>
          <w:sz w:val="20"/>
          <w:szCs w:val="20"/>
        </w:rPr>
        <w:t>W 2022 r. kontynuowano realizację projektu mającego na celu wyskalowanie innowacji, która została wypracowana w jednym z inkubatorów innowacji społecznych i jest ukierunkowana na wsparcie osób starszych. Przedsięwzięcie „Obiady terapeutyczne” polega na zapewnieniu zdrowych posiłków osobom starszym wymagającym wsparcia w codziennym funkcjonowaniu, przebywającym w swoich domach przez uczestników warsztatów terapii zajęciowej (WTZ), którzy trenują m.in. umiejętności kulinarne. Dzięki temu rozwiązaniu zyskują seniorzy, którzy otrzymują do domu zdrowe, przygotowane przez uczestników warsztatów w oparciu o zalecenia dietetyka posiłki. Dla uczestników WTZ zaangażowanie się w pomoc seniorom jest formą rehabilitacji, pozwala rozwijać umiejętności społeczne i zawodowe, daje możliwość do nawiązywania nowych kontaktów. Osoba starsza i uczestnik WTZ mogą się lepiej poznać i zbudować bliską więź, która oddziałuje terapeutycznie na obie strony. W 2022 r. 21 podmiotów wdrożyło powyższe rozwiązanie, a 252 osoby starsze otrzymały wsparcie.</w:t>
      </w:r>
    </w:p>
    <w:p w14:paraId="1C5A26DF" w14:textId="77777777" w:rsidR="00841608" w:rsidRPr="00841608" w:rsidRDefault="00841608" w:rsidP="004F5101">
      <w:pPr>
        <w:spacing w:after="0" w:line="240" w:lineRule="auto"/>
        <w:rPr>
          <w:rFonts w:ascii="Lato" w:hAnsi="Lato"/>
          <w:sz w:val="20"/>
          <w:szCs w:val="20"/>
        </w:rPr>
      </w:pPr>
    </w:p>
    <w:p w14:paraId="5F94F9FA" w14:textId="7EA6F31A" w:rsidR="00981A89" w:rsidRPr="00DB2792" w:rsidRDefault="00781EA1" w:rsidP="00981A89">
      <w:pPr>
        <w:pStyle w:val="Nagwek2"/>
        <w:rPr>
          <w:b/>
          <w:bCs/>
        </w:rPr>
      </w:pPr>
      <w:bookmarkStart w:id="47" w:name="_Toc142565934"/>
      <w:r w:rsidRPr="00DB2792">
        <w:rPr>
          <w:b/>
          <w:bCs/>
        </w:rPr>
        <w:t>Ministerstwo Klimatu i Środowiska</w:t>
      </w:r>
      <w:bookmarkEnd w:id="47"/>
    </w:p>
    <w:p w14:paraId="6AF94E3E" w14:textId="196F33AC" w:rsidR="004220AA" w:rsidRPr="00894B0E" w:rsidRDefault="004220AA" w:rsidP="00811520">
      <w:pPr>
        <w:autoSpaceDE w:val="0"/>
        <w:autoSpaceDN w:val="0"/>
        <w:adjustRightInd w:val="0"/>
        <w:spacing w:after="0" w:line="240" w:lineRule="auto"/>
        <w:jc w:val="both"/>
        <w:rPr>
          <w:rFonts w:ascii="Lato" w:hAnsi="Lato" w:cs="Times New Roman"/>
          <w:sz w:val="20"/>
          <w:szCs w:val="20"/>
        </w:rPr>
      </w:pPr>
      <w:r w:rsidRPr="00894B0E">
        <w:rPr>
          <w:rFonts w:ascii="Lato" w:hAnsi="Lato" w:cs="Times New Roman"/>
          <w:sz w:val="20"/>
          <w:szCs w:val="20"/>
        </w:rPr>
        <w:t>Osoby starsze mogły skorzystać z działań realizowanych przez Babiogórski Park Narodowy, Białowieski Park Narodowy, Biebrzański Park Narodowy, Bieszczadzki Park Narodowy, Park Narodowy „Bory Tucholskie", Drawieński Park Narodowy, Gorczański Park Narodowy, Park Narodowy Gór Stołowych, Kampinoski Park Narodowy, Karkonoski Park Narodowy, Magurski Park Narodowy, Narwiański Park Narodowy, Ojcowski Park Narodowy, Pieniński Park Narodowy, Poleski Park Narodowy, Roztoczański Park Narodowy, Słowiński Park Narodowy, Świętokrzyski Park Narodowy, Tatrzański Park Narodowy, Park Narodowy „Ujście Warty”, Wielkopolski Park Narodowy, Wigierski Park Narodowy, Woliński Park Narodowy.</w:t>
      </w:r>
    </w:p>
    <w:p w14:paraId="2A77178D" w14:textId="778B2B6F" w:rsidR="00981A89" w:rsidRPr="00981A89" w:rsidRDefault="00981A89" w:rsidP="00981A89">
      <w:pPr>
        <w:spacing w:after="0"/>
        <w:rPr>
          <w:rFonts w:ascii="Lato" w:hAnsi="Lato"/>
          <w:b/>
          <w:bCs/>
          <w:sz w:val="20"/>
          <w:szCs w:val="20"/>
        </w:rPr>
      </w:pPr>
    </w:p>
    <w:p w14:paraId="23F59F06" w14:textId="2B50195D" w:rsidR="00811520" w:rsidRDefault="00811520" w:rsidP="00811520">
      <w:pPr>
        <w:pStyle w:val="Legenda"/>
        <w:keepNext/>
      </w:pPr>
      <w:bookmarkStart w:id="48" w:name="_Toc142566001"/>
      <w:r>
        <w:t xml:space="preserve">Tabela </w:t>
      </w:r>
      <w:fldSimple w:instr=" SEQ Tabela \* ARABIC ">
        <w:r w:rsidR="00AA385B">
          <w:rPr>
            <w:noProof/>
          </w:rPr>
          <w:t>38</w:t>
        </w:r>
      </w:fldSimple>
      <w:r>
        <w:t xml:space="preserve"> </w:t>
      </w:r>
      <w:r w:rsidRPr="006D7EAE">
        <w:t>Działania Parków Narodowych w 2022 r. skierowane do osób starszych (ułatwiające lub zachęcające osoby starsze do korzystania z oferty Parków</w:t>
      </w:r>
      <w:bookmarkEnd w:id="48"/>
    </w:p>
    <w:tbl>
      <w:tblPr>
        <w:tblStyle w:val="Tabela-Siatka"/>
        <w:tblW w:w="0" w:type="auto"/>
        <w:shd w:val="clear" w:color="auto" w:fill="FFFFFF" w:themeFill="background1"/>
        <w:tblLook w:val="04A0" w:firstRow="1" w:lastRow="0" w:firstColumn="1" w:lastColumn="0" w:noHBand="0" w:noVBand="1"/>
      </w:tblPr>
      <w:tblGrid>
        <w:gridCol w:w="471"/>
        <w:gridCol w:w="3025"/>
        <w:gridCol w:w="1616"/>
        <w:gridCol w:w="3950"/>
      </w:tblGrid>
      <w:tr w:rsidR="00C97BE2" w:rsidRPr="0019609D" w14:paraId="7ADF3390" w14:textId="77777777" w:rsidTr="0019609D">
        <w:tc>
          <w:tcPr>
            <w:tcW w:w="472" w:type="dxa"/>
            <w:shd w:val="clear" w:color="auto" w:fill="8EAADB" w:themeFill="accent1" w:themeFillTint="99"/>
            <w:vAlign w:val="center"/>
          </w:tcPr>
          <w:p w14:paraId="24A04404" w14:textId="77777777" w:rsidR="00C97BE2" w:rsidRPr="0019609D" w:rsidRDefault="00C97BE2" w:rsidP="00C97BE2">
            <w:pPr>
              <w:jc w:val="center"/>
              <w:rPr>
                <w:rFonts w:ascii="Lato" w:hAnsi="Lato"/>
                <w:b/>
                <w:bCs/>
                <w:sz w:val="18"/>
                <w:szCs w:val="18"/>
              </w:rPr>
            </w:pPr>
            <w:r w:rsidRPr="0019609D">
              <w:rPr>
                <w:rFonts w:ascii="Lato" w:hAnsi="Lato"/>
                <w:b/>
                <w:bCs/>
                <w:sz w:val="18"/>
                <w:szCs w:val="18"/>
              </w:rPr>
              <w:t>Lp.</w:t>
            </w:r>
          </w:p>
        </w:tc>
        <w:tc>
          <w:tcPr>
            <w:tcW w:w="3026" w:type="dxa"/>
            <w:shd w:val="clear" w:color="auto" w:fill="8EAADB" w:themeFill="accent1" w:themeFillTint="99"/>
            <w:vAlign w:val="center"/>
          </w:tcPr>
          <w:p w14:paraId="335E19CE" w14:textId="77777777" w:rsidR="00C97BE2" w:rsidRPr="0019609D" w:rsidRDefault="00C97BE2" w:rsidP="00C97BE2">
            <w:pPr>
              <w:jc w:val="center"/>
              <w:rPr>
                <w:rFonts w:ascii="Lato" w:hAnsi="Lato"/>
                <w:b/>
                <w:bCs/>
                <w:sz w:val="18"/>
                <w:szCs w:val="18"/>
              </w:rPr>
            </w:pPr>
            <w:r w:rsidRPr="0019609D">
              <w:rPr>
                <w:rFonts w:ascii="Lato" w:hAnsi="Lato"/>
                <w:b/>
                <w:bCs/>
                <w:sz w:val="18"/>
                <w:szCs w:val="18"/>
              </w:rPr>
              <w:t>Nazwa zadania</w:t>
            </w:r>
          </w:p>
        </w:tc>
        <w:tc>
          <w:tcPr>
            <w:tcW w:w="1616" w:type="dxa"/>
            <w:shd w:val="clear" w:color="auto" w:fill="8EAADB" w:themeFill="accent1" w:themeFillTint="99"/>
            <w:vAlign w:val="center"/>
          </w:tcPr>
          <w:p w14:paraId="3C10D132" w14:textId="77777777" w:rsidR="00C97BE2" w:rsidRPr="0019609D" w:rsidRDefault="00C97BE2" w:rsidP="00C97BE2">
            <w:pPr>
              <w:jc w:val="center"/>
              <w:rPr>
                <w:rFonts w:ascii="Lato" w:hAnsi="Lato"/>
                <w:b/>
                <w:bCs/>
                <w:spacing w:val="-4"/>
                <w:sz w:val="18"/>
                <w:szCs w:val="18"/>
              </w:rPr>
            </w:pPr>
            <w:r w:rsidRPr="0019609D">
              <w:rPr>
                <w:rFonts w:ascii="Lato" w:hAnsi="Lato"/>
                <w:b/>
                <w:bCs/>
                <w:spacing w:val="-4"/>
                <w:sz w:val="18"/>
                <w:szCs w:val="18"/>
              </w:rPr>
              <w:t>Termin realizacji /wdrożenia</w:t>
            </w:r>
          </w:p>
        </w:tc>
        <w:tc>
          <w:tcPr>
            <w:tcW w:w="3952" w:type="dxa"/>
            <w:shd w:val="clear" w:color="auto" w:fill="8EAADB" w:themeFill="accent1" w:themeFillTint="99"/>
            <w:vAlign w:val="center"/>
          </w:tcPr>
          <w:p w14:paraId="6C365170" w14:textId="77777777" w:rsidR="00C97BE2" w:rsidRPr="0019609D" w:rsidRDefault="00C97BE2" w:rsidP="00C97BE2">
            <w:pPr>
              <w:jc w:val="center"/>
              <w:rPr>
                <w:rFonts w:ascii="Lato" w:hAnsi="Lato"/>
                <w:b/>
                <w:bCs/>
                <w:sz w:val="18"/>
                <w:szCs w:val="18"/>
              </w:rPr>
            </w:pPr>
            <w:r w:rsidRPr="0019609D">
              <w:rPr>
                <w:rFonts w:ascii="Lato" w:hAnsi="Lato"/>
                <w:b/>
                <w:bCs/>
                <w:sz w:val="18"/>
                <w:szCs w:val="18"/>
              </w:rPr>
              <w:t>Krótki opis zadania</w:t>
            </w:r>
          </w:p>
        </w:tc>
      </w:tr>
      <w:tr w:rsidR="00C97BE2" w:rsidRPr="0019609D" w14:paraId="68745E5A" w14:textId="77777777" w:rsidTr="0019609D">
        <w:tc>
          <w:tcPr>
            <w:tcW w:w="9066" w:type="dxa"/>
            <w:gridSpan w:val="4"/>
            <w:shd w:val="clear" w:color="auto" w:fill="FFFFFF" w:themeFill="background1"/>
          </w:tcPr>
          <w:p w14:paraId="5FCA2182" w14:textId="77777777" w:rsidR="00C97BE2" w:rsidRPr="0019609D" w:rsidRDefault="00C97BE2" w:rsidP="00C97BE2">
            <w:pPr>
              <w:jc w:val="center"/>
              <w:rPr>
                <w:rFonts w:ascii="Lato" w:hAnsi="Lato"/>
                <w:b/>
                <w:bCs/>
                <w:sz w:val="18"/>
                <w:szCs w:val="18"/>
              </w:rPr>
            </w:pPr>
            <w:bookmarkStart w:id="49" w:name="_Hlk136336768"/>
            <w:r w:rsidRPr="0019609D">
              <w:rPr>
                <w:rFonts w:ascii="Lato" w:hAnsi="Lato"/>
                <w:b/>
                <w:bCs/>
                <w:sz w:val="18"/>
                <w:szCs w:val="18"/>
              </w:rPr>
              <w:t>Babiogórski Park Narodowy</w:t>
            </w:r>
          </w:p>
        </w:tc>
      </w:tr>
      <w:tr w:rsidR="00C97BE2" w:rsidRPr="0019609D" w14:paraId="77614765" w14:textId="77777777" w:rsidTr="0019609D">
        <w:tc>
          <w:tcPr>
            <w:tcW w:w="472" w:type="dxa"/>
            <w:shd w:val="clear" w:color="auto" w:fill="FFFFFF" w:themeFill="background1"/>
          </w:tcPr>
          <w:p w14:paraId="535492A3"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shd w:val="clear" w:color="auto" w:fill="FFFFFF" w:themeFill="background1"/>
          </w:tcPr>
          <w:p w14:paraId="6E8A5F4A" w14:textId="77777777" w:rsidR="00C97BE2" w:rsidRPr="0019609D" w:rsidRDefault="00C97BE2" w:rsidP="00C97BE2">
            <w:pPr>
              <w:rPr>
                <w:rFonts w:ascii="Lato" w:hAnsi="Lato"/>
                <w:sz w:val="18"/>
                <w:szCs w:val="18"/>
              </w:rPr>
            </w:pPr>
            <w:r w:rsidRPr="0019609D">
              <w:rPr>
                <w:rFonts w:ascii="Lato" w:hAnsi="Lato"/>
                <w:sz w:val="18"/>
                <w:szCs w:val="18"/>
              </w:rPr>
              <w:t xml:space="preserve">Wystawa Stała </w:t>
            </w:r>
            <w:proofErr w:type="spellStart"/>
            <w:r w:rsidRPr="0019609D">
              <w:rPr>
                <w:rFonts w:ascii="Lato" w:hAnsi="Lato"/>
                <w:sz w:val="18"/>
                <w:szCs w:val="18"/>
              </w:rPr>
              <w:t>BgPN</w:t>
            </w:r>
            <w:proofErr w:type="spellEnd"/>
          </w:p>
        </w:tc>
        <w:tc>
          <w:tcPr>
            <w:tcW w:w="1616" w:type="dxa"/>
            <w:shd w:val="clear" w:color="auto" w:fill="FFFFFF" w:themeFill="background1"/>
          </w:tcPr>
          <w:p w14:paraId="4D767F2F" w14:textId="77777777" w:rsidR="00C97BE2" w:rsidRPr="0019609D" w:rsidRDefault="00C97BE2" w:rsidP="00C97BE2">
            <w:pPr>
              <w:rPr>
                <w:rFonts w:ascii="Lato" w:hAnsi="Lato"/>
                <w:sz w:val="18"/>
                <w:szCs w:val="18"/>
              </w:rPr>
            </w:pPr>
            <w:r w:rsidRPr="0019609D">
              <w:rPr>
                <w:rFonts w:ascii="Lato" w:hAnsi="Lato"/>
                <w:sz w:val="18"/>
                <w:szCs w:val="18"/>
              </w:rPr>
              <w:t>całorocznie</w:t>
            </w:r>
          </w:p>
        </w:tc>
        <w:tc>
          <w:tcPr>
            <w:tcW w:w="3952" w:type="dxa"/>
            <w:shd w:val="clear" w:color="auto" w:fill="FFFFFF" w:themeFill="background1"/>
          </w:tcPr>
          <w:p w14:paraId="55FA1E17" w14:textId="77777777" w:rsidR="00C97BE2" w:rsidRPr="0019609D" w:rsidRDefault="00C97BE2" w:rsidP="00C97BE2">
            <w:pPr>
              <w:rPr>
                <w:rFonts w:ascii="Lato" w:hAnsi="Lato"/>
                <w:sz w:val="18"/>
                <w:szCs w:val="18"/>
              </w:rPr>
            </w:pPr>
            <w:r w:rsidRPr="0019609D">
              <w:rPr>
                <w:rFonts w:ascii="Lato" w:hAnsi="Lato"/>
                <w:sz w:val="18"/>
                <w:szCs w:val="18"/>
              </w:rPr>
              <w:t>Park udostępnia ekspozycję przyrodniczą i kulturową poświęconą Babiej Górze, która jest dostosowana do potrzeb osób z ograniczoną zdolnością ruchu oraz osób słabowidzących. Z ekspozycji często korzystają emeryci wypoczywający w okolicach Babiej Góry. Na ekspozycję można się dostać korzystając z windy.</w:t>
            </w:r>
          </w:p>
        </w:tc>
      </w:tr>
      <w:tr w:rsidR="00C97BE2" w:rsidRPr="0019609D" w14:paraId="1F886C19" w14:textId="77777777" w:rsidTr="0019609D">
        <w:tc>
          <w:tcPr>
            <w:tcW w:w="472" w:type="dxa"/>
            <w:shd w:val="clear" w:color="auto" w:fill="FFFFFF" w:themeFill="background1"/>
          </w:tcPr>
          <w:p w14:paraId="69FCF53C"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shd w:val="clear" w:color="auto" w:fill="FFFFFF" w:themeFill="background1"/>
          </w:tcPr>
          <w:p w14:paraId="2858EF44" w14:textId="77777777" w:rsidR="00C97BE2" w:rsidRPr="0019609D" w:rsidRDefault="00C97BE2" w:rsidP="00C97BE2">
            <w:pPr>
              <w:rPr>
                <w:rFonts w:ascii="Lato" w:hAnsi="Lato"/>
                <w:sz w:val="18"/>
                <w:szCs w:val="18"/>
              </w:rPr>
            </w:pPr>
            <w:r w:rsidRPr="0019609D">
              <w:rPr>
                <w:rFonts w:ascii="Lato" w:hAnsi="Lato"/>
                <w:sz w:val="18"/>
                <w:szCs w:val="18"/>
              </w:rPr>
              <w:t xml:space="preserve">Siłownie pod chmurką </w:t>
            </w:r>
          </w:p>
        </w:tc>
        <w:tc>
          <w:tcPr>
            <w:tcW w:w="1616" w:type="dxa"/>
            <w:shd w:val="clear" w:color="auto" w:fill="FFFFFF" w:themeFill="background1"/>
          </w:tcPr>
          <w:p w14:paraId="76DFCFD4" w14:textId="77777777" w:rsidR="00C97BE2" w:rsidRPr="0019609D" w:rsidRDefault="00C97BE2" w:rsidP="00C97BE2">
            <w:pPr>
              <w:rPr>
                <w:rFonts w:ascii="Lato" w:hAnsi="Lato"/>
                <w:sz w:val="18"/>
                <w:szCs w:val="18"/>
              </w:rPr>
            </w:pPr>
            <w:r w:rsidRPr="0019609D">
              <w:rPr>
                <w:rFonts w:ascii="Lato" w:hAnsi="Lato"/>
                <w:sz w:val="18"/>
                <w:szCs w:val="18"/>
              </w:rPr>
              <w:t>Całorocznie przy braku pokrywy śnieżnej</w:t>
            </w:r>
          </w:p>
        </w:tc>
        <w:tc>
          <w:tcPr>
            <w:tcW w:w="3952" w:type="dxa"/>
            <w:shd w:val="clear" w:color="auto" w:fill="FFFFFF" w:themeFill="background1"/>
          </w:tcPr>
          <w:p w14:paraId="0334E6D7" w14:textId="77777777" w:rsidR="00C97BE2" w:rsidRPr="0019609D" w:rsidRDefault="00C97BE2" w:rsidP="00C97BE2">
            <w:pPr>
              <w:rPr>
                <w:rFonts w:ascii="Lato" w:hAnsi="Lato"/>
                <w:sz w:val="18"/>
                <w:szCs w:val="18"/>
              </w:rPr>
            </w:pPr>
            <w:r w:rsidRPr="0019609D">
              <w:rPr>
                <w:rFonts w:ascii="Lato" w:hAnsi="Lato"/>
                <w:sz w:val="18"/>
                <w:szCs w:val="18"/>
              </w:rPr>
              <w:t>W „siłowniach pod chmurką” znajdują się m.in. urządzenia dające możliwość skorzystania z nich każdej z grup, zarówno osobom sprawnym, jak i mniej sprawnym bądź niesprawnym fizycznie. Przy jej lokalizacji uwzględniono takie parametry jak bliskość parkingu i dogodny podjazd do urządzeń. Jedna z siłowni znajduje się przy dyrekcji Parku, a druga na Polance Odkrywców w Zawoi Markowej.</w:t>
            </w:r>
          </w:p>
        </w:tc>
      </w:tr>
      <w:tr w:rsidR="00C97BE2" w:rsidRPr="0019609D" w14:paraId="4CE3F2FB" w14:textId="77777777" w:rsidTr="0019609D">
        <w:tc>
          <w:tcPr>
            <w:tcW w:w="472" w:type="dxa"/>
            <w:shd w:val="clear" w:color="auto" w:fill="FFFFFF" w:themeFill="background1"/>
          </w:tcPr>
          <w:p w14:paraId="4FA7B215"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shd w:val="clear" w:color="auto" w:fill="FFFFFF" w:themeFill="background1"/>
          </w:tcPr>
          <w:p w14:paraId="6F67A68B" w14:textId="77777777" w:rsidR="00C97BE2" w:rsidRPr="0019609D" w:rsidRDefault="00C97BE2" w:rsidP="00C97BE2">
            <w:pPr>
              <w:rPr>
                <w:rFonts w:ascii="Lato" w:hAnsi="Lato"/>
                <w:sz w:val="18"/>
                <w:szCs w:val="18"/>
              </w:rPr>
            </w:pPr>
            <w:r w:rsidRPr="0019609D">
              <w:rPr>
                <w:rFonts w:ascii="Lato" w:hAnsi="Lato"/>
                <w:sz w:val="18"/>
                <w:szCs w:val="18"/>
              </w:rPr>
              <w:t>Spacery przyrodnicze</w:t>
            </w:r>
          </w:p>
        </w:tc>
        <w:tc>
          <w:tcPr>
            <w:tcW w:w="1616" w:type="dxa"/>
            <w:shd w:val="clear" w:color="auto" w:fill="FFFFFF" w:themeFill="background1"/>
          </w:tcPr>
          <w:p w14:paraId="766D174E" w14:textId="77777777" w:rsidR="00C97BE2" w:rsidRPr="0019609D" w:rsidRDefault="00C97BE2" w:rsidP="00C97BE2">
            <w:pPr>
              <w:rPr>
                <w:rFonts w:ascii="Lato" w:hAnsi="Lato"/>
                <w:sz w:val="18"/>
                <w:szCs w:val="18"/>
              </w:rPr>
            </w:pPr>
            <w:r w:rsidRPr="0019609D">
              <w:rPr>
                <w:rFonts w:ascii="Lato" w:hAnsi="Lato"/>
                <w:sz w:val="18"/>
                <w:szCs w:val="18"/>
              </w:rPr>
              <w:t>Sezon wakacji letnich</w:t>
            </w:r>
          </w:p>
        </w:tc>
        <w:tc>
          <w:tcPr>
            <w:tcW w:w="3952" w:type="dxa"/>
            <w:shd w:val="clear" w:color="auto" w:fill="FFFFFF" w:themeFill="background1"/>
          </w:tcPr>
          <w:p w14:paraId="5224126E" w14:textId="77777777" w:rsidR="00C97BE2" w:rsidRPr="0019609D" w:rsidRDefault="00C97BE2" w:rsidP="00C97BE2">
            <w:pPr>
              <w:rPr>
                <w:rFonts w:ascii="Lato" w:hAnsi="Lato"/>
                <w:sz w:val="18"/>
                <w:szCs w:val="18"/>
              </w:rPr>
            </w:pPr>
            <w:r w:rsidRPr="0019609D">
              <w:rPr>
                <w:rFonts w:ascii="Lato" w:hAnsi="Lato"/>
                <w:sz w:val="18"/>
                <w:szCs w:val="18"/>
              </w:rPr>
              <w:t xml:space="preserve">Niedzielne popołudniowe wielopokoleniowe wyprawy po ścieżkach edukacyjnych z pracownikiem Parku. Ich celem jest pomoc w poznawaniu unikalnej przyrody Babiej Góry przez dziadków i wnuki oraz rodziców i dzieci. Działania w projekcie skierowane były do szerokiej grupy odbiorców. W celu wyrównania szans marginalizowanej społecznie grupy osób starszych sieć ścieżek zapewnia aktywność dostosowaną do potrzeb i możliwości tej grupy </w:t>
            </w:r>
            <w:r w:rsidRPr="0019609D">
              <w:rPr>
                <w:rFonts w:ascii="Lato" w:hAnsi="Lato"/>
                <w:sz w:val="18"/>
                <w:szCs w:val="18"/>
              </w:rPr>
              <w:lastRenderedPageBreak/>
              <w:t>– spacer krajoznawczy w dowolnym tempie wybranym przez uczestników.</w:t>
            </w:r>
          </w:p>
        </w:tc>
      </w:tr>
      <w:tr w:rsidR="00C97BE2" w:rsidRPr="0019609D" w14:paraId="754599D6" w14:textId="77777777" w:rsidTr="0019609D">
        <w:tc>
          <w:tcPr>
            <w:tcW w:w="472" w:type="dxa"/>
            <w:shd w:val="clear" w:color="auto" w:fill="FFFFFF" w:themeFill="background1"/>
          </w:tcPr>
          <w:p w14:paraId="5FED6C09" w14:textId="77777777" w:rsidR="00C97BE2" w:rsidRPr="0019609D" w:rsidRDefault="00C97BE2" w:rsidP="00C97BE2">
            <w:pPr>
              <w:jc w:val="center"/>
              <w:rPr>
                <w:rFonts w:ascii="Lato" w:hAnsi="Lato"/>
                <w:b/>
                <w:bCs/>
                <w:sz w:val="18"/>
                <w:szCs w:val="18"/>
              </w:rPr>
            </w:pPr>
            <w:r w:rsidRPr="0019609D">
              <w:rPr>
                <w:rFonts w:ascii="Lato" w:hAnsi="Lato"/>
                <w:b/>
                <w:bCs/>
                <w:sz w:val="18"/>
                <w:szCs w:val="18"/>
              </w:rPr>
              <w:lastRenderedPageBreak/>
              <w:t>4.</w:t>
            </w:r>
          </w:p>
        </w:tc>
        <w:tc>
          <w:tcPr>
            <w:tcW w:w="3026" w:type="dxa"/>
            <w:shd w:val="clear" w:color="auto" w:fill="FFFFFF" w:themeFill="background1"/>
          </w:tcPr>
          <w:p w14:paraId="325681D7" w14:textId="77777777" w:rsidR="00C97BE2" w:rsidRPr="0019609D" w:rsidRDefault="00C97BE2" w:rsidP="00C97BE2">
            <w:pPr>
              <w:rPr>
                <w:rFonts w:ascii="Lato" w:hAnsi="Lato"/>
                <w:sz w:val="18"/>
                <w:szCs w:val="18"/>
              </w:rPr>
            </w:pPr>
            <w:r w:rsidRPr="0019609D">
              <w:rPr>
                <w:rFonts w:ascii="Lato" w:hAnsi="Lato"/>
                <w:sz w:val="18"/>
                <w:szCs w:val="18"/>
              </w:rPr>
              <w:t xml:space="preserve">Spacerkiem z wózkiem z Krowiarek Górnym Płajem do schroniska </w:t>
            </w:r>
          </w:p>
        </w:tc>
        <w:tc>
          <w:tcPr>
            <w:tcW w:w="1616" w:type="dxa"/>
            <w:shd w:val="clear" w:color="auto" w:fill="FFFFFF" w:themeFill="background1"/>
          </w:tcPr>
          <w:p w14:paraId="3BBFF683" w14:textId="77777777" w:rsidR="00C97BE2" w:rsidRPr="0019609D" w:rsidRDefault="00C97BE2" w:rsidP="00C97BE2">
            <w:pPr>
              <w:rPr>
                <w:rFonts w:ascii="Lato" w:hAnsi="Lato"/>
                <w:sz w:val="18"/>
                <w:szCs w:val="18"/>
              </w:rPr>
            </w:pPr>
            <w:r w:rsidRPr="0019609D">
              <w:rPr>
                <w:rFonts w:ascii="Lato" w:hAnsi="Lato"/>
                <w:sz w:val="18"/>
                <w:szCs w:val="18"/>
              </w:rPr>
              <w:t>Całorocznie przy braku pokrywy śnieżnej</w:t>
            </w:r>
          </w:p>
        </w:tc>
        <w:tc>
          <w:tcPr>
            <w:tcW w:w="3952" w:type="dxa"/>
            <w:shd w:val="clear" w:color="auto" w:fill="FFFFFF" w:themeFill="background1"/>
          </w:tcPr>
          <w:p w14:paraId="4E60DE86" w14:textId="77777777" w:rsidR="00C97BE2" w:rsidRPr="0019609D" w:rsidRDefault="00C97BE2" w:rsidP="00C97BE2">
            <w:pPr>
              <w:rPr>
                <w:rFonts w:ascii="Lato" w:hAnsi="Lato"/>
                <w:sz w:val="18"/>
                <w:szCs w:val="18"/>
              </w:rPr>
            </w:pPr>
            <w:r w:rsidRPr="0019609D">
              <w:rPr>
                <w:rFonts w:ascii="Lato" w:hAnsi="Lato"/>
                <w:sz w:val="18"/>
                <w:szCs w:val="18"/>
              </w:rPr>
              <w:t>Spacer krajoznawczy niebieskim szlakiem. Nawierzchnia szlaku umożliwia dotarcie do schroniska na Markowych Szczawinach od polany Krowiarki osobom starszym bądź z ograniczeniami ruchowymi – poruszającym się na wózku. Szlak jest o szerokości 2,5 m, z drewnianym krawężnikiem po zewnętrznej stronie, a w miejscach stromych znajdują się dodatkowe zabezpieczenia w postaci barierek.</w:t>
            </w:r>
          </w:p>
        </w:tc>
      </w:tr>
      <w:tr w:rsidR="00C97BE2" w:rsidRPr="0019609D" w14:paraId="56E6FEB1" w14:textId="77777777" w:rsidTr="0019609D">
        <w:tc>
          <w:tcPr>
            <w:tcW w:w="472" w:type="dxa"/>
            <w:shd w:val="clear" w:color="auto" w:fill="FFFFFF" w:themeFill="background1"/>
          </w:tcPr>
          <w:p w14:paraId="0A2B9ACF" w14:textId="77777777" w:rsidR="00C97BE2" w:rsidRPr="0019609D" w:rsidRDefault="00C97BE2" w:rsidP="00C97BE2">
            <w:pPr>
              <w:jc w:val="center"/>
              <w:rPr>
                <w:rFonts w:ascii="Lato" w:hAnsi="Lato"/>
                <w:b/>
                <w:bCs/>
                <w:sz w:val="18"/>
                <w:szCs w:val="18"/>
              </w:rPr>
            </w:pPr>
            <w:r w:rsidRPr="0019609D">
              <w:rPr>
                <w:rFonts w:ascii="Lato" w:hAnsi="Lato"/>
                <w:b/>
                <w:bCs/>
                <w:sz w:val="18"/>
                <w:szCs w:val="18"/>
              </w:rPr>
              <w:t>5.</w:t>
            </w:r>
          </w:p>
        </w:tc>
        <w:tc>
          <w:tcPr>
            <w:tcW w:w="3026" w:type="dxa"/>
            <w:shd w:val="clear" w:color="auto" w:fill="FFFFFF" w:themeFill="background1"/>
          </w:tcPr>
          <w:p w14:paraId="45DEB89D" w14:textId="77777777" w:rsidR="00C97BE2" w:rsidRPr="0019609D" w:rsidRDefault="00C97BE2" w:rsidP="00C97BE2">
            <w:pPr>
              <w:rPr>
                <w:rFonts w:ascii="Lato" w:hAnsi="Lato"/>
                <w:sz w:val="18"/>
                <w:szCs w:val="18"/>
              </w:rPr>
            </w:pPr>
            <w:r w:rsidRPr="0019609D">
              <w:rPr>
                <w:rFonts w:ascii="Lato" w:hAnsi="Lato"/>
                <w:sz w:val="18"/>
                <w:szCs w:val="18"/>
              </w:rPr>
              <w:t>Ogród Zmysłów</w:t>
            </w:r>
          </w:p>
        </w:tc>
        <w:tc>
          <w:tcPr>
            <w:tcW w:w="1616" w:type="dxa"/>
            <w:shd w:val="clear" w:color="auto" w:fill="FFFFFF" w:themeFill="background1"/>
          </w:tcPr>
          <w:p w14:paraId="0C5D2878" w14:textId="77777777" w:rsidR="00C97BE2" w:rsidRPr="0019609D" w:rsidRDefault="00C97BE2" w:rsidP="00C97BE2">
            <w:pPr>
              <w:rPr>
                <w:rFonts w:ascii="Lato" w:hAnsi="Lato"/>
                <w:sz w:val="18"/>
                <w:szCs w:val="18"/>
              </w:rPr>
            </w:pPr>
            <w:r w:rsidRPr="0019609D">
              <w:rPr>
                <w:rFonts w:ascii="Lato" w:hAnsi="Lato"/>
                <w:sz w:val="18"/>
                <w:szCs w:val="18"/>
              </w:rPr>
              <w:t>W sezonie wegetacyjnym roślin</w:t>
            </w:r>
          </w:p>
        </w:tc>
        <w:tc>
          <w:tcPr>
            <w:tcW w:w="3952" w:type="dxa"/>
            <w:shd w:val="clear" w:color="auto" w:fill="FFFFFF" w:themeFill="background1"/>
          </w:tcPr>
          <w:p w14:paraId="6CE6375E" w14:textId="77777777" w:rsidR="00C97BE2" w:rsidRPr="0019609D" w:rsidRDefault="00C97BE2" w:rsidP="00C97BE2">
            <w:pPr>
              <w:rPr>
                <w:rFonts w:ascii="Lato" w:hAnsi="Lato"/>
                <w:sz w:val="18"/>
                <w:szCs w:val="18"/>
              </w:rPr>
            </w:pPr>
            <w:r w:rsidRPr="0019609D">
              <w:rPr>
                <w:rFonts w:ascii="Lato" w:hAnsi="Lato"/>
                <w:sz w:val="18"/>
                <w:szCs w:val="18"/>
              </w:rPr>
              <w:t>Dostosowany do potrzeb osób z ograniczoną zdolnością ruchu oraz słabowidzących i niewidomych z podniesionymi. Ogród z poręczami i podniesionymi rabatami umożliwiającymi poznawanie roślin z wysokości wózka. W obiekcie mapa plastyczna dostosowana do potrzeb osób słabowidzących i niewidomych. Przy ogrodzie toaleta dostosowana do potrzeb osób poruszających się na wózkach.</w:t>
            </w:r>
          </w:p>
        </w:tc>
      </w:tr>
      <w:tr w:rsidR="00C97BE2" w:rsidRPr="0019609D" w14:paraId="25888C24" w14:textId="77777777" w:rsidTr="0019609D">
        <w:tc>
          <w:tcPr>
            <w:tcW w:w="472" w:type="dxa"/>
            <w:shd w:val="clear" w:color="auto" w:fill="FFFFFF" w:themeFill="background1"/>
          </w:tcPr>
          <w:p w14:paraId="76C5BBB7" w14:textId="77777777" w:rsidR="00C97BE2" w:rsidRPr="0019609D" w:rsidRDefault="00C97BE2" w:rsidP="00C97BE2">
            <w:pPr>
              <w:jc w:val="center"/>
              <w:rPr>
                <w:rFonts w:ascii="Lato" w:hAnsi="Lato"/>
                <w:b/>
                <w:bCs/>
                <w:sz w:val="18"/>
                <w:szCs w:val="18"/>
              </w:rPr>
            </w:pPr>
            <w:r w:rsidRPr="0019609D">
              <w:rPr>
                <w:rFonts w:ascii="Lato" w:hAnsi="Lato"/>
                <w:b/>
                <w:bCs/>
                <w:sz w:val="18"/>
                <w:szCs w:val="18"/>
              </w:rPr>
              <w:t xml:space="preserve">6. </w:t>
            </w:r>
          </w:p>
        </w:tc>
        <w:tc>
          <w:tcPr>
            <w:tcW w:w="3026" w:type="dxa"/>
            <w:shd w:val="clear" w:color="auto" w:fill="FFFFFF" w:themeFill="background1"/>
          </w:tcPr>
          <w:p w14:paraId="1ABF5F82" w14:textId="77777777" w:rsidR="00C97BE2" w:rsidRPr="0019609D" w:rsidRDefault="00C97BE2" w:rsidP="00C97BE2">
            <w:pPr>
              <w:rPr>
                <w:rFonts w:ascii="Lato" w:hAnsi="Lato"/>
                <w:sz w:val="18"/>
                <w:szCs w:val="18"/>
              </w:rPr>
            </w:pPr>
            <w:r w:rsidRPr="0019609D">
              <w:rPr>
                <w:rFonts w:ascii="Lato" w:hAnsi="Lato"/>
                <w:sz w:val="18"/>
                <w:szCs w:val="18"/>
              </w:rPr>
              <w:t>Przystosowanie ścieżek dla osób starszych</w:t>
            </w:r>
          </w:p>
        </w:tc>
        <w:tc>
          <w:tcPr>
            <w:tcW w:w="1616" w:type="dxa"/>
            <w:shd w:val="clear" w:color="auto" w:fill="FFFFFF" w:themeFill="background1"/>
          </w:tcPr>
          <w:p w14:paraId="3ABFB3CD" w14:textId="77777777" w:rsidR="00C97BE2" w:rsidRPr="0019609D" w:rsidRDefault="00C97BE2" w:rsidP="00C97BE2">
            <w:pPr>
              <w:rPr>
                <w:rFonts w:ascii="Lato" w:hAnsi="Lato"/>
                <w:sz w:val="18"/>
                <w:szCs w:val="18"/>
              </w:rPr>
            </w:pPr>
            <w:r w:rsidRPr="0019609D">
              <w:rPr>
                <w:rFonts w:ascii="Lato" w:hAnsi="Lato"/>
                <w:sz w:val="18"/>
                <w:szCs w:val="18"/>
              </w:rPr>
              <w:t>Całorocznie</w:t>
            </w:r>
          </w:p>
        </w:tc>
        <w:tc>
          <w:tcPr>
            <w:tcW w:w="3952" w:type="dxa"/>
            <w:shd w:val="clear" w:color="auto" w:fill="FFFFFF" w:themeFill="background1"/>
          </w:tcPr>
          <w:p w14:paraId="67619470" w14:textId="77777777" w:rsidR="00C97BE2" w:rsidRPr="0019609D" w:rsidRDefault="00C97BE2" w:rsidP="00C97BE2">
            <w:pPr>
              <w:rPr>
                <w:rFonts w:ascii="Lato" w:hAnsi="Lato"/>
                <w:sz w:val="18"/>
                <w:szCs w:val="18"/>
              </w:rPr>
            </w:pPr>
            <w:r w:rsidRPr="0019609D">
              <w:rPr>
                <w:rFonts w:ascii="Lato" w:hAnsi="Lato"/>
                <w:sz w:val="18"/>
                <w:szCs w:val="18"/>
              </w:rPr>
              <w:t xml:space="preserve">Umieszczenie ławek na ścieżkach edukacyjnych „Babiogórskiej parzenicy” umożliwiających odpoczynek osobom starszym. </w:t>
            </w:r>
          </w:p>
        </w:tc>
      </w:tr>
      <w:tr w:rsidR="00C97BE2" w:rsidRPr="0019609D" w14:paraId="616B5CFB" w14:textId="77777777" w:rsidTr="0019609D">
        <w:tc>
          <w:tcPr>
            <w:tcW w:w="906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519CC" w14:textId="77777777" w:rsidR="00C97BE2" w:rsidRPr="0019609D" w:rsidRDefault="00C97BE2" w:rsidP="00C97BE2">
            <w:pPr>
              <w:keepNext/>
              <w:jc w:val="center"/>
              <w:rPr>
                <w:rFonts w:ascii="Lato" w:hAnsi="Lato"/>
                <w:b/>
                <w:bCs/>
                <w:sz w:val="18"/>
                <w:szCs w:val="18"/>
              </w:rPr>
            </w:pPr>
            <w:r w:rsidRPr="0019609D">
              <w:rPr>
                <w:rFonts w:ascii="Lato" w:hAnsi="Lato"/>
                <w:b/>
                <w:bCs/>
                <w:sz w:val="18"/>
                <w:szCs w:val="18"/>
              </w:rPr>
              <w:t>Białowieski Park Narodowy</w:t>
            </w:r>
          </w:p>
        </w:tc>
      </w:tr>
      <w:tr w:rsidR="00C97BE2" w:rsidRPr="0019609D" w14:paraId="0D858521"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AFA07"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BE26"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Dostępność obiektów Parku dla osób starszych o ograniczonej mobilności</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9AF51"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całoroczne działanie</w:t>
            </w:r>
            <w:r w:rsidRPr="0019609D">
              <w:rPr>
                <w:rFonts w:ascii="Lato" w:hAnsi="Lato" w:cstheme="minorHAnsi"/>
                <w:sz w:val="18"/>
                <w:szCs w:val="18"/>
              </w:rPr>
              <w:br/>
            </w:r>
            <w:r w:rsidRPr="0019609D">
              <w:rPr>
                <w:rStyle w:val="markedcontent"/>
                <w:rFonts w:ascii="Lato" w:hAnsi="Lato" w:cstheme="minorHAnsi"/>
                <w:sz w:val="18"/>
                <w:szCs w:val="18"/>
              </w:rPr>
              <w:t>cykliczne</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78567"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 xml:space="preserve">Bieżące naprawy i utrzymanie ławek umożliwiających osobom starszym odpoczynek podczas zwiedzania Parku Pałacowego oraz podjazdów do platform widokowych ułatwiających osobom starszym zwiedzanie Rezerwatu Pokazowego Żubrów oraz Muzeum BPN. W holu muzeum zapewniono miejsca siedzące dla osób oczekujących na wejście na ekspozycję stałą. Umożliwiono zwiedzanie Rezerwatu bryczką. </w:t>
            </w:r>
          </w:p>
        </w:tc>
      </w:tr>
      <w:tr w:rsidR="00C97BE2" w:rsidRPr="0019609D" w14:paraId="5990483B"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510C1E"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ABF86"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Modernizacja windy w budynku Muzeum BPN</w:t>
            </w:r>
            <w:r w:rsidRPr="0019609D">
              <w:rPr>
                <w:rStyle w:val="markedcontent"/>
                <w:rFonts w:ascii="Lato" w:hAnsi="Lato" w:cstheme="minorHAnsi"/>
                <w:sz w:val="18"/>
                <w:szCs w:val="18"/>
              </w:rPr>
              <w:t xml:space="preserve"> w ramach realizacji projektu „Obszar chroniony, obszar dostępny”</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A275B6"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 xml:space="preserve">21.11.2022 – zakończenie 31.03.2023 r. </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8A8EAD"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Przeprowadzono modernizację dźwigu windy w budynku Muzeum BPN, dzięki czemu zachowano dostępność piętra wystawy i wieży widokowej oraz części biurowej BPN dla osób z trudnościami w poruszaniu się, w tym osób starszych. W windzie zamontowano panel sterowania z napisami brajla i systemem informacji głosowej w kabinie, zwiększające dostępność windy dla osób starszych o osłabionych wiekiem zmyśle wzroku.</w:t>
            </w:r>
          </w:p>
        </w:tc>
      </w:tr>
      <w:tr w:rsidR="00C97BE2" w:rsidRPr="0019609D" w14:paraId="46A5AAA2"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FE0EB"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456E9"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Użyczanie sprzętu ułatwiającego poruszanie się w obiektach turystycznych BPN</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703AE"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Od grudnia 2022 r. – działanie całoroczne</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51EA7"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 xml:space="preserve">Umożliwiono nieodpłatne wypożyczenie na czas zwiedzania Muzeum BPN i Rezerwatu Pokazowego Żubrów wózków inwalidzkich i chodzików trójkołowych zakupionych w ramach projektu PFRON „Obszar chroniony, obszar dostępny” osobom mającym trudność w poruszaniu się, w tym osobom starszym. </w:t>
            </w:r>
          </w:p>
        </w:tc>
      </w:tr>
      <w:tr w:rsidR="00C97BE2" w:rsidRPr="0019609D" w14:paraId="3C5EFA29"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FEB02" w14:textId="77777777" w:rsidR="00C97BE2" w:rsidRPr="0019609D" w:rsidRDefault="00C97BE2" w:rsidP="00C97BE2">
            <w:pPr>
              <w:jc w:val="center"/>
              <w:rPr>
                <w:rFonts w:ascii="Lato" w:hAnsi="Lato"/>
                <w:b/>
                <w:bCs/>
                <w:sz w:val="18"/>
                <w:szCs w:val="18"/>
              </w:rPr>
            </w:pPr>
            <w:r w:rsidRPr="0019609D">
              <w:rPr>
                <w:rFonts w:ascii="Lato" w:hAnsi="Lato"/>
                <w:b/>
                <w:bCs/>
                <w:sz w:val="18"/>
                <w:szCs w:val="18"/>
              </w:rPr>
              <w:t>4.</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7839F"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Dostępność treści informacyjnych i edukacyjnych dla osób o osłabionych wiekiem zmysłach wzroku i słuchu</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C120B6"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całoroczne działanie</w:t>
            </w:r>
            <w:r w:rsidRPr="0019609D">
              <w:rPr>
                <w:rFonts w:ascii="Lato" w:hAnsi="Lato" w:cstheme="minorHAnsi"/>
                <w:sz w:val="18"/>
                <w:szCs w:val="18"/>
              </w:rPr>
              <w:br/>
            </w:r>
            <w:r w:rsidRPr="0019609D">
              <w:rPr>
                <w:rStyle w:val="markedcontent"/>
                <w:rFonts w:ascii="Lato" w:hAnsi="Lato" w:cstheme="minorHAnsi"/>
                <w:sz w:val="18"/>
                <w:szCs w:val="18"/>
              </w:rPr>
              <w:t>cykliczne</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0B791" w14:textId="77777777" w:rsidR="00C97BE2" w:rsidRPr="0019609D" w:rsidRDefault="00C97BE2" w:rsidP="00C97BE2">
            <w:pPr>
              <w:rPr>
                <w:rFonts w:ascii="Lato" w:hAnsi="Lato" w:cstheme="minorHAnsi"/>
                <w:sz w:val="18"/>
                <w:szCs w:val="18"/>
              </w:rPr>
            </w:pPr>
            <w:r w:rsidRPr="0019609D">
              <w:rPr>
                <w:rStyle w:val="markedcontent"/>
                <w:rFonts w:ascii="Lato" w:hAnsi="Lato" w:cstheme="minorHAnsi"/>
                <w:sz w:val="18"/>
                <w:szCs w:val="18"/>
              </w:rPr>
              <w:t>Materiały audiowizualne wykorzystywane w obiektach Parku zostały przygotowane oraz utrzymywane są w standardach dostępności dla osób starszych o osłabionych wiekiem zmysłach wzroku i słuchu (możliwość skutecznego zwiększenia głośności ścieżek dźwiękowych w audio–przewodnikach; kontrastowe i czytelne czcionki użyte na tablicach informacyjnych).</w:t>
            </w:r>
          </w:p>
        </w:tc>
      </w:tr>
      <w:tr w:rsidR="00C97BE2" w:rsidRPr="0019609D" w14:paraId="06A1C5E0"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FD17C" w14:textId="77777777" w:rsidR="00C97BE2" w:rsidRPr="0019609D" w:rsidRDefault="00C97BE2" w:rsidP="00C97BE2">
            <w:pPr>
              <w:jc w:val="center"/>
              <w:rPr>
                <w:rFonts w:ascii="Lato" w:hAnsi="Lato"/>
                <w:b/>
                <w:bCs/>
                <w:sz w:val="18"/>
                <w:szCs w:val="18"/>
              </w:rPr>
            </w:pPr>
            <w:r w:rsidRPr="0019609D">
              <w:rPr>
                <w:rFonts w:ascii="Lato" w:hAnsi="Lato"/>
                <w:b/>
                <w:bCs/>
                <w:sz w:val="18"/>
                <w:szCs w:val="18"/>
              </w:rPr>
              <w:t>5.</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44CAD"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 xml:space="preserve">Zakup pętli indukcyjnych </w:t>
            </w:r>
            <w:r w:rsidRPr="0019609D">
              <w:rPr>
                <w:rStyle w:val="markedcontent"/>
                <w:rFonts w:ascii="Lato" w:hAnsi="Lato" w:cstheme="minorHAnsi"/>
                <w:sz w:val="18"/>
                <w:szCs w:val="18"/>
              </w:rPr>
              <w:t>w ramach realizacji projektu „Obszar chroniony, obszar dostępny”</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FE5F65"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Listopad 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9E514C"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 xml:space="preserve">Zakupiono 5 przenośnych pętli indukcyjnych, które podniosły dostępność obiektów </w:t>
            </w:r>
            <w:r w:rsidRPr="0019609D">
              <w:rPr>
                <w:rFonts w:ascii="Lato" w:hAnsi="Lato" w:cstheme="minorHAnsi"/>
                <w:sz w:val="18"/>
                <w:szCs w:val="18"/>
              </w:rPr>
              <w:lastRenderedPageBreak/>
              <w:t xml:space="preserve">turystycznych, sekretariatu i biblioteki BPN dla osób niedosłyszących, w tym osób starszych. </w:t>
            </w:r>
          </w:p>
        </w:tc>
      </w:tr>
      <w:tr w:rsidR="00C97BE2" w:rsidRPr="0019609D" w14:paraId="49969CF8"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30E01F" w14:textId="77777777" w:rsidR="00C97BE2" w:rsidRPr="0019609D" w:rsidRDefault="00C97BE2" w:rsidP="00C97BE2">
            <w:pPr>
              <w:jc w:val="center"/>
              <w:rPr>
                <w:rFonts w:ascii="Lato" w:hAnsi="Lato"/>
                <w:b/>
                <w:bCs/>
                <w:sz w:val="18"/>
                <w:szCs w:val="18"/>
              </w:rPr>
            </w:pPr>
            <w:r w:rsidRPr="0019609D">
              <w:rPr>
                <w:rFonts w:ascii="Lato" w:hAnsi="Lato"/>
                <w:b/>
                <w:bCs/>
                <w:sz w:val="18"/>
                <w:szCs w:val="18"/>
              </w:rPr>
              <w:lastRenderedPageBreak/>
              <w:t xml:space="preserve">6. </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2AC25"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 xml:space="preserve">Zwiększenie dostępności biblioteki BPN dla osób ze szczególnymi potrzebami, w tym osób starszych w ramach </w:t>
            </w:r>
            <w:r w:rsidRPr="0019609D">
              <w:rPr>
                <w:rStyle w:val="markedcontent"/>
                <w:rFonts w:ascii="Lato" w:hAnsi="Lato" w:cstheme="minorHAnsi"/>
                <w:sz w:val="18"/>
                <w:szCs w:val="18"/>
              </w:rPr>
              <w:t>realizacji projektu „Obszar chroniony, obszar dostępny”</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3120F"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Grudzień 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8A4C9"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 xml:space="preserve">Zakupiono laptop wraz z oprogramowaniem </w:t>
            </w:r>
            <w:proofErr w:type="spellStart"/>
            <w:r w:rsidRPr="0019609D">
              <w:rPr>
                <w:rFonts w:ascii="Lato" w:hAnsi="Lato" w:cstheme="minorHAnsi"/>
                <w:sz w:val="18"/>
                <w:szCs w:val="18"/>
              </w:rPr>
              <w:t>ubrajlającym</w:t>
            </w:r>
            <w:proofErr w:type="spellEnd"/>
            <w:r w:rsidRPr="0019609D">
              <w:rPr>
                <w:rFonts w:ascii="Lato" w:hAnsi="Lato" w:cstheme="minorHAnsi"/>
                <w:sz w:val="18"/>
                <w:szCs w:val="18"/>
              </w:rPr>
              <w:t xml:space="preserve">, przenośny powiększalnik, </w:t>
            </w:r>
            <w:proofErr w:type="spellStart"/>
            <w:r w:rsidRPr="0019609D">
              <w:rPr>
                <w:rFonts w:ascii="Lato" w:hAnsi="Lato" w:cstheme="minorHAnsi"/>
                <w:sz w:val="18"/>
                <w:szCs w:val="18"/>
              </w:rPr>
              <w:t>autolektor</w:t>
            </w:r>
            <w:proofErr w:type="spellEnd"/>
            <w:r w:rsidRPr="0019609D">
              <w:rPr>
                <w:rFonts w:ascii="Lato" w:hAnsi="Lato" w:cstheme="minorHAnsi"/>
                <w:sz w:val="18"/>
                <w:szCs w:val="18"/>
              </w:rPr>
              <w:t xml:space="preserve"> Brajla i powiększoną mysz Big-</w:t>
            </w:r>
            <w:proofErr w:type="spellStart"/>
            <w:r w:rsidRPr="0019609D">
              <w:rPr>
                <w:rFonts w:ascii="Lato" w:hAnsi="Lato" w:cstheme="minorHAnsi"/>
                <w:sz w:val="18"/>
                <w:szCs w:val="18"/>
              </w:rPr>
              <w:t>Track</w:t>
            </w:r>
            <w:proofErr w:type="spellEnd"/>
            <w:r w:rsidRPr="0019609D">
              <w:rPr>
                <w:rFonts w:ascii="Lato" w:hAnsi="Lato" w:cstheme="minorHAnsi"/>
                <w:sz w:val="18"/>
                <w:szCs w:val="18"/>
              </w:rPr>
              <w:t>, ułatwiające korzystanie z zasobów biblioteki naukowej BPN osobom ze szczególnymi potrzebami, w tym osobom o osłabionych wiekiem zmysłach wzroku i słuchu.</w:t>
            </w:r>
          </w:p>
        </w:tc>
      </w:tr>
      <w:tr w:rsidR="00C97BE2" w:rsidRPr="0019609D" w14:paraId="74981D8F"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10A9CA" w14:textId="77777777" w:rsidR="00C97BE2" w:rsidRPr="0019609D" w:rsidRDefault="00C97BE2" w:rsidP="00C97BE2">
            <w:pPr>
              <w:jc w:val="center"/>
              <w:rPr>
                <w:rFonts w:ascii="Lato" w:hAnsi="Lato"/>
                <w:b/>
                <w:bCs/>
                <w:sz w:val="18"/>
                <w:szCs w:val="18"/>
              </w:rPr>
            </w:pPr>
            <w:r w:rsidRPr="0019609D">
              <w:rPr>
                <w:rFonts w:ascii="Lato" w:hAnsi="Lato"/>
                <w:b/>
                <w:bCs/>
                <w:sz w:val="18"/>
                <w:szCs w:val="18"/>
              </w:rPr>
              <w:t>7.</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4E801A"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Poprawa bezpieczeństwa osób ze szczególnymi potrzebami, w tym osób starszych w obiektach BPN</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95377F"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Październik-grudzień 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7EB2A5" w14:textId="77777777" w:rsidR="00C97BE2" w:rsidRPr="0019609D" w:rsidRDefault="00C97BE2" w:rsidP="00C97BE2">
            <w:pPr>
              <w:rPr>
                <w:rFonts w:ascii="Lato" w:hAnsi="Lato" w:cstheme="minorHAnsi"/>
                <w:sz w:val="18"/>
                <w:szCs w:val="18"/>
              </w:rPr>
            </w:pPr>
            <w:r w:rsidRPr="0019609D">
              <w:rPr>
                <w:rFonts w:ascii="Lato" w:hAnsi="Lato" w:cstheme="minorHAnsi"/>
                <w:sz w:val="18"/>
                <w:szCs w:val="18"/>
              </w:rPr>
              <w:t>W ramach realizacji projektu „Obszar chroniony, obszar dostępny” zakupiono cztery defibrylatory i cztery komplety systemów przywoławczych do toalet, które zostały zamontowane w obiektach BPN, zwiększając bezpieczeństwo przebywających w nich osób, w tym osób starszych, umożliwiając w razie potrzeby szybsze i efektywniejsze udzielenie im pierwszej pomocy.</w:t>
            </w:r>
          </w:p>
        </w:tc>
      </w:tr>
      <w:bookmarkEnd w:id="49"/>
      <w:tr w:rsidR="00C97BE2" w:rsidRPr="0019609D" w14:paraId="0CEBE576" w14:textId="77777777" w:rsidTr="0019609D">
        <w:tc>
          <w:tcPr>
            <w:tcW w:w="906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AB2EAF1" w14:textId="77777777" w:rsidR="00C97BE2" w:rsidRPr="0019609D" w:rsidRDefault="00C97BE2" w:rsidP="00C97BE2">
            <w:pPr>
              <w:keepNext/>
              <w:jc w:val="center"/>
              <w:rPr>
                <w:rFonts w:ascii="Lato" w:hAnsi="Lato"/>
                <w:b/>
                <w:bCs/>
                <w:sz w:val="18"/>
                <w:szCs w:val="18"/>
              </w:rPr>
            </w:pPr>
            <w:r w:rsidRPr="0019609D">
              <w:rPr>
                <w:rFonts w:ascii="Lato" w:hAnsi="Lato"/>
                <w:b/>
                <w:bCs/>
                <w:sz w:val="18"/>
                <w:szCs w:val="18"/>
              </w:rPr>
              <w:t xml:space="preserve">Biebrzański Park Narodowy </w:t>
            </w:r>
          </w:p>
        </w:tc>
      </w:tr>
      <w:tr w:rsidR="00C97BE2" w:rsidRPr="0019609D" w14:paraId="4AADC178"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EA566"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C297A" w14:textId="77777777" w:rsidR="00C97BE2" w:rsidRPr="0019609D" w:rsidRDefault="00C97BE2" w:rsidP="00C97BE2">
            <w:pPr>
              <w:rPr>
                <w:rFonts w:ascii="Lato" w:hAnsi="Lato"/>
                <w:sz w:val="18"/>
                <w:szCs w:val="18"/>
              </w:rPr>
            </w:pPr>
            <w:r w:rsidRPr="0019609D">
              <w:rPr>
                <w:rFonts w:ascii="Lato" w:hAnsi="Lato"/>
                <w:sz w:val="18"/>
                <w:szCs w:val="18"/>
              </w:rPr>
              <w:t>Edukacja przez Internet</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FE49E" w14:textId="77777777" w:rsidR="00C97BE2" w:rsidRPr="0019609D" w:rsidRDefault="00C97BE2" w:rsidP="00C97BE2">
            <w:pPr>
              <w:rPr>
                <w:rFonts w:ascii="Lato" w:hAnsi="Lato"/>
                <w:sz w:val="18"/>
                <w:szCs w:val="18"/>
              </w:rPr>
            </w:pPr>
            <w:r w:rsidRPr="0019609D">
              <w:rPr>
                <w:rFonts w:ascii="Lato" w:hAnsi="Lato"/>
                <w:sz w:val="18"/>
                <w:szCs w:val="18"/>
              </w:rPr>
              <w:t>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B25D2F" w14:textId="77777777" w:rsidR="00C97BE2" w:rsidRPr="0019609D" w:rsidRDefault="00C97BE2" w:rsidP="00C97BE2">
            <w:pPr>
              <w:rPr>
                <w:rFonts w:ascii="Lato" w:hAnsi="Lato"/>
                <w:sz w:val="18"/>
                <w:szCs w:val="18"/>
              </w:rPr>
            </w:pPr>
            <w:r w:rsidRPr="0019609D">
              <w:rPr>
                <w:rFonts w:ascii="Lato" w:hAnsi="Lato"/>
                <w:sz w:val="18"/>
                <w:szCs w:val="18"/>
              </w:rPr>
              <w:t>Strona internetowa www.biebrza.org.pl jest przystosowana do potrzeb osób o szczególnych potrzebach.</w:t>
            </w:r>
          </w:p>
        </w:tc>
      </w:tr>
      <w:tr w:rsidR="00C97BE2" w:rsidRPr="0019609D" w14:paraId="7B2EE516"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3F9EE"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7D110" w14:textId="77777777" w:rsidR="00C97BE2" w:rsidRPr="0019609D" w:rsidRDefault="00C97BE2" w:rsidP="00C97BE2">
            <w:pPr>
              <w:rPr>
                <w:rFonts w:ascii="Lato" w:hAnsi="Lato"/>
                <w:sz w:val="18"/>
                <w:szCs w:val="18"/>
              </w:rPr>
            </w:pPr>
            <w:r w:rsidRPr="0019609D">
              <w:rPr>
                <w:rFonts w:ascii="Lato" w:hAnsi="Lato"/>
                <w:sz w:val="18"/>
                <w:szCs w:val="18"/>
              </w:rPr>
              <w:t>Edukacja bezpośrednia – wydarzenia otwarte organizowane przez Park, między innymi: „Wszechnica Biebrzańska”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C3618" w14:textId="77777777" w:rsidR="00C97BE2" w:rsidRPr="0019609D" w:rsidRDefault="00C97BE2" w:rsidP="00C97BE2">
            <w:pPr>
              <w:rPr>
                <w:rFonts w:ascii="Lato" w:hAnsi="Lato"/>
                <w:sz w:val="18"/>
                <w:szCs w:val="18"/>
              </w:rPr>
            </w:pPr>
            <w:r w:rsidRPr="0019609D">
              <w:rPr>
                <w:rFonts w:ascii="Lato" w:hAnsi="Lato"/>
                <w:sz w:val="18"/>
                <w:szCs w:val="18"/>
              </w:rPr>
              <w:t>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54041E" w14:textId="77777777" w:rsidR="00C97BE2" w:rsidRPr="0019609D" w:rsidRDefault="00C97BE2" w:rsidP="00C97BE2">
            <w:pPr>
              <w:rPr>
                <w:rFonts w:ascii="Lato" w:hAnsi="Lato"/>
                <w:sz w:val="18"/>
                <w:szCs w:val="18"/>
              </w:rPr>
            </w:pPr>
            <w:r w:rsidRPr="0019609D">
              <w:rPr>
                <w:rFonts w:ascii="Lato" w:hAnsi="Lato"/>
                <w:sz w:val="18"/>
                <w:szCs w:val="18"/>
              </w:rPr>
              <w:t>Prelekcje o tematyce przyrodniczej, warsztaty, wycieczki terenowe.</w:t>
            </w:r>
          </w:p>
        </w:tc>
      </w:tr>
      <w:tr w:rsidR="00C97BE2" w:rsidRPr="0019609D" w14:paraId="589F8CC6"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7764D"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2244D0" w14:textId="77777777" w:rsidR="00C97BE2" w:rsidRPr="0019609D" w:rsidRDefault="00C97BE2" w:rsidP="00C97BE2">
            <w:pPr>
              <w:rPr>
                <w:rFonts w:ascii="Lato" w:hAnsi="Lato"/>
                <w:sz w:val="18"/>
                <w:szCs w:val="18"/>
              </w:rPr>
            </w:pPr>
            <w:r w:rsidRPr="0019609D">
              <w:rPr>
                <w:rFonts w:ascii="Lato" w:hAnsi="Lato"/>
                <w:sz w:val="18"/>
                <w:szCs w:val="18"/>
              </w:rPr>
              <w:t>Budowa nowego murowanego sanitariatu w Osowcu-Twierdzy 8, który zostanie oddany do użytkowania w czerwcu 2023 r.</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B69510" w14:textId="77777777" w:rsidR="00C97BE2" w:rsidRPr="0019609D" w:rsidRDefault="00C97BE2" w:rsidP="00C97BE2">
            <w:pPr>
              <w:rPr>
                <w:rFonts w:ascii="Lato" w:hAnsi="Lato"/>
                <w:sz w:val="18"/>
                <w:szCs w:val="18"/>
              </w:rPr>
            </w:pPr>
            <w:r w:rsidRPr="0019609D">
              <w:rPr>
                <w:rFonts w:ascii="Lato" w:hAnsi="Lato"/>
                <w:sz w:val="18"/>
                <w:szCs w:val="18"/>
              </w:rPr>
              <w:t>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8154D1" w14:textId="77777777" w:rsidR="00C97BE2" w:rsidRPr="0019609D" w:rsidRDefault="00C97BE2" w:rsidP="00C97BE2">
            <w:pPr>
              <w:rPr>
                <w:rFonts w:ascii="Lato" w:hAnsi="Lato"/>
                <w:sz w:val="18"/>
                <w:szCs w:val="18"/>
              </w:rPr>
            </w:pPr>
            <w:r w:rsidRPr="0019609D">
              <w:rPr>
                <w:rFonts w:ascii="Lato" w:hAnsi="Lato"/>
                <w:sz w:val="18"/>
                <w:szCs w:val="18"/>
              </w:rPr>
              <w:t>Sanitariat dostosowany jest do potrzeb osób o szczególnych potrzebach, w tym osób starszych.</w:t>
            </w:r>
          </w:p>
        </w:tc>
      </w:tr>
      <w:tr w:rsidR="00C97BE2" w:rsidRPr="0019609D" w14:paraId="1CC216D4" w14:textId="77777777" w:rsidTr="0019609D">
        <w:tc>
          <w:tcPr>
            <w:tcW w:w="9066" w:type="dxa"/>
            <w:gridSpan w:val="4"/>
            <w:shd w:val="clear" w:color="auto" w:fill="FFFFFF" w:themeFill="background1"/>
          </w:tcPr>
          <w:p w14:paraId="7BE86044" w14:textId="77777777" w:rsidR="00C97BE2" w:rsidRPr="0019609D" w:rsidRDefault="00C97BE2" w:rsidP="00C97BE2">
            <w:pPr>
              <w:jc w:val="center"/>
              <w:rPr>
                <w:rFonts w:ascii="Lato" w:hAnsi="Lato"/>
                <w:b/>
                <w:bCs/>
                <w:sz w:val="18"/>
                <w:szCs w:val="18"/>
              </w:rPr>
            </w:pPr>
            <w:r w:rsidRPr="0019609D">
              <w:rPr>
                <w:rFonts w:ascii="Lato" w:hAnsi="Lato"/>
                <w:b/>
                <w:bCs/>
                <w:sz w:val="18"/>
                <w:szCs w:val="18"/>
              </w:rPr>
              <w:t>Bieszczadzki Park Narodowy</w:t>
            </w:r>
          </w:p>
        </w:tc>
      </w:tr>
      <w:tr w:rsidR="00C97BE2" w:rsidRPr="0019609D" w14:paraId="4BF05022" w14:textId="77777777" w:rsidTr="0019609D">
        <w:tc>
          <w:tcPr>
            <w:tcW w:w="472" w:type="dxa"/>
            <w:shd w:val="clear" w:color="auto" w:fill="FFFFFF" w:themeFill="background1"/>
          </w:tcPr>
          <w:p w14:paraId="5CF27BE2"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shd w:val="clear" w:color="auto" w:fill="FFFFFF" w:themeFill="background1"/>
          </w:tcPr>
          <w:p w14:paraId="5D878822" w14:textId="77777777" w:rsidR="00C97BE2" w:rsidRPr="0019609D" w:rsidRDefault="00C97BE2" w:rsidP="00C97BE2">
            <w:pPr>
              <w:rPr>
                <w:rFonts w:ascii="Lato" w:hAnsi="Lato"/>
                <w:sz w:val="18"/>
                <w:szCs w:val="18"/>
              </w:rPr>
            </w:pPr>
            <w:r w:rsidRPr="0019609D">
              <w:rPr>
                <w:rFonts w:ascii="Lato" w:hAnsi="Lato"/>
                <w:sz w:val="18"/>
                <w:szCs w:val="18"/>
              </w:rPr>
              <w:t xml:space="preserve">Zachowanie bioróżnorodności Połoniny </w:t>
            </w:r>
            <w:proofErr w:type="spellStart"/>
            <w:r w:rsidRPr="0019609D">
              <w:rPr>
                <w:rFonts w:ascii="Lato" w:hAnsi="Lato"/>
                <w:sz w:val="18"/>
                <w:szCs w:val="18"/>
              </w:rPr>
              <w:t>Wetlińskiej</w:t>
            </w:r>
            <w:proofErr w:type="spellEnd"/>
            <w:r w:rsidRPr="0019609D">
              <w:rPr>
                <w:rFonts w:ascii="Lato" w:hAnsi="Lato"/>
                <w:sz w:val="18"/>
                <w:szCs w:val="18"/>
              </w:rPr>
              <w:t xml:space="preserve"> poprzez ochronę zagrożonych gatunków przed negatywnym oddziaływaniem turystyki</w:t>
            </w:r>
          </w:p>
        </w:tc>
        <w:tc>
          <w:tcPr>
            <w:tcW w:w="1616" w:type="dxa"/>
            <w:shd w:val="clear" w:color="auto" w:fill="FFFFFF" w:themeFill="background1"/>
          </w:tcPr>
          <w:p w14:paraId="337E63EF" w14:textId="77777777" w:rsidR="00C97BE2" w:rsidRPr="0019609D" w:rsidRDefault="00C97BE2" w:rsidP="00C97BE2">
            <w:pPr>
              <w:jc w:val="center"/>
              <w:rPr>
                <w:rFonts w:ascii="Lato" w:hAnsi="Lato"/>
                <w:sz w:val="18"/>
                <w:szCs w:val="18"/>
              </w:rPr>
            </w:pPr>
            <w:r w:rsidRPr="0019609D">
              <w:rPr>
                <w:rFonts w:ascii="Lato" w:hAnsi="Lato"/>
                <w:sz w:val="18"/>
                <w:szCs w:val="18"/>
              </w:rPr>
              <w:t>IX 2022 - otwarcie</w:t>
            </w:r>
          </w:p>
        </w:tc>
        <w:tc>
          <w:tcPr>
            <w:tcW w:w="3952" w:type="dxa"/>
            <w:shd w:val="clear" w:color="auto" w:fill="FFFFFF" w:themeFill="background1"/>
          </w:tcPr>
          <w:p w14:paraId="12CC8AAA" w14:textId="77777777" w:rsidR="00C97BE2" w:rsidRPr="0019609D" w:rsidRDefault="00C97BE2" w:rsidP="00C97BE2">
            <w:pPr>
              <w:rPr>
                <w:rFonts w:ascii="Lato" w:hAnsi="Lato"/>
                <w:sz w:val="18"/>
                <w:szCs w:val="18"/>
              </w:rPr>
            </w:pPr>
            <w:r w:rsidRPr="0019609D">
              <w:rPr>
                <w:rFonts w:ascii="Lato" w:hAnsi="Lato"/>
                <w:sz w:val="18"/>
                <w:szCs w:val="18"/>
              </w:rPr>
              <w:t xml:space="preserve">W ramach zadania wykonano remont schronu Chatka Puchatka na Połoninie </w:t>
            </w:r>
            <w:proofErr w:type="spellStart"/>
            <w:r w:rsidRPr="0019609D">
              <w:rPr>
                <w:rFonts w:ascii="Lato" w:hAnsi="Lato"/>
                <w:sz w:val="18"/>
                <w:szCs w:val="18"/>
              </w:rPr>
              <w:t>Wetlińskiej</w:t>
            </w:r>
            <w:proofErr w:type="spellEnd"/>
            <w:r w:rsidRPr="0019609D">
              <w:rPr>
                <w:rFonts w:ascii="Lato" w:hAnsi="Lato"/>
                <w:sz w:val="18"/>
                <w:szCs w:val="18"/>
              </w:rPr>
              <w:t xml:space="preserve"> wraz z miejscami odpoczynkowymi (ławy oraz stoły) na tarasie pod budynkiem, wyposażeniem sali dziennego odpoczynku w ławy, krzesła i stoły oraz tablice informacyjne z czytelnią, udostępnieniem dwóch toalet wewnętrznych, sześciu toalet zewnętrznych oraz dwóch kabin toaletowych przenośnych. Został również poprawiony szlak wzdłuż drogi technicznej, umożliwiający bezpieczną wędrówką osobom starszym, rodzinom z dziećmi i osobom z niepełnosprawnościami. </w:t>
            </w:r>
          </w:p>
        </w:tc>
      </w:tr>
      <w:tr w:rsidR="00C97BE2" w:rsidRPr="0019609D" w14:paraId="2098826E" w14:textId="77777777" w:rsidTr="0019609D">
        <w:tc>
          <w:tcPr>
            <w:tcW w:w="472" w:type="dxa"/>
            <w:shd w:val="clear" w:color="auto" w:fill="FFFFFF" w:themeFill="background1"/>
          </w:tcPr>
          <w:p w14:paraId="5D3F00EA"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shd w:val="clear" w:color="auto" w:fill="FFFFFF" w:themeFill="background1"/>
          </w:tcPr>
          <w:p w14:paraId="551305AC" w14:textId="77777777" w:rsidR="00C97BE2" w:rsidRPr="0019609D" w:rsidRDefault="00C97BE2" w:rsidP="00C97BE2">
            <w:pPr>
              <w:rPr>
                <w:rFonts w:ascii="Lato" w:hAnsi="Lato"/>
                <w:sz w:val="18"/>
                <w:szCs w:val="18"/>
              </w:rPr>
            </w:pPr>
            <w:r w:rsidRPr="0019609D">
              <w:rPr>
                <w:rFonts w:ascii="Lato" w:hAnsi="Lato"/>
                <w:sz w:val="18"/>
                <w:szCs w:val="18"/>
              </w:rPr>
              <w:t xml:space="preserve">Współpraca z Miejską Biblioteką i Domem Seniora w Ustrzykach Dolnych </w:t>
            </w:r>
          </w:p>
        </w:tc>
        <w:tc>
          <w:tcPr>
            <w:tcW w:w="1616" w:type="dxa"/>
            <w:shd w:val="clear" w:color="auto" w:fill="FFFFFF" w:themeFill="background1"/>
          </w:tcPr>
          <w:p w14:paraId="55CD6A34" w14:textId="77777777" w:rsidR="00C97BE2" w:rsidRPr="0019609D" w:rsidRDefault="00C97BE2" w:rsidP="00C97BE2">
            <w:pPr>
              <w:jc w:val="center"/>
              <w:rPr>
                <w:rFonts w:ascii="Lato" w:hAnsi="Lato"/>
                <w:sz w:val="18"/>
                <w:szCs w:val="18"/>
              </w:rPr>
            </w:pPr>
            <w:r w:rsidRPr="0019609D">
              <w:rPr>
                <w:rFonts w:ascii="Lato" w:hAnsi="Lato"/>
                <w:sz w:val="18"/>
                <w:szCs w:val="18"/>
              </w:rPr>
              <w:t>Cały rok</w:t>
            </w:r>
          </w:p>
        </w:tc>
        <w:tc>
          <w:tcPr>
            <w:tcW w:w="3952" w:type="dxa"/>
            <w:shd w:val="clear" w:color="auto" w:fill="FFFFFF" w:themeFill="background1"/>
          </w:tcPr>
          <w:p w14:paraId="44703B1C" w14:textId="77777777" w:rsidR="00C97BE2" w:rsidRPr="0019609D" w:rsidRDefault="00C97BE2" w:rsidP="00C97BE2">
            <w:pPr>
              <w:rPr>
                <w:rFonts w:ascii="Lato" w:hAnsi="Lato"/>
                <w:sz w:val="18"/>
                <w:szCs w:val="18"/>
              </w:rPr>
            </w:pPr>
            <w:r w:rsidRPr="0019609D">
              <w:rPr>
                <w:rFonts w:ascii="Lato" w:hAnsi="Lato"/>
                <w:sz w:val="18"/>
                <w:szCs w:val="18"/>
              </w:rPr>
              <w:t>W ramach współpracy przeprowadzono zajęcia edukacyjne dla seniorów w Bibliotece Miejskiej w Ustrzykach Dolnych - prelekcja o przyrodzie Parku, pokaz diaporam przyrodniczych.</w:t>
            </w:r>
          </w:p>
        </w:tc>
      </w:tr>
      <w:tr w:rsidR="00C97BE2" w:rsidRPr="0019609D" w14:paraId="6374CA63" w14:textId="77777777" w:rsidTr="0019609D">
        <w:tc>
          <w:tcPr>
            <w:tcW w:w="472" w:type="dxa"/>
            <w:shd w:val="clear" w:color="auto" w:fill="FFFFFF" w:themeFill="background1"/>
          </w:tcPr>
          <w:p w14:paraId="15D086F6"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shd w:val="clear" w:color="auto" w:fill="FFFFFF" w:themeFill="background1"/>
          </w:tcPr>
          <w:p w14:paraId="7BD64C67" w14:textId="77777777" w:rsidR="00C97BE2" w:rsidRPr="0019609D" w:rsidRDefault="00C97BE2" w:rsidP="00C97BE2">
            <w:pPr>
              <w:rPr>
                <w:rFonts w:ascii="Lato" w:hAnsi="Lato"/>
                <w:sz w:val="18"/>
                <w:szCs w:val="18"/>
              </w:rPr>
            </w:pPr>
            <w:r w:rsidRPr="0019609D">
              <w:rPr>
                <w:rFonts w:ascii="Lato" w:hAnsi="Lato"/>
                <w:sz w:val="18"/>
                <w:szCs w:val="18"/>
              </w:rPr>
              <w:t>Uzupełnianie infrastruktury edukacyjnej i turystycznej wzdłuż ścieżek przyrodniczych i szlaków.</w:t>
            </w:r>
          </w:p>
        </w:tc>
        <w:tc>
          <w:tcPr>
            <w:tcW w:w="1616" w:type="dxa"/>
            <w:shd w:val="clear" w:color="auto" w:fill="FFFFFF" w:themeFill="background1"/>
          </w:tcPr>
          <w:p w14:paraId="673DFEBB" w14:textId="77777777" w:rsidR="00C97BE2" w:rsidRPr="0019609D" w:rsidRDefault="00C97BE2" w:rsidP="00C97BE2">
            <w:pPr>
              <w:rPr>
                <w:rFonts w:ascii="Lato" w:hAnsi="Lato"/>
                <w:sz w:val="18"/>
                <w:szCs w:val="18"/>
              </w:rPr>
            </w:pPr>
            <w:r w:rsidRPr="0019609D">
              <w:rPr>
                <w:rFonts w:ascii="Lato" w:hAnsi="Lato"/>
                <w:sz w:val="18"/>
                <w:szCs w:val="18"/>
              </w:rPr>
              <w:t>Cały rok</w:t>
            </w:r>
          </w:p>
        </w:tc>
        <w:tc>
          <w:tcPr>
            <w:tcW w:w="3952" w:type="dxa"/>
            <w:shd w:val="clear" w:color="auto" w:fill="FFFFFF" w:themeFill="background1"/>
          </w:tcPr>
          <w:p w14:paraId="50623AC0" w14:textId="77777777" w:rsidR="00C97BE2" w:rsidRPr="0019609D" w:rsidRDefault="00C97BE2" w:rsidP="00C97BE2">
            <w:pPr>
              <w:rPr>
                <w:rFonts w:ascii="Lato" w:hAnsi="Lato"/>
                <w:sz w:val="18"/>
                <w:szCs w:val="18"/>
              </w:rPr>
            </w:pPr>
            <w:r w:rsidRPr="0019609D">
              <w:rPr>
                <w:rFonts w:ascii="Lato" w:hAnsi="Lato"/>
                <w:sz w:val="18"/>
                <w:szCs w:val="18"/>
              </w:rPr>
              <w:t xml:space="preserve">Wyremontowano istniejące elementy infrastruktury, dostosowane do bezpiecznego i  wygodnego korzystania z przestrzeni parku: kładka dla pieszych na Torfowisku Tarnawa Wyżna, drewniane bariery, ławy i </w:t>
            </w:r>
            <w:proofErr w:type="spellStart"/>
            <w:r w:rsidRPr="0019609D">
              <w:rPr>
                <w:rFonts w:ascii="Lato" w:hAnsi="Lato"/>
                <w:sz w:val="18"/>
                <w:szCs w:val="18"/>
              </w:rPr>
              <w:t>ławostoły</w:t>
            </w:r>
            <w:proofErr w:type="spellEnd"/>
            <w:r w:rsidRPr="0019609D">
              <w:rPr>
                <w:rFonts w:ascii="Lato" w:hAnsi="Lato"/>
                <w:sz w:val="18"/>
                <w:szCs w:val="18"/>
              </w:rPr>
              <w:t xml:space="preserve">. Bieżące utrzymywanie ścieżek spacerowych i obiektów kulturowych (m.in. koszenie, konserwacja barierek, mostków i kładek oraz tablic edukacyjnych), co umożliwia wygodne użytkowanie udostępnianych tras i miejsc. </w:t>
            </w:r>
          </w:p>
        </w:tc>
      </w:tr>
      <w:tr w:rsidR="00C97BE2" w:rsidRPr="0019609D" w14:paraId="4AA9C3D4" w14:textId="77777777" w:rsidTr="0019609D">
        <w:tc>
          <w:tcPr>
            <w:tcW w:w="472" w:type="dxa"/>
            <w:shd w:val="clear" w:color="auto" w:fill="FFFFFF" w:themeFill="background1"/>
          </w:tcPr>
          <w:p w14:paraId="128534B9" w14:textId="77777777" w:rsidR="00C97BE2" w:rsidRPr="0019609D" w:rsidRDefault="00C97BE2" w:rsidP="00C97BE2">
            <w:pPr>
              <w:jc w:val="center"/>
              <w:rPr>
                <w:rFonts w:ascii="Lato" w:hAnsi="Lato"/>
                <w:b/>
                <w:bCs/>
                <w:sz w:val="18"/>
                <w:szCs w:val="18"/>
              </w:rPr>
            </w:pPr>
            <w:r w:rsidRPr="0019609D">
              <w:rPr>
                <w:rFonts w:ascii="Lato" w:hAnsi="Lato"/>
                <w:b/>
                <w:bCs/>
                <w:sz w:val="18"/>
                <w:szCs w:val="18"/>
              </w:rPr>
              <w:lastRenderedPageBreak/>
              <w:t>4.</w:t>
            </w:r>
          </w:p>
        </w:tc>
        <w:tc>
          <w:tcPr>
            <w:tcW w:w="3026" w:type="dxa"/>
            <w:shd w:val="clear" w:color="auto" w:fill="FFFFFF" w:themeFill="background1"/>
          </w:tcPr>
          <w:p w14:paraId="1B44613F" w14:textId="77777777" w:rsidR="00C97BE2" w:rsidRPr="0019609D" w:rsidRDefault="00C97BE2" w:rsidP="00C97BE2">
            <w:pPr>
              <w:keepNext/>
              <w:rPr>
                <w:rFonts w:ascii="Lato" w:hAnsi="Lato"/>
                <w:sz w:val="18"/>
                <w:szCs w:val="18"/>
              </w:rPr>
            </w:pPr>
            <w:r w:rsidRPr="0019609D">
              <w:rPr>
                <w:rFonts w:ascii="Lato" w:hAnsi="Lato"/>
                <w:sz w:val="18"/>
                <w:szCs w:val="18"/>
              </w:rPr>
              <w:t xml:space="preserve">Modernizacja Muzeum Przyrodniczego </w:t>
            </w:r>
            <w:proofErr w:type="spellStart"/>
            <w:r w:rsidRPr="0019609D">
              <w:rPr>
                <w:rFonts w:ascii="Lato" w:hAnsi="Lato"/>
                <w:sz w:val="18"/>
                <w:szCs w:val="18"/>
              </w:rPr>
              <w:t>BdPN</w:t>
            </w:r>
            <w:proofErr w:type="spellEnd"/>
            <w:r w:rsidRPr="0019609D">
              <w:rPr>
                <w:rFonts w:ascii="Lato" w:hAnsi="Lato"/>
                <w:sz w:val="18"/>
                <w:szCs w:val="18"/>
              </w:rPr>
              <w:t xml:space="preserve"> w Ustrzykach Dolnych</w:t>
            </w:r>
          </w:p>
        </w:tc>
        <w:tc>
          <w:tcPr>
            <w:tcW w:w="1616" w:type="dxa"/>
            <w:shd w:val="clear" w:color="auto" w:fill="FFFFFF" w:themeFill="background1"/>
          </w:tcPr>
          <w:p w14:paraId="29535EAB" w14:textId="77777777" w:rsidR="00C97BE2" w:rsidRPr="0019609D" w:rsidRDefault="00C97BE2" w:rsidP="00C97BE2">
            <w:pPr>
              <w:keepNext/>
              <w:rPr>
                <w:rFonts w:ascii="Lato" w:hAnsi="Lato"/>
                <w:sz w:val="18"/>
                <w:szCs w:val="18"/>
              </w:rPr>
            </w:pPr>
            <w:r w:rsidRPr="0019609D">
              <w:rPr>
                <w:rFonts w:ascii="Lato" w:hAnsi="Lato"/>
                <w:sz w:val="18"/>
                <w:szCs w:val="18"/>
              </w:rPr>
              <w:t>13.08.2022 r. – otwarcie Muzeum Przyrodniczego dla zwiedzających</w:t>
            </w:r>
          </w:p>
        </w:tc>
        <w:tc>
          <w:tcPr>
            <w:tcW w:w="3952" w:type="dxa"/>
            <w:shd w:val="clear" w:color="auto" w:fill="FFFFFF" w:themeFill="background1"/>
          </w:tcPr>
          <w:p w14:paraId="7E63831C" w14:textId="77777777" w:rsidR="00C97BE2" w:rsidRPr="0019609D" w:rsidRDefault="00C97BE2" w:rsidP="00C97BE2">
            <w:pPr>
              <w:keepNext/>
              <w:keepLines/>
              <w:rPr>
                <w:rFonts w:ascii="Lato" w:hAnsi="Lato"/>
                <w:sz w:val="18"/>
                <w:szCs w:val="18"/>
              </w:rPr>
            </w:pPr>
            <w:r w:rsidRPr="0019609D">
              <w:rPr>
                <w:rFonts w:ascii="Lato" w:hAnsi="Lato"/>
                <w:sz w:val="18"/>
                <w:szCs w:val="18"/>
              </w:rPr>
              <w:t xml:space="preserve">W 2021 roku rozpoczęto modernizację Muzeum Przyrodniczego </w:t>
            </w:r>
            <w:proofErr w:type="spellStart"/>
            <w:r w:rsidRPr="0019609D">
              <w:rPr>
                <w:rFonts w:ascii="Lato" w:hAnsi="Lato"/>
                <w:sz w:val="18"/>
                <w:szCs w:val="18"/>
              </w:rPr>
              <w:t>BdPN</w:t>
            </w:r>
            <w:proofErr w:type="spellEnd"/>
            <w:r w:rsidRPr="0019609D">
              <w:rPr>
                <w:rFonts w:ascii="Lato" w:hAnsi="Lato"/>
                <w:sz w:val="18"/>
                <w:szCs w:val="18"/>
              </w:rPr>
              <w:t>, którego jednym z głównych założeń  jest udostępnienie obiektu do zwiedzania osobom starszym i niepełnosprawnym. W sierpniu otwarto Muzeum Przyrodnicze i Ośrodek Edukacji Ekologicznej dla osób zwiedzających, niezależnie kontynuowano roboty zewnętrzne. Z muzeum korzystają grupy rodzinne, dzieci oraz osoby starsze. Mają one możliwość w atrakcyjny sposób poznawać przyrodę Parku. Obiekt jest przystosowany do korzystania przez osoby starsze – winda, ławeczki na ekspozycjach, klubokawiarnia z możliwością odpoczynku i obejrzenia diaporam i filmów przyrodniczych. Z ewidencji ruchu turystycznego Muzeum wynika, że od 13 sierpnia do końca roku 2022 ekspozycje zwiedziło blisko 1 700 emerytów.</w:t>
            </w:r>
          </w:p>
        </w:tc>
      </w:tr>
      <w:tr w:rsidR="00C97BE2" w:rsidRPr="0019609D" w14:paraId="04BF632D" w14:textId="77777777" w:rsidTr="0019609D">
        <w:tc>
          <w:tcPr>
            <w:tcW w:w="472" w:type="dxa"/>
            <w:shd w:val="clear" w:color="auto" w:fill="FFFFFF" w:themeFill="background1"/>
          </w:tcPr>
          <w:p w14:paraId="6DCA8330" w14:textId="77777777" w:rsidR="00C97BE2" w:rsidRPr="0019609D" w:rsidRDefault="00C97BE2" w:rsidP="00C97BE2">
            <w:pPr>
              <w:jc w:val="center"/>
              <w:rPr>
                <w:rFonts w:ascii="Lato" w:hAnsi="Lato"/>
                <w:b/>
                <w:bCs/>
                <w:sz w:val="18"/>
                <w:szCs w:val="18"/>
              </w:rPr>
            </w:pPr>
            <w:r w:rsidRPr="0019609D">
              <w:rPr>
                <w:rFonts w:ascii="Lato" w:hAnsi="Lato"/>
                <w:b/>
                <w:bCs/>
                <w:sz w:val="18"/>
                <w:szCs w:val="18"/>
              </w:rPr>
              <w:t>5.</w:t>
            </w:r>
          </w:p>
        </w:tc>
        <w:tc>
          <w:tcPr>
            <w:tcW w:w="3026" w:type="dxa"/>
            <w:shd w:val="clear" w:color="auto" w:fill="FFFFFF" w:themeFill="background1"/>
          </w:tcPr>
          <w:p w14:paraId="0D17CD37" w14:textId="77777777" w:rsidR="00C97BE2" w:rsidRPr="0019609D" w:rsidRDefault="00C97BE2" w:rsidP="00C97BE2">
            <w:pPr>
              <w:rPr>
                <w:rFonts w:ascii="Lato" w:hAnsi="Lato"/>
                <w:sz w:val="18"/>
                <w:szCs w:val="18"/>
              </w:rPr>
            </w:pPr>
            <w:r w:rsidRPr="0019609D">
              <w:rPr>
                <w:rFonts w:ascii="Lato" w:hAnsi="Lato"/>
                <w:sz w:val="18"/>
                <w:szCs w:val="18"/>
              </w:rPr>
              <w:t>Udostępnienie tabliczek edukacyjnych oraz panoramy widokowej na torfowiskach Tarnawa i Wołosate</w:t>
            </w:r>
          </w:p>
        </w:tc>
        <w:tc>
          <w:tcPr>
            <w:tcW w:w="1616" w:type="dxa"/>
            <w:shd w:val="clear" w:color="auto" w:fill="FFFFFF" w:themeFill="background1"/>
          </w:tcPr>
          <w:p w14:paraId="6528655C" w14:textId="77777777" w:rsidR="00C97BE2" w:rsidRPr="0019609D" w:rsidRDefault="00C97BE2" w:rsidP="00C97BE2">
            <w:pPr>
              <w:rPr>
                <w:rFonts w:ascii="Lato" w:hAnsi="Lato"/>
                <w:sz w:val="18"/>
                <w:szCs w:val="18"/>
              </w:rPr>
            </w:pPr>
            <w:r w:rsidRPr="0019609D">
              <w:rPr>
                <w:rFonts w:ascii="Lato" w:hAnsi="Lato"/>
                <w:sz w:val="18"/>
                <w:szCs w:val="18"/>
              </w:rPr>
              <w:t>Cały rok</w:t>
            </w:r>
          </w:p>
        </w:tc>
        <w:tc>
          <w:tcPr>
            <w:tcW w:w="3952" w:type="dxa"/>
            <w:shd w:val="clear" w:color="auto" w:fill="FFFFFF" w:themeFill="background1"/>
          </w:tcPr>
          <w:p w14:paraId="59C564F8" w14:textId="77777777" w:rsidR="00C97BE2" w:rsidRPr="0019609D" w:rsidRDefault="00C97BE2" w:rsidP="00C97BE2">
            <w:pPr>
              <w:rPr>
                <w:rFonts w:ascii="Lato" w:hAnsi="Lato"/>
                <w:sz w:val="18"/>
                <w:szCs w:val="18"/>
              </w:rPr>
            </w:pPr>
            <w:r w:rsidRPr="0019609D">
              <w:rPr>
                <w:rFonts w:ascii="Lato" w:hAnsi="Lato"/>
                <w:sz w:val="18"/>
                <w:szCs w:val="18"/>
              </w:rPr>
              <w:t xml:space="preserve">Udostępnienie torfowisk w </w:t>
            </w:r>
            <w:proofErr w:type="spellStart"/>
            <w:r w:rsidRPr="0019609D">
              <w:rPr>
                <w:rFonts w:ascii="Lato" w:hAnsi="Lato"/>
                <w:sz w:val="18"/>
                <w:szCs w:val="18"/>
              </w:rPr>
              <w:t>Wołosatem</w:t>
            </w:r>
            <w:proofErr w:type="spellEnd"/>
            <w:r w:rsidRPr="0019609D">
              <w:rPr>
                <w:rFonts w:ascii="Lato" w:hAnsi="Lato"/>
                <w:sz w:val="18"/>
                <w:szCs w:val="18"/>
              </w:rPr>
              <w:t xml:space="preserve"> i Tarnawie poprzez konserwację tabliczek edukacyjnych opisujących gatunki roślin i zwierząt związanych z ekosystemem torfowiska oraz panoramy widokowe z opisanymi nazwami szczytów. Tabliczki zainstalowane wzdłuż kładek, pozwalają na przyjemną wędrówkę zarówno osobom starszym, jak i dzieciom, a także osobom poruszającym się na wózkach. Krótkie, przyjemne opisy wzbogacane zdjęciami i ilustracjami roślin, sprawiają, że treści są dostępne dla każdego turysty. </w:t>
            </w:r>
          </w:p>
        </w:tc>
      </w:tr>
      <w:tr w:rsidR="00C97BE2" w:rsidRPr="0019609D" w14:paraId="378F1620" w14:textId="77777777" w:rsidTr="0019609D">
        <w:tc>
          <w:tcPr>
            <w:tcW w:w="906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D4C6A19" w14:textId="77777777" w:rsidR="00C97BE2" w:rsidRPr="0019609D" w:rsidRDefault="00C97BE2" w:rsidP="00C97BE2">
            <w:pPr>
              <w:keepNext/>
              <w:jc w:val="center"/>
              <w:rPr>
                <w:rFonts w:ascii="Lato" w:hAnsi="Lato"/>
                <w:b/>
                <w:bCs/>
                <w:sz w:val="18"/>
                <w:szCs w:val="18"/>
              </w:rPr>
            </w:pPr>
            <w:r w:rsidRPr="0019609D">
              <w:rPr>
                <w:rFonts w:ascii="Lato" w:hAnsi="Lato"/>
                <w:b/>
                <w:bCs/>
                <w:sz w:val="18"/>
                <w:szCs w:val="18"/>
              </w:rPr>
              <w:t>Park Narodowy „Bory Tucholskie”</w:t>
            </w:r>
          </w:p>
        </w:tc>
      </w:tr>
      <w:tr w:rsidR="00C97BE2" w:rsidRPr="0019609D" w14:paraId="76945FC8"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50A9B0"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8A732B" w14:textId="77777777" w:rsidR="00C97BE2" w:rsidRPr="0019609D" w:rsidRDefault="00C97BE2" w:rsidP="00C97BE2">
            <w:pPr>
              <w:rPr>
                <w:rFonts w:ascii="Lato" w:hAnsi="Lato"/>
                <w:sz w:val="18"/>
                <w:szCs w:val="18"/>
              </w:rPr>
            </w:pPr>
            <w:r w:rsidRPr="0019609D">
              <w:rPr>
                <w:rFonts w:ascii="Lato" w:hAnsi="Lato"/>
                <w:bCs/>
                <w:sz w:val="18"/>
                <w:szCs w:val="18"/>
              </w:rPr>
              <w:t>Wykłady i zajęcia edukacyjne w sali.</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1153C" w14:textId="77777777" w:rsidR="00C97BE2" w:rsidRPr="0019609D" w:rsidRDefault="00C97BE2" w:rsidP="00C97BE2">
            <w:pPr>
              <w:rPr>
                <w:rFonts w:ascii="Lato" w:hAnsi="Lato"/>
                <w:sz w:val="18"/>
                <w:szCs w:val="18"/>
              </w:rPr>
            </w:pPr>
            <w:r w:rsidRPr="0019609D">
              <w:rPr>
                <w:rFonts w:ascii="Lato" w:hAnsi="Lato"/>
                <w:sz w:val="18"/>
                <w:szCs w:val="18"/>
              </w:rPr>
              <w:t>04-08.2022 r.</w:t>
            </w:r>
          </w:p>
          <w:p w14:paraId="5B4865C1" w14:textId="77777777" w:rsidR="00C97BE2" w:rsidRPr="0019609D" w:rsidRDefault="00C97BE2" w:rsidP="00C97BE2">
            <w:pPr>
              <w:rPr>
                <w:rFonts w:ascii="Lato" w:hAnsi="Lato"/>
                <w:sz w:val="18"/>
                <w:szCs w:val="18"/>
              </w:rPr>
            </w:pPr>
            <w:r w:rsidRPr="0019609D">
              <w:rPr>
                <w:rFonts w:ascii="Lato" w:hAnsi="Lato"/>
                <w:sz w:val="18"/>
                <w:szCs w:val="18"/>
              </w:rPr>
              <w:t>(7 grup)</w:t>
            </w:r>
          </w:p>
          <w:p w14:paraId="0374777B" w14:textId="77777777" w:rsidR="00C97BE2" w:rsidRPr="0019609D" w:rsidRDefault="00C97BE2" w:rsidP="00C97BE2">
            <w:pPr>
              <w:rPr>
                <w:rFonts w:ascii="Lato" w:hAnsi="Lato"/>
                <w:sz w:val="18"/>
                <w:szCs w:val="18"/>
              </w:rPr>
            </w:pPr>
          </w:p>
          <w:p w14:paraId="26185F69" w14:textId="77777777" w:rsidR="00C97BE2" w:rsidRPr="0019609D" w:rsidRDefault="00C97BE2" w:rsidP="00C97BE2">
            <w:pPr>
              <w:rPr>
                <w:rFonts w:ascii="Lato" w:hAnsi="Lato"/>
                <w:sz w:val="18"/>
                <w:szCs w:val="18"/>
              </w:rPr>
            </w:pPr>
            <w:r w:rsidRPr="0019609D">
              <w:rPr>
                <w:rFonts w:ascii="Lato" w:hAnsi="Lato"/>
                <w:sz w:val="18"/>
                <w:szCs w:val="18"/>
              </w:rPr>
              <w:t>/od 1997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0FBB1" w14:textId="77777777" w:rsidR="00C97BE2" w:rsidRPr="0019609D" w:rsidRDefault="00C97BE2" w:rsidP="00C97BE2">
            <w:pPr>
              <w:rPr>
                <w:rFonts w:ascii="Lato" w:hAnsi="Lato"/>
                <w:sz w:val="18"/>
                <w:szCs w:val="18"/>
              </w:rPr>
            </w:pPr>
            <w:r w:rsidRPr="0019609D">
              <w:rPr>
                <w:rFonts w:ascii="Lato" w:hAnsi="Lato"/>
                <w:bCs/>
                <w:sz w:val="18"/>
                <w:szCs w:val="18"/>
              </w:rPr>
              <w:t xml:space="preserve">Na specjalne zamówienia (w dowolnie wybranym terminie), Park prowadzi  dla seniorów bezpłatne wykłady nt. Parku oraz zajęcia warsztatowe.  Z tej formy chętnie korzystają zorganizowane grupy emerytów. Oferta znajduje się na stronie internetowej Parku. </w:t>
            </w:r>
          </w:p>
        </w:tc>
      </w:tr>
      <w:tr w:rsidR="00C97BE2" w:rsidRPr="0019609D" w14:paraId="0465A5D9" w14:textId="77777777" w:rsidTr="0019609D">
        <w:tc>
          <w:tcPr>
            <w:tcW w:w="472" w:type="dxa"/>
            <w:shd w:val="clear" w:color="auto" w:fill="FFFFFF" w:themeFill="background1"/>
            <w:hideMark/>
          </w:tcPr>
          <w:p w14:paraId="352B7B7C"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shd w:val="clear" w:color="auto" w:fill="FFFFFF" w:themeFill="background1"/>
            <w:hideMark/>
          </w:tcPr>
          <w:p w14:paraId="602D1963" w14:textId="77777777" w:rsidR="00C97BE2" w:rsidRPr="0019609D" w:rsidRDefault="00C97BE2" w:rsidP="00C97BE2">
            <w:pPr>
              <w:rPr>
                <w:rFonts w:ascii="Lato" w:hAnsi="Lato"/>
                <w:sz w:val="18"/>
                <w:szCs w:val="18"/>
              </w:rPr>
            </w:pPr>
            <w:r w:rsidRPr="0019609D">
              <w:rPr>
                <w:rFonts w:ascii="Lato" w:hAnsi="Lato"/>
                <w:bCs/>
                <w:sz w:val="18"/>
                <w:szCs w:val="18"/>
              </w:rPr>
              <w:t>Czwartkowe spotkania z przyrodą</w:t>
            </w:r>
          </w:p>
        </w:tc>
        <w:tc>
          <w:tcPr>
            <w:tcW w:w="1616" w:type="dxa"/>
            <w:shd w:val="clear" w:color="auto" w:fill="FFFFFF" w:themeFill="background1"/>
          </w:tcPr>
          <w:p w14:paraId="3D33E6E6" w14:textId="77777777" w:rsidR="00C97BE2" w:rsidRPr="0019609D" w:rsidRDefault="00C97BE2" w:rsidP="00C97BE2">
            <w:pPr>
              <w:rPr>
                <w:rFonts w:ascii="Lato" w:hAnsi="Lato"/>
                <w:sz w:val="18"/>
                <w:szCs w:val="18"/>
              </w:rPr>
            </w:pPr>
            <w:r w:rsidRPr="0019609D">
              <w:rPr>
                <w:rFonts w:ascii="Lato" w:hAnsi="Lato"/>
                <w:sz w:val="18"/>
                <w:szCs w:val="18"/>
              </w:rPr>
              <w:t xml:space="preserve">09-11.2022 r. </w:t>
            </w:r>
          </w:p>
          <w:p w14:paraId="0B2DC9AB" w14:textId="77777777" w:rsidR="00C97BE2" w:rsidRPr="0019609D" w:rsidRDefault="00C97BE2" w:rsidP="00C97BE2">
            <w:pPr>
              <w:rPr>
                <w:rFonts w:ascii="Lato" w:hAnsi="Lato"/>
                <w:sz w:val="18"/>
                <w:szCs w:val="18"/>
              </w:rPr>
            </w:pPr>
          </w:p>
          <w:p w14:paraId="769E5CDD" w14:textId="77777777" w:rsidR="00C97BE2" w:rsidRPr="0019609D" w:rsidRDefault="00C97BE2" w:rsidP="00C97BE2">
            <w:pPr>
              <w:rPr>
                <w:rFonts w:ascii="Lato" w:hAnsi="Lato"/>
                <w:sz w:val="18"/>
                <w:szCs w:val="18"/>
              </w:rPr>
            </w:pPr>
            <w:r w:rsidRPr="0019609D">
              <w:rPr>
                <w:rFonts w:ascii="Lato" w:hAnsi="Lato"/>
                <w:sz w:val="18"/>
                <w:szCs w:val="18"/>
              </w:rPr>
              <w:t>/od 2004 roku</w:t>
            </w:r>
          </w:p>
        </w:tc>
        <w:tc>
          <w:tcPr>
            <w:tcW w:w="3952" w:type="dxa"/>
            <w:shd w:val="clear" w:color="auto" w:fill="FFFFFF" w:themeFill="background1"/>
            <w:hideMark/>
          </w:tcPr>
          <w:p w14:paraId="345D8FE2" w14:textId="77777777" w:rsidR="00C97BE2" w:rsidRPr="0019609D" w:rsidRDefault="00C97BE2" w:rsidP="00C97BE2">
            <w:pPr>
              <w:rPr>
                <w:rFonts w:ascii="Lato" w:hAnsi="Lato"/>
                <w:sz w:val="18"/>
                <w:szCs w:val="18"/>
              </w:rPr>
            </w:pPr>
            <w:r w:rsidRPr="0019609D">
              <w:rPr>
                <w:rFonts w:ascii="Lato" w:hAnsi="Lato"/>
                <w:bCs/>
                <w:sz w:val="18"/>
                <w:szCs w:val="18"/>
              </w:rPr>
              <w:t xml:space="preserve">Wykłady o różnej tematyce przyrodniczej i kulturowej przeznaczone dla osób dorosłych. W 2022 roku odbyły się trzy takie wykłady:  pt. „Co z tym klimatem?” dr hab. Bogdana Chojnickiego, „Kaskada niepewności czyli o roślinach w </w:t>
            </w:r>
            <w:proofErr w:type="spellStart"/>
            <w:r w:rsidRPr="0019609D">
              <w:rPr>
                <w:rFonts w:ascii="Lato" w:hAnsi="Lato"/>
                <w:bCs/>
                <w:sz w:val="18"/>
                <w:szCs w:val="18"/>
              </w:rPr>
              <w:t>antropocenie</w:t>
            </w:r>
            <w:proofErr w:type="spellEnd"/>
            <w:r w:rsidRPr="0019609D">
              <w:rPr>
                <w:rFonts w:ascii="Lato" w:hAnsi="Lato"/>
                <w:bCs/>
                <w:sz w:val="18"/>
                <w:szCs w:val="18"/>
              </w:rPr>
              <w:t xml:space="preserve">” dr inż. Szymona Jastrzębowskiego oraz „Żywe Muzeum Przyrody – Wielkopolski PN” – mgr inż. Patryka </w:t>
            </w:r>
            <w:proofErr w:type="spellStart"/>
            <w:r w:rsidRPr="0019609D">
              <w:rPr>
                <w:rFonts w:ascii="Lato" w:hAnsi="Lato"/>
                <w:bCs/>
                <w:sz w:val="18"/>
                <w:szCs w:val="18"/>
              </w:rPr>
              <w:t>Rylika</w:t>
            </w:r>
            <w:proofErr w:type="spellEnd"/>
            <w:r w:rsidRPr="0019609D">
              <w:rPr>
                <w:rFonts w:ascii="Lato" w:hAnsi="Lato"/>
                <w:bCs/>
                <w:sz w:val="18"/>
                <w:szCs w:val="18"/>
              </w:rPr>
              <w:t>. Uczestnikami byli m. in. studenci Uniwersytetów III Wieku.  Zaproszenia na wykłady  ukazały się w lokalnej prasie, na stronie internetowej Parku, FB oraz plakatach. Dodatkowo PNBT zorganizował bezpłatny transport autokarowy z i na wykład, z którego mogli skorzystać wszyscy chętni seniorzy.</w:t>
            </w:r>
          </w:p>
        </w:tc>
      </w:tr>
      <w:tr w:rsidR="00C97BE2" w:rsidRPr="0019609D" w14:paraId="1E5293BE"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83A04"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69088" w14:textId="77777777" w:rsidR="00C97BE2" w:rsidRPr="0019609D" w:rsidRDefault="00C97BE2" w:rsidP="00C97BE2">
            <w:pPr>
              <w:rPr>
                <w:rFonts w:ascii="Lato" w:hAnsi="Lato"/>
                <w:sz w:val="18"/>
                <w:szCs w:val="18"/>
              </w:rPr>
            </w:pPr>
            <w:r w:rsidRPr="0019609D">
              <w:rPr>
                <w:rFonts w:ascii="Lato" w:hAnsi="Lato"/>
                <w:bCs/>
                <w:sz w:val="18"/>
                <w:szCs w:val="18"/>
              </w:rPr>
              <w:t>Letnia Akademia Przyrodnicza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2A138C85" w14:textId="77777777" w:rsidR="00C97BE2" w:rsidRPr="0019609D" w:rsidRDefault="00C97BE2" w:rsidP="00C97BE2">
            <w:pPr>
              <w:rPr>
                <w:rFonts w:ascii="Lato" w:hAnsi="Lato"/>
                <w:sz w:val="18"/>
                <w:szCs w:val="18"/>
              </w:rPr>
            </w:pPr>
            <w:r w:rsidRPr="0019609D">
              <w:rPr>
                <w:rFonts w:ascii="Lato" w:hAnsi="Lato"/>
                <w:sz w:val="18"/>
                <w:szCs w:val="18"/>
              </w:rPr>
              <w:t>07-08.2022 r.</w:t>
            </w:r>
          </w:p>
          <w:p w14:paraId="4B029F5C" w14:textId="77777777" w:rsidR="00C97BE2" w:rsidRPr="0019609D" w:rsidRDefault="00C97BE2" w:rsidP="00C97BE2">
            <w:pPr>
              <w:rPr>
                <w:rFonts w:ascii="Lato" w:hAnsi="Lato"/>
                <w:sz w:val="18"/>
                <w:szCs w:val="18"/>
              </w:rPr>
            </w:pPr>
            <w:r w:rsidRPr="0019609D">
              <w:rPr>
                <w:rFonts w:ascii="Lato" w:hAnsi="Lato"/>
                <w:sz w:val="18"/>
                <w:szCs w:val="18"/>
              </w:rPr>
              <w:t>(5 grup)</w:t>
            </w:r>
          </w:p>
          <w:p w14:paraId="3EA86C7B" w14:textId="77777777" w:rsidR="00C97BE2" w:rsidRPr="0019609D" w:rsidRDefault="00C97BE2" w:rsidP="00C97BE2">
            <w:pPr>
              <w:rPr>
                <w:rFonts w:ascii="Lato" w:hAnsi="Lato"/>
                <w:sz w:val="18"/>
                <w:szCs w:val="18"/>
              </w:rPr>
            </w:pPr>
          </w:p>
          <w:p w14:paraId="5E567F47" w14:textId="77777777" w:rsidR="00C97BE2" w:rsidRPr="0019609D" w:rsidRDefault="00C97BE2" w:rsidP="00C97BE2">
            <w:pPr>
              <w:rPr>
                <w:rFonts w:ascii="Lato" w:hAnsi="Lato"/>
                <w:sz w:val="18"/>
                <w:szCs w:val="18"/>
              </w:rPr>
            </w:pPr>
            <w:r w:rsidRPr="0019609D">
              <w:rPr>
                <w:rFonts w:ascii="Lato" w:hAnsi="Lato"/>
                <w:sz w:val="18"/>
                <w:szCs w:val="18"/>
              </w:rPr>
              <w:t>/od 2005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DA368" w14:textId="77777777" w:rsidR="00C97BE2" w:rsidRPr="0019609D" w:rsidRDefault="00C97BE2" w:rsidP="00C97BE2">
            <w:pPr>
              <w:rPr>
                <w:rFonts w:ascii="Lato" w:hAnsi="Lato"/>
                <w:sz w:val="18"/>
                <w:szCs w:val="18"/>
              </w:rPr>
            </w:pPr>
            <w:r w:rsidRPr="0019609D">
              <w:rPr>
                <w:rFonts w:ascii="Lato" w:hAnsi="Lato"/>
                <w:bCs/>
                <w:sz w:val="18"/>
                <w:szCs w:val="18"/>
              </w:rPr>
              <w:t>Są to krótkie bezpłatne wyprawy piesze po terenie Parku z edukatorem. Chętnie uczestniczą w nich osoby starsze. Odbywają się one cztery razy w okresie wakacyjnym. Zaproszenia ukazały się w lokalnej prasie, na stronie internetowej Parku, FB oraz plakatach.</w:t>
            </w:r>
          </w:p>
        </w:tc>
      </w:tr>
      <w:tr w:rsidR="00C97BE2" w:rsidRPr="0019609D" w14:paraId="3B34B0E7"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A9406" w14:textId="77777777" w:rsidR="00C97BE2" w:rsidRPr="0019609D" w:rsidRDefault="00C97BE2" w:rsidP="00C97BE2">
            <w:pPr>
              <w:jc w:val="center"/>
              <w:rPr>
                <w:rFonts w:ascii="Lato" w:hAnsi="Lato"/>
                <w:b/>
                <w:bCs/>
                <w:sz w:val="18"/>
                <w:szCs w:val="18"/>
              </w:rPr>
            </w:pPr>
            <w:r w:rsidRPr="0019609D">
              <w:rPr>
                <w:rFonts w:ascii="Lato" w:hAnsi="Lato"/>
                <w:b/>
                <w:bCs/>
                <w:sz w:val="18"/>
                <w:szCs w:val="18"/>
              </w:rPr>
              <w:t>4.</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0D8645" w14:textId="77777777" w:rsidR="00C97BE2" w:rsidRPr="0019609D" w:rsidRDefault="00C97BE2" w:rsidP="00C97BE2">
            <w:pPr>
              <w:rPr>
                <w:rFonts w:ascii="Lato" w:hAnsi="Lato"/>
                <w:sz w:val="18"/>
                <w:szCs w:val="18"/>
              </w:rPr>
            </w:pPr>
            <w:r w:rsidRPr="0019609D">
              <w:rPr>
                <w:rFonts w:ascii="Lato" w:hAnsi="Lato"/>
                <w:bCs/>
                <w:sz w:val="18"/>
                <w:szCs w:val="18"/>
              </w:rPr>
              <w:t>Botaniczna ścieżka dydaktyczna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09E4C19D" w14:textId="77777777" w:rsidR="00C97BE2" w:rsidRPr="0019609D" w:rsidRDefault="00C97BE2" w:rsidP="00C97BE2">
            <w:pPr>
              <w:rPr>
                <w:rFonts w:ascii="Lato" w:hAnsi="Lato"/>
                <w:bCs/>
                <w:sz w:val="18"/>
                <w:szCs w:val="18"/>
              </w:rPr>
            </w:pPr>
            <w:r w:rsidRPr="0019609D">
              <w:rPr>
                <w:rFonts w:ascii="Lato" w:hAnsi="Lato"/>
                <w:bCs/>
                <w:sz w:val="18"/>
                <w:szCs w:val="18"/>
              </w:rPr>
              <w:t>bezterminowo</w:t>
            </w:r>
          </w:p>
          <w:p w14:paraId="27E44E85" w14:textId="77777777" w:rsidR="00C97BE2" w:rsidRPr="0019609D" w:rsidRDefault="00C97BE2" w:rsidP="00C97BE2">
            <w:pPr>
              <w:rPr>
                <w:rFonts w:ascii="Lato" w:hAnsi="Lato"/>
                <w:bCs/>
                <w:sz w:val="18"/>
                <w:szCs w:val="18"/>
              </w:rPr>
            </w:pPr>
          </w:p>
          <w:p w14:paraId="7CA51DC7" w14:textId="77777777" w:rsidR="00C97BE2" w:rsidRPr="0019609D" w:rsidRDefault="00C97BE2" w:rsidP="00C97BE2">
            <w:pPr>
              <w:rPr>
                <w:rFonts w:ascii="Lato" w:hAnsi="Lato"/>
                <w:sz w:val="18"/>
                <w:szCs w:val="18"/>
              </w:rPr>
            </w:pPr>
            <w:r w:rsidRPr="0019609D">
              <w:rPr>
                <w:rFonts w:ascii="Lato" w:hAnsi="Lato"/>
                <w:bCs/>
                <w:sz w:val="18"/>
                <w:szCs w:val="18"/>
              </w:rPr>
              <w:t>/od 2005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7456D9" w14:textId="77777777" w:rsidR="00C97BE2" w:rsidRPr="0019609D" w:rsidRDefault="00C97BE2" w:rsidP="00C97BE2">
            <w:pPr>
              <w:rPr>
                <w:rFonts w:ascii="Lato" w:hAnsi="Lato"/>
                <w:sz w:val="18"/>
                <w:szCs w:val="18"/>
              </w:rPr>
            </w:pPr>
            <w:r w:rsidRPr="0019609D">
              <w:rPr>
                <w:rFonts w:ascii="Lato" w:hAnsi="Lato"/>
                <w:sz w:val="18"/>
                <w:szCs w:val="18"/>
              </w:rPr>
              <w:t xml:space="preserve">Botaniczna ścieżka dydaktyczna przeznaczona jest dla tych wszystkich, którzy pragną zapoznać się z florą regionu Borów Tucholskich, </w:t>
            </w:r>
            <w:r w:rsidRPr="0019609D">
              <w:rPr>
                <w:rFonts w:ascii="Lato" w:hAnsi="Lato"/>
                <w:sz w:val="18"/>
                <w:szCs w:val="18"/>
              </w:rPr>
              <w:lastRenderedPageBreak/>
              <w:t>a nie mogą odbywać dłuższych wędrówek. Do tej grupy zaliczają się często osoby starsze. Ze ścieżki mogą korzystać również osoby na wózkach inwalidzkich. Na niewielkim obszarze posadzono typowe i jednocześnie kluczowe gatunki dla flory Borów Tucholskich, stosunkowo łatwe do rozpoznawania. Ścieżkę można zwiedzać bezpłatnie indywidualnie lub z edukatorem. Informacja umieszczona jest na stronie internetowej Parku.</w:t>
            </w:r>
          </w:p>
        </w:tc>
      </w:tr>
      <w:tr w:rsidR="00C97BE2" w:rsidRPr="0019609D" w14:paraId="04C35420"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3613C" w14:textId="77777777" w:rsidR="00C97BE2" w:rsidRPr="0019609D" w:rsidRDefault="00C97BE2" w:rsidP="00C97BE2">
            <w:pPr>
              <w:jc w:val="center"/>
              <w:rPr>
                <w:rFonts w:ascii="Lato" w:hAnsi="Lato"/>
                <w:b/>
                <w:bCs/>
                <w:sz w:val="18"/>
                <w:szCs w:val="18"/>
              </w:rPr>
            </w:pPr>
            <w:r w:rsidRPr="0019609D">
              <w:rPr>
                <w:rFonts w:ascii="Lato" w:hAnsi="Lato"/>
                <w:b/>
                <w:bCs/>
                <w:sz w:val="18"/>
                <w:szCs w:val="18"/>
              </w:rPr>
              <w:lastRenderedPageBreak/>
              <w:t>5.</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63A67" w14:textId="77777777" w:rsidR="00C97BE2" w:rsidRPr="0019609D" w:rsidRDefault="00C97BE2" w:rsidP="00C97BE2">
            <w:pPr>
              <w:rPr>
                <w:rFonts w:ascii="Lato" w:hAnsi="Lato"/>
                <w:sz w:val="18"/>
                <w:szCs w:val="18"/>
              </w:rPr>
            </w:pPr>
            <w:r w:rsidRPr="0019609D">
              <w:rPr>
                <w:rFonts w:ascii="Lato" w:hAnsi="Lato"/>
                <w:bCs/>
                <w:sz w:val="18"/>
                <w:szCs w:val="18"/>
              </w:rPr>
              <w:t>Zagroda Pokazowa Zwierząt</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44DB41C8" w14:textId="77777777" w:rsidR="00C97BE2" w:rsidRPr="0019609D" w:rsidRDefault="00C97BE2" w:rsidP="00C97BE2">
            <w:pPr>
              <w:rPr>
                <w:rFonts w:ascii="Lato" w:hAnsi="Lato"/>
                <w:bCs/>
                <w:sz w:val="18"/>
                <w:szCs w:val="18"/>
              </w:rPr>
            </w:pPr>
            <w:r w:rsidRPr="0019609D">
              <w:rPr>
                <w:rFonts w:ascii="Lato" w:hAnsi="Lato"/>
                <w:bCs/>
                <w:sz w:val="18"/>
                <w:szCs w:val="18"/>
              </w:rPr>
              <w:t>bezterminowo</w:t>
            </w:r>
          </w:p>
          <w:p w14:paraId="2A77709F" w14:textId="77777777" w:rsidR="00C97BE2" w:rsidRPr="0019609D" w:rsidRDefault="00C97BE2" w:rsidP="00C97BE2">
            <w:pPr>
              <w:rPr>
                <w:rFonts w:ascii="Lato" w:hAnsi="Lato"/>
                <w:bCs/>
                <w:sz w:val="18"/>
                <w:szCs w:val="18"/>
              </w:rPr>
            </w:pPr>
          </w:p>
          <w:p w14:paraId="43284ADE" w14:textId="77777777" w:rsidR="00C97BE2" w:rsidRPr="0019609D" w:rsidRDefault="00C97BE2" w:rsidP="00C97BE2">
            <w:pPr>
              <w:rPr>
                <w:rFonts w:ascii="Lato" w:hAnsi="Lato"/>
                <w:sz w:val="18"/>
                <w:szCs w:val="18"/>
              </w:rPr>
            </w:pPr>
            <w:r w:rsidRPr="0019609D">
              <w:rPr>
                <w:rFonts w:ascii="Lato" w:hAnsi="Lato"/>
                <w:bCs/>
                <w:sz w:val="18"/>
                <w:szCs w:val="18"/>
              </w:rPr>
              <w:t>/od 2019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D0EF2" w14:textId="77777777" w:rsidR="00C97BE2" w:rsidRPr="0019609D" w:rsidRDefault="00C97BE2" w:rsidP="00C97BE2">
            <w:pPr>
              <w:keepLines/>
              <w:rPr>
                <w:rFonts w:ascii="Lato" w:hAnsi="Lato"/>
                <w:sz w:val="18"/>
                <w:szCs w:val="18"/>
              </w:rPr>
            </w:pPr>
            <w:r w:rsidRPr="0019609D">
              <w:rPr>
                <w:rFonts w:ascii="Lato" w:hAnsi="Lato"/>
                <w:sz w:val="18"/>
                <w:szCs w:val="18"/>
              </w:rPr>
              <w:t xml:space="preserve">Zagroda Pokazowa Zwierząt przeznaczona jest dla osób w różnym wieku. W 2022 roku chętnie była odwiedzana przez osoby starsze. ZPZ dostosowana jest do potrzeb osób z ograniczoną zdolnością ruchu. W Zagrodzie zobaczyć można zwierzęta należące do </w:t>
            </w:r>
            <w:r w:rsidRPr="0019609D">
              <w:rPr>
                <w:rFonts w:ascii="Lato" w:hAnsi="Lato"/>
                <w:spacing w:val="-4"/>
                <w:sz w:val="18"/>
                <w:szCs w:val="18"/>
              </w:rPr>
              <w:t>starych ras zwierząt gospodarskich objętych programem ochrony zasobów genetycznych</w:t>
            </w:r>
            <w:r w:rsidRPr="0019609D">
              <w:rPr>
                <w:rFonts w:ascii="Lato" w:hAnsi="Lato"/>
                <w:sz w:val="18"/>
                <w:szCs w:val="18"/>
              </w:rPr>
              <w:t>: kury zielononóżki kuropatwiane, owce świniarki, bydło białogrzbiete i koniki polskie. W Zagrodzie przebywają też zwierzęta dzikie rodzimych gatunków, które odbyły leczenie w specjalistycznych ośrodkach lecz z różnych względów nie mogą zostać wypuszczone na wolność. Zwiedzanie zagrody jest bezpłatne i odbywa się z edukatorem.</w:t>
            </w:r>
          </w:p>
        </w:tc>
      </w:tr>
      <w:tr w:rsidR="00C97BE2" w:rsidRPr="0019609D" w14:paraId="69F48A2C"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0CFE" w14:textId="77777777" w:rsidR="00C97BE2" w:rsidRPr="0019609D" w:rsidRDefault="00C97BE2" w:rsidP="00C97BE2">
            <w:pPr>
              <w:jc w:val="center"/>
              <w:rPr>
                <w:rFonts w:ascii="Lato" w:hAnsi="Lato"/>
                <w:b/>
                <w:bCs/>
                <w:sz w:val="18"/>
                <w:szCs w:val="18"/>
              </w:rPr>
            </w:pPr>
            <w:r w:rsidRPr="0019609D">
              <w:rPr>
                <w:rFonts w:ascii="Lato" w:hAnsi="Lato"/>
                <w:b/>
                <w:bCs/>
                <w:sz w:val="18"/>
                <w:szCs w:val="18"/>
              </w:rPr>
              <w:t xml:space="preserve">6. </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223D0C" w14:textId="77777777" w:rsidR="00C97BE2" w:rsidRPr="0019609D" w:rsidRDefault="00C97BE2" w:rsidP="00C97BE2">
            <w:pPr>
              <w:rPr>
                <w:rFonts w:ascii="Lato" w:hAnsi="Lato"/>
                <w:sz w:val="18"/>
                <w:szCs w:val="18"/>
              </w:rPr>
            </w:pPr>
            <w:r w:rsidRPr="0019609D">
              <w:rPr>
                <w:rFonts w:ascii="Lato" w:hAnsi="Lato"/>
                <w:sz w:val="18"/>
                <w:szCs w:val="18"/>
              </w:rPr>
              <w:t>Muzeum przyrodnicze</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C7DC" w14:textId="77777777" w:rsidR="00C97BE2" w:rsidRPr="0019609D" w:rsidRDefault="00C97BE2" w:rsidP="00C97BE2">
            <w:pPr>
              <w:rPr>
                <w:rFonts w:ascii="Lato" w:hAnsi="Lato"/>
                <w:bCs/>
                <w:sz w:val="18"/>
                <w:szCs w:val="18"/>
              </w:rPr>
            </w:pPr>
            <w:r w:rsidRPr="0019609D">
              <w:rPr>
                <w:rFonts w:ascii="Lato" w:hAnsi="Lato"/>
                <w:bCs/>
                <w:sz w:val="18"/>
                <w:szCs w:val="18"/>
              </w:rPr>
              <w:t>bezterminowo</w:t>
            </w:r>
          </w:p>
          <w:p w14:paraId="30DBF5E0" w14:textId="77777777" w:rsidR="00C97BE2" w:rsidRPr="0019609D" w:rsidRDefault="00C97BE2" w:rsidP="00C97BE2">
            <w:pPr>
              <w:rPr>
                <w:rFonts w:ascii="Lato" w:hAnsi="Lato"/>
                <w:bCs/>
                <w:sz w:val="18"/>
                <w:szCs w:val="18"/>
              </w:rPr>
            </w:pPr>
          </w:p>
          <w:p w14:paraId="017459A3" w14:textId="77777777" w:rsidR="00C97BE2" w:rsidRPr="0019609D" w:rsidRDefault="00C97BE2" w:rsidP="00C97BE2">
            <w:pPr>
              <w:rPr>
                <w:rFonts w:ascii="Lato" w:hAnsi="Lato"/>
                <w:sz w:val="18"/>
                <w:szCs w:val="18"/>
              </w:rPr>
            </w:pPr>
            <w:r w:rsidRPr="0019609D">
              <w:rPr>
                <w:rFonts w:ascii="Lato" w:hAnsi="Lato"/>
                <w:bCs/>
                <w:sz w:val="18"/>
                <w:szCs w:val="18"/>
              </w:rPr>
              <w:t>/od 01.2022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F6BB9" w14:textId="77777777" w:rsidR="00C97BE2" w:rsidRPr="0019609D" w:rsidRDefault="00C97BE2" w:rsidP="00C97BE2">
            <w:pPr>
              <w:rPr>
                <w:rFonts w:ascii="Lato" w:hAnsi="Lato"/>
                <w:sz w:val="18"/>
                <w:szCs w:val="18"/>
              </w:rPr>
            </w:pPr>
            <w:r w:rsidRPr="0019609D">
              <w:rPr>
                <w:rFonts w:ascii="Lato" w:hAnsi="Lato"/>
                <w:sz w:val="18"/>
                <w:szCs w:val="18"/>
              </w:rPr>
              <w:t>Park Narodowy „Bory Tucholskie” w 2022roku udostępniał bezpłatnie do zwiedzania Muzeum przyrodnicze. Muzeum jest dostosowane do przyjęcia osób ze szczególnymi potrzebami, w tym również osób starszych.</w:t>
            </w:r>
          </w:p>
        </w:tc>
      </w:tr>
      <w:tr w:rsidR="00C97BE2" w:rsidRPr="0019609D" w14:paraId="41DA690B"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65A9DA" w14:textId="77777777" w:rsidR="00C97BE2" w:rsidRPr="0019609D" w:rsidRDefault="00C97BE2" w:rsidP="00C97BE2">
            <w:pPr>
              <w:jc w:val="center"/>
              <w:rPr>
                <w:rFonts w:ascii="Lato" w:hAnsi="Lato"/>
                <w:b/>
                <w:bCs/>
                <w:sz w:val="18"/>
                <w:szCs w:val="18"/>
              </w:rPr>
            </w:pPr>
            <w:r w:rsidRPr="0019609D">
              <w:rPr>
                <w:rFonts w:ascii="Lato" w:hAnsi="Lato"/>
                <w:b/>
                <w:bCs/>
                <w:sz w:val="18"/>
                <w:szCs w:val="18"/>
              </w:rPr>
              <w:t xml:space="preserve">7. </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31F14E" w14:textId="77777777" w:rsidR="00C97BE2" w:rsidRPr="0019609D" w:rsidRDefault="00C97BE2" w:rsidP="00C97BE2">
            <w:pPr>
              <w:rPr>
                <w:rFonts w:ascii="Lato" w:hAnsi="Lato"/>
                <w:sz w:val="18"/>
                <w:szCs w:val="18"/>
              </w:rPr>
            </w:pPr>
            <w:r w:rsidRPr="0019609D">
              <w:rPr>
                <w:rFonts w:ascii="Lato" w:hAnsi="Lato"/>
                <w:sz w:val="18"/>
                <w:szCs w:val="18"/>
              </w:rPr>
              <w:t>Wystawa czasowa Polskie Parki Narodowe</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7F030065" w14:textId="77777777" w:rsidR="00C97BE2" w:rsidRPr="0019609D" w:rsidRDefault="00C97BE2" w:rsidP="00C97BE2">
            <w:pPr>
              <w:rPr>
                <w:rFonts w:ascii="Lato" w:hAnsi="Lato"/>
                <w:bCs/>
                <w:sz w:val="18"/>
                <w:szCs w:val="18"/>
              </w:rPr>
            </w:pPr>
            <w:r w:rsidRPr="0019609D">
              <w:rPr>
                <w:rFonts w:ascii="Lato" w:hAnsi="Lato"/>
                <w:bCs/>
                <w:sz w:val="18"/>
                <w:szCs w:val="18"/>
              </w:rPr>
              <w:t>bezterminowo</w:t>
            </w:r>
          </w:p>
          <w:p w14:paraId="31331256" w14:textId="77777777" w:rsidR="00C97BE2" w:rsidRPr="0019609D" w:rsidRDefault="00C97BE2" w:rsidP="00C97BE2">
            <w:pPr>
              <w:rPr>
                <w:rFonts w:ascii="Lato" w:hAnsi="Lato"/>
                <w:bCs/>
                <w:sz w:val="18"/>
                <w:szCs w:val="18"/>
              </w:rPr>
            </w:pPr>
          </w:p>
          <w:p w14:paraId="0F533999" w14:textId="77777777" w:rsidR="00C97BE2" w:rsidRPr="0019609D" w:rsidRDefault="00C97BE2" w:rsidP="00C97BE2">
            <w:pPr>
              <w:rPr>
                <w:rFonts w:ascii="Lato" w:hAnsi="Lato"/>
                <w:bCs/>
                <w:sz w:val="18"/>
                <w:szCs w:val="18"/>
              </w:rPr>
            </w:pPr>
            <w:r w:rsidRPr="0019609D">
              <w:rPr>
                <w:rFonts w:ascii="Lato" w:hAnsi="Lato"/>
                <w:bCs/>
                <w:sz w:val="18"/>
                <w:szCs w:val="18"/>
              </w:rPr>
              <w:t>/od 06.2022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55995" w14:textId="77777777" w:rsidR="00C97BE2" w:rsidRPr="0019609D" w:rsidRDefault="00C97BE2" w:rsidP="00C97BE2">
            <w:pPr>
              <w:rPr>
                <w:rFonts w:ascii="Lato" w:hAnsi="Lato"/>
                <w:sz w:val="18"/>
                <w:szCs w:val="18"/>
              </w:rPr>
            </w:pPr>
            <w:r w:rsidRPr="0019609D">
              <w:rPr>
                <w:rFonts w:ascii="Lato" w:hAnsi="Lato"/>
                <w:sz w:val="18"/>
                <w:szCs w:val="18"/>
              </w:rPr>
              <w:t xml:space="preserve">Od czerwca 2022 r. w Centrum Edukacji Przyrodniczej Parku Narodowego „Bory Tucholskie” w </w:t>
            </w:r>
            <w:proofErr w:type="spellStart"/>
            <w:r w:rsidRPr="0019609D">
              <w:rPr>
                <w:rFonts w:ascii="Lato" w:hAnsi="Lato"/>
                <w:sz w:val="18"/>
                <w:szCs w:val="18"/>
              </w:rPr>
              <w:t>Chocińskim</w:t>
            </w:r>
            <w:proofErr w:type="spellEnd"/>
            <w:r w:rsidRPr="0019609D">
              <w:rPr>
                <w:rFonts w:ascii="Lato" w:hAnsi="Lato"/>
                <w:sz w:val="18"/>
                <w:szCs w:val="18"/>
              </w:rPr>
              <w:t xml:space="preserve"> Młynie można bezpłatnie oglądać wystawę fotograficzną poświęconą wszystkim Polskim Parkom Narodowym. Wystawa jest dostosowana do przyjęcia osób ze szczególnymi potrzebami, w tym również osób starszych.</w:t>
            </w:r>
          </w:p>
        </w:tc>
      </w:tr>
      <w:tr w:rsidR="00C97BE2" w:rsidRPr="0019609D" w14:paraId="53484760"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CA282" w14:textId="77777777" w:rsidR="00C97BE2" w:rsidRPr="0019609D" w:rsidRDefault="00C97BE2" w:rsidP="00C97BE2">
            <w:pPr>
              <w:jc w:val="center"/>
              <w:rPr>
                <w:rFonts w:ascii="Lato" w:hAnsi="Lato"/>
                <w:b/>
                <w:bCs/>
                <w:sz w:val="18"/>
                <w:szCs w:val="18"/>
              </w:rPr>
            </w:pPr>
            <w:r w:rsidRPr="0019609D">
              <w:rPr>
                <w:rFonts w:ascii="Lato" w:hAnsi="Lato"/>
                <w:b/>
                <w:bCs/>
                <w:sz w:val="18"/>
                <w:szCs w:val="18"/>
              </w:rPr>
              <w:t>8.</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35B6C" w14:textId="77777777" w:rsidR="00C97BE2" w:rsidRPr="0019609D" w:rsidRDefault="00C97BE2" w:rsidP="00C97BE2">
            <w:pPr>
              <w:rPr>
                <w:rFonts w:ascii="Lato" w:hAnsi="Lato"/>
                <w:sz w:val="18"/>
                <w:szCs w:val="18"/>
              </w:rPr>
            </w:pPr>
            <w:r w:rsidRPr="0019609D">
              <w:rPr>
                <w:rFonts w:ascii="Lato" w:hAnsi="Lato"/>
                <w:sz w:val="18"/>
                <w:szCs w:val="18"/>
              </w:rPr>
              <w:t>Mini wystawa „Od bartnictwa do owczarstwa”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245C" w14:textId="77777777" w:rsidR="00C97BE2" w:rsidRPr="0019609D" w:rsidRDefault="00C97BE2" w:rsidP="00C97BE2">
            <w:pPr>
              <w:rPr>
                <w:rFonts w:ascii="Lato" w:hAnsi="Lato"/>
                <w:bCs/>
                <w:sz w:val="18"/>
                <w:szCs w:val="18"/>
              </w:rPr>
            </w:pPr>
            <w:r w:rsidRPr="0019609D">
              <w:rPr>
                <w:rFonts w:ascii="Lato" w:hAnsi="Lato"/>
                <w:bCs/>
                <w:sz w:val="18"/>
                <w:szCs w:val="18"/>
              </w:rPr>
              <w:t>bezterminowo</w:t>
            </w:r>
          </w:p>
          <w:p w14:paraId="740ACD5D" w14:textId="77777777" w:rsidR="00C97BE2" w:rsidRPr="0019609D" w:rsidRDefault="00C97BE2" w:rsidP="00C97BE2">
            <w:pPr>
              <w:rPr>
                <w:rFonts w:ascii="Lato" w:hAnsi="Lato"/>
                <w:bCs/>
                <w:sz w:val="18"/>
                <w:szCs w:val="18"/>
              </w:rPr>
            </w:pPr>
          </w:p>
          <w:p w14:paraId="5D755102" w14:textId="77777777" w:rsidR="00C97BE2" w:rsidRPr="0019609D" w:rsidRDefault="00C97BE2" w:rsidP="00C97BE2">
            <w:pPr>
              <w:rPr>
                <w:rFonts w:ascii="Lato" w:hAnsi="Lato"/>
                <w:bCs/>
                <w:sz w:val="18"/>
                <w:szCs w:val="18"/>
              </w:rPr>
            </w:pPr>
            <w:r w:rsidRPr="0019609D">
              <w:rPr>
                <w:rFonts w:ascii="Lato" w:hAnsi="Lato"/>
                <w:bCs/>
                <w:sz w:val="18"/>
                <w:szCs w:val="18"/>
              </w:rPr>
              <w:t>/od 2021 roku</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1AD0A" w14:textId="77777777" w:rsidR="00C97BE2" w:rsidRPr="0019609D" w:rsidRDefault="00C97BE2" w:rsidP="00C97BE2">
            <w:pPr>
              <w:rPr>
                <w:rFonts w:ascii="Lato" w:hAnsi="Lato"/>
                <w:sz w:val="18"/>
                <w:szCs w:val="18"/>
              </w:rPr>
            </w:pPr>
            <w:r w:rsidRPr="0019609D">
              <w:rPr>
                <w:rFonts w:ascii="Lato" w:hAnsi="Lato"/>
                <w:sz w:val="18"/>
                <w:szCs w:val="18"/>
              </w:rPr>
              <w:t xml:space="preserve">Od 2021 r. w Centrum Edukacji Przyrodniczej Parku Narodowego „Bory Tucholskie” w </w:t>
            </w:r>
            <w:proofErr w:type="spellStart"/>
            <w:r w:rsidRPr="0019609D">
              <w:rPr>
                <w:rFonts w:ascii="Lato" w:hAnsi="Lato"/>
                <w:sz w:val="18"/>
                <w:szCs w:val="18"/>
              </w:rPr>
              <w:t>Chocińskim</w:t>
            </w:r>
            <w:proofErr w:type="spellEnd"/>
            <w:r w:rsidRPr="0019609D">
              <w:rPr>
                <w:rFonts w:ascii="Lato" w:hAnsi="Lato"/>
                <w:sz w:val="18"/>
                <w:szCs w:val="18"/>
              </w:rPr>
              <w:t xml:space="preserve"> Młynie można bezpłatnie oglądać </w:t>
            </w:r>
            <w:proofErr w:type="spellStart"/>
            <w:r w:rsidRPr="0019609D">
              <w:rPr>
                <w:rFonts w:ascii="Lato" w:hAnsi="Lato"/>
                <w:sz w:val="18"/>
                <w:szCs w:val="18"/>
              </w:rPr>
              <w:t>miniwystawę</w:t>
            </w:r>
            <w:proofErr w:type="spellEnd"/>
            <w:r w:rsidRPr="0019609D">
              <w:rPr>
                <w:rFonts w:ascii="Lato" w:hAnsi="Lato"/>
                <w:sz w:val="18"/>
                <w:szCs w:val="18"/>
              </w:rPr>
              <w:t xml:space="preserve"> poświęconą bartnictwu i owczarstwu. Wystawa jest dostosowana do przyjęcia osób ze szczególnymi potrzebami, w tym również osób starszych.</w:t>
            </w:r>
          </w:p>
        </w:tc>
      </w:tr>
      <w:tr w:rsidR="00C97BE2" w:rsidRPr="0019609D" w14:paraId="3AD1AA1D" w14:textId="77777777" w:rsidTr="0019609D">
        <w:tc>
          <w:tcPr>
            <w:tcW w:w="90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719B3" w14:textId="77777777" w:rsidR="00C97BE2" w:rsidRPr="0019609D" w:rsidRDefault="00C97BE2" w:rsidP="00C97BE2">
            <w:pPr>
              <w:jc w:val="center"/>
              <w:rPr>
                <w:rFonts w:ascii="Lato" w:hAnsi="Lato"/>
                <w:b/>
                <w:bCs/>
                <w:sz w:val="18"/>
                <w:szCs w:val="18"/>
              </w:rPr>
            </w:pPr>
            <w:r w:rsidRPr="0019609D">
              <w:rPr>
                <w:rFonts w:ascii="Lato" w:hAnsi="Lato"/>
                <w:b/>
                <w:bCs/>
                <w:sz w:val="18"/>
                <w:szCs w:val="18"/>
              </w:rPr>
              <w:t>Drawieński Park Narodowy</w:t>
            </w:r>
          </w:p>
        </w:tc>
      </w:tr>
      <w:tr w:rsidR="00C97BE2" w:rsidRPr="0019609D" w14:paraId="582E9E56"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77FC52"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178AD6" w14:textId="77777777" w:rsidR="00C97BE2" w:rsidRPr="0019609D" w:rsidRDefault="00C97BE2" w:rsidP="00C97BE2">
            <w:pPr>
              <w:rPr>
                <w:rFonts w:ascii="Lato" w:hAnsi="Lato"/>
                <w:sz w:val="18"/>
                <w:szCs w:val="18"/>
              </w:rPr>
            </w:pPr>
            <w:r w:rsidRPr="0019609D">
              <w:rPr>
                <w:rFonts w:ascii="Lato" w:hAnsi="Lato"/>
                <w:sz w:val="18"/>
                <w:szCs w:val="18"/>
              </w:rPr>
              <w:t>Zachodniopomorska Karta Seniora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624A8" w14:textId="77777777" w:rsidR="00C97BE2" w:rsidRPr="0019609D" w:rsidRDefault="00C97BE2" w:rsidP="00C97BE2">
            <w:pPr>
              <w:rPr>
                <w:rFonts w:ascii="Lato" w:hAnsi="Lato"/>
                <w:sz w:val="18"/>
                <w:szCs w:val="18"/>
              </w:rPr>
            </w:pPr>
            <w:r w:rsidRPr="0019609D">
              <w:rPr>
                <w:rFonts w:ascii="Lato" w:hAnsi="Lato"/>
                <w:sz w:val="18"/>
                <w:szCs w:val="18"/>
              </w:rPr>
              <w:t>od 2018 r.</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2936F8" w14:textId="77777777" w:rsidR="00C97BE2" w:rsidRPr="0019609D" w:rsidRDefault="00C97BE2" w:rsidP="00C97BE2">
            <w:pPr>
              <w:rPr>
                <w:rFonts w:ascii="Lato" w:hAnsi="Lato"/>
                <w:sz w:val="18"/>
                <w:szCs w:val="18"/>
              </w:rPr>
            </w:pPr>
            <w:r w:rsidRPr="0019609D">
              <w:rPr>
                <w:rFonts w:ascii="Lato" w:hAnsi="Lato"/>
                <w:sz w:val="18"/>
                <w:szCs w:val="18"/>
              </w:rPr>
              <w:t>50% ulga – pobyt na miejscach biwakowania DPN wraz z noclegiem</w:t>
            </w:r>
          </w:p>
        </w:tc>
      </w:tr>
      <w:tr w:rsidR="00C97BE2" w:rsidRPr="0019609D" w14:paraId="6BB8D7C1"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7D25B5" w14:textId="77777777" w:rsidR="00C97BE2" w:rsidRPr="0019609D" w:rsidRDefault="00C97BE2" w:rsidP="00C97BE2">
            <w:pPr>
              <w:jc w:val="center"/>
              <w:rPr>
                <w:rFonts w:ascii="Lato" w:hAnsi="Lato"/>
                <w:b/>
                <w:bCs/>
                <w:sz w:val="18"/>
                <w:szCs w:val="18"/>
              </w:rPr>
            </w:pPr>
            <w:r w:rsidRPr="0019609D">
              <w:rPr>
                <w:rFonts w:ascii="Lato" w:hAnsi="Lato"/>
                <w:b/>
                <w:bCs/>
                <w:sz w:val="18"/>
                <w:szCs w:val="18"/>
              </w:rPr>
              <w:t>2.</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1C49C6" w14:textId="77777777" w:rsidR="00C97BE2" w:rsidRPr="0019609D" w:rsidRDefault="00C97BE2" w:rsidP="00C97BE2">
            <w:pPr>
              <w:rPr>
                <w:rFonts w:ascii="Lato" w:hAnsi="Lato"/>
                <w:sz w:val="18"/>
                <w:szCs w:val="18"/>
              </w:rPr>
            </w:pPr>
            <w:r w:rsidRPr="0019609D">
              <w:rPr>
                <w:rFonts w:ascii="Lato" w:hAnsi="Lato"/>
                <w:sz w:val="18"/>
                <w:szCs w:val="18"/>
              </w:rPr>
              <w:t>Zachodniopomorska Karta Seniora</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7138A" w14:textId="77777777" w:rsidR="00C97BE2" w:rsidRPr="0019609D" w:rsidRDefault="00C97BE2" w:rsidP="00C97BE2">
            <w:pPr>
              <w:rPr>
                <w:rFonts w:ascii="Lato" w:hAnsi="Lato"/>
                <w:sz w:val="18"/>
                <w:szCs w:val="18"/>
              </w:rPr>
            </w:pPr>
            <w:r w:rsidRPr="0019609D">
              <w:rPr>
                <w:rFonts w:ascii="Lato" w:hAnsi="Lato"/>
                <w:sz w:val="18"/>
                <w:szCs w:val="18"/>
              </w:rPr>
              <w:t>od 2021 r.</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54A1B" w14:textId="77777777" w:rsidR="00C97BE2" w:rsidRPr="0019609D" w:rsidRDefault="00C97BE2" w:rsidP="00C97BE2">
            <w:pPr>
              <w:rPr>
                <w:rFonts w:ascii="Lato" w:hAnsi="Lato"/>
                <w:sz w:val="18"/>
                <w:szCs w:val="18"/>
              </w:rPr>
            </w:pPr>
            <w:r w:rsidRPr="0019609D">
              <w:rPr>
                <w:rFonts w:ascii="Lato" w:hAnsi="Lato"/>
                <w:sz w:val="18"/>
                <w:szCs w:val="18"/>
              </w:rPr>
              <w:t>50% ulga – zwiedzanie ekspozycji „Las – zobaczyć to, co zagrożone, zobaczyć to, co niewidoczne”</w:t>
            </w:r>
          </w:p>
        </w:tc>
      </w:tr>
      <w:tr w:rsidR="00C97BE2" w:rsidRPr="0019609D" w14:paraId="254BCAC7" w14:textId="77777777" w:rsidTr="0019609D">
        <w:tc>
          <w:tcPr>
            <w:tcW w:w="9066" w:type="dxa"/>
            <w:gridSpan w:val="4"/>
            <w:shd w:val="clear" w:color="auto" w:fill="FFFFFF" w:themeFill="background1"/>
          </w:tcPr>
          <w:p w14:paraId="2D3A012C" w14:textId="740C0A33" w:rsidR="00C97BE2" w:rsidRPr="0019609D" w:rsidRDefault="00C97BE2" w:rsidP="00C97BE2">
            <w:pPr>
              <w:jc w:val="center"/>
              <w:rPr>
                <w:rFonts w:ascii="Lato" w:hAnsi="Lato"/>
                <w:b/>
                <w:bCs/>
                <w:sz w:val="18"/>
                <w:szCs w:val="18"/>
              </w:rPr>
            </w:pPr>
            <w:r w:rsidRPr="0019609D">
              <w:rPr>
                <w:rFonts w:ascii="Lato" w:hAnsi="Lato"/>
                <w:b/>
                <w:bCs/>
                <w:sz w:val="18"/>
                <w:szCs w:val="18"/>
              </w:rPr>
              <w:t xml:space="preserve">Gorczański Park Narodowy </w:t>
            </w:r>
          </w:p>
        </w:tc>
      </w:tr>
      <w:tr w:rsidR="00C97BE2" w:rsidRPr="0019609D" w14:paraId="71454578" w14:textId="77777777" w:rsidTr="0019609D">
        <w:tc>
          <w:tcPr>
            <w:tcW w:w="472" w:type="dxa"/>
            <w:shd w:val="clear" w:color="auto" w:fill="FFFFFF" w:themeFill="background1"/>
          </w:tcPr>
          <w:p w14:paraId="67AF0D4E" w14:textId="77777777" w:rsidR="00C97BE2" w:rsidRPr="0019609D" w:rsidRDefault="00C97BE2" w:rsidP="00C97BE2">
            <w:pPr>
              <w:jc w:val="center"/>
              <w:rPr>
                <w:rFonts w:ascii="Lato" w:hAnsi="Lato"/>
                <w:b/>
                <w:bCs/>
                <w:sz w:val="18"/>
                <w:szCs w:val="18"/>
              </w:rPr>
            </w:pPr>
            <w:r w:rsidRPr="0019609D">
              <w:rPr>
                <w:rFonts w:ascii="Lato" w:hAnsi="Lato"/>
                <w:b/>
                <w:bCs/>
                <w:sz w:val="18"/>
                <w:szCs w:val="18"/>
              </w:rPr>
              <w:t>1.</w:t>
            </w:r>
          </w:p>
        </w:tc>
        <w:tc>
          <w:tcPr>
            <w:tcW w:w="3026" w:type="dxa"/>
            <w:shd w:val="clear" w:color="auto" w:fill="FFFFFF" w:themeFill="background1"/>
          </w:tcPr>
          <w:p w14:paraId="419E6172" w14:textId="77777777" w:rsidR="00C97BE2" w:rsidRPr="0019609D" w:rsidRDefault="00C97BE2" w:rsidP="00C97BE2">
            <w:pPr>
              <w:rPr>
                <w:rFonts w:ascii="Lato" w:hAnsi="Lato"/>
                <w:sz w:val="18"/>
                <w:szCs w:val="18"/>
              </w:rPr>
            </w:pPr>
            <w:r w:rsidRPr="0019609D">
              <w:rPr>
                <w:rFonts w:ascii="Lato" w:hAnsi="Lato"/>
                <w:sz w:val="18"/>
                <w:szCs w:val="18"/>
              </w:rPr>
              <w:t>Oferta edukacyjna dla seniorów.</w:t>
            </w:r>
          </w:p>
        </w:tc>
        <w:tc>
          <w:tcPr>
            <w:tcW w:w="1616" w:type="dxa"/>
            <w:shd w:val="clear" w:color="auto" w:fill="FFFFFF" w:themeFill="background1"/>
          </w:tcPr>
          <w:p w14:paraId="740D32C5" w14:textId="77777777" w:rsidR="00C97BE2" w:rsidRPr="0019609D" w:rsidRDefault="00C97BE2" w:rsidP="00C97BE2">
            <w:pPr>
              <w:rPr>
                <w:rFonts w:ascii="Lato" w:hAnsi="Lato"/>
                <w:sz w:val="18"/>
                <w:szCs w:val="18"/>
              </w:rPr>
            </w:pPr>
            <w:r w:rsidRPr="0019609D">
              <w:rPr>
                <w:rFonts w:ascii="Lato" w:hAnsi="Lato"/>
                <w:sz w:val="18"/>
                <w:szCs w:val="18"/>
              </w:rPr>
              <w:t>od 2019 r.</w:t>
            </w:r>
          </w:p>
        </w:tc>
        <w:tc>
          <w:tcPr>
            <w:tcW w:w="3952" w:type="dxa"/>
            <w:shd w:val="clear" w:color="auto" w:fill="FFFFFF" w:themeFill="background1"/>
          </w:tcPr>
          <w:p w14:paraId="3961A009" w14:textId="77777777" w:rsidR="00C97BE2" w:rsidRPr="0019609D" w:rsidRDefault="00C97BE2" w:rsidP="00C97BE2">
            <w:pPr>
              <w:rPr>
                <w:rFonts w:ascii="Lato" w:hAnsi="Lato"/>
                <w:sz w:val="18"/>
                <w:szCs w:val="18"/>
              </w:rPr>
            </w:pPr>
            <w:r w:rsidRPr="0019609D">
              <w:rPr>
                <w:rFonts w:ascii="Lato" w:hAnsi="Lato"/>
                <w:sz w:val="18"/>
                <w:szCs w:val="18"/>
              </w:rPr>
              <w:t>W związku z otwarciem w 2019 r. Ośrodka Edukacyjnego GPN i ekspozycji przyrodniczej przygotowano  „Informator dla nauczycieli i organizatorów wycieczek edukacyjnych”, z ofertą edukacyjną GPN dla różnych grup odbiorców, w tym także dla seniorów, jako jednej z grup docelowych. Oferta dla seniorów zawiera propozycje zajęć stacjonarnych i terenowych, które są realizowane w parku dworskim hr. Wodzickich w Porębie Wielkiej, w sąsiedztwie OE GPN.</w:t>
            </w:r>
          </w:p>
        </w:tc>
      </w:tr>
      <w:tr w:rsidR="00C97BE2" w:rsidRPr="0019609D" w14:paraId="43E6E4F4" w14:textId="77777777" w:rsidTr="0019609D">
        <w:tc>
          <w:tcPr>
            <w:tcW w:w="472" w:type="dxa"/>
            <w:shd w:val="clear" w:color="auto" w:fill="FFFFFF" w:themeFill="background1"/>
          </w:tcPr>
          <w:p w14:paraId="09870262" w14:textId="77777777" w:rsidR="00C97BE2" w:rsidRPr="0019609D" w:rsidRDefault="00C97BE2" w:rsidP="00C97BE2">
            <w:pPr>
              <w:jc w:val="center"/>
              <w:rPr>
                <w:rFonts w:ascii="Lato" w:hAnsi="Lato"/>
                <w:b/>
                <w:bCs/>
                <w:sz w:val="18"/>
                <w:szCs w:val="18"/>
              </w:rPr>
            </w:pPr>
            <w:r w:rsidRPr="0019609D">
              <w:rPr>
                <w:rFonts w:ascii="Lato" w:hAnsi="Lato"/>
                <w:b/>
                <w:bCs/>
                <w:sz w:val="18"/>
                <w:szCs w:val="18"/>
              </w:rPr>
              <w:lastRenderedPageBreak/>
              <w:t>2.</w:t>
            </w:r>
          </w:p>
        </w:tc>
        <w:tc>
          <w:tcPr>
            <w:tcW w:w="3026" w:type="dxa"/>
            <w:shd w:val="clear" w:color="auto" w:fill="FFFFFF" w:themeFill="background1"/>
          </w:tcPr>
          <w:p w14:paraId="1B7331C3" w14:textId="77777777" w:rsidR="00C97BE2" w:rsidRPr="0019609D" w:rsidRDefault="00C97BE2" w:rsidP="00C97BE2">
            <w:pPr>
              <w:rPr>
                <w:rFonts w:ascii="Lato" w:hAnsi="Lato"/>
                <w:sz w:val="18"/>
                <w:szCs w:val="18"/>
              </w:rPr>
            </w:pPr>
            <w:r w:rsidRPr="0019609D">
              <w:rPr>
                <w:rFonts w:ascii="Lato" w:hAnsi="Lato"/>
                <w:sz w:val="18"/>
                <w:szCs w:val="18"/>
              </w:rPr>
              <w:t>Dostosowanie bazy edukacyjnej dla osób starszych i niepełnosprawnych  – Ośrodek Edukacyjny GPN, ekspozycja przyrodnicza, park dworski.</w:t>
            </w:r>
          </w:p>
        </w:tc>
        <w:tc>
          <w:tcPr>
            <w:tcW w:w="1616" w:type="dxa"/>
            <w:shd w:val="clear" w:color="auto" w:fill="FFFFFF" w:themeFill="background1"/>
          </w:tcPr>
          <w:p w14:paraId="2D48B63F" w14:textId="77777777" w:rsidR="00C97BE2" w:rsidRPr="0019609D" w:rsidRDefault="00C97BE2" w:rsidP="00C97BE2">
            <w:pPr>
              <w:rPr>
                <w:rFonts w:ascii="Lato" w:hAnsi="Lato"/>
                <w:sz w:val="18"/>
                <w:szCs w:val="18"/>
              </w:rPr>
            </w:pPr>
            <w:r w:rsidRPr="0019609D">
              <w:rPr>
                <w:rFonts w:ascii="Lato" w:hAnsi="Lato"/>
                <w:sz w:val="18"/>
                <w:szCs w:val="18"/>
              </w:rPr>
              <w:t>od 2019 r.</w:t>
            </w:r>
          </w:p>
        </w:tc>
        <w:tc>
          <w:tcPr>
            <w:tcW w:w="3952" w:type="dxa"/>
            <w:shd w:val="clear" w:color="auto" w:fill="FFFFFF" w:themeFill="background1"/>
          </w:tcPr>
          <w:p w14:paraId="59844F66" w14:textId="77777777" w:rsidR="00C97BE2" w:rsidRPr="0019609D" w:rsidRDefault="00C97BE2" w:rsidP="00C97BE2">
            <w:pPr>
              <w:rPr>
                <w:rFonts w:ascii="Lato" w:hAnsi="Lato"/>
                <w:sz w:val="18"/>
                <w:szCs w:val="18"/>
              </w:rPr>
            </w:pPr>
            <w:r w:rsidRPr="0019609D">
              <w:rPr>
                <w:rFonts w:ascii="Lato" w:hAnsi="Lato"/>
                <w:sz w:val="18"/>
                <w:szCs w:val="18"/>
              </w:rPr>
              <w:t xml:space="preserve">Od października 2019 r. Ośrodek Edukacyjny GPN, ekspozycja przyrodnicza oraz </w:t>
            </w:r>
            <w:r w:rsidRPr="0019609D">
              <w:rPr>
                <w:rFonts w:ascii="Lato" w:eastAsia="Calibri" w:hAnsi="Lato"/>
                <w:sz w:val="18"/>
                <w:szCs w:val="18"/>
              </w:rPr>
              <w:t xml:space="preserve"> teren zabytkowego parku dworskiego - park dolny</w:t>
            </w:r>
            <w:r w:rsidRPr="0019609D">
              <w:rPr>
                <w:rFonts w:ascii="Lato" w:hAnsi="Lato"/>
                <w:sz w:val="18"/>
                <w:szCs w:val="18"/>
              </w:rPr>
              <w:t xml:space="preserve"> są dostosowane do potrzeb osób starszych, w tym poruszających się na wózkach inwalidzkich. Dzięki temu osoby starsze i niepełnosprawne mogą uczestniczyć </w:t>
            </w:r>
            <w:r w:rsidRPr="0019609D">
              <w:rPr>
                <w:rFonts w:ascii="Lato" w:eastAsia="Calibri" w:hAnsi="Lato"/>
                <w:sz w:val="18"/>
                <w:szCs w:val="18"/>
              </w:rPr>
              <w:t xml:space="preserve"> w działaniach edukacyjnych proponowanych przez GPN, korzystać z zasobów biblioteki GPN, znajdującej się w Ośrodku Edukacyjnym, a także korzystać z parku dworskiego indywidualnie, w celach rekreacyjnych. </w:t>
            </w:r>
          </w:p>
        </w:tc>
      </w:tr>
      <w:tr w:rsidR="00C97BE2" w:rsidRPr="0019609D" w14:paraId="1E14AE35" w14:textId="77777777" w:rsidTr="0019609D">
        <w:tc>
          <w:tcPr>
            <w:tcW w:w="472" w:type="dxa"/>
            <w:shd w:val="clear" w:color="auto" w:fill="FFFFFF" w:themeFill="background1"/>
          </w:tcPr>
          <w:p w14:paraId="0BEA49DF" w14:textId="77777777" w:rsidR="00C97BE2" w:rsidRPr="0019609D" w:rsidRDefault="00C97BE2" w:rsidP="00C97BE2">
            <w:pPr>
              <w:jc w:val="center"/>
              <w:rPr>
                <w:rFonts w:ascii="Lato" w:hAnsi="Lato"/>
                <w:b/>
                <w:bCs/>
                <w:sz w:val="18"/>
                <w:szCs w:val="18"/>
              </w:rPr>
            </w:pPr>
            <w:r w:rsidRPr="0019609D">
              <w:rPr>
                <w:rFonts w:ascii="Lato" w:hAnsi="Lato"/>
                <w:b/>
                <w:bCs/>
                <w:sz w:val="18"/>
                <w:szCs w:val="18"/>
              </w:rPr>
              <w:t>3.</w:t>
            </w:r>
          </w:p>
        </w:tc>
        <w:tc>
          <w:tcPr>
            <w:tcW w:w="3026" w:type="dxa"/>
            <w:shd w:val="clear" w:color="auto" w:fill="FFFFFF" w:themeFill="background1"/>
          </w:tcPr>
          <w:p w14:paraId="3620B2B3" w14:textId="77777777" w:rsidR="00C97BE2" w:rsidRPr="0019609D" w:rsidRDefault="00C97BE2" w:rsidP="00C97BE2">
            <w:pPr>
              <w:rPr>
                <w:rFonts w:ascii="Lato" w:hAnsi="Lato"/>
                <w:sz w:val="18"/>
                <w:szCs w:val="18"/>
              </w:rPr>
            </w:pPr>
            <w:r w:rsidRPr="0019609D">
              <w:rPr>
                <w:rFonts w:ascii="Lato" w:hAnsi="Lato"/>
                <w:sz w:val="18"/>
                <w:szCs w:val="18"/>
              </w:rPr>
              <w:t>Współpraca ze słuchaczami Uniwersytetów Trzeciego Wieku</w:t>
            </w:r>
          </w:p>
        </w:tc>
        <w:tc>
          <w:tcPr>
            <w:tcW w:w="1616" w:type="dxa"/>
            <w:shd w:val="clear" w:color="auto" w:fill="FFFFFF" w:themeFill="background1"/>
          </w:tcPr>
          <w:p w14:paraId="1F7449D5" w14:textId="77777777" w:rsidR="00C97BE2" w:rsidRPr="0019609D" w:rsidRDefault="00C97BE2" w:rsidP="00C97BE2">
            <w:pPr>
              <w:rPr>
                <w:rFonts w:ascii="Lato" w:hAnsi="Lato"/>
                <w:sz w:val="18"/>
                <w:szCs w:val="18"/>
              </w:rPr>
            </w:pPr>
            <w:r w:rsidRPr="0019609D">
              <w:rPr>
                <w:rFonts w:ascii="Lato" w:hAnsi="Lato"/>
                <w:sz w:val="18"/>
                <w:szCs w:val="18"/>
              </w:rPr>
              <w:t>stała współpraca</w:t>
            </w:r>
          </w:p>
        </w:tc>
        <w:tc>
          <w:tcPr>
            <w:tcW w:w="3952" w:type="dxa"/>
            <w:shd w:val="clear" w:color="auto" w:fill="FFFFFF" w:themeFill="background1"/>
          </w:tcPr>
          <w:p w14:paraId="4B412AD3" w14:textId="77777777" w:rsidR="00C97BE2" w:rsidRPr="0019609D" w:rsidRDefault="00C97BE2" w:rsidP="00C97BE2">
            <w:pPr>
              <w:rPr>
                <w:rFonts w:ascii="Lato" w:hAnsi="Lato"/>
                <w:sz w:val="18"/>
                <w:szCs w:val="18"/>
              </w:rPr>
            </w:pPr>
            <w:r w:rsidRPr="0019609D">
              <w:rPr>
                <w:rFonts w:ascii="Lato" w:hAnsi="Lato"/>
                <w:sz w:val="18"/>
                <w:szCs w:val="18"/>
              </w:rPr>
              <w:t>GPN prowadzi zajęcia stacjonarne i terenowe na specjalne zamówienie dla słuchaczy Uniwersytetów Trzeciego Wieku oraz emerytów i rencistów. Przekazuje seniorom materiały edukacyjne i publikacje popularno-naukowe wydawane przez GPN.</w:t>
            </w:r>
          </w:p>
        </w:tc>
      </w:tr>
      <w:tr w:rsidR="00C97BE2" w:rsidRPr="0019609D" w14:paraId="4DA246FF" w14:textId="77777777" w:rsidTr="0019609D">
        <w:tc>
          <w:tcPr>
            <w:tcW w:w="472" w:type="dxa"/>
            <w:shd w:val="clear" w:color="auto" w:fill="FFFFFF" w:themeFill="background1"/>
          </w:tcPr>
          <w:p w14:paraId="1A6BDAA8" w14:textId="77777777" w:rsidR="00C97BE2" w:rsidRPr="0019609D" w:rsidRDefault="00C97BE2" w:rsidP="00C97BE2">
            <w:pPr>
              <w:jc w:val="center"/>
              <w:rPr>
                <w:rFonts w:ascii="Lato" w:hAnsi="Lato"/>
                <w:b/>
                <w:bCs/>
                <w:sz w:val="18"/>
                <w:szCs w:val="18"/>
              </w:rPr>
            </w:pPr>
            <w:r w:rsidRPr="0019609D">
              <w:rPr>
                <w:rFonts w:ascii="Lato" w:hAnsi="Lato"/>
                <w:b/>
                <w:bCs/>
                <w:sz w:val="18"/>
                <w:szCs w:val="18"/>
              </w:rPr>
              <w:t>4.</w:t>
            </w:r>
          </w:p>
        </w:tc>
        <w:tc>
          <w:tcPr>
            <w:tcW w:w="3026" w:type="dxa"/>
            <w:shd w:val="clear" w:color="auto" w:fill="FFFFFF" w:themeFill="background1"/>
          </w:tcPr>
          <w:p w14:paraId="36B029BC" w14:textId="77777777" w:rsidR="00C97BE2" w:rsidRPr="0019609D" w:rsidRDefault="00C97BE2" w:rsidP="00C97BE2">
            <w:pPr>
              <w:rPr>
                <w:rFonts w:ascii="Lato" w:hAnsi="Lato"/>
                <w:sz w:val="18"/>
                <w:szCs w:val="18"/>
              </w:rPr>
            </w:pPr>
            <w:r w:rsidRPr="0019609D">
              <w:rPr>
                <w:rFonts w:ascii="Lato" w:hAnsi="Lato"/>
                <w:sz w:val="18"/>
                <w:szCs w:val="18"/>
              </w:rPr>
              <w:t xml:space="preserve">Plenerowe imprezy edukacyjne </w:t>
            </w:r>
          </w:p>
        </w:tc>
        <w:tc>
          <w:tcPr>
            <w:tcW w:w="1616" w:type="dxa"/>
            <w:shd w:val="clear" w:color="auto" w:fill="FFFFFF" w:themeFill="background1"/>
          </w:tcPr>
          <w:p w14:paraId="1F3DEECF" w14:textId="77777777" w:rsidR="00C97BE2" w:rsidRPr="0019609D" w:rsidRDefault="00C97BE2" w:rsidP="00C97BE2">
            <w:pPr>
              <w:rPr>
                <w:rFonts w:ascii="Lato" w:hAnsi="Lato"/>
                <w:sz w:val="18"/>
                <w:szCs w:val="18"/>
              </w:rPr>
            </w:pPr>
            <w:r w:rsidRPr="0019609D">
              <w:rPr>
                <w:rFonts w:ascii="Lato" w:hAnsi="Lato"/>
                <w:sz w:val="18"/>
                <w:szCs w:val="18"/>
              </w:rPr>
              <w:t>cykliczne</w:t>
            </w:r>
          </w:p>
        </w:tc>
        <w:tc>
          <w:tcPr>
            <w:tcW w:w="3952" w:type="dxa"/>
            <w:shd w:val="clear" w:color="auto" w:fill="FFFFFF" w:themeFill="background1"/>
          </w:tcPr>
          <w:p w14:paraId="25FF490D" w14:textId="77777777" w:rsidR="00C97BE2" w:rsidRPr="0019609D" w:rsidRDefault="00C97BE2" w:rsidP="00C97BE2">
            <w:pPr>
              <w:rPr>
                <w:rFonts w:ascii="Lato" w:hAnsi="Lato"/>
                <w:sz w:val="18"/>
                <w:szCs w:val="18"/>
              </w:rPr>
            </w:pPr>
            <w:r w:rsidRPr="0019609D">
              <w:rPr>
                <w:rFonts w:ascii="Lato" w:hAnsi="Lato"/>
                <w:sz w:val="18"/>
                <w:szCs w:val="18"/>
              </w:rPr>
              <w:t xml:space="preserve">Program imprez skierowany jest do grup rodzinnych, m.in.: rodziców z dziećmi, dziadków z wnukami.  </w:t>
            </w:r>
          </w:p>
        </w:tc>
      </w:tr>
      <w:tr w:rsidR="00C97BE2" w:rsidRPr="0019609D" w14:paraId="10145D83" w14:textId="77777777" w:rsidTr="0019609D">
        <w:tc>
          <w:tcPr>
            <w:tcW w:w="472" w:type="dxa"/>
            <w:shd w:val="clear" w:color="auto" w:fill="FFFFFF" w:themeFill="background1"/>
          </w:tcPr>
          <w:p w14:paraId="658A8538" w14:textId="77777777" w:rsidR="00C97BE2" w:rsidRPr="0019609D" w:rsidRDefault="00C97BE2" w:rsidP="00C97BE2">
            <w:pPr>
              <w:jc w:val="center"/>
              <w:rPr>
                <w:rFonts w:ascii="Lato" w:hAnsi="Lato"/>
                <w:b/>
                <w:bCs/>
                <w:sz w:val="18"/>
                <w:szCs w:val="18"/>
              </w:rPr>
            </w:pPr>
            <w:r w:rsidRPr="0019609D">
              <w:rPr>
                <w:rFonts w:ascii="Lato" w:hAnsi="Lato"/>
                <w:b/>
                <w:bCs/>
                <w:sz w:val="18"/>
                <w:szCs w:val="18"/>
              </w:rPr>
              <w:t>5.</w:t>
            </w:r>
          </w:p>
        </w:tc>
        <w:tc>
          <w:tcPr>
            <w:tcW w:w="3026" w:type="dxa"/>
            <w:shd w:val="clear" w:color="auto" w:fill="FFFFFF" w:themeFill="background1"/>
          </w:tcPr>
          <w:p w14:paraId="0E25945B" w14:textId="77777777" w:rsidR="00C97BE2" w:rsidRPr="0019609D" w:rsidRDefault="00C97BE2" w:rsidP="00C97BE2">
            <w:pPr>
              <w:rPr>
                <w:rFonts w:ascii="Lato" w:hAnsi="Lato"/>
                <w:sz w:val="18"/>
                <w:szCs w:val="18"/>
              </w:rPr>
            </w:pPr>
            <w:r w:rsidRPr="0019609D">
              <w:rPr>
                <w:rFonts w:ascii="Lato" w:hAnsi="Lato"/>
                <w:sz w:val="18"/>
                <w:szCs w:val="18"/>
              </w:rPr>
              <w:t>Udostępnianie terenu Gorczańskiego Parku Narodowego dla seniorów</w:t>
            </w:r>
          </w:p>
        </w:tc>
        <w:tc>
          <w:tcPr>
            <w:tcW w:w="1616" w:type="dxa"/>
            <w:shd w:val="clear" w:color="auto" w:fill="FFFFFF" w:themeFill="background1"/>
          </w:tcPr>
          <w:p w14:paraId="52B926D2" w14:textId="77777777" w:rsidR="00C97BE2" w:rsidRPr="0019609D" w:rsidRDefault="00C97BE2" w:rsidP="00C97BE2">
            <w:pPr>
              <w:rPr>
                <w:rFonts w:ascii="Lato" w:hAnsi="Lato"/>
                <w:sz w:val="18"/>
                <w:szCs w:val="18"/>
              </w:rPr>
            </w:pPr>
            <w:r w:rsidRPr="0019609D">
              <w:rPr>
                <w:rFonts w:ascii="Lato" w:hAnsi="Lato"/>
                <w:sz w:val="18"/>
                <w:szCs w:val="18"/>
              </w:rPr>
              <w:t>od 2020 r.</w:t>
            </w:r>
          </w:p>
        </w:tc>
        <w:tc>
          <w:tcPr>
            <w:tcW w:w="3952" w:type="dxa"/>
            <w:shd w:val="clear" w:color="auto" w:fill="FFFFFF" w:themeFill="background1"/>
          </w:tcPr>
          <w:p w14:paraId="2413363C" w14:textId="77777777" w:rsidR="00C97BE2" w:rsidRPr="0019609D" w:rsidRDefault="00C97BE2" w:rsidP="00C97BE2">
            <w:pPr>
              <w:rPr>
                <w:rFonts w:ascii="Lato" w:hAnsi="Lato"/>
                <w:sz w:val="18"/>
                <w:szCs w:val="18"/>
              </w:rPr>
            </w:pPr>
            <w:r w:rsidRPr="0019609D">
              <w:rPr>
                <w:rFonts w:ascii="Lato" w:hAnsi="Lato"/>
                <w:sz w:val="18"/>
                <w:szCs w:val="18"/>
              </w:rPr>
              <w:t xml:space="preserve">W GPN na bieżąco prowadzi się remonty szlaków turystycznych, spacerowych i ścieżek edukacyjnych, a także infrastruktury turystycznej. Zapewnia to bezpieczne wędrowanie i poznawanie przyrody GPN. Dla seniorów dedykowane są przede wszystkim szlaki spacerowe – łatwiejsze pod względem technicznym i nie wymagające nadmiernego wysiłku fizycznego ani konieczności pokonywania dużej różnicy wysokości.  Prowadzą głównie drogami dolinowymi, wzdłuż gorczańskich potoków. Na trasie znajdują się miejsca odpoczynku – ławki, </w:t>
            </w:r>
            <w:proofErr w:type="spellStart"/>
            <w:r w:rsidRPr="0019609D">
              <w:rPr>
                <w:rFonts w:ascii="Lato" w:hAnsi="Lato"/>
                <w:sz w:val="18"/>
                <w:szCs w:val="18"/>
              </w:rPr>
              <w:t>ławostoły</w:t>
            </w:r>
            <w:proofErr w:type="spellEnd"/>
            <w:r w:rsidRPr="0019609D">
              <w:rPr>
                <w:rFonts w:ascii="Lato" w:hAnsi="Lato"/>
                <w:sz w:val="18"/>
                <w:szCs w:val="18"/>
              </w:rPr>
              <w:t xml:space="preserve">. </w:t>
            </w:r>
          </w:p>
        </w:tc>
      </w:tr>
      <w:tr w:rsidR="00C97BE2" w:rsidRPr="0019609D" w14:paraId="7C20D2EC" w14:textId="77777777" w:rsidTr="0019609D">
        <w:tc>
          <w:tcPr>
            <w:tcW w:w="472" w:type="dxa"/>
            <w:shd w:val="clear" w:color="auto" w:fill="FFFFFF" w:themeFill="background1"/>
          </w:tcPr>
          <w:p w14:paraId="78542987" w14:textId="77777777" w:rsidR="00C97BE2" w:rsidRPr="0019609D" w:rsidRDefault="00C97BE2" w:rsidP="00C97BE2">
            <w:pPr>
              <w:jc w:val="center"/>
              <w:rPr>
                <w:rFonts w:ascii="Lato" w:hAnsi="Lato"/>
                <w:b/>
                <w:bCs/>
                <w:sz w:val="18"/>
                <w:szCs w:val="18"/>
              </w:rPr>
            </w:pPr>
            <w:r w:rsidRPr="0019609D">
              <w:rPr>
                <w:rFonts w:ascii="Lato" w:hAnsi="Lato"/>
                <w:b/>
                <w:bCs/>
                <w:sz w:val="18"/>
                <w:szCs w:val="18"/>
              </w:rPr>
              <w:t>6.</w:t>
            </w:r>
          </w:p>
        </w:tc>
        <w:tc>
          <w:tcPr>
            <w:tcW w:w="3026" w:type="dxa"/>
            <w:shd w:val="clear" w:color="auto" w:fill="FFFFFF" w:themeFill="background1"/>
          </w:tcPr>
          <w:p w14:paraId="4FCA100F" w14:textId="77777777" w:rsidR="00C97BE2" w:rsidRPr="0019609D" w:rsidRDefault="00C97BE2" w:rsidP="00C97BE2">
            <w:pPr>
              <w:rPr>
                <w:rFonts w:ascii="Lato" w:hAnsi="Lato"/>
                <w:sz w:val="18"/>
                <w:szCs w:val="18"/>
              </w:rPr>
            </w:pPr>
            <w:r w:rsidRPr="0019609D">
              <w:rPr>
                <w:rFonts w:ascii="Lato" w:hAnsi="Lato"/>
                <w:sz w:val="18"/>
                <w:szCs w:val="18"/>
              </w:rPr>
              <w:t>Program „Przyjaciel Parku Narodowego”</w:t>
            </w:r>
          </w:p>
        </w:tc>
        <w:tc>
          <w:tcPr>
            <w:tcW w:w="1616" w:type="dxa"/>
            <w:shd w:val="clear" w:color="auto" w:fill="FFFFFF" w:themeFill="background1"/>
          </w:tcPr>
          <w:p w14:paraId="15D6FE92" w14:textId="77777777" w:rsidR="00C97BE2" w:rsidRPr="0019609D" w:rsidRDefault="00C97BE2" w:rsidP="00C97BE2">
            <w:pPr>
              <w:rPr>
                <w:rFonts w:ascii="Lato" w:hAnsi="Lato"/>
                <w:sz w:val="18"/>
                <w:szCs w:val="18"/>
              </w:rPr>
            </w:pPr>
            <w:r w:rsidRPr="0019609D">
              <w:rPr>
                <w:rFonts w:ascii="Lato" w:hAnsi="Lato"/>
                <w:sz w:val="18"/>
                <w:szCs w:val="18"/>
              </w:rPr>
              <w:t>od 2015 r.</w:t>
            </w:r>
          </w:p>
        </w:tc>
        <w:tc>
          <w:tcPr>
            <w:tcW w:w="3952" w:type="dxa"/>
            <w:shd w:val="clear" w:color="auto" w:fill="FFFFFF" w:themeFill="background1"/>
          </w:tcPr>
          <w:p w14:paraId="73F0E8D3" w14:textId="77777777" w:rsidR="00C97BE2" w:rsidRPr="0019609D" w:rsidRDefault="00C97BE2" w:rsidP="00C97BE2">
            <w:pPr>
              <w:rPr>
                <w:rFonts w:ascii="Lato" w:hAnsi="Lato"/>
                <w:sz w:val="18"/>
                <w:szCs w:val="18"/>
              </w:rPr>
            </w:pPr>
            <w:r w:rsidRPr="0019609D">
              <w:rPr>
                <w:rFonts w:ascii="Lato" w:hAnsi="Lato"/>
                <w:sz w:val="18"/>
                <w:szCs w:val="18"/>
              </w:rPr>
              <w:t>Od 2015 r. w małopolskich parkach narodowych realizowany jest program „Przyjaciel Parku Narodowego”, dedykowany rodzinom z dziećmi. Uczestniczą w nim także  dziadkowie z wnukami, którzy spędzają dłuższy czas w okolicach Parku. Dzięki materiałom programu mogą wspólnie realizować zadania i w sposób aktywny poznawać walory przyrodnicze i kulturowe  GPN.</w:t>
            </w:r>
          </w:p>
        </w:tc>
      </w:tr>
      <w:tr w:rsidR="00C97BE2" w:rsidRPr="0019609D" w14:paraId="44E02436" w14:textId="77777777" w:rsidTr="0019609D">
        <w:tc>
          <w:tcPr>
            <w:tcW w:w="472" w:type="dxa"/>
            <w:shd w:val="clear" w:color="auto" w:fill="FFFFFF" w:themeFill="background1"/>
          </w:tcPr>
          <w:p w14:paraId="124893B6" w14:textId="77777777" w:rsidR="00C97BE2" w:rsidRPr="0019609D" w:rsidRDefault="00C97BE2" w:rsidP="00C97BE2">
            <w:pPr>
              <w:jc w:val="center"/>
              <w:rPr>
                <w:rFonts w:ascii="Lato" w:hAnsi="Lato"/>
                <w:b/>
                <w:bCs/>
                <w:sz w:val="18"/>
                <w:szCs w:val="18"/>
              </w:rPr>
            </w:pPr>
            <w:r w:rsidRPr="0019609D">
              <w:rPr>
                <w:rFonts w:ascii="Lato" w:hAnsi="Lato"/>
                <w:b/>
                <w:bCs/>
                <w:sz w:val="18"/>
                <w:szCs w:val="18"/>
              </w:rPr>
              <w:t>7.</w:t>
            </w:r>
          </w:p>
        </w:tc>
        <w:tc>
          <w:tcPr>
            <w:tcW w:w="3026" w:type="dxa"/>
            <w:shd w:val="clear" w:color="auto" w:fill="FFFFFF" w:themeFill="background1"/>
          </w:tcPr>
          <w:p w14:paraId="055756DB" w14:textId="77777777" w:rsidR="00C97BE2" w:rsidRPr="0019609D" w:rsidRDefault="00C97BE2" w:rsidP="00C97BE2">
            <w:pPr>
              <w:rPr>
                <w:rFonts w:ascii="Lato" w:hAnsi="Lato"/>
                <w:sz w:val="18"/>
                <w:szCs w:val="18"/>
              </w:rPr>
            </w:pPr>
            <w:r w:rsidRPr="0019609D">
              <w:rPr>
                <w:rFonts w:ascii="Lato" w:hAnsi="Lato"/>
                <w:sz w:val="18"/>
                <w:szCs w:val="18"/>
              </w:rPr>
              <w:t>Bilety ulgowe</w:t>
            </w:r>
          </w:p>
        </w:tc>
        <w:tc>
          <w:tcPr>
            <w:tcW w:w="1616" w:type="dxa"/>
            <w:shd w:val="clear" w:color="auto" w:fill="FFFFFF" w:themeFill="background1"/>
          </w:tcPr>
          <w:p w14:paraId="02ABC9B5" w14:textId="77777777" w:rsidR="00C97BE2" w:rsidRPr="0019609D" w:rsidRDefault="00C97BE2" w:rsidP="00C97BE2">
            <w:pPr>
              <w:rPr>
                <w:rFonts w:ascii="Lato" w:hAnsi="Lato"/>
                <w:sz w:val="18"/>
                <w:szCs w:val="18"/>
              </w:rPr>
            </w:pPr>
            <w:r w:rsidRPr="0019609D">
              <w:rPr>
                <w:rFonts w:ascii="Lato" w:hAnsi="Lato"/>
                <w:sz w:val="18"/>
                <w:szCs w:val="18"/>
              </w:rPr>
              <w:t>cały rok</w:t>
            </w:r>
          </w:p>
        </w:tc>
        <w:tc>
          <w:tcPr>
            <w:tcW w:w="3952" w:type="dxa"/>
            <w:shd w:val="clear" w:color="auto" w:fill="FFFFFF" w:themeFill="background1"/>
          </w:tcPr>
          <w:p w14:paraId="1365D66F" w14:textId="77777777" w:rsidR="00C97BE2" w:rsidRPr="0019609D" w:rsidRDefault="00C97BE2" w:rsidP="00C97BE2">
            <w:pPr>
              <w:rPr>
                <w:rFonts w:ascii="Lato" w:hAnsi="Lato"/>
                <w:sz w:val="18"/>
                <w:szCs w:val="18"/>
              </w:rPr>
            </w:pPr>
            <w:r w:rsidRPr="0019609D">
              <w:rPr>
                <w:rFonts w:ascii="Lato" w:hAnsi="Lato"/>
                <w:sz w:val="18"/>
                <w:szCs w:val="18"/>
              </w:rPr>
              <w:t xml:space="preserve">Zgodnie z Zarządzeniem Dyrektora GPN emeryci i renciści odwiedzający ekspozycję przyrodniczą w Ośrodku Edukacyjnym GPN oraz w Gajówce Mikołaja uprawnieni są do biletu ulgowego.  </w:t>
            </w:r>
          </w:p>
        </w:tc>
      </w:tr>
      <w:tr w:rsidR="00C97BE2" w:rsidRPr="0019609D" w14:paraId="7904802E" w14:textId="77777777" w:rsidTr="0019609D">
        <w:tc>
          <w:tcPr>
            <w:tcW w:w="906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5DA0BD3" w14:textId="77777777" w:rsidR="00C97BE2" w:rsidRPr="0019609D" w:rsidRDefault="00C97BE2" w:rsidP="00C97BE2">
            <w:pPr>
              <w:jc w:val="center"/>
              <w:rPr>
                <w:rFonts w:ascii="Lato" w:hAnsi="Lato"/>
                <w:b/>
                <w:bCs/>
                <w:sz w:val="18"/>
                <w:szCs w:val="18"/>
              </w:rPr>
            </w:pPr>
            <w:r w:rsidRPr="0019609D">
              <w:rPr>
                <w:rFonts w:ascii="Lato" w:hAnsi="Lato"/>
                <w:b/>
                <w:bCs/>
                <w:sz w:val="18"/>
                <w:szCs w:val="18"/>
              </w:rPr>
              <w:t>Park Narodowy Gór Stołowych</w:t>
            </w:r>
          </w:p>
        </w:tc>
      </w:tr>
      <w:tr w:rsidR="00C97BE2" w:rsidRPr="0019609D" w14:paraId="38D20E35"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65F72" w14:textId="77777777" w:rsidR="00C97BE2" w:rsidRPr="0019609D" w:rsidRDefault="00C97BE2" w:rsidP="00C97BE2">
            <w:pPr>
              <w:rPr>
                <w:rFonts w:ascii="Lato" w:hAnsi="Lato"/>
                <w:b/>
                <w:bCs/>
                <w:sz w:val="18"/>
                <w:szCs w:val="18"/>
              </w:rPr>
            </w:pPr>
            <w:r w:rsidRPr="0019609D">
              <w:rPr>
                <w:rFonts w:ascii="Lato" w:hAnsi="Lato"/>
                <w:b/>
                <w:bCs/>
                <w:sz w:val="18"/>
                <w:szCs w:val="18"/>
              </w:rPr>
              <w:t>1.</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786045" w14:textId="77777777" w:rsidR="00C97BE2" w:rsidRPr="0019609D" w:rsidRDefault="00C97BE2" w:rsidP="00C97BE2">
            <w:pPr>
              <w:rPr>
                <w:rFonts w:ascii="Lato" w:hAnsi="Lato"/>
                <w:sz w:val="18"/>
                <w:szCs w:val="18"/>
              </w:rPr>
            </w:pPr>
            <w:r w:rsidRPr="0019609D">
              <w:rPr>
                <w:rFonts w:ascii="Lato" w:hAnsi="Lato"/>
                <w:sz w:val="18"/>
                <w:szCs w:val="18"/>
              </w:rPr>
              <w:t xml:space="preserve">Spacer Edukacyjny „Pod </w:t>
            </w:r>
            <w:proofErr w:type="spellStart"/>
            <w:r w:rsidRPr="0019609D">
              <w:rPr>
                <w:rFonts w:ascii="Lato" w:hAnsi="Lato"/>
                <w:sz w:val="18"/>
                <w:szCs w:val="18"/>
              </w:rPr>
              <w:t>Szczelińcem</w:t>
            </w:r>
            <w:proofErr w:type="spellEnd"/>
            <w:r w:rsidRPr="0019609D">
              <w:rPr>
                <w:rFonts w:ascii="Lato" w:hAnsi="Lato"/>
                <w:sz w:val="18"/>
                <w:szCs w:val="18"/>
              </w:rPr>
              <w:t>”</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121854" w14:textId="77777777" w:rsidR="00C97BE2" w:rsidRPr="0019609D" w:rsidRDefault="00C97BE2" w:rsidP="00C97BE2">
            <w:pPr>
              <w:rPr>
                <w:rFonts w:ascii="Lato" w:hAnsi="Lato"/>
                <w:sz w:val="18"/>
                <w:szCs w:val="18"/>
              </w:rPr>
            </w:pPr>
            <w:r w:rsidRPr="0019609D">
              <w:rPr>
                <w:rFonts w:ascii="Lato" w:hAnsi="Lato"/>
                <w:sz w:val="18"/>
                <w:szCs w:val="18"/>
              </w:rPr>
              <w:t>lipiec-sierpień 2022</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BF927" w14:textId="77777777" w:rsidR="00C97BE2" w:rsidRPr="0019609D" w:rsidRDefault="00C97BE2" w:rsidP="00C97BE2">
            <w:pPr>
              <w:rPr>
                <w:rFonts w:ascii="Lato" w:hAnsi="Lato"/>
                <w:sz w:val="18"/>
                <w:szCs w:val="18"/>
              </w:rPr>
            </w:pPr>
            <w:r w:rsidRPr="0019609D">
              <w:rPr>
                <w:rFonts w:ascii="Lato" w:hAnsi="Lato"/>
                <w:sz w:val="18"/>
                <w:szCs w:val="18"/>
              </w:rPr>
              <w:t>Spacer z pracownikiem działu Edukacji PNGS organizowany 1 raz w tygodniu w okresie wakacyjnym, przebiegający w łatwym terenie, trwający ok. 1,5 godz., oferta skierowana dla wszystkich zainteresowanych, również do osób starszych i osób niepełnosprawnych z uwagi na niewielkie trudności na trasie</w:t>
            </w:r>
          </w:p>
        </w:tc>
      </w:tr>
      <w:tr w:rsidR="00C97BE2" w:rsidRPr="0019609D" w14:paraId="123FDB9C"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77D434" w14:textId="77777777" w:rsidR="00C97BE2" w:rsidRPr="0019609D" w:rsidRDefault="00C97BE2" w:rsidP="00C97BE2">
            <w:pPr>
              <w:rPr>
                <w:rFonts w:ascii="Lato" w:hAnsi="Lato"/>
                <w:b/>
                <w:bCs/>
                <w:sz w:val="18"/>
                <w:szCs w:val="18"/>
              </w:rPr>
            </w:pPr>
            <w:r w:rsidRPr="0019609D">
              <w:rPr>
                <w:rFonts w:ascii="Lato" w:hAnsi="Lato"/>
                <w:b/>
                <w:bCs/>
                <w:sz w:val="18"/>
                <w:szCs w:val="18"/>
              </w:rPr>
              <w:t>2.</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4BDA3" w14:textId="77777777" w:rsidR="00C97BE2" w:rsidRPr="0019609D" w:rsidRDefault="00C97BE2" w:rsidP="00C97BE2">
            <w:pPr>
              <w:rPr>
                <w:rFonts w:ascii="Lato" w:hAnsi="Lato"/>
                <w:sz w:val="18"/>
                <w:szCs w:val="18"/>
              </w:rPr>
            </w:pPr>
            <w:r w:rsidRPr="0019609D">
              <w:rPr>
                <w:rFonts w:ascii="Lato" w:hAnsi="Lato"/>
                <w:sz w:val="18"/>
                <w:szCs w:val="18"/>
              </w:rPr>
              <w:t>Pokazy filmu „Góry Stołowe” i prezentacji multimedialnej „Przyroda Parku Narodowego Gór Stołowych”</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BDBAD" w14:textId="77777777" w:rsidR="00C97BE2" w:rsidRPr="0019609D" w:rsidRDefault="00C97BE2" w:rsidP="00C97BE2">
            <w:pPr>
              <w:rPr>
                <w:rFonts w:ascii="Lato" w:hAnsi="Lato"/>
                <w:sz w:val="18"/>
                <w:szCs w:val="18"/>
              </w:rPr>
            </w:pPr>
            <w:r w:rsidRPr="0019609D">
              <w:rPr>
                <w:rFonts w:ascii="Lato" w:hAnsi="Lato"/>
                <w:sz w:val="18"/>
                <w:szCs w:val="18"/>
              </w:rPr>
              <w:t>cały rok</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73DF0" w14:textId="77777777" w:rsidR="00C97BE2" w:rsidRPr="0019609D" w:rsidRDefault="00C97BE2" w:rsidP="00C97BE2">
            <w:pPr>
              <w:rPr>
                <w:rFonts w:ascii="Lato" w:hAnsi="Lato"/>
                <w:sz w:val="18"/>
                <w:szCs w:val="18"/>
              </w:rPr>
            </w:pPr>
            <w:r w:rsidRPr="0019609D">
              <w:rPr>
                <w:rFonts w:ascii="Lato" w:hAnsi="Lato"/>
                <w:sz w:val="18"/>
                <w:szCs w:val="18"/>
              </w:rPr>
              <w:t>Pokazy organizowane w budynku Dyrekcji PNGS dla osób starszych i osób niepełnosprawnych przebywających na turnusach rehabilitacyjnych w Kudowie Zdroju</w:t>
            </w:r>
          </w:p>
        </w:tc>
      </w:tr>
      <w:tr w:rsidR="00C97BE2" w:rsidRPr="0019609D" w14:paraId="23C77579" w14:textId="77777777" w:rsidTr="0019609D">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8A4B9" w14:textId="77777777" w:rsidR="00C97BE2" w:rsidRPr="0019609D" w:rsidRDefault="00C97BE2" w:rsidP="00C97BE2">
            <w:pPr>
              <w:rPr>
                <w:rFonts w:ascii="Lato" w:hAnsi="Lato"/>
                <w:b/>
                <w:bCs/>
                <w:sz w:val="18"/>
                <w:szCs w:val="18"/>
              </w:rPr>
            </w:pPr>
            <w:r w:rsidRPr="0019609D">
              <w:rPr>
                <w:rFonts w:ascii="Lato" w:hAnsi="Lato"/>
                <w:b/>
                <w:bCs/>
                <w:sz w:val="18"/>
                <w:szCs w:val="18"/>
              </w:rPr>
              <w:t>3.</w:t>
            </w:r>
          </w:p>
        </w:tc>
        <w:tc>
          <w:tcPr>
            <w:tcW w:w="3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3417C3" w14:textId="77777777" w:rsidR="00C97BE2" w:rsidRPr="0019609D" w:rsidRDefault="00C97BE2" w:rsidP="00C97BE2">
            <w:pPr>
              <w:rPr>
                <w:rFonts w:ascii="Lato" w:hAnsi="Lato"/>
                <w:sz w:val="18"/>
                <w:szCs w:val="18"/>
              </w:rPr>
            </w:pPr>
            <w:r w:rsidRPr="0019609D">
              <w:rPr>
                <w:rFonts w:ascii="Lato" w:hAnsi="Lato" w:cs="Calibri"/>
                <w:color w:val="000000"/>
                <w:sz w:val="18"/>
                <w:szCs w:val="18"/>
              </w:rPr>
              <w:t xml:space="preserve">Ekspozycja edukacyjna w </w:t>
            </w:r>
            <w:proofErr w:type="spellStart"/>
            <w:r w:rsidRPr="0019609D">
              <w:rPr>
                <w:rFonts w:ascii="Lato" w:hAnsi="Lato" w:cs="Calibri"/>
                <w:color w:val="000000"/>
                <w:sz w:val="18"/>
                <w:szCs w:val="18"/>
              </w:rPr>
              <w:t>Ekocentrum</w:t>
            </w:r>
            <w:proofErr w:type="spellEnd"/>
            <w:r w:rsidRPr="0019609D">
              <w:rPr>
                <w:rFonts w:ascii="Lato" w:hAnsi="Lato" w:cs="Calibri"/>
                <w:color w:val="000000"/>
                <w:sz w:val="18"/>
                <w:szCs w:val="18"/>
              </w:rPr>
              <w:t xml:space="preserve"> PNGS</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0636A" w14:textId="77777777" w:rsidR="00C97BE2" w:rsidRPr="0019609D" w:rsidRDefault="00C97BE2" w:rsidP="00C97BE2">
            <w:pPr>
              <w:rPr>
                <w:rFonts w:ascii="Lato" w:hAnsi="Lato"/>
                <w:sz w:val="18"/>
                <w:szCs w:val="18"/>
              </w:rPr>
            </w:pPr>
            <w:r w:rsidRPr="0019609D">
              <w:rPr>
                <w:rFonts w:ascii="Lato" w:hAnsi="Lato"/>
                <w:sz w:val="18"/>
                <w:szCs w:val="18"/>
              </w:rPr>
              <w:t>cały rok</w:t>
            </w:r>
          </w:p>
        </w:tc>
        <w:tc>
          <w:tcPr>
            <w:tcW w:w="3952" w:type="dxa"/>
            <w:tcBorders>
              <w:top w:val="single" w:sz="4" w:space="0" w:color="auto"/>
              <w:left w:val="single" w:sz="4" w:space="0" w:color="auto"/>
              <w:bottom w:val="single" w:sz="4" w:space="0" w:color="auto"/>
              <w:right w:val="single" w:sz="4" w:space="0" w:color="auto"/>
            </w:tcBorders>
            <w:shd w:val="clear" w:color="auto" w:fill="FFFFFF" w:themeFill="background1"/>
          </w:tcPr>
          <w:p w14:paraId="2D72AF9A" w14:textId="77777777" w:rsidR="00C97BE2" w:rsidRPr="0019609D" w:rsidRDefault="00C97BE2" w:rsidP="00C97BE2">
            <w:pPr>
              <w:rPr>
                <w:rFonts w:ascii="Lato" w:hAnsi="Lato"/>
                <w:sz w:val="18"/>
                <w:szCs w:val="18"/>
              </w:rPr>
            </w:pPr>
            <w:r w:rsidRPr="0019609D">
              <w:rPr>
                <w:rFonts w:ascii="Lato" w:hAnsi="Lato"/>
                <w:sz w:val="18"/>
                <w:szCs w:val="18"/>
              </w:rPr>
              <w:t xml:space="preserve">Stała przyrodnicza ekspozycja edukacyjna w </w:t>
            </w:r>
            <w:proofErr w:type="spellStart"/>
            <w:r w:rsidRPr="0019609D">
              <w:rPr>
                <w:rFonts w:ascii="Lato" w:hAnsi="Lato"/>
                <w:sz w:val="18"/>
                <w:szCs w:val="18"/>
              </w:rPr>
              <w:t>Ekocentrum</w:t>
            </w:r>
            <w:proofErr w:type="spellEnd"/>
            <w:r w:rsidRPr="0019609D">
              <w:rPr>
                <w:rFonts w:ascii="Lato" w:hAnsi="Lato"/>
                <w:sz w:val="18"/>
                <w:szCs w:val="18"/>
              </w:rPr>
              <w:t xml:space="preserve"> PNGS. Budynek i ekspozycja dostosowane do potrzeb osób niepełnosprawnych.</w:t>
            </w:r>
          </w:p>
        </w:tc>
      </w:tr>
    </w:tbl>
    <w:tbl>
      <w:tblPr>
        <w:tblStyle w:val="Tabela-Siatka1"/>
        <w:tblW w:w="5000" w:type="pct"/>
        <w:tblInd w:w="0" w:type="dxa"/>
        <w:tblLook w:val="04A0" w:firstRow="1" w:lastRow="0" w:firstColumn="1" w:lastColumn="0" w:noHBand="0" w:noVBand="1"/>
      </w:tblPr>
      <w:tblGrid>
        <w:gridCol w:w="491"/>
        <w:gridCol w:w="3047"/>
        <w:gridCol w:w="1490"/>
        <w:gridCol w:w="4034"/>
      </w:tblGrid>
      <w:tr w:rsidR="00C97BE2" w:rsidRPr="00C97BE2" w14:paraId="2EFB9A34" w14:textId="77777777" w:rsidTr="00C97BE2">
        <w:tc>
          <w:tcPr>
            <w:tcW w:w="5000" w:type="pct"/>
            <w:gridSpan w:val="4"/>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35F26438"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lastRenderedPageBreak/>
              <w:t>Kampinoski Park Narodowy</w:t>
            </w:r>
          </w:p>
        </w:tc>
      </w:tr>
      <w:tr w:rsidR="00C97BE2" w:rsidRPr="00C97BE2" w14:paraId="294CC582"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055778E9"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1.</w:t>
            </w:r>
          </w:p>
        </w:tc>
        <w:tc>
          <w:tcPr>
            <w:tcW w:w="1681" w:type="pct"/>
            <w:tcBorders>
              <w:top w:val="single" w:sz="4" w:space="0" w:color="auto"/>
              <w:left w:val="single" w:sz="4" w:space="0" w:color="auto"/>
              <w:bottom w:val="single" w:sz="4" w:space="0" w:color="auto"/>
              <w:right w:val="single" w:sz="4" w:space="0" w:color="auto"/>
            </w:tcBorders>
            <w:hideMark/>
          </w:tcPr>
          <w:p w14:paraId="07C64915"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Współpraca w ramach wolontariatu ze Stowarzyszeniem  Towarzystwo Kampinoskie w Granicy</w:t>
            </w:r>
          </w:p>
        </w:tc>
        <w:tc>
          <w:tcPr>
            <w:tcW w:w="822" w:type="pct"/>
            <w:tcBorders>
              <w:top w:val="single" w:sz="4" w:space="0" w:color="auto"/>
              <w:left w:val="single" w:sz="4" w:space="0" w:color="auto"/>
              <w:bottom w:val="single" w:sz="4" w:space="0" w:color="auto"/>
              <w:right w:val="single" w:sz="4" w:space="0" w:color="auto"/>
            </w:tcBorders>
            <w:hideMark/>
          </w:tcPr>
          <w:p w14:paraId="5CEE5436"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Stała działalność parku</w:t>
            </w:r>
          </w:p>
        </w:tc>
        <w:tc>
          <w:tcPr>
            <w:tcW w:w="2226" w:type="pct"/>
            <w:tcBorders>
              <w:top w:val="single" w:sz="4" w:space="0" w:color="auto"/>
              <w:left w:val="single" w:sz="4" w:space="0" w:color="auto"/>
              <w:bottom w:val="single" w:sz="4" w:space="0" w:color="auto"/>
              <w:right w:val="single" w:sz="4" w:space="0" w:color="auto"/>
            </w:tcBorders>
            <w:hideMark/>
          </w:tcPr>
          <w:p w14:paraId="3E21948D"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Prowadzenie, opieka, urządzanie Chaty Kampinoskiej w Granicy , organizowanie imprez kulturowych i folklorystycznych poświęconych tradycjom i zwyczajom („Pokaz wieńców dożynkowych”, „Poszukiwanie kwiatu paproci”, „Tańce Kampinoskie”, pogadanki, wernisaże, koncerty, warsztaty i in.)</w:t>
            </w:r>
          </w:p>
        </w:tc>
      </w:tr>
      <w:tr w:rsidR="00C97BE2" w:rsidRPr="00C97BE2" w14:paraId="36AADD23"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0141CF5E"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2.</w:t>
            </w:r>
          </w:p>
        </w:tc>
        <w:tc>
          <w:tcPr>
            <w:tcW w:w="1681" w:type="pct"/>
            <w:tcBorders>
              <w:top w:val="single" w:sz="4" w:space="0" w:color="auto"/>
              <w:left w:val="single" w:sz="4" w:space="0" w:color="auto"/>
              <w:bottom w:val="single" w:sz="4" w:space="0" w:color="auto"/>
              <w:right w:val="single" w:sz="4" w:space="0" w:color="auto"/>
            </w:tcBorders>
            <w:hideMark/>
          </w:tcPr>
          <w:p w14:paraId="54BCF308"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 xml:space="preserve">Współpraca z organizacjami kombatanckimi: Stowarzyszenie Rodzina Ułanów </w:t>
            </w:r>
            <w:proofErr w:type="spellStart"/>
            <w:r w:rsidRPr="00C97BE2">
              <w:rPr>
                <w:rFonts w:ascii="Lato" w:eastAsia="Calibri" w:hAnsi="Lato"/>
                <w:sz w:val="20"/>
                <w:szCs w:val="20"/>
              </w:rPr>
              <w:t>Jazłowieckich</w:t>
            </w:r>
            <w:proofErr w:type="spellEnd"/>
            <w:r w:rsidRPr="00C97BE2">
              <w:rPr>
                <w:rFonts w:ascii="Lato" w:eastAsia="Calibri" w:hAnsi="Lato"/>
                <w:sz w:val="20"/>
                <w:szCs w:val="20"/>
              </w:rPr>
              <w:t>, Środowisko „Grupa Kampinos” ŚZŻAK, Stowarzyszenie Żołnierzy Powstańczych Oddziałów Specjalnych „Jerzyki”</w:t>
            </w:r>
          </w:p>
        </w:tc>
        <w:tc>
          <w:tcPr>
            <w:tcW w:w="822" w:type="pct"/>
            <w:tcBorders>
              <w:top w:val="single" w:sz="4" w:space="0" w:color="auto"/>
              <w:left w:val="single" w:sz="4" w:space="0" w:color="auto"/>
              <w:bottom w:val="single" w:sz="4" w:space="0" w:color="auto"/>
              <w:right w:val="single" w:sz="4" w:space="0" w:color="auto"/>
            </w:tcBorders>
            <w:hideMark/>
          </w:tcPr>
          <w:p w14:paraId="6FC46859"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Stała działalność parku</w:t>
            </w:r>
          </w:p>
        </w:tc>
        <w:tc>
          <w:tcPr>
            <w:tcW w:w="2226" w:type="pct"/>
            <w:tcBorders>
              <w:top w:val="single" w:sz="4" w:space="0" w:color="auto"/>
              <w:left w:val="single" w:sz="4" w:space="0" w:color="auto"/>
              <w:bottom w:val="single" w:sz="4" w:space="0" w:color="auto"/>
              <w:right w:val="single" w:sz="4" w:space="0" w:color="auto"/>
            </w:tcBorders>
            <w:hideMark/>
          </w:tcPr>
          <w:p w14:paraId="5CE41FF5"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 xml:space="preserve">Prowadzenie działalności edukacyjnej oraz organizacja imprez </w:t>
            </w:r>
            <w:proofErr w:type="spellStart"/>
            <w:r w:rsidRPr="00C97BE2">
              <w:rPr>
                <w:rFonts w:ascii="Lato" w:eastAsia="Calibri" w:hAnsi="Lato"/>
                <w:sz w:val="20"/>
                <w:szCs w:val="20"/>
              </w:rPr>
              <w:t>patriotyczno</w:t>
            </w:r>
            <w:proofErr w:type="spellEnd"/>
            <w:r w:rsidRPr="00C97BE2">
              <w:rPr>
                <w:rFonts w:ascii="Lato" w:eastAsia="Calibri" w:hAnsi="Lato"/>
                <w:sz w:val="20"/>
                <w:szCs w:val="20"/>
              </w:rPr>
              <w:t xml:space="preserve"> – religijnych</w:t>
            </w:r>
          </w:p>
        </w:tc>
      </w:tr>
      <w:tr w:rsidR="00C97BE2" w:rsidRPr="00C97BE2" w14:paraId="536D1C5F"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53F2471A"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3.</w:t>
            </w:r>
          </w:p>
        </w:tc>
        <w:tc>
          <w:tcPr>
            <w:tcW w:w="1681" w:type="pct"/>
            <w:tcBorders>
              <w:top w:val="single" w:sz="4" w:space="0" w:color="auto"/>
              <w:left w:val="single" w:sz="4" w:space="0" w:color="auto"/>
              <w:bottom w:val="single" w:sz="4" w:space="0" w:color="auto"/>
              <w:right w:val="single" w:sz="4" w:space="0" w:color="auto"/>
            </w:tcBorders>
            <w:hideMark/>
          </w:tcPr>
          <w:p w14:paraId="109EA3EA"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Uniwersytet III Wieku</w:t>
            </w:r>
          </w:p>
        </w:tc>
        <w:tc>
          <w:tcPr>
            <w:tcW w:w="822" w:type="pct"/>
            <w:tcBorders>
              <w:top w:val="single" w:sz="4" w:space="0" w:color="auto"/>
              <w:left w:val="single" w:sz="4" w:space="0" w:color="auto"/>
              <w:bottom w:val="single" w:sz="4" w:space="0" w:color="auto"/>
              <w:right w:val="single" w:sz="4" w:space="0" w:color="auto"/>
            </w:tcBorders>
            <w:hideMark/>
          </w:tcPr>
          <w:p w14:paraId="3102F7F7"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Stała działalność parku</w:t>
            </w:r>
          </w:p>
        </w:tc>
        <w:tc>
          <w:tcPr>
            <w:tcW w:w="2226" w:type="pct"/>
            <w:tcBorders>
              <w:top w:val="single" w:sz="4" w:space="0" w:color="auto"/>
              <w:left w:val="single" w:sz="4" w:space="0" w:color="auto"/>
              <w:bottom w:val="single" w:sz="4" w:space="0" w:color="auto"/>
              <w:right w:val="single" w:sz="4" w:space="0" w:color="auto"/>
            </w:tcBorders>
            <w:hideMark/>
          </w:tcPr>
          <w:p w14:paraId="59EF7BCC"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Prowadzenie wykładów, spotkań i wycieczek dla seniorów</w:t>
            </w:r>
          </w:p>
        </w:tc>
      </w:tr>
      <w:tr w:rsidR="00C97BE2" w:rsidRPr="00C97BE2" w14:paraId="1CEC3311"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1BE64B7F"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4.</w:t>
            </w:r>
          </w:p>
        </w:tc>
        <w:tc>
          <w:tcPr>
            <w:tcW w:w="1681" w:type="pct"/>
            <w:tcBorders>
              <w:top w:val="single" w:sz="4" w:space="0" w:color="auto"/>
              <w:left w:val="single" w:sz="4" w:space="0" w:color="auto"/>
              <w:bottom w:val="single" w:sz="4" w:space="0" w:color="auto"/>
              <w:right w:val="single" w:sz="4" w:space="0" w:color="auto"/>
            </w:tcBorders>
            <w:hideMark/>
          </w:tcPr>
          <w:p w14:paraId="6CEAF896"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Wycieczki w ramach programu „Akademii Kampinoskiej”</w:t>
            </w:r>
          </w:p>
        </w:tc>
        <w:tc>
          <w:tcPr>
            <w:tcW w:w="822" w:type="pct"/>
            <w:tcBorders>
              <w:top w:val="single" w:sz="4" w:space="0" w:color="auto"/>
              <w:left w:val="single" w:sz="4" w:space="0" w:color="auto"/>
              <w:bottom w:val="single" w:sz="4" w:space="0" w:color="auto"/>
              <w:right w:val="single" w:sz="4" w:space="0" w:color="auto"/>
            </w:tcBorders>
            <w:hideMark/>
          </w:tcPr>
          <w:p w14:paraId="0D4F8E34"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2016-2022</w:t>
            </w:r>
          </w:p>
        </w:tc>
        <w:tc>
          <w:tcPr>
            <w:tcW w:w="2226" w:type="pct"/>
            <w:tcBorders>
              <w:top w:val="single" w:sz="4" w:space="0" w:color="auto"/>
              <w:left w:val="single" w:sz="4" w:space="0" w:color="auto"/>
              <w:bottom w:val="single" w:sz="4" w:space="0" w:color="auto"/>
              <w:right w:val="single" w:sz="4" w:space="0" w:color="auto"/>
            </w:tcBorders>
            <w:hideMark/>
          </w:tcPr>
          <w:p w14:paraId="400F102C"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Wykłady, pogadanki i spacery dostosowane dla osób starszych</w:t>
            </w:r>
          </w:p>
        </w:tc>
      </w:tr>
      <w:tr w:rsidR="00C97BE2" w:rsidRPr="00C97BE2" w14:paraId="3E245CC7"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2C6FC6CE"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5.</w:t>
            </w:r>
          </w:p>
        </w:tc>
        <w:tc>
          <w:tcPr>
            <w:tcW w:w="1681" w:type="pct"/>
            <w:tcBorders>
              <w:top w:val="single" w:sz="4" w:space="0" w:color="auto"/>
              <w:left w:val="single" w:sz="4" w:space="0" w:color="auto"/>
              <w:bottom w:val="single" w:sz="4" w:space="0" w:color="auto"/>
              <w:right w:val="single" w:sz="4" w:space="0" w:color="auto"/>
            </w:tcBorders>
            <w:hideMark/>
          </w:tcPr>
          <w:p w14:paraId="572A8614"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Wycieczki w ramach programu „Przyroda na horyzoncie”</w:t>
            </w:r>
          </w:p>
        </w:tc>
        <w:tc>
          <w:tcPr>
            <w:tcW w:w="822" w:type="pct"/>
            <w:tcBorders>
              <w:top w:val="single" w:sz="4" w:space="0" w:color="auto"/>
              <w:left w:val="single" w:sz="4" w:space="0" w:color="auto"/>
              <w:bottom w:val="single" w:sz="4" w:space="0" w:color="auto"/>
              <w:right w:val="single" w:sz="4" w:space="0" w:color="auto"/>
            </w:tcBorders>
            <w:hideMark/>
          </w:tcPr>
          <w:p w14:paraId="1566A4C7"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2016-2022</w:t>
            </w:r>
          </w:p>
        </w:tc>
        <w:tc>
          <w:tcPr>
            <w:tcW w:w="2226" w:type="pct"/>
            <w:tcBorders>
              <w:top w:val="single" w:sz="4" w:space="0" w:color="auto"/>
              <w:left w:val="single" w:sz="4" w:space="0" w:color="auto"/>
              <w:bottom w:val="single" w:sz="4" w:space="0" w:color="auto"/>
              <w:right w:val="single" w:sz="4" w:space="0" w:color="auto"/>
            </w:tcBorders>
            <w:hideMark/>
          </w:tcPr>
          <w:p w14:paraId="1DCC3545"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Wykłady, pogadanki i spacery dostosowane dla osób starszych</w:t>
            </w:r>
          </w:p>
        </w:tc>
      </w:tr>
      <w:tr w:rsidR="00333B6D" w:rsidRPr="00C97BE2" w14:paraId="2CC6AD83" w14:textId="77777777" w:rsidTr="00333B6D">
        <w:tc>
          <w:tcPr>
            <w:tcW w:w="271" w:type="pct"/>
            <w:tcBorders>
              <w:top w:val="single" w:sz="4" w:space="0" w:color="auto"/>
              <w:left w:val="single" w:sz="4" w:space="0" w:color="auto"/>
              <w:bottom w:val="single" w:sz="4" w:space="0" w:color="auto"/>
              <w:right w:val="single" w:sz="4" w:space="0" w:color="auto"/>
            </w:tcBorders>
          </w:tcPr>
          <w:p w14:paraId="047D5A33" w14:textId="2698DC26" w:rsidR="00333B6D" w:rsidRPr="00C97BE2" w:rsidRDefault="00333B6D" w:rsidP="00C97BE2">
            <w:pPr>
              <w:widowControl w:val="0"/>
              <w:jc w:val="center"/>
              <w:rPr>
                <w:rFonts w:ascii="Lato" w:eastAsia="Calibri" w:hAnsi="Lato"/>
                <w:b/>
                <w:bCs/>
                <w:sz w:val="20"/>
                <w:szCs w:val="20"/>
              </w:rPr>
            </w:pPr>
            <w:r>
              <w:rPr>
                <w:rFonts w:ascii="Lato" w:eastAsia="Calibri" w:hAnsi="Lato"/>
                <w:b/>
                <w:bCs/>
                <w:sz w:val="20"/>
                <w:szCs w:val="20"/>
              </w:rPr>
              <w:t>6.</w:t>
            </w:r>
          </w:p>
        </w:tc>
        <w:tc>
          <w:tcPr>
            <w:tcW w:w="1681" w:type="pct"/>
            <w:tcBorders>
              <w:top w:val="single" w:sz="4" w:space="0" w:color="auto"/>
              <w:left w:val="single" w:sz="4" w:space="0" w:color="auto"/>
              <w:bottom w:val="single" w:sz="4" w:space="0" w:color="auto"/>
              <w:right w:val="single" w:sz="4" w:space="0" w:color="auto"/>
            </w:tcBorders>
          </w:tcPr>
          <w:p w14:paraId="57FA0701" w14:textId="2CE37FAD" w:rsidR="00333B6D" w:rsidRPr="00C97BE2" w:rsidRDefault="00333B6D" w:rsidP="00C97BE2">
            <w:pPr>
              <w:widowControl w:val="0"/>
              <w:rPr>
                <w:rFonts w:ascii="Lato" w:eastAsia="Calibri" w:hAnsi="Lato"/>
                <w:sz w:val="20"/>
                <w:szCs w:val="20"/>
              </w:rPr>
            </w:pPr>
            <w:r w:rsidRPr="00C97BE2">
              <w:rPr>
                <w:rFonts w:ascii="Lato" w:eastAsia="Times New Roman" w:hAnsi="Lato" w:cs="Calibri"/>
                <w:kern w:val="36"/>
                <w:sz w:val="20"/>
                <w:szCs w:val="20"/>
                <w:lang w:eastAsia="pl-PL"/>
              </w:rPr>
              <w:t>Współpraca z Dzienny Domem Senior+ Gminy Izabelin</w:t>
            </w:r>
          </w:p>
        </w:tc>
        <w:tc>
          <w:tcPr>
            <w:tcW w:w="822" w:type="pct"/>
            <w:tcBorders>
              <w:top w:val="single" w:sz="4" w:space="0" w:color="auto"/>
              <w:left w:val="single" w:sz="4" w:space="0" w:color="auto"/>
              <w:bottom w:val="single" w:sz="4" w:space="0" w:color="auto"/>
              <w:right w:val="single" w:sz="4" w:space="0" w:color="auto"/>
            </w:tcBorders>
          </w:tcPr>
          <w:p w14:paraId="2DEB9F36" w14:textId="0045D809" w:rsidR="00333B6D" w:rsidRPr="00C97BE2" w:rsidRDefault="00333B6D" w:rsidP="00C97BE2">
            <w:pPr>
              <w:widowControl w:val="0"/>
              <w:rPr>
                <w:rFonts w:ascii="Lato" w:eastAsia="Calibri" w:hAnsi="Lato"/>
                <w:sz w:val="20"/>
                <w:szCs w:val="20"/>
              </w:rPr>
            </w:pPr>
            <w:r>
              <w:rPr>
                <w:rFonts w:ascii="Lato" w:eastAsia="Calibri" w:hAnsi="Lato"/>
                <w:sz w:val="20"/>
                <w:szCs w:val="20"/>
              </w:rPr>
              <w:t>Stała działalność parku</w:t>
            </w:r>
          </w:p>
        </w:tc>
        <w:tc>
          <w:tcPr>
            <w:tcW w:w="2226" w:type="pct"/>
            <w:tcBorders>
              <w:top w:val="single" w:sz="4" w:space="0" w:color="auto"/>
              <w:left w:val="single" w:sz="4" w:space="0" w:color="auto"/>
              <w:bottom w:val="single" w:sz="4" w:space="0" w:color="auto"/>
              <w:right w:val="single" w:sz="4" w:space="0" w:color="auto"/>
            </w:tcBorders>
          </w:tcPr>
          <w:p w14:paraId="43479908" w14:textId="1D120D4F" w:rsidR="00333B6D" w:rsidRPr="00C97BE2" w:rsidRDefault="00333B6D" w:rsidP="00C97BE2">
            <w:pPr>
              <w:widowControl w:val="0"/>
              <w:rPr>
                <w:rFonts w:ascii="Lato" w:eastAsia="Calibri" w:hAnsi="Lato"/>
                <w:sz w:val="20"/>
                <w:szCs w:val="20"/>
              </w:rPr>
            </w:pPr>
            <w:r w:rsidRPr="00C97BE2">
              <w:rPr>
                <w:rFonts w:ascii="Lato" w:hAnsi="Lato"/>
                <w:sz w:val="20"/>
                <w:szCs w:val="20"/>
              </w:rPr>
              <w:t>Wykłady, pogadanki i spacery dostosowane dla osób starszych</w:t>
            </w:r>
          </w:p>
        </w:tc>
      </w:tr>
      <w:tr w:rsidR="00C97BE2" w:rsidRPr="00C97BE2" w14:paraId="3CE52F43"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529AFC58"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7.</w:t>
            </w:r>
          </w:p>
        </w:tc>
        <w:tc>
          <w:tcPr>
            <w:tcW w:w="1681" w:type="pct"/>
            <w:tcBorders>
              <w:top w:val="single" w:sz="4" w:space="0" w:color="auto"/>
              <w:left w:val="single" w:sz="4" w:space="0" w:color="auto"/>
              <w:bottom w:val="single" w:sz="4" w:space="0" w:color="auto"/>
              <w:right w:val="single" w:sz="4" w:space="0" w:color="auto"/>
            </w:tcBorders>
            <w:hideMark/>
          </w:tcPr>
          <w:p w14:paraId="1ECFA120"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Współpraca z Klubem Senior+ Gminy Kampinos</w:t>
            </w:r>
          </w:p>
        </w:tc>
        <w:tc>
          <w:tcPr>
            <w:tcW w:w="822" w:type="pct"/>
            <w:tcBorders>
              <w:top w:val="single" w:sz="4" w:space="0" w:color="auto"/>
              <w:left w:val="single" w:sz="4" w:space="0" w:color="auto"/>
              <w:bottom w:val="single" w:sz="4" w:space="0" w:color="auto"/>
              <w:right w:val="single" w:sz="4" w:space="0" w:color="auto"/>
            </w:tcBorders>
            <w:hideMark/>
          </w:tcPr>
          <w:p w14:paraId="1E650458"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Stała działalność parku</w:t>
            </w:r>
          </w:p>
        </w:tc>
        <w:tc>
          <w:tcPr>
            <w:tcW w:w="2226" w:type="pct"/>
            <w:tcBorders>
              <w:top w:val="single" w:sz="4" w:space="0" w:color="auto"/>
              <w:left w:val="single" w:sz="4" w:space="0" w:color="auto"/>
              <w:bottom w:val="single" w:sz="4" w:space="0" w:color="auto"/>
              <w:right w:val="single" w:sz="4" w:space="0" w:color="auto"/>
            </w:tcBorders>
            <w:hideMark/>
          </w:tcPr>
          <w:p w14:paraId="246474E5"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Wycieczki połączone ze zwiedzaniem Skansenu budownictwa puszczańskiego KPN w Granicy</w:t>
            </w:r>
          </w:p>
        </w:tc>
      </w:tr>
      <w:tr w:rsidR="00C97BE2" w:rsidRPr="00C97BE2" w14:paraId="79C12F14" w14:textId="77777777" w:rsidTr="00333B6D">
        <w:tc>
          <w:tcPr>
            <w:tcW w:w="271" w:type="pct"/>
            <w:tcBorders>
              <w:top w:val="single" w:sz="4" w:space="0" w:color="auto"/>
              <w:left w:val="single" w:sz="4" w:space="0" w:color="auto"/>
              <w:bottom w:val="single" w:sz="4" w:space="0" w:color="auto"/>
              <w:right w:val="single" w:sz="4" w:space="0" w:color="auto"/>
            </w:tcBorders>
            <w:hideMark/>
          </w:tcPr>
          <w:p w14:paraId="3F52EE6A" w14:textId="77777777" w:rsidR="00C97BE2" w:rsidRPr="00C97BE2" w:rsidRDefault="00C97BE2" w:rsidP="00C97BE2">
            <w:pPr>
              <w:widowControl w:val="0"/>
              <w:jc w:val="center"/>
              <w:rPr>
                <w:rFonts w:ascii="Lato" w:hAnsi="Lato"/>
                <w:b/>
                <w:bCs/>
                <w:sz w:val="20"/>
                <w:szCs w:val="20"/>
              </w:rPr>
            </w:pPr>
            <w:r w:rsidRPr="00C97BE2">
              <w:rPr>
                <w:rFonts w:ascii="Lato" w:eastAsia="Calibri" w:hAnsi="Lato"/>
                <w:b/>
                <w:bCs/>
                <w:sz w:val="20"/>
                <w:szCs w:val="20"/>
              </w:rPr>
              <w:t>8.</w:t>
            </w:r>
          </w:p>
        </w:tc>
        <w:tc>
          <w:tcPr>
            <w:tcW w:w="1681" w:type="pct"/>
            <w:tcBorders>
              <w:top w:val="nil"/>
              <w:left w:val="single" w:sz="4" w:space="0" w:color="auto"/>
              <w:bottom w:val="single" w:sz="4" w:space="0" w:color="auto"/>
              <w:right w:val="single" w:sz="4" w:space="0" w:color="auto"/>
            </w:tcBorders>
            <w:hideMark/>
          </w:tcPr>
          <w:p w14:paraId="6B912083" w14:textId="77777777" w:rsidR="00C97BE2" w:rsidRPr="00C97BE2" w:rsidRDefault="00C97BE2" w:rsidP="00C97BE2">
            <w:pPr>
              <w:widowControl w:val="0"/>
              <w:rPr>
                <w:rFonts w:ascii="Lato" w:eastAsia="Calibri" w:hAnsi="Lato"/>
                <w:sz w:val="20"/>
                <w:szCs w:val="20"/>
              </w:rPr>
            </w:pPr>
            <w:r w:rsidRPr="00C97BE2">
              <w:rPr>
                <w:rFonts w:ascii="Lato" w:eastAsia="Calibri" w:hAnsi="Lato"/>
                <w:spacing w:val="-4"/>
                <w:sz w:val="20"/>
                <w:szCs w:val="20"/>
              </w:rPr>
              <w:t>Współpraca ze Stowarzyszeniem Wychowanków</w:t>
            </w:r>
            <w:r w:rsidRPr="00C97BE2">
              <w:rPr>
                <w:rFonts w:ascii="Lato" w:eastAsia="Calibri" w:hAnsi="Lato"/>
                <w:sz w:val="20"/>
                <w:szCs w:val="20"/>
              </w:rPr>
              <w:t xml:space="preserve"> SGGW w Warszawie</w:t>
            </w:r>
          </w:p>
        </w:tc>
        <w:tc>
          <w:tcPr>
            <w:tcW w:w="822" w:type="pct"/>
            <w:tcBorders>
              <w:top w:val="nil"/>
              <w:left w:val="single" w:sz="4" w:space="0" w:color="auto"/>
              <w:bottom w:val="single" w:sz="4" w:space="0" w:color="auto"/>
              <w:right w:val="single" w:sz="4" w:space="0" w:color="auto"/>
            </w:tcBorders>
            <w:hideMark/>
          </w:tcPr>
          <w:p w14:paraId="399930C9"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2021-2022</w:t>
            </w:r>
          </w:p>
        </w:tc>
        <w:tc>
          <w:tcPr>
            <w:tcW w:w="2226" w:type="pct"/>
            <w:tcBorders>
              <w:top w:val="nil"/>
              <w:left w:val="single" w:sz="4" w:space="0" w:color="auto"/>
              <w:bottom w:val="single" w:sz="4" w:space="0" w:color="auto"/>
              <w:right w:val="single" w:sz="4" w:space="0" w:color="auto"/>
            </w:tcBorders>
            <w:hideMark/>
          </w:tcPr>
          <w:p w14:paraId="44F157C6"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Wycieczki przyrodnicza połączona ze zwiedzaniem skansenu budownictwa puszczańskiego KPN w Granicy</w:t>
            </w:r>
          </w:p>
        </w:tc>
      </w:tr>
      <w:tr w:rsidR="00C97BE2" w:rsidRPr="00C97BE2" w14:paraId="16357CCA" w14:textId="77777777" w:rsidTr="00333B6D">
        <w:tc>
          <w:tcPr>
            <w:tcW w:w="271" w:type="pct"/>
            <w:tcBorders>
              <w:top w:val="nil"/>
              <w:left w:val="single" w:sz="4" w:space="0" w:color="auto"/>
              <w:bottom w:val="single" w:sz="4" w:space="0" w:color="auto"/>
              <w:right w:val="single" w:sz="4" w:space="0" w:color="auto"/>
            </w:tcBorders>
          </w:tcPr>
          <w:p w14:paraId="0337FE8B" w14:textId="77777777" w:rsidR="00C97BE2" w:rsidRPr="00C97BE2" w:rsidRDefault="00C97BE2" w:rsidP="00C97BE2">
            <w:pPr>
              <w:widowControl w:val="0"/>
              <w:jc w:val="center"/>
              <w:rPr>
                <w:rFonts w:ascii="Lato" w:hAnsi="Lato"/>
                <w:b/>
                <w:bCs/>
                <w:sz w:val="20"/>
                <w:szCs w:val="20"/>
              </w:rPr>
            </w:pPr>
            <w:r w:rsidRPr="00C97BE2">
              <w:rPr>
                <w:rFonts w:ascii="Lato" w:hAnsi="Lato"/>
                <w:b/>
                <w:bCs/>
                <w:sz w:val="20"/>
                <w:szCs w:val="20"/>
              </w:rPr>
              <w:t>9.</w:t>
            </w:r>
          </w:p>
          <w:p w14:paraId="162CB9BE" w14:textId="77777777" w:rsidR="00C97BE2" w:rsidRPr="00C97BE2" w:rsidRDefault="00C97BE2" w:rsidP="00C97BE2">
            <w:pPr>
              <w:widowControl w:val="0"/>
              <w:jc w:val="center"/>
              <w:rPr>
                <w:rFonts w:ascii="Lato" w:hAnsi="Lato"/>
                <w:b/>
                <w:bCs/>
                <w:sz w:val="20"/>
                <w:szCs w:val="20"/>
              </w:rPr>
            </w:pPr>
          </w:p>
        </w:tc>
        <w:tc>
          <w:tcPr>
            <w:tcW w:w="1681" w:type="pct"/>
            <w:tcBorders>
              <w:top w:val="nil"/>
              <w:left w:val="single" w:sz="4" w:space="0" w:color="auto"/>
              <w:bottom w:val="single" w:sz="4" w:space="0" w:color="auto"/>
              <w:right w:val="single" w:sz="4" w:space="0" w:color="auto"/>
            </w:tcBorders>
            <w:hideMark/>
          </w:tcPr>
          <w:p w14:paraId="4CDE7E0C"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Współpraca z Uniwersytetem III Wieku Narodowego Instytutu Dziedzictwa Kulturowego i Wsi</w:t>
            </w:r>
          </w:p>
        </w:tc>
        <w:tc>
          <w:tcPr>
            <w:tcW w:w="822" w:type="pct"/>
            <w:tcBorders>
              <w:top w:val="nil"/>
              <w:left w:val="single" w:sz="4" w:space="0" w:color="auto"/>
              <w:bottom w:val="single" w:sz="4" w:space="0" w:color="auto"/>
              <w:right w:val="single" w:sz="4" w:space="0" w:color="auto"/>
            </w:tcBorders>
            <w:hideMark/>
          </w:tcPr>
          <w:p w14:paraId="0E9682E8"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2022</w:t>
            </w:r>
          </w:p>
        </w:tc>
        <w:tc>
          <w:tcPr>
            <w:tcW w:w="2226" w:type="pct"/>
            <w:tcBorders>
              <w:top w:val="nil"/>
              <w:left w:val="single" w:sz="4" w:space="0" w:color="auto"/>
              <w:bottom w:val="single" w:sz="4" w:space="0" w:color="auto"/>
              <w:right w:val="single" w:sz="4" w:space="0" w:color="auto"/>
            </w:tcBorders>
            <w:hideMark/>
          </w:tcPr>
          <w:p w14:paraId="3F28AB04"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 xml:space="preserve">Prowadzenie wykładów i pogadanek edukacyjnych </w:t>
            </w:r>
          </w:p>
        </w:tc>
      </w:tr>
      <w:tr w:rsidR="00C97BE2" w:rsidRPr="00C97BE2" w14:paraId="13B8764B" w14:textId="77777777" w:rsidTr="00333B6D">
        <w:tc>
          <w:tcPr>
            <w:tcW w:w="271" w:type="pct"/>
            <w:tcBorders>
              <w:top w:val="nil"/>
              <w:left w:val="single" w:sz="4" w:space="0" w:color="auto"/>
              <w:bottom w:val="single" w:sz="4" w:space="0" w:color="auto"/>
              <w:right w:val="single" w:sz="4" w:space="0" w:color="auto"/>
            </w:tcBorders>
            <w:hideMark/>
          </w:tcPr>
          <w:p w14:paraId="1D011E09" w14:textId="77777777" w:rsidR="00C97BE2" w:rsidRPr="00C97BE2" w:rsidRDefault="00C97BE2" w:rsidP="00C97BE2">
            <w:pPr>
              <w:widowControl w:val="0"/>
              <w:jc w:val="center"/>
              <w:rPr>
                <w:rFonts w:ascii="Lato" w:hAnsi="Lato"/>
                <w:b/>
                <w:bCs/>
                <w:sz w:val="20"/>
                <w:szCs w:val="20"/>
              </w:rPr>
            </w:pPr>
            <w:r w:rsidRPr="00C97BE2">
              <w:rPr>
                <w:rFonts w:ascii="Lato" w:hAnsi="Lato"/>
                <w:b/>
                <w:bCs/>
                <w:sz w:val="20"/>
                <w:szCs w:val="20"/>
              </w:rPr>
              <w:t>10.</w:t>
            </w:r>
          </w:p>
        </w:tc>
        <w:tc>
          <w:tcPr>
            <w:tcW w:w="1681" w:type="pct"/>
            <w:tcBorders>
              <w:top w:val="nil"/>
              <w:left w:val="single" w:sz="4" w:space="0" w:color="auto"/>
              <w:bottom w:val="single" w:sz="4" w:space="0" w:color="auto"/>
              <w:right w:val="single" w:sz="4" w:space="0" w:color="auto"/>
            </w:tcBorders>
            <w:hideMark/>
          </w:tcPr>
          <w:p w14:paraId="4EEA1224"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 xml:space="preserve">Dostosowanie infrastruktury turystycznej dla osób w podeszłym wieku </w:t>
            </w:r>
          </w:p>
        </w:tc>
        <w:tc>
          <w:tcPr>
            <w:tcW w:w="822" w:type="pct"/>
            <w:tcBorders>
              <w:top w:val="nil"/>
              <w:left w:val="single" w:sz="4" w:space="0" w:color="auto"/>
              <w:bottom w:val="single" w:sz="4" w:space="0" w:color="auto"/>
              <w:right w:val="single" w:sz="4" w:space="0" w:color="auto"/>
            </w:tcBorders>
            <w:hideMark/>
          </w:tcPr>
          <w:p w14:paraId="04C6C4E0"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Stała działalność parku</w:t>
            </w:r>
          </w:p>
        </w:tc>
        <w:tc>
          <w:tcPr>
            <w:tcW w:w="2226" w:type="pct"/>
            <w:tcBorders>
              <w:top w:val="nil"/>
              <w:left w:val="single" w:sz="4" w:space="0" w:color="auto"/>
              <w:bottom w:val="single" w:sz="4" w:space="0" w:color="auto"/>
              <w:right w:val="single" w:sz="4" w:space="0" w:color="auto"/>
            </w:tcBorders>
            <w:hideMark/>
          </w:tcPr>
          <w:p w14:paraId="587B7806" w14:textId="77777777" w:rsidR="00C97BE2" w:rsidRPr="00C97BE2" w:rsidRDefault="00C97BE2" w:rsidP="00C97BE2">
            <w:pPr>
              <w:widowControl w:val="0"/>
              <w:rPr>
                <w:rFonts w:ascii="Lato" w:eastAsia="Calibri" w:hAnsi="Lato"/>
                <w:sz w:val="20"/>
                <w:szCs w:val="20"/>
              </w:rPr>
            </w:pPr>
            <w:r w:rsidRPr="00C97BE2">
              <w:rPr>
                <w:rFonts w:ascii="Lato" w:eastAsia="Calibri" w:hAnsi="Lato"/>
                <w:sz w:val="20"/>
                <w:szCs w:val="20"/>
              </w:rPr>
              <w:t>Modernizacja szlaków turystycznych, ścieżek dydaktycznych i in.</w:t>
            </w:r>
          </w:p>
        </w:tc>
      </w:tr>
    </w:tbl>
    <w:tbl>
      <w:tblPr>
        <w:tblStyle w:val="Tabela-Siatka"/>
        <w:tblW w:w="0" w:type="auto"/>
        <w:tblLook w:val="04A0" w:firstRow="1" w:lastRow="0" w:firstColumn="1" w:lastColumn="0" w:noHBand="0" w:noVBand="1"/>
      </w:tblPr>
      <w:tblGrid>
        <w:gridCol w:w="592"/>
        <w:gridCol w:w="2928"/>
        <w:gridCol w:w="1476"/>
        <w:gridCol w:w="4066"/>
      </w:tblGrid>
      <w:tr w:rsidR="00C97BE2" w:rsidRPr="00C97BE2" w14:paraId="366775A1" w14:textId="77777777" w:rsidTr="00C97BE2">
        <w:tc>
          <w:tcPr>
            <w:tcW w:w="15388" w:type="dxa"/>
            <w:gridSpan w:val="4"/>
            <w:shd w:val="clear" w:color="auto" w:fill="ACB9CA" w:themeFill="text2" w:themeFillTint="66"/>
          </w:tcPr>
          <w:p w14:paraId="269ED53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Karkonoski Park Narodowy </w:t>
            </w:r>
          </w:p>
        </w:tc>
      </w:tr>
      <w:tr w:rsidR="00C97BE2" w:rsidRPr="00C97BE2" w14:paraId="1F75D5C1" w14:textId="77777777" w:rsidTr="00D578ED">
        <w:tc>
          <w:tcPr>
            <w:tcW w:w="846" w:type="dxa"/>
          </w:tcPr>
          <w:p w14:paraId="3A186D9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56320EDA" w14:textId="77777777" w:rsidR="00C97BE2" w:rsidRPr="00C97BE2" w:rsidRDefault="00C97BE2" w:rsidP="00C97BE2">
            <w:pPr>
              <w:rPr>
                <w:rFonts w:ascii="Lato" w:hAnsi="Lato"/>
                <w:sz w:val="20"/>
                <w:szCs w:val="20"/>
              </w:rPr>
            </w:pPr>
            <w:r w:rsidRPr="00C97BE2">
              <w:rPr>
                <w:rFonts w:ascii="Lato" w:hAnsi="Lato"/>
                <w:sz w:val="20"/>
                <w:szCs w:val="20"/>
              </w:rPr>
              <w:t>Szlak do Wodospadu Szklarki</w:t>
            </w:r>
          </w:p>
        </w:tc>
        <w:tc>
          <w:tcPr>
            <w:tcW w:w="1843" w:type="dxa"/>
          </w:tcPr>
          <w:p w14:paraId="5970B3D6" w14:textId="77777777" w:rsidR="00C97BE2" w:rsidRPr="00C97BE2" w:rsidRDefault="00C97BE2" w:rsidP="00C97BE2">
            <w:pPr>
              <w:rPr>
                <w:rFonts w:ascii="Lato" w:hAnsi="Lato"/>
                <w:sz w:val="20"/>
                <w:szCs w:val="20"/>
              </w:rPr>
            </w:pPr>
            <w:r w:rsidRPr="00C97BE2">
              <w:rPr>
                <w:rFonts w:ascii="Lato" w:hAnsi="Lato"/>
                <w:sz w:val="20"/>
                <w:szCs w:val="20"/>
              </w:rPr>
              <w:t>od 2018</w:t>
            </w:r>
          </w:p>
        </w:tc>
        <w:tc>
          <w:tcPr>
            <w:tcW w:w="8163" w:type="dxa"/>
          </w:tcPr>
          <w:p w14:paraId="53AFEF22" w14:textId="77777777" w:rsidR="00C97BE2" w:rsidRPr="00C97BE2" w:rsidRDefault="00C97BE2" w:rsidP="00C97BE2">
            <w:pPr>
              <w:rPr>
                <w:rFonts w:ascii="Lato" w:hAnsi="Lato"/>
                <w:sz w:val="20"/>
                <w:szCs w:val="20"/>
              </w:rPr>
            </w:pPr>
            <w:r w:rsidRPr="00C97BE2">
              <w:rPr>
                <w:rFonts w:ascii="Lato" w:hAnsi="Lato"/>
                <w:sz w:val="20"/>
                <w:szCs w:val="20"/>
              </w:rPr>
              <w:t xml:space="preserve">Szlak czarny do Wodospadu Szklarki jest dostosowany do potrzeb osób z niepełno-sprawnościami oraz osób starszych. Szlak zbudowany jest z kostki granitowej </w:t>
            </w:r>
            <w:proofErr w:type="spellStart"/>
            <w:r w:rsidRPr="00C97BE2">
              <w:rPr>
                <w:rFonts w:ascii="Lato" w:hAnsi="Lato"/>
                <w:sz w:val="20"/>
                <w:szCs w:val="20"/>
              </w:rPr>
              <w:t>płomieniowanej</w:t>
            </w:r>
            <w:proofErr w:type="spellEnd"/>
            <w:r w:rsidRPr="00C97BE2">
              <w:rPr>
                <w:rFonts w:ascii="Lato" w:hAnsi="Lato"/>
                <w:sz w:val="20"/>
                <w:szCs w:val="20"/>
              </w:rPr>
              <w:t xml:space="preserve"> i wyposażony w trzypoziomową barierkę, umożliwiającą bezpieczne przejście osobom z ograniczoną </w:t>
            </w:r>
            <w:proofErr w:type="spellStart"/>
            <w:r w:rsidRPr="00C97BE2">
              <w:rPr>
                <w:rFonts w:ascii="Lato" w:hAnsi="Lato"/>
                <w:sz w:val="20"/>
                <w:szCs w:val="20"/>
              </w:rPr>
              <w:t>ruchomościąoraz</w:t>
            </w:r>
            <w:proofErr w:type="spellEnd"/>
            <w:r w:rsidRPr="00C97BE2">
              <w:rPr>
                <w:rFonts w:ascii="Lato" w:hAnsi="Lato"/>
                <w:sz w:val="20"/>
                <w:szCs w:val="20"/>
              </w:rPr>
              <w:t xml:space="preserve"> poruszającym się na wózkach inwalidzkich</w:t>
            </w:r>
          </w:p>
        </w:tc>
      </w:tr>
      <w:tr w:rsidR="00C97BE2" w:rsidRPr="00C97BE2" w14:paraId="72C941B0" w14:textId="77777777" w:rsidTr="00D578ED">
        <w:tc>
          <w:tcPr>
            <w:tcW w:w="846" w:type="dxa"/>
          </w:tcPr>
          <w:p w14:paraId="0695FDE5"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Pr>
          <w:p w14:paraId="4339F72F" w14:textId="77777777" w:rsidR="00C97BE2" w:rsidRPr="00C97BE2" w:rsidRDefault="00C97BE2" w:rsidP="00C97BE2">
            <w:pPr>
              <w:rPr>
                <w:rFonts w:ascii="Lato" w:hAnsi="Lato"/>
                <w:sz w:val="20"/>
                <w:szCs w:val="20"/>
              </w:rPr>
            </w:pPr>
            <w:r w:rsidRPr="00C97BE2">
              <w:rPr>
                <w:rFonts w:ascii="Lato" w:hAnsi="Lato"/>
                <w:sz w:val="20"/>
                <w:szCs w:val="20"/>
              </w:rPr>
              <w:t>Szlak od górnej stacji wyciągu na Kopę do Domu Śląskiego</w:t>
            </w:r>
          </w:p>
        </w:tc>
        <w:tc>
          <w:tcPr>
            <w:tcW w:w="1843" w:type="dxa"/>
          </w:tcPr>
          <w:p w14:paraId="21CC9A5F" w14:textId="77777777" w:rsidR="00C97BE2" w:rsidRPr="00C97BE2" w:rsidRDefault="00C97BE2" w:rsidP="00C97BE2">
            <w:pPr>
              <w:rPr>
                <w:rFonts w:ascii="Lato" w:hAnsi="Lato"/>
                <w:sz w:val="20"/>
                <w:szCs w:val="20"/>
              </w:rPr>
            </w:pPr>
            <w:r w:rsidRPr="00C97BE2">
              <w:rPr>
                <w:rFonts w:ascii="Lato" w:hAnsi="Lato"/>
                <w:sz w:val="20"/>
                <w:szCs w:val="20"/>
              </w:rPr>
              <w:t>od 2011</w:t>
            </w:r>
          </w:p>
        </w:tc>
        <w:tc>
          <w:tcPr>
            <w:tcW w:w="8163" w:type="dxa"/>
          </w:tcPr>
          <w:p w14:paraId="414AEF40" w14:textId="77777777" w:rsidR="00C97BE2" w:rsidRPr="00C97BE2" w:rsidRDefault="00C97BE2" w:rsidP="00C97BE2">
            <w:pPr>
              <w:rPr>
                <w:rFonts w:ascii="Lato" w:hAnsi="Lato"/>
                <w:sz w:val="20"/>
                <w:szCs w:val="20"/>
              </w:rPr>
            </w:pPr>
            <w:r w:rsidRPr="00C97BE2">
              <w:rPr>
                <w:rFonts w:ascii="Lato" w:hAnsi="Lato"/>
                <w:sz w:val="20"/>
                <w:szCs w:val="20"/>
              </w:rPr>
              <w:t xml:space="preserve">Szlak prowadzi z górnej stacji wyciągu na Kopę do schroniska Dom Śląski, posiada utwardzoną, zabezpieczoną </w:t>
            </w:r>
            <w:proofErr w:type="spellStart"/>
            <w:r w:rsidRPr="00C97BE2">
              <w:rPr>
                <w:rFonts w:ascii="Lato" w:hAnsi="Lato"/>
                <w:sz w:val="20"/>
                <w:szCs w:val="20"/>
              </w:rPr>
              <w:t>geokratą</w:t>
            </w:r>
            <w:proofErr w:type="spellEnd"/>
            <w:r w:rsidRPr="00C97BE2">
              <w:rPr>
                <w:rFonts w:ascii="Lato" w:hAnsi="Lato"/>
                <w:sz w:val="20"/>
                <w:szCs w:val="20"/>
              </w:rPr>
              <w:t xml:space="preserve"> powierzchnię oraz trzypoziomową barierkę, która pozwala na bezpieczne przejście od wyciągu do schroniska osobom z ograniczoną ruchomością oraz na wózkach inwalidzkich. Na ścieżce edukacyjnej </w:t>
            </w:r>
            <w:r w:rsidRPr="00C97BE2">
              <w:rPr>
                <w:rFonts w:ascii="Lato" w:hAnsi="Lato"/>
                <w:sz w:val="20"/>
                <w:szCs w:val="20"/>
              </w:rPr>
              <w:lastRenderedPageBreak/>
              <w:t>rozmieszczono pulpity edukacyjne opowiadające zarówno o geologii i geologicznej historii karkonoskich szczytów jak i roślinności oraz zwierzętach żyjących w Karkonoszach.</w:t>
            </w:r>
          </w:p>
        </w:tc>
      </w:tr>
      <w:tr w:rsidR="00C97BE2" w:rsidRPr="00C97BE2" w14:paraId="082325B3" w14:textId="77777777" w:rsidTr="00D578ED">
        <w:tc>
          <w:tcPr>
            <w:tcW w:w="846" w:type="dxa"/>
          </w:tcPr>
          <w:p w14:paraId="2DE9FC2B"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3.</w:t>
            </w:r>
          </w:p>
        </w:tc>
        <w:tc>
          <w:tcPr>
            <w:tcW w:w="4536" w:type="dxa"/>
          </w:tcPr>
          <w:p w14:paraId="047BC196" w14:textId="77777777" w:rsidR="00C97BE2" w:rsidRPr="00C97BE2" w:rsidRDefault="00C97BE2" w:rsidP="00C97BE2">
            <w:pPr>
              <w:rPr>
                <w:rFonts w:ascii="Lato" w:hAnsi="Lato"/>
                <w:sz w:val="20"/>
                <w:szCs w:val="20"/>
              </w:rPr>
            </w:pPr>
            <w:r w:rsidRPr="00C97BE2">
              <w:rPr>
                <w:rFonts w:ascii="Lato" w:hAnsi="Lato"/>
                <w:sz w:val="20"/>
                <w:szCs w:val="20"/>
              </w:rPr>
              <w:t>Cykl filmów „Klimatyczne Karkonosze”</w:t>
            </w:r>
          </w:p>
        </w:tc>
        <w:tc>
          <w:tcPr>
            <w:tcW w:w="1843" w:type="dxa"/>
          </w:tcPr>
          <w:p w14:paraId="1ABE414E"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0FDC0E74" w14:textId="77777777" w:rsidR="00C97BE2" w:rsidRPr="00C97BE2" w:rsidRDefault="00C97BE2" w:rsidP="00C97BE2">
            <w:pPr>
              <w:rPr>
                <w:rFonts w:ascii="Lato" w:hAnsi="Lato"/>
                <w:sz w:val="20"/>
                <w:szCs w:val="20"/>
              </w:rPr>
            </w:pPr>
            <w:r w:rsidRPr="00C97BE2">
              <w:rPr>
                <w:rFonts w:ascii="Lato" w:hAnsi="Lato"/>
                <w:sz w:val="20"/>
                <w:szCs w:val="20"/>
              </w:rPr>
              <w:t>Cykl krótkich filmów na tematy związane z przyrodą i dziedzictwem kulturowym Karkonoszy (W karkonoskim lesie, Woda w Karkonoszach, Niepylak Apollo, Sóweczka)</w:t>
            </w:r>
          </w:p>
        </w:tc>
      </w:tr>
      <w:tr w:rsidR="00C97BE2" w:rsidRPr="00C97BE2" w14:paraId="25C8B8AC" w14:textId="77777777" w:rsidTr="00D578ED">
        <w:tc>
          <w:tcPr>
            <w:tcW w:w="846" w:type="dxa"/>
          </w:tcPr>
          <w:p w14:paraId="476A0849"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4. </w:t>
            </w:r>
          </w:p>
        </w:tc>
        <w:tc>
          <w:tcPr>
            <w:tcW w:w="4536" w:type="dxa"/>
          </w:tcPr>
          <w:p w14:paraId="49CCC491" w14:textId="77777777" w:rsidR="00C97BE2" w:rsidRPr="00C97BE2" w:rsidRDefault="00C97BE2" w:rsidP="00C97BE2">
            <w:pPr>
              <w:rPr>
                <w:rFonts w:ascii="Lato" w:hAnsi="Lato"/>
                <w:sz w:val="20"/>
                <w:szCs w:val="20"/>
              </w:rPr>
            </w:pPr>
            <w:r w:rsidRPr="00C97BE2">
              <w:rPr>
                <w:rFonts w:ascii="Lato" w:hAnsi="Lato"/>
                <w:sz w:val="20"/>
                <w:szCs w:val="20"/>
              </w:rPr>
              <w:t>Cykl podcastów „Klimatyczne Karkonosze”</w:t>
            </w:r>
          </w:p>
        </w:tc>
        <w:tc>
          <w:tcPr>
            <w:tcW w:w="1843" w:type="dxa"/>
          </w:tcPr>
          <w:p w14:paraId="4F9DC5AB"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72B50689" w14:textId="77777777" w:rsidR="00C97BE2" w:rsidRPr="00C97BE2" w:rsidRDefault="00C97BE2" w:rsidP="00C97BE2">
            <w:pPr>
              <w:rPr>
                <w:rFonts w:ascii="Lato" w:hAnsi="Lato"/>
                <w:sz w:val="20"/>
                <w:szCs w:val="20"/>
              </w:rPr>
            </w:pPr>
            <w:r w:rsidRPr="00C97BE2">
              <w:rPr>
                <w:rFonts w:ascii="Lato" w:hAnsi="Lato"/>
                <w:sz w:val="20"/>
                <w:szCs w:val="20"/>
              </w:rPr>
              <w:t>Cykl krótkich podcastów na tematy związane przyrodą i dziedzictwem kulturowym Karkonoszy (Karkonoski zespół folkowy Szyszak, Kuchnia regionalna w Karkonoszach, Rozmowy o karkonoskiej chacie, 100.urodziny  Szrenicy, W hucie szkła.</w:t>
            </w:r>
          </w:p>
        </w:tc>
      </w:tr>
      <w:tr w:rsidR="00C97BE2" w:rsidRPr="00C97BE2" w14:paraId="5B0F8886" w14:textId="77777777" w:rsidTr="00D578ED">
        <w:tc>
          <w:tcPr>
            <w:tcW w:w="846" w:type="dxa"/>
          </w:tcPr>
          <w:p w14:paraId="20615E8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6.</w:t>
            </w:r>
          </w:p>
        </w:tc>
        <w:tc>
          <w:tcPr>
            <w:tcW w:w="4536" w:type="dxa"/>
          </w:tcPr>
          <w:p w14:paraId="52750650" w14:textId="77777777" w:rsidR="00C97BE2" w:rsidRPr="00C97BE2" w:rsidRDefault="00C97BE2" w:rsidP="00C97BE2">
            <w:pPr>
              <w:rPr>
                <w:rFonts w:ascii="Lato" w:hAnsi="Lato"/>
                <w:sz w:val="20"/>
                <w:szCs w:val="20"/>
              </w:rPr>
            </w:pPr>
            <w:r w:rsidRPr="00C97BE2">
              <w:rPr>
                <w:rFonts w:ascii="Lato" w:hAnsi="Lato"/>
                <w:sz w:val="20"/>
                <w:szCs w:val="20"/>
              </w:rPr>
              <w:t>Piknik „Pod Chojnikiem”</w:t>
            </w:r>
          </w:p>
        </w:tc>
        <w:tc>
          <w:tcPr>
            <w:tcW w:w="1843" w:type="dxa"/>
          </w:tcPr>
          <w:p w14:paraId="6E8002A7" w14:textId="77777777" w:rsidR="00C97BE2" w:rsidRPr="00C97BE2" w:rsidRDefault="00C97BE2" w:rsidP="00C97BE2">
            <w:pPr>
              <w:rPr>
                <w:rFonts w:ascii="Lato" w:hAnsi="Lato"/>
                <w:sz w:val="20"/>
                <w:szCs w:val="20"/>
              </w:rPr>
            </w:pPr>
            <w:r w:rsidRPr="00C97BE2">
              <w:rPr>
                <w:rFonts w:ascii="Lato" w:hAnsi="Lato"/>
                <w:sz w:val="20"/>
                <w:szCs w:val="20"/>
              </w:rPr>
              <w:t>od 2015</w:t>
            </w:r>
          </w:p>
        </w:tc>
        <w:tc>
          <w:tcPr>
            <w:tcW w:w="8163" w:type="dxa"/>
          </w:tcPr>
          <w:p w14:paraId="3FF2A778" w14:textId="77777777" w:rsidR="00C97BE2" w:rsidRPr="00C97BE2" w:rsidRDefault="00C97BE2" w:rsidP="00C97BE2">
            <w:pPr>
              <w:rPr>
                <w:rFonts w:ascii="Lato" w:hAnsi="Lato"/>
                <w:sz w:val="20"/>
                <w:szCs w:val="20"/>
              </w:rPr>
            </w:pPr>
            <w:r w:rsidRPr="00C97BE2">
              <w:rPr>
                <w:rFonts w:ascii="Lato" w:hAnsi="Lato"/>
                <w:sz w:val="20"/>
                <w:szCs w:val="20"/>
              </w:rPr>
              <w:t>Impreza edukacyjna dla mieszkańców Sobieszowa i okolic oraz turystów odwiedzających Karkonoski Park Narodowy.</w:t>
            </w:r>
          </w:p>
        </w:tc>
      </w:tr>
      <w:tr w:rsidR="00C97BE2" w:rsidRPr="00C97BE2" w14:paraId="00E4038F" w14:textId="77777777" w:rsidTr="00D578ED">
        <w:tc>
          <w:tcPr>
            <w:tcW w:w="846" w:type="dxa"/>
          </w:tcPr>
          <w:p w14:paraId="7DF56607"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7. </w:t>
            </w:r>
          </w:p>
        </w:tc>
        <w:tc>
          <w:tcPr>
            <w:tcW w:w="4536" w:type="dxa"/>
          </w:tcPr>
          <w:p w14:paraId="4A580338" w14:textId="77777777" w:rsidR="00C97BE2" w:rsidRPr="00C97BE2" w:rsidRDefault="00C97BE2" w:rsidP="00C97BE2">
            <w:pPr>
              <w:rPr>
                <w:rFonts w:ascii="Lato" w:hAnsi="Lato"/>
                <w:sz w:val="20"/>
                <w:szCs w:val="20"/>
              </w:rPr>
            </w:pPr>
            <w:r w:rsidRPr="00C97BE2">
              <w:rPr>
                <w:rFonts w:ascii="Lato" w:hAnsi="Lato"/>
                <w:sz w:val="20"/>
                <w:szCs w:val="20"/>
              </w:rPr>
              <w:t>Warsztaty „Napraw  - nie wyrzucaj”</w:t>
            </w:r>
          </w:p>
        </w:tc>
        <w:tc>
          <w:tcPr>
            <w:tcW w:w="1843" w:type="dxa"/>
          </w:tcPr>
          <w:p w14:paraId="2D804BBE"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2DE68E0B" w14:textId="77777777" w:rsidR="00C97BE2" w:rsidRPr="00C97BE2" w:rsidRDefault="00C97BE2" w:rsidP="00C97BE2">
            <w:pPr>
              <w:rPr>
                <w:rFonts w:ascii="Lato" w:hAnsi="Lato"/>
                <w:sz w:val="20"/>
                <w:szCs w:val="20"/>
              </w:rPr>
            </w:pPr>
            <w:r w:rsidRPr="00C97BE2">
              <w:rPr>
                <w:rFonts w:ascii="Lato" w:hAnsi="Lato"/>
                <w:sz w:val="20"/>
                <w:szCs w:val="20"/>
              </w:rPr>
              <w:t>Cykl warsztatów stolarskich dla mieszkańców Jeleniej Góry w salach warsztatowych w Centrum Przyrodniczo – Edukacyjnym KPN – Pałac Sobieszów</w:t>
            </w:r>
          </w:p>
        </w:tc>
      </w:tr>
      <w:tr w:rsidR="00C97BE2" w:rsidRPr="00C97BE2" w14:paraId="449ED839" w14:textId="77777777" w:rsidTr="00D578ED">
        <w:tc>
          <w:tcPr>
            <w:tcW w:w="846" w:type="dxa"/>
          </w:tcPr>
          <w:p w14:paraId="466923F8"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8. </w:t>
            </w:r>
          </w:p>
        </w:tc>
        <w:tc>
          <w:tcPr>
            <w:tcW w:w="4536" w:type="dxa"/>
          </w:tcPr>
          <w:p w14:paraId="4A95C294" w14:textId="77777777" w:rsidR="00C97BE2" w:rsidRPr="00C97BE2" w:rsidRDefault="00C97BE2" w:rsidP="00C97BE2">
            <w:pPr>
              <w:rPr>
                <w:rFonts w:ascii="Lato" w:hAnsi="Lato"/>
                <w:sz w:val="20"/>
                <w:szCs w:val="20"/>
              </w:rPr>
            </w:pPr>
            <w:r w:rsidRPr="00C97BE2">
              <w:rPr>
                <w:rFonts w:ascii="Lato" w:hAnsi="Lato"/>
                <w:sz w:val="20"/>
                <w:szCs w:val="20"/>
              </w:rPr>
              <w:t>Warsztaty „Przerób – nie wyrzucaj”</w:t>
            </w:r>
          </w:p>
        </w:tc>
        <w:tc>
          <w:tcPr>
            <w:tcW w:w="1843" w:type="dxa"/>
          </w:tcPr>
          <w:p w14:paraId="6E5672C4"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057DC297" w14:textId="77777777" w:rsidR="00C97BE2" w:rsidRPr="00C97BE2" w:rsidRDefault="00C97BE2" w:rsidP="00C97BE2">
            <w:pPr>
              <w:rPr>
                <w:rFonts w:ascii="Lato" w:hAnsi="Lato"/>
                <w:sz w:val="20"/>
                <w:szCs w:val="20"/>
              </w:rPr>
            </w:pPr>
            <w:r w:rsidRPr="00C97BE2">
              <w:rPr>
                <w:rFonts w:ascii="Lato" w:hAnsi="Lato"/>
                <w:sz w:val="20"/>
                <w:szCs w:val="20"/>
              </w:rPr>
              <w:t>Cykl warsztatów krawieckich dla mieszkańców Jeleniej Góry w salach warsztatowych w Centrum Przyrodniczo – Edukacyjnym KPN – Pałac Sobieszów</w:t>
            </w:r>
          </w:p>
        </w:tc>
      </w:tr>
      <w:tr w:rsidR="00C97BE2" w:rsidRPr="00C97BE2" w14:paraId="2B67E56C" w14:textId="77777777" w:rsidTr="00D578ED">
        <w:tc>
          <w:tcPr>
            <w:tcW w:w="846" w:type="dxa"/>
          </w:tcPr>
          <w:p w14:paraId="1CD9D37B"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9. </w:t>
            </w:r>
          </w:p>
        </w:tc>
        <w:tc>
          <w:tcPr>
            <w:tcW w:w="4536" w:type="dxa"/>
          </w:tcPr>
          <w:p w14:paraId="6B92E82D" w14:textId="77777777" w:rsidR="00C97BE2" w:rsidRPr="00C97BE2" w:rsidRDefault="00C97BE2" w:rsidP="00C97BE2">
            <w:pPr>
              <w:rPr>
                <w:rFonts w:ascii="Lato" w:hAnsi="Lato"/>
                <w:sz w:val="20"/>
                <w:szCs w:val="20"/>
              </w:rPr>
            </w:pPr>
            <w:r w:rsidRPr="00C97BE2">
              <w:rPr>
                <w:rFonts w:ascii="Lato" w:hAnsi="Lato"/>
                <w:sz w:val="20"/>
                <w:szCs w:val="20"/>
              </w:rPr>
              <w:t>Wystawa multimedialna „Karkonosze” w Sali konferencyjnej w Małej Stajni</w:t>
            </w:r>
          </w:p>
        </w:tc>
        <w:tc>
          <w:tcPr>
            <w:tcW w:w="1843" w:type="dxa"/>
          </w:tcPr>
          <w:p w14:paraId="7DE20606"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630E01CC" w14:textId="77777777" w:rsidR="00C97BE2" w:rsidRPr="00C97BE2" w:rsidRDefault="00C97BE2" w:rsidP="00C97BE2">
            <w:pPr>
              <w:rPr>
                <w:rFonts w:ascii="Lato" w:hAnsi="Lato"/>
                <w:sz w:val="20"/>
                <w:szCs w:val="20"/>
              </w:rPr>
            </w:pPr>
            <w:r w:rsidRPr="00C97BE2">
              <w:rPr>
                <w:rFonts w:ascii="Lato" w:hAnsi="Lato"/>
                <w:sz w:val="20"/>
                <w:szCs w:val="20"/>
              </w:rPr>
              <w:t>Film o dziedzictwie przyrodniczym i kulturowym Karkonoszy oraz wydruki w Sali konferencyjnej w Centrum Przyrodniczo – Edukacyjnym KPBN – Pałac Sobieszów ( z dostępem dla osób niepełnosprawnych ruchowo).</w:t>
            </w:r>
          </w:p>
        </w:tc>
      </w:tr>
      <w:tr w:rsidR="00C97BE2" w:rsidRPr="00C97BE2" w14:paraId="03F8C26C" w14:textId="77777777" w:rsidTr="00D578ED">
        <w:tc>
          <w:tcPr>
            <w:tcW w:w="846" w:type="dxa"/>
          </w:tcPr>
          <w:p w14:paraId="4BD932C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10.</w:t>
            </w:r>
          </w:p>
        </w:tc>
        <w:tc>
          <w:tcPr>
            <w:tcW w:w="4536" w:type="dxa"/>
          </w:tcPr>
          <w:p w14:paraId="667EE91E" w14:textId="77777777" w:rsidR="00C97BE2" w:rsidRPr="00C97BE2" w:rsidRDefault="00C97BE2" w:rsidP="00C97BE2">
            <w:pPr>
              <w:rPr>
                <w:rFonts w:ascii="Lato" w:hAnsi="Lato"/>
                <w:sz w:val="20"/>
                <w:szCs w:val="20"/>
              </w:rPr>
            </w:pPr>
            <w:r w:rsidRPr="00C97BE2">
              <w:rPr>
                <w:rFonts w:ascii="Lato" w:hAnsi="Lato"/>
                <w:sz w:val="20"/>
                <w:szCs w:val="20"/>
              </w:rPr>
              <w:t>Zajęcia edukacyjne dla słuchaczy UTW  w Ogrodzie Ducha Gór</w:t>
            </w:r>
          </w:p>
        </w:tc>
        <w:tc>
          <w:tcPr>
            <w:tcW w:w="1843" w:type="dxa"/>
          </w:tcPr>
          <w:p w14:paraId="2DC20D66"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0888D24E" w14:textId="77777777" w:rsidR="00C97BE2" w:rsidRPr="00C97BE2" w:rsidRDefault="00C97BE2" w:rsidP="00C97BE2">
            <w:pPr>
              <w:rPr>
                <w:rFonts w:ascii="Lato" w:hAnsi="Lato"/>
                <w:sz w:val="20"/>
                <w:szCs w:val="20"/>
              </w:rPr>
            </w:pPr>
            <w:r w:rsidRPr="00C97BE2">
              <w:rPr>
                <w:rFonts w:ascii="Lato" w:hAnsi="Lato"/>
                <w:sz w:val="20"/>
                <w:szCs w:val="20"/>
              </w:rPr>
              <w:t xml:space="preserve">Zajęcia terenowe adresowane do słuchaczy UTW „Jeszcze Młodzi „w Szklarskiej Porębie – związane z historią i poznawaniem karkonoskiej  przyrody. </w:t>
            </w:r>
          </w:p>
        </w:tc>
      </w:tr>
      <w:tr w:rsidR="00C97BE2" w:rsidRPr="00C97BE2" w14:paraId="63737DD6" w14:textId="77777777" w:rsidTr="00D578ED">
        <w:tc>
          <w:tcPr>
            <w:tcW w:w="846" w:type="dxa"/>
          </w:tcPr>
          <w:p w14:paraId="794752AB"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11.</w:t>
            </w:r>
          </w:p>
        </w:tc>
        <w:tc>
          <w:tcPr>
            <w:tcW w:w="4536" w:type="dxa"/>
          </w:tcPr>
          <w:p w14:paraId="403B551E" w14:textId="77777777" w:rsidR="00C97BE2" w:rsidRPr="00C97BE2" w:rsidRDefault="00C97BE2" w:rsidP="00C97BE2">
            <w:pPr>
              <w:rPr>
                <w:rFonts w:ascii="Lato" w:hAnsi="Lato"/>
                <w:sz w:val="20"/>
                <w:szCs w:val="20"/>
              </w:rPr>
            </w:pPr>
            <w:r w:rsidRPr="00C97BE2">
              <w:rPr>
                <w:rFonts w:ascii="Lato" w:hAnsi="Lato"/>
                <w:sz w:val="20"/>
                <w:szCs w:val="20"/>
              </w:rPr>
              <w:t>Majówka pod Szrenicą</w:t>
            </w:r>
          </w:p>
        </w:tc>
        <w:tc>
          <w:tcPr>
            <w:tcW w:w="1843" w:type="dxa"/>
          </w:tcPr>
          <w:p w14:paraId="3F3D486C" w14:textId="77777777" w:rsidR="00C97BE2" w:rsidRPr="00C97BE2" w:rsidRDefault="00C97BE2" w:rsidP="00C97BE2">
            <w:pPr>
              <w:rPr>
                <w:rFonts w:ascii="Lato" w:hAnsi="Lato"/>
                <w:sz w:val="20"/>
                <w:szCs w:val="20"/>
              </w:rPr>
            </w:pPr>
            <w:r w:rsidRPr="00C97BE2">
              <w:rPr>
                <w:rFonts w:ascii="Lato" w:hAnsi="Lato"/>
                <w:sz w:val="20"/>
                <w:szCs w:val="20"/>
              </w:rPr>
              <w:t>od 2012</w:t>
            </w:r>
          </w:p>
        </w:tc>
        <w:tc>
          <w:tcPr>
            <w:tcW w:w="8163" w:type="dxa"/>
          </w:tcPr>
          <w:p w14:paraId="2D103FFC" w14:textId="77777777" w:rsidR="00C97BE2" w:rsidRPr="00C97BE2" w:rsidRDefault="00C97BE2" w:rsidP="00C97BE2">
            <w:pPr>
              <w:rPr>
                <w:rFonts w:ascii="Lato" w:hAnsi="Lato"/>
                <w:sz w:val="20"/>
                <w:szCs w:val="20"/>
              </w:rPr>
            </w:pPr>
            <w:r w:rsidRPr="00C97BE2">
              <w:rPr>
                <w:rFonts w:ascii="Lato" w:hAnsi="Lato"/>
                <w:sz w:val="20"/>
                <w:szCs w:val="20"/>
              </w:rPr>
              <w:t>Udział mieszkańców i turystów – także starszych w edukacyjnej  prezentacji plenerowej Karkonoskiego Parku Narodowego ( w tym – prace malarskie słuchaczy UTW)</w:t>
            </w:r>
          </w:p>
        </w:tc>
      </w:tr>
      <w:tr w:rsidR="00C97BE2" w:rsidRPr="00C97BE2" w14:paraId="0A47A1D7" w14:textId="77777777" w:rsidTr="00D578ED">
        <w:trPr>
          <w:trHeight w:val="436"/>
        </w:trPr>
        <w:tc>
          <w:tcPr>
            <w:tcW w:w="846" w:type="dxa"/>
          </w:tcPr>
          <w:p w14:paraId="60AF6C08"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12. </w:t>
            </w:r>
          </w:p>
        </w:tc>
        <w:tc>
          <w:tcPr>
            <w:tcW w:w="4536" w:type="dxa"/>
          </w:tcPr>
          <w:p w14:paraId="44D06152" w14:textId="77777777" w:rsidR="00C97BE2" w:rsidRPr="00C97BE2" w:rsidRDefault="00C97BE2" w:rsidP="00C97BE2">
            <w:pPr>
              <w:rPr>
                <w:rFonts w:ascii="Lato" w:hAnsi="Lato"/>
                <w:sz w:val="20"/>
                <w:szCs w:val="20"/>
              </w:rPr>
            </w:pPr>
            <w:r w:rsidRPr="00C97BE2">
              <w:rPr>
                <w:rFonts w:ascii="Lato" w:hAnsi="Lato"/>
                <w:sz w:val="20"/>
                <w:szCs w:val="20"/>
              </w:rPr>
              <w:t>Spacer jesienny UTW „Jeszcze Młodzi”</w:t>
            </w:r>
          </w:p>
        </w:tc>
        <w:tc>
          <w:tcPr>
            <w:tcW w:w="1843" w:type="dxa"/>
          </w:tcPr>
          <w:p w14:paraId="09326EA5"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6ECB59F9" w14:textId="77777777" w:rsidR="00C97BE2" w:rsidRPr="00C97BE2" w:rsidRDefault="00C97BE2" w:rsidP="00C97BE2">
            <w:pPr>
              <w:rPr>
                <w:rFonts w:ascii="Lato" w:hAnsi="Lato"/>
                <w:sz w:val="20"/>
                <w:szCs w:val="20"/>
              </w:rPr>
            </w:pPr>
            <w:r w:rsidRPr="00C97BE2">
              <w:rPr>
                <w:rFonts w:ascii="Lato" w:hAnsi="Lato"/>
                <w:sz w:val="20"/>
                <w:szCs w:val="20"/>
              </w:rPr>
              <w:t>Przyrodnicza wyprawa zainteresowanych przyrodniczo słuchaczy UTW pod kierunkiem edukatora KPN, połączona z obserwacjami  przyrody, kartami pracy i pogadankami tematycznymi.</w:t>
            </w:r>
          </w:p>
        </w:tc>
      </w:tr>
      <w:tr w:rsidR="00C97BE2" w:rsidRPr="00C97BE2" w14:paraId="7163EE03" w14:textId="77777777" w:rsidTr="00D578ED">
        <w:trPr>
          <w:trHeight w:val="436"/>
        </w:trPr>
        <w:tc>
          <w:tcPr>
            <w:tcW w:w="846" w:type="dxa"/>
          </w:tcPr>
          <w:p w14:paraId="79187CA9"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13. </w:t>
            </w:r>
          </w:p>
        </w:tc>
        <w:tc>
          <w:tcPr>
            <w:tcW w:w="4536" w:type="dxa"/>
          </w:tcPr>
          <w:p w14:paraId="3B734B24" w14:textId="77777777" w:rsidR="00C97BE2" w:rsidRPr="00C97BE2" w:rsidRDefault="00C97BE2" w:rsidP="00C97BE2">
            <w:pPr>
              <w:rPr>
                <w:rFonts w:ascii="Lato" w:hAnsi="Lato"/>
                <w:sz w:val="20"/>
                <w:szCs w:val="20"/>
              </w:rPr>
            </w:pPr>
            <w:r w:rsidRPr="00C97BE2">
              <w:rPr>
                <w:rFonts w:ascii="Lato" w:hAnsi="Lato"/>
                <w:sz w:val="20"/>
                <w:szCs w:val="20"/>
              </w:rPr>
              <w:t>Wystawa  artystów z UTW „Jeszcze Młodzi”</w:t>
            </w:r>
          </w:p>
        </w:tc>
        <w:tc>
          <w:tcPr>
            <w:tcW w:w="1843" w:type="dxa"/>
          </w:tcPr>
          <w:p w14:paraId="511685B5"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68146497" w14:textId="77777777" w:rsidR="00C97BE2" w:rsidRPr="00C97BE2" w:rsidRDefault="00C97BE2" w:rsidP="00C97BE2">
            <w:pPr>
              <w:rPr>
                <w:rFonts w:ascii="Lato" w:hAnsi="Lato"/>
                <w:sz w:val="20"/>
                <w:szCs w:val="20"/>
              </w:rPr>
            </w:pPr>
            <w:r w:rsidRPr="00C97BE2">
              <w:rPr>
                <w:rFonts w:ascii="Lato" w:hAnsi="Lato"/>
                <w:sz w:val="20"/>
                <w:szCs w:val="20"/>
              </w:rPr>
              <w:t>Wystawa prac artystycznych słuchaczy UTW ze Szklarskiej Poręby w Galerii Karkonoskiego Centrum Edukacji Ekologicznej w Szklarskiej Porębie, połączona z konkursem recytatorskim obejmującym literacką twórczość słuchaczy.</w:t>
            </w:r>
          </w:p>
        </w:tc>
      </w:tr>
      <w:tr w:rsidR="00C97BE2" w:rsidRPr="00C97BE2" w14:paraId="088246B1" w14:textId="77777777" w:rsidTr="00D578ED">
        <w:trPr>
          <w:trHeight w:val="436"/>
        </w:trPr>
        <w:tc>
          <w:tcPr>
            <w:tcW w:w="846" w:type="dxa"/>
          </w:tcPr>
          <w:p w14:paraId="21AEDE48"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14.</w:t>
            </w:r>
          </w:p>
        </w:tc>
        <w:tc>
          <w:tcPr>
            <w:tcW w:w="4536" w:type="dxa"/>
          </w:tcPr>
          <w:p w14:paraId="4C9226EE" w14:textId="77777777" w:rsidR="00C97BE2" w:rsidRPr="00C97BE2" w:rsidRDefault="00C97BE2" w:rsidP="00C97BE2">
            <w:pPr>
              <w:rPr>
                <w:rFonts w:ascii="Lato" w:hAnsi="Lato"/>
                <w:sz w:val="20"/>
                <w:szCs w:val="20"/>
              </w:rPr>
            </w:pPr>
            <w:r w:rsidRPr="00C97BE2">
              <w:rPr>
                <w:rFonts w:ascii="Lato" w:hAnsi="Lato"/>
                <w:sz w:val="20"/>
                <w:szCs w:val="20"/>
              </w:rPr>
              <w:t>NASH Festiwal – Festiwal Ludzi Gór</w:t>
            </w:r>
          </w:p>
        </w:tc>
        <w:tc>
          <w:tcPr>
            <w:tcW w:w="1843" w:type="dxa"/>
          </w:tcPr>
          <w:p w14:paraId="1DEC49D6"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0CD95443" w14:textId="77777777" w:rsidR="00C97BE2" w:rsidRPr="00C97BE2" w:rsidRDefault="00C97BE2" w:rsidP="00C97BE2">
            <w:pPr>
              <w:rPr>
                <w:rFonts w:ascii="Lato" w:hAnsi="Lato"/>
                <w:sz w:val="20"/>
                <w:szCs w:val="20"/>
              </w:rPr>
            </w:pPr>
            <w:r w:rsidRPr="00C97BE2">
              <w:rPr>
                <w:rFonts w:ascii="Lato" w:hAnsi="Lato"/>
                <w:sz w:val="20"/>
                <w:szCs w:val="20"/>
              </w:rPr>
              <w:t xml:space="preserve">Cykl spotkań, prelekcji i warsztatów dla lokalnej społeczności, z nawiązaniem do historii regionu, z prezentacją osób </w:t>
            </w:r>
            <w:r w:rsidRPr="00C97BE2">
              <w:rPr>
                <w:rFonts w:ascii="Lato" w:hAnsi="Lato"/>
                <w:sz w:val="20"/>
                <w:szCs w:val="20"/>
              </w:rPr>
              <w:lastRenderedPageBreak/>
              <w:t>tworzących górskie inicjatywy i tradycje w Karkonoszach, ze zwróceniem uwagi na konieczność ochrony wartości przyrodniczych .</w:t>
            </w:r>
          </w:p>
        </w:tc>
      </w:tr>
      <w:tr w:rsidR="00C97BE2" w:rsidRPr="00C97BE2" w14:paraId="154D5C6A" w14:textId="77777777" w:rsidTr="00D578ED">
        <w:trPr>
          <w:trHeight w:val="436"/>
        </w:trPr>
        <w:tc>
          <w:tcPr>
            <w:tcW w:w="846" w:type="dxa"/>
          </w:tcPr>
          <w:p w14:paraId="08DE9832"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15.</w:t>
            </w:r>
          </w:p>
        </w:tc>
        <w:tc>
          <w:tcPr>
            <w:tcW w:w="4536" w:type="dxa"/>
          </w:tcPr>
          <w:p w14:paraId="5E8169DD" w14:textId="77777777" w:rsidR="00C97BE2" w:rsidRPr="00C97BE2" w:rsidRDefault="00C97BE2" w:rsidP="00C97BE2">
            <w:pPr>
              <w:rPr>
                <w:rFonts w:ascii="Lato" w:hAnsi="Lato"/>
                <w:sz w:val="20"/>
                <w:szCs w:val="20"/>
              </w:rPr>
            </w:pPr>
            <w:r w:rsidRPr="00C97BE2">
              <w:rPr>
                <w:rFonts w:ascii="Lato" w:hAnsi="Lato"/>
                <w:sz w:val="20"/>
                <w:szCs w:val="20"/>
              </w:rPr>
              <w:t>Znikające Krajobrazy – przyrodniczy plener artystyczny</w:t>
            </w:r>
          </w:p>
        </w:tc>
        <w:tc>
          <w:tcPr>
            <w:tcW w:w="1843" w:type="dxa"/>
          </w:tcPr>
          <w:p w14:paraId="25C729DD"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649DD04F" w14:textId="77777777" w:rsidR="00C97BE2" w:rsidRPr="00C97BE2" w:rsidRDefault="00C97BE2" w:rsidP="00C97BE2">
            <w:pPr>
              <w:rPr>
                <w:rFonts w:ascii="Lato" w:hAnsi="Lato"/>
                <w:sz w:val="20"/>
                <w:szCs w:val="20"/>
              </w:rPr>
            </w:pPr>
            <w:r w:rsidRPr="00C97BE2">
              <w:rPr>
                <w:rFonts w:ascii="Lato" w:hAnsi="Lato"/>
                <w:sz w:val="20"/>
                <w:szCs w:val="20"/>
              </w:rPr>
              <w:t>Interdyscyplinarny plener artystyczny mający na celu wzmocnienie tożsamości mieszkańców regionu ze szczególnym uwzględnieniem osób starszych ( ich pamięci i doświadczenia). Celem imprezy to ochrona górskiego krajobrazu z upamiętnieniem dziedzictwa kulturowego i artystycznego.</w:t>
            </w:r>
          </w:p>
        </w:tc>
      </w:tr>
      <w:tr w:rsidR="00C97BE2" w:rsidRPr="00C97BE2" w14:paraId="2F69FA8E" w14:textId="77777777" w:rsidTr="00C97BE2">
        <w:tc>
          <w:tcPr>
            <w:tcW w:w="15388" w:type="dxa"/>
            <w:gridSpan w:val="4"/>
            <w:shd w:val="clear" w:color="auto" w:fill="ACB9CA" w:themeFill="text2" w:themeFillTint="66"/>
          </w:tcPr>
          <w:p w14:paraId="53DF0FB2" w14:textId="77777777" w:rsidR="00C97BE2" w:rsidRPr="00C97BE2" w:rsidRDefault="00C97BE2" w:rsidP="00C97BE2">
            <w:pPr>
              <w:jc w:val="center"/>
              <w:rPr>
                <w:rFonts w:ascii="Lato" w:hAnsi="Lato"/>
                <w:b/>
                <w:bCs/>
                <w:sz w:val="20"/>
                <w:szCs w:val="20"/>
              </w:rPr>
            </w:pPr>
            <w:r w:rsidRPr="00C97BE2">
              <w:rPr>
                <w:rFonts w:ascii="Lato" w:hAnsi="Lato"/>
                <w:b/>
                <w:bCs/>
                <w:sz w:val="20"/>
                <w:szCs w:val="20"/>
              </w:rPr>
              <w:t>Magurski Park Narodowy</w:t>
            </w:r>
          </w:p>
        </w:tc>
      </w:tr>
      <w:tr w:rsidR="00C97BE2" w:rsidRPr="00C97BE2" w14:paraId="61F861BC" w14:textId="77777777" w:rsidTr="00D578ED">
        <w:tc>
          <w:tcPr>
            <w:tcW w:w="846" w:type="dxa"/>
            <w:vAlign w:val="center"/>
          </w:tcPr>
          <w:p w14:paraId="0FBDD9BA"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vAlign w:val="center"/>
          </w:tcPr>
          <w:p w14:paraId="01567AA2" w14:textId="77777777" w:rsidR="00C97BE2" w:rsidRPr="00C97BE2" w:rsidRDefault="00C97BE2" w:rsidP="00C97BE2">
            <w:pPr>
              <w:rPr>
                <w:rFonts w:ascii="Lato" w:hAnsi="Lato"/>
                <w:sz w:val="20"/>
                <w:szCs w:val="20"/>
              </w:rPr>
            </w:pPr>
            <w:r w:rsidRPr="00C97BE2">
              <w:rPr>
                <w:rFonts w:ascii="Lato" w:hAnsi="Lato"/>
                <w:sz w:val="20"/>
                <w:szCs w:val="20"/>
              </w:rPr>
              <w:t xml:space="preserve">Zniżka na bilet wstępu na ekspozycję stałą w Ośrodku </w:t>
            </w:r>
            <w:proofErr w:type="spellStart"/>
            <w:r w:rsidRPr="00C97BE2">
              <w:rPr>
                <w:rFonts w:ascii="Lato" w:hAnsi="Lato"/>
                <w:sz w:val="20"/>
                <w:szCs w:val="20"/>
              </w:rPr>
              <w:t>Edukacyjno</w:t>
            </w:r>
            <w:proofErr w:type="spellEnd"/>
            <w:r w:rsidRPr="00C97BE2">
              <w:rPr>
                <w:rFonts w:ascii="Lato" w:hAnsi="Lato"/>
                <w:sz w:val="20"/>
                <w:szCs w:val="20"/>
              </w:rPr>
              <w:t xml:space="preserve"> - Muzealnym</w:t>
            </w:r>
          </w:p>
        </w:tc>
        <w:tc>
          <w:tcPr>
            <w:tcW w:w="1843" w:type="dxa"/>
            <w:vAlign w:val="center"/>
          </w:tcPr>
          <w:p w14:paraId="6DAB45F5" w14:textId="77777777" w:rsidR="00C97BE2" w:rsidRPr="00C97BE2" w:rsidRDefault="00C97BE2" w:rsidP="00C97BE2">
            <w:pPr>
              <w:jc w:val="center"/>
              <w:rPr>
                <w:rFonts w:ascii="Lato" w:hAnsi="Lato"/>
                <w:sz w:val="20"/>
                <w:szCs w:val="20"/>
              </w:rPr>
            </w:pPr>
            <w:r w:rsidRPr="00C97BE2">
              <w:rPr>
                <w:rFonts w:ascii="Lato" w:hAnsi="Lato"/>
                <w:sz w:val="20"/>
                <w:szCs w:val="20"/>
              </w:rPr>
              <w:t>Cały rok</w:t>
            </w:r>
          </w:p>
        </w:tc>
        <w:tc>
          <w:tcPr>
            <w:tcW w:w="8163" w:type="dxa"/>
            <w:vAlign w:val="center"/>
          </w:tcPr>
          <w:p w14:paraId="5EA7AF2E" w14:textId="77777777" w:rsidR="00C97BE2" w:rsidRPr="00C97BE2" w:rsidRDefault="00C97BE2" w:rsidP="00C97BE2">
            <w:pPr>
              <w:pStyle w:val="Default"/>
              <w:rPr>
                <w:rFonts w:ascii="Lato" w:hAnsi="Lato"/>
                <w:sz w:val="20"/>
                <w:szCs w:val="20"/>
              </w:rPr>
            </w:pPr>
            <w:r w:rsidRPr="00C97BE2">
              <w:rPr>
                <w:rFonts w:ascii="Lato" w:hAnsi="Lato" w:cstheme="minorHAnsi"/>
                <w:sz w:val="20"/>
                <w:szCs w:val="20"/>
              </w:rPr>
              <w:t xml:space="preserve">W 2022 r. funkcjonowała zniżka dla seniorów na bilet wstępu do Ośrodka </w:t>
            </w:r>
            <w:proofErr w:type="spellStart"/>
            <w:r w:rsidRPr="00C97BE2">
              <w:rPr>
                <w:rFonts w:ascii="Lato" w:hAnsi="Lato" w:cstheme="minorHAnsi"/>
                <w:sz w:val="20"/>
                <w:szCs w:val="20"/>
              </w:rPr>
              <w:t>Edukacyjno</w:t>
            </w:r>
            <w:proofErr w:type="spellEnd"/>
            <w:r w:rsidRPr="00C97BE2">
              <w:rPr>
                <w:rFonts w:ascii="Lato" w:hAnsi="Lato" w:cstheme="minorHAnsi"/>
                <w:sz w:val="20"/>
                <w:szCs w:val="20"/>
              </w:rPr>
              <w:t xml:space="preserve">– Muzealnego MPN w Krempnej. Miała ona zachęcić osoby starsze do skorzystania z oferty edukacyjnej Parku oraz zapoznania się z wystawą przyrodniczą. </w:t>
            </w:r>
          </w:p>
        </w:tc>
      </w:tr>
      <w:tr w:rsidR="00C97BE2" w:rsidRPr="00C97BE2" w14:paraId="3D417455" w14:textId="77777777" w:rsidTr="00D578ED">
        <w:tc>
          <w:tcPr>
            <w:tcW w:w="846" w:type="dxa"/>
            <w:vAlign w:val="center"/>
          </w:tcPr>
          <w:p w14:paraId="10CA43F7"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vAlign w:val="center"/>
          </w:tcPr>
          <w:p w14:paraId="3A9E05F7" w14:textId="77777777" w:rsidR="00C97BE2" w:rsidRPr="00C97BE2" w:rsidRDefault="00C97BE2" w:rsidP="00C97BE2">
            <w:pPr>
              <w:rPr>
                <w:rFonts w:ascii="Lato" w:hAnsi="Lato"/>
                <w:sz w:val="20"/>
                <w:szCs w:val="20"/>
              </w:rPr>
            </w:pPr>
            <w:r w:rsidRPr="00C97BE2">
              <w:rPr>
                <w:rFonts w:ascii="Lato" w:hAnsi="Lato"/>
                <w:sz w:val="20"/>
                <w:szCs w:val="20"/>
              </w:rPr>
              <w:t>Wolontariat</w:t>
            </w:r>
          </w:p>
        </w:tc>
        <w:tc>
          <w:tcPr>
            <w:tcW w:w="1843" w:type="dxa"/>
            <w:vAlign w:val="center"/>
          </w:tcPr>
          <w:p w14:paraId="5B57A726" w14:textId="77777777" w:rsidR="00C97BE2" w:rsidRPr="00C97BE2" w:rsidRDefault="00C97BE2" w:rsidP="00C97BE2">
            <w:pPr>
              <w:jc w:val="center"/>
              <w:rPr>
                <w:rFonts w:ascii="Lato" w:hAnsi="Lato"/>
                <w:sz w:val="20"/>
                <w:szCs w:val="20"/>
              </w:rPr>
            </w:pPr>
            <w:r w:rsidRPr="00C97BE2">
              <w:rPr>
                <w:rFonts w:ascii="Lato" w:hAnsi="Lato"/>
                <w:sz w:val="20"/>
                <w:szCs w:val="20"/>
              </w:rPr>
              <w:t>Cały rok / od 2007</w:t>
            </w:r>
          </w:p>
        </w:tc>
        <w:tc>
          <w:tcPr>
            <w:tcW w:w="8163" w:type="dxa"/>
            <w:vAlign w:val="center"/>
          </w:tcPr>
          <w:p w14:paraId="4CB45584" w14:textId="77777777" w:rsidR="00C97BE2" w:rsidRPr="00C97BE2" w:rsidRDefault="00C97BE2" w:rsidP="00C97BE2">
            <w:pPr>
              <w:rPr>
                <w:rFonts w:ascii="Lato" w:hAnsi="Lato"/>
                <w:sz w:val="20"/>
                <w:szCs w:val="20"/>
              </w:rPr>
            </w:pPr>
            <w:r w:rsidRPr="00C97BE2">
              <w:rPr>
                <w:rFonts w:ascii="Lato" w:hAnsi="Lato"/>
                <w:sz w:val="20"/>
                <w:szCs w:val="20"/>
              </w:rPr>
              <w:t>W 2022 r. realizowany był cykliczny program wolontariatu, w którym biorą udział także seniorzy.</w:t>
            </w:r>
          </w:p>
        </w:tc>
      </w:tr>
      <w:tr w:rsidR="00C97BE2" w:rsidRPr="00C97BE2" w14:paraId="0AF0AE00" w14:textId="77777777" w:rsidTr="00D578ED">
        <w:tc>
          <w:tcPr>
            <w:tcW w:w="846" w:type="dxa"/>
            <w:vAlign w:val="center"/>
          </w:tcPr>
          <w:p w14:paraId="1318B062"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vAlign w:val="center"/>
          </w:tcPr>
          <w:p w14:paraId="3533485D" w14:textId="77777777" w:rsidR="00C97BE2" w:rsidRPr="00C97BE2" w:rsidRDefault="00C97BE2" w:rsidP="00C97BE2">
            <w:pPr>
              <w:rPr>
                <w:rFonts w:ascii="Lato" w:hAnsi="Lato"/>
                <w:sz w:val="20"/>
                <w:szCs w:val="20"/>
              </w:rPr>
            </w:pPr>
            <w:r w:rsidRPr="00C97BE2">
              <w:rPr>
                <w:rFonts w:ascii="Lato" w:hAnsi="Lato"/>
                <w:sz w:val="20"/>
                <w:szCs w:val="20"/>
              </w:rPr>
              <w:t>Czasopismo „Magura”</w:t>
            </w:r>
          </w:p>
        </w:tc>
        <w:tc>
          <w:tcPr>
            <w:tcW w:w="1843" w:type="dxa"/>
            <w:vAlign w:val="center"/>
          </w:tcPr>
          <w:p w14:paraId="0B6BEA6F" w14:textId="77777777" w:rsidR="00C97BE2" w:rsidRPr="00C97BE2" w:rsidRDefault="00C97BE2" w:rsidP="00C97BE2">
            <w:pPr>
              <w:jc w:val="center"/>
              <w:rPr>
                <w:rFonts w:ascii="Lato" w:hAnsi="Lato"/>
                <w:sz w:val="20"/>
                <w:szCs w:val="20"/>
              </w:rPr>
            </w:pPr>
            <w:r w:rsidRPr="00C97BE2">
              <w:rPr>
                <w:rFonts w:ascii="Lato" w:hAnsi="Lato"/>
                <w:sz w:val="20"/>
                <w:szCs w:val="20"/>
              </w:rPr>
              <w:t>4 x rok</w:t>
            </w:r>
          </w:p>
        </w:tc>
        <w:tc>
          <w:tcPr>
            <w:tcW w:w="8163" w:type="dxa"/>
            <w:vAlign w:val="center"/>
          </w:tcPr>
          <w:p w14:paraId="460D6536" w14:textId="77777777" w:rsidR="00C97BE2" w:rsidRPr="00C97BE2" w:rsidRDefault="00C97BE2" w:rsidP="00C97BE2">
            <w:pPr>
              <w:rPr>
                <w:rFonts w:ascii="Lato" w:hAnsi="Lato"/>
                <w:sz w:val="20"/>
                <w:szCs w:val="20"/>
              </w:rPr>
            </w:pPr>
            <w:r w:rsidRPr="00C97BE2">
              <w:rPr>
                <w:rFonts w:ascii="Lato" w:hAnsi="Lato"/>
                <w:sz w:val="20"/>
                <w:szCs w:val="20"/>
              </w:rPr>
              <w:t>Kwartalnik „Magura” wydawany przez Magurski Park Narodowy dociera głównie do mieszkańców siedmiu gmin, na terenie których położony jest MPN. Jest on chętnie czytany przez seniorów, dla których papierowe wydanie jest bardziej dostępne niż cyfrowe.</w:t>
            </w:r>
          </w:p>
        </w:tc>
      </w:tr>
      <w:tr w:rsidR="00C97BE2" w:rsidRPr="00C97BE2" w14:paraId="637A86E9" w14:textId="77777777" w:rsidTr="00D578ED">
        <w:tc>
          <w:tcPr>
            <w:tcW w:w="846" w:type="dxa"/>
            <w:vAlign w:val="center"/>
          </w:tcPr>
          <w:p w14:paraId="4E4FE042" w14:textId="77777777" w:rsidR="00C97BE2" w:rsidRPr="00C97BE2" w:rsidRDefault="00C97BE2" w:rsidP="00C97BE2">
            <w:pPr>
              <w:jc w:val="center"/>
              <w:rPr>
                <w:rFonts w:ascii="Lato" w:hAnsi="Lato"/>
                <w:b/>
                <w:bCs/>
                <w:sz w:val="20"/>
                <w:szCs w:val="20"/>
              </w:rPr>
            </w:pPr>
            <w:r w:rsidRPr="00C97BE2">
              <w:rPr>
                <w:rFonts w:ascii="Lato" w:hAnsi="Lato"/>
                <w:b/>
                <w:bCs/>
                <w:sz w:val="20"/>
                <w:szCs w:val="20"/>
              </w:rPr>
              <w:t>4.</w:t>
            </w:r>
          </w:p>
        </w:tc>
        <w:tc>
          <w:tcPr>
            <w:tcW w:w="4536" w:type="dxa"/>
            <w:vAlign w:val="center"/>
          </w:tcPr>
          <w:p w14:paraId="695B2EE6" w14:textId="77777777" w:rsidR="00C97BE2" w:rsidRPr="00C97BE2" w:rsidRDefault="00C97BE2" w:rsidP="00C97BE2">
            <w:pPr>
              <w:rPr>
                <w:rFonts w:ascii="Lato" w:hAnsi="Lato"/>
                <w:sz w:val="20"/>
                <w:szCs w:val="20"/>
              </w:rPr>
            </w:pPr>
            <w:r w:rsidRPr="00C97BE2">
              <w:rPr>
                <w:rFonts w:ascii="Lato" w:hAnsi="Lato"/>
                <w:sz w:val="20"/>
                <w:szCs w:val="20"/>
              </w:rPr>
              <w:t>Remont infrastruktury turystycznej</w:t>
            </w:r>
          </w:p>
        </w:tc>
        <w:tc>
          <w:tcPr>
            <w:tcW w:w="1843" w:type="dxa"/>
            <w:vAlign w:val="center"/>
          </w:tcPr>
          <w:p w14:paraId="6A230F1C" w14:textId="77777777" w:rsidR="00C97BE2" w:rsidRPr="00C97BE2" w:rsidRDefault="00C97BE2" w:rsidP="00C97BE2">
            <w:pPr>
              <w:jc w:val="center"/>
              <w:rPr>
                <w:rFonts w:ascii="Lato" w:hAnsi="Lato"/>
                <w:sz w:val="20"/>
                <w:szCs w:val="20"/>
              </w:rPr>
            </w:pPr>
            <w:r w:rsidRPr="00C97BE2">
              <w:rPr>
                <w:rFonts w:ascii="Lato" w:hAnsi="Lato"/>
                <w:sz w:val="20"/>
                <w:szCs w:val="20"/>
              </w:rPr>
              <w:t>I półrocze 2022</w:t>
            </w:r>
          </w:p>
        </w:tc>
        <w:tc>
          <w:tcPr>
            <w:tcW w:w="8163" w:type="dxa"/>
            <w:vAlign w:val="center"/>
          </w:tcPr>
          <w:p w14:paraId="5E07920B" w14:textId="77777777" w:rsidR="00C97BE2" w:rsidRPr="00C97BE2" w:rsidRDefault="00C97BE2" w:rsidP="00C97BE2">
            <w:pPr>
              <w:rPr>
                <w:rFonts w:ascii="Lato" w:hAnsi="Lato"/>
                <w:sz w:val="20"/>
                <w:szCs w:val="20"/>
              </w:rPr>
            </w:pPr>
            <w:r w:rsidRPr="00C97BE2">
              <w:rPr>
                <w:rFonts w:ascii="Lato" w:hAnsi="Lato"/>
                <w:sz w:val="20"/>
                <w:szCs w:val="20"/>
              </w:rPr>
              <w:t>Wymiana bariery zabezpieczającej przy trasie rowerowej Folusz – Świątkowa, barierka przy schodach na ścieżce przyrodniczej Folusz. Dla zapewnienia bezpieczeństwa i komfortu poruszania się osób starszych</w:t>
            </w:r>
          </w:p>
        </w:tc>
      </w:tr>
      <w:tr w:rsidR="00C97BE2" w:rsidRPr="00C97BE2" w14:paraId="4D735A8D" w14:textId="77777777" w:rsidTr="00D578ED">
        <w:tc>
          <w:tcPr>
            <w:tcW w:w="846" w:type="dxa"/>
            <w:vAlign w:val="center"/>
          </w:tcPr>
          <w:p w14:paraId="6E968D75" w14:textId="77777777" w:rsidR="00C97BE2" w:rsidRPr="00C97BE2" w:rsidRDefault="00C97BE2" w:rsidP="00C97BE2">
            <w:pPr>
              <w:jc w:val="center"/>
              <w:rPr>
                <w:rFonts w:ascii="Lato" w:hAnsi="Lato"/>
                <w:b/>
                <w:bCs/>
                <w:sz w:val="20"/>
                <w:szCs w:val="20"/>
              </w:rPr>
            </w:pPr>
            <w:r w:rsidRPr="00C97BE2">
              <w:rPr>
                <w:rFonts w:ascii="Lato" w:hAnsi="Lato"/>
                <w:b/>
                <w:bCs/>
                <w:sz w:val="20"/>
                <w:szCs w:val="20"/>
              </w:rPr>
              <w:t>5.</w:t>
            </w:r>
          </w:p>
        </w:tc>
        <w:tc>
          <w:tcPr>
            <w:tcW w:w="4536" w:type="dxa"/>
            <w:vAlign w:val="center"/>
          </w:tcPr>
          <w:p w14:paraId="20BDA22A" w14:textId="77777777" w:rsidR="00C97BE2" w:rsidRPr="00C97BE2" w:rsidRDefault="00C97BE2" w:rsidP="00C97BE2">
            <w:pPr>
              <w:rPr>
                <w:rFonts w:ascii="Lato" w:hAnsi="Lato"/>
                <w:sz w:val="20"/>
                <w:szCs w:val="20"/>
              </w:rPr>
            </w:pPr>
            <w:r w:rsidRPr="00C97BE2">
              <w:rPr>
                <w:rFonts w:ascii="Lato" w:hAnsi="Lato"/>
                <w:sz w:val="20"/>
                <w:szCs w:val="20"/>
              </w:rPr>
              <w:t>Uzupełnienie infrastruktury turystycznej</w:t>
            </w:r>
          </w:p>
        </w:tc>
        <w:tc>
          <w:tcPr>
            <w:tcW w:w="1843" w:type="dxa"/>
            <w:vAlign w:val="center"/>
          </w:tcPr>
          <w:p w14:paraId="2602E506" w14:textId="77777777" w:rsidR="00C97BE2" w:rsidRPr="00C97BE2" w:rsidRDefault="00C97BE2" w:rsidP="00C97BE2">
            <w:pPr>
              <w:jc w:val="center"/>
              <w:rPr>
                <w:rFonts w:ascii="Lato" w:hAnsi="Lato"/>
                <w:sz w:val="20"/>
                <w:szCs w:val="20"/>
              </w:rPr>
            </w:pPr>
            <w:r w:rsidRPr="00C97BE2">
              <w:rPr>
                <w:rFonts w:ascii="Lato" w:hAnsi="Lato"/>
                <w:sz w:val="20"/>
                <w:szCs w:val="20"/>
              </w:rPr>
              <w:t>I półrocze 2022</w:t>
            </w:r>
          </w:p>
        </w:tc>
        <w:tc>
          <w:tcPr>
            <w:tcW w:w="8163" w:type="dxa"/>
            <w:vAlign w:val="center"/>
          </w:tcPr>
          <w:p w14:paraId="5818E0C2" w14:textId="77777777" w:rsidR="00C97BE2" w:rsidRPr="00C97BE2" w:rsidRDefault="00C97BE2" w:rsidP="00C97BE2">
            <w:pPr>
              <w:rPr>
                <w:rFonts w:ascii="Lato" w:hAnsi="Lato"/>
                <w:sz w:val="20"/>
                <w:szCs w:val="20"/>
              </w:rPr>
            </w:pPr>
            <w:r w:rsidRPr="00C97BE2">
              <w:rPr>
                <w:rFonts w:ascii="Lato" w:hAnsi="Lato"/>
                <w:sz w:val="20"/>
                <w:szCs w:val="20"/>
              </w:rPr>
              <w:t xml:space="preserve">Wykonanie i montaż </w:t>
            </w:r>
            <w:proofErr w:type="spellStart"/>
            <w:r w:rsidRPr="00C97BE2">
              <w:rPr>
                <w:rFonts w:ascii="Lato" w:hAnsi="Lato"/>
                <w:sz w:val="20"/>
                <w:szCs w:val="20"/>
              </w:rPr>
              <w:t>ławostołów</w:t>
            </w:r>
            <w:proofErr w:type="spellEnd"/>
            <w:r w:rsidRPr="00C97BE2">
              <w:rPr>
                <w:rFonts w:ascii="Lato" w:hAnsi="Lato"/>
                <w:sz w:val="20"/>
                <w:szCs w:val="20"/>
              </w:rPr>
              <w:t xml:space="preserve"> przy szlakach, umożliwia dogodny odpoczynek podczas wędrówek osób starszych po Magurskim Parku Narodowym</w:t>
            </w:r>
          </w:p>
        </w:tc>
      </w:tr>
      <w:tr w:rsidR="00C97BE2" w:rsidRPr="00C97BE2" w14:paraId="6918C037" w14:textId="77777777" w:rsidTr="00D578ED">
        <w:tc>
          <w:tcPr>
            <w:tcW w:w="846" w:type="dxa"/>
            <w:vAlign w:val="center"/>
          </w:tcPr>
          <w:p w14:paraId="5D65B886" w14:textId="77777777" w:rsidR="00C97BE2" w:rsidRPr="00C97BE2" w:rsidRDefault="00C97BE2" w:rsidP="00C97BE2">
            <w:pPr>
              <w:jc w:val="center"/>
              <w:rPr>
                <w:rFonts w:ascii="Lato" w:hAnsi="Lato"/>
                <w:b/>
                <w:bCs/>
                <w:sz w:val="20"/>
                <w:szCs w:val="20"/>
              </w:rPr>
            </w:pPr>
            <w:r w:rsidRPr="00C97BE2">
              <w:rPr>
                <w:rFonts w:ascii="Lato" w:hAnsi="Lato"/>
                <w:b/>
                <w:bCs/>
                <w:sz w:val="20"/>
                <w:szCs w:val="20"/>
              </w:rPr>
              <w:t>6.</w:t>
            </w:r>
          </w:p>
        </w:tc>
        <w:tc>
          <w:tcPr>
            <w:tcW w:w="4536" w:type="dxa"/>
            <w:vAlign w:val="center"/>
          </w:tcPr>
          <w:p w14:paraId="2264DCB3" w14:textId="77777777" w:rsidR="00C97BE2" w:rsidRPr="00C97BE2" w:rsidRDefault="00C97BE2" w:rsidP="00C97BE2">
            <w:pPr>
              <w:rPr>
                <w:rFonts w:ascii="Lato" w:hAnsi="Lato"/>
                <w:sz w:val="20"/>
                <w:szCs w:val="20"/>
              </w:rPr>
            </w:pPr>
            <w:r w:rsidRPr="00C97BE2">
              <w:rPr>
                <w:rFonts w:ascii="Lato" w:hAnsi="Lato"/>
                <w:sz w:val="20"/>
                <w:szCs w:val="20"/>
              </w:rPr>
              <w:t>Remont osłon sanitariatów</w:t>
            </w:r>
          </w:p>
        </w:tc>
        <w:tc>
          <w:tcPr>
            <w:tcW w:w="1843" w:type="dxa"/>
            <w:vAlign w:val="center"/>
          </w:tcPr>
          <w:p w14:paraId="127387B6" w14:textId="77777777" w:rsidR="00C97BE2" w:rsidRPr="00C97BE2" w:rsidRDefault="00C97BE2" w:rsidP="00C97BE2">
            <w:pPr>
              <w:jc w:val="center"/>
              <w:rPr>
                <w:rFonts w:ascii="Lato" w:hAnsi="Lato"/>
                <w:sz w:val="20"/>
                <w:szCs w:val="20"/>
              </w:rPr>
            </w:pPr>
            <w:r w:rsidRPr="00C97BE2">
              <w:rPr>
                <w:rFonts w:ascii="Lato" w:hAnsi="Lato"/>
                <w:sz w:val="20"/>
                <w:szCs w:val="20"/>
              </w:rPr>
              <w:t>I półrocze 2022</w:t>
            </w:r>
          </w:p>
        </w:tc>
        <w:tc>
          <w:tcPr>
            <w:tcW w:w="8163" w:type="dxa"/>
            <w:vAlign w:val="center"/>
          </w:tcPr>
          <w:p w14:paraId="752A0BEF" w14:textId="77777777" w:rsidR="00C97BE2" w:rsidRPr="00C97BE2" w:rsidRDefault="00C97BE2" w:rsidP="00C97BE2">
            <w:pPr>
              <w:rPr>
                <w:rFonts w:ascii="Lato" w:hAnsi="Lato"/>
                <w:sz w:val="20"/>
                <w:szCs w:val="20"/>
              </w:rPr>
            </w:pPr>
            <w:r w:rsidRPr="00C97BE2">
              <w:rPr>
                <w:rFonts w:ascii="Lato" w:hAnsi="Lato"/>
                <w:sz w:val="20"/>
                <w:szCs w:val="20"/>
              </w:rPr>
              <w:t>Wykonanie nowych osłon sanitariatów przy miejscach do palenia ognisk i dziennego wypoczynku w Foluszu</w:t>
            </w:r>
          </w:p>
        </w:tc>
      </w:tr>
      <w:tr w:rsidR="00C97BE2" w:rsidRPr="00C97BE2" w14:paraId="3E1F5E02" w14:textId="77777777" w:rsidTr="00D578ED">
        <w:tc>
          <w:tcPr>
            <w:tcW w:w="846" w:type="dxa"/>
            <w:vAlign w:val="center"/>
          </w:tcPr>
          <w:p w14:paraId="7592E980" w14:textId="77777777" w:rsidR="00C97BE2" w:rsidRPr="00C97BE2" w:rsidRDefault="00C97BE2" w:rsidP="00C97BE2">
            <w:pPr>
              <w:jc w:val="center"/>
              <w:rPr>
                <w:rFonts w:ascii="Lato" w:hAnsi="Lato"/>
                <w:b/>
                <w:bCs/>
                <w:sz w:val="20"/>
                <w:szCs w:val="20"/>
              </w:rPr>
            </w:pPr>
            <w:r w:rsidRPr="00C97BE2">
              <w:rPr>
                <w:rFonts w:ascii="Lato" w:hAnsi="Lato"/>
                <w:b/>
                <w:bCs/>
                <w:sz w:val="20"/>
                <w:szCs w:val="20"/>
              </w:rPr>
              <w:t>7.</w:t>
            </w:r>
          </w:p>
        </w:tc>
        <w:tc>
          <w:tcPr>
            <w:tcW w:w="4536" w:type="dxa"/>
            <w:vAlign w:val="center"/>
          </w:tcPr>
          <w:p w14:paraId="2014C671" w14:textId="77777777" w:rsidR="00C97BE2" w:rsidRPr="00C97BE2" w:rsidRDefault="00C97BE2" w:rsidP="00C97BE2">
            <w:pPr>
              <w:rPr>
                <w:rFonts w:ascii="Lato" w:hAnsi="Lato"/>
                <w:sz w:val="20"/>
                <w:szCs w:val="20"/>
              </w:rPr>
            </w:pPr>
            <w:r w:rsidRPr="00C97BE2">
              <w:rPr>
                <w:rFonts w:ascii="Lato" w:hAnsi="Lato"/>
                <w:sz w:val="20"/>
                <w:szCs w:val="20"/>
              </w:rPr>
              <w:t>Remont nawierzchni trasy rowerowej „Nieznajowa” 2,3 km</w:t>
            </w:r>
          </w:p>
        </w:tc>
        <w:tc>
          <w:tcPr>
            <w:tcW w:w="1843" w:type="dxa"/>
            <w:vAlign w:val="center"/>
          </w:tcPr>
          <w:p w14:paraId="580DA91A" w14:textId="77777777" w:rsidR="00C97BE2" w:rsidRPr="00C97BE2" w:rsidRDefault="00C97BE2" w:rsidP="00C97BE2">
            <w:pPr>
              <w:jc w:val="center"/>
              <w:rPr>
                <w:rFonts w:ascii="Lato" w:hAnsi="Lato"/>
                <w:sz w:val="20"/>
                <w:szCs w:val="20"/>
              </w:rPr>
            </w:pPr>
            <w:r w:rsidRPr="00C97BE2">
              <w:rPr>
                <w:rFonts w:ascii="Lato" w:hAnsi="Lato"/>
                <w:sz w:val="20"/>
                <w:szCs w:val="20"/>
              </w:rPr>
              <w:t>II półrocze 2022</w:t>
            </w:r>
          </w:p>
        </w:tc>
        <w:tc>
          <w:tcPr>
            <w:tcW w:w="8163" w:type="dxa"/>
            <w:vAlign w:val="center"/>
          </w:tcPr>
          <w:p w14:paraId="1F1D324C" w14:textId="77777777" w:rsidR="00C97BE2" w:rsidRPr="00C97BE2" w:rsidRDefault="00C97BE2" w:rsidP="00C97BE2">
            <w:pPr>
              <w:rPr>
                <w:rFonts w:ascii="Lato" w:hAnsi="Lato"/>
                <w:sz w:val="20"/>
                <w:szCs w:val="20"/>
              </w:rPr>
            </w:pPr>
            <w:r w:rsidRPr="00C97BE2">
              <w:rPr>
                <w:rFonts w:ascii="Lato" w:hAnsi="Lato"/>
                <w:sz w:val="20"/>
                <w:szCs w:val="20"/>
              </w:rPr>
              <w:t>Remont szlaku rowerowego łącznikowego w dolinie Nieznajowej. Wyremontowana tras jest także udostępniona dla ruchu pieszego. Teren bardzo łatwy do poruszania się dla osób starszych i osób niepełnosprawnych korzystających z wózków inwalidzkich.</w:t>
            </w:r>
          </w:p>
        </w:tc>
      </w:tr>
      <w:tr w:rsidR="00C97BE2" w:rsidRPr="00C97BE2" w14:paraId="51420000" w14:textId="77777777" w:rsidTr="00D578ED">
        <w:tc>
          <w:tcPr>
            <w:tcW w:w="846" w:type="dxa"/>
            <w:vAlign w:val="center"/>
          </w:tcPr>
          <w:p w14:paraId="546648B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8.</w:t>
            </w:r>
          </w:p>
        </w:tc>
        <w:tc>
          <w:tcPr>
            <w:tcW w:w="4536" w:type="dxa"/>
            <w:vAlign w:val="center"/>
          </w:tcPr>
          <w:p w14:paraId="73018EF1" w14:textId="77777777" w:rsidR="00C97BE2" w:rsidRPr="00C97BE2" w:rsidRDefault="00C97BE2" w:rsidP="00C97BE2">
            <w:pPr>
              <w:rPr>
                <w:rFonts w:ascii="Lato" w:hAnsi="Lato"/>
                <w:sz w:val="20"/>
                <w:szCs w:val="20"/>
              </w:rPr>
            </w:pPr>
            <w:r w:rsidRPr="00C97BE2">
              <w:rPr>
                <w:rFonts w:ascii="Lato" w:hAnsi="Lato"/>
                <w:sz w:val="20"/>
                <w:szCs w:val="20"/>
              </w:rPr>
              <w:t>Parking na Foluszu</w:t>
            </w:r>
          </w:p>
        </w:tc>
        <w:tc>
          <w:tcPr>
            <w:tcW w:w="1843" w:type="dxa"/>
            <w:vAlign w:val="center"/>
          </w:tcPr>
          <w:p w14:paraId="1DD59F4D" w14:textId="77777777" w:rsidR="00C97BE2" w:rsidRPr="00C97BE2" w:rsidRDefault="00C97BE2" w:rsidP="00C97BE2">
            <w:pPr>
              <w:jc w:val="center"/>
              <w:rPr>
                <w:rFonts w:ascii="Lato" w:hAnsi="Lato"/>
                <w:sz w:val="20"/>
                <w:szCs w:val="20"/>
              </w:rPr>
            </w:pPr>
            <w:r w:rsidRPr="00C97BE2">
              <w:rPr>
                <w:rFonts w:ascii="Lato" w:hAnsi="Lato"/>
                <w:sz w:val="20"/>
                <w:szCs w:val="20"/>
              </w:rPr>
              <w:t>II półrocze 2022</w:t>
            </w:r>
          </w:p>
        </w:tc>
        <w:tc>
          <w:tcPr>
            <w:tcW w:w="8163" w:type="dxa"/>
            <w:vAlign w:val="center"/>
          </w:tcPr>
          <w:p w14:paraId="274D083E" w14:textId="77777777" w:rsidR="00C97BE2" w:rsidRPr="00C97BE2" w:rsidRDefault="00C97BE2" w:rsidP="00C97BE2">
            <w:pPr>
              <w:rPr>
                <w:rFonts w:ascii="Lato" w:hAnsi="Lato"/>
                <w:sz w:val="20"/>
                <w:szCs w:val="20"/>
              </w:rPr>
            </w:pPr>
            <w:r w:rsidRPr="00C97BE2">
              <w:rPr>
                <w:rFonts w:ascii="Lato" w:hAnsi="Lato"/>
                <w:sz w:val="20"/>
                <w:szCs w:val="20"/>
              </w:rPr>
              <w:t>Przebudowa i powiększenie parkingu przy ścieżce przyrodniczej Folusz. Dotychczasowy parking był przeznaczony tylko dla9 pojazdów po przebudowie liczba miejsc parkingowych została zwiększyła do 25 pojazdów w tym 2 miejsca postojowe dla osób niepełnosprawnych</w:t>
            </w:r>
          </w:p>
        </w:tc>
      </w:tr>
      <w:tr w:rsidR="00C97BE2" w:rsidRPr="00C97BE2" w14:paraId="72E293B0" w14:textId="77777777" w:rsidTr="00D578ED">
        <w:tc>
          <w:tcPr>
            <w:tcW w:w="846" w:type="dxa"/>
            <w:vAlign w:val="center"/>
          </w:tcPr>
          <w:p w14:paraId="6C06D2CB"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9.</w:t>
            </w:r>
          </w:p>
        </w:tc>
        <w:tc>
          <w:tcPr>
            <w:tcW w:w="4536" w:type="dxa"/>
            <w:vAlign w:val="center"/>
          </w:tcPr>
          <w:p w14:paraId="5CD1AAEF" w14:textId="77777777" w:rsidR="00C97BE2" w:rsidRPr="00C97BE2" w:rsidRDefault="00C97BE2" w:rsidP="00C97BE2">
            <w:pPr>
              <w:rPr>
                <w:rFonts w:ascii="Lato" w:hAnsi="Lato"/>
                <w:sz w:val="20"/>
                <w:szCs w:val="20"/>
              </w:rPr>
            </w:pPr>
            <w:r w:rsidRPr="00C97BE2">
              <w:rPr>
                <w:rFonts w:ascii="Lato" w:hAnsi="Lato"/>
                <w:sz w:val="20"/>
                <w:szCs w:val="20"/>
              </w:rPr>
              <w:t>Remont infrastruktury na ścieżce Świerzowa Ruska i Folusz</w:t>
            </w:r>
          </w:p>
        </w:tc>
        <w:tc>
          <w:tcPr>
            <w:tcW w:w="1843" w:type="dxa"/>
            <w:vAlign w:val="center"/>
          </w:tcPr>
          <w:p w14:paraId="72976FF5" w14:textId="77777777" w:rsidR="00C97BE2" w:rsidRPr="00C97BE2" w:rsidRDefault="00C97BE2" w:rsidP="00C97BE2">
            <w:pPr>
              <w:jc w:val="center"/>
              <w:rPr>
                <w:rFonts w:ascii="Lato" w:hAnsi="Lato"/>
                <w:sz w:val="20"/>
                <w:szCs w:val="20"/>
              </w:rPr>
            </w:pPr>
            <w:r w:rsidRPr="00C97BE2">
              <w:rPr>
                <w:rFonts w:ascii="Lato" w:hAnsi="Lato"/>
                <w:sz w:val="20"/>
                <w:szCs w:val="20"/>
              </w:rPr>
              <w:t>II półrocze 2022</w:t>
            </w:r>
          </w:p>
        </w:tc>
        <w:tc>
          <w:tcPr>
            <w:tcW w:w="8163" w:type="dxa"/>
            <w:vAlign w:val="center"/>
          </w:tcPr>
          <w:p w14:paraId="36AF01BD" w14:textId="77777777" w:rsidR="00C97BE2" w:rsidRPr="00C97BE2" w:rsidRDefault="00C97BE2" w:rsidP="00C97BE2">
            <w:pPr>
              <w:rPr>
                <w:rFonts w:ascii="Lato" w:hAnsi="Lato"/>
                <w:sz w:val="20"/>
                <w:szCs w:val="20"/>
              </w:rPr>
            </w:pPr>
            <w:r w:rsidRPr="00C97BE2">
              <w:rPr>
                <w:rFonts w:ascii="Lato" w:hAnsi="Lato"/>
                <w:sz w:val="20"/>
                <w:szCs w:val="20"/>
              </w:rPr>
              <w:t>Na ścieżce przyrodniczo-kulturowej Świerzowa Ruska wyremontowano mostki. Na ścieżce przyrodniczej Folusz wyremontowano mostki i utwardzono ścieżkę na odcinku  150 m poprzez brukowanie działania wykonane pozwalają osobą starszym wygodnie i bezpiecznie poruszać się po trasach udostępnionych w MPN</w:t>
            </w:r>
          </w:p>
        </w:tc>
      </w:tr>
      <w:tr w:rsidR="00C97BE2" w:rsidRPr="00C97BE2" w14:paraId="751E43A7" w14:textId="77777777" w:rsidTr="00C97BE2">
        <w:tc>
          <w:tcPr>
            <w:tcW w:w="15388" w:type="dxa"/>
            <w:gridSpan w:val="4"/>
            <w:shd w:val="clear" w:color="auto" w:fill="ACB9CA" w:themeFill="text2" w:themeFillTint="66"/>
            <w:vAlign w:val="center"/>
          </w:tcPr>
          <w:p w14:paraId="7948B395" w14:textId="77777777" w:rsidR="00C97BE2" w:rsidRPr="00C97BE2" w:rsidRDefault="00C97BE2" w:rsidP="00C97BE2">
            <w:pPr>
              <w:keepNext/>
              <w:jc w:val="center"/>
              <w:rPr>
                <w:rFonts w:ascii="Lato" w:hAnsi="Lato"/>
                <w:b/>
                <w:bCs/>
                <w:sz w:val="20"/>
                <w:szCs w:val="20"/>
              </w:rPr>
            </w:pPr>
            <w:r w:rsidRPr="00C97BE2">
              <w:rPr>
                <w:rFonts w:ascii="Lato" w:hAnsi="Lato"/>
                <w:b/>
                <w:bCs/>
                <w:sz w:val="20"/>
                <w:szCs w:val="20"/>
              </w:rPr>
              <w:t>Narwiański Park Narodowy</w:t>
            </w:r>
          </w:p>
        </w:tc>
      </w:tr>
      <w:tr w:rsidR="00C97BE2" w:rsidRPr="00C97BE2" w14:paraId="6A017FE8" w14:textId="77777777" w:rsidTr="00D578ED">
        <w:tc>
          <w:tcPr>
            <w:tcW w:w="846" w:type="dxa"/>
          </w:tcPr>
          <w:p w14:paraId="2516467F"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629B2E1B" w14:textId="77777777" w:rsidR="00C97BE2" w:rsidRPr="00C97BE2" w:rsidRDefault="00C97BE2" w:rsidP="00C97BE2">
            <w:pPr>
              <w:rPr>
                <w:rFonts w:ascii="Lato" w:hAnsi="Lato"/>
                <w:sz w:val="20"/>
                <w:szCs w:val="20"/>
              </w:rPr>
            </w:pPr>
            <w:r w:rsidRPr="00C97BE2">
              <w:rPr>
                <w:rFonts w:ascii="Lato" w:hAnsi="Lato"/>
                <w:sz w:val="20"/>
                <w:szCs w:val="20"/>
              </w:rPr>
              <w:t xml:space="preserve">Bilety ulgowe </w:t>
            </w:r>
          </w:p>
        </w:tc>
        <w:tc>
          <w:tcPr>
            <w:tcW w:w="1843" w:type="dxa"/>
          </w:tcPr>
          <w:p w14:paraId="7644B5F2"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4504F395" w14:textId="77777777" w:rsidR="00C97BE2" w:rsidRPr="00C97BE2" w:rsidRDefault="00C97BE2" w:rsidP="00C97BE2">
            <w:pPr>
              <w:rPr>
                <w:rFonts w:ascii="Lato" w:hAnsi="Lato"/>
                <w:sz w:val="20"/>
                <w:szCs w:val="20"/>
              </w:rPr>
            </w:pPr>
            <w:r w:rsidRPr="00C97BE2">
              <w:rPr>
                <w:rFonts w:ascii="Lato" w:hAnsi="Lato"/>
                <w:sz w:val="20"/>
                <w:szCs w:val="20"/>
              </w:rPr>
              <w:t>Zgodnie z Zarządzeniem Dyrektora NPN emeryci i renciści odwiedzający Narwiański Park Narodowy, ekspozycję przyrodniczą w Ośrodku Edukacyjnym „</w:t>
            </w:r>
            <w:proofErr w:type="spellStart"/>
            <w:r w:rsidRPr="00C97BE2">
              <w:rPr>
                <w:rFonts w:ascii="Lato" w:hAnsi="Lato"/>
                <w:sz w:val="20"/>
                <w:szCs w:val="20"/>
              </w:rPr>
              <w:t>Młynarzówka</w:t>
            </w:r>
            <w:proofErr w:type="spellEnd"/>
            <w:r w:rsidRPr="00C97BE2">
              <w:rPr>
                <w:rFonts w:ascii="Lato" w:hAnsi="Lato"/>
                <w:sz w:val="20"/>
                <w:szCs w:val="20"/>
              </w:rPr>
              <w:t xml:space="preserve">” </w:t>
            </w:r>
            <w:r w:rsidRPr="00C97BE2">
              <w:rPr>
                <w:rFonts w:ascii="Lato" w:hAnsi="Lato"/>
                <w:sz w:val="20"/>
                <w:szCs w:val="20"/>
              </w:rPr>
              <w:br/>
              <w:t>uprawnieni są do biletu ulgowego.</w:t>
            </w:r>
          </w:p>
        </w:tc>
      </w:tr>
      <w:tr w:rsidR="00C97BE2" w:rsidRPr="00C97BE2" w14:paraId="4BB16AE3" w14:textId="77777777" w:rsidTr="00D578ED">
        <w:tc>
          <w:tcPr>
            <w:tcW w:w="846" w:type="dxa"/>
          </w:tcPr>
          <w:p w14:paraId="5694CCE2"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Pr>
          <w:p w14:paraId="2584DFA2" w14:textId="77777777" w:rsidR="00C97BE2" w:rsidRPr="00C97BE2" w:rsidRDefault="00C97BE2" w:rsidP="00C97BE2">
            <w:pPr>
              <w:rPr>
                <w:rFonts w:ascii="Lato" w:hAnsi="Lato"/>
                <w:sz w:val="20"/>
                <w:szCs w:val="20"/>
              </w:rPr>
            </w:pPr>
            <w:r w:rsidRPr="00C97BE2">
              <w:rPr>
                <w:rFonts w:ascii="Lato" w:hAnsi="Lato"/>
                <w:sz w:val="20"/>
                <w:szCs w:val="20"/>
              </w:rPr>
              <w:t>Udostępnianie terenu Narwiańskiego Parku Narodowego dla seniorów</w:t>
            </w:r>
          </w:p>
        </w:tc>
        <w:tc>
          <w:tcPr>
            <w:tcW w:w="1843" w:type="dxa"/>
          </w:tcPr>
          <w:p w14:paraId="7584020B" w14:textId="77777777" w:rsidR="00C97BE2" w:rsidRPr="00C97BE2" w:rsidRDefault="00C97BE2" w:rsidP="00C97BE2">
            <w:pPr>
              <w:rPr>
                <w:rFonts w:ascii="Lato" w:hAnsi="Lato"/>
                <w:sz w:val="20"/>
                <w:szCs w:val="20"/>
              </w:rPr>
            </w:pPr>
            <w:r w:rsidRPr="00C97BE2">
              <w:rPr>
                <w:rFonts w:ascii="Lato" w:hAnsi="Lato"/>
                <w:sz w:val="20"/>
                <w:szCs w:val="20"/>
              </w:rPr>
              <w:t>Cały rok</w:t>
            </w:r>
          </w:p>
          <w:p w14:paraId="644F690A" w14:textId="77777777" w:rsidR="00C97BE2" w:rsidRPr="00C97BE2" w:rsidRDefault="00C97BE2" w:rsidP="00C97BE2">
            <w:pPr>
              <w:rPr>
                <w:rFonts w:ascii="Lato" w:hAnsi="Lato"/>
                <w:sz w:val="20"/>
                <w:szCs w:val="20"/>
              </w:rPr>
            </w:pPr>
            <w:r w:rsidRPr="00C97BE2">
              <w:rPr>
                <w:rFonts w:ascii="Lato" w:hAnsi="Lato"/>
                <w:sz w:val="20"/>
                <w:szCs w:val="20"/>
              </w:rPr>
              <w:t>Od 2021 r.</w:t>
            </w:r>
          </w:p>
        </w:tc>
        <w:tc>
          <w:tcPr>
            <w:tcW w:w="8163" w:type="dxa"/>
          </w:tcPr>
          <w:p w14:paraId="557D8703" w14:textId="77777777" w:rsidR="00C97BE2" w:rsidRPr="00C97BE2" w:rsidRDefault="00C97BE2" w:rsidP="00C97BE2">
            <w:pPr>
              <w:rPr>
                <w:rFonts w:ascii="Lato" w:hAnsi="Lato"/>
                <w:sz w:val="20"/>
                <w:szCs w:val="20"/>
              </w:rPr>
            </w:pPr>
            <w:r w:rsidRPr="00C97BE2">
              <w:rPr>
                <w:rFonts w:ascii="Lato" w:hAnsi="Lato"/>
                <w:sz w:val="20"/>
                <w:szCs w:val="20"/>
              </w:rPr>
              <w:t xml:space="preserve">Dla seniorów dedykowane są szlaki spacerowe nie wymagające nadmiernego wysiłku fizycznego. Na trasie znajdują się miejsca odpoczynku – ławki, </w:t>
            </w:r>
            <w:proofErr w:type="spellStart"/>
            <w:r w:rsidRPr="00C97BE2">
              <w:rPr>
                <w:rFonts w:ascii="Lato" w:hAnsi="Lato"/>
                <w:sz w:val="20"/>
                <w:szCs w:val="20"/>
              </w:rPr>
              <w:t>ławostoły</w:t>
            </w:r>
            <w:proofErr w:type="spellEnd"/>
            <w:r w:rsidRPr="00C97BE2">
              <w:rPr>
                <w:rFonts w:ascii="Lato" w:hAnsi="Lato"/>
                <w:sz w:val="20"/>
                <w:szCs w:val="20"/>
              </w:rPr>
              <w:t>.</w:t>
            </w:r>
          </w:p>
        </w:tc>
      </w:tr>
      <w:tr w:rsidR="00C97BE2" w:rsidRPr="00C97BE2" w14:paraId="4880F752" w14:textId="77777777" w:rsidTr="00D578ED">
        <w:tc>
          <w:tcPr>
            <w:tcW w:w="846" w:type="dxa"/>
          </w:tcPr>
          <w:p w14:paraId="705E5669"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Pr>
          <w:p w14:paraId="6E25F314" w14:textId="77777777" w:rsidR="00C97BE2" w:rsidRPr="00C97BE2" w:rsidRDefault="00C97BE2" w:rsidP="00C97BE2">
            <w:pPr>
              <w:rPr>
                <w:rFonts w:ascii="Lato" w:hAnsi="Lato"/>
                <w:sz w:val="20"/>
                <w:szCs w:val="20"/>
              </w:rPr>
            </w:pPr>
            <w:r w:rsidRPr="00C97BE2">
              <w:rPr>
                <w:rFonts w:ascii="Lato" w:hAnsi="Lato"/>
                <w:sz w:val="20"/>
                <w:szCs w:val="20"/>
              </w:rPr>
              <w:t>Współpraca ze słuchaczami</w:t>
            </w:r>
            <w:r w:rsidRPr="00C97BE2">
              <w:rPr>
                <w:rFonts w:ascii="Lato" w:hAnsi="Lato"/>
                <w:sz w:val="20"/>
                <w:szCs w:val="20"/>
              </w:rPr>
              <w:br/>
              <w:t>Uniwersytetów Trzeciego</w:t>
            </w:r>
            <w:r w:rsidRPr="00C97BE2">
              <w:rPr>
                <w:rFonts w:ascii="Lato" w:hAnsi="Lato"/>
                <w:sz w:val="20"/>
                <w:szCs w:val="20"/>
              </w:rPr>
              <w:br/>
              <w:t>Wieku</w:t>
            </w:r>
          </w:p>
        </w:tc>
        <w:tc>
          <w:tcPr>
            <w:tcW w:w="1843" w:type="dxa"/>
          </w:tcPr>
          <w:p w14:paraId="40EB26B3" w14:textId="77777777" w:rsidR="00C97BE2" w:rsidRPr="00C97BE2" w:rsidRDefault="00C97BE2" w:rsidP="00C97BE2">
            <w:pPr>
              <w:rPr>
                <w:rFonts w:ascii="Lato" w:hAnsi="Lato"/>
                <w:sz w:val="20"/>
                <w:szCs w:val="20"/>
              </w:rPr>
            </w:pPr>
            <w:r w:rsidRPr="00C97BE2">
              <w:rPr>
                <w:rFonts w:ascii="Lato" w:hAnsi="Lato"/>
                <w:sz w:val="20"/>
                <w:szCs w:val="20"/>
              </w:rPr>
              <w:t>Stała współpraca</w:t>
            </w:r>
          </w:p>
        </w:tc>
        <w:tc>
          <w:tcPr>
            <w:tcW w:w="8163" w:type="dxa"/>
          </w:tcPr>
          <w:p w14:paraId="1838722D" w14:textId="77777777" w:rsidR="00C97BE2" w:rsidRPr="00C97BE2" w:rsidRDefault="00C97BE2" w:rsidP="00C97BE2">
            <w:pPr>
              <w:rPr>
                <w:rFonts w:ascii="Lato" w:hAnsi="Lato"/>
                <w:sz w:val="20"/>
                <w:szCs w:val="20"/>
              </w:rPr>
            </w:pPr>
            <w:r w:rsidRPr="00C97BE2">
              <w:rPr>
                <w:rFonts w:ascii="Lato" w:hAnsi="Lato"/>
                <w:sz w:val="20"/>
                <w:szCs w:val="20"/>
              </w:rPr>
              <w:t>Prowadzimy zajęcia stacjonarne i terenowe na specjalne zamówienie dla słuchaczy</w:t>
            </w:r>
            <w:r w:rsidRPr="00C97BE2">
              <w:rPr>
                <w:rFonts w:ascii="Lato" w:hAnsi="Lato"/>
                <w:sz w:val="20"/>
                <w:szCs w:val="20"/>
              </w:rPr>
              <w:br/>
              <w:t>Uniwersytetów Trzeciego Wieku oraz emerytów i rencistów. Przekazuje seniorom materiały edukacyjne i publikacje popularno-naukowe wydawane przez Park</w:t>
            </w:r>
          </w:p>
        </w:tc>
      </w:tr>
      <w:tr w:rsidR="00C97BE2" w:rsidRPr="00C97BE2" w14:paraId="651A5602" w14:textId="77777777" w:rsidTr="00D578ED">
        <w:tc>
          <w:tcPr>
            <w:tcW w:w="846" w:type="dxa"/>
          </w:tcPr>
          <w:p w14:paraId="169CEFD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4.</w:t>
            </w:r>
          </w:p>
        </w:tc>
        <w:tc>
          <w:tcPr>
            <w:tcW w:w="4536" w:type="dxa"/>
          </w:tcPr>
          <w:p w14:paraId="1DAABA6B" w14:textId="77777777" w:rsidR="00C97BE2" w:rsidRPr="00C97BE2" w:rsidRDefault="00C97BE2" w:rsidP="00C97BE2">
            <w:pPr>
              <w:rPr>
                <w:rFonts w:ascii="Lato" w:hAnsi="Lato"/>
                <w:sz w:val="20"/>
                <w:szCs w:val="20"/>
              </w:rPr>
            </w:pPr>
            <w:r w:rsidRPr="00C97BE2">
              <w:rPr>
                <w:rFonts w:ascii="Lato" w:hAnsi="Lato"/>
                <w:sz w:val="20"/>
                <w:szCs w:val="20"/>
              </w:rPr>
              <w:t>Narew – rzeka ukrytych miejsc</w:t>
            </w:r>
          </w:p>
        </w:tc>
        <w:tc>
          <w:tcPr>
            <w:tcW w:w="1843" w:type="dxa"/>
          </w:tcPr>
          <w:p w14:paraId="39BE5923" w14:textId="77777777" w:rsidR="00C97BE2" w:rsidRPr="00C97BE2" w:rsidRDefault="00C97BE2" w:rsidP="00C97BE2">
            <w:pPr>
              <w:rPr>
                <w:rFonts w:ascii="Lato" w:hAnsi="Lato"/>
                <w:sz w:val="20"/>
                <w:szCs w:val="20"/>
              </w:rPr>
            </w:pPr>
            <w:r w:rsidRPr="00C97BE2">
              <w:rPr>
                <w:rFonts w:ascii="Lato" w:hAnsi="Lato"/>
                <w:sz w:val="20"/>
                <w:szCs w:val="20"/>
              </w:rPr>
              <w:t xml:space="preserve">Sierpień-wrzesień  </w:t>
            </w:r>
          </w:p>
        </w:tc>
        <w:tc>
          <w:tcPr>
            <w:tcW w:w="8163" w:type="dxa"/>
          </w:tcPr>
          <w:p w14:paraId="566E6B61" w14:textId="77777777" w:rsidR="00C97BE2" w:rsidRPr="00C97BE2" w:rsidRDefault="00C97BE2" w:rsidP="00C97BE2">
            <w:pPr>
              <w:rPr>
                <w:rFonts w:ascii="Lato" w:hAnsi="Lato"/>
                <w:sz w:val="20"/>
                <w:szCs w:val="20"/>
              </w:rPr>
            </w:pPr>
            <w:r w:rsidRPr="00C97BE2">
              <w:rPr>
                <w:rFonts w:ascii="Lato" w:hAnsi="Lato"/>
                <w:sz w:val="20"/>
                <w:szCs w:val="20"/>
              </w:rPr>
              <w:t xml:space="preserve">Projekt, którego koncepcję stworzyli pracownicy Narwiańskiego Parku Narodowego w oparciu o mapę zawierającą lokalne nazwy miejsc obszaru chronionego Narwi. Poprzez spotkania, prelekcje i warsztaty organizowane na terenie gmin </w:t>
            </w:r>
            <w:proofErr w:type="spellStart"/>
            <w:r w:rsidRPr="00C97BE2">
              <w:rPr>
                <w:rFonts w:ascii="Lato" w:hAnsi="Lato"/>
                <w:sz w:val="20"/>
                <w:szCs w:val="20"/>
              </w:rPr>
              <w:t>przynarwiańskich</w:t>
            </w:r>
            <w:proofErr w:type="spellEnd"/>
            <w:r w:rsidRPr="00C97BE2">
              <w:rPr>
                <w:rFonts w:ascii="Lato" w:hAnsi="Lato"/>
                <w:sz w:val="20"/>
                <w:szCs w:val="20"/>
              </w:rPr>
              <w:t xml:space="preserve"> promowana była forma międzypokoleniowej aktywizacji kulturalnej w obszarze działań sprzyjających ochronie dziedzictwa kulturowego regionu. Uczestnicy projektu odkrywali historię i etymologię nazw miejsc poprzez spotkania i rozmowy z mieszkańcami, którzy pamiętają opowieści i okoliczności ich powstania, pod okiem profesjonalistów zapoznali się zasadami tworzenia archiwum historii mówionej, poznawali zasady przeprowadzania wywiadów oraz w sposób twórczy przedstawili charakter poznanych miejsc, ich nazw i historii. Efektem projektu była wystawa prac graficznych.</w:t>
            </w:r>
          </w:p>
        </w:tc>
      </w:tr>
      <w:tr w:rsidR="00C97BE2" w:rsidRPr="00C97BE2" w14:paraId="69E6DAAF" w14:textId="77777777" w:rsidTr="00D578ED">
        <w:tc>
          <w:tcPr>
            <w:tcW w:w="846" w:type="dxa"/>
          </w:tcPr>
          <w:p w14:paraId="3E62688A" w14:textId="77777777" w:rsidR="00C97BE2" w:rsidRPr="00C97BE2" w:rsidRDefault="00C97BE2" w:rsidP="00C97BE2">
            <w:pPr>
              <w:jc w:val="center"/>
              <w:rPr>
                <w:rFonts w:ascii="Lato" w:hAnsi="Lato"/>
                <w:b/>
                <w:bCs/>
                <w:sz w:val="20"/>
                <w:szCs w:val="20"/>
              </w:rPr>
            </w:pPr>
            <w:r w:rsidRPr="00C97BE2">
              <w:rPr>
                <w:rFonts w:ascii="Lato" w:hAnsi="Lato"/>
                <w:b/>
                <w:bCs/>
                <w:sz w:val="20"/>
                <w:szCs w:val="20"/>
              </w:rPr>
              <w:t>5.</w:t>
            </w:r>
          </w:p>
        </w:tc>
        <w:tc>
          <w:tcPr>
            <w:tcW w:w="4536" w:type="dxa"/>
          </w:tcPr>
          <w:p w14:paraId="6051397E" w14:textId="77777777" w:rsidR="00C97BE2" w:rsidRPr="00C97BE2" w:rsidRDefault="00C97BE2" w:rsidP="00C97BE2">
            <w:pPr>
              <w:rPr>
                <w:rFonts w:ascii="Lato" w:hAnsi="Lato"/>
                <w:sz w:val="20"/>
                <w:szCs w:val="20"/>
              </w:rPr>
            </w:pPr>
            <w:r w:rsidRPr="00C97BE2">
              <w:rPr>
                <w:rFonts w:ascii="Lato" w:hAnsi="Lato"/>
                <w:sz w:val="20"/>
                <w:szCs w:val="20"/>
              </w:rPr>
              <w:t>Narew – przyjazna dla wszystkich</w:t>
            </w:r>
          </w:p>
        </w:tc>
        <w:tc>
          <w:tcPr>
            <w:tcW w:w="1843" w:type="dxa"/>
          </w:tcPr>
          <w:p w14:paraId="27177BEE" w14:textId="77777777" w:rsidR="00C97BE2" w:rsidRPr="00C97BE2" w:rsidRDefault="00C97BE2" w:rsidP="00C97BE2">
            <w:pPr>
              <w:rPr>
                <w:rFonts w:ascii="Lato" w:hAnsi="Lato"/>
                <w:sz w:val="20"/>
                <w:szCs w:val="20"/>
              </w:rPr>
            </w:pPr>
            <w:r w:rsidRPr="00C97BE2">
              <w:rPr>
                <w:rFonts w:ascii="Lato" w:hAnsi="Lato"/>
                <w:sz w:val="20"/>
                <w:szCs w:val="20"/>
              </w:rPr>
              <w:t>Czerwiec 2022- czerwiec 2023</w:t>
            </w:r>
          </w:p>
        </w:tc>
        <w:tc>
          <w:tcPr>
            <w:tcW w:w="8163" w:type="dxa"/>
          </w:tcPr>
          <w:p w14:paraId="4AFA152E" w14:textId="77777777" w:rsidR="00C97BE2" w:rsidRPr="00C97BE2" w:rsidRDefault="00C97BE2" w:rsidP="00C97BE2">
            <w:pPr>
              <w:rPr>
                <w:rFonts w:ascii="Lato" w:hAnsi="Lato"/>
                <w:sz w:val="20"/>
                <w:szCs w:val="20"/>
              </w:rPr>
            </w:pPr>
            <w:r w:rsidRPr="00C97BE2">
              <w:rPr>
                <w:rFonts w:ascii="Lato" w:hAnsi="Lato"/>
                <w:sz w:val="20"/>
                <w:szCs w:val="20"/>
              </w:rPr>
              <w:t>Projekt ma na celu zwiększenie dostępności Narwiańskiego Parku Narodowego dla osób o specjalnych potrzebach, poprzez pilotażowe wdrożenie „Modelu dostępnego parku przyrodniczego” przygotowanego w ramach projektu „Obszar</w:t>
            </w:r>
          </w:p>
          <w:p w14:paraId="770B56A1" w14:textId="77777777" w:rsidR="00C97BE2" w:rsidRPr="00C97BE2" w:rsidRDefault="00C97BE2" w:rsidP="00C97BE2">
            <w:pPr>
              <w:rPr>
                <w:rFonts w:ascii="Lato" w:hAnsi="Lato"/>
                <w:sz w:val="20"/>
                <w:szCs w:val="20"/>
              </w:rPr>
            </w:pPr>
            <w:r w:rsidRPr="00C97BE2">
              <w:rPr>
                <w:rFonts w:ascii="Lato" w:hAnsi="Lato"/>
                <w:sz w:val="20"/>
                <w:szCs w:val="20"/>
              </w:rPr>
              <w:t>chroniony, obszar dostępny”.</w:t>
            </w:r>
            <w:r w:rsidRPr="00C97BE2">
              <w:rPr>
                <w:rFonts w:ascii="Lato" w:hAnsi="Lato" w:cs="DejaVuSans"/>
                <w:sz w:val="20"/>
                <w:szCs w:val="20"/>
              </w:rPr>
              <w:t xml:space="preserve"> </w:t>
            </w:r>
            <w:r w:rsidRPr="00C97BE2">
              <w:rPr>
                <w:rFonts w:ascii="Lato" w:hAnsi="Lato"/>
                <w:sz w:val="20"/>
                <w:szCs w:val="20"/>
              </w:rPr>
              <w:t>Realizacja projektu, umożliwia nam wdrożenie usprawnień do różnych potrzeb naszych turystów. Dostosowania te obejmują przede wszystkim:</w:t>
            </w:r>
          </w:p>
          <w:p w14:paraId="0907654A" w14:textId="77777777" w:rsidR="00C97BE2" w:rsidRPr="00C97BE2" w:rsidRDefault="00C97BE2" w:rsidP="00C97BE2">
            <w:pPr>
              <w:rPr>
                <w:rFonts w:ascii="Lato" w:hAnsi="Lato"/>
                <w:sz w:val="20"/>
                <w:szCs w:val="20"/>
              </w:rPr>
            </w:pPr>
            <w:r w:rsidRPr="00C97BE2">
              <w:rPr>
                <w:rFonts w:ascii="Lato" w:hAnsi="Lato"/>
                <w:sz w:val="20"/>
                <w:szCs w:val="20"/>
              </w:rPr>
              <w:lastRenderedPageBreak/>
              <w:t>- poprawne oznakowanie, które ułatwi poruszanie się po Parku;</w:t>
            </w:r>
          </w:p>
          <w:p w14:paraId="7BC572AA" w14:textId="77777777" w:rsidR="00C97BE2" w:rsidRPr="00C97BE2" w:rsidRDefault="00C97BE2" w:rsidP="00C97BE2">
            <w:pPr>
              <w:rPr>
                <w:rFonts w:ascii="Lato" w:hAnsi="Lato"/>
                <w:sz w:val="20"/>
                <w:szCs w:val="20"/>
              </w:rPr>
            </w:pPr>
            <w:r w:rsidRPr="00C97BE2">
              <w:rPr>
                <w:rFonts w:ascii="Lato" w:hAnsi="Lato"/>
                <w:sz w:val="20"/>
                <w:szCs w:val="20"/>
              </w:rPr>
              <w:t xml:space="preserve">- opracowanie nowych, dostępnych tablic </w:t>
            </w:r>
            <w:proofErr w:type="spellStart"/>
            <w:r w:rsidRPr="00C97BE2">
              <w:rPr>
                <w:rFonts w:ascii="Lato" w:hAnsi="Lato"/>
                <w:sz w:val="20"/>
                <w:szCs w:val="20"/>
              </w:rPr>
              <w:t>informacyjno</w:t>
            </w:r>
            <w:proofErr w:type="spellEnd"/>
            <w:r w:rsidRPr="00C97BE2">
              <w:rPr>
                <w:rFonts w:ascii="Lato" w:hAnsi="Lato"/>
                <w:sz w:val="20"/>
                <w:szCs w:val="20"/>
              </w:rPr>
              <w:t xml:space="preserve"> - edukacyjnych, map i planów </w:t>
            </w:r>
            <w:proofErr w:type="spellStart"/>
            <w:r w:rsidRPr="00C97BE2">
              <w:rPr>
                <w:rFonts w:ascii="Lato" w:hAnsi="Lato"/>
                <w:sz w:val="20"/>
                <w:szCs w:val="20"/>
              </w:rPr>
              <w:t>tyflograicznych</w:t>
            </w:r>
            <w:proofErr w:type="spellEnd"/>
          </w:p>
          <w:p w14:paraId="60CCD918" w14:textId="77777777" w:rsidR="00C97BE2" w:rsidRPr="00C97BE2" w:rsidRDefault="00C97BE2" w:rsidP="00C97BE2">
            <w:pPr>
              <w:rPr>
                <w:rFonts w:ascii="Lato" w:hAnsi="Lato"/>
                <w:sz w:val="20"/>
                <w:szCs w:val="20"/>
              </w:rPr>
            </w:pPr>
            <w:r w:rsidRPr="00C97BE2">
              <w:rPr>
                <w:rFonts w:ascii="Lato" w:hAnsi="Lato"/>
                <w:sz w:val="20"/>
                <w:szCs w:val="20"/>
              </w:rPr>
              <w:t>- dostosowanie ekspozycji i oferty edukacyjnej;</w:t>
            </w:r>
          </w:p>
          <w:p w14:paraId="2DB158F1" w14:textId="77777777" w:rsidR="00C97BE2" w:rsidRPr="00C97BE2" w:rsidRDefault="00C97BE2" w:rsidP="00C97BE2">
            <w:pPr>
              <w:rPr>
                <w:rFonts w:ascii="Lato" w:hAnsi="Lato"/>
                <w:sz w:val="20"/>
                <w:szCs w:val="20"/>
              </w:rPr>
            </w:pPr>
            <w:r w:rsidRPr="00C97BE2">
              <w:rPr>
                <w:rFonts w:ascii="Lato" w:hAnsi="Lato"/>
                <w:sz w:val="20"/>
                <w:szCs w:val="20"/>
              </w:rPr>
              <w:t>- dostosowanie Ośrodka Edukacyjnego;</w:t>
            </w:r>
          </w:p>
          <w:p w14:paraId="07ADEC9F" w14:textId="77777777" w:rsidR="00C97BE2" w:rsidRPr="00C97BE2" w:rsidRDefault="00C97BE2" w:rsidP="00C97BE2">
            <w:pPr>
              <w:rPr>
                <w:rFonts w:ascii="Lato" w:hAnsi="Lato"/>
                <w:sz w:val="20"/>
                <w:szCs w:val="20"/>
              </w:rPr>
            </w:pPr>
            <w:r w:rsidRPr="00C97BE2">
              <w:rPr>
                <w:rFonts w:ascii="Lato" w:hAnsi="Lato"/>
                <w:sz w:val="20"/>
                <w:szCs w:val="20"/>
              </w:rPr>
              <w:t xml:space="preserve">- zagospodarowanie terenu </w:t>
            </w:r>
            <w:proofErr w:type="spellStart"/>
            <w:r w:rsidRPr="00C97BE2">
              <w:rPr>
                <w:rFonts w:ascii="Lato" w:hAnsi="Lato"/>
                <w:sz w:val="20"/>
                <w:szCs w:val="20"/>
              </w:rPr>
              <w:t>Młynarzówki</w:t>
            </w:r>
            <w:proofErr w:type="spellEnd"/>
            <w:r w:rsidRPr="00C97BE2">
              <w:rPr>
                <w:rFonts w:ascii="Lato" w:hAnsi="Lato"/>
                <w:sz w:val="20"/>
                <w:szCs w:val="20"/>
              </w:rPr>
              <w:t>:</w:t>
            </w:r>
          </w:p>
          <w:p w14:paraId="365B45C9" w14:textId="77777777" w:rsidR="00C97BE2" w:rsidRPr="00C97BE2" w:rsidRDefault="00C97BE2" w:rsidP="00C97BE2">
            <w:pPr>
              <w:rPr>
                <w:rFonts w:ascii="Lato" w:hAnsi="Lato"/>
                <w:sz w:val="20"/>
                <w:szCs w:val="20"/>
              </w:rPr>
            </w:pPr>
            <w:r w:rsidRPr="00C97BE2">
              <w:rPr>
                <w:rFonts w:ascii="Lato" w:hAnsi="Lato"/>
                <w:sz w:val="20"/>
                <w:szCs w:val="20"/>
              </w:rPr>
              <w:t>- remont łazienki znajdującej się na polu biwakowym oraz utwardzenie przylegającego</w:t>
            </w:r>
          </w:p>
          <w:p w14:paraId="6691086F" w14:textId="77777777" w:rsidR="00C97BE2" w:rsidRPr="00C97BE2" w:rsidRDefault="00C97BE2" w:rsidP="00C97BE2">
            <w:pPr>
              <w:rPr>
                <w:rFonts w:ascii="Lato" w:hAnsi="Lato"/>
                <w:sz w:val="20"/>
                <w:szCs w:val="20"/>
              </w:rPr>
            </w:pPr>
            <w:r w:rsidRPr="00C97BE2">
              <w:rPr>
                <w:rFonts w:ascii="Lato" w:hAnsi="Lato"/>
                <w:sz w:val="20"/>
                <w:szCs w:val="20"/>
              </w:rPr>
              <w:t>do niej terenu;</w:t>
            </w:r>
          </w:p>
          <w:p w14:paraId="64FD710D" w14:textId="77777777" w:rsidR="00C97BE2" w:rsidRPr="00C97BE2" w:rsidRDefault="00C97BE2" w:rsidP="00C97BE2">
            <w:pPr>
              <w:rPr>
                <w:rFonts w:ascii="Lato" w:hAnsi="Lato"/>
                <w:sz w:val="20"/>
                <w:szCs w:val="20"/>
              </w:rPr>
            </w:pPr>
            <w:r w:rsidRPr="00C97BE2">
              <w:rPr>
                <w:rFonts w:ascii="Lato" w:hAnsi="Lato"/>
                <w:sz w:val="20"/>
                <w:szCs w:val="20"/>
              </w:rPr>
              <w:t>- opracowanie zajęć edukacyjnych dostosowanych do osób ze szczególnymi potrzebami i zakup pomocy edukacyjnych.</w:t>
            </w:r>
          </w:p>
        </w:tc>
      </w:tr>
      <w:tr w:rsidR="00C97BE2" w:rsidRPr="00C97BE2" w14:paraId="0344E34D" w14:textId="77777777" w:rsidTr="00C97BE2">
        <w:tc>
          <w:tcPr>
            <w:tcW w:w="15388" w:type="dxa"/>
            <w:gridSpan w:val="4"/>
            <w:shd w:val="clear" w:color="auto" w:fill="ACB9CA" w:themeFill="text2" w:themeFillTint="66"/>
          </w:tcPr>
          <w:p w14:paraId="5860590B"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Ojcowski Park Narodowy</w:t>
            </w:r>
          </w:p>
        </w:tc>
      </w:tr>
      <w:tr w:rsidR="00C97BE2" w:rsidRPr="00C97BE2" w14:paraId="3595B350" w14:textId="77777777" w:rsidTr="00D578ED">
        <w:tc>
          <w:tcPr>
            <w:tcW w:w="846" w:type="dxa"/>
          </w:tcPr>
          <w:p w14:paraId="04D0AE75"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1.</w:t>
            </w:r>
          </w:p>
        </w:tc>
        <w:tc>
          <w:tcPr>
            <w:tcW w:w="4536" w:type="dxa"/>
          </w:tcPr>
          <w:p w14:paraId="54C17BC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Wyposażenie obiektów i budynków administracji OPN w przenośne pętle indukcyjne i wyposażenie obiektów turystycznych w system FM </w:t>
            </w:r>
          </w:p>
        </w:tc>
        <w:tc>
          <w:tcPr>
            <w:tcW w:w="1843" w:type="dxa"/>
          </w:tcPr>
          <w:p w14:paraId="1DB721E9"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159CA5EA"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Sprzęt poprawiający komunikację z osobami z dysfunkcja słuchu, w tym osobami starszymi – w ramach projektu „Obszar chroniony, obszar dostępny’.</w:t>
            </w:r>
          </w:p>
        </w:tc>
      </w:tr>
      <w:tr w:rsidR="00C97BE2" w:rsidRPr="00C97BE2" w14:paraId="0CEE7485" w14:textId="77777777" w:rsidTr="00D578ED">
        <w:tc>
          <w:tcPr>
            <w:tcW w:w="846" w:type="dxa"/>
          </w:tcPr>
          <w:p w14:paraId="4B0CCB78"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2.</w:t>
            </w:r>
          </w:p>
        </w:tc>
        <w:tc>
          <w:tcPr>
            <w:tcW w:w="4536" w:type="dxa"/>
          </w:tcPr>
          <w:p w14:paraId="44E69867"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Wyposażenie „Ścieżki Seniora” w ławki typu "kłoda" i dotykowe tablice o tematyce dziedzictwa kulturowego wraz ze stelażem przenośnym</w:t>
            </w:r>
          </w:p>
        </w:tc>
        <w:tc>
          <w:tcPr>
            <w:tcW w:w="1843" w:type="dxa"/>
          </w:tcPr>
          <w:p w14:paraId="5D719124"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2022/2023</w:t>
            </w:r>
          </w:p>
        </w:tc>
        <w:tc>
          <w:tcPr>
            <w:tcW w:w="8163" w:type="dxa"/>
          </w:tcPr>
          <w:p w14:paraId="68D9F73B"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Rozwój „Ścieżki Seniora” – między zamkiem w Ojcowie a Kaplicą „Na Wodzie”. Ścieżkę doposażono w specjalne ławki o parametrach wskazanych dla osób starszych oraz tablice dotykowe o tematyce kulturowej – w ramach projektu „Obszar chroniony, obszar dostępny’.</w:t>
            </w:r>
          </w:p>
        </w:tc>
      </w:tr>
      <w:tr w:rsidR="00C97BE2" w:rsidRPr="00C97BE2" w14:paraId="671E5984" w14:textId="77777777" w:rsidTr="00D578ED">
        <w:tc>
          <w:tcPr>
            <w:tcW w:w="846" w:type="dxa"/>
          </w:tcPr>
          <w:p w14:paraId="32F8BCE0"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3.</w:t>
            </w:r>
          </w:p>
        </w:tc>
        <w:tc>
          <w:tcPr>
            <w:tcW w:w="4536" w:type="dxa"/>
          </w:tcPr>
          <w:p w14:paraId="0B72BDD0"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Opracowanie treści na stronę internetową dot. udostępnienia Parku dla osób ze szczególnymi potrzebami</w:t>
            </w:r>
          </w:p>
        </w:tc>
        <w:tc>
          <w:tcPr>
            <w:tcW w:w="1843" w:type="dxa"/>
          </w:tcPr>
          <w:p w14:paraId="4BE87F45"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2022/2023</w:t>
            </w:r>
          </w:p>
        </w:tc>
        <w:tc>
          <w:tcPr>
            <w:tcW w:w="8163" w:type="dxa"/>
          </w:tcPr>
          <w:p w14:paraId="31676870"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Treści w postaci map z polecanymi trasami dla osób o różnych potrzebach wraz ze wskazaniem głównych przeszkód oraz łatwy tekst ETR, które zostały umieszczone na stronie internetowej - – w ramach projektu „Obszar chroniony, obszar dostępny’.</w:t>
            </w:r>
          </w:p>
        </w:tc>
      </w:tr>
      <w:tr w:rsidR="00C97BE2" w:rsidRPr="00C97BE2" w14:paraId="26D4643A" w14:textId="77777777" w:rsidTr="00D578ED">
        <w:tc>
          <w:tcPr>
            <w:tcW w:w="846" w:type="dxa"/>
          </w:tcPr>
          <w:p w14:paraId="125D0C13"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4.</w:t>
            </w:r>
          </w:p>
        </w:tc>
        <w:tc>
          <w:tcPr>
            <w:tcW w:w="4536" w:type="dxa"/>
          </w:tcPr>
          <w:p w14:paraId="16A4F6B1"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Oznakowanie taśmą czarno-żółtą antypoślizgową  w schodów w obiektach OPN</w:t>
            </w:r>
          </w:p>
        </w:tc>
        <w:tc>
          <w:tcPr>
            <w:tcW w:w="1843" w:type="dxa"/>
          </w:tcPr>
          <w:p w14:paraId="5198AA35"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68C69F26"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Oznakowanie kontrastowe pozwala na dostrzeżenie schodów przez osoby słabowidzące, w tym osoby starsze, co przekłada się na bezpieczeństwo zwiedzających – w ramach projektu „Obszar chroniony, obszar dostępny’.</w:t>
            </w:r>
          </w:p>
        </w:tc>
      </w:tr>
      <w:tr w:rsidR="00C97BE2" w:rsidRPr="00C97BE2" w14:paraId="05DB34D1" w14:textId="77777777" w:rsidTr="00D578ED">
        <w:tc>
          <w:tcPr>
            <w:tcW w:w="846" w:type="dxa"/>
          </w:tcPr>
          <w:p w14:paraId="3D15BC5E"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5.</w:t>
            </w:r>
          </w:p>
        </w:tc>
        <w:tc>
          <w:tcPr>
            <w:tcW w:w="4536" w:type="dxa"/>
          </w:tcPr>
          <w:p w14:paraId="05E83DF1"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Udział w Akcji „Weekend Seniora z Kulturą”</w:t>
            </w:r>
          </w:p>
        </w:tc>
        <w:tc>
          <w:tcPr>
            <w:tcW w:w="1843" w:type="dxa"/>
          </w:tcPr>
          <w:p w14:paraId="399CE738"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535F30AD"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Coroczna Akcja realizowana we współpracy z MKIDN – nieodpłatne udostępnienie ekspozycji przyrodniczej dla seniorów w dniach trwania akcji</w:t>
            </w:r>
          </w:p>
        </w:tc>
      </w:tr>
      <w:tr w:rsidR="00C97BE2" w:rsidRPr="00C97BE2" w14:paraId="0F1A4D49" w14:textId="77777777" w:rsidTr="00D578ED">
        <w:tc>
          <w:tcPr>
            <w:tcW w:w="846" w:type="dxa"/>
          </w:tcPr>
          <w:p w14:paraId="4585F2D8"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6.</w:t>
            </w:r>
          </w:p>
        </w:tc>
        <w:tc>
          <w:tcPr>
            <w:tcW w:w="4536" w:type="dxa"/>
          </w:tcPr>
          <w:p w14:paraId="3EC215C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Rozwój współpracy z lokalną organizacją „Leonardo, zajmującą się m.in. osobami starszymi z niepełnosprawnością intelektualną</w:t>
            </w:r>
          </w:p>
        </w:tc>
        <w:tc>
          <w:tcPr>
            <w:tcW w:w="1843" w:type="dxa"/>
          </w:tcPr>
          <w:p w14:paraId="36CAF7F8"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2022/2023</w:t>
            </w:r>
          </w:p>
        </w:tc>
        <w:tc>
          <w:tcPr>
            <w:tcW w:w="8163" w:type="dxa"/>
          </w:tcPr>
          <w:p w14:paraId="2397BC2A"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Wizyty studyjne są niezbędna do nawiązania trwałej relacji i wzajemnego wsparcia w zakresie poprawy dostępności dla osób niepełnosprawnych, w tym z niepełnosprawnością intelektualną, zwłaszcza tych podmiotów, które prowadzą swoją działalność w pobliżu lub na terenie OPN – w ramach projektu „Obszar chroniony, obszar dostępny’.</w:t>
            </w:r>
          </w:p>
        </w:tc>
      </w:tr>
      <w:tr w:rsidR="00C97BE2" w:rsidRPr="00C97BE2" w14:paraId="3B3881C3" w14:textId="77777777" w:rsidTr="00D578ED">
        <w:tc>
          <w:tcPr>
            <w:tcW w:w="846" w:type="dxa"/>
          </w:tcPr>
          <w:p w14:paraId="7F139B91"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lastRenderedPageBreak/>
              <w:t>7</w:t>
            </w:r>
          </w:p>
        </w:tc>
        <w:tc>
          <w:tcPr>
            <w:tcW w:w="4536" w:type="dxa"/>
          </w:tcPr>
          <w:p w14:paraId="2E4416C4"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Bilety ulgowe dla seniorów</w:t>
            </w:r>
          </w:p>
        </w:tc>
        <w:tc>
          <w:tcPr>
            <w:tcW w:w="1843" w:type="dxa"/>
          </w:tcPr>
          <w:p w14:paraId="052A383F"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3FBC7099"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Ulga 50% na bilety wstępu dla seniorów do Jaskini Ciemnej, Jaskini Łokietka, zamku w Ojcowie i ekspozycję </w:t>
            </w:r>
            <w:proofErr w:type="spellStart"/>
            <w:r w:rsidRPr="00C97BE2">
              <w:rPr>
                <w:rFonts w:ascii="Lato" w:hAnsi="Lato" w:cstheme="minorHAnsi"/>
                <w:sz w:val="20"/>
                <w:szCs w:val="20"/>
              </w:rPr>
              <w:t>przyrodncizą</w:t>
            </w:r>
            <w:proofErr w:type="spellEnd"/>
          </w:p>
        </w:tc>
      </w:tr>
      <w:tr w:rsidR="00C97BE2" w:rsidRPr="00C97BE2" w14:paraId="4A505D60" w14:textId="77777777" w:rsidTr="00D578ED">
        <w:tc>
          <w:tcPr>
            <w:tcW w:w="846" w:type="dxa"/>
          </w:tcPr>
          <w:p w14:paraId="01D6EA10"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8.</w:t>
            </w:r>
          </w:p>
        </w:tc>
        <w:tc>
          <w:tcPr>
            <w:tcW w:w="4536" w:type="dxa"/>
          </w:tcPr>
          <w:p w14:paraId="2CDE2195"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Zajęcia on-line i terenowe dla Uniwersytetów III weku</w:t>
            </w:r>
          </w:p>
        </w:tc>
        <w:tc>
          <w:tcPr>
            <w:tcW w:w="1843" w:type="dxa"/>
          </w:tcPr>
          <w:p w14:paraId="60BB2CB1"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07AE71C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Tematyczne zajęcia edukacyjne dla seniorów realizowane przez specjalistów ds. edukacji OPN</w:t>
            </w:r>
          </w:p>
        </w:tc>
      </w:tr>
      <w:tr w:rsidR="00C97BE2" w:rsidRPr="00C97BE2" w14:paraId="17D8347A" w14:textId="77777777" w:rsidTr="00D578ED">
        <w:tc>
          <w:tcPr>
            <w:tcW w:w="846" w:type="dxa"/>
          </w:tcPr>
          <w:p w14:paraId="081B038B"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9.</w:t>
            </w:r>
          </w:p>
        </w:tc>
        <w:tc>
          <w:tcPr>
            <w:tcW w:w="4536" w:type="dxa"/>
          </w:tcPr>
          <w:p w14:paraId="0F63B2E8"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Rodzinny Piknik Edukacyjno-Integracyjny</w:t>
            </w:r>
          </w:p>
        </w:tc>
        <w:tc>
          <w:tcPr>
            <w:tcW w:w="1843" w:type="dxa"/>
          </w:tcPr>
          <w:p w14:paraId="7ED325BA"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VII.2022</w:t>
            </w:r>
          </w:p>
        </w:tc>
        <w:tc>
          <w:tcPr>
            <w:tcW w:w="8163" w:type="dxa"/>
          </w:tcPr>
          <w:p w14:paraId="055B3A4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Druga edycja imprezy o charakterze </w:t>
            </w:r>
            <w:proofErr w:type="spellStart"/>
            <w:r w:rsidRPr="00C97BE2">
              <w:rPr>
                <w:rFonts w:ascii="Lato" w:hAnsi="Lato" w:cstheme="minorHAnsi"/>
                <w:sz w:val="20"/>
                <w:szCs w:val="20"/>
              </w:rPr>
              <w:t>integracyjno</w:t>
            </w:r>
            <w:proofErr w:type="spellEnd"/>
            <w:r w:rsidRPr="00C97BE2">
              <w:rPr>
                <w:rFonts w:ascii="Lato" w:hAnsi="Lato" w:cstheme="minorHAnsi"/>
                <w:sz w:val="20"/>
                <w:szCs w:val="20"/>
              </w:rPr>
              <w:t>–edukacyjnym, organizowana dla rodzin,  tym seniorów, we współpracy z Starostą Powiatu Krakowskiego oraz Burmistrzem Miasta i Gminy Skała.</w:t>
            </w:r>
          </w:p>
        </w:tc>
      </w:tr>
      <w:tr w:rsidR="00C97BE2" w:rsidRPr="00C97BE2" w14:paraId="341AEC87" w14:textId="77777777" w:rsidTr="00C97BE2">
        <w:tc>
          <w:tcPr>
            <w:tcW w:w="15388" w:type="dxa"/>
            <w:gridSpan w:val="4"/>
            <w:shd w:val="clear" w:color="auto" w:fill="ACB9CA" w:themeFill="text2" w:themeFillTint="66"/>
          </w:tcPr>
          <w:p w14:paraId="5C61EF01"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Pieniński Park Narodowy</w:t>
            </w:r>
          </w:p>
        </w:tc>
      </w:tr>
      <w:tr w:rsidR="00C97BE2" w:rsidRPr="00C97BE2" w14:paraId="25A80286" w14:textId="77777777" w:rsidTr="00D578ED">
        <w:tc>
          <w:tcPr>
            <w:tcW w:w="846" w:type="dxa"/>
            <w:shd w:val="clear" w:color="auto" w:fill="auto"/>
          </w:tcPr>
          <w:p w14:paraId="07F0D7DB"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1.</w:t>
            </w:r>
          </w:p>
        </w:tc>
        <w:tc>
          <w:tcPr>
            <w:tcW w:w="4536" w:type="dxa"/>
            <w:shd w:val="clear" w:color="auto" w:fill="auto"/>
          </w:tcPr>
          <w:p w14:paraId="3D9593BF"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Zniżka dla emerytów zwiedzających Park </w:t>
            </w:r>
          </w:p>
        </w:tc>
        <w:tc>
          <w:tcPr>
            <w:tcW w:w="1843" w:type="dxa"/>
            <w:shd w:val="clear" w:color="auto" w:fill="auto"/>
          </w:tcPr>
          <w:p w14:paraId="2E51E027"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shd w:val="clear" w:color="auto" w:fill="auto"/>
          </w:tcPr>
          <w:p w14:paraId="161102E0"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Emeryci mają prawo do ulgi w opłacie za udostępnienie Parku do zwiedzania</w:t>
            </w:r>
          </w:p>
        </w:tc>
      </w:tr>
      <w:tr w:rsidR="00C97BE2" w:rsidRPr="00C97BE2" w14:paraId="06CCAB1D" w14:textId="77777777" w:rsidTr="00D578ED">
        <w:tc>
          <w:tcPr>
            <w:tcW w:w="846" w:type="dxa"/>
            <w:tcBorders>
              <w:top w:val="nil"/>
              <w:bottom w:val="single" w:sz="4" w:space="0" w:color="auto"/>
            </w:tcBorders>
            <w:shd w:val="clear" w:color="auto" w:fill="auto"/>
          </w:tcPr>
          <w:p w14:paraId="39759C88"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2.</w:t>
            </w:r>
          </w:p>
        </w:tc>
        <w:tc>
          <w:tcPr>
            <w:tcW w:w="4536" w:type="dxa"/>
            <w:tcBorders>
              <w:top w:val="nil"/>
              <w:bottom w:val="single" w:sz="4" w:space="0" w:color="auto"/>
            </w:tcBorders>
            <w:shd w:val="clear" w:color="auto" w:fill="auto"/>
          </w:tcPr>
          <w:p w14:paraId="7002DCAE" w14:textId="77777777" w:rsidR="00C97BE2" w:rsidRPr="00C97BE2" w:rsidRDefault="00C97BE2" w:rsidP="00C97BE2">
            <w:pPr>
              <w:jc w:val="both"/>
              <w:rPr>
                <w:rFonts w:ascii="Lato" w:hAnsi="Lato" w:cstheme="minorHAnsi"/>
                <w:sz w:val="20"/>
                <w:szCs w:val="20"/>
              </w:rPr>
            </w:pPr>
            <w:r w:rsidRPr="00C97BE2">
              <w:rPr>
                <w:rFonts w:ascii="Lato" w:hAnsi="Lato" w:cstheme="minorHAnsi"/>
                <w:sz w:val="20"/>
                <w:szCs w:val="20"/>
              </w:rPr>
              <w:t>Sieć pawilonów wystawowych dostępnych dla osób z ograniczeniami ruchowymi</w:t>
            </w:r>
          </w:p>
        </w:tc>
        <w:tc>
          <w:tcPr>
            <w:tcW w:w="1843" w:type="dxa"/>
            <w:tcBorders>
              <w:top w:val="nil"/>
              <w:bottom w:val="single" w:sz="4" w:space="0" w:color="auto"/>
            </w:tcBorders>
            <w:shd w:val="clear" w:color="auto" w:fill="auto"/>
          </w:tcPr>
          <w:p w14:paraId="38D8DFCB"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Borders>
              <w:top w:val="nil"/>
              <w:bottom w:val="single" w:sz="4" w:space="0" w:color="auto"/>
            </w:tcBorders>
            <w:shd w:val="clear" w:color="auto" w:fill="auto"/>
          </w:tcPr>
          <w:p w14:paraId="730E4DD4"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Pawilony w Szczawnicy, Sromowcach Kątach, Sromowcach Niżnych oraz w dyrekcji parku w Krościenku </w:t>
            </w:r>
            <w:proofErr w:type="spellStart"/>
            <w:r w:rsidRPr="00C97BE2">
              <w:rPr>
                <w:rFonts w:ascii="Lato" w:hAnsi="Lato" w:cstheme="minorHAnsi"/>
                <w:sz w:val="20"/>
                <w:szCs w:val="20"/>
              </w:rPr>
              <w:t>n.D</w:t>
            </w:r>
            <w:proofErr w:type="spellEnd"/>
            <w:r w:rsidRPr="00C97BE2">
              <w:rPr>
                <w:rFonts w:ascii="Lato" w:hAnsi="Lato" w:cstheme="minorHAnsi"/>
                <w:sz w:val="20"/>
                <w:szCs w:val="20"/>
              </w:rPr>
              <w:t xml:space="preserve">. nie posiadają barier architektonicznych, są tu podjazdy dla wózków inwalidzkich, w Krościenku znajduje się winda. W Krościenku </w:t>
            </w:r>
            <w:proofErr w:type="spellStart"/>
            <w:r w:rsidRPr="00C97BE2">
              <w:rPr>
                <w:rFonts w:ascii="Lato" w:hAnsi="Lato" w:cstheme="minorHAnsi"/>
                <w:sz w:val="20"/>
                <w:szCs w:val="20"/>
              </w:rPr>
              <w:t>n.D</w:t>
            </w:r>
            <w:proofErr w:type="spellEnd"/>
            <w:r w:rsidRPr="00C97BE2">
              <w:rPr>
                <w:rFonts w:ascii="Lato" w:hAnsi="Lato" w:cstheme="minorHAnsi"/>
                <w:sz w:val="20"/>
                <w:szCs w:val="20"/>
              </w:rPr>
              <w:t>., w Szczawnicy i w Sromowcach Kątach znajdują się toalety dla niepełnosprawnych.</w:t>
            </w:r>
          </w:p>
        </w:tc>
      </w:tr>
      <w:tr w:rsidR="00C97BE2" w:rsidRPr="00C97BE2" w14:paraId="455968FD" w14:textId="77777777" w:rsidTr="00D578ED">
        <w:tc>
          <w:tcPr>
            <w:tcW w:w="846" w:type="dxa"/>
            <w:tcBorders>
              <w:top w:val="single" w:sz="4" w:space="0" w:color="auto"/>
              <w:bottom w:val="single" w:sz="4" w:space="0" w:color="auto"/>
            </w:tcBorders>
            <w:shd w:val="clear" w:color="auto" w:fill="auto"/>
          </w:tcPr>
          <w:p w14:paraId="74CD3CFE"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3.</w:t>
            </w:r>
          </w:p>
        </w:tc>
        <w:tc>
          <w:tcPr>
            <w:tcW w:w="4536" w:type="dxa"/>
            <w:tcBorders>
              <w:top w:val="single" w:sz="4" w:space="0" w:color="auto"/>
              <w:bottom w:val="single" w:sz="4" w:space="0" w:color="auto"/>
            </w:tcBorders>
            <w:shd w:val="clear" w:color="auto" w:fill="auto"/>
          </w:tcPr>
          <w:p w14:paraId="00A9C4BA"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Strona internetowa dostępna dla osób niewidomych i niedowidzących</w:t>
            </w:r>
          </w:p>
        </w:tc>
        <w:tc>
          <w:tcPr>
            <w:tcW w:w="1843" w:type="dxa"/>
            <w:tcBorders>
              <w:top w:val="single" w:sz="4" w:space="0" w:color="auto"/>
              <w:bottom w:val="single" w:sz="4" w:space="0" w:color="auto"/>
            </w:tcBorders>
            <w:shd w:val="clear" w:color="auto" w:fill="auto"/>
          </w:tcPr>
          <w:p w14:paraId="0BECCF24"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Borders>
              <w:top w:val="single" w:sz="4" w:space="0" w:color="auto"/>
              <w:bottom w:val="single" w:sz="4" w:space="0" w:color="auto"/>
            </w:tcBorders>
            <w:shd w:val="clear" w:color="auto" w:fill="auto"/>
          </w:tcPr>
          <w:p w14:paraId="16D35B11" w14:textId="77777777" w:rsidR="00C97BE2" w:rsidRPr="00C97BE2" w:rsidRDefault="00C97BE2" w:rsidP="00C97BE2">
            <w:pPr>
              <w:jc w:val="both"/>
              <w:rPr>
                <w:rFonts w:ascii="Lato" w:hAnsi="Lato" w:cstheme="minorHAnsi"/>
                <w:sz w:val="20"/>
                <w:szCs w:val="20"/>
              </w:rPr>
            </w:pPr>
            <w:r w:rsidRPr="00C97BE2">
              <w:rPr>
                <w:rFonts w:ascii="Lato" w:hAnsi="Lato" w:cstheme="minorHAnsi"/>
                <w:sz w:val="20"/>
                <w:szCs w:val="20"/>
              </w:rPr>
              <w:t>Strona internetowa parku www.pieninypn.pl jest dostosowana do potrzeb niepełnosprawnych wzrokowo, ponadto na stronie znajdują się foldery tematyczne o Pieninach w formie plików dźwiękowych mp3.</w:t>
            </w:r>
          </w:p>
        </w:tc>
      </w:tr>
      <w:tr w:rsidR="00C97BE2" w:rsidRPr="00C97BE2" w14:paraId="2A111F20" w14:textId="77777777" w:rsidTr="00D578ED">
        <w:tc>
          <w:tcPr>
            <w:tcW w:w="846" w:type="dxa"/>
            <w:tcBorders>
              <w:top w:val="single" w:sz="4" w:space="0" w:color="auto"/>
              <w:bottom w:val="single" w:sz="4" w:space="0" w:color="auto"/>
            </w:tcBorders>
            <w:shd w:val="clear" w:color="auto" w:fill="auto"/>
          </w:tcPr>
          <w:p w14:paraId="121D90E3"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4.</w:t>
            </w:r>
          </w:p>
        </w:tc>
        <w:tc>
          <w:tcPr>
            <w:tcW w:w="4536" w:type="dxa"/>
            <w:tcBorders>
              <w:top w:val="single" w:sz="4" w:space="0" w:color="auto"/>
              <w:bottom w:val="single" w:sz="4" w:space="0" w:color="auto"/>
            </w:tcBorders>
            <w:shd w:val="clear" w:color="auto" w:fill="auto"/>
          </w:tcPr>
          <w:p w14:paraId="134BFD87" w14:textId="77777777" w:rsidR="00C97BE2" w:rsidRPr="00C97BE2" w:rsidRDefault="00C97BE2" w:rsidP="00C97BE2">
            <w:pPr>
              <w:tabs>
                <w:tab w:val="left" w:pos="975"/>
              </w:tabs>
              <w:rPr>
                <w:rFonts w:ascii="Lato" w:hAnsi="Lato" w:cstheme="minorHAnsi"/>
                <w:sz w:val="20"/>
                <w:szCs w:val="20"/>
              </w:rPr>
            </w:pPr>
            <w:r w:rsidRPr="00C97BE2">
              <w:rPr>
                <w:rFonts w:ascii="Lato" w:hAnsi="Lato" w:cstheme="minorHAnsi"/>
                <w:sz w:val="20"/>
                <w:szCs w:val="20"/>
              </w:rPr>
              <w:t>Wsparcie dla emerytowanych pracowników PPN</w:t>
            </w:r>
          </w:p>
        </w:tc>
        <w:tc>
          <w:tcPr>
            <w:tcW w:w="1843" w:type="dxa"/>
            <w:tcBorders>
              <w:top w:val="single" w:sz="4" w:space="0" w:color="auto"/>
              <w:bottom w:val="single" w:sz="4" w:space="0" w:color="auto"/>
            </w:tcBorders>
            <w:shd w:val="clear" w:color="auto" w:fill="auto"/>
          </w:tcPr>
          <w:p w14:paraId="6549EC32"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Borders>
              <w:top w:val="single" w:sz="4" w:space="0" w:color="auto"/>
              <w:bottom w:val="single" w:sz="4" w:space="0" w:color="auto"/>
            </w:tcBorders>
            <w:shd w:val="clear" w:color="auto" w:fill="auto"/>
          </w:tcPr>
          <w:p w14:paraId="5FF7374B" w14:textId="77777777" w:rsidR="00C97BE2" w:rsidRPr="00C97BE2" w:rsidRDefault="00C97BE2" w:rsidP="00C97BE2">
            <w:pPr>
              <w:jc w:val="both"/>
              <w:rPr>
                <w:rFonts w:ascii="Lato" w:hAnsi="Lato" w:cstheme="minorHAnsi"/>
                <w:sz w:val="20"/>
                <w:szCs w:val="20"/>
              </w:rPr>
            </w:pPr>
            <w:r w:rsidRPr="00C97BE2">
              <w:rPr>
                <w:rFonts w:ascii="Lato" w:hAnsi="Lato" w:cstheme="minorHAnsi"/>
                <w:sz w:val="20"/>
                <w:szCs w:val="20"/>
              </w:rPr>
              <w:t>Pieniński Park Narodowy wspiera emerytowanych pracowników Parku w miarę potrzeb przyznając zapomogi finansowe.</w:t>
            </w:r>
          </w:p>
        </w:tc>
      </w:tr>
      <w:tr w:rsidR="00C97BE2" w:rsidRPr="00C97BE2" w14:paraId="57DBF71F" w14:textId="77777777" w:rsidTr="00C97BE2">
        <w:tc>
          <w:tcPr>
            <w:tcW w:w="15388" w:type="dxa"/>
            <w:gridSpan w:val="4"/>
            <w:shd w:val="clear" w:color="auto" w:fill="ACB9CA" w:themeFill="text2" w:themeFillTint="66"/>
          </w:tcPr>
          <w:p w14:paraId="6DE3D129"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Poleski Park Narodowy</w:t>
            </w:r>
          </w:p>
        </w:tc>
      </w:tr>
      <w:tr w:rsidR="00C97BE2" w:rsidRPr="00C97BE2" w14:paraId="2E33D333" w14:textId="77777777" w:rsidTr="00D578ED">
        <w:tc>
          <w:tcPr>
            <w:tcW w:w="846" w:type="dxa"/>
          </w:tcPr>
          <w:p w14:paraId="2CA44963"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35A02EBC" w14:textId="77777777" w:rsidR="00C97BE2" w:rsidRPr="00C97BE2" w:rsidRDefault="00C97BE2" w:rsidP="00C97BE2">
            <w:pPr>
              <w:rPr>
                <w:rFonts w:ascii="Lato" w:hAnsi="Lato"/>
                <w:sz w:val="20"/>
                <w:szCs w:val="20"/>
              </w:rPr>
            </w:pPr>
            <w:r w:rsidRPr="00C97BE2">
              <w:rPr>
                <w:rFonts w:ascii="Lato" w:hAnsi="Lato"/>
                <w:sz w:val="20"/>
                <w:szCs w:val="20"/>
              </w:rPr>
              <w:t>Bilety ulgowe dla emerytów i seniorów</w:t>
            </w:r>
          </w:p>
        </w:tc>
        <w:tc>
          <w:tcPr>
            <w:tcW w:w="1843" w:type="dxa"/>
          </w:tcPr>
          <w:p w14:paraId="5D2DBEFB"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3F049779" w14:textId="77777777" w:rsidR="00C97BE2" w:rsidRPr="00C97BE2" w:rsidRDefault="00C97BE2" w:rsidP="00C97BE2">
            <w:pPr>
              <w:rPr>
                <w:rFonts w:ascii="Lato" w:hAnsi="Lato"/>
                <w:sz w:val="20"/>
                <w:szCs w:val="20"/>
              </w:rPr>
            </w:pPr>
            <w:r w:rsidRPr="00C97BE2">
              <w:rPr>
                <w:rFonts w:ascii="Lato" w:hAnsi="Lato"/>
                <w:sz w:val="20"/>
                <w:szCs w:val="20"/>
              </w:rPr>
              <w:t>Zgodnie z Zarządzeniem Dyrektora Poleskiego Parku Narodowego emeryci i renciści odwiedzający Poleski Park Narodowy wnoszą opłaty w wysokości 50% stawki za wstęp do Ośrodka Dydaktyczno-Muzealnego PPN w Starym Załuczu oraz za wstęp na ścieżki przyrodnicze PPN „Dąb Dominik”, „Spławy”, „Obóz Powstańczy”, „</w:t>
            </w:r>
            <w:proofErr w:type="spellStart"/>
            <w:r w:rsidRPr="00C97BE2">
              <w:rPr>
                <w:rFonts w:ascii="Lato" w:hAnsi="Lato"/>
                <w:sz w:val="20"/>
                <w:szCs w:val="20"/>
              </w:rPr>
              <w:t>Perehod</w:t>
            </w:r>
            <w:proofErr w:type="spellEnd"/>
            <w:r w:rsidRPr="00C97BE2">
              <w:rPr>
                <w:rFonts w:ascii="Lato" w:hAnsi="Lato"/>
                <w:sz w:val="20"/>
                <w:szCs w:val="20"/>
              </w:rPr>
              <w:t>”.</w:t>
            </w:r>
          </w:p>
        </w:tc>
      </w:tr>
      <w:tr w:rsidR="00C97BE2" w:rsidRPr="00C97BE2" w14:paraId="0964C44D" w14:textId="77777777" w:rsidTr="00D578ED">
        <w:tc>
          <w:tcPr>
            <w:tcW w:w="846" w:type="dxa"/>
          </w:tcPr>
          <w:p w14:paraId="153A27FE"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731CF44B" w14:textId="77777777" w:rsidR="00C97BE2" w:rsidRPr="00C97BE2" w:rsidRDefault="00C97BE2" w:rsidP="00C97BE2">
            <w:pPr>
              <w:rPr>
                <w:rFonts w:ascii="Lato" w:hAnsi="Lato"/>
                <w:sz w:val="20"/>
                <w:szCs w:val="20"/>
              </w:rPr>
            </w:pPr>
            <w:r w:rsidRPr="00C97BE2">
              <w:rPr>
                <w:rFonts w:ascii="Lato" w:hAnsi="Lato"/>
                <w:sz w:val="20"/>
                <w:szCs w:val="20"/>
              </w:rPr>
              <w:t xml:space="preserve">Udostępnianie 3 ścieżek przyrodniczych oraz 3 ośrodków edukacyjnych przystosowanych do potrzeb osób niepełnosprawnych ruchowo oraz częściowo – dla osób niewidomych. </w:t>
            </w:r>
          </w:p>
          <w:p w14:paraId="38D4C3DA" w14:textId="77777777" w:rsidR="00C97BE2" w:rsidRPr="00C97BE2" w:rsidRDefault="00C97BE2" w:rsidP="00C97BE2">
            <w:pPr>
              <w:rPr>
                <w:rFonts w:ascii="Lato" w:hAnsi="Lato"/>
                <w:sz w:val="20"/>
                <w:szCs w:val="20"/>
              </w:rPr>
            </w:pPr>
          </w:p>
        </w:tc>
        <w:tc>
          <w:tcPr>
            <w:tcW w:w="1843" w:type="dxa"/>
          </w:tcPr>
          <w:p w14:paraId="556A5D88"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6C93145A" w14:textId="77777777" w:rsidR="00C97BE2" w:rsidRPr="00C97BE2" w:rsidRDefault="00C97BE2" w:rsidP="00C97BE2">
            <w:pPr>
              <w:rPr>
                <w:rFonts w:ascii="Lato" w:hAnsi="Lato"/>
                <w:sz w:val="20"/>
                <w:szCs w:val="20"/>
              </w:rPr>
            </w:pPr>
            <w:r w:rsidRPr="00C97BE2">
              <w:rPr>
                <w:rFonts w:ascii="Lato" w:hAnsi="Lato"/>
                <w:sz w:val="20"/>
                <w:szCs w:val="20"/>
              </w:rPr>
              <w:t xml:space="preserve">Ścieżki przyrodnicze na terenie Poleskiego Parku Narodowego: „Żółwik”, „Dąb Dominik” oraz „Czahary” są przystosowane w całości lub na wyznaczonych odcinkach do osób poruszających się na wózkach. Tablice edukacyjne/informacyjne na ścieżkach „Dąb Dominik” i „Czahary” posiadają opisy w języku Braille’a. </w:t>
            </w:r>
          </w:p>
          <w:p w14:paraId="6180BAC0" w14:textId="77777777" w:rsidR="00C97BE2" w:rsidRPr="00C97BE2" w:rsidRDefault="00C97BE2" w:rsidP="00C97BE2">
            <w:pPr>
              <w:rPr>
                <w:rFonts w:ascii="Lato" w:hAnsi="Lato"/>
                <w:sz w:val="20"/>
                <w:szCs w:val="20"/>
              </w:rPr>
            </w:pPr>
            <w:r w:rsidRPr="00C97BE2">
              <w:rPr>
                <w:rFonts w:ascii="Lato" w:hAnsi="Lato"/>
                <w:sz w:val="20"/>
                <w:szCs w:val="20"/>
              </w:rPr>
              <w:t xml:space="preserve">Ośrodki Edukacyjne tj. Ośrodek Dydaktyczno-Muzealny w Starym Załuczu, Ośrodek Edukacyjny Poleskie Sioło w Wytycznie i Ośrodek Dydaktyczno-Administracyjny w Urszulinie posiadają podjazdy dla osób niepełnosprawnych bądź </w:t>
            </w:r>
            <w:r w:rsidRPr="00C97BE2">
              <w:rPr>
                <w:rFonts w:ascii="Lato" w:hAnsi="Lato"/>
                <w:sz w:val="20"/>
                <w:szCs w:val="20"/>
              </w:rPr>
              <w:lastRenderedPageBreak/>
              <w:t>windy (ODA) oraz odpowiednią szerokość drzwi. Budynki są wyposażone w toalety dostosowane do potrzeb osób niepełnosprawnych.</w:t>
            </w:r>
          </w:p>
          <w:p w14:paraId="228953E9" w14:textId="77777777" w:rsidR="00C97BE2" w:rsidRPr="00C97BE2" w:rsidRDefault="00C97BE2" w:rsidP="00C97BE2">
            <w:pPr>
              <w:rPr>
                <w:rFonts w:ascii="Lato" w:hAnsi="Lato"/>
                <w:sz w:val="20"/>
                <w:szCs w:val="20"/>
              </w:rPr>
            </w:pPr>
            <w:r w:rsidRPr="00C97BE2">
              <w:rPr>
                <w:rFonts w:ascii="Lato" w:hAnsi="Lato"/>
                <w:sz w:val="20"/>
                <w:szCs w:val="20"/>
              </w:rPr>
              <w:t>Ścieżka dydaktyczna „Czahary” udostępniana jest nieodpłatnie.</w:t>
            </w:r>
          </w:p>
        </w:tc>
      </w:tr>
      <w:tr w:rsidR="00C97BE2" w:rsidRPr="00C97BE2" w14:paraId="2AA32A84" w14:textId="77777777" w:rsidTr="00D578ED">
        <w:tc>
          <w:tcPr>
            <w:tcW w:w="846" w:type="dxa"/>
          </w:tcPr>
          <w:p w14:paraId="79CB695A"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0B95A86B" w14:textId="77777777" w:rsidR="00C97BE2" w:rsidRPr="00C97BE2" w:rsidRDefault="00C97BE2" w:rsidP="00C97BE2">
            <w:pPr>
              <w:rPr>
                <w:rFonts w:ascii="Lato" w:hAnsi="Lato"/>
                <w:sz w:val="20"/>
                <w:szCs w:val="20"/>
              </w:rPr>
            </w:pPr>
            <w:r w:rsidRPr="00C97BE2">
              <w:rPr>
                <w:rFonts w:ascii="Lato" w:hAnsi="Lato"/>
                <w:sz w:val="20"/>
                <w:szCs w:val="20"/>
              </w:rPr>
              <w:t>Nieodpłatne udostępniania Ośrodka Edukacyjnego „Poleskie Sioło” – tradycyjna zagroda poleska w Wytycznie</w:t>
            </w:r>
          </w:p>
        </w:tc>
        <w:tc>
          <w:tcPr>
            <w:tcW w:w="1843" w:type="dxa"/>
          </w:tcPr>
          <w:p w14:paraId="076ADB21"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296534B1" w14:textId="77777777" w:rsidR="00C97BE2" w:rsidRPr="00C97BE2" w:rsidRDefault="00C97BE2" w:rsidP="00C97BE2">
            <w:pPr>
              <w:rPr>
                <w:rFonts w:ascii="Lato" w:hAnsi="Lato"/>
                <w:sz w:val="20"/>
                <w:szCs w:val="20"/>
              </w:rPr>
            </w:pPr>
            <w:r w:rsidRPr="00C97BE2">
              <w:rPr>
                <w:rFonts w:ascii="Lato" w:hAnsi="Lato"/>
                <w:sz w:val="20"/>
                <w:szCs w:val="20"/>
              </w:rPr>
              <w:t>Ośrodek jest przystosowany do zwiedzania przez osoby z ograniczeniami ruchowymi, także przez osoby starsze. Za korzystanie z ośrodka „Poleskie Sioło” nie są pobierane opłaty.</w:t>
            </w:r>
          </w:p>
        </w:tc>
      </w:tr>
      <w:tr w:rsidR="00C97BE2" w:rsidRPr="00C97BE2" w14:paraId="78671854" w14:textId="77777777" w:rsidTr="00D578ED">
        <w:tc>
          <w:tcPr>
            <w:tcW w:w="846" w:type="dxa"/>
          </w:tcPr>
          <w:p w14:paraId="50A2D6FB"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121E2A89" w14:textId="77777777" w:rsidR="00C97BE2" w:rsidRPr="00C97BE2" w:rsidRDefault="00C97BE2" w:rsidP="00C97BE2">
            <w:pPr>
              <w:rPr>
                <w:rFonts w:ascii="Lato" w:hAnsi="Lato"/>
                <w:sz w:val="20"/>
                <w:szCs w:val="20"/>
              </w:rPr>
            </w:pPr>
            <w:r w:rsidRPr="00C97BE2">
              <w:rPr>
                <w:rFonts w:ascii="Lato" w:hAnsi="Lato"/>
                <w:sz w:val="20"/>
                <w:szCs w:val="20"/>
              </w:rPr>
              <w:t>Nieodpłatna projekcja filmów i diaporam w Ośrodku Dydaktyczno-Administracyjnym PPN</w:t>
            </w:r>
          </w:p>
        </w:tc>
        <w:tc>
          <w:tcPr>
            <w:tcW w:w="1843" w:type="dxa"/>
          </w:tcPr>
          <w:p w14:paraId="2A528AF5"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3BA9B3E4" w14:textId="77777777" w:rsidR="00C97BE2" w:rsidRPr="00C97BE2" w:rsidRDefault="00C97BE2" w:rsidP="00C97BE2">
            <w:pPr>
              <w:rPr>
                <w:rFonts w:ascii="Lato" w:hAnsi="Lato"/>
                <w:sz w:val="20"/>
                <w:szCs w:val="20"/>
              </w:rPr>
            </w:pPr>
            <w:r w:rsidRPr="00C97BE2">
              <w:rPr>
                <w:rFonts w:ascii="Lato" w:hAnsi="Lato"/>
                <w:sz w:val="20"/>
                <w:szCs w:val="20"/>
              </w:rPr>
              <w:t>Sala projekcyjna w ODA jest dostępna dla osób niepełnosprawnych ruchowo.</w:t>
            </w:r>
          </w:p>
        </w:tc>
      </w:tr>
      <w:tr w:rsidR="00C97BE2" w:rsidRPr="00C97BE2" w14:paraId="55EAC71D" w14:textId="77777777" w:rsidTr="00D578ED">
        <w:tc>
          <w:tcPr>
            <w:tcW w:w="846" w:type="dxa"/>
          </w:tcPr>
          <w:p w14:paraId="261D3AF0"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4A6ADCBB" w14:textId="77777777" w:rsidR="00C97BE2" w:rsidRPr="00C97BE2" w:rsidRDefault="00C97BE2" w:rsidP="00C97BE2">
            <w:pPr>
              <w:rPr>
                <w:rFonts w:ascii="Lato" w:hAnsi="Lato"/>
                <w:sz w:val="20"/>
                <w:szCs w:val="20"/>
              </w:rPr>
            </w:pPr>
            <w:r w:rsidRPr="00C97BE2">
              <w:rPr>
                <w:rFonts w:ascii="Lato" w:hAnsi="Lato"/>
                <w:sz w:val="20"/>
                <w:szCs w:val="20"/>
              </w:rPr>
              <w:t>Organizacja warsztatów, prelekcji, imprez o charakterze edukacyjnym skierowanych do osób dorosłych, także seniorów.</w:t>
            </w:r>
          </w:p>
          <w:p w14:paraId="00A2E015" w14:textId="77777777" w:rsidR="00C97BE2" w:rsidRPr="00C97BE2" w:rsidRDefault="00C97BE2" w:rsidP="00C97BE2">
            <w:pPr>
              <w:rPr>
                <w:rFonts w:ascii="Lato" w:hAnsi="Lato"/>
                <w:sz w:val="20"/>
                <w:szCs w:val="20"/>
              </w:rPr>
            </w:pPr>
            <w:r w:rsidRPr="00C97BE2">
              <w:rPr>
                <w:rFonts w:ascii="Lato" w:hAnsi="Lato"/>
                <w:sz w:val="20"/>
                <w:szCs w:val="20"/>
              </w:rPr>
              <w:t>Ww. wydarzenia miały charakter otwarty i uwzględniały możliwość uczestnictwa osób starszych. Udział w nich był bezpłatny.</w:t>
            </w:r>
          </w:p>
        </w:tc>
        <w:tc>
          <w:tcPr>
            <w:tcW w:w="1843" w:type="dxa"/>
          </w:tcPr>
          <w:p w14:paraId="037B398F"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295BD1B5" w14:textId="77777777" w:rsidR="00C97BE2" w:rsidRPr="00C97BE2" w:rsidRDefault="00C97BE2" w:rsidP="00C97BE2">
            <w:pPr>
              <w:rPr>
                <w:rFonts w:ascii="Lato" w:hAnsi="Lato"/>
                <w:sz w:val="20"/>
                <w:szCs w:val="20"/>
              </w:rPr>
            </w:pPr>
            <w:r w:rsidRPr="00C97BE2">
              <w:rPr>
                <w:rFonts w:ascii="Lato" w:hAnsi="Lato"/>
                <w:sz w:val="20"/>
                <w:szCs w:val="20"/>
              </w:rPr>
              <w:t>- „Noc Sów w Poleskim Parku Narodowym” (25 marca 2022 r.)</w:t>
            </w:r>
          </w:p>
          <w:p w14:paraId="4288D8EA" w14:textId="77777777" w:rsidR="00C97BE2" w:rsidRPr="00C97BE2" w:rsidRDefault="00C97BE2" w:rsidP="00C97BE2">
            <w:pPr>
              <w:rPr>
                <w:rFonts w:ascii="Lato" w:hAnsi="Lato"/>
                <w:sz w:val="20"/>
                <w:szCs w:val="20"/>
              </w:rPr>
            </w:pPr>
            <w:r w:rsidRPr="00C97BE2">
              <w:rPr>
                <w:rFonts w:ascii="Lato" w:hAnsi="Lato"/>
                <w:sz w:val="20"/>
                <w:szCs w:val="20"/>
              </w:rPr>
              <w:t>- Warsztaty dla dorosłych „Żółw błotny – ochrona i zagrożenia” (13-15 maja 2022 r.)</w:t>
            </w:r>
          </w:p>
          <w:p w14:paraId="16F6607D" w14:textId="77777777" w:rsidR="00C97BE2" w:rsidRPr="00C97BE2" w:rsidRDefault="00C97BE2" w:rsidP="00C97BE2">
            <w:pPr>
              <w:rPr>
                <w:rFonts w:ascii="Lato" w:hAnsi="Lato"/>
                <w:sz w:val="20"/>
                <w:szCs w:val="20"/>
              </w:rPr>
            </w:pPr>
            <w:r w:rsidRPr="00C97BE2">
              <w:rPr>
                <w:rFonts w:ascii="Lato" w:hAnsi="Lato"/>
                <w:sz w:val="20"/>
                <w:szCs w:val="20"/>
              </w:rPr>
              <w:t>- Warsztaty ornitologiczne „Ptaki wokół nas – unikalny świat ptaków Polesia” (21-23 czerwca 2022 r.)</w:t>
            </w:r>
          </w:p>
          <w:p w14:paraId="04E0648B" w14:textId="77777777" w:rsidR="00C97BE2" w:rsidRPr="00C97BE2" w:rsidRDefault="00C97BE2" w:rsidP="00C97BE2">
            <w:pPr>
              <w:rPr>
                <w:rFonts w:ascii="Lato" w:hAnsi="Lato"/>
                <w:sz w:val="20"/>
                <w:szCs w:val="20"/>
              </w:rPr>
            </w:pPr>
            <w:r w:rsidRPr="00C97BE2">
              <w:rPr>
                <w:rFonts w:ascii="Lato" w:hAnsi="Lato"/>
                <w:sz w:val="20"/>
                <w:szCs w:val="20"/>
              </w:rPr>
              <w:t>- Wielka 5 PPN – Spacery edukacyjne z przewodnikiem (23 i 31 lipca oraz 6,13,20 sierpnia 2022 r.)</w:t>
            </w:r>
          </w:p>
          <w:p w14:paraId="2F7DE6C3" w14:textId="77777777" w:rsidR="00C97BE2" w:rsidRPr="00C97BE2" w:rsidRDefault="00C97BE2" w:rsidP="00C97BE2">
            <w:pPr>
              <w:rPr>
                <w:rFonts w:ascii="Lato" w:hAnsi="Lato"/>
                <w:sz w:val="20"/>
                <w:szCs w:val="20"/>
              </w:rPr>
            </w:pPr>
            <w:r w:rsidRPr="00C97BE2">
              <w:rPr>
                <w:rFonts w:ascii="Lato" w:hAnsi="Lato"/>
                <w:sz w:val="20"/>
                <w:szCs w:val="20"/>
              </w:rPr>
              <w:t>- Warsztaty etnograficzne „Stroje ludowe ze skrzyni prababci” wraz z Występem Zespołu Ludowego „SOSNA” z Sosnowicy (6 sierpnia 2022 r.)</w:t>
            </w:r>
          </w:p>
          <w:p w14:paraId="0C0A9E82" w14:textId="77777777" w:rsidR="00C97BE2" w:rsidRPr="00C97BE2" w:rsidRDefault="00C97BE2" w:rsidP="00C97BE2">
            <w:pPr>
              <w:rPr>
                <w:rFonts w:ascii="Lato" w:hAnsi="Lato"/>
                <w:sz w:val="20"/>
                <w:szCs w:val="20"/>
              </w:rPr>
            </w:pPr>
            <w:r w:rsidRPr="00C97BE2">
              <w:rPr>
                <w:rFonts w:ascii="Lato" w:hAnsi="Lato"/>
                <w:sz w:val="20"/>
                <w:szCs w:val="20"/>
              </w:rPr>
              <w:t>- Dzień Pszczół w Poleskim Parku Narodowym (7 sierpnia 2022 r.)</w:t>
            </w:r>
          </w:p>
          <w:p w14:paraId="0E6FA8A3" w14:textId="77777777" w:rsidR="00C97BE2" w:rsidRPr="00C97BE2" w:rsidRDefault="00C97BE2" w:rsidP="00C97BE2">
            <w:pPr>
              <w:rPr>
                <w:rFonts w:ascii="Lato" w:hAnsi="Lato"/>
                <w:sz w:val="20"/>
                <w:szCs w:val="20"/>
              </w:rPr>
            </w:pPr>
            <w:r w:rsidRPr="00C97BE2">
              <w:rPr>
                <w:rFonts w:ascii="Lato" w:hAnsi="Lato"/>
                <w:sz w:val="20"/>
                <w:szCs w:val="20"/>
              </w:rPr>
              <w:t xml:space="preserve">- </w:t>
            </w:r>
            <w:r w:rsidRPr="00C97BE2">
              <w:rPr>
                <w:rFonts w:ascii="Lato" w:hAnsi="Lato"/>
                <w:spacing w:val="-4"/>
                <w:sz w:val="20"/>
                <w:szCs w:val="20"/>
              </w:rPr>
              <w:t>Warsztaty etnograficzne Cuda wianki – wspólne wyplatanie wianków (27 sierpnia 2022 r.)</w:t>
            </w:r>
          </w:p>
          <w:p w14:paraId="6CA52CA9" w14:textId="77777777" w:rsidR="00C97BE2" w:rsidRPr="00C97BE2" w:rsidRDefault="00C97BE2" w:rsidP="00C97BE2">
            <w:pPr>
              <w:rPr>
                <w:rFonts w:ascii="Lato" w:hAnsi="Lato"/>
                <w:sz w:val="20"/>
                <w:szCs w:val="20"/>
              </w:rPr>
            </w:pPr>
            <w:r w:rsidRPr="00C97BE2">
              <w:rPr>
                <w:rFonts w:ascii="Lato" w:hAnsi="Lato"/>
                <w:sz w:val="20"/>
                <w:szCs w:val="20"/>
              </w:rPr>
              <w:t>-  Pożegnanie żurawi w Poleskim Parku Narodowym (3 – 4 września 2022 r.)</w:t>
            </w:r>
          </w:p>
          <w:p w14:paraId="17AF391F" w14:textId="77777777" w:rsidR="00C97BE2" w:rsidRPr="00C97BE2" w:rsidRDefault="00C97BE2" w:rsidP="00C97BE2">
            <w:pPr>
              <w:rPr>
                <w:rFonts w:ascii="Lato" w:hAnsi="Lato"/>
                <w:sz w:val="20"/>
                <w:szCs w:val="20"/>
              </w:rPr>
            </w:pPr>
            <w:r w:rsidRPr="00C97BE2">
              <w:rPr>
                <w:rFonts w:ascii="Lato" w:hAnsi="Lato"/>
                <w:sz w:val="20"/>
                <w:szCs w:val="20"/>
              </w:rPr>
              <w:t>- 5. Dzień Łosia w Poleskim Parku Narodowym (17 września 2022 r.)</w:t>
            </w:r>
          </w:p>
          <w:p w14:paraId="382F1921" w14:textId="77777777" w:rsidR="00C97BE2" w:rsidRPr="00C97BE2" w:rsidRDefault="00C97BE2" w:rsidP="00C97BE2">
            <w:pPr>
              <w:rPr>
                <w:rFonts w:ascii="Lato" w:hAnsi="Lato"/>
                <w:sz w:val="20"/>
                <w:szCs w:val="20"/>
              </w:rPr>
            </w:pPr>
            <w:r w:rsidRPr="00C97BE2">
              <w:rPr>
                <w:rFonts w:ascii="Lato" w:hAnsi="Lato"/>
                <w:sz w:val="20"/>
                <w:szCs w:val="20"/>
              </w:rPr>
              <w:t>- Natura i zdrowie. O prozdrowotnych praktykach na Polesiu (8-9 października 2022 r.)</w:t>
            </w:r>
          </w:p>
          <w:p w14:paraId="01E3C9AE" w14:textId="77777777" w:rsidR="00C97BE2" w:rsidRPr="00C97BE2" w:rsidRDefault="00C97BE2" w:rsidP="00C97BE2">
            <w:pPr>
              <w:rPr>
                <w:rFonts w:ascii="Lato" w:hAnsi="Lato"/>
                <w:sz w:val="20"/>
                <w:szCs w:val="20"/>
              </w:rPr>
            </w:pPr>
            <w:r w:rsidRPr="00C97BE2">
              <w:rPr>
                <w:rFonts w:ascii="Lato" w:hAnsi="Lato"/>
                <w:sz w:val="20"/>
                <w:szCs w:val="20"/>
              </w:rPr>
              <w:t>- Tradycyjne ozdoby świąteczne - warsztaty etnograficzne (17 grudnia 2022 r.)</w:t>
            </w:r>
          </w:p>
          <w:p w14:paraId="1ABCBEA7" w14:textId="77777777" w:rsidR="00C97BE2" w:rsidRPr="00C97BE2" w:rsidRDefault="00C97BE2" w:rsidP="00C97BE2">
            <w:pPr>
              <w:rPr>
                <w:rFonts w:ascii="Lato" w:hAnsi="Lato"/>
                <w:sz w:val="20"/>
                <w:szCs w:val="20"/>
              </w:rPr>
            </w:pPr>
            <w:r w:rsidRPr="00C97BE2">
              <w:rPr>
                <w:rFonts w:ascii="Lato" w:hAnsi="Lato"/>
                <w:sz w:val="20"/>
                <w:szCs w:val="20"/>
              </w:rPr>
              <w:t>- Wystawa 3D - „Krajobrazy Poleskiego Parku Narodowego” (1 września – 31 grudnia 2022 r.)</w:t>
            </w:r>
          </w:p>
        </w:tc>
      </w:tr>
      <w:tr w:rsidR="00C97BE2" w:rsidRPr="00C97BE2" w14:paraId="0AF997EB" w14:textId="77777777" w:rsidTr="00D578ED">
        <w:tc>
          <w:tcPr>
            <w:tcW w:w="846" w:type="dxa"/>
          </w:tcPr>
          <w:p w14:paraId="2AE58817" w14:textId="77777777" w:rsidR="00C97BE2" w:rsidRPr="00C97BE2" w:rsidRDefault="00C97BE2" w:rsidP="00B73AF7">
            <w:pPr>
              <w:pStyle w:val="Akapitzlist"/>
              <w:numPr>
                <w:ilvl w:val="0"/>
                <w:numId w:val="15"/>
              </w:numPr>
              <w:jc w:val="center"/>
              <w:rPr>
                <w:rFonts w:ascii="Lato" w:hAnsi="Lato"/>
                <w:b/>
                <w:bCs/>
                <w:sz w:val="20"/>
                <w:szCs w:val="20"/>
              </w:rPr>
            </w:pPr>
          </w:p>
        </w:tc>
        <w:tc>
          <w:tcPr>
            <w:tcW w:w="4536" w:type="dxa"/>
          </w:tcPr>
          <w:p w14:paraId="42A2AB0E" w14:textId="77777777" w:rsidR="00C97BE2" w:rsidRPr="00C97BE2" w:rsidRDefault="00C97BE2" w:rsidP="00C97BE2">
            <w:pPr>
              <w:rPr>
                <w:rFonts w:ascii="Lato" w:hAnsi="Lato"/>
                <w:sz w:val="20"/>
                <w:szCs w:val="20"/>
              </w:rPr>
            </w:pPr>
            <w:r w:rsidRPr="00C97BE2">
              <w:rPr>
                <w:rFonts w:ascii="Lato" w:hAnsi="Lato"/>
                <w:sz w:val="20"/>
                <w:szCs w:val="20"/>
              </w:rPr>
              <w:t xml:space="preserve">Udostępnianie do zwiedzania ścieżek przyrodnich Poleskiego Parku Narodowego oraz ośrodków edukacyjnych Poleskiego Parku Narodowego osobom starszym. </w:t>
            </w:r>
          </w:p>
        </w:tc>
        <w:tc>
          <w:tcPr>
            <w:tcW w:w="1843" w:type="dxa"/>
          </w:tcPr>
          <w:p w14:paraId="7589039C"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245C7B79" w14:textId="77777777" w:rsidR="00C97BE2" w:rsidRPr="00C97BE2" w:rsidRDefault="00C97BE2" w:rsidP="00C97BE2">
            <w:pPr>
              <w:rPr>
                <w:rFonts w:ascii="Lato" w:hAnsi="Lato"/>
                <w:sz w:val="20"/>
                <w:szCs w:val="20"/>
              </w:rPr>
            </w:pPr>
            <w:r w:rsidRPr="00C97BE2">
              <w:rPr>
                <w:rFonts w:ascii="Lato" w:hAnsi="Lato"/>
                <w:sz w:val="20"/>
                <w:szCs w:val="20"/>
              </w:rPr>
              <w:t>W roku 2022 podobnie jak w poprzednich latach Poleski Park Narodowy odwiedzały grupy zorganizowane składające się z osób starszych/emerytów. Pracownicy Parku świadczyli takim grupom usługę przewodnicką, prowadzili również warsztaty i zajęcia edukacyjne dla wyżej wymienionych.</w:t>
            </w:r>
          </w:p>
        </w:tc>
      </w:tr>
      <w:tr w:rsidR="00C97BE2" w:rsidRPr="00C97BE2" w14:paraId="23D8069A" w14:textId="77777777" w:rsidTr="00C97BE2">
        <w:tc>
          <w:tcPr>
            <w:tcW w:w="15388" w:type="dxa"/>
            <w:gridSpan w:val="4"/>
            <w:shd w:val="clear" w:color="auto" w:fill="ACB9CA" w:themeFill="text2" w:themeFillTint="66"/>
          </w:tcPr>
          <w:p w14:paraId="2445C660"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Roztoczański Park Narodowy </w:t>
            </w:r>
          </w:p>
        </w:tc>
      </w:tr>
      <w:tr w:rsidR="00C97BE2" w:rsidRPr="00C97BE2" w14:paraId="7AB1EB97" w14:textId="77777777" w:rsidTr="00D578ED">
        <w:tc>
          <w:tcPr>
            <w:tcW w:w="846" w:type="dxa"/>
          </w:tcPr>
          <w:p w14:paraId="3181FE7D"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630CD242"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Wystawa stała RPN „W krainie jodły, buka i tarpana” w OEM</w:t>
            </w:r>
          </w:p>
        </w:tc>
        <w:tc>
          <w:tcPr>
            <w:tcW w:w="1843" w:type="dxa"/>
          </w:tcPr>
          <w:p w14:paraId="7DEB0770" w14:textId="77777777" w:rsidR="00C97BE2" w:rsidRPr="00C97BE2" w:rsidRDefault="00C97BE2" w:rsidP="00C97BE2">
            <w:pPr>
              <w:rPr>
                <w:rFonts w:ascii="Lato" w:hAnsi="Lato"/>
                <w:sz w:val="20"/>
                <w:szCs w:val="20"/>
              </w:rPr>
            </w:pPr>
            <w:r w:rsidRPr="00C97BE2">
              <w:rPr>
                <w:rFonts w:ascii="Lato" w:hAnsi="Lato"/>
                <w:sz w:val="20"/>
                <w:szCs w:val="20"/>
              </w:rPr>
              <w:t>całorocznie</w:t>
            </w:r>
          </w:p>
        </w:tc>
        <w:tc>
          <w:tcPr>
            <w:tcW w:w="8163" w:type="dxa"/>
          </w:tcPr>
          <w:p w14:paraId="3C894F3F" w14:textId="77777777" w:rsidR="00C97BE2" w:rsidRPr="00C97BE2" w:rsidRDefault="00C97BE2" w:rsidP="00C97BE2">
            <w:pPr>
              <w:rPr>
                <w:rFonts w:ascii="Lato" w:hAnsi="Lato" w:cs="Times New Roman"/>
                <w:sz w:val="20"/>
                <w:szCs w:val="20"/>
              </w:rPr>
            </w:pPr>
            <w:r w:rsidRPr="00C97BE2">
              <w:rPr>
                <w:rFonts w:ascii="Lato" w:hAnsi="Lato" w:cs="Times New Roman"/>
                <w:sz w:val="20"/>
                <w:szCs w:val="20"/>
              </w:rPr>
              <w:t xml:space="preserve">Park Udostępnia wystawę stałą, która jest dostosowana dla osób ze szczególnymi potrzebami. Wystawa składa się z 11 </w:t>
            </w:r>
            <w:r w:rsidRPr="00C97BE2">
              <w:rPr>
                <w:rFonts w:ascii="Lato" w:hAnsi="Lato" w:cs="Times New Roman"/>
                <w:sz w:val="20"/>
                <w:szCs w:val="20"/>
              </w:rPr>
              <w:lastRenderedPageBreak/>
              <w:t>dioram prezentujących 17 środowisk. Ten niepowtarzalny, multimedialny spektakl, wzbogacony odpowiednią scenografią, światłem i dźwiękiem zabiera nas w swoistą wyprawę w świat przyrody Parku i Roztocza.</w:t>
            </w:r>
          </w:p>
        </w:tc>
      </w:tr>
      <w:tr w:rsidR="00C97BE2" w:rsidRPr="00C97BE2" w14:paraId="683932D7" w14:textId="77777777" w:rsidTr="00D578ED">
        <w:tc>
          <w:tcPr>
            <w:tcW w:w="846" w:type="dxa"/>
          </w:tcPr>
          <w:p w14:paraId="16A7F98B"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451CFC5F"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Wystawa czasowa „Roztocze. Natura w naturze” w OEM</w:t>
            </w:r>
          </w:p>
        </w:tc>
        <w:tc>
          <w:tcPr>
            <w:tcW w:w="1843" w:type="dxa"/>
          </w:tcPr>
          <w:p w14:paraId="040AAF2B" w14:textId="77777777" w:rsidR="00C97BE2" w:rsidRPr="00C97BE2" w:rsidRDefault="00C97BE2" w:rsidP="00C97BE2">
            <w:pPr>
              <w:rPr>
                <w:rFonts w:ascii="Lato" w:hAnsi="Lato"/>
                <w:sz w:val="20"/>
                <w:szCs w:val="20"/>
              </w:rPr>
            </w:pPr>
            <w:r w:rsidRPr="00C97BE2">
              <w:rPr>
                <w:rFonts w:ascii="Lato" w:hAnsi="Lato"/>
                <w:sz w:val="20"/>
                <w:szCs w:val="20"/>
              </w:rPr>
              <w:t>całorocznie</w:t>
            </w:r>
          </w:p>
        </w:tc>
        <w:tc>
          <w:tcPr>
            <w:tcW w:w="8163" w:type="dxa"/>
          </w:tcPr>
          <w:p w14:paraId="28EEB241" w14:textId="77777777" w:rsidR="00C97BE2" w:rsidRPr="00C97BE2" w:rsidRDefault="00C97BE2" w:rsidP="00C97BE2">
            <w:pPr>
              <w:rPr>
                <w:rFonts w:ascii="Lato" w:hAnsi="Lato" w:cs="Times New Roman"/>
                <w:sz w:val="20"/>
                <w:szCs w:val="20"/>
              </w:rPr>
            </w:pPr>
            <w:r w:rsidRPr="00C97BE2">
              <w:rPr>
                <w:rFonts w:ascii="Lato" w:hAnsi="Lato" w:cs="Times New Roman"/>
                <w:sz w:val="20"/>
                <w:szCs w:val="20"/>
              </w:rPr>
              <w:t>Park Udostępnia wystawę czasową, która jest dostosowana dla osób ze szczególnymi potrzebami. Celem wystawy jest przedstawienia Roztocza jako regionu pogranicza przyrodniczo-kulturowego, ukazanie jego bioróżnorodności na pograniczu regionów geograficznych, zasięgu występowania wielu gatunków na granicy UE.</w:t>
            </w:r>
          </w:p>
        </w:tc>
      </w:tr>
      <w:tr w:rsidR="00C97BE2" w:rsidRPr="00C97BE2" w14:paraId="0DEE9A93" w14:textId="77777777" w:rsidTr="00D578ED">
        <w:tc>
          <w:tcPr>
            <w:tcW w:w="846" w:type="dxa"/>
          </w:tcPr>
          <w:p w14:paraId="75604A07"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0A04EC47"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Wystawy czasowe w OEM</w:t>
            </w:r>
          </w:p>
        </w:tc>
        <w:tc>
          <w:tcPr>
            <w:tcW w:w="1843" w:type="dxa"/>
          </w:tcPr>
          <w:p w14:paraId="79E90B79" w14:textId="77777777" w:rsidR="00C97BE2" w:rsidRPr="00C97BE2" w:rsidRDefault="00C97BE2" w:rsidP="00C97BE2">
            <w:pPr>
              <w:rPr>
                <w:rFonts w:ascii="Lato" w:hAnsi="Lato"/>
                <w:sz w:val="20"/>
                <w:szCs w:val="20"/>
              </w:rPr>
            </w:pPr>
            <w:r w:rsidRPr="00C97BE2">
              <w:rPr>
                <w:rFonts w:ascii="Lato" w:hAnsi="Lato"/>
                <w:sz w:val="20"/>
                <w:szCs w:val="20"/>
              </w:rPr>
              <w:t>całorocznie</w:t>
            </w:r>
          </w:p>
        </w:tc>
        <w:tc>
          <w:tcPr>
            <w:tcW w:w="8163" w:type="dxa"/>
          </w:tcPr>
          <w:p w14:paraId="7C6A1D2F" w14:textId="77777777" w:rsidR="00C97BE2" w:rsidRPr="00C97BE2" w:rsidRDefault="00C97BE2" w:rsidP="00C97BE2">
            <w:pPr>
              <w:rPr>
                <w:rFonts w:ascii="Lato" w:hAnsi="Lato" w:cs="Times New Roman"/>
                <w:sz w:val="20"/>
                <w:szCs w:val="20"/>
              </w:rPr>
            </w:pPr>
            <w:r w:rsidRPr="00C97BE2">
              <w:rPr>
                <w:rFonts w:ascii="Lato" w:hAnsi="Lato" w:cs="Times New Roman"/>
                <w:sz w:val="20"/>
                <w:szCs w:val="20"/>
              </w:rPr>
              <w:t>W 2022 roku w Ośrodku Edukacyjno-Muzealnym Parku zorganizowano 9 wystaw czasowych m. in. fotograficznych, plastycznych pokonkursowych, malarstwa</w:t>
            </w:r>
          </w:p>
        </w:tc>
      </w:tr>
      <w:tr w:rsidR="00C97BE2" w:rsidRPr="00C97BE2" w14:paraId="70DE7950" w14:textId="77777777" w:rsidTr="00D578ED">
        <w:tc>
          <w:tcPr>
            <w:tcW w:w="846" w:type="dxa"/>
          </w:tcPr>
          <w:p w14:paraId="15ACAEAE"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1CB6024F"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Wystawy stałe w Izbie leśnej we Floriance</w:t>
            </w:r>
          </w:p>
        </w:tc>
        <w:tc>
          <w:tcPr>
            <w:tcW w:w="1843" w:type="dxa"/>
          </w:tcPr>
          <w:p w14:paraId="0D8353EA" w14:textId="77777777" w:rsidR="00C97BE2" w:rsidRPr="00C97BE2" w:rsidRDefault="00C97BE2" w:rsidP="00C97BE2">
            <w:pPr>
              <w:jc w:val="center"/>
              <w:rPr>
                <w:rFonts w:ascii="Lato" w:hAnsi="Lato"/>
                <w:sz w:val="20"/>
                <w:szCs w:val="20"/>
              </w:rPr>
            </w:pPr>
            <w:r w:rsidRPr="00C97BE2">
              <w:rPr>
                <w:rFonts w:ascii="Lato" w:hAnsi="Lato"/>
                <w:sz w:val="20"/>
                <w:szCs w:val="20"/>
              </w:rPr>
              <w:t>IV-X</w:t>
            </w:r>
          </w:p>
        </w:tc>
        <w:tc>
          <w:tcPr>
            <w:tcW w:w="8163" w:type="dxa"/>
          </w:tcPr>
          <w:p w14:paraId="0236E8DD" w14:textId="77777777" w:rsidR="00C97BE2" w:rsidRPr="00C97BE2" w:rsidRDefault="00C97BE2" w:rsidP="00B73AF7">
            <w:pPr>
              <w:pStyle w:val="Akapitzlist"/>
              <w:numPr>
                <w:ilvl w:val="0"/>
                <w:numId w:val="16"/>
              </w:numPr>
              <w:ind w:left="324" w:right="-1" w:hanging="284"/>
              <w:rPr>
                <w:rFonts w:ascii="Lato" w:hAnsi="Lato"/>
                <w:sz w:val="20"/>
                <w:szCs w:val="20"/>
              </w:rPr>
            </w:pPr>
            <w:r w:rsidRPr="00C97BE2">
              <w:rPr>
                <w:rFonts w:ascii="Lato" w:hAnsi="Lato"/>
                <w:bCs/>
                <w:sz w:val="20"/>
                <w:szCs w:val="20"/>
              </w:rPr>
              <w:t>,,Leśniczówka w dawnej Ordynacji Zamojskiej” - etnograficzna ekspozycja stała; czynna od 2004 r. - nowa odsłona 2021 r.</w:t>
            </w:r>
          </w:p>
          <w:p w14:paraId="0F902A40" w14:textId="77777777" w:rsidR="00C97BE2" w:rsidRPr="00C97BE2" w:rsidRDefault="00C97BE2" w:rsidP="00B73AF7">
            <w:pPr>
              <w:pStyle w:val="Akapitzlist"/>
              <w:numPr>
                <w:ilvl w:val="0"/>
                <w:numId w:val="16"/>
              </w:numPr>
              <w:ind w:left="324" w:right="-1" w:hanging="284"/>
              <w:rPr>
                <w:rFonts w:ascii="Lato" w:hAnsi="Lato"/>
                <w:sz w:val="20"/>
                <w:szCs w:val="20"/>
              </w:rPr>
            </w:pPr>
            <w:r w:rsidRPr="00C97BE2">
              <w:rPr>
                <w:rFonts w:ascii="Lato" w:hAnsi="Lato"/>
                <w:bCs/>
                <w:sz w:val="20"/>
                <w:szCs w:val="20"/>
              </w:rPr>
              <w:t xml:space="preserve">,,Narzędzia i urządzenia rolno - leśne” - etnograficzna ekspozycja stała prezentowana </w:t>
            </w:r>
            <w:r w:rsidRPr="00C97BE2">
              <w:rPr>
                <w:rFonts w:ascii="Lato" w:hAnsi="Lato"/>
                <w:bCs/>
                <w:sz w:val="20"/>
                <w:szCs w:val="20"/>
              </w:rPr>
              <w:br/>
              <w:t>w stodole; czynna od 2006 r. - nowa odsłona 2021 r. z dodaniem bloku tematycznego ekspozycji przeniesionej ze strychu Izby Leśnej.</w:t>
            </w:r>
          </w:p>
          <w:p w14:paraId="28B18310" w14:textId="77777777" w:rsidR="00C97BE2" w:rsidRPr="00C97BE2" w:rsidRDefault="00C97BE2" w:rsidP="00B73AF7">
            <w:pPr>
              <w:pStyle w:val="Akapitzlist"/>
              <w:numPr>
                <w:ilvl w:val="0"/>
                <w:numId w:val="16"/>
              </w:numPr>
              <w:ind w:left="324" w:right="-1" w:hanging="284"/>
              <w:rPr>
                <w:rFonts w:ascii="Lato" w:hAnsi="Lato"/>
                <w:sz w:val="20"/>
                <w:szCs w:val="20"/>
              </w:rPr>
            </w:pPr>
            <w:r w:rsidRPr="00C97BE2">
              <w:rPr>
                <w:rFonts w:ascii="Lato" w:hAnsi="Lato"/>
                <w:bCs/>
                <w:sz w:val="20"/>
                <w:szCs w:val="20"/>
              </w:rPr>
              <w:t>,,Florianka - bastion niepodległości” - wystawa historyczna; czynna od  maja 2014 r. - nowa odsłona 2021 r. wystawa eksponowana w Spichlerzu.</w:t>
            </w:r>
          </w:p>
          <w:p w14:paraId="3CFDD4EE" w14:textId="77777777" w:rsidR="00C97BE2" w:rsidRPr="00C97BE2" w:rsidRDefault="00C97BE2" w:rsidP="00B73AF7">
            <w:pPr>
              <w:pStyle w:val="Akapitzlist"/>
              <w:numPr>
                <w:ilvl w:val="0"/>
                <w:numId w:val="16"/>
              </w:numPr>
              <w:autoSpaceDE w:val="0"/>
              <w:autoSpaceDN w:val="0"/>
              <w:adjustRightInd w:val="0"/>
              <w:ind w:left="324" w:right="-1" w:hanging="284"/>
              <w:rPr>
                <w:rFonts w:ascii="Lato" w:hAnsi="Lato"/>
                <w:sz w:val="20"/>
                <w:szCs w:val="20"/>
              </w:rPr>
            </w:pPr>
            <w:r w:rsidRPr="00C97BE2">
              <w:rPr>
                <w:rFonts w:ascii="Lato" w:hAnsi="Lato"/>
                <w:bCs/>
                <w:sz w:val="20"/>
                <w:szCs w:val="20"/>
              </w:rPr>
              <w:t xml:space="preserve">Aleksandra </w:t>
            </w:r>
            <w:proofErr w:type="spellStart"/>
            <w:r w:rsidRPr="00C97BE2">
              <w:rPr>
                <w:rFonts w:ascii="Lato" w:hAnsi="Lato"/>
                <w:bCs/>
                <w:sz w:val="20"/>
                <w:szCs w:val="20"/>
              </w:rPr>
              <w:t>Wachniewska</w:t>
            </w:r>
            <w:proofErr w:type="spellEnd"/>
            <w:r w:rsidRPr="00C97BE2">
              <w:rPr>
                <w:rFonts w:ascii="Lato" w:hAnsi="Lato"/>
                <w:bCs/>
                <w:sz w:val="20"/>
                <w:szCs w:val="20"/>
              </w:rPr>
              <w:t xml:space="preserve"> - malarka Roztocza" - wystawa o życiu i twórczości artystki związanej z Roztoczem; eksponowana od 2017 r.  – nowa odsłona 2021 r. wystawa Eksponowana w Spichlerzu.</w:t>
            </w:r>
          </w:p>
        </w:tc>
      </w:tr>
      <w:tr w:rsidR="00C97BE2" w:rsidRPr="00C97BE2" w14:paraId="6F830B68" w14:textId="77777777" w:rsidTr="00D578ED">
        <w:tc>
          <w:tcPr>
            <w:tcW w:w="846" w:type="dxa"/>
          </w:tcPr>
          <w:p w14:paraId="21E0DD83"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4A9EB059"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Wystawy czasowe w Izbie Leśnej we Floriance</w:t>
            </w:r>
          </w:p>
        </w:tc>
        <w:tc>
          <w:tcPr>
            <w:tcW w:w="1843" w:type="dxa"/>
          </w:tcPr>
          <w:p w14:paraId="44E0244B" w14:textId="77777777" w:rsidR="00C97BE2" w:rsidRPr="00C97BE2" w:rsidRDefault="00C97BE2" w:rsidP="00C97BE2">
            <w:pPr>
              <w:jc w:val="center"/>
              <w:rPr>
                <w:rFonts w:ascii="Lato" w:hAnsi="Lato"/>
                <w:sz w:val="20"/>
                <w:szCs w:val="20"/>
              </w:rPr>
            </w:pPr>
            <w:r w:rsidRPr="00C97BE2">
              <w:rPr>
                <w:rFonts w:ascii="Lato" w:hAnsi="Lato"/>
                <w:sz w:val="20"/>
                <w:szCs w:val="20"/>
              </w:rPr>
              <w:t>IV-X</w:t>
            </w:r>
          </w:p>
        </w:tc>
        <w:tc>
          <w:tcPr>
            <w:tcW w:w="8163" w:type="dxa"/>
          </w:tcPr>
          <w:p w14:paraId="65DD228B" w14:textId="77777777" w:rsidR="00C97BE2" w:rsidRPr="00C97BE2" w:rsidRDefault="00C97BE2" w:rsidP="00B73AF7">
            <w:pPr>
              <w:pStyle w:val="Akapitzlist"/>
              <w:numPr>
                <w:ilvl w:val="0"/>
                <w:numId w:val="16"/>
              </w:numPr>
              <w:ind w:left="324" w:right="-1" w:hanging="284"/>
              <w:rPr>
                <w:rFonts w:ascii="Lato" w:hAnsi="Lato"/>
                <w:bCs/>
                <w:sz w:val="20"/>
                <w:szCs w:val="20"/>
              </w:rPr>
            </w:pPr>
            <w:r w:rsidRPr="00C97BE2">
              <w:rPr>
                <w:rFonts w:ascii="Lato" w:hAnsi="Lato"/>
                <w:bCs/>
                <w:sz w:val="20"/>
                <w:szCs w:val="20"/>
              </w:rPr>
              <w:t xml:space="preserve">„Jan Zamoyski jego bliscy” </w:t>
            </w:r>
            <w:r w:rsidRPr="00C97BE2">
              <w:rPr>
                <w:rFonts w:ascii="Lato" w:hAnsi="Lato"/>
                <w:sz w:val="20"/>
                <w:szCs w:val="20"/>
              </w:rPr>
              <w:t>– wystawa zdjęć rodzinnych, eksponowana w zielonej Sali,</w:t>
            </w:r>
          </w:p>
        </w:tc>
      </w:tr>
      <w:tr w:rsidR="00C97BE2" w:rsidRPr="00C97BE2" w14:paraId="505A003F" w14:textId="77777777" w:rsidTr="00D578ED">
        <w:tc>
          <w:tcPr>
            <w:tcW w:w="846" w:type="dxa"/>
          </w:tcPr>
          <w:p w14:paraId="1159779D"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304E8BFE" w14:textId="77777777" w:rsidR="00C97BE2" w:rsidRPr="00C97BE2" w:rsidRDefault="00C97BE2" w:rsidP="00C97BE2">
            <w:pPr>
              <w:rPr>
                <w:rFonts w:ascii="Lato" w:hAnsi="Lato" w:cstheme="minorHAnsi"/>
                <w:sz w:val="20"/>
                <w:szCs w:val="20"/>
              </w:rPr>
            </w:pPr>
            <w:r w:rsidRPr="00C97BE2">
              <w:rPr>
                <w:rFonts w:ascii="Lato" w:hAnsi="Lato"/>
                <w:sz w:val="20"/>
                <w:szCs w:val="20"/>
              </w:rPr>
              <w:t>Warsztaty umiejętności „Dziki Luksus” dla dzieci z przedszkoli, szkół podstawowych, średnich i osób dorosłych (III-XI)</w:t>
            </w:r>
          </w:p>
        </w:tc>
        <w:tc>
          <w:tcPr>
            <w:tcW w:w="1843" w:type="dxa"/>
          </w:tcPr>
          <w:p w14:paraId="505D4D77" w14:textId="77777777" w:rsidR="00C97BE2" w:rsidRPr="00C97BE2" w:rsidRDefault="00C97BE2" w:rsidP="00C97BE2">
            <w:pPr>
              <w:rPr>
                <w:rFonts w:ascii="Lato" w:hAnsi="Lato"/>
                <w:sz w:val="20"/>
                <w:szCs w:val="20"/>
              </w:rPr>
            </w:pPr>
            <w:r w:rsidRPr="00C97BE2">
              <w:rPr>
                <w:rFonts w:ascii="Lato" w:hAnsi="Lato"/>
                <w:sz w:val="20"/>
                <w:szCs w:val="20"/>
              </w:rPr>
              <w:t>14.11.2022 r.</w:t>
            </w:r>
          </w:p>
        </w:tc>
        <w:tc>
          <w:tcPr>
            <w:tcW w:w="8163" w:type="dxa"/>
          </w:tcPr>
          <w:p w14:paraId="26719EEE" w14:textId="77777777" w:rsidR="00C97BE2" w:rsidRPr="00C97BE2" w:rsidRDefault="00C97BE2" w:rsidP="00C97BE2">
            <w:pPr>
              <w:rPr>
                <w:rFonts w:ascii="Lato" w:hAnsi="Lato"/>
                <w:sz w:val="20"/>
                <w:szCs w:val="20"/>
              </w:rPr>
            </w:pPr>
            <w:r w:rsidRPr="00C97BE2">
              <w:rPr>
                <w:rFonts w:ascii="Lato" w:hAnsi="Lato"/>
                <w:sz w:val="20"/>
                <w:szCs w:val="20"/>
              </w:rPr>
              <w:t xml:space="preserve"> Działania edukacyjne kierowane bezpośrednio do wybranych grup wiekowych. </w:t>
            </w:r>
          </w:p>
          <w:p w14:paraId="6FEADBFC" w14:textId="77777777" w:rsidR="00C97BE2" w:rsidRPr="00C97BE2" w:rsidRDefault="00C97BE2" w:rsidP="00C97BE2">
            <w:pPr>
              <w:rPr>
                <w:rFonts w:ascii="Lato" w:hAnsi="Lato"/>
                <w:sz w:val="20"/>
                <w:szCs w:val="20"/>
              </w:rPr>
            </w:pPr>
            <w:r w:rsidRPr="00C97BE2">
              <w:rPr>
                <w:rFonts w:ascii="Lato" w:hAnsi="Lato"/>
                <w:sz w:val="20"/>
                <w:szCs w:val="20"/>
              </w:rPr>
              <w:sym w:font="Symbol" w:char="F0B7"/>
            </w:r>
            <w:r w:rsidRPr="00C97BE2">
              <w:rPr>
                <w:rFonts w:ascii="Lato" w:hAnsi="Lato"/>
                <w:sz w:val="20"/>
                <w:szCs w:val="20"/>
              </w:rPr>
              <w:t xml:space="preserve"> 8.03.2022 r. – „Dzień kobiet” – warsztaty kameralno- terenowe z pracownikiem RPN. Tworzenie naturalnych kosmetyków w oparciu o dary przyrody. Materiały zapewnia </w:t>
            </w:r>
          </w:p>
          <w:p w14:paraId="20065659" w14:textId="77777777" w:rsidR="00C97BE2" w:rsidRPr="00C97BE2" w:rsidRDefault="00C97BE2" w:rsidP="00C97BE2">
            <w:pPr>
              <w:rPr>
                <w:rFonts w:ascii="Lato" w:hAnsi="Lato"/>
                <w:sz w:val="20"/>
                <w:szCs w:val="20"/>
              </w:rPr>
            </w:pPr>
            <w:r w:rsidRPr="00C97BE2">
              <w:rPr>
                <w:rFonts w:ascii="Lato" w:hAnsi="Lato"/>
                <w:sz w:val="20"/>
                <w:szCs w:val="20"/>
              </w:rPr>
              <w:sym w:font="Symbol" w:char="F0B7"/>
            </w:r>
            <w:r w:rsidRPr="00C97BE2">
              <w:rPr>
                <w:rFonts w:ascii="Lato" w:hAnsi="Lato"/>
                <w:sz w:val="20"/>
                <w:szCs w:val="20"/>
              </w:rPr>
              <w:t xml:space="preserve"> 30.09.2022 r. – „Dzień mężczyzn” - warsztaty kameralno- terenowe z pracownikiem RPN. Tworzenie ziołowych naparów z wykorzystaniem darów Natury. </w:t>
            </w:r>
          </w:p>
          <w:p w14:paraId="2E2B5B4A" w14:textId="77777777" w:rsidR="00C97BE2" w:rsidRPr="00C97BE2" w:rsidRDefault="00C97BE2" w:rsidP="00C97BE2">
            <w:pPr>
              <w:rPr>
                <w:rFonts w:ascii="Lato" w:hAnsi="Lato"/>
                <w:bCs/>
                <w:sz w:val="20"/>
                <w:szCs w:val="20"/>
              </w:rPr>
            </w:pPr>
            <w:r w:rsidRPr="00C97BE2">
              <w:rPr>
                <w:rFonts w:ascii="Lato" w:hAnsi="Lato"/>
                <w:sz w:val="20"/>
                <w:szCs w:val="20"/>
              </w:rPr>
              <w:sym w:font="Symbol" w:char="F0B7"/>
            </w:r>
            <w:r w:rsidRPr="00C97BE2">
              <w:rPr>
                <w:rFonts w:ascii="Lato" w:hAnsi="Lato"/>
                <w:sz w:val="20"/>
                <w:szCs w:val="20"/>
              </w:rPr>
              <w:t xml:space="preserve"> 14.11.2022 r. – „Dzień seniora” - warsztaty kameralno- terenowe z pracownikiem RPN </w:t>
            </w:r>
            <w:r w:rsidRPr="00C97BE2">
              <w:rPr>
                <w:rFonts w:ascii="Lato" w:hAnsi="Lato"/>
                <w:sz w:val="20"/>
                <w:szCs w:val="20"/>
              </w:rPr>
              <w:lastRenderedPageBreak/>
              <w:t>(Ośrodek Edukacyjno-Muzealny RPN w Zwierzyńcu). Tworzenie zdrowych przetworów z wykorzystaniem darów Natury. Materiały zapewnia Organizator.</w:t>
            </w:r>
          </w:p>
        </w:tc>
      </w:tr>
      <w:tr w:rsidR="00C97BE2" w:rsidRPr="00C97BE2" w14:paraId="4229F90B" w14:textId="77777777" w:rsidTr="00D578ED">
        <w:tc>
          <w:tcPr>
            <w:tcW w:w="846" w:type="dxa"/>
          </w:tcPr>
          <w:p w14:paraId="27C84CFA"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4A3DCF5D" w14:textId="77777777" w:rsidR="00C97BE2" w:rsidRPr="00C97BE2" w:rsidRDefault="00C97BE2" w:rsidP="00C97BE2">
            <w:pPr>
              <w:rPr>
                <w:rFonts w:ascii="Lato" w:hAnsi="Lato"/>
                <w:sz w:val="20"/>
                <w:szCs w:val="20"/>
              </w:rPr>
            </w:pPr>
            <w:r w:rsidRPr="00C97BE2">
              <w:rPr>
                <w:rFonts w:ascii="Lato" w:hAnsi="Lato"/>
                <w:sz w:val="20"/>
                <w:szCs w:val="20"/>
              </w:rPr>
              <w:t>Konkurs w ramach kampanii edukacyjnej „Drzewa mają moc” dla dzieci z przedszkoli, szkół podstawowych, średnich i osób dorosłych</w:t>
            </w:r>
          </w:p>
        </w:tc>
        <w:tc>
          <w:tcPr>
            <w:tcW w:w="1843" w:type="dxa"/>
          </w:tcPr>
          <w:p w14:paraId="4048F3A2" w14:textId="77777777" w:rsidR="00C97BE2" w:rsidRPr="00C97BE2" w:rsidRDefault="00C97BE2" w:rsidP="00C97BE2">
            <w:pPr>
              <w:jc w:val="center"/>
              <w:rPr>
                <w:rFonts w:ascii="Lato" w:hAnsi="Lato"/>
                <w:sz w:val="20"/>
                <w:szCs w:val="20"/>
              </w:rPr>
            </w:pPr>
            <w:r w:rsidRPr="00C97BE2">
              <w:rPr>
                <w:rFonts w:ascii="Lato" w:hAnsi="Lato"/>
                <w:sz w:val="20"/>
                <w:szCs w:val="20"/>
              </w:rPr>
              <w:t>X-XI</w:t>
            </w:r>
          </w:p>
        </w:tc>
        <w:tc>
          <w:tcPr>
            <w:tcW w:w="8163" w:type="dxa"/>
          </w:tcPr>
          <w:p w14:paraId="49B76751" w14:textId="77777777" w:rsidR="00C97BE2" w:rsidRPr="00C97BE2" w:rsidRDefault="00C97BE2" w:rsidP="00C97BE2">
            <w:pPr>
              <w:rPr>
                <w:rFonts w:ascii="Lato" w:hAnsi="Lato"/>
                <w:sz w:val="20"/>
                <w:szCs w:val="20"/>
              </w:rPr>
            </w:pPr>
            <w:r w:rsidRPr="00C97BE2">
              <w:rPr>
                <w:rFonts w:ascii="Lato" w:hAnsi="Lato"/>
                <w:sz w:val="20"/>
                <w:szCs w:val="20"/>
              </w:rPr>
              <w:t>W ramach kampanii przewidziano:</w:t>
            </w:r>
          </w:p>
          <w:p w14:paraId="1C03639F" w14:textId="77777777" w:rsidR="00C97BE2" w:rsidRPr="00C97BE2" w:rsidRDefault="00C97BE2" w:rsidP="00B73AF7">
            <w:pPr>
              <w:pStyle w:val="Akapitzlist"/>
              <w:numPr>
                <w:ilvl w:val="0"/>
                <w:numId w:val="17"/>
              </w:numPr>
              <w:rPr>
                <w:rFonts w:ascii="Lato" w:hAnsi="Lato"/>
                <w:sz w:val="20"/>
                <w:szCs w:val="20"/>
              </w:rPr>
            </w:pPr>
            <w:r w:rsidRPr="00C97BE2">
              <w:rPr>
                <w:rFonts w:ascii="Lato" w:hAnsi="Lato"/>
                <w:sz w:val="20"/>
                <w:szCs w:val="20"/>
              </w:rPr>
              <w:t xml:space="preserve">spotkania terenowe z pracownikiem RPN. </w:t>
            </w:r>
          </w:p>
          <w:p w14:paraId="49119265" w14:textId="77777777" w:rsidR="00C97BE2" w:rsidRPr="00C97BE2" w:rsidRDefault="00C97BE2" w:rsidP="00B73AF7">
            <w:pPr>
              <w:pStyle w:val="Akapitzlist"/>
              <w:numPr>
                <w:ilvl w:val="0"/>
                <w:numId w:val="17"/>
              </w:numPr>
              <w:rPr>
                <w:rFonts w:ascii="Lato" w:hAnsi="Lato"/>
                <w:sz w:val="20"/>
                <w:szCs w:val="20"/>
              </w:rPr>
            </w:pPr>
            <w:r w:rsidRPr="00C97BE2">
              <w:rPr>
                <w:rFonts w:ascii="Lato" w:hAnsi="Lato"/>
                <w:sz w:val="20"/>
                <w:szCs w:val="20"/>
              </w:rPr>
              <w:t>konkurs dotyczący wykonania dowolnego gatunku drzewa lub drzew w formie dowolnej; m.in. poprzez namalowanie, sfotografowanie, sfilmowanie, wykonanie modelu przestrzennego</w:t>
            </w:r>
          </w:p>
        </w:tc>
      </w:tr>
      <w:tr w:rsidR="00C97BE2" w:rsidRPr="00C97BE2" w14:paraId="014D0FBB" w14:textId="77777777" w:rsidTr="00D578ED">
        <w:tc>
          <w:tcPr>
            <w:tcW w:w="846" w:type="dxa"/>
          </w:tcPr>
          <w:p w14:paraId="5F43F85B"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4D9BA156" w14:textId="77777777" w:rsidR="00C97BE2" w:rsidRPr="00C97BE2" w:rsidRDefault="00C97BE2" w:rsidP="00C97BE2">
            <w:pPr>
              <w:rPr>
                <w:rFonts w:ascii="Lato" w:hAnsi="Lato"/>
                <w:sz w:val="20"/>
                <w:szCs w:val="20"/>
              </w:rPr>
            </w:pPr>
            <w:r w:rsidRPr="00C97BE2">
              <w:rPr>
                <w:rFonts w:ascii="Lato" w:hAnsi="Lato"/>
                <w:sz w:val="20"/>
                <w:szCs w:val="20"/>
              </w:rPr>
              <w:t>Konkursy i działania edukacyjne</w:t>
            </w:r>
          </w:p>
          <w:p w14:paraId="668937C2" w14:textId="77777777" w:rsidR="00C97BE2" w:rsidRPr="00C97BE2" w:rsidRDefault="00C97BE2" w:rsidP="00C97BE2">
            <w:pPr>
              <w:rPr>
                <w:rFonts w:ascii="Lato" w:hAnsi="Lato"/>
                <w:sz w:val="20"/>
                <w:szCs w:val="20"/>
              </w:rPr>
            </w:pPr>
            <w:r w:rsidRPr="00C97BE2">
              <w:rPr>
                <w:rFonts w:ascii="Lato" w:hAnsi="Lato"/>
                <w:sz w:val="20"/>
                <w:szCs w:val="20"/>
              </w:rPr>
              <w:t>IX edycja ogólnopolskiego konkursu poetyckiego Przyroda jaką znam pn. „Serce drzewa” dla dzieci ze szkół podstawowych, średnich i osób dorosłych,</w:t>
            </w:r>
          </w:p>
        </w:tc>
        <w:tc>
          <w:tcPr>
            <w:tcW w:w="1843" w:type="dxa"/>
          </w:tcPr>
          <w:p w14:paraId="392CED50" w14:textId="77777777" w:rsidR="00C97BE2" w:rsidRPr="00C97BE2" w:rsidRDefault="00C97BE2" w:rsidP="00C97BE2">
            <w:pPr>
              <w:jc w:val="center"/>
              <w:rPr>
                <w:rFonts w:ascii="Lato" w:hAnsi="Lato"/>
                <w:sz w:val="20"/>
                <w:szCs w:val="20"/>
              </w:rPr>
            </w:pPr>
            <w:r w:rsidRPr="00C97BE2">
              <w:rPr>
                <w:rFonts w:ascii="Lato" w:hAnsi="Lato"/>
                <w:sz w:val="20"/>
                <w:szCs w:val="20"/>
              </w:rPr>
              <w:t>VIII-XII</w:t>
            </w:r>
          </w:p>
        </w:tc>
        <w:tc>
          <w:tcPr>
            <w:tcW w:w="8163" w:type="dxa"/>
          </w:tcPr>
          <w:p w14:paraId="0B98D5C1" w14:textId="77777777" w:rsidR="00C97BE2" w:rsidRPr="00C97BE2" w:rsidRDefault="00C97BE2" w:rsidP="00C97BE2">
            <w:pPr>
              <w:keepLines/>
              <w:rPr>
                <w:rFonts w:ascii="Lato" w:hAnsi="Lato"/>
                <w:sz w:val="20"/>
                <w:szCs w:val="20"/>
              </w:rPr>
            </w:pPr>
            <w:r w:rsidRPr="00C97BE2">
              <w:rPr>
                <w:rFonts w:ascii="Lato" w:hAnsi="Lato"/>
                <w:sz w:val="20"/>
                <w:szCs w:val="20"/>
              </w:rPr>
              <w:t>Konkurs miał na celu rozbudzanie wyobraźni, wrażliwość na otaczającą przyrodę widzianą i przeżywaną z wielu perspektyw (przyroda widziana z lotu ptaka, oczyma wilka, z okna samochodu lub wagonu kolejowego), promowanie twórczości najzdolniejszej młodzieży. W trakcie trwania konkursu odbyło się spotkanie ze znanym pisarzem, krytykiem literackim, przyrodnikiem, który m.in. podzieli się swoim dorobkiem naukowo – artystycznym. Zwieńczeniem działań konkursowych była wystawa pokonkursowa prezentująca najlepsze utwory literackie pn. „Serce drzewa”.</w:t>
            </w:r>
          </w:p>
        </w:tc>
      </w:tr>
      <w:tr w:rsidR="00C97BE2" w:rsidRPr="00C97BE2" w14:paraId="14BABD86" w14:textId="77777777" w:rsidTr="00D578ED">
        <w:tc>
          <w:tcPr>
            <w:tcW w:w="846" w:type="dxa"/>
          </w:tcPr>
          <w:p w14:paraId="04611868"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1BF20C5A" w14:textId="77777777" w:rsidR="00C97BE2" w:rsidRPr="00C97BE2" w:rsidRDefault="00C97BE2" w:rsidP="00C97BE2">
            <w:pPr>
              <w:rPr>
                <w:rFonts w:ascii="Lato" w:hAnsi="Lato"/>
                <w:sz w:val="20"/>
                <w:szCs w:val="20"/>
              </w:rPr>
            </w:pPr>
            <w:r w:rsidRPr="00C97BE2">
              <w:rPr>
                <w:rFonts w:ascii="Lato" w:hAnsi="Lato"/>
                <w:sz w:val="20"/>
                <w:szCs w:val="20"/>
              </w:rPr>
              <w:t xml:space="preserve">„Zostań odkrywcą Roztoczańskiego Parku Narodowego” – zabawa edukacyjna dla całej rodziny </w:t>
            </w:r>
          </w:p>
        </w:tc>
        <w:tc>
          <w:tcPr>
            <w:tcW w:w="1843" w:type="dxa"/>
          </w:tcPr>
          <w:p w14:paraId="2FD08B02" w14:textId="77777777" w:rsidR="00C97BE2" w:rsidRPr="00C97BE2" w:rsidRDefault="00C97BE2" w:rsidP="00C97BE2">
            <w:pPr>
              <w:jc w:val="center"/>
              <w:rPr>
                <w:rFonts w:ascii="Lato" w:hAnsi="Lato"/>
                <w:sz w:val="20"/>
                <w:szCs w:val="20"/>
              </w:rPr>
            </w:pPr>
            <w:r w:rsidRPr="00C97BE2">
              <w:rPr>
                <w:rFonts w:ascii="Lato" w:hAnsi="Lato"/>
                <w:sz w:val="20"/>
                <w:szCs w:val="20"/>
              </w:rPr>
              <w:t>VII-VIII</w:t>
            </w:r>
          </w:p>
        </w:tc>
        <w:tc>
          <w:tcPr>
            <w:tcW w:w="8163" w:type="dxa"/>
          </w:tcPr>
          <w:p w14:paraId="6E7189A7" w14:textId="77777777" w:rsidR="00C97BE2" w:rsidRPr="00C97BE2" w:rsidRDefault="00C97BE2" w:rsidP="00C97BE2">
            <w:pPr>
              <w:rPr>
                <w:rFonts w:ascii="Lato" w:hAnsi="Lato"/>
                <w:sz w:val="20"/>
                <w:szCs w:val="20"/>
              </w:rPr>
            </w:pPr>
            <w:r w:rsidRPr="00C97BE2">
              <w:rPr>
                <w:rFonts w:ascii="Lato" w:hAnsi="Lato"/>
                <w:sz w:val="20"/>
                <w:szCs w:val="20"/>
              </w:rPr>
              <w:t>Aby zostać Odkrywcą RPN należało zapoznać się z informacjami na temat przyrody Parku znajdującymi się na tablicach informacyjnych przy ścieżkach poznawczych, mapach, przewodnikach i innych wydawnictwach lub na stronie internetowej RPN. Planując trasę wycieczki należało uwzględnić miejsca do których odnoszą się pytania/zadania znajdujące się w „Karcie odkrywcy RPN”. Następnie udzielić prawidłowych odpowiedzi i zebrać wszystkie pieczątki.</w:t>
            </w:r>
          </w:p>
        </w:tc>
      </w:tr>
      <w:tr w:rsidR="00C97BE2" w:rsidRPr="00C97BE2" w14:paraId="4768B56D" w14:textId="77777777" w:rsidTr="00D578ED">
        <w:tc>
          <w:tcPr>
            <w:tcW w:w="846" w:type="dxa"/>
          </w:tcPr>
          <w:p w14:paraId="5B05847C"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7DB87BD5" w14:textId="77777777" w:rsidR="00C97BE2" w:rsidRPr="00C97BE2" w:rsidRDefault="00C97BE2" w:rsidP="00C97BE2">
            <w:pPr>
              <w:rPr>
                <w:rFonts w:ascii="Lato" w:hAnsi="Lato"/>
                <w:sz w:val="20"/>
                <w:szCs w:val="20"/>
              </w:rPr>
            </w:pPr>
            <w:r w:rsidRPr="00C97BE2">
              <w:rPr>
                <w:rFonts w:ascii="Lato" w:hAnsi="Lato"/>
                <w:sz w:val="20"/>
                <w:szCs w:val="20"/>
              </w:rPr>
              <w:t>„Dni otwarte Roztoczańskiego Parku Narodowego”</w:t>
            </w:r>
          </w:p>
        </w:tc>
        <w:tc>
          <w:tcPr>
            <w:tcW w:w="1843" w:type="dxa"/>
          </w:tcPr>
          <w:p w14:paraId="2973A513" w14:textId="77777777" w:rsidR="00C97BE2" w:rsidRPr="00C97BE2" w:rsidRDefault="00C97BE2" w:rsidP="00C97BE2">
            <w:pPr>
              <w:jc w:val="center"/>
              <w:rPr>
                <w:rFonts w:ascii="Lato" w:hAnsi="Lato"/>
                <w:sz w:val="20"/>
                <w:szCs w:val="20"/>
              </w:rPr>
            </w:pPr>
            <w:r w:rsidRPr="00C97BE2">
              <w:rPr>
                <w:rFonts w:ascii="Lato" w:hAnsi="Lato"/>
                <w:sz w:val="20"/>
                <w:szCs w:val="20"/>
              </w:rPr>
              <w:t>6-7.08.2022</w:t>
            </w:r>
          </w:p>
        </w:tc>
        <w:tc>
          <w:tcPr>
            <w:tcW w:w="8163" w:type="dxa"/>
          </w:tcPr>
          <w:p w14:paraId="549085C5" w14:textId="77777777" w:rsidR="00C97BE2" w:rsidRPr="00C97BE2" w:rsidRDefault="00C97BE2" w:rsidP="00C97BE2">
            <w:pPr>
              <w:rPr>
                <w:rFonts w:ascii="Lato" w:hAnsi="Lato"/>
                <w:sz w:val="20"/>
                <w:szCs w:val="20"/>
              </w:rPr>
            </w:pPr>
            <w:r w:rsidRPr="00C97BE2">
              <w:rPr>
                <w:rFonts w:ascii="Lato" w:hAnsi="Lato"/>
                <w:sz w:val="20"/>
                <w:szCs w:val="20"/>
              </w:rPr>
              <w:t xml:space="preserve">Dwudniowa impreza plenerowa. </w:t>
            </w:r>
            <w:r w:rsidRPr="00C97BE2">
              <w:rPr>
                <w:rFonts w:ascii="Lato" w:eastAsia="+mj-ea" w:hAnsi="Lato"/>
                <w:bCs/>
                <w:spacing w:val="4"/>
                <w:kern w:val="24"/>
                <w:sz w:val="20"/>
                <w:szCs w:val="20"/>
              </w:rPr>
              <w:t>Pierwszy dzień (6.08.) pn. „Lubelskie spotkania z przyrodą. Roztoczańska przygoda z konikiem polskim” został zorganizowany wspólnie z Urzędem Marszałkowskim Województwa Lubelskiego w ramach projektu Lubelskie smakuj życie. Drugiego dnia (7.08.) miał miejsce Dzień otwarty RPN pn. „W naturze roztoczańskich nietoperzy” podczas którego poza stoiskami z wyrobami regionalnymi, stoiskami instytucji i organizacji zajmujących się ochrona przyrody, grami, zabawami i konkursami edukacyjnymi</w:t>
            </w:r>
          </w:p>
        </w:tc>
      </w:tr>
      <w:tr w:rsidR="00C97BE2" w:rsidRPr="00C97BE2" w14:paraId="1C472805" w14:textId="77777777" w:rsidTr="00D578ED">
        <w:tc>
          <w:tcPr>
            <w:tcW w:w="846" w:type="dxa"/>
          </w:tcPr>
          <w:p w14:paraId="1704EECB"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33498D35" w14:textId="77777777" w:rsidR="00C97BE2" w:rsidRPr="00C97BE2" w:rsidRDefault="00C97BE2" w:rsidP="00C97BE2">
            <w:pPr>
              <w:rPr>
                <w:rFonts w:ascii="Lato" w:hAnsi="Lato"/>
                <w:sz w:val="20"/>
                <w:szCs w:val="20"/>
              </w:rPr>
            </w:pPr>
            <w:r w:rsidRPr="00C97BE2">
              <w:rPr>
                <w:rFonts w:ascii="Lato" w:hAnsi="Lato" w:cstheme="minorHAnsi"/>
                <w:sz w:val="20"/>
                <w:szCs w:val="20"/>
              </w:rPr>
              <w:t>Przebudowa drewnianych ścieżek przy stawach Echo w Roztoczańskim Parku Narodowym w Zwierzyńcu</w:t>
            </w:r>
          </w:p>
        </w:tc>
        <w:tc>
          <w:tcPr>
            <w:tcW w:w="1843" w:type="dxa"/>
          </w:tcPr>
          <w:p w14:paraId="27BAEB38" w14:textId="77777777" w:rsidR="00C97BE2" w:rsidRPr="00C97BE2" w:rsidRDefault="00C97BE2" w:rsidP="00C97BE2">
            <w:pPr>
              <w:jc w:val="center"/>
              <w:rPr>
                <w:rFonts w:ascii="Lato" w:hAnsi="Lato"/>
                <w:sz w:val="20"/>
                <w:szCs w:val="20"/>
              </w:rPr>
            </w:pPr>
            <w:r w:rsidRPr="00C97BE2">
              <w:rPr>
                <w:rFonts w:ascii="Lato" w:hAnsi="Lato"/>
                <w:sz w:val="20"/>
                <w:szCs w:val="20"/>
              </w:rPr>
              <w:t>VII-XII</w:t>
            </w:r>
          </w:p>
        </w:tc>
        <w:tc>
          <w:tcPr>
            <w:tcW w:w="8163" w:type="dxa"/>
          </w:tcPr>
          <w:p w14:paraId="48DE8954" w14:textId="77777777" w:rsidR="00C97BE2" w:rsidRPr="00C97BE2" w:rsidRDefault="00C97BE2" w:rsidP="00C97BE2">
            <w:pPr>
              <w:rPr>
                <w:rFonts w:ascii="Lato" w:hAnsi="Lato"/>
                <w:sz w:val="20"/>
                <w:szCs w:val="20"/>
              </w:rPr>
            </w:pPr>
            <w:r w:rsidRPr="00C97BE2">
              <w:rPr>
                <w:rFonts w:ascii="Lato" w:hAnsi="Lato" w:cs="Times New Roman"/>
                <w:sz w:val="20"/>
                <w:szCs w:val="20"/>
              </w:rPr>
              <w:t>Przebudowano i odtworzono infrastrukturę pomostu antyerozyjnego w ciągu Ścieżki poznawczej po Wydmie na powierzchni ok.696 m</w:t>
            </w:r>
            <w:r w:rsidRPr="00C97BE2">
              <w:rPr>
                <w:rFonts w:ascii="Lato" w:hAnsi="Lato" w:cs="Times New Roman"/>
                <w:sz w:val="20"/>
                <w:szCs w:val="20"/>
                <w:vertAlign w:val="superscript"/>
              </w:rPr>
              <w:t xml:space="preserve">2 </w:t>
            </w:r>
            <w:r w:rsidRPr="00C97BE2">
              <w:rPr>
                <w:rFonts w:ascii="Lato" w:hAnsi="Lato" w:cs="Times New Roman"/>
                <w:sz w:val="20"/>
                <w:szCs w:val="20"/>
              </w:rPr>
              <w:t xml:space="preserve">oraz odtworzono infrastrukturę </w:t>
            </w:r>
            <w:r w:rsidRPr="00C97BE2">
              <w:rPr>
                <w:rFonts w:ascii="Lato" w:hAnsi="Lato" w:cs="Times New Roman"/>
                <w:sz w:val="20"/>
                <w:szCs w:val="20"/>
              </w:rPr>
              <w:lastRenderedPageBreak/>
              <w:t>płotu antyerozyjnego na długości ok 302mb. Pomost dzięki platformom podjazdowym umożliwia dostęp osobom z niepełnosprawnością do stawów Echo oraz dalej do trasy rowerowej do Florianki.</w:t>
            </w:r>
          </w:p>
        </w:tc>
      </w:tr>
      <w:tr w:rsidR="00C97BE2" w:rsidRPr="00C97BE2" w14:paraId="754CA295" w14:textId="77777777" w:rsidTr="00D578ED">
        <w:tc>
          <w:tcPr>
            <w:tcW w:w="846" w:type="dxa"/>
          </w:tcPr>
          <w:p w14:paraId="70D70CBF"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0510FFCA" w14:textId="77777777" w:rsidR="00C97BE2" w:rsidRPr="00C97BE2" w:rsidRDefault="00C97BE2" w:rsidP="00C97BE2">
            <w:pPr>
              <w:rPr>
                <w:rFonts w:ascii="Lato" w:hAnsi="Lato"/>
                <w:sz w:val="20"/>
                <w:szCs w:val="20"/>
              </w:rPr>
            </w:pPr>
            <w:r w:rsidRPr="00C97BE2">
              <w:rPr>
                <w:rFonts w:ascii="Lato" w:hAnsi="Lato"/>
                <w:sz w:val="20"/>
                <w:szCs w:val="20"/>
              </w:rPr>
              <w:t xml:space="preserve">Dostawa systemu zarządzania wystawami w OEM RPN – opartego na </w:t>
            </w:r>
            <w:proofErr w:type="spellStart"/>
            <w:r w:rsidRPr="00C97BE2">
              <w:rPr>
                <w:rFonts w:ascii="Lato" w:hAnsi="Lato"/>
                <w:sz w:val="20"/>
                <w:szCs w:val="20"/>
              </w:rPr>
              <w:t>audioprzewodnikach</w:t>
            </w:r>
            <w:proofErr w:type="spellEnd"/>
            <w:r w:rsidRPr="00C97BE2">
              <w:rPr>
                <w:rFonts w:ascii="Lato" w:hAnsi="Lato"/>
                <w:sz w:val="20"/>
                <w:szCs w:val="20"/>
              </w:rPr>
              <w:t>.</w:t>
            </w:r>
          </w:p>
          <w:p w14:paraId="78319A5B" w14:textId="77777777" w:rsidR="00C97BE2" w:rsidRPr="00C97BE2" w:rsidRDefault="00C97BE2" w:rsidP="00C97BE2">
            <w:pPr>
              <w:rPr>
                <w:rFonts w:ascii="Lato" w:hAnsi="Lato"/>
                <w:sz w:val="20"/>
                <w:szCs w:val="20"/>
              </w:rPr>
            </w:pPr>
          </w:p>
        </w:tc>
        <w:tc>
          <w:tcPr>
            <w:tcW w:w="1843" w:type="dxa"/>
          </w:tcPr>
          <w:p w14:paraId="21FB9B2F" w14:textId="77777777" w:rsidR="00C97BE2" w:rsidRPr="00C97BE2" w:rsidRDefault="00C97BE2" w:rsidP="00C97BE2">
            <w:pPr>
              <w:jc w:val="center"/>
              <w:rPr>
                <w:rFonts w:ascii="Lato" w:hAnsi="Lato"/>
                <w:sz w:val="20"/>
                <w:szCs w:val="20"/>
              </w:rPr>
            </w:pPr>
            <w:r w:rsidRPr="00C97BE2">
              <w:rPr>
                <w:rFonts w:ascii="Lato" w:hAnsi="Lato"/>
                <w:sz w:val="20"/>
                <w:szCs w:val="20"/>
              </w:rPr>
              <w:t>III-VI</w:t>
            </w:r>
          </w:p>
        </w:tc>
        <w:tc>
          <w:tcPr>
            <w:tcW w:w="8163" w:type="dxa"/>
          </w:tcPr>
          <w:p w14:paraId="4C7D12F2" w14:textId="77777777" w:rsidR="00C97BE2" w:rsidRPr="00C97BE2" w:rsidRDefault="00C97BE2" w:rsidP="00C97BE2">
            <w:pPr>
              <w:rPr>
                <w:rFonts w:ascii="Lato" w:hAnsi="Lato"/>
                <w:sz w:val="20"/>
                <w:szCs w:val="20"/>
              </w:rPr>
            </w:pPr>
            <w:r w:rsidRPr="00C97BE2">
              <w:rPr>
                <w:rFonts w:ascii="Lato" w:hAnsi="Lato"/>
                <w:sz w:val="20"/>
                <w:szCs w:val="20"/>
              </w:rPr>
              <w:t xml:space="preserve">Wdrożono system </w:t>
            </w:r>
            <w:proofErr w:type="spellStart"/>
            <w:r w:rsidRPr="00C97BE2">
              <w:rPr>
                <w:rFonts w:ascii="Lato" w:hAnsi="Lato"/>
                <w:sz w:val="20"/>
                <w:szCs w:val="20"/>
              </w:rPr>
              <w:t>audioprzewodników</w:t>
            </w:r>
            <w:proofErr w:type="spellEnd"/>
            <w:r w:rsidRPr="00C97BE2">
              <w:rPr>
                <w:rFonts w:ascii="Lato" w:hAnsi="Lato"/>
                <w:sz w:val="20"/>
                <w:szCs w:val="20"/>
              </w:rPr>
              <w:t xml:space="preserve">. Osoby zwiedzające Ośrodek mają możliwość wyboru ścieżek w j. polskim, z </w:t>
            </w:r>
            <w:proofErr w:type="spellStart"/>
            <w:r w:rsidRPr="00C97BE2">
              <w:rPr>
                <w:rFonts w:ascii="Lato" w:hAnsi="Lato"/>
                <w:sz w:val="20"/>
                <w:szCs w:val="20"/>
              </w:rPr>
              <w:t>audiodeskrypcją</w:t>
            </w:r>
            <w:proofErr w:type="spellEnd"/>
            <w:r w:rsidRPr="00C97BE2">
              <w:rPr>
                <w:rFonts w:ascii="Lato" w:hAnsi="Lato"/>
                <w:sz w:val="20"/>
                <w:szCs w:val="20"/>
              </w:rPr>
              <w:t xml:space="preserve">, PJM, dla rodzin z dziećmi. Zakupiono nadajniki do dźwiękowej sygnalizacji dla osób niewidomych oraz został wdrożony system słuchawek indukcyjnych dla osób niedosłyszących i niesłyszących - pętle indukcyjne. </w:t>
            </w:r>
          </w:p>
        </w:tc>
      </w:tr>
      <w:tr w:rsidR="00C97BE2" w:rsidRPr="00C97BE2" w14:paraId="466F466A" w14:textId="77777777" w:rsidTr="00D578ED">
        <w:tc>
          <w:tcPr>
            <w:tcW w:w="846" w:type="dxa"/>
          </w:tcPr>
          <w:p w14:paraId="180611B6"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3BE23607" w14:textId="77777777" w:rsidR="00C97BE2" w:rsidRPr="00C97BE2" w:rsidRDefault="00C97BE2" w:rsidP="00C97BE2">
            <w:pPr>
              <w:rPr>
                <w:rFonts w:ascii="Lato" w:hAnsi="Lato"/>
                <w:sz w:val="20"/>
                <w:szCs w:val="20"/>
              </w:rPr>
            </w:pPr>
            <w:r w:rsidRPr="00C97BE2">
              <w:rPr>
                <w:rFonts w:ascii="Lato" w:hAnsi="Lato"/>
                <w:sz w:val="20"/>
                <w:szCs w:val="20"/>
              </w:rPr>
              <w:t xml:space="preserve">Zakup materiałów na zajęcia edukacyjne </w:t>
            </w:r>
          </w:p>
        </w:tc>
        <w:tc>
          <w:tcPr>
            <w:tcW w:w="1843" w:type="dxa"/>
          </w:tcPr>
          <w:p w14:paraId="703F8C3F" w14:textId="77777777" w:rsidR="00C97BE2" w:rsidRPr="00C97BE2" w:rsidRDefault="00C97BE2" w:rsidP="00C97BE2">
            <w:pPr>
              <w:jc w:val="center"/>
              <w:rPr>
                <w:rFonts w:ascii="Lato" w:hAnsi="Lato"/>
                <w:sz w:val="20"/>
                <w:szCs w:val="20"/>
              </w:rPr>
            </w:pPr>
            <w:r w:rsidRPr="00C97BE2">
              <w:rPr>
                <w:rFonts w:ascii="Lato" w:hAnsi="Lato"/>
                <w:sz w:val="20"/>
                <w:szCs w:val="20"/>
              </w:rPr>
              <w:t>III-XII</w:t>
            </w:r>
          </w:p>
        </w:tc>
        <w:tc>
          <w:tcPr>
            <w:tcW w:w="8163" w:type="dxa"/>
          </w:tcPr>
          <w:p w14:paraId="50F447B2" w14:textId="77777777" w:rsidR="00C97BE2" w:rsidRPr="00C97BE2" w:rsidRDefault="00C97BE2" w:rsidP="00C97BE2">
            <w:pPr>
              <w:rPr>
                <w:rFonts w:ascii="Lato" w:hAnsi="Lato"/>
                <w:sz w:val="20"/>
                <w:szCs w:val="20"/>
              </w:rPr>
            </w:pPr>
            <w:r w:rsidRPr="00C97BE2">
              <w:rPr>
                <w:rFonts w:ascii="Lato" w:hAnsi="Lato"/>
                <w:sz w:val="20"/>
                <w:szCs w:val="20"/>
              </w:rPr>
              <w:t>W ramach realizacji działań edukacyjnych doposażono salę edukacyjną w narzędzia umożliwiające prowadzenie zajęć z osobami ze specjalnymi potrzebami. W ramach doposażenia sali edukacyjnej zakupiono: lupy elektroniczne, modele cykli życia zwierząt, sortery/układanki z drewna oraz tropy zwierząt,</w:t>
            </w:r>
            <w:r w:rsidRPr="00C97BE2">
              <w:rPr>
                <w:rFonts w:ascii="Lato" w:hAnsi="Lato" w:cstheme="minorHAnsi"/>
                <w:color w:val="212529"/>
                <w:sz w:val="20"/>
                <w:szCs w:val="20"/>
                <w:shd w:val="clear" w:color="auto" w:fill="FFFFFF"/>
              </w:rPr>
              <w:t xml:space="preserve"> edukacyjną matę brajlowską i plansze </w:t>
            </w:r>
            <w:proofErr w:type="spellStart"/>
            <w:r w:rsidRPr="00C97BE2">
              <w:rPr>
                <w:rFonts w:ascii="Lato" w:hAnsi="Lato" w:cstheme="minorHAnsi"/>
                <w:color w:val="212529"/>
                <w:sz w:val="20"/>
                <w:szCs w:val="20"/>
                <w:shd w:val="clear" w:color="auto" w:fill="FFFFFF"/>
              </w:rPr>
              <w:t>tyflograficzne</w:t>
            </w:r>
            <w:proofErr w:type="spellEnd"/>
            <w:r w:rsidRPr="00C97BE2">
              <w:rPr>
                <w:rFonts w:ascii="Lato" w:hAnsi="Lato" w:cstheme="minorHAnsi"/>
                <w:color w:val="212529"/>
                <w:sz w:val="20"/>
                <w:szCs w:val="20"/>
                <w:shd w:val="clear" w:color="auto" w:fill="FFFFFF"/>
              </w:rPr>
              <w:t xml:space="preserve">. </w:t>
            </w:r>
          </w:p>
        </w:tc>
      </w:tr>
      <w:tr w:rsidR="00C97BE2" w:rsidRPr="00C97BE2" w14:paraId="1DD4775B" w14:textId="77777777" w:rsidTr="00D578ED">
        <w:tc>
          <w:tcPr>
            <w:tcW w:w="846" w:type="dxa"/>
          </w:tcPr>
          <w:p w14:paraId="35ED26AD"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65F19057" w14:textId="77777777" w:rsidR="00C97BE2" w:rsidRPr="00C97BE2" w:rsidRDefault="00C97BE2" w:rsidP="00C97BE2">
            <w:pPr>
              <w:rPr>
                <w:rFonts w:ascii="Lato" w:hAnsi="Lato"/>
                <w:sz w:val="20"/>
                <w:szCs w:val="20"/>
              </w:rPr>
            </w:pPr>
            <w:r w:rsidRPr="00C97BE2">
              <w:rPr>
                <w:rFonts w:ascii="Lato" w:hAnsi="Lato"/>
                <w:sz w:val="20"/>
                <w:szCs w:val="20"/>
              </w:rPr>
              <w:t>Oznaczenie dróg ewakuacyjnych dla osób z niepełnosprawnościami wraz z zakupem niezbędnego sprzętu ratującego zdrowie i życie w sytuacji zagrożenia.</w:t>
            </w:r>
          </w:p>
        </w:tc>
        <w:tc>
          <w:tcPr>
            <w:tcW w:w="1843" w:type="dxa"/>
          </w:tcPr>
          <w:p w14:paraId="7F3B3D1B" w14:textId="77777777" w:rsidR="00C97BE2" w:rsidRPr="00C97BE2" w:rsidRDefault="00C97BE2" w:rsidP="00C97BE2">
            <w:pPr>
              <w:jc w:val="center"/>
              <w:rPr>
                <w:rFonts w:ascii="Lato" w:hAnsi="Lato"/>
                <w:sz w:val="20"/>
                <w:szCs w:val="20"/>
              </w:rPr>
            </w:pPr>
            <w:r w:rsidRPr="00C97BE2">
              <w:rPr>
                <w:rFonts w:ascii="Lato" w:hAnsi="Lato"/>
                <w:sz w:val="20"/>
                <w:szCs w:val="20"/>
              </w:rPr>
              <w:t>III-XII</w:t>
            </w:r>
          </w:p>
        </w:tc>
        <w:tc>
          <w:tcPr>
            <w:tcW w:w="8163" w:type="dxa"/>
          </w:tcPr>
          <w:p w14:paraId="1EA43D68" w14:textId="77777777" w:rsidR="00C97BE2" w:rsidRPr="00C97BE2" w:rsidRDefault="00C97BE2" w:rsidP="00C97BE2">
            <w:pPr>
              <w:rPr>
                <w:rFonts w:ascii="Lato" w:hAnsi="Lato"/>
                <w:sz w:val="20"/>
                <w:szCs w:val="20"/>
              </w:rPr>
            </w:pPr>
            <w:r w:rsidRPr="00C97BE2">
              <w:rPr>
                <w:rFonts w:ascii="Lato" w:hAnsi="Lato"/>
                <w:sz w:val="20"/>
                <w:szCs w:val="20"/>
              </w:rPr>
              <w:t xml:space="preserve">W ramach realizacji zadania zakupiono 2 krzesła ewakuacyjne oraz 4 defibrylatory. Krzesła umożliwiają ewakuację osób o ograniczonej zdolności poruszania się w sytuacjach awaryjnych po schodach. Zostały one umieszczone w dwóch miejscach na pierwszej kondygnacji  budynku OEM RPN. </w:t>
            </w:r>
          </w:p>
        </w:tc>
      </w:tr>
      <w:tr w:rsidR="00C97BE2" w:rsidRPr="00C97BE2" w14:paraId="13414382" w14:textId="77777777" w:rsidTr="00D578ED">
        <w:tc>
          <w:tcPr>
            <w:tcW w:w="846" w:type="dxa"/>
          </w:tcPr>
          <w:p w14:paraId="7AF396DA"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6DEF1D42" w14:textId="77777777" w:rsidR="00C97BE2" w:rsidRPr="00C97BE2" w:rsidRDefault="00C97BE2" w:rsidP="00C97BE2">
            <w:pPr>
              <w:rPr>
                <w:rFonts w:ascii="Lato" w:hAnsi="Lato"/>
                <w:sz w:val="20"/>
                <w:szCs w:val="20"/>
              </w:rPr>
            </w:pPr>
            <w:r w:rsidRPr="00C97BE2">
              <w:rPr>
                <w:rFonts w:ascii="Lato" w:hAnsi="Lato" w:cstheme="minorHAnsi"/>
                <w:color w:val="212529"/>
                <w:sz w:val="20"/>
                <w:szCs w:val="20"/>
                <w:shd w:val="clear" w:color="auto" w:fill="FFFFFF"/>
              </w:rPr>
              <w:t>Zakup puf oraz ławek do OEM RPN i Punktu Informacji Turystycznej.</w:t>
            </w:r>
          </w:p>
        </w:tc>
        <w:tc>
          <w:tcPr>
            <w:tcW w:w="1843" w:type="dxa"/>
          </w:tcPr>
          <w:p w14:paraId="094254C2" w14:textId="77777777" w:rsidR="00C97BE2" w:rsidRPr="00C97BE2" w:rsidRDefault="00C97BE2" w:rsidP="00C97BE2">
            <w:pPr>
              <w:jc w:val="center"/>
              <w:rPr>
                <w:rFonts w:ascii="Lato" w:hAnsi="Lato"/>
                <w:sz w:val="20"/>
                <w:szCs w:val="20"/>
              </w:rPr>
            </w:pPr>
            <w:r w:rsidRPr="00C97BE2">
              <w:rPr>
                <w:rFonts w:ascii="Lato" w:hAnsi="Lato"/>
                <w:sz w:val="20"/>
                <w:szCs w:val="20"/>
              </w:rPr>
              <w:t>III-XII</w:t>
            </w:r>
          </w:p>
        </w:tc>
        <w:tc>
          <w:tcPr>
            <w:tcW w:w="8163" w:type="dxa"/>
          </w:tcPr>
          <w:p w14:paraId="50BA399E" w14:textId="77777777" w:rsidR="00C97BE2" w:rsidRPr="00C97BE2" w:rsidRDefault="00C97BE2" w:rsidP="00C97BE2">
            <w:pPr>
              <w:rPr>
                <w:rFonts w:ascii="Lato" w:hAnsi="Lato" w:cstheme="minorHAnsi"/>
                <w:color w:val="212529"/>
                <w:sz w:val="20"/>
                <w:szCs w:val="20"/>
                <w:shd w:val="clear" w:color="auto" w:fill="FFFFFF"/>
              </w:rPr>
            </w:pPr>
            <w:r w:rsidRPr="00C97BE2">
              <w:rPr>
                <w:rFonts w:ascii="Lato" w:hAnsi="Lato" w:cstheme="minorHAnsi"/>
                <w:color w:val="212529"/>
                <w:sz w:val="20"/>
                <w:szCs w:val="20"/>
                <w:shd w:val="clear" w:color="auto" w:fill="FFFFFF"/>
              </w:rPr>
              <w:t>Zakupione pufy zostały umieszczone w kąciku malucha, a ławki na wystawie stałej i czasowej oraz w PIT, jako miejsce odpoczynku.</w:t>
            </w:r>
          </w:p>
        </w:tc>
      </w:tr>
      <w:tr w:rsidR="00C97BE2" w:rsidRPr="00C97BE2" w14:paraId="7632DF66" w14:textId="77777777" w:rsidTr="00D578ED">
        <w:tc>
          <w:tcPr>
            <w:tcW w:w="846" w:type="dxa"/>
          </w:tcPr>
          <w:p w14:paraId="49C7954A"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08B7012B" w14:textId="77777777" w:rsidR="00C97BE2" w:rsidRPr="00C97BE2" w:rsidRDefault="00C97BE2" w:rsidP="00C97BE2">
            <w:pPr>
              <w:rPr>
                <w:rFonts w:ascii="Lato" w:hAnsi="Lato"/>
                <w:sz w:val="20"/>
                <w:szCs w:val="20"/>
              </w:rPr>
            </w:pPr>
            <w:r w:rsidRPr="00C97BE2">
              <w:rPr>
                <w:rFonts w:ascii="Lato" w:hAnsi="Lato" w:cstheme="minorHAnsi"/>
                <w:color w:val="212529"/>
                <w:sz w:val="20"/>
                <w:szCs w:val="20"/>
                <w:shd w:val="clear" w:color="auto" w:fill="FFFFFF"/>
              </w:rPr>
              <w:t>Zakup pętli indukcyjnych stanowiskowych</w:t>
            </w:r>
          </w:p>
        </w:tc>
        <w:tc>
          <w:tcPr>
            <w:tcW w:w="1843" w:type="dxa"/>
          </w:tcPr>
          <w:p w14:paraId="6FB47475" w14:textId="77777777" w:rsidR="00C97BE2" w:rsidRPr="00C97BE2" w:rsidRDefault="00C97BE2" w:rsidP="00C97BE2">
            <w:pPr>
              <w:jc w:val="center"/>
              <w:rPr>
                <w:rFonts w:ascii="Lato" w:hAnsi="Lato"/>
                <w:sz w:val="20"/>
                <w:szCs w:val="20"/>
              </w:rPr>
            </w:pPr>
            <w:r w:rsidRPr="00C97BE2">
              <w:rPr>
                <w:rFonts w:ascii="Lato" w:hAnsi="Lato"/>
                <w:sz w:val="20"/>
                <w:szCs w:val="20"/>
              </w:rPr>
              <w:t>IX</w:t>
            </w:r>
          </w:p>
        </w:tc>
        <w:tc>
          <w:tcPr>
            <w:tcW w:w="8163" w:type="dxa"/>
          </w:tcPr>
          <w:p w14:paraId="78E4A24A" w14:textId="77777777" w:rsidR="00C97BE2" w:rsidRPr="00C97BE2" w:rsidRDefault="00C97BE2" w:rsidP="00C97BE2">
            <w:pPr>
              <w:rPr>
                <w:rFonts w:ascii="Lato" w:hAnsi="Lato" w:cstheme="minorHAnsi"/>
                <w:color w:val="212529"/>
                <w:sz w:val="20"/>
                <w:szCs w:val="20"/>
                <w:shd w:val="clear" w:color="auto" w:fill="FFFFFF"/>
              </w:rPr>
            </w:pPr>
            <w:r w:rsidRPr="00C97BE2">
              <w:rPr>
                <w:rFonts w:ascii="Lato" w:hAnsi="Lato" w:cstheme="minorHAnsi"/>
                <w:color w:val="212529"/>
                <w:sz w:val="20"/>
                <w:szCs w:val="20"/>
                <w:shd w:val="clear" w:color="auto" w:fill="FFFFFF"/>
              </w:rPr>
              <w:t>Zakupiono 4 pętle indukcyjne stanowiskowe, które zostały umieszczone w Punkcie Informacji Turystycznej, Ośrodku Edukacyjno-Muzealnym, sekretariacie w Dyrekcji Parku oraz w Izbie Leśnej we Floriance.</w:t>
            </w:r>
          </w:p>
        </w:tc>
      </w:tr>
      <w:tr w:rsidR="00C97BE2" w:rsidRPr="00C97BE2" w14:paraId="722CC805" w14:textId="77777777" w:rsidTr="00D578ED">
        <w:tc>
          <w:tcPr>
            <w:tcW w:w="846" w:type="dxa"/>
          </w:tcPr>
          <w:p w14:paraId="18B14943" w14:textId="77777777" w:rsidR="00C97BE2" w:rsidRPr="00C97BE2" w:rsidRDefault="00C97BE2" w:rsidP="00B73AF7">
            <w:pPr>
              <w:pStyle w:val="Akapitzlist"/>
              <w:numPr>
                <w:ilvl w:val="0"/>
                <w:numId w:val="18"/>
              </w:numPr>
              <w:jc w:val="center"/>
              <w:rPr>
                <w:rFonts w:ascii="Lato" w:hAnsi="Lato"/>
                <w:b/>
                <w:bCs/>
                <w:sz w:val="20"/>
                <w:szCs w:val="20"/>
              </w:rPr>
            </w:pPr>
          </w:p>
        </w:tc>
        <w:tc>
          <w:tcPr>
            <w:tcW w:w="4536" w:type="dxa"/>
          </w:tcPr>
          <w:p w14:paraId="645456E5" w14:textId="77777777" w:rsidR="00C97BE2" w:rsidRPr="00C97BE2" w:rsidRDefault="00C97BE2" w:rsidP="00C97BE2">
            <w:pPr>
              <w:rPr>
                <w:rFonts w:ascii="Lato" w:hAnsi="Lato"/>
                <w:sz w:val="20"/>
                <w:szCs w:val="20"/>
              </w:rPr>
            </w:pPr>
            <w:r w:rsidRPr="00C97BE2">
              <w:rPr>
                <w:rFonts w:ascii="Lato" w:hAnsi="Lato" w:cstheme="minorHAnsi"/>
                <w:color w:val="212529"/>
                <w:sz w:val="20"/>
                <w:szCs w:val="20"/>
                <w:shd w:val="clear" w:color="auto" w:fill="FFFFFF"/>
              </w:rPr>
              <w:t>Szkolenie dla pracowników Parku z zakresu obsługi klientów z niepełnosprawnością.</w:t>
            </w:r>
          </w:p>
        </w:tc>
        <w:tc>
          <w:tcPr>
            <w:tcW w:w="1843" w:type="dxa"/>
          </w:tcPr>
          <w:p w14:paraId="12967AF1" w14:textId="77777777" w:rsidR="00C97BE2" w:rsidRPr="00C97BE2" w:rsidRDefault="00C97BE2" w:rsidP="00C97BE2">
            <w:pPr>
              <w:jc w:val="center"/>
              <w:rPr>
                <w:rFonts w:ascii="Lato" w:hAnsi="Lato"/>
                <w:sz w:val="20"/>
                <w:szCs w:val="20"/>
              </w:rPr>
            </w:pPr>
            <w:r w:rsidRPr="00C97BE2">
              <w:rPr>
                <w:rFonts w:ascii="Lato" w:hAnsi="Lato"/>
                <w:sz w:val="20"/>
                <w:szCs w:val="20"/>
              </w:rPr>
              <w:t>XII</w:t>
            </w:r>
          </w:p>
        </w:tc>
        <w:tc>
          <w:tcPr>
            <w:tcW w:w="8163" w:type="dxa"/>
          </w:tcPr>
          <w:p w14:paraId="31F72AAC" w14:textId="77777777" w:rsidR="00C97BE2" w:rsidRPr="00C97BE2" w:rsidRDefault="00C97BE2" w:rsidP="00C97BE2">
            <w:pPr>
              <w:rPr>
                <w:rFonts w:ascii="Lato" w:hAnsi="Lato" w:cstheme="minorHAnsi"/>
                <w:color w:val="212529"/>
                <w:sz w:val="20"/>
                <w:szCs w:val="20"/>
                <w:shd w:val="clear" w:color="auto" w:fill="FFFFFF"/>
              </w:rPr>
            </w:pPr>
            <w:r w:rsidRPr="00C97BE2">
              <w:rPr>
                <w:rFonts w:ascii="Lato" w:hAnsi="Lato" w:cstheme="minorHAnsi"/>
                <w:color w:val="212529"/>
                <w:sz w:val="20"/>
                <w:szCs w:val="20"/>
                <w:shd w:val="clear" w:color="auto" w:fill="FFFFFF"/>
              </w:rPr>
              <w:t xml:space="preserve">Do udziału w szkoleniu zaproszono pracowników Parku, których charakter pracy skupia się bezpośrednio na obsłudze klientów i interesantów. Udział w szkoleniu wzięli: Dyrektorzy Parku, osoby pracujące w Ośrodku </w:t>
            </w:r>
            <w:proofErr w:type="spellStart"/>
            <w:r w:rsidRPr="00C97BE2">
              <w:rPr>
                <w:rFonts w:ascii="Lato" w:hAnsi="Lato" w:cstheme="minorHAnsi"/>
                <w:color w:val="212529"/>
                <w:sz w:val="20"/>
                <w:szCs w:val="20"/>
                <w:shd w:val="clear" w:color="auto" w:fill="FFFFFF"/>
              </w:rPr>
              <w:t>Edukacyjno</w:t>
            </w:r>
            <w:proofErr w:type="spellEnd"/>
            <w:r w:rsidRPr="00C97BE2">
              <w:rPr>
                <w:rFonts w:ascii="Lato" w:hAnsi="Lato" w:cstheme="minorHAnsi"/>
                <w:color w:val="212529"/>
                <w:sz w:val="20"/>
                <w:szCs w:val="20"/>
                <w:shd w:val="clear" w:color="auto" w:fill="FFFFFF"/>
              </w:rPr>
              <w:t>–Muzealnym, Zespole Udostępniania Parku, Punkcie Informacji Turystycznej, Sekretariacie, Straży Parku.</w:t>
            </w:r>
          </w:p>
        </w:tc>
      </w:tr>
      <w:tr w:rsidR="00C97BE2" w:rsidRPr="00C97BE2" w14:paraId="668B577E" w14:textId="77777777" w:rsidTr="00C97BE2">
        <w:tc>
          <w:tcPr>
            <w:tcW w:w="15388" w:type="dxa"/>
            <w:gridSpan w:val="4"/>
            <w:shd w:val="clear" w:color="auto" w:fill="ACB9CA" w:themeFill="text2" w:themeFillTint="66"/>
          </w:tcPr>
          <w:p w14:paraId="3B026938" w14:textId="77777777" w:rsidR="00C97BE2" w:rsidRPr="00C97BE2" w:rsidRDefault="00C97BE2" w:rsidP="00C97BE2">
            <w:pPr>
              <w:jc w:val="center"/>
              <w:rPr>
                <w:rFonts w:ascii="Lato" w:hAnsi="Lato"/>
                <w:b/>
                <w:bCs/>
                <w:sz w:val="20"/>
                <w:szCs w:val="20"/>
              </w:rPr>
            </w:pPr>
            <w:r w:rsidRPr="00C97BE2">
              <w:rPr>
                <w:rFonts w:ascii="Lato" w:hAnsi="Lato"/>
                <w:b/>
                <w:bCs/>
                <w:sz w:val="20"/>
                <w:szCs w:val="20"/>
              </w:rPr>
              <w:t>Słowiński Park Narodowy</w:t>
            </w:r>
          </w:p>
        </w:tc>
      </w:tr>
      <w:tr w:rsidR="00C97BE2" w:rsidRPr="00C97BE2" w14:paraId="6ACBCFBD" w14:textId="77777777" w:rsidTr="00D578ED">
        <w:tc>
          <w:tcPr>
            <w:tcW w:w="846" w:type="dxa"/>
          </w:tcPr>
          <w:p w14:paraId="0AA867E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79A798D4"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Wakacyjna oferta edukacyjna pn. „Nura w Naturę”</w:t>
            </w:r>
          </w:p>
        </w:tc>
        <w:tc>
          <w:tcPr>
            <w:tcW w:w="1843" w:type="dxa"/>
          </w:tcPr>
          <w:p w14:paraId="2D9F03E3"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Lipiec – sierpień 2022</w:t>
            </w:r>
          </w:p>
        </w:tc>
        <w:tc>
          <w:tcPr>
            <w:tcW w:w="8163" w:type="dxa"/>
          </w:tcPr>
          <w:p w14:paraId="4864F381"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 xml:space="preserve">Na okres wakacji, specjalnie dla rodzin tj. rodziców z dziećmi i dziadków, a także turystów indywidualnych przygotowano warsztaty edukacyjne będące inspiracją do dalszego samodzielnego i świadomego poznawania przyrody SPN. </w:t>
            </w:r>
          </w:p>
          <w:p w14:paraId="63DE861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lastRenderedPageBreak/>
              <w:t>Warsztaty odbywały się od wtorku do czwartku w trzech różnych lokalizacjach i cieszyły się dużą frekwencją.</w:t>
            </w:r>
          </w:p>
        </w:tc>
      </w:tr>
      <w:tr w:rsidR="00C97BE2" w:rsidRPr="00C97BE2" w14:paraId="0D7328A7" w14:textId="77777777" w:rsidTr="00D578ED">
        <w:tc>
          <w:tcPr>
            <w:tcW w:w="846" w:type="dxa"/>
          </w:tcPr>
          <w:p w14:paraId="27ED7142"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2.</w:t>
            </w:r>
          </w:p>
        </w:tc>
        <w:tc>
          <w:tcPr>
            <w:tcW w:w="4536" w:type="dxa"/>
          </w:tcPr>
          <w:p w14:paraId="5B1EC485"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Ulgowe bilety dla emerytów</w:t>
            </w:r>
          </w:p>
        </w:tc>
        <w:tc>
          <w:tcPr>
            <w:tcW w:w="1843" w:type="dxa"/>
          </w:tcPr>
          <w:p w14:paraId="46661076"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Stała działalność</w:t>
            </w:r>
          </w:p>
        </w:tc>
        <w:tc>
          <w:tcPr>
            <w:tcW w:w="8163" w:type="dxa"/>
          </w:tcPr>
          <w:p w14:paraId="54925928"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50% zniżki od ceny biletu za wstęp do Parku i zniżka za wstęp do obiektów dla emerytów</w:t>
            </w:r>
          </w:p>
        </w:tc>
      </w:tr>
      <w:tr w:rsidR="00C97BE2" w:rsidRPr="00C97BE2" w14:paraId="7F4F4059" w14:textId="77777777" w:rsidTr="00C97BE2">
        <w:tc>
          <w:tcPr>
            <w:tcW w:w="15388" w:type="dxa"/>
            <w:gridSpan w:val="4"/>
            <w:shd w:val="clear" w:color="auto" w:fill="ACB9CA" w:themeFill="text2" w:themeFillTint="66"/>
          </w:tcPr>
          <w:p w14:paraId="15EB4F55"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Świętokrzyski Park Narodowy </w:t>
            </w:r>
          </w:p>
        </w:tc>
      </w:tr>
      <w:tr w:rsidR="00C97BE2" w:rsidRPr="00C97BE2" w14:paraId="38F594D6" w14:textId="77777777" w:rsidTr="00D578ED">
        <w:tc>
          <w:tcPr>
            <w:tcW w:w="846" w:type="dxa"/>
          </w:tcPr>
          <w:p w14:paraId="1E6499AF"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14689216" w14:textId="77777777" w:rsidR="00C97BE2" w:rsidRPr="00C97BE2" w:rsidRDefault="00C97BE2" w:rsidP="00C97BE2">
            <w:pPr>
              <w:rPr>
                <w:rFonts w:ascii="Lato" w:hAnsi="Lato"/>
                <w:spacing w:val="-4"/>
                <w:sz w:val="20"/>
                <w:szCs w:val="20"/>
              </w:rPr>
            </w:pPr>
            <w:r w:rsidRPr="00C97BE2">
              <w:rPr>
                <w:rFonts w:ascii="Lato" w:hAnsi="Lato"/>
                <w:spacing w:val="-4"/>
                <w:sz w:val="20"/>
                <w:szCs w:val="20"/>
              </w:rPr>
              <w:t>„Zagospodarowanie terenów w celach turystyczno- rekreacyjnych, położonych na obszarze ŚPN, na przyrodniczo-kulturowej ścieżce edukacyjnej „Śladem kolejki wąskotorowej” – Budowa Punktu obsługi zwiedzających otwartego i zamkniętego oraz toalety publicznej wraz z infrastrukturą techniczną na terenie Świętokrzyskiego Parku Narodowego”.</w:t>
            </w:r>
          </w:p>
        </w:tc>
        <w:tc>
          <w:tcPr>
            <w:tcW w:w="1843" w:type="dxa"/>
          </w:tcPr>
          <w:p w14:paraId="0AB922B9" w14:textId="77777777" w:rsidR="00C97BE2" w:rsidRPr="00C97BE2" w:rsidRDefault="00C97BE2" w:rsidP="00C97BE2">
            <w:pPr>
              <w:rPr>
                <w:rFonts w:ascii="Lato" w:hAnsi="Lato"/>
                <w:sz w:val="20"/>
                <w:szCs w:val="20"/>
              </w:rPr>
            </w:pPr>
            <w:r w:rsidRPr="00C97BE2">
              <w:rPr>
                <w:rFonts w:ascii="Lato" w:hAnsi="Lato"/>
                <w:sz w:val="20"/>
                <w:szCs w:val="20"/>
              </w:rPr>
              <w:t>wrzesień 2022</w:t>
            </w:r>
          </w:p>
        </w:tc>
        <w:tc>
          <w:tcPr>
            <w:tcW w:w="8163" w:type="dxa"/>
          </w:tcPr>
          <w:p w14:paraId="7B75C6AE" w14:textId="77777777" w:rsidR="00C97BE2" w:rsidRPr="00C97BE2" w:rsidRDefault="00C97BE2" w:rsidP="00C97BE2">
            <w:pPr>
              <w:rPr>
                <w:rFonts w:ascii="Lato" w:hAnsi="Lato"/>
                <w:sz w:val="20"/>
                <w:szCs w:val="20"/>
              </w:rPr>
            </w:pPr>
            <w:r w:rsidRPr="00C97BE2">
              <w:rPr>
                <w:rFonts w:ascii="Lato" w:hAnsi="Lato"/>
                <w:sz w:val="20"/>
                <w:szCs w:val="20"/>
              </w:rPr>
              <w:t xml:space="preserve">Wykonano prace budowlane m.in. przy budowie nawierzchni szlaku. </w:t>
            </w:r>
          </w:p>
          <w:p w14:paraId="7053F93E" w14:textId="77777777" w:rsidR="00C97BE2" w:rsidRPr="00C97BE2" w:rsidRDefault="00C97BE2" w:rsidP="00C97BE2">
            <w:pPr>
              <w:rPr>
                <w:rFonts w:ascii="Lato" w:hAnsi="Lato"/>
                <w:sz w:val="20"/>
                <w:szCs w:val="20"/>
              </w:rPr>
            </w:pPr>
            <w:r w:rsidRPr="00C97BE2">
              <w:rPr>
                <w:rFonts w:ascii="Lato" w:hAnsi="Lato"/>
                <w:sz w:val="20"/>
                <w:szCs w:val="20"/>
              </w:rPr>
              <w:t xml:space="preserve">Nieregularna, gliniasto-kamienna nawierzchnia została zmodernizowana poprzez ułożenie bruku kamiennego ułatwiająca poruszanie się osobom starszym. </w:t>
            </w:r>
          </w:p>
          <w:p w14:paraId="608DBF6D" w14:textId="77777777" w:rsidR="00C97BE2" w:rsidRPr="00C97BE2" w:rsidRDefault="00C97BE2" w:rsidP="00C97BE2">
            <w:pPr>
              <w:rPr>
                <w:rFonts w:ascii="Lato" w:hAnsi="Lato"/>
                <w:sz w:val="20"/>
                <w:szCs w:val="20"/>
              </w:rPr>
            </w:pPr>
            <w:r w:rsidRPr="00C97BE2">
              <w:rPr>
                <w:rFonts w:ascii="Lato" w:hAnsi="Lato"/>
                <w:sz w:val="20"/>
                <w:szCs w:val="20"/>
              </w:rPr>
              <w:t>W ramach zadania wybudowano toaletę przystosowaną do osób niepełnosprawnych w tym m.in. dla osób starszych.</w:t>
            </w:r>
          </w:p>
        </w:tc>
      </w:tr>
      <w:tr w:rsidR="00C97BE2" w:rsidRPr="00C97BE2" w14:paraId="161E7351" w14:textId="77777777" w:rsidTr="00C97BE2">
        <w:tc>
          <w:tcPr>
            <w:tcW w:w="15388" w:type="dxa"/>
            <w:gridSpan w:val="4"/>
            <w:shd w:val="clear" w:color="auto" w:fill="ACB9CA" w:themeFill="text2" w:themeFillTint="66"/>
          </w:tcPr>
          <w:p w14:paraId="405BA039" w14:textId="77777777" w:rsidR="00C97BE2" w:rsidRPr="00C97BE2" w:rsidRDefault="00C97BE2" w:rsidP="00C97BE2">
            <w:pPr>
              <w:keepNext/>
              <w:jc w:val="center"/>
              <w:rPr>
                <w:rFonts w:ascii="Lato" w:hAnsi="Lato"/>
                <w:b/>
                <w:bCs/>
                <w:sz w:val="20"/>
                <w:szCs w:val="20"/>
              </w:rPr>
            </w:pPr>
            <w:r w:rsidRPr="00C97BE2">
              <w:rPr>
                <w:rFonts w:ascii="Lato" w:hAnsi="Lato"/>
                <w:b/>
                <w:bCs/>
                <w:sz w:val="20"/>
                <w:szCs w:val="20"/>
              </w:rPr>
              <w:t>Tatrzański Park Narodowy</w:t>
            </w:r>
          </w:p>
        </w:tc>
      </w:tr>
      <w:tr w:rsidR="00C97BE2" w:rsidRPr="00C97BE2" w14:paraId="583B5E35" w14:textId="77777777" w:rsidTr="00D578ED">
        <w:tc>
          <w:tcPr>
            <w:tcW w:w="846" w:type="dxa"/>
          </w:tcPr>
          <w:p w14:paraId="293A9E47"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48D6D7F1" w14:textId="77777777" w:rsidR="00C97BE2" w:rsidRPr="00C97BE2" w:rsidRDefault="00C97BE2" w:rsidP="00C97BE2">
            <w:pPr>
              <w:rPr>
                <w:rFonts w:ascii="Lato" w:hAnsi="Lato"/>
                <w:sz w:val="20"/>
                <w:szCs w:val="20"/>
              </w:rPr>
            </w:pPr>
            <w:r w:rsidRPr="00C97BE2">
              <w:rPr>
                <w:rFonts w:ascii="Lato" w:hAnsi="Lato"/>
                <w:sz w:val="20"/>
                <w:szCs w:val="20"/>
              </w:rPr>
              <w:t>Wjazdy dla osób niepełnosprawnościami do Morskiego Oka lub do Włosienicy</w:t>
            </w:r>
          </w:p>
        </w:tc>
        <w:tc>
          <w:tcPr>
            <w:tcW w:w="1843" w:type="dxa"/>
          </w:tcPr>
          <w:p w14:paraId="752723B2" w14:textId="77777777" w:rsidR="00C97BE2" w:rsidRPr="00C97BE2" w:rsidRDefault="00C97BE2" w:rsidP="00C97BE2">
            <w:pPr>
              <w:rPr>
                <w:rFonts w:ascii="Lato" w:hAnsi="Lato"/>
                <w:sz w:val="20"/>
                <w:szCs w:val="20"/>
              </w:rPr>
            </w:pPr>
            <w:r w:rsidRPr="00C97BE2">
              <w:rPr>
                <w:rFonts w:ascii="Lato" w:hAnsi="Lato"/>
                <w:sz w:val="20"/>
                <w:szCs w:val="20"/>
              </w:rPr>
              <w:t xml:space="preserve">od maja do października </w:t>
            </w:r>
          </w:p>
        </w:tc>
        <w:tc>
          <w:tcPr>
            <w:tcW w:w="8163" w:type="dxa"/>
          </w:tcPr>
          <w:p w14:paraId="79915A1F" w14:textId="77777777" w:rsidR="00C97BE2" w:rsidRPr="00C97BE2" w:rsidRDefault="00C97BE2" w:rsidP="00C97BE2">
            <w:pPr>
              <w:rPr>
                <w:rFonts w:ascii="Lato" w:hAnsi="Lato"/>
                <w:sz w:val="20"/>
                <w:szCs w:val="20"/>
              </w:rPr>
            </w:pPr>
            <w:r w:rsidRPr="00C97BE2">
              <w:rPr>
                <w:rFonts w:ascii="Lato" w:hAnsi="Lato"/>
                <w:sz w:val="20"/>
                <w:szCs w:val="20"/>
              </w:rPr>
              <w:t>Możliwość wjazdu własnym samochodem dla osób z niepełnosprawnościami (2 wjazdy do 9:00, 2 wjazdy po 17:00 w sezonie letnim, w dni powszednie) do Włosienicy lub nad Morskie Oko.</w:t>
            </w:r>
          </w:p>
        </w:tc>
      </w:tr>
      <w:tr w:rsidR="00C97BE2" w:rsidRPr="00C97BE2" w14:paraId="44FDAF1F" w14:textId="77777777" w:rsidTr="00D578ED">
        <w:tc>
          <w:tcPr>
            <w:tcW w:w="846" w:type="dxa"/>
          </w:tcPr>
          <w:p w14:paraId="7899F656"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Pr>
          <w:p w14:paraId="458C2E56" w14:textId="77777777" w:rsidR="00C97BE2" w:rsidRPr="00C97BE2" w:rsidRDefault="00C97BE2" w:rsidP="00C97BE2">
            <w:pPr>
              <w:rPr>
                <w:rFonts w:ascii="Lato" w:hAnsi="Lato"/>
                <w:sz w:val="20"/>
                <w:szCs w:val="20"/>
              </w:rPr>
            </w:pPr>
            <w:r w:rsidRPr="00C97BE2">
              <w:rPr>
                <w:rFonts w:ascii="Lato" w:hAnsi="Lato"/>
                <w:sz w:val="20"/>
                <w:szCs w:val="20"/>
              </w:rPr>
              <w:t xml:space="preserve">Sprzedaż biletów na parking na Palenicy </w:t>
            </w:r>
            <w:proofErr w:type="spellStart"/>
            <w:r w:rsidRPr="00C97BE2">
              <w:rPr>
                <w:rFonts w:ascii="Lato" w:hAnsi="Lato"/>
                <w:sz w:val="20"/>
                <w:szCs w:val="20"/>
              </w:rPr>
              <w:t>Białczańskiej</w:t>
            </w:r>
            <w:proofErr w:type="spellEnd"/>
            <w:r w:rsidRPr="00C97BE2">
              <w:rPr>
                <w:rFonts w:ascii="Lato" w:hAnsi="Lato"/>
                <w:sz w:val="20"/>
                <w:szCs w:val="20"/>
              </w:rPr>
              <w:t xml:space="preserve"> w punkcie kasowym w Zakopanem</w:t>
            </w:r>
          </w:p>
        </w:tc>
        <w:tc>
          <w:tcPr>
            <w:tcW w:w="1843" w:type="dxa"/>
          </w:tcPr>
          <w:p w14:paraId="2DDA8511" w14:textId="77777777" w:rsidR="00C97BE2" w:rsidRPr="00C97BE2" w:rsidRDefault="00C97BE2" w:rsidP="00C97BE2">
            <w:pPr>
              <w:rPr>
                <w:rFonts w:ascii="Lato" w:hAnsi="Lato"/>
                <w:sz w:val="20"/>
                <w:szCs w:val="20"/>
              </w:rPr>
            </w:pPr>
            <w:r w:rsidRPr="00C97BE2">
              <w:rPr>
                <w:rFonts w:ascii="Lato" w:hAnsi="Lato"/>
                <w:sz w:val="20"/>
                <w:szCs w:val="20"/>
              </w:rPr>
              <w:t>05.2022</w:t>
            </w:r>
          </w:p>
        </w:tc>
        <w:tc>
          <w:tcPr>
            <w:tcW w:w="8163" w:type="dxa"/>
          </w:tcPr>
          <w:p w14:paraId="332F9F43" w14:textId="77777777" w:rsidR="00C97BE2" w:rsidRPr="00C97BE2" w:rsidRDefault="00C97BE2" w:rsidP="00C97BE2">
            <w:pPr>
              <w:rPr>
                <w:rFonts w:ascii="Lato" w:hAnsi="Lato"/>
                <w:sz w:val="20"/>
                <w:szCs w:val="20"/>
              </w:rPr>
            </w:pPr>
            <w:r w:rsidRPr="00C97BE2">
              <w:rPr>
                <w:rFonts w:ascii="Lato" w:hAnsi="Lato"/>
                <w:sz w:val="20"/>
                <w:szCs w:val="20"/>
              </w:rPr>
              <w:t>Zaparkowanie przy popularnym szlaku do Morskiego Oka wymaga dokonania wcześniejszej rezerwacji online. Nie wszyscy, zwłaszcza seniorzy, z łatwością poruszają się po sklepach internetowych i dokonują płatności przez Internet, dlatego jest możliwość zakupu miejsca na parkingu gotówką w Punkcie Informacji Turystycznej w Zakopanem przy ul. Chałubińskiego 44</w:t>
            </w:r>
          </w:p>
        </w:tc>
      </w:tr>
      <w:tr w:rsidR="00C97BE2" w:rsidRPr="00C97BE2" w14:paraId="4C9136AC" w14:textId="77777777" w:rsidTr="00D578ED">
        <w:tc>
          <w:tcPr>
            <w:tcW w:w="846" w:type="dxa"/>
          </w:tcPr>
          <w:p w14:paraId="533413AC"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Pr>
          <w:p w14:paraId="0FE39E68" w14:textId="77777777" w:rsidR="00C97BE2" w:rsidRPr="00C97BE2" w:rsidRDefault="00C97BE2" w:rsidP="00C97BE2">
            <w:pPr>
              <w:rPr>
                <w:rFonts w:ascii="Lato" w:hAnsi="Lato"/>
                <w:sz w:val="20"/>
                <w:szCs w:val="20"/>
              </w:rPr>
            </w:pPr>
            <w:r w:rsidRPr="00C97BE2">
              <w:rPr>
                <w:rFonts w:ascii="Lato" w:hAnsi="Lato"/>
                <w:sz w:val="20"/>
                <w:szCs w:val="20"/>
              </w:rPr>
              <w:t>Miejsca odpoczynku (mała infrastruktura turystyczna)</w:t>
            </w:r>
          </w:p>
        </w:tc>
        <w:tc>
          <w:tcPr>
            <w:tcW w:w="1843" w:type="dxa"/>
          </w:tcPr>
          <w:p w14:paraId="2A40A4FE" w14:textId="77777777" w:rsidR="00C97BE2" w:rsidRPr="00C97BE2" w:rsidRDefault="00C97BE2" w:rsidP="00C97BE2">
            <w:pPr>
              <w:rPr>
                <w:rFonts w:ascii="Lato" w:hAnsi="Lato"/>
                <w:sz w:val="20"/>
                <w:szCs w:val="20"/>
              </w:rPr>
            </w:pPr>
            <w:r w:rsidRPr="00C97BE2">
              <w:rPr>
                <w:rFonts w:ascii="Lato" w:hAnsi="Lato"/>
                <w:sz w:val="20"/>
                <w:szCs w:val="20"/>
              </w:rPr>
              <w:t>całorocznie</w:t>
            </w:r>
          </w:p>
        </w:tc>
        <w:tc>
          <w:tcPr>
            <w:tcW w:w="8163" w:type="dxa"/>
          </w:tcPr>
          <w:p w14:paraId="0D067A5F" w14:textId="77777777" w:rsidR="00C97BE2" w:rsidRPr="00C97BE2" w:rsidRDefault="00C97BE2" w:rsidP="00C97BE2">
            <w:pPr>
              <w:rPr>
                <w:rFonts w:ascii="Lato" w:hAnsi="Lato"/>
                <w:sz w:val="20"/>
                <w:szCs w:val="20"/>
              </w:rPr>
            </w:pPr>
            <w:r w:rsidRPr="00C97BE2">
              <w:rPr>
                <w:rFonts w:ascii="Lato" w:hAnsi="Lato"/>
                <w:sz w:val="20"/>
                <w:szCs w:val="20"/>
              </w:rPr>
              <w:t xml:space="preserve">Przy szlakach turystycznych zlokalizowane są miejsca odpoczynku w postaci ław i </w:t>
            </w:r>
            <w:proofErr w:type="spellStart"/>
            <w:r w:rsidRPr="00C97BE2">
              <w:rPr>
                <w:rFonts w:ascii="Lato" w:hAnsi="Lato"/>
                <w:sz w:val="20"/>
                <w:szCs w:val="20"/>
              </w:rPr>
              <w:t>ławostołów</w:t>
            </w:r>
            <w:proofErr w:type="spellEnd"/>
            <w:r w:rsidRPr="00C97BE2">
              <w:rPr>
                <w:rFonts w:ascii="Lato" w:hAnsi="Lato"/>
                <w:sz w:val="20"/>
                <w:szCs w:val="20"/>
              </w:rPr>
              <w:t>, które można wykorzystać w czasie przerwy w wycieczce na zregenerowanie sił czy krótki posiłek</w:t>
            </w:r>
          </w:p>
        </w:tc>
      </w:tr>
      <w:tr w:rsidR="00C97BE2" w:rsidRPr="00C97BE2" w14:paraId="52D3B007" w14:textId="77777777" w:rsidTr="00C97BE2">
        <w:tc>
          <w:tcPr>
            <w:tcW w:w="15388" w:type="dxa"/>
            <w:gridSpan w:val="4"/>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9EB4C1B" w14:textId="77777777" w:rsidR="00C97BE2" w:rsidRPr="00C97BE2" w:rsidRDefault="00C97BE2" w:rsidP="00C97BE2">
            <w:pPr>
              <w:jc w:val="center"/>
              <w:rPr>
                <w:rFonts w:ascii="Lato" w:hAnsi="Lato"/>
                <w:b/>
                <w:bCs/>
                <w:sz w:val="20"/>
                <w:szCs w:val="20"/>
              </w:rPr>
            </w:pPr>
            <w:r w:rsidRPr="00C97BE2">
              <w:rPr>
                <w:rFonts w:ascii="Lato" w:hAnsi="Lato"/>
                <w:b/>
                <w:bCs/>
                <w:sz w:val="20"/>
                <w:szCs w:val="20"/>
              </w:rPr>
              <w:t>Park Narodowy „Ujście Warty”</w:t>
            </w:r>
          </w:p>
        </w:tc>
      </w:tr>
      <w:tr w:rsidR="00C97BE2" w:rsidRPr="00C97BE2" w14:paraId="3FBA5982" w14:textId="77777777" w:rsidTr="00D578ED">
        <w:tc>
          <w:tcPr>
            <w:tcW w:w="846" w:type="dxa"/>
            <w:tcBorders>
              <w:top w:val="single" w:sz="4" w:space="0" w:color="auto"/>
              <w:left w:val="single" w:sz="4" w:space="0" w:color="auto"/>
              <w:bottom w:val="single" w:sz="4" w:space="0" w:color="auto"/>
              <w:right w:val="single" w:sz="4" w:space="0" w:color="auto"/>
            </w:tcBorders>
            <w:hideMark/>
          </w:tcPr>
          <w:p w14:paraId="1E14DF13"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Borders>
              <w:top w:val="single" w:sz="4" w:space="0" w:color="auto"/>
              <w:left w:val="single" w:sz="4" w:space="0" w:color="auto"/>
              <w:bottom w:val="single" w:sz="4" w:space="0" w:color="auto"/>
              <w:right w:val="single" w:sz="4" w:space="0" w:color="auto"/>
            </w:tcBorders>
            <w:hideMark/>
          </w:tcPr>
          <w:p w14:paraId="21BEB046" w14:textId="77777777" w:rsidR="00C97BE2" w:rsidRPr="00C97BE2" w:rsidRDefault="00C97BE2" w:rsidP="00C97BE2">
            <w:pPr>
              <w:rPr>
                <w:rFonts w:ascii="Lato" w:hAnsi="Lato"/>
                <w:sz w:val="20"/>
                <w:szCs w:val="20"/>
              </w:rPr>
            </w:pPr>
            <w:r w:rsidRPr="00C97BE2">
              <w:rPr>
                <w:rFonts w:ascii="Lato" w:hAnsi="Lato"/>
                <w:sz w:val="20"/>
                <w:szCs w:val="20"/>
              </w:rPr>
              <w:t>Opłaty ulgowe</w:t>
            </w:r>
          </w:p>
        </w:tc>
        <w:tc>
          <w:tcPr>
            <w:tcW w:w="1843" w:type="dxa"/>
            <w:tcBorders>
              <w:top w:val="single" w:sz="4" w:space="0" w:color="auto"/>
              <w:left w:val="single" w:sz="4" w:space="0" w:color="auto"/>
              <w:bottom w:val="single" w:sz="4" w:space="0" w:color="auto"/>
              <w:right w:val="single" w:sz="4" w:space="0" w:color="auto"/>
            </w:tcBorders>
            <w:hideMark/>
          </w:tcPr>
          <w:p w14:paraId="2B7D3523"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Borders>
              <w:top w:val="single" w:sz="4" w:space="0" w:color="auto"/>
              <w:left w:val="single" w:sz="4" w:space="0" w:color="auto"/>
              <w:bottom w:val="single" w:sz="4" w:space="0" w:color="auto"/>
              <w:right w:val="single" w:sz="4" w:space="0" w:color="auto"/>
            </w:tcBorders>
            <w:hideMark/>
          </w:tcPr>
          <w:p w14:paraId="7D6C5308" w14:textId="77777777" w:rsidR="00C97BE2" w:rsidRPr="00C97BE2" w:rsidRDefault="00C97BE2" w:rsidP="00C97BE2">
            <w:pPr>
              <w:rPr>
                <w:rFonts w:ascii="Lato" w:hAnsi="Lato"/>
                <w:sz w:val="20"/>
                <w:szCs w:val="20"/>
              </w:rPr>
            </w:pPr>
            <w:r w:rsidRPr="00C97BE2">
              <w:rPr>
                <w:rFonts w:ascii="Lato" w:hAnsi="Lato"/>
                <w:sz w:val="20"/>
                <w:szCs w:val="20"/>
              </w:rPr>
              <w:t xml:space="preserve">Ulgowe bilety wstępu do Ośrodka Muzealno-Edukacyjnego w Słońsku i na wieżę widokową w Chyrzynie dla emerytów oraz ulgowe opłaty za zajęcia dla grup osób starszych. </w:t>
            </w:r>
          </w:p>
        </w:tc>
      </w:tr>
      <w:tr w:rsidR="00C97BE2" w:rsidRPr="00C97BE2" w14:paraId="321184D4" w14:textId="77777777" w:rsidTr="00D578ED">
        <w:tc>
          <w:tcPr>
            <w:tcW w:w="846" w:type="dxa"/>
            <w:tcBorders>
              <w:top w:val="single" w:sz="4" w:space="0" w:color="auto"/>
              <w:left w:val="single" w:sz="4" w:space="0" w:color="auto"/>
              <w:bottom w:val="single" w:sz="4" w:space="0" w:color="auto"/>
              <w:right w:val="single" w:sz="4" w:space="0" w:color="auto"/>
            </w:tcBorders>
            <w:hideMark/>
          </w:tcPr>
          <w:p w14:paraId="6B08B6F3"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Borders>
              <w:top w:val="single" w:sz="4" w:space="0" w:color="auto"/>
              <w:left w:val="single" w:sz="4" w:space="0" w:color="auto"/>
              <w:bottom w:val="single" w:sz="4" w:space="0" w:color="auto"/>
              <w:right w:val="single" w:sz="4" w:space="0" w:color="auto"/>
            </w:tcBorders>
            <w:hideMark/>
          </w:tcPr>
          <w:p w14:paraId="485F899A" w14:textId="77777777" w:rsidR="00C97BE2" w:rsidRPr="00C97BE2" w:rsidRDefault="00C97BE2" w:rsidP="00C97BE2">
            <w:pPr>
              <w:rPr>
                <w:rFonts w:ascii="Lato" w:hAnsi="Lato"/>
                <w:sz w:val="20"/>
                <w:szCs w:val="20"/>
              </w:rPr>
            </w:pPr>
            <w:r w:rsidRPr="00C97BE2">
              <w:rPr>
                <w:rFonts w:ascii="Lato" w:hAnsi="Lato"/>
                <w:sz w:val="20"/>
                <w:szCs w:val="20"/>
              </w:rPr>
              <w:t xml:space="preserve">Współpraca z Polskim Związkiem Emerytów Rencistów i Inwalidów – Zarząd w Kostrzynie nad Odrą </w:t>
            </w:r>
          </w:p>
        </w:tc>
        <w:tc>
          <w:tcPr>
            <w:tcW w:w="1843" w:type="dxa"/>
            <w:tcBorders>
              <w:top w:val="single" w:sz="4" w:space="0" w:color="auto"/>
              <w:left w:val="single" w:sz="4" w:space="0" w:color="auto"/>
              <w:bottom w:val="single" w:sz="4" w:space="0" w:color="auto"/>
              <w:right w:val="single" w:sz="4" w:space="0" w:color="auto"/>
            </w:tcBorders>
            <w:hideMark/>
          </w:tcPr>
          <w:p w14:paraId="142EC692" w14:textId="77777777" w:rsidR="00C97BE2" w:rsidRPr="00C97BE2" w:rsidRDefault="00C97BE2" w:rsidP="00C97BE2">
            <w:pPr>
              <w:rPr>
                <w:rFonts w:ascii="Lato" w:hAnsi="Lato"/>
                <w:sz w:val="20"/>
                <w:szCs w:val="20"/>
              </w:rPr>
            </w:pPr>
            <w:r w:rsidRPr="00C97BE2">
              <w:rPr>
                <w:rFonts w:ascii="Lato" w:hAnsi="Lato"/>
                <w:sz w:val="20"/>
                <w:szCs w:val="20"/>
              </w:rPr>
              <w:t xml:space="preserve">Maj 2022 </w:t>
            </w:r>
          </w:p>
        </w:tc>
        <w:tc>
          <w:tcPr>
            <w:tcW w:w="8163" w:type="dxa"/>
            <w:tcBorders>
              <w:top w:val="single" w:sz="4" w:space="0" w:color="auto"/>
              <w:left w:val="single" w:sz="4" w:space="0" w:color="auto"/>
              <w:bottom w:val="single" w:sz="4" w:space="0" w:color="auto"/>
              <w:right w:val="single" w:sz="4" w:space="0" w:color="auto"/>
            </w:tcBorders>
            <w:hideMark/>
          </w:tcPr>
          <w:p w14:paraId="6184788C" w14:textId="77777777" w:rsidR="00C97BE2" w:rsidRPr="00C97BE2" w:rsidRDefault="00C97BE2" w:rsidP="00C97BE2">
            <w:pPr>
              <w:rPr>
                <w:rFonts w:ascii="Lato" w:hAnsi="Lato"/>
                <w:sz w:val="20"/>
                <w:szCs w:val="20"/>
              </w:rPr>
            </w:pPr>
            <w:r w:rsidRPr="00C97BE2">
              <w:rPr>
                <w:rFonts w:ascii="Lato" w:hAnsi="Lato"/>
                <w:sz w:val="20"/>
                <w:szCs w:val="20"/>
              </w:rPr>
              <w:t xml:space="preserve">Bezpłatne Udostepnienie paleniska i wiaty edukacyjnej w celu organizacji pikniku dla członków stowarzyszenia. W trakcie imprezy uczestnicy mogą bezpłatnie wejść na wieżę widokową, skorzystać z Przyrodniczego Ogrodu Zmysłów w Chyrzynie. Dla chętnych jest wyświetlany film o Parku. </w:t>
            </w:r>
          </w:p>
        </w:tc>
      </w:tr>
      <w:tr w:rsidR="00C97BE2" w:rsidRPr="00C97BE2" w14:paraId="689B3297" w14:textId="77777777" w:rsidTr="00D578ED">
        <w:tc>
          <w:tcPr>
            <w:tcW w:w="846" w:type="dxa"/>
            <w:tcBorders>
              <w:top w:val="single" w:sz="4" w:space="0" w:color="auto"/>
              <w:left w:val="single" w:sz="4" w:space="0" w:color="auto"/>
              <w:bottom w:val="single" w:sz="4" w:space="0" w:color="auto"/>
              <w:right w:val="single" w:sz="4" w:space="0" w:color="auto"/>
            </w:tcBorders>
            <w:hideMark/>
          </w:tcPr>
          <w:p w14:paraId="6521770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Borders>
              <w:top w:val="single" w:sz="4" w:space="0" w:color="auto"/>
              <w:left w:val="single" w:sz="4" w:space="0" w:color="auto"/>
              <w:bottom w:val="single" w:sz="4" w:space="0" w:color="auto"/>
              <w:right w:val="single" w:sz="4" w:space="0" w:color="auto"/>
            </w:tcBorders>
            <w:hideMark/>
          </w:tcPr>
          <w:p w14:paraId="4FE13D36" w14:textId="77777777" w:rsidR="00C97BE2" w:rsidRPr="00C97BE2" w:rsidRDefault="00C97BE2" w:rsidP="00C97BE2">
            <w:pPr>
              <w:rPr>
                <w:rFonts w:ascii="Lato" w:hAnsi="Lato"/>
                <w:sz w:val="20"/>
                <w:szCs w:val="20"/>
              </w:rPr>
            </w:pPr>
            <w:r w:rsidRPr="00C97BE2">
              <w:rPr>
                <w:rFonts w:ascii="Lato" w:hAnsi="Lato"/>
                <w:sz w:val="20"/>
                <w:szCs w:val="20"/>
              </w:rPr>
              <w:t>Udostępnienie Ośrodka Muzealno-Edukacyjnego w Słońsku</w:t>
            </w:r>
          </w:p>
        </w:tc>
        <w:tc>
          <w:tcPr>
            <w:tcW w:w="1843" w:type="dxa"/>
            <w:tcBorders>
              <w:top w:val="single" w:sz="4" w:space="0" w:color="auto"/>
              <w:left w:val="single" w:sz="4" w:space="0" w:color="auto"/>
              <w:bottom w:val="single" w:sz="4" w:space="0" w:color="auto"/>
              <w:right w:val="single" w:sz="4" w:space="0" w:color="auto"/>
            </w:tcBorders>
            <w:hideMark/>
          </w:tcPr>
          <w:p w14:paraId="0EF61464" w14:textId="77777777" w:rsidR="00C97BE2" w:rsidRPr="00C97BE2" w:rsidRDefault="00C97BE2" w:rsidP="00C97BE2">
            <w:pPr>
              <w:rPr>
                <w:rFonts w:ascii="Lato" w:hAnsi="Lato"/>
                <w:sz w:val="20"/>
                <w:szCs w:val="20"/>
              </w:rPr>
            </w:pPr>
            <w:r w:rsidRPr="00C97BE2">
              <w:rPr>
                <w:rFonts w:ascii="Lato" w:hAnsi="Lato"/>
                <w:sz w:val="20"/>
                <w:szCs w:val="20"/>
              </w:rPr>
              <w:t>Marzec – grudzień 2022</w:t>
            </w:r>
          </w:p>
        </w:tc>
        <w:tc>
          <w:tcPr>
            <w:tcW w:w="8163" w:type="dxa"/>
            <w:tcBorders>
              <w:top w:val="single" w:sz="4" w:space="0" w:color="auto"/>
              <w:left w:val="single" w:sz="4" w:space="0" w:color="auto"/>
              <w:bottom w:val="single" w:sz="4" w:space="0" w:color="auto"/>
              <w:right w:val="single" w:sz="4" w:space="0" w:color="auto"/>
            </w:tcBorders>
            <w:hideMark/>
          </w:tcPr>
          <w:p w14:paraId="1178F6A8" w14:textId="77777777" w:rsidR="00C97BE2" w:rsidRPr="00C97BE2" w:rsidRDefault="00C97BE2" w:rsidP="00C97BE2">
            <w:pPr>
              <w:rPr>
                <w:rFonts w:ascii="Lato" w:hAnsi="Lato"/>
                <w:sz w:val="20"/>
                <w:szCs w:val="20"/>
              </w:rPr>
            </w:pPr>
            <w:r w:rsidRPr="00C97BE2">
              <w:rPr>
                <w:rFonts w:ascii="Lato" w:hAnsi="Lato"/>
                <w:sz w:val="20"/>
                <w:szCs w:val="20"/>
              </w:rPr>
              <w:t xml:space="preserve">Wystawa Ośrodka Muzealno-Edukacyjnego w Słońsku jest przystosowana dla osób ze szczególnymi potrzebami w tym także dla osób starszych. Budynek jest pozbawiony </w:t>
            </w:r>
            <w:r w:rsidRPr="00C97BE2">
              <w:rPr>
                <w:rFonts w:ascii="Lato" w:hAnsi="Lato"/>
                <w:sz w:val="20"/>
                <w:szCs w:val="20"/>
              </w:rPr>
              <w:lastRenderedPageBreak/>
              <w:t xml:space="preserve">barier architektonicznych, na wystawie są dostępne siedziska, treści wystawy są udostępnione dla osób niedowidzących, dostępna jest </w:t>
            </w:r>
            <w:proofErr w:type="spellStart"/>
            <w:r w:rsidRPr="00C97BE2">
              <w:rPr>
                <w:rFonts w:ascii="Lato" w:hAnsi="Lato"/>
                <w:sz w:val="20"/>
                <w:szCs w:val="20"/>
              </w:rPr>
              <w:t>audiodeskrypcja</w:t>
            </w:r>
            <w:proofErr w:type="spellEnd"/>
            <w:r w:rsidRPr="00C97BE2">
              <w:rPr>
                <w:rFonts w:ascii="Lato" w:hAnsi="Lato"/>
                <w:sz w:val="20"/>
                <w:szCs w:val="20"/>
              </w:rPr>
              <w:t xml:space="preserve">. </w:t>
            </w:r>
          </w:p>
        </w:tc>
      </w:tr>
      <w:tr w:rsidR="00C97BE2" w:rsidRPr="00C97BE2" w14:paraId="4420D654" w14:textId="77777777" w:rsidTr="00C97BE2">
        <w:tc>
          <w:tcPr>
            <w:tcW w:w="15388" w:type="dxa"/>
            <w:gridSpan w:val="4"/>
            <w:shd w:val="clear" w:color="auto" w:fill="ACB9CA" w:themeFill="text2" w:themeFillTint="66"/>
          </w:tcPr>
          <w:p w14:paraId="24F0C777"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Wielkopolski Park Narodowy</w:t>
            </w:r>
          </w:p>
        </w:tc>
      </w:tr>
      <w:tr w:rsidR="00C97BE2" w:rsidRPr="00C97BE2" w14:paraId="4B3A054C" w14:textId="77777777" w:rsidTr="00D578ED">
        <w:tc>
          <w:tcPr>
            <w:tcW w:w="846" w:type="dxa"/>
          </w:tcPr>
          <w:p w14:paraId="3ACB33E6"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2092E12A"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Udostępnianie terenu Wielkopolskiego Parku Narodowego dla turystów, w tym seniorów.</w:t>
            </w:r>
          </w:p>
        </w:tc>
        <w:tc>
          <w:tcPr>
            <w:tcW w:w="1843" w:type="dxa"/>
          </w:tcPr>
          <w:p w14:paraId="3DD4BD3C"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256C6A62"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Bieżąca naprawa uszkodzonej infrastruktury turystycznej służącej zapewnieniu bezpiecznego odpoczynku osobom starszym odwiedzającym Park.</w:t>
            </w:r>
          </w:p>
        </w:tc>
      </w:tr>
      <w:tr w:rsidR="00C97BE2" w:rsidRPr="00C97BE2" w14:paraId="698C1A4A" w14:textId="77777777" w:rsidTr="00D578ED">
        <w:tc>
          <w:tcPr>
            <w:tcW w:w="846" w:type="dxa"/>
          </w:tcPr>
          <w:p w14:paraId="0BEA0A55"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Pr>
          <w:p w14:paraId="2C9B0A90"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Postawienie i bieżące utrzymanie toalet turystycznych dla osób niepełnosprawnych i osób starszych.</w:t>
            </w:r>
          </w:p>
        </w:tc>
        <w:tc>
          <w:tcPr>
            <w:tcW w:w="1843" w:type="dxa"/>
          </w:tcPr>
          <w:p w14:paraId="52F10C2E"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046D20B3" w14:textId="77777777" w:rsidR="00C97BE2" w:rsidRPr="00C97BE2" w:rsidRDefault="00C97BE2" w:rsidP="00C97BE2">
            <w:pPr>
              <w:rPr>
                <w:rFonts w:ascii="Lato" w:hAnsi="Lato" w:cstheme="minorHAnsi"/>
                <w:sz w:val="20"/>
                <w:szCs w:val="20"/>
              </w:rPr>
            </w:pPr>
            <w:r w:rsidRPr="00C97BE2">
              <w:rPr>
                <w:rFonts w:ascii="Lato" w:hAnsi="Lato" w:cstheme="minorHAnsi"/>
                <w:spacing w:val="-4"/>
                <w:sz w:val="20"/>
                <w:szCs w:val="20"/>
              </w:rPr>
              <w:t>Umożliwienie osobom starszym korzystanie z toalet odpowiednio dla nich przystosowanych</w:t>
            </w:r>
            <w:r w:rsidRPr="00C97BE2">
              <w:rPr>
                <w:rFonts w:ascii="Lato" w:hAnsi="Lato" w:cstheme="minorHAnsi"/>
                <w:sz w:val="20"/>
                <w:szCs w:val="20"/>
              </w:rPr>
              <w:t>, umiejscowionych przy głównych parkingach i stacjach turystycznych w Parku.</w:t>
            </w:r>
          </w:p>
        </w:tc>
      </w:tr>
      <w:tr w:rsidR="00C97BE2" w:rsidRPr="00C97BE2" w14:paraId="53F3BCAE" w14:textId="77777777" w:rsidTr="00D578ED">
        <w:trPr>
          <w:trHeight w:val="792"/>
        </w:trPr>
        <w:tc>
          <w:tcPr>
            <w:tcW w:w="846" w:type="dxa"/>
          </w:tcPr>
          <w:p w14:paraId="3ED9699E"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Pr>
          <w:p w14:paraId="35B598FB"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Budowa toalety leśnej z uwzględnieniem dostępności dla osób ze szczególnymi potrzebami, w tym osób niepełnosprawnych.</w:t>
            </w:r>
          </w:p>
        </w:tc>
        <w:tc>
          <w:tcPr>
            <w:tcW w:w="1843" w:type="dxa"/>
          </w:tcPr>
          <w:p w14:paraId="12BAB312"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XII 2022</w:t>
            </w:r>
          </w:p>
        </w:tc>
        <w:tc>
          <w:tcPr>
            <w:tcW w:w="8163" w:type="dxa"/>
          </w:tcPr>
          <w:p w14:paraId="1F7483DF"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Budowa toalety leśnej przy parkingu zlokalizowanym obok siedziby Dyrekcji Wielkopolskiego Parku Narodowego z uwzględnieniem usprawnień zwiększających dostępność dla osób starszych oraz niepełnosprawnych.</w:t>
            </w:r>
          </w:p>
        </w:tc>
      </w:tr>
      <w:tr w:rsidR="00C97BE2" w:rsidRPr="00C97BE2" w14:paraId="6FCE6047" w14:textId="77777777" w:rsidTr="00D578ED">
        <w:tc>
          <w:tcPr>
            <w:tcW w:w="846" w:type="dxa"/>
          </w:tcPr>
          <w:p w14:paraId="489A41AB" w14:textId="77777777" w:rsidR="00C97BE2" w:rsidRPr="00C97BE2" w:rsidRDefault="00C97BE2" w:rsidP="00C97BE2">
            <w:pPr>
              <w:jc w:val="center"/>
              <w:rPr>
                <w:rFonts w:ascii="Lato" w:hAnsi="Lato" w:cstheme="minorHAnsi"/>
                <w:b/>
                <w:bCs/>
                <w:sz w:val="20"/>
                <w:szCs w:val="20"/>
              </w:rPr>
            </w:pPr>
            <w:r w:rsidRPr="00C97BE2">
              <w:rPr>
                <w:rFonts w:ascii="Lato" w:hAnsi="Lato" w:cstheme="minorHAnsi"/>
                <w:b/>
                <w:bCs/>
                <w:sz w:val="20"/>
                <w:szCs w:val="20"/>
              </w:rPr>
              <w:t>4.</w:t>
            </w:r>
          </w:p>
        </w:tc>
        <w:tc>
          <w:tcPr>
            <w:tcW w:w="4536" w:type="dxa"/>
          </w:tcPr>
          <w:p w14:paraId="60D60A85" w14:textId="77777777" w:rsidR="00C97BE2" w:rsidRPr="00C97BE2" w:rsidRDefault="00C97BE2" w:rsidP="00C97BE2">
            <w:pPr>
              <w:rPr>
                <w:rFonts w:ascii="Lato" w:eastAsia="Times New Roman" w:hAnsi="Lato" w:cstheme="minorHAnsi"/>
                <w:sz w:val="20"/>
                <w:szCs w:val="20"/>
                <w:lang w:eastAsia="pl-PL"/>
              </w:rPr>
            </w:pPr>
            <w:r w:rsidRPr="00C97BE2">
              <w:rPr>
                <w:rFonts w:ascii="Lato" w:hAnsi="Lato" w:cstheme="minorHAnsi"/>
                <w:sz w:val="20"/>
                <w:szCs w:val="20"/>
              </w:rPr>
              <w:t xml:space="preserve">Uczestnictwo w </w:t>
            </w:r>
            <w:r w:rsidRPr="00C97BE2">
              <w:rPr>
                <w:rFonts w:ascii="Lato" w:eastAsia="Times New Roman" w:hAnsi="Lato" w:cstheme="minorHAnsi"/>
                <w:sz w:val="20"/>
                <w:szCs w:val="20"/>
                <w:lang w:eastAsia="pl-PL"/>
              </w:rPr>
              <w:t xml:space="preserve">Festynie Integracyjnym „Barierom Stop” organizowanym przez Dom Pomocy Społecznej w Lisówkach. </w:t>
            </w:r>
          </w:p>
          <w:p w14:paraId="0E5E8283" w14:textId="77777777" w:rsidR="00C97BE2" w:rsidRPr="00C97BE2" w:rsidRDefault="00C97BE2" w:rsidP="00C97BE2">
            <w:pPr>
              <w:rPr>
                <w:rFonts w:ascii="Lato" w:hAnsi="Lato" w:cstheme="minorHAnsi"/>
                <w:sz w:val="20"/>
                <w:szCs w:val="20"/>
              </w:rPr>
            </w:pPr>
          </w:p>
        </w:tc>
        <w:tc>
          <w:tcPr>
            <w:tcW w:w="1843" w:type="dxa"/>
          </w:tcPr>
          <w:p w14:paraId="5AC1882C" w14:textId="77777777" w:rsidR="00C97BE2" w:rsidRPr="00C97BE2" w:rsidRDefault="00C97BE2" w:rsidP="00C97BE2">
            <w:pPr>
              <w:rPr>
                <w:rFonts w:ascii="Lato" w:hAnsi="Lato" w:cstheme="minorHAnsi"/>
                <w:color w:val="FF0000"/>
                <w:sz w:val="20"/>
                <w:szCs w:val="20"/>
              </w:rPr>
            </w:pPr>
            <w:r w:rsidRPr="00C97BE2">
              <w:rPr>
                <w:rFonts w:ascii="Lato" w:hAnsi="Lato" w:cstheme="minorHAnsi"/>
                <w:sz w:val="20"/>
                <w:szCs w:val="20"/>
              </w:rPr>
              <w:t>08.09.2022</w:t>
            </w:r>
          </w:p>
        </w:tc>
        <w:tc>
          <w:tcPr>
            <w:tcW w:w="8163" w:type="dxa"/>
          </w:tcPr>
          <w:p w14:paraId="4D91DCBF" w14:textId="77777777" w:rsidR="00C97BE2" w:rsidRPr="00C97BE2" w:rsidRDefault="00C97BE2" w:rsidP="00C97BE2">
            <w:pPr>
              <w:rPr>
                <w:rFonts w:ascii="Lato" w:eastAsia="Times New Roman" w:hAnsi="Lato" w:cstheme="minorHAnsi"/>
                <w:sz w:val="20"/>
                <w:szCs w:val="20"/>
                <w:lang w:eastAsia="pl-PL"/>
              </w:rPr>
            </w:pPr>
            <w:r w:rsidRPr="00C97BE2">
              <w:rPr>
                <w:rFonts w:ascii="Lato" w:eastAsia="Times New Roman" w:hAnsi="Lato" w:cstheme="minorHAnsi"/>
                <w:sz w:val="20"/>
                <w:szCs w:val="20"/>
                <w:lang w:eastAsia="pl-PL"/>
              </w:rPr>
              <w:t>Pracownicy WPN na stoisku edukacyjnym przeprowadzili konkursy i zabawy związane z tematem eventu – ekologią oraz zorganizowali jeden z punktów podczas konkurencji o puchar Starosty Poznańskiego, dostosowany dla osób w różnym wieku, od najmłodszych po osoby starsze, a także niepełnosprawne.</w:t>
            </w:r>
            <w:r w:rsidRPr="00C97BE2">
              <w:rPr>
                <w:rFonts w:ascii="Lato" w:hAnsi="Lato" w:cstheme="minorHAnsi"/>
                <w:sz w:val="20"/>
                <w:szCs w:val="20"/>
              </w:rPr>
              <w:t xml:space="preserve"> Zadania dla uczestników zawodów zostały przygotowane z nastawieniem na ich uniwersalne zastosowanie, odbiór sensoryczny i manualny.</w:t>
            </w:r>
          </w:p>
        </w:tc>
      </w:tr>
      <w:tr w:rsidR="00C97BE2" w:rsidRPr="00C97BE2" w14:paraId="4ED503E0" w14:textId="77777777" w:rsidTr="00D578ED">
        <w:trPr>
          <w:trHeight w:val="699"/>
        </w:trPr>
        <w:tc>
          <w:tcPr>
            <w:tcW w:w="846" w:type="dxa"/>
          </w:tcPr>
          <w:p w14:paraId="5B507C47" w14:textId="77777777" w:rsidR="00C97BE2" w:rsidRPr="00C97BE2" w:rsidRDefault="00C97BE2" w:rsidP="00C97BE2">
            <w:pPr>
              <w:jc w:val="center"/>
              <w:rPr>
                <w:rFonts w:ascii="Lato" w:hAnsi="Lato"/>
                <w:b/>
                <w:bCs/>
                <w:sz w:val="20"/>
                <w:szCs w:val="20"/>
              </w:rPr>
            </w:pPr>
            <w:r w:rsidRPr="00C97BE2">
              <w:rPr>
                <w:rFonts w:ascii="Lato" w:hAnsi="Lato"/>
                <w:b/>
                <w:bCs/>
                <w:sz w:val="20"/>
                <w:szCs w:val="20"/>
              </w:rPr>
              <w:t>5.</w:t>
            </w:r>
          </w:p>
        </w:tc>
        <w:tc>
          <w:tcPr>
            <w:tcW w:w="4536" w:type="dxa"/>
          </w:tcPr>
          <w:p w14:paraId="39BC8CA1"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Zajęcia „Leśnej szkoły” oraz „Żywe muzeum form polodowcowych” dedykowane dla seniorów.</w:t>
            </w:r>
          </w:p>
        </w:tc>
        <w:tc>
          <w:tcPr>
            <w:tcW w:w="1843" w:type="dxa"/>
          </w:tcPr>
          <w:p w14:paraId="116BD85B"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7157C2B1" w14:textId="77777777" w:rsidR="00C97BE2" w:rsidRPr="00C97BE2" w:rsidRDefault="00C97BE2" w:rsidP="00C97BE2">
            <w:pPr>
              <w:rPr>
                <w:rFonts w:ascii="Lato" w:hAnsi="Lato" w:cstheme="minorHAnsi"/>
                <w:color w:val="2F5597"/>
                <w:sz w:val="20"/>
                <w:szCs w:val="20"/>
              </w:rPr>
            </w:pPr>
            <w:r w:rsidRPr="00C97BE2">
              <w:rPr>
                <w:rFonts w:ascii="Lato" w:hAnsi="Lato" w:cstheme="minorHAnsi"/>
                <w:sz w:val="20"/>
                <w:szCs w:val="20"/>
              </w:rPr>
              <w:t>W zajęciach realizowanych w ramach Leśnej Szkoły uczestniczyło 188 seniorów, w tym osoby z Uniwersytetu Trzeciego Wieku w Szczecinku i pensjonariusze Domu Pomocy Społecznej w Lisówkach. Podczas spotkań seniorzy mieli możliwość zapoznania się z historią powstania i walorami przyrodniczymi WPN. W zajęciach realizowanych w ramach Żywego muzeum form polodowcowych uczestniczyło 50 seniorów ze Stowarzyszenia Nasze Trzebiny. Bilety ulgowe dedykowane dla emerytów na wstęp do Muzeum Przyrodniczego wykupiło 250 osób.</w:t>
            </w:r>
          </w:p>
        </w:tc>
      </w:tr>
      <w:tr w:rsidR="00C97BE2" w:rsidRPr="00C97BE2" w14:paraId="1793EB39" w14:textId="77777777" w:rsidTr="00D578ED">
        <w:tc>
          <w:tcPr>
            <w:tcW w:w="846" w:type="dxa"/>
          </w:tcPr>
          <w:p w14:paraId="5D0280B7" w14:textId="77777777" w:rsidR="00C97BE2" w:rsidRPr="00C97BE2" w:rsidRDefault="00C97BE2" w:rsidP="00C97BE2">
            <w:pPr>
              <w:jc w:val="center"/>
              <w:rPr>
                <w:rFonts w:ascii="Lato" w:hAnsi="Lato"/>
                <w:b/>
                <w:bCs/>
                <w:sz w:val="20"/>
                <w:szCs w:val="20"/>
              </w:rPr>
            </w:pPr>
            <w:r w:rsidRPr="00C97BE2">
              <w:rPr>
                <w:rFonts w:ascii="Lato" w:hAnsi="Lato"/>
                <w:b/>
                <w:bCs/>
                <w:sz w:val="20"/>
                <w:szCs w:val="20"/>
              </w:rPr>
              <w:t>6.</w:t>
            </w:r>
          </w:p>
        </w:tc>
        <w:tc>
          <w:tcPr>
            <w:tcW w:w="4536" w:type="dxa"/>
          </w:tcPr>
          <w:p w14:paraId="4410CC3D" w14:textId="77777777" w:rsidR="00C97BE2" w:rsidRPr="00C97BE2" w:rsidRDefault="00C97BE2" w:rsidP="00C97BE2">
            <w:pPr>
              <w:pStyle w:val="Default"/>
              <w:rPr>
                <w:rFonts w:ascii="Lato" w:hAnsi="Lato" w:cstheme="minorHAnsi"/>
                <w:sz w:val="20"/>
                <w:szCs w:val="20"/>
              </w:rPr>
            </w:pPr>
            <w:r w:rsidRPr="00C97BE2">
              <w:rPr>
                <w:rFonts w:ascii="Lato" w:hAnsi="Lato" w:cstheme="minorHAnsi"/>
                <w:sz w:val="20"/>
                <w:szCs w:val="20"/>
              </w:rPr>
              <w:t xml:space="preserve">Strona internetowa dostępna dla osób starszych oraz niepełnosprawnych. </w:t>
            </w:r>
          </w:p>
        </w:tc>
        <w:tc>
          <w:tcPr>
            <w:tcW w:w="1843" w:type="dxa"/>
          </w:tcPr>
          <w:p w14:paraId="53781F3E" w14:textId="77777777" w:rsidR="00C97BE2" w:rsidRPr="00C97BE2" w:rsidRDefault="00C97BE2" w:rsidP="00C97BE2">
            <w:pPr>
              <w:rPr>
                <w:rFonts w:ascii="Lato" w:hAnsi="Lato" w:cstheme="minorHAnsi"/>
                <w:sz w:val="20"/>
                <w:szCs w:val="20"/>
              </w:rPr>
            </w:pPr>
            <w:r w:rsidRPr="00C97BE2">
              <w:rPr>
                <w:rFonts w:ascii="Lato" w:hAnsi="Lato" w:cstheme="minorHAnsi"/>
                <w:sz w:val="20"/>
                <w:szCs w:val="20"/>
              </w:rPr>
              <w:t>2022</w:t>
            </w:r>
          </w:p>
        </w:tc>
        <w:tc>
          <w:tcPr>
            <w:tcW w:w="8163" w:type="dxa"/>
          </w:tcPr>
          <w:p w14:paraId="42537A9F" w14:textId="77777777" w:rsidR="00C97BE2" w:rsidRPr="00C97BE2" w:rsidRDefault="00C97BE2" w:rsidP="00C97BE2">
            <w:pPr>
              <w:pStyle w:val="Default"/>
              <w:rPr>
                <w:rFonts w:ascii="Lato" w:hAnsi="Lato" w:cstheme="minorHAnsi"/>
                <w:sz w:val="20"/>
                <w:szCs w:val="20"/>
              </w:rPr>
            </w:pPr>
            <w:r w:rsidRPr="00C97BE2">
              <w:rPr>
                <w:rFonts w:ascii="Lato" w:hAnsi="Lato" w:cstheme="minorHAnsi"/>
                <w:sz w:val="20"/>
                <w:szCs w:val="20"/>
              </w:rPr>
              <w:t xml:space="preserve">Uruchomienie nowej wersji strony internetowej Parku </w:t>
            </w:r>
            <w:hyperlink r:id="rId18" w:history="1">
              <w:r w:rsidRPr="00C97BE2">
                <w:rPr>
                  <w:rStyle w:val="Hipercze"/>
                  <w:rFonts w:ascii="Lato" w:hAnsi="Lato" w:cstheme="minorHAnsi"/>
                  <w:color w:val="auto"/>
                  <w:sz w:val="20"/>
                  <w:szCs w:val="20"/>
                </w:rPr>
                <w:t>www.wielkopolskipn.pl</w:t>
              </w:r>
            </w:hyperlink>
            <w:r w:rsidRPr="00C97BE2">
              <w:rPr>
                <w:rFonts w:ascii="Lato" w:hAnsi="Lato" w:cstheme="minorHAnsi"/>
                <w:sz w:val="20"/>
                <w:szCs w:val="20"/>
              </w:rPr>
              <w:t xml:space="preserve">, która została przygotowana zgodnie z ustawą o dostępności cyfrowej. Nowa strona </w:t>
            </w:r>
            <w:r w:rsidRPr="00C97BE2">
              <w:rPr>
                <w:rStyle w:val="markedcontent"/>
                <w:rFonts w:ascii="Lato" w:hAnsi="Lato" w:cstheme="minorHAnsi"/>
                <w:sz w:val="20"/>
                <w:szCs w:val="20"/>
              </w:rPr>
              <w:t>posiada ułatwienia dla osób starszych oraz niepełnosprawnych</w:t>
            </w:r>
          </w:p>
        </w:tc>
      </w:tr>
      <w:tr w:rsidR="00C97BE2" w:rsidRPr="00C97BE2" w14:paraId="27D26C88" w14:textId="77777777" w:rsidTr="00C97BE2">
        <w:tc>
          <w:tcPr>
            <w:tcW w:w="15388" w:type="dxa"/>
            <w:gridSpan w:val="4"/>
            <w:shd w:val="clear" w:color="auto" w:fill="ACB9CA" w:themeFill="text2" w:themeFillTint="66"/>
          </w:tcPr>
          <w:p w14:paraId="20B3ABCC"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Wigierski Park Narodowy </w:t>
            </w:r>
          </w:p>
        </w:tc>
      </w:tr>
      <w:tr w:rsidR="00C97BE2" w:rsidRPr="00C97BE2" w14:paraId="2B4CEFF5" w14:textId="77777777" w:rsidTr="00D578ED">
        <w:tc>
          <w:tcPr>
            <w:tcW w:w="846" w:type="dxa"/>
          </w:tcPr>
          <w:p w14:paraId="4E9A5274"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115A1D10" w14:textId="77777777" w:rsidR="00C97BE2" w:rsidRPr="00C97BE2" w:rsidRDefault="00C97BE2" w:rsidP="00C97BE2">
            <w:pPr>
              <w:rPr>
                <w:rFonts w:ascii="Lato" w:hAnsi="Lato"/>
                <w:sz w:val="20"/>
                <w:szCs w:val="20"/>
              </w:rPr>
            </w:pPr>
            <w:r w:rsidRPr="00C97BE2">
              <w:rPr>
                <w:rFonts w:ascii="Lato" w:hAnsi="Lato"/>
                <w:sz w:val="20"/>
                <w:szCs w:val="20"/>
              </w:rPr>
              <w:t xml:space="preserve">Realizacja przedsięwzięcia grantowego „Wigierski Park Narodowy dostępny dla osób ze specjalnymi potrzebami”, </w:t>
            </w:r>
            <w:r w:rsidRPr="00C97BE2">
              <w:rPr>
                <w:rFonts w:ascii="Lato" w:hAnsi="Lato"/>
                <w:sz w:val="20"/>
                <w:szCs w:val="20"/>
              </w:rPr>
              <w:lastRenderedPageBreak/>
              <w:t>finansowanego w ramach projektu „Obszar chroniony, obszar dostępny” realizowanego przez Państwowy Fundusz Rehabilitacji Osób Niepełnosprawnych w ramach Działania 4.3 Programu Operacyjnego Wiedza Edukacja Rozwój 2014-2020.</w:t>
            </w:r>
          </w:p>
        </w:tc>
        <w:tc>
          <w:tcPr>
            <w:tcW w:w="1843" w:type="dxa"/>
          </w:tcPr>
          <w:p w14:paraId="49199806" w14:textId="77777777" w:rsidR="00C97BE2" w:rsidRPr="00C97BE2" w:rsidRDefault="00C97BE2" w:rsidP="00C97BE2">
            <w:pPr>
              <w:rPr>
                <w:rFonts w:ascii="Lato" w:hAnsi="Lato"/>
                <w:sz w:val="20"/>
                <w:szCs w:val="20"/>
              </w:rPr>
            </w:pPr>
            <w:r w:rsidRPr="00C97BE2">
              <w:rPr>
                <w:rFonts w:ascii="Lato" w:hAnsi="Lato"/>
                <w:sz w:val="20"/>
                <w:szCs w:val="20"/>
              </w:rPr>
              <w:lastRenderedPageBreak/>
              <w:t>2022-2023</w:t>
            </w:r>
          </w:p>
        </w:tc>
        <w:tc>
          <w:tcPr>
            <w:tcW w:w="8163" w:type="dxa"/>
          </w:tcPr>
          <w:p w14:paraId="75E9F445" w14:textId="77777777" w:rsidR="00C97BE2" w:rsidRPr="00C97BE2" w:rsidRDefault="00C97BE2" w:rsidP="00C97BE2">
            <w:pPr>
              <w:rPr>
                <w:rFonts w:ascii="Lato" w:hAnsi="Lato"/>
                <w:sz w:val="20"/>
                <w:szCs w:val="20"/>
              </w:rPr>
            </w:pPr>
            <w:r w:rsidRPr="00C97BE2">
              <w:rPr>
                <w:rFonts w:ascii="Lato" w:hAnsi="Lato"/>
                <w:sz w:val="20"/>
                <w:szCs w:val="20"/>
              </w:rPr>
              <w:t xml:space="preserve">Zwiększenie dostępności WPN dla osób ze specjalnymi potrzebami, w tym osób starszych m.in: urządzenie trasy dostępnej dla osób ze specjalnymi potrzebami, budowa </w:t>
            </w:r>
            <w:r w:rsidRPr="00C97BE2">
              <w:rPr>
                <w:rFonts w:ascii="Lato" w:hAnsi="Lato"/>
                <w:sz w:val="20"/>
                <w:szCs w:val="20"/>
              </w:rPr>
              <w:lastRenderedPageBreak/>
              <w:t xml:space="preserve">dostępnej toalety, doposażenie wypożyczalni sprzętu turystycznego; Przeszkolenie pracowników Parku z pierwszej pomocy, bezpieczeństwa, obsługi i edukacji osób ze specjalnymi potrzebami </w:t>
            </w:r>
          </w:p>
        </w:tc>
      </w:tr>
      <w:tr w:rsidR="00C97BE2" w:rsidRPr="00C97BE2" w14:paraId="15BEA8E2" w14:textId="77777777" w:rsidTr="00D578ED">
        <w:tc>
          <w:tcPr>
            <w:tcW w:w="846" w:type="dxa"/>
          </w:tcPr>
          <w:p w14:paraId="419E4B44"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2.</w:t>
            </w:r>
          </w:p>
        </w:tc>
        <w:tc>
          <w:tcPr>
            <w:tcW w:w="4536" w:type="dxa"/>
          </w:tcPr>
          <w:p w14:paraId="70BA518F" w14:textId="77777777" w:rsidR="00C97BE2" w:rsidRPr="00C97BE2" w:rsidRDefault="00C97BE2" w:rsidP="00C97BE2">
            <w:pPr>
              <w:rPr>
                <w:rFonts w:ascii="Lato" w:hAnsi="Lato"/>
                <w:sz w:val="20"/>
                <w:szCs w:val="20"/>
              </w:rPr>
            </w:pPr>
            <w:r w:rsidRPr="00C97BE2">
              <w:rPr>
                <w:rFonts w:ascii="Lato" w:hAnsi="Lato"/>
                <w:sz w:val="20"/>
                <w:szCs w:val="20"/>
              </w:rPr>
              <w:t>Projekt dofinansowany ze środków Fundacji PGE, cykliczne działania pod wspólną nazwą „Z energią łączymy pokolenia”</w:t>
            </w:r>
          </w:p>
        </w:tc>
        <w:tc>
          <w:tcPr>
            <w:tcW w:w="1843" w:type="dxa"/>
          </w:tcPr>
          <w:p w14:paraId="36D7BD55"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0D872C64" w14:textId="77777777" w:rsidR="00C97BE2" w:rsidRPr="00C97BE2" w:rsidRDefault="00C97BE2" w:rsidP="00C97BE2">
            <w:pPr>
              <w:rPr>
                <w:rFonts w:ascii="Lato" w:hAnsi="Lato"/>
                <w:sz w:val="20"/>
                <w:szCs w:val="20"/>
              </w:rPr>
            </w:pPr>
            <w:r w:rsidRPr="00C97BE2">
              <w:rPr>
                <w:rFonts w:ascii="Lato" w:hAnsi="Lato"/>
                <w:sz w:val="20"/>
                <w:szCs w:val="20"/>
              </w:rPr>
              <w:t xml:space="preserve">Blok imprez i wydarzeń edukacyjnych, integrujących różne grupy wiekowe. Zorganizowano 44 wydarzenia, spośród integrujących ogół społeczeństwa i osoby starsze: Noc Sów, Poranek Dzięcioła, Noc Nietoperzy, Rykowisko, Dzień Ziemi, warsztaty „Jak pszczołom się przysłużyć”, 12 spacerów </w:t>
            </w:r>
            <w:proofErr w:type="spellStart"/>
            <w:r w:rsidRPr="00C97BE2">
              <w:rPr>
                <w:rFonts w:ascii="Lato" w:hAnsi="Lato"/>
                <w:sz w:val="20"/>
                <w:szCs w:val="20"/>
              </w:rPr>
              <w:t>nordic</w:t>
            </w:r>
            <w:proofErr w:type="spellEnd"/>
            <w:r w:rsidRPr="00C97BE2">
              <w:rPr>
                <w:rFonts w:ascii="Lato" w:hAnsi="Lato"/>
                <w:sz w:val="20"/>
                <w:szCs w:val="20"/>
              </w:rPr>
              <w:t xml:space="preserve"> </w:t>
            </w:r>
            <w:proofErr w:type="spellStart"/>
            <w:r w:rsidRPr="00C97BE2">
              <w:rPr>
                <w:rFonts w:ascii="Lato" w:hAnsi="Lato"/>
                <w:sz w:val="20"/>
                <w:szCs w:val="20"/>
              </w:rPr>
              <w:t>walking</w:t>
            </w:r>
            <w:proofErr w:type="spellEnd"/>
            <w:r w:rsidRPr="00C97BE2">
              <w:rPr>
                <w:rFonts w:ascii="Lato" w:hAnsi="Lato"/>
                <w:sz w:val="20"/>
                <w:szCs w:val="20"/>
              </w:rPr>
              <w:t xml:space="preserve"> „Odetchnij lasem”, cykl 9 „Gawęd o przyrodzie” oraz 6 spotkań „Przyroda w filmie”</w:t>
            </w:r>
          </w:p>
        </w:tc>
      </w:tr>
      <w:tr w:rsidR="00C97BE2" w:rsidRPr="00C97BE2" w14:paraId="117C195E" w14:textId="77777777" w:rsidTr="00D578ED">
        <w:tc>
          <w:tcPr>
            <w:tcW w:w="846" w:type="dxa"/>
          </w:tcPr>
          <w:p w14:paraId="4E61B48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Pr>
          <w:p w14:paraId="155865E2" w14:textId="77777777" w:rsidR="00C97BE2" w:rsidRPr="00C97BE2" w:rsidRDefault="00C97BE2" w:rsidP="00C97BE2">
            <w:pPr>
              <w:rPr>
                <w:rFonts w:ascii="Lato" w:hAnsi="Lato"/>
                <w:sz w:val="20"/>
                <w:szCs w:val="20"/>
              </w:rPr>
            </w:pPr>
            <w:r w:rsidRPr="00C97BE2">
              <w:rPr>
                <w:rFonts w:ascii="Lato" w:hAnsi="Lato"/>
                <w:sz w:val="20"/>
                <w:szCs w:val="20"/>
              </w:rPr>
              <w:t>Dzień Babci i Dziadka</w:t>
            </w:r>
          </w:p>
        </w:tc>
        <w:tc>
          <w:tcPr>
            <w:tcW w:w="1843" w:type="dxa"/>
          </w:tcPr>
          <w:p w14:paraId="7B494EB6" w14:textId="77777777" w:rsidR="00C97BE2" w:rsidRPr="00C97BE2" w:rsidRDefault="00C97BE2" w:rsidP="00C97BE2">
            <w:pPr>
              <w:rPr>
                <w:rFonts w:ascii="Lato" w:hAnsi="Lato"/>
                <w:sz w:val="20"/>
                <w:szCs w:val="20"/>
              </w:rPr>
            </w:pPr>
            <w:r w:rsidRPr="00C97BE2">
              <w:rPr>
                <w:rFonts w:ascii="Lato" w:hAnsi="Lato"/>
                <w:sz w:val="20"/>
                <w:szCs w:val="20"/>
              </w:rPr>
              <w:t>21.01.22</w:t>
            </w:r>
          </w:p>
        </w:tc>
        <w:tc>
          <w:tcPr>
            <w:tcW w:w="8163" w:type="dxa"/>
          </w:tcPr>
          <w:p w14:paraId="465DA47D" w14:textId="77777777" w:rsidR="00C97BE2" w:rsidRPr="00C97BE2" w:rsidRDefault="00C97BE2" w:rsidP="00C97BE2">
            <w:pPr>
              <w:rPr>
                <w:rFonts w:ascii="Lato" w:hAnsi="Lato"/>
                <w:sz w:val="20"/>
                <w:szCs w:val="20"/>
              </w:rPr>
            </w:pPr>
            <w:r w:rsidRPr="00C97BE2">
              <w:rPr>
                <w:rFonts w:ascii="Lato" w:hAnsi="Lato"/>
                <w:sz w:val="20"/>
                <w:szCs w:val="20"/>
              </w:rPr>
              <w:t xml:space="preserve">Przyrodnicze spotkanie dla seniorów z Suwalskiego Klubu Seniora </w:t>
            </w:r>
          </w:p>
        </w:tc>
      </w:tr>
      <w:tr w:rsidR="00C97BE2" w:rsidRPr="00C97BE2" w14:paraId="1069BD2B" w14:textId="77777777" w:rsidTr="00D578ED">
        <w:tc>
          <w:tcPr>
            <w:tcW w:w="846" w:type="dxa"/>
          </w:tcPr>
          <w:p w14:paraId="60E5E956" w14:textId="77777777" w:rsidR="00C97BE2" w:rsidRPr="00C97BE2" w:rsidRDefault="00C97BE2" w:rsidP="00C97BE2">
            <w:pPr>
              <w:jc w:val="center"/>
              <w:rPr>
                <w:rFonts w:ascii="Lato" w:hAnsi="Lato"/>
                <w:b/>
                <w:bCs/>
                <w:sz w:val="20"/>
                <w:szCs w:val="20"/>
              </w:rPr>
            </w:pPr>
            <w:r w:rsidRPr="00C97BE2">
              <w:rPr>
                <w:rFonts w:ascii="Lato" w:hAnsi="Lato"/>
                <w:b/>
                <w:bCs/>
                <w:sz w:val="20"/>
                <w:szCs w:val="20"/>
              </w:rPr>
              <w:t>4.</w:t>
            </w:r>
          </w:p>
        </w:tc>
        <w:tc>
          <w:tcPr>
            <w:tcW w:w="4536" w:type="dxa"/>
          </w:tcPr>
          <w:p w14:paraId="6F357F4D" w14:textId="77777777" w:rsidR="00C97BE2" w:rsidRPr="00C97BE2" w:rsidRDefault="00C97BE2" w:rsidP="00C97BE2">
            <w:pPr>
              <w:rPr>
                <w:rFonts w:ascii="Lato" w:hAnsi="Lato"/>
                <w:sz w:val="20"/>
                <w:szCs w:val="20"/>
              </w:rPr>
            </w:pPr>
            <w:r w:rsidRPr="00C97BE2">
              <w:rPr>
                <w:rFonts w:ascii="Lato" w:hAnsi="Lato"/>
                <w:sz w:val="20"/>
                <w:szCs w:val="20"/>
              </w:rPr>
              <w:t>Cykl spotkań pod nazwą „Zanurzam się las”</w:t>
            </w:r>
          </w:p>
        </w:tc>
        <w:tc>
          <w:tcPr>
            <w:tcW w:w="1843" w:type="dxa"/>
          </w:tcPr>
          <w:p w14:paraId="72619EDC" w14:textId="77777777" w:rsidR="00C97BE2" w:rsidRPr="00C97BE2" w:rsidRDefault="00C97BE2" w:rsidP="00C97BE2">
            <w:pPr>
              <w:rPr>
                <w:rFonts w:ascii="Lato" w:hAnsi="Lato"/>
                <w:sz w:val="20"/>
                <w:szCs w:val="20"/>
              </w:rPr>
            </w:pPr>
            <w:r w:rsidRPr="00C97BE2">
              <w:rPr>
                <w:rFonts w:ascii="Lato" w:hAnsi="Lato"/>
                <w:sz w:val="20"/>
                <w:szCs w:val="20"/>
              </w:rPr>
              <w:t>2022</w:t>
            </w:r>
          </w:p>
        </w:tc>
        <w:tc>
          <w:tcPr>
            <w:tcW w:w="8163" w:type="dxa"/>
          </w:tcPr>
          <w:p w14:paraId="261861B9" w14:textId="77777777" w:rsidR="00C97BE2" w:rsidRPr="00C97BE2" w:rsidRDefault="00C97BE2" w:rsidP="00C97BE2">
            <w:pPr>
              <w:rPr>
                <w:rFonts w:ascii="Lato" w:hAnsi="Lato"/>
                <w:sz w:val="20"/>
                <w:szCs w:val="20"/>
              </w:rPr>
            </w:pPr>
            <w:r w:rsidRPr="00C97BE2">
              <w:rPr>
                <w:rFonts w:ascii="Lato" w:hAnsi="Lato"/>
                <w:sz w:val="20"/>
                <w:szCs w:val="20"/>
              </w:rPr>
              <w:t xml:space="preserve">Cykl 6 zimowych spotkań-online i w terenie. Na kanale </w:t>
            </w:r>
            <w:proofErr w:type="spellStart"/>
            <w:r w:rsidRPr="00C97BE2">
              <w:rPr>
                <w:rFonts w:ascii="Lato" w:hAnsi="Lato"/>
                <w:sz w:val="20"/>
                <w:szCs w:val="20"/>
              </w:rPr>
              <w:t>youtube</w:t>
            </w:r>
            <w:proofErr w:type="spellEnd"/>
            <w:r w:rsidRPr="00C97BE2">
              <w:rPr>
                <w:rFonts w:ascii="Lato" w:hAnsi="Lato"/>
                <w:sz w:val="20"/>
                <w:szCs w:val="20"/>
              </w:rPr>
              <w:t xml:space="preserve"> publikowaliśmy prezentacje i opowieści, których tematyka dotyczyła zadań przygotowanych w terenie (na ścieżkach edukacyjnych „Las”, „Jeziora”, „Suchary”, na Bindudze). W wyznaczonych punktach uczestnicy odbierali karty z zadaniami, których rozwiązanie możliwe było po przejściu określoną trasą</w:t>
            </w:r>
          </w:p>
        </w:tc>
      </w:tr>
      <w:tr w:rsidR="00C97BE2" w:rsidRPr="00C97BE2" w14:paraId="3F2585D9" w14:textId="77777777" w:rsidTr="00C97BE2">
        <w:tc>
          <w:tcPr>
            <w:tcW w:w="15388" w:type="dxa"/>
            <w:gridSpan w:val="4"/>
            <w:shd w:val="clear" w:color="auto" w:fill="ACB9CA" w:themeFill="text2" w:themeFillTint="66"/>
          </w:tcPr>
          <w:p w14:paraId="438ACE9F"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Woliński Park Narodowy </w:t>
            </w:r>
          </w:p>
        </w:tc>
      </w:tr>
      <w:tr w:rsidR="00C97BE2" w:rsidRPr="00C97BE2" w14:paraId="6863B9D7" w14:textId="77777777" w:rsidTr="00D578ED">
        <w:tc>
          <w:tcPr>
            <w:tcW w:w="846" w:type="dxa"/>
          </w:tcPr>
          <w:p w14:paraId="1D8CB8B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1.</w:t>
            </w:r>
          </w:p>
        </w:tc>
        <w:tc>
          <w:tcPr>
            <w:tcW w:w="4536" w:type="dxa"/>
          </w:tcPr>
          <w:p w14:paraId="3A97FB82" w14:textId="77777777" w:rsidR="00C97BE2" w:rsidRPr="00C97BE2" w:rsidRDefault="00C97BE2" w:rsidP="00C97BE2">
            <w:pPr>
              <w:rPr>
                <w:rFonts w:ascii="Lato" w:hAnsi="Lato"/>
                <w:sz w:val="20"/>
                <w:szCs w:val="20"/>
              </w:rPr>
            </w:pPr>
            <w:r w:rsidRPr="00C97BE2">
              <w:rPr>
                <w:rFonts w:ascii="Lato" w:hAnsi="Lato"/>
                <w:sz w:val="20"/>
                <w:szCs w:val="20"/>
              </w:rPr>
              <w:t>Udostępnianie wystawy stałej w Muzeum Przyrodniczym WPN</w:t>
            </w:r>
          </w:p>
        </w:tc>
        <w:tc>
          <w:tcPr>
            <w:tcW w:w="1843" w:type="dxa"/>
          </w:tcPr>
          <w:p w14:paraId="739883B0"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3D00F27F" w14:textId="77777777" w:rsidR="00C97BE2" w:rsidRPr="00C97BE2" w:rsidRDefault="00C97BE2" w:rsidP="00C97BE2">
            <w:pPr>
              <w:rPr>
                <w:rFonts w:ascii="Lato" w:hAnsi="Lato"/>
                <w:sz w:val="20"/>
                <w:szCs w:val="20"/>
              </w:rPr>
            </w:pPr>
            <w:r w:rsidRPr="00C97BE2">
              <w:rPr>
                <w:rFonts w:ascii="Lato" w:hAnsi="Lato"/>
                <w:sz w:val="20"/>
                <w:szCs w:val="20"/>
              </w:rPr>
              <w:t>Park prowadzi na specjalne zamówienie prelekcje tematyczne i zwiedzanie ekspozycji w CEM.</w:t>
            </w:r>
          </w:p>
        </w:tc>
      </w:tr>
      <w:tr w:rsidR="00C97BE2" w:rsidRPr="00C97BE2" w14:paraId="48409799" w14:textId="77777777" w:rsidTr="00D578ED">
        <w:tc>
          <w:tcPr>
            <w:tcW w:w="846" w:type="dxa"/>
          </w:tcPr>
          <w:p w14:paraId="54DD66CA" w14:textId="77777777" w:rsidR="00C97BE2" w:rsidRPr="00C97BE2" w:rsidRDefault="00C97BE2" w:rsidP="00C97BE2">
            <w:pPr>
              <w:jc w:val="center"/>
              <w:rPr>
                <w:rFonts w:ascii="Lato" w:hAnsi="Lato"/>
                <w:b/>
                <w:bCs/>
                <w:sz w:val="20"/>
                <w:szCs w:val="20"/>
              </w:rPr>
            </w:pPr>
            <w:r w:rsidRPr="00C97BE2">
              <w:rPr>
                <w:rFonts w:ascii="Lato" w:hAnsi="Lato"/>
                <w:b/>
                <w:bCs/>
                <w:sz w:val="20"/>
                <w:szCs w:val="20"/>
              </w:rPr>
              <w:t>2.</w:t>
            </w:r>
          </w:p>
        </w:tc>
        <w:tc>
          <w:tcPr>
            <w:tcW w:w="4536" w:type="dxa"/>
          </w:tcPr>
          <w:p w14:paraId="4CBD2C9F" w14:textId="77777777" w:rsidR="00C97BE2" w:rsidRPr="00C97BE2" w:rsidRDefault="00C97BE2" w:rsidP="00C97BE2">
            <w:pPr>
              <w:rPr>
                <w:rFonts w:ascii="Lato" w:hAnsi="Lato"/>
                <w:sz w:val="20"/>
                <w:szCs w:val="20"/>
              </w:rPr>
            </w:pPr>
            <w:r w:rsidRPr="00C97BE2">
              <w:rPr>
                <w:rFonts w:ascii="Lato" w:hAnsi="Lato"/>
                <w:sz w:val="20"/>
                <w:szCs w:val="20"/>
              </w:rPr>
              <w:t>Udostępnianie wystaw czasowych organizowanych w CEM</w:t>
            </w:r>
            <w:r w:rsidRPr="00C97BE2">
              <w:rPr>
                <w:rFonts w:ascii="Lato" w:hAnsi="Lato"/>
                <w:sz w:val="20"/>
                <w:szCs w:val="20"/>
              </w:rPr>
              <w:br/>
            </w:r>
          </w:p>
        </w:tc>
        <w:tc>
          <w:tcPr>
            <w:tcW w:w="1843" w:type="dxa"/>
          </w:tcPr>
          <w:p w14:paraId="1065B66B" w14:textId="77777777" w:rsidR="00C97BE2" w:rsidRPr="00C97BE2" w:rsidRDefault="00C97BE2" w:rsidP="00C97BE2">
            <w:pPr>
              <w:rPr>
                <w:rFonts w:ascii="Lato" w:hAnsi="Lato"/>
                <w:sz w:val="20"/>
                <w:szCs w:val="20"/>
              </w:rPr>
            </w:pPr>
            <w:r w:rsidRPr="00C97BE2">
              <w:rPr>
                <w:rFonts w:ascii="Lato" w:hAnsi="Lato"/>
                <w:sz w:val="20"/>
                <w:szCs w:val="20"/>
              </w:rPr>
              <w:t>czasowo</w:t>
            </w:r>
          </w:p>
        </w:tc>
        <w:tc>
          <w:tcPr>
            <w:tcW w:w="8163" w:type="dxa"/>
          </w:tcPr>
          <w:p w14:paraId="2913D481" w14:textId="77777777" w:rsidR="00C97BE2" w:rsidRPr="00C97BE2" w:rsidRDefault="00C97BE2" w:rsidP="00C97BE2">
            <w:pPr>
              <w:rPr>
                <w:rFonts w:ascii="Lato" w:hAnsi="Lato"/>
                <w:sz w:val="20"/>
                <w:szCs w:val="20"/>
              </w:rPr>
            </w:pPr>
            <w:r w:rsidRPr="00C97BE2">
              <w:rPr>
                <w:rFonts w:ascii="Lato" w:hAnsi="Lato"/>
                <w:sz w:val="20"/>
                <w:szCs w:val="20"/>
              </w:rPr>
              <w:t xml:space="preserve">„Walery </w:t>
            </w:r>
            <w:proofErr w:type="spellStart"/>
            <w:r w:rsidRPr="00C97BE2">
              <w:rPr>
                <w:rFonts w:ascii="Lato" w:hAnsi="Lato"/>
                <w:sz w:val="20"/>
                <w:szCs w:val="20"/>
              </w:rPr>
              <w:t>Siejtbatałow</w:t>
            </w:r>
            <w:proofErr w:type="spellEnd"/>
            <w:r w:rsidRPr="00C97BE2">
              <w:rPr>
                <w:rFonts w:ascii="Lato" w:hAnsi="Lato"/>
                <w:sz w:val="20"/>
                <w:szCs w:val="20"/>
              </w:rPr>
              <w:t xml:space="preserve"> Artysta Malujący Ustami i Nogami” - kwiecień -maj</w:t>
            </w:r>
          </w:p>
          <w:p w14:paraId="78CC2417" w14:textId="77777777" w:rsidR="00C97BE2" w:rsidRPr="00C97BE2" w:rsidRDefault="00C97BE2" w:rsidP="00C97BE2">
            <w:pPr>
              <w:rPr>
                <w:rFonts w:ascii="Lato" w:hAnsi="Lato"/>
                <w:sz w:val="20"/>
                <w:szCs w:val="20"/>
              </w:rPr>
            </w:pPr>
            <w:r w:rsidRPr="00C97BE2">
              <w:rPr>
                <w:rFonts w:ascii="Lato" w:hAnsi="Lato"/>
                <w:sz w:val="20"/>
                <w:szCs w:val="20"/>
              </w:rPr>
              <w:t>„Artyści Malujący Ustami i Nogami” – maj - czerwiec</w:t>
            </w:r>
          </w:p>
          <w:p w14:paraId="4A916E48" w14:textId="77777777" w:rsidR="00C97BE2" w:rsidRPr="00C97BE2" w:rsidRDefault="00C97BE2" w:rsidP="00C97BE2">
            <w:pPr>
              <w:rPr>
                <w:rFonts w:ascii="Lato" w:hAnsi="Lato"/>
                <w:sz w:val="20"/>
                <w:szCs w:val="20"/>
              </w:rPr>
            </w:pPr>
            <w:r w:rsidRPr="00C97BE2">
              <w:rPr>
                <w:rFonts w:ascii="Lato" w:hAnsi="Lato"/>
                <w:sz w:val="20"/>
                <w:szCs w:val="20"/>
              </w:rPr>
              <w:t>wystawa fotograficzna WWF – lipiec -  wrzesień</w:t>
            </w:r>
          </w:p>
        </w:tc>
      </w:tr>
      <w:tr w:rsidR="00C97BE2" w:rsidRPr="00C97BE2" w14:paraId="7E11D6F6" w14:textId="77777777" w:rsidTr="00D578ED">
        <w:tc>
          <w:tcPr>
            <w:tcW w:w="846" w:type="dxa"/>
          </w:tcPr>
          <w:p w14:paraId="7104A172" w14:textId="77777777" w:rsidR="00C97BE2" w:rsidRPr="00C97BE2" w:rsidRDefault="00C97BE2" w:rsidP="00C97BE2">
            <w:pPr>
              <w:jc w:val="center"/>
              <w:rPr>
                <w:rFonts w:ascii="Lato" w:hAnsi="Lato"/>
                <w:b/>
                <w:bCs/>
                <w:sz w:val="20"/>
                <w:szCs w:val="20"/>
              </w:rPr>
            </w:pPr>
            <w:r w:rsidRPr="00C97BE2">
              <w:rPr>
                <w:rFonts w:ascii="Lato" w:hAnsi="Lato"/>
                <w:b/>
                <w:bCs/>
                <w:sz w:val="20"/>
                <w:szCs w:val="20"/>
              </w:rPr>
              <w:t>3.</w:t>
            </w:r>
          </w:p>
        </w:tc>
        <w:tc>
          <w:tcPr>
            <w:tcW w:w="4536" w:type="dxa"/>
          </w:tcPr>
          <w:p w14:paraId="59B27C96" w14:textId="77777777" w:rsidR="00C97BE2" w:rsidRPr="00C97BE2" w:rsidRDefault="00C97BE2" w:rsidP="00C97BE2">
            <w:pPr>
              <w:rPr>
                <w:rFonts w:ascii="Lato" w:hAnsi="Lato"/>
                <w:sz w:val="20"/>
                <w:szCs w:val="20"/>
              </w:rPr>
            </w:pPr>
            <w:r w:rsidRPr="00C97BE2">
              <w:rPr>
                <w:rFonts w:ascii="Lato" w:hAnsi="Lato"/>
                <w:sz w:val="20"/>
                <w:szCs w:val="20"/>
              </w:rPr>
              <w:t xml:space="preserve">Współpraca z Uniwersytetami Trzeciego Wieku w Międzyzdrojach, Dziwnowie, Kamieniu Pomorskim, Golczewie i Świnoujściu </w:t>
            </w:r>
          </w:p>
        </w:tc>
        <w:tc>
          <w:tcPr>
            <w:tcW w:w="1843" w:type="dxa"/>
          </w:tcPr>
          <w:p w14:paraId="2F626F2B"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6E4F94F1" w14:textId="77777777" w:rsidR="00C97BE2" w:rsidRPr="00C97BE2" w:rsidRDefault="00C97BE2" w:rsidP="00C97BE2">
            <w:pPr>
              <w:rPr>
                <w:rFonts w:ascii="Lato" w:hAnsi="Lato"/>
                <w:sz w:val="20"/>
                <w:szCs w:val="20"/>
              </w:rPr>
            </w:pPr>
            <w:r w:rsidRPr="00C97BE2">
              <w:rPr>
                <w:rFonts w:ascii="Lato" w:hAnsi="Lato"/>
                <w:sz w:val="20"/>
                <w:szCs w:val="20"/>
              </w:rPr>
              <w:t>Cykliczna współpraca w ramach realizacji programu „Akademia Seniora”:</w:t>
            </w:r>
            <w:r w:rsidRPr="00C97BE2">
              <w:rPr>
                <w:rFonts w:ascii="Lato" w:hAnsi="Lato"/>
                <w:sz w:val="20"/>
                <w:szCs w:val="20"/>
              </w:rPr>
              <w:br/>
              <w:t>spacery edukacyjne, wykłady organizowane w parku oraz na spotkaniach w terenie, imprezy turystyczne kierowane dla seniorów z regionu.</w:t>
            </w:r>
          </w:p>
        </w:tc>
      </w:tr>
      <w:tr w:rsidR="00C97BE2" w:rsidRPr="00C97BE2" w14:paraId="784935CC" w14:textId="77777777" w:rsidTr="00D578ED">
        <w:tc>
          <w:tcPr>
            <w:tcW w:w="846" w:type="dxa"/>
          </w:tcPr>
          <w:p w14:paraId="0D708D7D" w14:textId="77777777" w:rsidR="00C97BE2" w:rsidRPr="00C97BE2" w:rsidRDefault="00C97BE2" w:rsidP="00C97BE2">
            <w:pPr>
              <w:jc w:val="center"/>
              <w:rPr>
                <w:rFonts w:ascii="Lato" w:hAnsi="Lato"/>
                <w:b/>
                <w:bCs/>
                <w:sz w:val="20"/>
                <w:szCs w:val="20"/>
              </w:rPr>
            </w:pPr>
            <w:r w:rsidRPr="00C97BE2">
              <w:rPr>
                <w:rFonts w:ascii="Lato" w:hAnsi="Lato"/>
                <w:b/>
                <w:bCs/>
                <w:sz w:val="20"/>
                <w:szCs w:val="20"/>
              </w:rPr>
              <w:t>4.</w:t>
            </w:r>
          </w:p>
        </w:tc>
        <w:tc>
          <w:tcPr>
            <w:tcW w:w="4536" w:type="dxa"/>
          </w:tcPr>
          <w:p w14:paraId="31F09A1A" w14:textId="77777777" w:rsidR="00C97BE2" w:rsidRPr="00C97BE2" w:rsidRDefault="00C97BE2" w:rsidP="00C97BE2">
            <w:pPr>
              <w:rPr>
                <w:rFonts w:ascii="Lato" w:hAnsi="Lato"/>
                <w:sz w:val="20"/>
                <w:szCs w:val="20"/>
              </w:rPr>
            </w:pPr>
            <w:r w:rsidRPr="00C97BE2">
              <w:rPr>
                <w:rFonts w:ascii="Lato" w:hAnsi="Lato"/>
                <w:sz w:val="20"/>
                <w:szCs w:val="20"/>
              </w:rPr>
              <w:t>Współpraca z Klubem Senior+ z Międzyzdrojów</w:t>
            </w:r>
          </w:p>
        </w:tc>
        <w:tc>
          <w:tcPr>
            <w:tcW w:w="1843" w:type="dxa"/>
          </w:tcPr>
          <w:p w14:paraId="765498EE"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267BD939" w14:textId="77777777" w:rsidR="00C97BE2" w:rsidRPr="00C97BE2" w:rsidRDefault="00C97BE2" w:rsidP="00C97BE2">
            <w:pPr>
              <w:rPr>
                <w:rFonts w:ascii="Lato" w:hAnsi="Lato"/>
                <w:sz w:val="20"/>
                <w:szCs w:val="20"/>
              </w:rPr>
            </w:pPr>
            <w:r w:rsidRPr="00C97BE2">
              <w:rPr>
                <w:rFonts w:ascii="Lato" w:hAnsi="Lato"/>
                <w:sz w:val="20"/>
                <w:szCs w:val="20"/>
              </w:rPr>
              <w:t>Spotkania z podopiecznymi, spacery przyrodnicze, tematyczne warsztaty plastyczne, organizacja wystawy, udział we wspólnych wydarzeniach.</w:t>
            </w:r>
          </w:p>
        </w:tc>
      </w:tr>
      <w:tr w:rsidR="00C97BE2" w:rsidRPr="00C97BE2" w14:paraId="049DBA0A" w14:textId="77777777" w:rsidTr="00D578ED">
        <w:tc>
          <w:tcPr>
            <w:tcW w:w="846" w:type="dxa"/>
          </w:tcPr>
          <w:p w14:paraId="2BA1C800" w14:textId="77777777" w:rsidR="00C97BE2" w:rsidRPr="00C97BE2" w:rsidRDefault="00C97BE2" w:rsidP="00C97BE2">
            <w:pPr>
              <w:jc w:val="center"/>
              <w:rPr>
                <w:rFonts w:ascii="Lato" w:hAnsi="Lato"/>
                <w:b/>
                <w:bCs/>
                <w:sz w:val="20"/>
                <w:szCs w:val="20"/>
              </w:rPr>
            </w:pPr>
            <w:r w:rsidRPr="00C97BE2">
              <w:rPr>
                <w:rFonts w:ascii="Lato" w:hAnsi="Lato"/>
                <w:b/>
                <w:bCs/>
                <w:sz w:val="20"/>
                <w:szCs w:val="20"/>
              </w:rPr>
              <w:t>5.</w:t>
            </w:r>
          </w:p>
        </w:tc>
        <w:tc>
          <w:tcPr>
            <w:tcW w:w="4536" w:type="dxa"/>
          </w:tcPr>
          <w:p w14:paraId="78826942" w14:textId="77777777" w:rsidR="00C97BE2" w:rsidRPr="00C97BE2" w:rsidRDefault="00C97BE2" w:rsidP="00C97BE2">
            <w:pPr>
              <w:rPr>
                <w:rFonts w:ascii="Lato" w:hAnsi="Lato"/>
                <w:sz w:val="20"/>
                <w:szCs w:val="20"/>
              </w:rPr>
            </w:pPr>
            <w:r w:rsidRPr="00C97BE2">
              <w:rPr>
                <w:rFonts w:ascii="Lato" w:hAnsi="Lato"/>
                <w:sz w:val="20"/>
                <w:szCs w:val="20"/>
              </w:rPr>
              <w:t>Akcja Sprzątanie Świata Polska w WPN</w:t>
            </w:r>
          </w:p>
        </w:tc>
        <w:tc>
          <w:tcPr>
            <w:tcW w:w="1843" w:type="dxa"/>
          </w:tcPr>
          <w:p w14:paraId="3E0D1132" w14:textId="77777777" w:rsidR="00C97BE2" w:rsidRPr="00C97BE2" w:rsidRDefault="00C97BE2" w:rsidP="00C97BE2">
            <w:pPr>
              <w:rPr>
                <w:rFonts w:ascii="Lato" w:hAnsi="Lato"/>
                <w:sz w:val="20"/>
                <w:szCs w:val="20"/>
              </w:rPr>
            </w:pPr>
            <w:r w:rsidRPr="00C97BE2">
              <w:rPr>
                <w:rFonts w:ascii="Lato" w:hAnsi="Lato"/>
                <w:sz w:val="20"/>
                <w:szCs w:val="20"/>
              </w:rPr>
              <w:t>październik</w:t>
            </w:r>
          </w:p>
        </w:tc>
        <w:tc>
          <w:tcPr>
            <w:tcW w:w="8163" w:type="dxa"/>
          </w:tcPr>
          <w:p w14:paraId="16598DB3" w14:textId="77777777" w:rsidR="00C97BE2" w:rsidRPr="00C97BE2" w:rsidRDefault="00C97BE2" w:rsidP="00C97BE2">
            <w:pPr>
              <w:rPr>
                <w:rFonts w:ascii="Lato" w:hAnsi="Lato"/>
                <w:sz w:val="20"/>
                <w:szCs w:val="20"/>
              </w:rPr>
            </w:pPr>
            <w:r w:rsidRPr="00C97BE2">
              <w:rPr>
                <w:rFonts w:ascii="Lato" w:hAnsi="Lato"/>
                <w:sz w:val="20"/>
                <w:szCs w:val="20"/>
              </w:rPr>
              <w:t xml:space="preserve">Wydarzenie ogólnodostępne z zaproszeniem członków UTW, którzy cyklicznie biorą </w:t>
            </w:r>
            <w:r w:rsidRPr="00C97BE2">
              <w:rPr>
                <w:rFonts w:ascii="Lato" w:hAnsi="Lato"/>
                <w:sz w:val="20"/>
                <w:szCs w:val="20"/>
              </w:rPr>
              <w:br/>
              <w:t xml:space="preserve">w nim udział. W ramach wydarzenia: prelekcja, sprzątanie w terenie, konkurs </w:t>
            </w:r>
            <w:r w:rsidRPr="00C97BE2">
              <w:rPr>
                <w:rFonts w:ascii="Lato" w:hAnsi="Lato"/>
                <w:sz w:val="20"/>
                <w:szCs w:val="20"/>
              </w:rPr>
              <w:lastRenderedPageBreak/>
              <w:t xml:space="preserve">wiedzy, poczęstunek </w:t>
            </w:r>
            <w:proofErr w:type="spellStart"/>
            <w:r w:rsidRPr="00C97BE2">
              <w:rPr>
                <w:rFonts w:ascii="Lato" w:hAnsi="Lato"/>
                <w:sz w:val="20"/>
                <w:szCs w:val="20"/>
              </w:rPr>
              <w:t>wege</w:t>
            </w:r>
            <w:proofErr w:type="spellEnd"/>
            <w:r w:rsidRPr="00C97BE2">
              <w:rPr>
                <w:rFonts w:ascii="Lato" w:hAnsi="Lato"/>
                <w:sz w:val="20"/>
                <w:szCs w:val="20"/>
              </w:rPr>
              <w:t>, spotkanie integracyjne.</w:t>
            </w:r>
          </w:p>
        </w:tc>
      </w:tr>
      <w:tr w:rsidR="00C97BE2" w:rsidRPr="00C97BE2" w14:paraId="418DE743" w14:textId="77777777" w:rsidTr="00D578ED">
        <w:tc>
          <w:tcPr>
            <w:tcW w:w="846" w:type="dxa"/>
          </w:tcPr>
          <w:p w14:paraId="31F6B2FA" w14:textId="77777777" w:rsidR="00C97BE2" w:rsidRPr="00C97BE2" w:rsidRDefault="00C97BE2" w:rsidP="00C97BE2">
            <w:pPr>
              <w:jc w:val="center"/>
              <w:rPr>
                <w:rFonts w:ascii="Lato" w:hAnsi="Lato"/>
                <w:b/>
                <w:bCs/>
                <w:sz w:val="20"/>
                <w:szCs w:val="20"/>
              </w:rPr>
            </w:pPr>
            <w:r w:rsidRPr="00C97BE2">
              <w:rPr>
                <w:rFonts w:ascii="Lato" w:hAnsi="Lato"/>
                <w:b/>
                <w:bCs/>
                <w:sz w:val="20"/>
                <w:szCs w:val="20"/>
              </w:rPr>
              <w:lastRenderedPageBreak/>
              <w:t>6.</w:t>
            </w:r>
          </w:p>
        </w:tc>
        <w:tc>
          <w:tcPr>
            <w:tcW w:w="4536" w:type="dxa"/>
          </w:tcPr>
          <w:p w14:paraId="603CF424" w14:textId="77777777" w:rsidR="00C97BE2" w:rsidRPr="00C97BE2" w:rsidRDefault="00C97BE2" w:rsidP="00C97BE2">
            <w:pPr>
              <w:rPr>
                <w:rFonts w:ascii="Lato" w:hAnsi="Lato"/>
                <w:sz w:val="20"/>
                <w:szCs w:val="20"/>
              </w:rPr>
            </w:pPr>
            <w:r w:rsidRPr="00C97BE2">
              <w:rPr>
                <w:rFonts w:ascii="Lato" w:hAnsi="Lato"/>
                <w:sz w:val="20"/>
                <w:szCs w:val="20"/>
              </w:rPr>
              <w:t>Wycieczki terenowe dla seniorów</w:t>
            </w:r>
          </w:p>
        </w:tc>
        <w:tc>
          <w:tcPr>
            <w:tcW w:w="1843" w:type="dxa"/>
          </w:tcPr>
          <w:p w14:paraId="1D6EE252" w14:textId="77777777" w:rsidR="00C97BE2" w:rsidRPr="00C97BE2" w:rsidRDefault="00C97BE2" w:rsidP="00C97BE2">
            <w:pPr>
              <w:rPr>
                <w:rFonts w:ascii="Lato" w:hAnsi="Lato"/>
                <w:sz w:val="20"/>
                <w:szCs w:val="20"/>
              </w:rPr>
            </w:pPr>
            <w:r w:rsidRPr="00C97BE2">
              <w:rPr>
                <w:rFonts w:ascii="Lato" w:hAnsi="Lato"/>
                <w:sz w:val="20"/>
                <w:szCs w:val="20"/>
              </w:rPr>
              <w:t>cały rok</w:t>
            </w:r>
          </w:p>
        </w:tc>
        <w:tc>
          <w:tcPr>
            <w:tcW w:w="8163" w:type="dxa"/>
          </w:tcPr>
          <w:p w14:paraId="41ED2414" w14:textId="77777777" w:rsidR="00C97BE2" w:rsidRPr="00C97BE2" w:rsidRDefault="00C97BE2" w:rsidP="00C97BE2">
            <w:pPr>
              <w:rPr>
                <w:rFonts w:ascii="Lato" w:hAnsi="Lato"/>
                <w:sz w:val="20"/>
                <w:szCs w:val="20"/>
              </w:rPr>
            </w:pPr>
            <w:r w:rsidRPr="00C97BE2">
              <w:rPr>
                <w:rFonts w:ascii="Lato" w:hAnsi="Lato"/>
                <w:sz w:val="20"/>
                <w:szCs w:val="20"/>
              </w:rPr>
              <w:t>Park prowadzi na specjalne zamówienie prelekcje i wycieczki dla  zorganizowane grupy emerytów- CEM, atrakcje turystyczne parku.</w:t>
            </w:r>
          </w:p>
        </w:tc>
      </w:tr>
      <w:tr w:rsidR="00C97BE2" w:rsidRPr="00C97BE2" w14:paraId="2A5B3210" w14:textId="77777777" w:rsidTr="00D578ED">
        <w:tc>
          <w:tcPr>
            <w:tcW w:w="846" w:type="dxa"/>
          </w:tcPr>
          <w:p w14:paraId="7BEDC091" w14:textId="77777777" w:rsidR="00C97BE2" w:rsidRPr="00C97BE2" w:rsidRDefault="00C97BE2" w:rsidP="00C97BE2">
            <w:pPr>
              <w:jc w:val="center"/>
              <w:rPr>
                <w:rFonts w:ascii="Lato" w:hAnsi="Lato"/>
                <w:b/>
                <w:bCs/>
                <w:sz w:val="20"/>
                <w:szCs w:val="20"/>
              </w:rPr>
            </w:pPr>
            <w:r w:rsidRPr="00C97BE2">
              <w:rPr>
                <w:rFonts w:ascii="Lato" w:hAnsi="Lato"/>
                <w:b/>
                <w:bCs/>
                <w:sz w:val="20"/>
                <w:szCs w:val="20"/>
              </w:rPr>
              <w:t xml:space="preserve">7. </w:t>
            </w:r>
          </w:p>
        </w:tc>
        <w:tc>
          <w:tcPr>
            <w:tcW w:w="4536" w:type="dxa"/>
          </w:tcPr>
          <w:p w14:paraId="6B016299" w14:textId="77777777" w:rsidR="00C97BE2" w:rsidRPr="00C97BE2" w:rsidRDefault="00C97BE2" w:rsidP="00C97BE2">
            <w:pPr>
              <w:rPr>
                <w:rFonts w:ascii="Lato" w:hAnsi="Lato"/>
                <w:sz w:val="20"/>
                <w:szCs w:val="20"/>
              </w:rPr>
            </w:pPr>
            <w:r w:rsidRPr="00C97BE2">
              <w:rPr>
                <w:rFonts w:ascii="Lato" w:hAnsi="Lato"/>
                <w:sz w:val="20"/>
                <w:szCs w:val="20"/>
              </w:rPr>
              <w:t xml:space="preserve">Dostosowanie strony internetowej </w:t>
            </w:r>
          </w:p>
        </w:tc>
        <w:tc>
          <w:tcPr>
            <w:tcW w:w="1843" w:type="dxa"/>
          </w:tcPr>
          <w:p w14:paraId="2F308563" w14:textId="77777777" w:rsidR="00C97BE2" w:rsidRPr="00C97BE2" w:rsidRDefault="00C97BE2" w:rsidP="00C97BE2">
            <w:pPr>
              <w:rPr>
                <w:rFonts w:ascii="Lato" w:hAnsi="Lato"/>
                <w:sz w:val="20"/>
                <w:szCs w:val="20"/>
              </w:rPr>
            </w:pPr>
            <w:r w:rsidRPr="00C97BE2">
              <w:rPr>
                <w:rFonts w:ascii="Lato" w:hAnsi="Lato"/>
                <w:sz w:val="20"/>
                <w:szCs w:val="20"/>
              </w:rPr>
              <w:t>pierwszy kwartał</w:t>
            </w:r>
          </w:p>
        </w:tc>
        <w:tc>
          <w:tcPr>
            <w:tcW w:w="8163" w:type="dxa"/>
          </w:tcPr>
          <w:p w14:paraId="7379FFE7" w14:textId="77777777" w:rsidR="00C97BE2" w:rsidRPr="00C97BE2" w:rsidRDefault="00C97BE2" w:rsidP="00C97BE2">
            <w:pPr>
              <w:rPr>
                <w:rFonts w:ascii="Lato" w:hAnsi="Lato"/>
                <w:sz w:val="20"/>
                <w:szCs w:val="20"/>
              </w:rPr>
            </w:pPr>
            <w:r w:rsidRPr="00C97BE2">
              <w:rPr>
                <w:rFonts w:ascii="Lato" w:hAnsi="Lato"/>
                <w:sz w:val="20"/>
                <w:szCs w:val="20"/>
              </w:rPr>
              <w:t>Dostosowanie strony internetowej dla osób starszych i z niepełnosprawnościami.</w:t>
            </w:r>
          </w:p>
        </w:tc>
      </w:tr>
    </w:tbl>
    <w:p w14:paraId="5A592F44" w14:textId="13189358" w:rsidR="00981A89" w:rsidRPr="004F5101" w:rsidRDefault="00811520" w:rsidP="00981A89">
      <w:pPr>
        <w:rPr>
          <w:rFonts w:ascii="Lato" w:hAnsi="Lato"/>
          <w:sz w:val="16"/>
          <w:szCs w:val="16"/>
        </w:rPr>
      </w:pPr>
      <w:r w:rsidRPr="004F5101">
        <w:rPr>
          <w:rFonts w:ascii="Lato" w:hAnsi="Lato"/>
          <w:sz w:val="16"/>
          <w:szCs w:val="16"/>
        </w:rPr>
        <w:t>Źródło: informacje z Ministerstwa Klimatu i Środowiska</w:t>
      </w:r>
    </w:p>
    <w:p w14:paraId="5E25888F" w14:textId="227E2AD2" w:rsidR="00781EA1" w:rsidRPr="00DB2792" w:rsidRDefault="00781EA1" w:rsidP="006B2B17">
      <w:pPr>
        <w:pStyle w:val="Nagwek2"/>
        <w:rPr>
          <w:b/>
          <w:bCs/>
        </w:rPr>
      </w:pPr>
      <w:bookmarkStart w:id="50" w:name="_Toc142565935"/>
      <w:r w:rsidRPr="00DB2792">
        <w:rPr>
          <w:b/>
          <w:bCs/>
        </w:rPr>
        <w:t>Ministerstwo Kultury i Dziedzictwa Narodowego</w:t>
      </w:r>
      <w:bookmarkEnd w:id="50"/>
    </w:p>
    <w:p w14:paraId="58388594" w14:textId="2080B85A" w:rsidR="0038028E" w:rsidRPr="004F5101" w:rsidRDefault="0038028E" w:rsidP="004F5101">
      <w:pPr>
        <w:spacing w:after="0" w:line="240" w:lineRule="auto"/>
        <w:jc w:val="both"/>
        <w:rPr>
          <w:rFonts w:ascii="Lato" w:hAnsi="Lato" w:cstheme="minorHAnsi"/>
          <w:sz w:val="20"/>
          <w:szCs w:val="20"/>
        </w:rPr>
      </w:pPr>
      <w:r w:rsidRPr="004F5101">
        <w:rPr>
          <w:rFonts w:ascii="Lato" w:hAnsi="Lato" w:cstheme="minorHAnsi"/>
          <w:sz w:val="20"/>
          <w:szCs w:val="20"/>
        </w:rPr>
        <w:t xml:space="preserve">Minister Kultury i Dziedzictwa Narodowego oraz instytucje kultury prowadzone lub współprowadzone przez Ministra realizują szereg systemowych i cyklicznych działań nakierowanych na wsparcie aktywności osób starszych w kulturze. Działania te mają charakter legislacyjny, promocyjny, edukacyjny, finansowy, organizacyjny i kulturalno-artystyczny. Minister </w:t>
      </w:r>
      <w:proofErr w:type="spellStart"/>
      <w:r w:rsidRPr="004F5101">
        <w:rPr>
          <w:rFonts w:ascii="Lato" w:hAnsi="Lato" w:cstheme="minorHAnsi"/>
          <w:sz w:val="20"/>
          <w:szCs w:val="20"/>
        </w:rPr>
        <w:t>KiDN</w:t>
      </w:r>
      <w:proofErr w:type="spellEnd"/>
      <w:r w:rsidRPr="004F5101">
        <w:rPr>
          <w:rFonts w:ascii="Lato" w:hAnsi="Lato" w:cstheme="minorHAnsi"/>
          <w:sz w:val="20"/>
          <w:szCs w:val="20"/>
        </w:rPr>
        <w:t xml:space="preserve"> wprawdzie nie odpowiada bezpośrednio za dostęp do kultury i dziedzictwa na poziomie regionalnym i lokalnym, jednakże projektowane i wdrażane na szczeblu centralnym mechanizmy mają na celu również wsparcie samorządowych instytucji kultury oraz lokalnych organizacji pozarządowych w udostępnianiu kultury, w tym z uwzględnieniem potrzeb osób starszych.</w:t>
      </w:r>
    </w:p>
    <w:p w14:paraId="5B10659F" w14:textId="77777777" w:rsidR="00811520" w:rsidRPr="004F5101" w:rsidRDefault="00811520" w:rsidP="004F5101">
      <w:pPr>
        <w:spacing w:after="0" w:line="240" w:lineRule="auto"/>
        <w:jc w:val="both"/>
        <w:rPr>
          <w:rFonts w:ascii="Lato" w:hAnsi="Lato"/>
          <w:b/>
          <w:sz w:val="20"/>
          <w:szCs w:val="20"/>
        </w:rPr>
      </w:pPr>
    </w:p>
    <w:p w14:paraId="4271B431" w14:textId="59D1A76A" w:rsidR="00811520" w:rsidRPr="004F5101" w:rsidRDefault="00811520" w:rsidP="004F5101">
      <w:pPr>
        <w:spacing w:after="0" w:line="240" w:lineRule="auto"/>
        <w:jc w:val="both"/>
        <w:rPr>
          <w:rFonts w:ascii="Lato" w:hAnsi="Lato"/>
          <w:b/>
          <w:color w:val="2F5496" w:themeColor="accent1" w:themeShade="BF"/>
          <w:sz w:val="20"/>
          <w:szCs w:val="20"/>
        </w:rPr>
      </w:pPr>
      <w:r w:rsidRPr="004F5101">
        <w:rPr>
          <w:rFonts w:ascii="Lato" w:hAnsi="Lato"/>
          <w:b/>
          <w:color w:val="2F5496" w:themeColor="accent1" w:themeShade="BF"/>
          <w:sz w:val="20"/>
          <w:szCs w:val="20"/>
        </w:rPr>
        <w:t>Wspieranie dostępu i uczestnictwa seniorów</w:t>
      </w:r>
    </w:p>
    <w:p w14:paraId="16428381" w14:textId="052D1C2E" w:rsidR="0038028E" w:rsidRPr="004F5101" w:rsidRDefault="0038028E" w:rsidP="004F5101">
      <w:pPr>
        <w:spacing w:after="0" w:line="240" w:lineRule="auto"/>
        <w:jc w:val="both"/>
        <w:rPr>
          <w:rFonts w:ascii="Lato" w:hAnsi="Lato"/>
          <w:b/>
          <w:sz w:val="20"/>
          <w:szCs w:val="20"/>
        </w:rPr>
      </w:pPr>
      <w:r w:rsidRPr="004F5101">
        <w:rPr>
          <w:rFonts w:ascii="Lato" w:hAnsi="Lato"/>
          <w:b/>
          <w:sz w:val="20"/>
          <w:szCs w:val="20"/>
        </w:rPr>
        <w:t>Akcja Weekend seniora z kulturą</w:t>
      </w:r>
    </w:p>
    <w:p w14:paraId="10BBAD21" w14:textId="2F242AD9" w:rsidR="0038028E" w:rsidRPr="004F5101" w:rsidRDefault="0038028E" w:rsidP="004F5101">
      <w:pPr>
        <w:spacing w:after="0" w:line="240" w:lineRule="auto"/>
        <w:jc w:val="both"/>
        <w:rPr>
          <w:rFonts w:ascii="Lato" w:hAnsi="Lato"/>
          <w:sz w:val="20"/>
          <w:szCs w:val="20"/>
        </w:rPr>
      </w:pPr>
      <w:proofErr w:type="spellStart"/>
      <w:r w:rsidRPr="004F5101">
        <w:rPr>
          <w:rFonts w:ascii="Lato" w:hAnsi="Lato"/>
          <w:sz w:val="20"/>
          <w:szCs w:val="20"/>
        </w:rPr>
        <w:t>MKiDN</w:t>
      </w:r>
      <w:proofErr w:type="spellEnd"/>
      <w:r w:rsidRPr="004F5101">
        <w:rPr>
          <w:rFonts w:ascii="Lato" w:hAnsi="Lato"/>
          <w:sz w:val="20"/>
          <w:szCs w:val="20"/>
        </w:rPr>
        <w:t xml:space="preserve"> zorganizowało po raz dziewiąty akcję ogólnopolską </w:t>
      </w:r>
      <w:r w:rsidRPr="004F5101">
        <w:rPr>
          <w:rFonts w:ascii="Lato" w:hAnsi="Lato"/>
          <w:i/>
          <w:sz w:val="20"/>
          <w:szCs w:val="20"/>
        </w:rPr>
        <w:t>Weekend seniora z kulturą</w:t>
      </w:r>
      <w:r w:rsidRPr="004F5101">
        <w:rPr>
          <w:rFonts w:ascii="Lato" w:hAnsi="Lato"/>
          <w:sz w:val="20"/>
          <w:szCs w:val="20"/>
        </w:rPr>
        <w:t>, której celem jest zachęcenie seniorów do aktywnego uczestnictwa w życiu kulturalnym. Akcja stanowi już stały element kalendarza kulturalnego w Polsce. W 2022 roku odbyła się w weekend 1-2 października. Wzięło w niej udział ponad 560 instytucji z całego kraju. Z oferty instytucji kultury skorzystało ok. 30 tysięcy seniorów. Wydarzenia dostępne w ramach akcji to przede wszystkim: oprowadzanie po muzeach, projekcje filmów, koncerty, warsztaty, spotkania autorskie, prelekcje, spacery tematyczne, wystawy, spektakle, zajęcia gimnastyczne i taneczne.</w:t>
      </w:r>
    </w:p>
    <w:p w14:paraId="198C88C6" w14:textId="77777777" w:rsidR="0038028E" w:rsidRPr="004F5101" w:rsidRDefault="0038028E" w:rsidP="004F5101">
      <w:pPr>
        <w:spacing w:after="0" w:line="240" w:lineRule="auto"/>
        <w:jc w:val="both"/>
        <w:rPr>
          <w:rFonts w:ascii="Lato" w:hAnsi="Lato" w:cstheme="minorHAnsi"/>
          <w:b/>
          <w:sz w:val="20"/>
          <w:szCs w:val="20"/>
        </w:rPr>
      </w:pPr>
    </w:p>
    <w:p w14:paraId="0AED867C" w14:textId="77777777" w:rsidR="0038028E" w:rsidRPr="004F5101" w:rsidRDefault="0038028E" w:rsidP="004F5101">
      <w:pPr>
        <w:spacing w:after="0" w:line="240" w:lineRule="auto"/>
        <w:jc w:val="both"/>
        <w:rPr>
          <w:rFonts w:ascii="Lato" w:hAnsi="Lato" w:cstheme="minorHAnsi"/>
          <w:b/>
          <w:sz w:val="20"/>
          <w:szCs w:val="20"/>
        </w:rPr>
      </w:pPr>
      <w:r w:rsidRPr="004F5101">
        <w:rPr>
          <w:rFonts w:ascii="Lato" w:hAnsi="Lato" w:cstheme="minorHAnsi"/>
          <w:b/>
          <w:sz w:val="20"/>
          <w:szCs w:val="20"/>
        </w:rPr>
        <w:t>Standardy dostępności kultury</w:t>
      </w:r>
    </w:p>
    <w:p w14:paraId="554CFF10" w14:textId="77777777" w:rsidR="0038028E" w:rsidRPr="004F5101" w:rsidRDefault="0038028E" w:rsidP="004F5101">
      <w:pPr>
        <w:spacing w:after="0" w:line="240" w:lineRule="auto"/>
        <w:jc w:val="both"/>
        <w:rPr>
          <w:rFonts w:ascii="Lato" w:hAnsi="Lato" w:cstheme="minorHAnsi"/>
          <w:sz w:val="20"/>
          <w:szCs w:val="20"/>
        </w:rPr>
      </w:pPr>
      <w:proofErr w:type="spellStart"/>
      <w:r w:rsidRPr="004F5101">
        <w:rPr>
          <w:rFonts w:ascii="Lato" w:hAnsi="Lato"/>
          <w:sz w:val="20"/>
          <w:szCs w:val="20"/>
        </w:rPr>
        <w:t>MKiDN</w:t>
      </w:r>
      <w:proofErr w:type="spellEnd"/>
      <w:r w:rsidRPr="004F5101">
        <w:rPr>
          <w:rFonts w:ascii="Lato" w:hAnsi="Lato"/>
          <w:sz w:val="20"/>
          <w:szCs w:val="20"/>
        </w:rPr>
        <w:t xml:space="preserve"> oraz instytucje</w:t>
      </w:r>
      <w:r w:rsidRPr="004F5101">
        <w:rPr>
          <w:rFonts w:ascii="Lato" w:hAnsi="Lato" w:cstheme="minorHAnsi"/>
          <w:sz w:val="20"/>
          <w:szCs w:val="20"/>
        </w:rPr>
        <w:t xml:space="preserve"> kultury (</w:t>
      </w:r>
      <w:proofErr w:type="spellStart"/>
      <w:r w:rsidRPr="004F5101">
        <w:rPr>
          <w:rFonts w:ascii="Lato" w:hAnsi="Lato" w:cstheme="minorHAnsi"/>
          <w:sz w:val="20"/>
          <w:szCs w:val="20"/>
        </w:rPr>
        <w:t>współ</w:t>
      </w:r>
      <w:proofErr w:type="spellEnd"/>
      <w:r w:rsidRPr="004F5101">
        <w:rPr>
          <w:rFonts w:ascii="Lato" w:hAnsi="Lato" w:cstheme="minorHAnsi"/>
          <w:sz w:val="20"/>
          <w:szCs w:val="20"/>
        </w:rPr>
        <w:t xml:space="preserve">)prowadzone przez Ministra podejmują również działania promocyjno-edukacyjne, służące profesjonalizacji kadr kultury w zakresie przygotowania oferty odpowiadającej na potrzeby osób starszych. W tym celu powstały materiały zawierające wskazówki i standardy z zakresu polityki senioralnej dla sektora kultury, których stosowanie w instytucjach kultury było powszechnie promowane w 2022 r. Wykaz dokumentów: </w:t>
      </w:r>
    </w:p>
    <w:p w14:paraId="4C88FC68" w14:textId="77777777" w:rsidR="0038028E" w:rsidRPr="004F5101" w:rsidRDefault="0038028E" w:rsidP="004F5101">
      <w:pPr>
        <w:pStyle w:val="Akapitzlist"/>
        <w:numPr>
          <w:ilvl w:val="0"/>
          <w:numId w:val="157"/>
        </w:numPr>
        <w:spacing w:after="0" w:line="240" w:lineRule="auto"/>
        <w:jc w:val="both"/>
        <w:rPr>
          <w:rFonts w:ascii="Lato" w:hAnsi="Lato" w:cstheme="minorHAnsi"/>
          <w:sz w:val="20"/>
          <w:szCs w:val="20"/>
        </w:rPr>
      </w:pPr>
      <w:r w:rsidRPr="004F5101">
        <w:rPr>
          <w:rFonts w:ascii="Lato" w:hAnsi="Lato" w:cstheme="minorHAnsi"/>
          <w:i/>
          <w:sz w:val="20"/>
          <w:szCs w:val="20"/>
        </w:rPr>
        <w:t>Poradnik dla sektora kultury w zakresie zapewniania dostępności</w:t>
      </w:r>
      <w:r w:rsidRPr="004F5101">
        <w:rPr>
          <w:rFonts w:ascii="Lato" w:hAnsi="Lato" w:cstheme="minorHAnsi"/>
          <w:sz w:val="20"/>
          <w:szCs w:val="20"/>
        </w:rPr>
        <w:t>, uwzględniający również dostępność dla osób starszych (przygotowany w 2021 r. we współpracy z Ministerstwem Funduszy i Polityki Rozwoju)</w:t>
      </w:r>
    </w:p>
    <w:p w14:paraId="04773FA3" w14:textId="77777777" w:rsidR="0038028E" w:rsidRPr="004F5101" w:rsidRDefault="0038028E" w:rsidP="004F5101">
      <w:pPr>
        <w:pStyle w:val="Akapitzlist"/>
        <w:numPr>
          <w:ilvl w:val="0"/>
          <w:numId w:val="157"/>
        </w:numPr>
        <w:spacing w:after="0" w:line="240" w:lineRule="auto"/>
        <w:jc w:val="both"/>
        <w:rPr>
          <w:rFonts w:ascii="Lato" w:hAnsi="Lato" w:cstheme="minorHAnsi"/>
          <w:sz w:val="20"/>
          <w:szCs w:val="20"/>
        </w:rPr>
      </w:pPr>
      <w:r w:rsidRPr="004F5101">
        <w:rPr>
          <w:rFonts w:ascii="Lato" w:hAnsi="Lato" w:cstheme="minorHAnsi"/>
          <w:i/>
          <w:sz w:val="20"/>
          <w:szCs w:val="20"/>
        </w:rPr>
        <w:t>Model zapewniania dostępności oferty i zasobów instytucji kultury dla osób ze szczególnymi potrzebami, w tym osób z niepełnosprawnościami</w:t>
      </w:r>
      <w:r w:rsidRPr="004F5101">
        <w:rPr>
          <w:rFonts w:ascii="Lato" w:hAnsi="Lato" w:cstheme="minorHAnsi"/>
          <w:sz w:val="20"/>
          <w:szCs w:val="20"/>
        </w:rPr>
        <w:t xml:space="preserve"> (projekt finansowany ze środków Unii Europejskiej w ramach Osi priorytetowej IV. Innowacje społeczne i współpraca ponadnarodowa, Działanie 4.3 Współpraca ponadnarodowa Programu Operacyjnego Wiedza Edukacja Rozwój na lata 2014-2020, projekt realizowany wspólnie z PFRON pn. </w:t>
      </w:r>
      <w:r w:rsidRPr="004F5101">
        <w:rPr>
          <w:rFonts w:ascii="Lato" w:hAnsi="Lato" w:cstheme="minorHAnsi"/>
          <w:i/>
          <w:sz w:val="20"/>
          <w:szCs w:val="20"/>
        </w:rPr>
        <w:t>Kultura bez barier</w:t>
      </w:r>
      <w:r w:rsidRPr="004F5101">
        <w:rPr>
          <w:rFonts w:ascii="Lato" w:hAnsi="Lato" w:cstheme="minorHAnsi"/>
          <w:sz w:val="20"/>
          <w:szCs w:val="20"/>
        </w:rPr>
        <w:t>);</w:t>
      </w:r>
    </w:p>
    <w:p w14:paraId="11B47356" w14:textId="48BC8CED" w:rsidR="0038028E" w:rsidRPr="004F5101" w:rsidRDefault="0038028E" w:rsidP="004F5101">
      <w:pPr>
        <w:pStyle w:val="Akapitzlist"/>
        <w:numPr>
          <w:ilvl w:val="0"/>
          <w:numId w:val="157"/>
        </w:numPr>
        <w:spacing w:after="0" w:line="240" w:lineRule="auto"/>
        <w:jc w:val="both"/>
        <w:rPr>
          <w:rFonts w:ascii="Lato" w:hAnsi="Lato" w:cstheme="minorHAnsi"/>
          <w:sz w:val="20"/>
          <w:szCs w:val="20"/>
        </w:rPr>
      </w:pPr>
      <w:r w:rsidRPr="004F5101">
        <w:rPr>
          <w:rFonts w:ascii="Lato" w:hAnsi="Lato" w:cstheme="minorHAnsi"/>
          <w:sz w:val="20"/>
          <w:szCs w:val="20"/>
        </w:rPr>
        <w:t xml:space="preserve">Poradnik </w:t>
      </w:r>
      <w:r w:rsidRPr="004F5101">
        <w:rPr>
          <w:rFonts w:ascii="Lato" w:hAnsi="Lato" w:cstheme="minorHAnsi"/>
          <w:i/>
          <w:sz w:val="20"/>
          <w:szCs w:val="20"/>
        </w:rPr>
        <w:t>ABC Muzeum dla seniorów</w:t>
      </w:r>
      <w:r w:rsidRPr="004F5101">
        <w:rPr>
          <w:rFonts w:ascii="Lato" w:hAnsi="Lato" w:cstheme="minorHAnsi"/>
          <w:sz w:val="20"/>
          <w:szCs w:val="20"/>
        </w:rPr>
        <w:t xml:space="preserve"> (red. dr Beaty </w:t>
      </w:r>
      <w:proofErr w:type="spellStart"/>
      <w:r w:rsidRPr="004F5101">
        <w:rPr>
          <w:rFonts w:ascii="Lato" w:hAnsi="Lato" w:cstheme="minorHAnsi"/>
          <w:sz w:val="20"/>
          <w:szCs w:val="20"/>
        </w:rPr>
        <w:t>Nessel</w:t>
      </w:r>
      <w:proofErr w:type="spellEnd"/>
      <w:r w:rsidRPr="004F5101">
        <w:rPr>
          <w:rFonts w:ascii="Lato" w:hAnsi="Lato" w:cstheme="minorHAnsi"/>
          <w:sz w:val="20"/>
          <w:szCs w:val="20"/>
        </w:rPr>
        <w:t xml:space="preserve">-Łukasik) oraz raport poświęcony przygotowaniu muzeów do odpowiedzi na oczekiwania i potrzeby osób dorosłych, w tym seniorów, pn. </w:t>
      </w:r>
      <w:r w:rsidRPr="004F5101">
        <w:rPr>
          <w:rFonts w:ascii="Lato" w:hAnsi="Lato" w:cstheme="minorHAnsi"/>
          <w:i/>
          <w:sz w:val="20"/>
          <w:szCs w:val="20"/>
        </w:rPr>
        <w:t>Dorośli w wieku produkcyjnym i seniorzy w muzeum</w:t>
      </w:r>
      <w:r w:rsidRPr="004F5101">
        <w:rPr>
          <w:rFonts w:ascii="Lato" w:hAnsi="Lato" w:cstheme="minorHAnsi"/>
          <w:sz w:val="20"/>
          <w:szCs w:val="20"/>
        </w:rPr>
        <w:t xml:space="preserve"> (prof. dr hab. Piotr T. Kwiatkowski, dr Beata </w:t>
      </w:r>
      <w:proofErr w:type="spellStart"/>
      <w:r w:rsidRPr="004F5101">
        <w:rPr>
          <w:rFonts w:ascii="Lato" w:hAnsi="Lato" w:cstheme="minorHAnsi"/>
          <w:sz w:val="20"/>
          <w:szCs w:val="20"/>
        </w:rPr>
        <w:t>Nessel</w:t>
      </w:r>
      <w:proofErr w:type="spellEnd"/>
      <w:r w:rsidRPr="004F5101">
        <w:rPr>
          <w:rFonts w:ascii="Lato" w:hAnsi="Lato" w:cstheme="minorHAnsi"/>
          <w:sz w:val="20"/>
          <w:szCs w:val="20"/>
        </w:rPr>
        <w:t>-Łukasik) przygotowany przez Narodowy Instytut Muzealnictwa i Ochrony Zbiorów.</w:t>
      </w:r>
    </w:p>
    <w:p w14:paraId="042EAA01" w14:textId="77777777" w:rsidR="0038028E" w:rsidRPr="004F5101" w:rsidRDefault="0038028E" w:rsidP="004F5101">
      <w:pPr>
        <w:spacing w:after="0" w:line="240" w:lineRule="auto"/>
        <w:jc w:val="both"/>
        <w:rPr>
          <w:rFonts w:ascii="Lato" w:hAnsi="Lato"/>
          <w:b/>
          <w:sz w:val="20"/>
          <w:szCs w:val="20"/>
        </w:rPr>
      </w:pPr>
    </w:p>
    <w:p w14:paraId="52B96429" w14:textId="6DD0F407" w:rsidR="0038028E" w:rsidRPr="004F5101" w:rsidRDefault="0038028E" w:rsidP="004F5101">
      <w:pPr>
        <w:spacing w:after="0" w:line="240" w:lineRule="auto"/>
        <w:jc w:val="both"/>
        <w:rPr>
          <w:rFonts w:ascii="Lato" w:hAnsi="Lato"/>
          <w:sz w:val="20"/>
          <w:szCs w:val="20"/>
        </w:rPr>
      </w:pPr>
      <w:r w:rsidRPr="004F5101">
        <w:rPr>
          <w:rFonts w:ascii="Lato" w:hAnsi="Lato"/>
          <w:b/>
          <w:sz w:val="20"/>
          <w:szCs w:val="20"/>
        </w:rPr>
        <w:t>Ulgi w opłatach za wstęp do muzeów, galerii i centrów sztuki</w:t>
      </w:r>
    </w:p>
    <w:p w14:paraId="2D446265" w14:textId="0D3CACC7" w:rsidR="0038028E" w:rsidRPr="004F5101" w:rsidRDefault="0038028E" w:rsidP="004F5101">
      <w:pPr>
        <w:spacing w:after="0" w:line="240" w:lineRule="auto"/>
        <w:jc w:val="both"/>
        <w:rPr>
          <w:rFonts w:ascii="Lato" w:hAnsi="Lato"/>
          <w:sz w:val="20"/>
          <w:szCs w:val="20"/>
        </w:rPr>
      </w:pPr>
      <w:r w:rsidRPr="004F5101">
        <w:rPr>
          <w:rFonts w:ascii="Lato" w:hAnsi="Lato"/>
          <w:sz w:val="20"/>
          <w:szCs w:val="20"/>
        </w:rPr>
        <w:t>Na podstawie ustawy z dnia 21 listopada 1996 r</w:t>
      </w:r>
      <w:r w:rsidRPr="004F5101">
        <w:rPr>
          <w:rFonts w:ascii="Lato" w:hAnsi="Lato"/>
          <w:i/>
          <w:sz w:val="20"/>
          <w:szCs w:val="20"/>
        </w:rPr>
        <w:t>. o muzeach</w:t>
      </w:r>
      <w:r w:rsidRPr="004F5101">
        <w:rPr>
          <w:rFonts w:ascii="Lato" w:hAnsi="Lato"/>
          <w:sz w:val="20"/>
          <w:szCs w:val="20"/>
        </w:rPr>
        <w:t xml:space="preserve"> (art. 10 ust. 2) w jednym dniu tygodnia wstęp na wystawy stałe muzeów jest nieodpłatny. Ponadto, w pozostałe dni tygodnia osobom powyżej 65 roku życia, emerytom i rencistom przysługuje ulga w opłacie za wstęp do muzeum.</w:t>
      </w:r>
    </w:p>
    <w:p w14:paraId="6BBCFB8C" w14:textId="77777777" w:rsidR="0038028E" w:rsidRPr="004F5101" w:rsidRDefault="0038028E" w:rsidP="004F5101">
      <w:pPr>
        <w:spacing w:after="0" w:line="240" w:lineRule="auto"/>
        <w:jc w:val="both"/>
        <w:rPr>
          <w:rFonts w:ascii="Lato" w:hAnsi="Lato"/>
          <w:sz w:val="20"/>
          <w:szCs w:val="20"/>
        </w:rPr>
      </w:pPr>
    </w:p>
    <w:p w14:paraId="337F8CF1" w14:textId="4C0B1EF9" w:rsidR="0038028E" w:rsidRPr="004F5101" w:rsidRDefault="0038028E" w:rsidP="004F5101">
      <w:pPr>
        <w:spacing w:after="0" w:line="240" w:lineRule="auto"/>
        <w:jc w:val="both"/>
        <w:rPr>
          <w:rFonts w:ascii="Lato" w:hAnsi="Lato"/>
          <w:sz w:val="20"/>
          <w:szCs w:val="20"/>
        </w:rPr>
      </w:pPr>
      <w:r w:rsidRPr="004F5101">
        <w:rPr>
          <w:rFonts w:ascii="Lato" w:hAnsi="Lato"/>
          <w:sz w:val="20"/>
          <w:szCs w:val="20"/>
        </w:rPr>
        <w:t xml:space="preserve">Instytucje kultury, dla zwiększenia dostępności wydarzeń kulturalnych i artystycznych, na szeroką skalę wprowadzają ulgi oraz możliwość bezpłatnego udziału w wydarzeniach dla seniorów. Wybrane inicjatywy realizowane przez instytucje </w:t>
      </w:r>
      <w:proofErr w:type="spellStart"/>
      <w:r w:rsidRPr="004F5101">
        <w:rPr>
          <w:rFonts w:ascii="Lato" w:hAnsi="Lato"/>
          <w:sz w:val="20"/>
          <w:szCs w:val="20"/>
        </w:rPr>
        <w:t>współ</w:t>
      </w:r>
      <w:proofErr w:type="spellEnd"/>
      <w:r w:rsidRPr="004F5101">
        <w:rPr>
          <w:rFonts w:ascii="Lato" w:hAnsi="Lato"/>
          <w:sz w:val="20"/>
          <w:szCs w:val="20"/>
        </w:rPr>
        <w:t xml:space="preserve">(prowadzone) przez </w:t>
      </w:r>
      <w:proofErr w:type="spellStart"/>
      <w:r w:rsidRPr="004F5101">
        <w:rPr>
          <w:rFonts w:ascii="Lato" w:hAnsi="Lato"/>
          <w:sz w:val="20"/>
          <w:szCs w:val="20"/>
        </w:rPr>
        <w:t>MKiDN</w:t>
      </w:r>
      <w:proofErr w:type="spellEnd"/>
      <w:r w:rsidRPr="004F5101">
        <w:rPr>
          <w:rFonts w:ascii="Lato" w:hAnsi="Lato"/>
          <w:sz w:val="20"/>
          <w:szCs w:val="20"/>
        </w:rPr>
        <w:t>:</w:t>
      </w:r>
    </w:p>
    <w:p w14:paraId="61B00CB3" w14:textId="77777777" w:rsidR="0038028E" w:rsidRPr="004F5101" w:rsidRDefault="0038028E" w:rsidP="004F5101">
      <w:pPr>
        <w:spacing w:after="0" w:line="240" w:lineRule="auto"/>
        <w:jc w:val="both"/>
        <w:rPr>
          <w:rFonts w:ascii="Lato" w:hAnsi="Lato"/>
          <w:sz w:val="20"/>
          <w:szCs w:val="20"/>
        </w:rPr>
      </w:pPr>
    </w:p>
    <w:p w14:paraId="3F4EC1A2" w14:textId="39E40B7D" w:rsidR="0038028E" w:rsidRPr="004F5101" w:rsidRDefault="0038028E" w:rsidP="004F5101">
      <w:pPr>
        <w:spacing w:after="0" w:line="240" w:lineRule="auto"/>
        <w:jc w:val="both"/>
        <w:rPr>
          <w:rFonts w:ascii="Lato" w:hAnsi="Lato"/>
          <w:sz w:val="20"/>
          <w:szCs w:val="20"/>
        </w:rPr>
      </w:pPr>
      <w:r w:rsidRPr="004F5101">
        <w:rPr>
          <w:rFonts w:ascii="Lato" w:hAnsi="Lato"/>
          <w:sz w:val="20"/>
          <w:szCs w:val="20"/>
        </w:rPr>
        <w:t xml:space="preserve">Narodowe Centrum Kultury – IV Międzynarodowy Festiwal Muzyki Europy Środkowo-Wschodniej </w:t>
      </w:r>
      <w:r w:rsidRPr="004F5101">
        <w:rPr>
          <w:rFonts w:ascii="Lato" w:hAnsi="Lato"/>
          <w:i/>
          <w:sz w:val="20"/>
          <w:szCs w:val="20"/>
        </w:rPr>
        <w:t>Eufonie</w:t>
      </w:r>
      <w:r w:rsidRPr="004F5101">
        <w:rPr>
          <w:rFonts w:ascii="Lato" w:hAnsi="Lato"/>
          <w:sz w:val="20"/>
          <w:szCs w:val="20"/>
        </w:rPr>
        <w:t xml:space="preserve"> – w celu zaktywizowania osób starszych do udziału w ofercie kulturalnej Narodowego Centrum Kultury w 2022 roku przygotowano ofertę bezpłatnych biletów na koncerty organizowane w ramach Festiwalu. Z oferty skorzystali seniorzy z Ośrodka Wsparcia dla Seniorów Nr 1 w Warszawie, Ośrodka Pomocy Społecznej Bemowo, Uniwersytetu III Wieku w Kobyłce i </w:t>
      </w:r>
      <w:proofErr w:type="spellStart"/>
      <w:r w:rsidRPr="004F5101">
        <w:rPr>
          <w:rFonts w:ascii="Lato" w:hAnsi="Lato"/>
          <w:sz w:val="20"/>
          <w:szCs w:val="20"/>
        </w:rPr>
        <w:t>Kluboteki</w:t>
      </w:r>
      <w:proofErr w:type="spellEnd"/>
      <w:r w:rsidRPr="004F5101">
        <w:rPr>
          <w:rFonts w:ascii="Lato" w:hAnsi="Lato"/>
          <w:sz w:val="20"/>
          <w:szCs w:val="20"/>
        </w:rPr>
        <w:t xml:space="preserve"> Dojrzałego Człowieka. W koncertach uczestniczyło łącznie blisko 400 seniorów.</w:t>
      </w:r>
    </w:p>
    <w:p w14:paraId="7C9999CA" w14:textId="77777777" w:rsidR="0038028E" w:rsidRPr="004F5101" w:rsidRDefault="0038028E" w:rsidP="004F5101">
      <w:pPr>
        <w:spacing w:after="0" w:line="240" w:lineRule="auto"/>
        <w:jc w:val="both"/>
        <w:rPr>
          <w:rFonts w:ascii="Lato" w:hAnsi="Lato" w:cstheme="minorHAnsi"/>
          <w:sz w:val="20"/>
          <w:szCs w:val="20"/>
        </w:rPr>
      </w:pPr>
    </w:p>
    <w:p w14:paraId="4B6733A6" w14:textId="77777777" w:rsidR="0038028E" w:rsidRPr="004F5101" w:rsidRDefault="0038028E" w:rsidP="004F5101">
      <w:pPr>
        <w:spacing w:after="0" w:line="240" w:lineRule="auto"/>
        <w:jc w:val="both"/>
        <w:rPr>
          <w:rFonts w:ascii="Lato" w:hAnsi="Lato" w:cstheme="minorHAnsi"/>
          <w:b/>
          <w:sz w:val="20"/>
          <w:szCs w:val="20"/>
        </w:rPr>
      </w:pPr>
      <w:r w:rsidRPr="004F5101">
        <w:rPr>
          <w:rFonts w:ascii="Lato" w:hAnsi="Lato" w:cstheme="minorHAnsi"/>
          <w:b/>
          <w:sz w:val="20"/>
          <w:szCs w:val="20"/>
        </w:rPr>
        <w:t>Programy dotacyjne</w:t>
      </w:r>
    </w:p>
    <w:p w14:paraId="5135524D" w14:textId="2BADE35A" w:rsidR="0038028E" w:rsidRPr="004F5101" w:rsidRDefault="0038028E" w:rsidP="004F5101">
      <w:pPr>
        <w:spacing w:after="0" w:line="240" w:lineRule="auto"/>
        <w:jc w:val="both"/>
        <w:rPr>
          <w:rFonts w:ascii="Lato" w:hAnsi="Lato" w:cstheme="minorHAnsi"/>
          <w:sz w:val="20"/>
          <w:szCs w:val="20"/>
        </w:rPr>
      </w:pPr>
      <w:r w:rsidRPr="004F5101">
        <w:rPr>
          <w:rFonts w:ascii="Lato" w:hAnsi="Lato" w:cstheme="minorHAnsi"/>
          <w:sz w:val="20"/>
          <w:szCs w:val="20"/>
        </w:rPr>
        <w:t>Systemowym i stałym działaniem wspierającym realizację projektów kulturalnych i artystycznych są programy dotacyjne. Podstawowym celem Programów Ministra jest dofinansowanie najistotniejszych zadań z zakresu kultury skierowanych do szerokiego grona odbiorców, w tym również do osób starszych. W ramach Programów Ministra ważnym aspektem jest wspieranie projektów uwzględniających potrzeby osób mających ograniczony dostęp do kultury. Dofinansowane zadania są skierowane do różnych grup społecznych i wiekowych, w tym seniorów i osób ze specjalnymi potrzebami (m.in. niedowidzących, niedosłyszących i o ograniczonej sprawności ruchowej). Działania te sprzyjają tym samym integracji społecznej i międzypokoleniowej.</w:t>
      </w:r>
    </w:p>
    <w:p w14:paraId="48F7CF08" w14:textId="77777777" w:rsidR="0038028E" w:rsidRPr="004F5101" w:rsidRDefault="0038028E" w:rsidP="004F5101">
      <w:pPr>
        <w:spacing w:after="0" w:line="240" w:lineRule="auto"/>
        <w:jc w:val="both"/>
        <w:rPr>
          <w:rFonts w:ascii="Lato" w:hAnsi="Lato" w:cstheme="minorHAnsi"/>
          <w:sz w:val="20"/>
          <w:szCs w:val="20"/>
        </w:rPr>
      </w:pPr>
    </w:p>
    <w:p w14:paraId="05A33C80" w14:textId="77777777" w:rsidR="0038028E" w:rsidRPr="004F5101" w:rsidRDefault="0038028E" w:rsidP="004F5101">
      <w:pPr>
        <w:spacing w:after="0" w:line="240" w:lineRule="auto"/>
        <w:jc w:val="both"/>
        <w:rPr>
          <w:rFonts w:ascii="Lato" w:hAnsi="Lato" w:cstheme="minorHAnsi"/>
          <w:sz w:val="20"/>
          <w:szCs w:val="20"/>
        </w:rPr>
      </w:pPr>
      <w:r w:rsidRPr="004F5101">
        <w:rPr>
          <w:rFonts w:ascii="Lato" w:hAnsi="Lato" w:cstheme="minorHAnsi"/>
          <w:sz w:val="20"/>
          <w:szCs w:val="20"/>
        </w:rPr>
        <w:t xml:space="preserve">W zakresie wspierania inicjatyw instytucji kultury oraz organizacji pozarządowych, zwiększających dostęp seniorów do kultury, szczególnie istotną rolę odgrywają następujące programy dotacyjne Ministra </w:t>
      </w:r>
      <w:proofErr w:type="spellStart"/>
      <w:r w:rsidRPr="004F5101">
        <w:rPr>
          <w:rFonts w:ascii="Lato" w:hAnsi="Lato" w:cstheme="minorHAnsi"/>
          <w:sz w:val="20"/>
          <w:szCs w:val="20"/>
        </w:rPr>
        <w:t>KiDN</w:t>
      </w:r>
      <w:proofErr w:type="spellEnd"/>
      <w:r w:rsidRPr="004F5101">
        <w:rPr>
          <w:rFonts w:ascii="Lato" w:hAnsi="Lato" w:cstheme="minorHAnsi"/>
          <w:sz w:val="20"/>
          <w:szCs w:val="20"/>
        </w:rPr>
        <w:t xml:space="preserve"> oraz instytucji kultury prowadzonych przez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3EF2E037"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Kultura Dostępna</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36A6BB7B"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Edukacja kulturalna</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7930C9F0"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Kultura ludowa i tradycyjna</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5A1B4D93"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Infrastruktura domów kultury</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6557D178"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Infrastruktura kultury</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590D9125"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i/>
          <w:sz w:val="20"/>
          <w:szCs w:val="20"/>
        </w:rPr>
        <w:t>Partnerstwo dla książki</w:t>
      </w:r>
      <w:r w:rsidRPr="004F5101">
        <w:rPr>
          <w:rFonts w:ascii="Lato" w:hAnsi="Lato" w:cstheme="minorHAnsi"/>
          <w:sz w:val="20"/>
          <w:szCs w:val="20"/>
        </w:rPr>
        <w:t xml:space="preserve"> (</w:t>
      </w:r>
      <w:proofErr w:type="spellStart"/>
      <w:r w:rsidRPr="004F5101">
        <w:rPr>
          <w:rFonts w:ascii="Lato" w:hAnsi="Lato" w:cstheme="minorHAnsi"/>
          <w:sz w:val="20"/>
          <w:szCs w:val="20"/>
        </w:rPr>
        <w:t>MKiDN</w:t>
      </w:r>
      <w:proofErr w:type="spellEnd"/>
      <w:r w:rsidRPr="004F5101">
        <w:rPr>
          <w:rFonts w:ascii="Lato" w:hAnsi="Lato" w:cstheme="minorHAnsi"/>
          <w:sz w:val="20"/>
          <w:szCs w:val="20"/>
        </w:rPr>
        <w:t>),</w:t>
      </w:r>
    </w:p>
    <w:p w14:paraId="4B71843C"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sz w:val="20"/>
          <w:szCs w:val="20"/>
        </w:rPr>
        <w:t xml:space="preserve">program dotacyjny </w:t>
      </w:r>
      <w:r w:rsidRPr="004F5101">
        <w:rPr>
          <w:rFonts w:ascii="Lato" w:hAnsi="Lato" w:cstheme="minorHAnsi"/>
          <w:i/>
          <w:sz w:val="20"/>
          <w:szCs w:val="20"/>
        </w:rPr>
        <w:t xml:space="preserve">Niepodległa </w:t>
      </w:r>
      <w:r w:rsidRPr="004F5101">
        <w:rPr>
          <w:rFonts w:ascii="Lato" w:hAnsi="Lato" w:cstheme="minorHAnsi"/>
          <w:sz w:val="20"/>
          <w:szCs w:val="20"/>
        </w:rPr>
        <w:t>(Biuro Programu Niepodległa),</w:t>
      </w:r>
    </w:p>
    <w:p w14:paraId="4C29523D"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sz w:val="20"/>
          <w:szCs w:val="20"/>
        </w:rPr>
        <w:t xml:space="preserve">program dotacyjny </w:t>
      </w:r>
      <w:proofErr w:type="spellStart"/>
      <w:r w:rsidRPr="004F5101">
        <w:rPr>
          <w:rFonts w:ascii="Lato" w:hAnsi="Lato" w:cstheme="minorHAnsi"/>
          <w:i/>
          <w:sz w:val="20"/>
          <w:szCs w:val="20"/>
        </w:rPr>
        <w:t>EtnoPolska</w:t>
      </w:r>
      <w:proofErr w:type="spellEnd"/>
      <w:r w:rsidRPr="004F5101">
        <w:rPr>
          <w:rFonts w:ascii="Lato" w:hAnsi="Lato" w:cstheme="minorHAnsi"/>
          <w:i/>
          <w:sz w:val="20"/>
          <w:szCs w:val="20"/>
        </w:rPr>
        <w:t xml:space="preserve"> (</w:t>
      </w:r>
      <w:r w:rsidRPr="004F5101">
        <w:rPr>
          <w:rFonts w:ascii="Lato" w:hAnsi="Lato" w:cstheme="minorHAnsi"/>
          <w:sz w:val="20"/>
          <w:szCs w:val="20"/>
        </w:rPr>
        <w:t>Narodowe Centrum Kultury),</w:t>
      </w:r>
    </w:p>
    <w:p w14:paraId="407A01A9"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sz w:val="20"/>
          <w:szCs w:val="20"/>
        </w:rPr>
        <w:t xml:space="preserve">program dotacyjny </w:t>
      </w:r>
      <w:proofErr w:type="spellStart"/>
      <w:r w:rsidRPr="004F5101">
        <w:rPr>
          <w:rFonts w:ascii="Lato" w:hAnsi="Lato" w:cstheme="minorHAnsi"/>
          <w:i/>
          <w:sz w:val="20"/>
          <w:szCs w:val="20"/>
        </w:rPr>
        <w:t>Kultura.Interwencje</w:t>
      </w:r>
      <w:proofErr w:type="spellEnd"/>
      <w:r w:rsidRPr="004F5101">
        <w:rPr>
          <w:rFonts w:ascii="Lato" w:hAnsi="Lato" w:cstheme="minorHAnsi"/>
          <w:sz w:val="20"/>
          <w:szCs w:val="20"/>
        </w:rPr>
        <w:t xml:space="preserve"> (Narodowe Centrum Kultury)</w:t>
      </w:r>
    </w:p>
    <w:p w14:paraId="3095E61A" w14:textId="77777777"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sz w:val="20"/>
          <w:szCs w:val="20"/>
        </w:rPr>
        <w:t xml:space="preserve">program dotacyjny </w:t>
      </w:r>
      <w:r w:rsidRPr="004F5101">
        <w:rPr>
          <w:rFonts w:ascii="Lato" w:hAnsi="Lato"/>
          <w:i/>
          <w:sz w:val="20"/>
          <w:szCs w:val="20"/>
        </w:rPr>
        <w:t xml:space="preserve">Dom Kultury+ </w:t>
      </w:r>
      <w:r w:rsidRPr="004F5101">
        <w:rPr>
          <w:rFonts w:ascii="Lato" w:hAnsi="Lato" w:cstheme="minorHAnsi"/>
          <w:sz w:val="20"/>
          <w:szCs w:val="20"/>
        </w:rPr>
        <w:t>(Narodowe Centrum Kultury)</w:t>
      </w:r>
      <w:r w:rsidRPr="004F5101">
        <w:rPr>
          <w:rFonts w:ascii="Lato" w:hAnsi="Lato"/>
          <w:i/>
          <w:sz w:val="20"/>
          <w:szCs w:val="20"/>
        </w:rPr>
        <w:t>,</w:t>
      </w:r>
      <w:r w:rsidRPr="004F5101">
        <w:rPr>
          <w:rFonts w:ascii="Lato" w:hAnsi="Lato"/>
          <w:sz w:val="20"/>
          <w:szCs w:val="20"/>
        </w:rPr>
        <w:t xml:space="preserve"> </w:t>
      </w:r>
    </w:p>
    <w:p w14:paraId="08F4C4B4" w14:textId="01A94918" w:rsidR="0038028E" w:rsidRPr="004F5101" w:rsidRDefault="0038028E" w:rsidP="004F5101">
      <w:pPr>
        <w:pStyle w:val="Akapitzlist"/>
        <w:numPr>
          <w:ilvl w:val="0"/>
          <w:numId w:val="158"/>
        </w:numPr>
        <w:spacing w:after="0" w:line="240" w:lineRule="auto"/>
        <w:jc w:val="both"/>
        <w:rPr>
          <w:rFonts w:ascii="Lato" w:hAnsi="Lato" w:cstheme="minorHAnsi"/>
          <w:sz w:val="20"/>
          <w:szCs w:val="20"/>
        </w:rPr>
      </w:pPr>
      <w:r w:rsidRPr="004F5101">
        <w:rPr>
          <w:rFonts w:ascii="Lato" w:hAnsi="Lato" w:cstheme="minorHAnsi"/>
          <w:sz w:val="20"/>
          <w:szCs w:val="20"/>
        </w:rPr>
        <w:t xml:space="preserve">program dotacyjny </w:t>
      </w:r>
      <w:r w:rsidRPr="004F5101">
        <w:rPr>
          <w:rFonts w:ascii="Lato" w:hAnsi="Lato"/>
          <w:i/>
          <w:sz w:val="20"/>
          <w:szCs w:val="20"/>
        </w:rPr>
        <w:t xml:space="preserve">Ojczysty - dodaj do ulubionych </w:t>
      </w:r>
      <w:r w:rsidRPr="004F5101">
        <w:rPr>
          <w:rFonts w:ascii="Lato" w:hAnsi="Lato" w:cstheme="minorHAnsi"/>
          <w:sz w:val="20"/>
          <w:szCs w:val="20"/>
        </w:rPr>
        <w:t>(Narodowe Centrum Kultury).</w:t>
      </w:r>
    </w:p>
    <w:p w14:paraId="5665C26F" w14:textId="77777777" w:rsidR="0038028E" w:rsidRPr="004F5101" w:rsidRDefault="0038028E" w:rsidP="004F5101">
      <w:pPr>
        <w:pStyle w:val="Akapitzlist"/>
        <w:spacing w:after="0" w:line="240" w:lineRule="auto"/>
        <w:jc w:val="both"/>
        <w:rPr>
          <w:rFonts w:ascii="Lato" w:hAnsi="Lato" w:cstheme="minorHAnsi"/>
          <w:sz w:val="20"/>
          <w:szCs w:val="20"/>
        </w:rPr>
      </w:pPr>
    </w:p>
    <w:p w14:paraId="312AD34E" w14:textId="77777777" w:rsidR="0038028E" w:rsidRPr="004F5101" w:rsidRDefault="0038028E" w:rsidP="004F5101">
      <w:pPr>
        <w:spacing w:after="0" w:line="240" w:lineRule="auto"/>
        <w:jc w:val="both"/>
        <w:rPr>
          <w:rFonts w:ascii="Lato" w:hAnsi="Lato" w:cstheme="minorHAnsi"/>
          <w:sz w:val="20"/>
          <w:szCs w:val="20"/>
        </w:rPr>
      </w:pPr>
      <w:r w:rsidRPr="004F5101">
        <w:rPr>
          <w:rFonts w:ascii="Lato" w:hAnsi="Lato" w:cstheme="minorHAnsi"/>
          <w:sz w:val="20"/>
          <w:szCs w:val="20"/>
        </w:rPr>
        <w:t xml:space="preserve">W Programach Ministra </w:t>
      </w:r>
      <w:proofErr w:type="spellStart"/>
      <w:r w:rsidRPr="004F5101">
        <w:rPr>
          <w:rFonts w:ascii="Lato" w:hAnsi="Lato" w:cstheme="minorHAnsi"/>
          <w:sz w:val="20"/>
          <w:szCs w:val="20"/>
        </w:rPr>
        <w:t>KiDN</w:t>
      </w:r>
      <w:proofErr w:type="spellEnd"/>
      <w:r w:rsidRPr="004F5101">
        <w:rPr>
          <w:rFonts w:ascii="Lato" w:hAnsi="Lato" w:cstheme="minorHAnsi"/>
          <w:sz w:val="20"/>
          <w:szCs w:val="20"/>
        </w:rPr>
        <w:t xml:space="preserve"> w 2022 roku dofinansowano łącznie 4140 projektów kierowanych do szerokiego grona odbiorców, w tym seniorów, lub adresowanych bezpośrednio do seniorów. Przykładowe projekty dofinansowane w Programach Ministra </w:t>
      </w:r>
      <w:proofErr w:type="spellStart"/>
      <w:r w:rsidRPr="004F5101">
        <w:rPr>
          <w:rFonts w:ascii="Lato" w:hAnsi="Lato" w:cstheme="minorHAnsi"/>
          <w:sz w:val="20"/>
          <w:szCs w:val="20"/>
        </w:rPr>
        <w:t>KiDN</w:t>
      </w:r>
      <w:proofErr w:type="spellEnd"/>
      <w:r w:rsidRPr="004F5101">
        <w:rPr>
          <w:rFonts w:ascii="Lato" w:hAnsi="Lato" w:cstheme="minorHAnsi"/>
          <w:sz w:val="20"/>
          <w:szCs w:val="20"/>
        </w:rPr>
        <w:t>:</w:t>
      </w:r>
    </w:p>
    <w:p w14:paraId="01C4E561" w14:textId="77777777" w:rsidR="00654750" w:rsidRPr="004F5101" w:rsidRDefault="0038028E" w:rsidP="004F5101">
      <w:pPr>
        <w:pStyle w:val="Akapitzlist"/>
        <w:numPr>
          <w:ilvl w:val="0"/>
          <w:numId w:val="159"/>
        </w:numPr>
        <w:spacing w:after="0" w:line="240" w:lineRule="auto"/>
        <w:jc w:val="both"/>
        <w:rPr>
          <w:rFonts w:ascii="Lato" w:hAnsi="Lato" w:cstheme="minorHAnsi"/>
          <w:sz w:val="20"/>
          <w:szCs w:val="20"/>
        </w:rPr>
      </w:pPr>
      <w:r w:rsidRPr="004F5101">
        <w:rPr>
          <w:rFonts w:ascii="Lato" w:hAnsi="Lato"/>
          <w:sz w:val="20"/>
          <w:szCs w:val="20"/>
        </w:rPr>
        <w:t>Suchedniowski Ośrodek Kultury Kuźnica w Suchedniowie</w:t>
      </w:r>
      <w:r w:rsidRPr="004F5101">
        <w:rPr>
          <w:rFonts w:ascii="Lato" w:hAnsi="Lato" w:cstheme="minorHAnsi"/>
          <w:sz w:val="20"/>
          <w:szCs w:val="20"/>
        </w:rPr>
        <w:t xml:space="preserve">, projekt </w:t>
      </w:r>
      <w:r w:rsidRPr="004F5101">
        <w:rPr>
          <w:rFonts w:ascii="Lato" w:hAnsi="Lato"/>
          <w:i/>
          <w:sz w:val="20"/>
          <w:szCs w:val="20"/>
        </w:rPr>
        <w:t xml:space="preserve">Miej serce i </w:t>
      </w:r>
      <w:proofErr w:type="spellStart"/>
      <w:r w:rsidRPr="004F5101">
        <w:rPr>
          <w:rFonts w:ascii="Lato" w:hAnsi="Lato"/>
          <w:i/>
          <w:sz w:val="20"/>
          <w:szCs w:val="20"/>
        </w:rPr>
        <w:t>patrzaj</w:t>
      </w:r>
      <w:proofErr w:type="spellEnd"/>
      <w:r w:rsidRPr="004F5101">
        <w:rPr>
          <w:rFonts w:ascii="Lato" w:hAnsi="Lato"/>
          <w:i/>
          <w:sz w:val="20"/>
          <w:szCs w:val="20"/>
        </w:rPr>
        <w:t xml:space="preserve"> w serce – widowisko międzypokoleniowe</w:t>
      </w:r>
      <w:r w:rsidRPr="004F5101">
        <w:rPr>
          <w:rFonts w:ascii="Lato" w:hAnsi="Lato"/>
          <w:sz w:val="20"/>
          <w:szCs w:val="20"/>
        </w:rPr>
        <w:t>,</w:t>
      </w:r>
    </w:p>
    <w:p w14:paraId="420F6211" w14:textId="77777777" w:rsidR="00654750" w:rsidRPr="004F5101" w:rsidRDefault="0038028E" w:rsidP="004F5101">
      <w:pPr>
        <w:pStyle w:val="Akapitzlist"/>
        <w:numPr>
          <w:ilvl w:val="0"/>
          <w:numId w:val="159"/>
        </w:numPr>
        <w:spacing w:after="0" w:line="240" w:lineRule="auto"/>
        <w:jc w:val="both"/>
        <w:rPr>
          <w:rFonts w:ascii="Lato" w:hAnsi="Lato" w:cstheme="minorHAnsi"/>
          <w:sz w:val="20"/>
          <w:szCs w:val="20"/>
        </w:rPr>
      </w:pPr>
      <w:r w:rsidRPr="004F5101">
        <w:rPr>
          <w:rFonts w:ascii="Lato" w:hAnsi="Lato"/>
          <w:sz w:val="20"/>
          <w:szCs w:val="20"/>
        </w:rPr>
        <w:t>Stowarzyszenie Przyjaciół Gminy Tarnów</w:t>
      </w:r>
      <w:r w:rsidRPr="004F5101">
        <w:rPr>
          <w:rFonts w:ascii="Lato" w:hAnsi="Lato" w:cstheme="minorHAnsi"/>
          <w:sz w:val="20"/>
          <w:szCs w:val="20"/>
        </w:rPr>
        <w:t xml:space="preserve">, projekt </w:t>
      </w:r>
      <w:r w:rsidRPr="004F5101">
        <w:rPr>
          <w:rFonts w:ascii="Lato" w:hAnsi="Lato"/>
          <w:i/>
          <w:sz w:val="20"/>
          <w:szCs w:val="20"/>
        </w:rPr>
        <w:t>Aktywny Senior –  warsztaty edukacyjno</w:t>
      </w:r>
      <w:r w:rsidRPr="004F5101">
        <w:rPr>
          <w:rFonts w:ascii="Cambria Math" w:hAnsi="Cambria Math" w:cs="Cambria Math"/>
          <w:i/>
          <w:sz w:val="20"/>
          <w:szCs w:val="20"/>
        </w:rPr>
        <w:t>‐</w:t>
      </w:r>
      <w:r w:rsidRPr="004F5101">
        <w:rPr>
          <w:rFonts w:ascii="Lato" w:hAnsi="Lato"/>
          <w:i/>
          <w:sz w:val="20"/>
          <w:szCs w:val="20"/>
        </w:rPr>
        <w:t>kulturalne</w:t>
      </w:r>
      <w:r w:rsidRPr="004F5101">
        <w:rPr>
          <w:rFonts w:ascii="Lato" w:hAnsi="Lato" w:cs="Lato"/>
          <w:i/>
          <w:sz w:val="20"/>
          <w:szCs w:val="20"/>
        </w:rPr>
        <w:t>”</w:t>
      </w:r>
      <w:r w:rsidRPr="004F5101">
        <w:rPr>
          <w:rFonts w:ascii="Lato" w:hAnsi="Lato"/>
          <w:i/>
          <w:sz w:val="20"/>
          <w:szCs w:val="20"/>
        </w:rPr>
        <w:t>,</w:t>
      </w:r>
    </w:p>
    <w:p w14:paraId="35B65B3C" w14:textId="6BEB6F07" w:rsidR="0038028E" w:rsidRPr="004F5101" w:rsidRDefault="0038028E" w:rsidP="004F5101">
      <w:pPr>
        <w:pStyle w:val="Akapitzlist"/>
        <w:numPr>
          <w:ilvl w:val="0"/>
          <w:numId w:val="159"/>
        </w:numPr>
        <w:spacing w:after="0" w:line="240" w:lineRule="auto"/>
        <w:jc w:val="both"/>
        <w:rPr>
          <w:rFonts w:ascii="Lato" w:hAnsi="Lato" w:cstheme="minorHAnsi"/>
          <w:sz w:val="20"/>
          <w:szCs w:val="20"/>
        </w:rPr>
      </w:pPr>
      <w:r w:rsidRPr="004F5101">
        <w:rPr>
          <w:rFonts w:ascii="Lato" w:hAnsi="Lato"/>
          <w:sz w:val="20"/>
          <w:szCs w:val="20"/>
        </w:rPr>
        <w:t xml:space="preserve">Stowarzyszenie Nasza Wspólnota Im. Ks. Szczepana Toboły, projekt </w:t>
      </w:r>
      <w:proofErr w:type="spellStart"/>
      <w:r w:rsidRPr="004F5101">
        <w:rPr>
          <w:rFonts w:ascii="Lato" w:hAnsi="Lato"/>
          <w:i/>
          <w:sz w:val="20"/>
          <w:szCs w:val="20"/>
        </w:rPr>
        <w:t>Snutka</w:t>
      </w:r>
      <w:proofErr w:type="spellEnd"/>
      <w:r w:rsidRPr="004F5101">
        <w:rPr>
          <w:rFonts w:ascii="Lato" w:hAnsi="Lato"/>
          <w:i/>
          <w:sz w:val="20"/>
          <w:szCs w:val="20"/>
        </w:rPr>
        <w:t xml:space="preserve"> łączy pokolenia.</w:t>
      </w:r>
    </w:p>
    <w:p w14:paraId="12A44F32" w14:textId="77777777" w:rsidR="00654750" w:rsidRPr="004F5101" w:rsidRDefault="00654750" w:rsidP="004F5101">
      <w:pPr>
        <w:spacing w:after="0" w:line="240" w:lineRule="auto"/>
        <w:jc w:val="both"/>
        <w:rPr>
          <w:rFonts w:ascii="Lato" w:hAnsi="Lato" w:cstheme="minorHAnsi"/>
          <w:sz w:val="20"/>
          <w:szCs w:val="20"/>
        </w:rPr>
      </w:pPr>
    </w:p>
    <w:p w14:paraId="2FD6F027" w14:textId="63321033" w:rsidR="0038028E" w:rsidRPr="004F5101" w:rsidRDefault="0038028E" w:rsidP="004F5101">
      <w:pPr>
        <w:spacing w:after="0" w:line="240" w:lineRule="auto"/>
        <w:jc w:val="both"/>
        <w:rPr>
          <w:rFonts w:ascii="Lato" w:hAnsi="Lato" w:cstheme="minorHAnsi"/>
          <w:sz w:val="20"/>
          <w:szCs w:val="20"/>
        </w:rPr>
      </w:pPr>
      <w:r w:rsidRPr="004F5101">
        <w:rPr>
          <w:rFonts w:ascii="Lato" w:hAnsi="Lato" w:cstheme="minorHAnsi"/>
          <w:sz w:val="20"/>
          <w:szCs w:val="20"/>
        </w:rPr>
        <w:t>W 2022 r. kontynuowano również programy dotacyjne uwzględniające zadania z zakresu dostosowania budynków instytucji kultury do potrzeb osób starszych i z niepełnosprawnościami – likwidowano bariery architektoniczne oraz instalowano systemy wspomagające dostęp do oferty kulturalnej. Działania tego rodzaju były również przedmiotem dofinansowań udzielonych za pośrednictwem następujących programów:</w:t>
      </w:r>
    </w:p>
    <w:p w14:paraId="056181F9" w14:textId="64FA6EF0" w:rsidR="0038028E" w:rsidRPr="004F5101" w:rsidRDefault="0038028E" w:rsidP="004F5101">
      <w:pPr>
        <w:pStyle w:val="Akapitzlist"/>
        <w:numPr>
          <w:ilvl w:val="3"/>
          <w:numId w:val="139"/>
        </w:numPr>
        <w:spacing w:after="0" w:line="240" w:lineRule="auto"/>
        <w:ind w:left="723"/>
        <w:jc w:val="both"/>
        <w:rPr>
          <w:rFonts w:ascii="Lato" w:hAnsi="Lato" w:cstheme="minorHAnsi"/>
          <w:i/>
          <w:sz w:val="20"/>
          <w:szCs w:val="20"/>
        </w:rPr>
      </w:pPr>
      <w:r w:rsidRPr="004F5101">
        <w:rPr>
          <w:rFonts w:ascii="Lato" w:hAnsi="Lato" w:cstheme="minorHAnsi"/>
          <w:i/>
          <w:sz w:val="20"/>
          <w:szCs w:val="20"/>
        </w:rPr>
        <w:t>Narodowy Program Rozwoju Czytelnictwa 2.0 na lata 2021-2025</w:t>
      </w:r>
      <w:r w:rsidR="00654750" w:rsidRPr="004F5101">
        <w:rPr>
          <w:rFonts w:ascii="Lato" w:hAnsi="Lato" w:cstheme="minorHAnsi"/>
          <w:i/>
          <w:sz w:val="20"/>
          <w:szCs w:val="20"/>
        </w:rPr>
        <w:t xml:space="preserve">. </w:t>
      </w:r>
      <w:r w:rsidRPr="004F5101">
        <w:rPr>
          <w:rFonts w:ascii="Lato" w:hAnsi="Lato"/>
          <w:sz w:val="20"/>
          <w:szCs w:val="20"/>
        </w:rPr>
        <w:t xml:space="preserve">Program przyjęty Uchwałą nr 69/2021 Rady Ministrów z dnia 21 maja 2021 r. </w:t>
      </w:r>
      <w:r w:rsidRPr="004F5101">
        <w:rPr>
          <w:rFonts w:ascii="Lato" w:hAnsi="Lato"/>
          <w:i/>
          <w:sz w:val="20"/>
          <w:szCs w:val="20"/>
        </w:rPr>
        <w:t>w sprawie ustanowienia programu wieloletniego Narodowy Program Rozwoju Czytelnictwa 2.0. na lata 2021-2025</w:t>
      </w:r>
      <w:r w:rsidRPr="004F5101">
        <w:rPr>
          <w:rFonts w:ascii="Lato" w:hAnsi="Lato"/>
          <w:sz w:val="20"/>
          <w:szCs w:val="20"/>
        </w:rPr>
        <w:t xml:space="preserve">. W ramach </w:t>
      </w:r>
      <w:r w:rsidRPr="004F5101">
        <w:rPr>
          <w:rFonts w:ascii="Lato" w:hAnsi="Lato"/>
          <w:i/>
          <w:sz w:val="20"/>
          <w:szCs w:val="20"/>
        </w:rPr>
        <w:t>Priorytetu 2, Kierunek Interwencji 2.1. Infrastruktura Bibliotek 2021-2025</w:t>
      </w:r>
      <w:r w:rsidRPr="004F5101">
        <w:rPr>
          <w:rFonts w:ascii="Lato" w:hAnsi="Lato"/>
          <w:sz w:val="20"/>
          <w:szCs w:val="20"/>
        </w:rPr>
        <w:t xml:space="preserve">, wśród standardów obowiązkowych znalazły się następujące wymogi </w:t>
      </w:r>
      <w:proofErr w:type="spellStart"/>
      <w:r w:rsidRPr="004F5101">
        <w:rPr>
          <w:rFonts w:ascii="Lato" w:hAnsi="Lato"/>
          <w:sz w:val="20"/>
          <w:szCs w:val="20"/>
        </w:rPr>
        <w:t>istotnez</w:t>
      </w:r>
      <w:proofErr w:type="spellEnd"/>
      <w:r w:rsidRPr="004F5101">
        <w:rPr>
          <w:rFonts w:ascii="Lato" w:hAnsi="Lato"/>
          <w:sz w:val="20"/>
          <w:szCs w:val="20"/>
        </w:rPr>
        <w:t xml:space="preserve"> perspektywy polityki na rzecz osób starszych:</w:t>
      </w:r>
    </w:p>
    <w:p w14:paraId="3537C25F" w14:textId="77777777" w:rsidR="00654750" w:rsidRPr="004F5101" w:rsidRDefault="0038028E" w:rsidP="004F5101">
      <w:pPr>
        <w:numPr>
          <w:ilvl w:val="0"/>
          <w:numId w:val="155"/>
        </w:numPr>
        <w:spacing w:after="0" w:line="240" w:lineRule="auto"/>
        <w:ind w:left="723"/>
        <w:jc w:val="both"/>
        <w:rPr>
          <w:rFonts w:ascii="Lato" w:hAnsi="Lato"/>
          <w:sz w:val="20"/>
          <w:szCs w:val="20"/>
        </w:rPr>
      </w:pPr>
      <w:r w:rsidRPr="004F5101">
        <w:rPr>
          <w:rFonts w:ascii="Lato" w:hAnsi="Lato"/>
          <w:sz w:val="20"/>
          <w:szCs w:val="20"/>
        </w:rPr>
        <w:t xml:space="preserve">spełnienia wymogów określonych w ustawie z dnia 19 lipca 2019 r. </w:t>
      </w:r>
      <w:r w:rsidRPr="004F5101">
        <w:rPr>
          <w:rFonts w:ascii="Lato" w:hAnsi="Lato"/>
          <w:i/>
          <w:sz w:val="20"/>
          <w:szCs w:val="20"/>
        </w:rPr>
        <w:t>o zapewnianiu dostępności osobom ze szczególnymi potrzebami</w:t>
      </w:r>
      <w:r w:rsidRPr="004F5101">
        <w:rPr>
          <w:rFonts w:ascii="Lato" w:hAnsi="Lato"/>
          <w:sz w:val="20"/>
          <w:szCs w:val="20"/>
        </w:rPr>
        <w:t>;</w:t>
      </w:r>
    </w:p>
    <w:p w14:paraId="5D3D06A2" w14:textId="10695D94" w:rsidR="0038028E" w:rsidRPr="004F5101" w:rsidRDefault="0038028E" w:rsidP="004F5101">
      <w:pPr>
        <w:numPr>
          <w:ilvl w:val="0"/>
          <w:numId w:val="155"/>
        </w:numPr>
        <w:spacing w:after="0" w:line="240" w:lineRule="auto"/>
        <w:ind w:left="723"/>
        <w:jc w:val="both"/>
        <w:rPr>
          <w:rFonts w:ascii="Lato" w:hAnsi="Lato"/>
          <w:sz w:val="20"/>
          <w:szCs w:val="20"/>
        </w:rPr>
      </w:pPr>
      <w:r w:rsidRPr="004F5101">
        <w:rPr>
          <w:rFonts w:ascii="Lato" w:hAnsi="Lato"/>
          <w:sz w:val="20"/>
          <w:szCs w:val="20"/>
        </w:rPr>
        <w:t xml:space="preserve">spełnienia wymogów określonych w ustawie z dnia 4 kwietnia 2019 r. </w:t>
      </w:r>
      <w:r w:rsidRPr="004F5101">
        <w:rPr>
          <w:rFonts w:ascii="Lato" w:hAnsi="Lato"/>
          <w:i/>
          <w:sz w:val="20"/>
          <w:szCs w:val="20"/>
        </w:rPr>
        <w:t>o dostępności cyfrowej stron internetowych i aplikacji mobilnych podmiotów publicznych.</w:t>
      </w:r>
    </w:p>
    <w:p w14:paraId="260C2E59" w14:textId="77777777" w:rsidR="00654750" w:rsidRPr="004F5101" w:rsidRDefault="00654750" w:rsidP="004F5101">
      <w:pPr>
        <w:spacing w:after="0" w:line="240" w:lineRule="auto"/>
        <w:jc w:val="both"/>
        <w:rPr>
          <w:rFonts w:ascii="Lato" w:hAnsi="Lato"/>
          <w:sz w:val="20"/>
          <w:szCs w:val="20"/>
        </w:rPr>
      </w:pPr>
    </w:p>
    <w:p w14:paraId="09345F07" w14:textId="3728748E" w:rsidR="0038028E" w:rsidRPr="004F5101" w:rsidRDefault="0038028E" w:rsidP="004F5101">
      <w:pPr>
        <w:spacing w:after="0" w:line="240" w:lineRule="auto"/>
        <w:jc w:val="both"/>
        <w:rPr>
          <w:rFonts w:ascii="Lato" w:hAnsi="Lato"/>
          <w:sz w:val="20"/>
          <w:szCs w:val="20"/>
        </w:rPr>
      </w:pPr>
      <w:r w:rsidRPr="004F5101">
        <w:rPr>
          <w:rFonts w:ascii="Lato" w:hAnsi="Lato"/>
          <w:sz w:val="20"/>
          <w:szCs w:val="20"/>
        </w:rPr>
        <w:lastRenderedPageBreak/>
        <w:t>Dodatkowo w programie zastosowano następujące standardy preferowane:</w:t>
      </w:r>
    </w:p>
    <w:p w14:paraId="60A6C5F5" w14:textId="77777777" w:rsidR="00654750" w:rsidRPr="004F5101" w:rsidRDefault="0038028E" w:rsidP="004F5101">
      <w:pPr>
        <w:pStyle w:val="Akapitzlist"/>
        <w:numPr>
          <w:ilvl w:val="0"/>
          <w:numId w:val="152"/>
        </w:numPr>
        <w:spacing w:after="0" w:line="240" w:lineRule="auto"/>
        <w:ind w:left="723"/>
        <w:jc w:val="both"/>
        <w:rPr>
          <w:rFonts w:ascii="Lato" w:hAnsi="Lato"/>
          <w:sz w:val="20"/>
          <w:szCs w:val="20"/>
        </w:rPr>
      </w:pPr>
      <w:r w:rsidRPr="004F5101">
        <w:rPr>
          <w:rFonts w:ascii="Lato" w:hAnsi="Lato"/>
          <w:sz w:val="20"/>
          <w:szCs w:val="20"/>
        </w:rPr>
        <w:t>na dzień zakończenia zadania w ramach dotacji biblioteka uruchomi wyraźnie oznakowane pomieszczenie przeznaczone do aktywnej pracy z seniorami, z wyposażeniem dostosowanym do tej grupy wiekowej;</w:t>
      </w:r>
    </w:p>
    <w:p w14:paraId="41042F03" w14:textId="79CDA102" w:rsidR="0038028E" w:rsidRPr="004F5101" w:rsidRDefault="0038028E" w:rsidP="004F5101">
      <w:pPr>
        <w:pStyle w:val="Akapitzlist"/>
        <w:numPr>
          <w:ilvl w:val="0"/>
          <w:numId w:val="152"/>
        </w:numPr>
        <w:spacing w:after="0" w:line="240" w:lineRule="auto"/>
        <w:ind w:left="723"/>
        <w:jc w:val="both"/>
        <w:rPr>
          <w:rFonts w:ascii="Lato" w:hAnsi="Lato"/>
          <w:sz w:val="20"/>
          <w:szCs w:val="20"/>
        </w:rPr>
      </w:pPr>
      <w:r w:rsidRPr="004F5101">
        <w:rPr>
          <w:rFonts w:ascii="Lato" w:hAnsi="Lato"/>
          <w:sz w:val="20"/>
          <w:szCs w:val="20"/>
        </w:rPr>
        <w:t xml:space="preserve">na dzień zakończenia zadania w ramach dotacji biblioteka będzie spełniała standardy dostępności budynków dla osób z niepełnosprawnościami wskazane w poradniku Ministerstwa Infrastruktury i Budownictwa z 2017 r. pn. </w:t>
      </w:r>
      <w:r w:rsidRPr="004F5101">
        <w:rPr>
          <w:rFonts w:ascii="Lato" w:hAnsi="Lato"/>
          <w:i/>
          <w:sz w:val="20"/>
          <w:szCs w:val="20"/>
        </w:rPr>
        <w:t>Standardy dostępności budynków dla osób z niepełnosprawnościami</w:t>
      </w:r>
      <w:r w:rsidRPr="004F5101">
        <w:rPr>
          <w:rFonts w:ascii="Lato" w:hAnsi="Lato"/>
          <w:sz w:val="20"/>
          <w:szCs w:val="20"/>
        </w:rPr>
        <w:t>.</w:t>
      </w:r>
    </w:p>
    <w:p w14:paraId="55E1A247" w14:textId="77777777" w:rsidR="00654750" w:rsidRPr="004F5101" w:rsidRDefault="00654750" w:rsidP="004F5101">
      <w:pPr>
        <w:tabs>
          <w:tab w:val="left" w:pos="709"/>
        </w:tabs>
        <w:spacing w:after="0" w:line="240" w:lineRule="auto"/>
        <w:jc w:val="both"/>
        <w:rPr>
          <w:rFonts w:ascii="Lato" w:hAnsi="Lato"/>
          <w:sz w:val="20"/>
          <w:szCs w:val="20"/>
        </w:rPr>
      </w:pPr>
    </w:p>
    <w:p w14:paraId="588C5942" w14:textId="79052822" w:rsidR="0038028E" w:rsidRPr="004F5101" w:rsidRDefault="0038028E" w:rsidP="004F5101">
      <w:pPr>
        <w:tabs>
          <w:tab w:val="left" w:pos="709"/>
        </w:tabs>
        <w:spacing w:after="0" w:line="240" w:lineRule="auto"/>
        <w:jc w:val="both"/>
        <w:rPr>
          <w:rFonts w:ascii="Lato" w:hAnsi="Lato"/>
          <w:sz w:val="20"/>
          <w:szCs w:val="20"/>
        </w:rPr>
      </w:pPr>
      <w:r w:rsidRPr="004F5101">
        <w:rPr>
          <w:rFonts w:ascii="Lato" w:hAnsi="Lato"/>
          <w:sz w:val="20"/>
          <w:szCs w:val="20"/>
        </w:rPr>
        <w:t xml:space="preserve">Ponadto w ramach </w:t>
      </w:r>
      <w:r w:rsidRPr="004F5101">
        <w:rPr>
          <w:rFonts w:ascii="Lato" w:hAnsi="Lato"/>
          <w:i/>
          <w:sz w:val="20"/>
          <w:szCs w:val="20"/>
        </w:rPr>
        <w:t>Priorytetu 2, Kierunek Interwencji 2.1., Infrastruktura bibliotek 2021-2025</w:t>
      </w:r>
      <w:r w:rsidRPr="004F5101">
        <w:rPr>
          <w:rFonts w:ascii="Lato" w:hAnsi="Lato"/>
          <w:sz w:val="20"/>
          <w:szCs w:val="20"/>
        </w:rPr>
        <w:t xml:space="preserve"> monitorowane są wskaźniki pn. :</w:t>
      </w:r>
    </w:p>
    <w:p w14:paraId="1B492AA5" w14:textId="77777777" w:rsidR="0038028E" w:rsidRPr="004F5101" w:rsidRDefault="0038028E" w:rsidP="004F5101">
      <w:pPr>
        <w:pStyle w:val="Akapitzlist"/>
        <w:numPr>
          <w:ilvl w:val="0"/>
          <w:numId w:val="156"/>
        </w:numPr>
        <w:tabs>
          <w:tab w:val="left" w:pos="709"/>
        </w:tabs>
        <w:spacing w:after="0" w:line="240" w:lineRule="auto"/>
        <w:jc w:val="both"/>
        <w:rPr>
          <w:rFonts w:ascii="Lato" w:hAnsi="Lato"/>
          <w:sz w:val="20"/>
          <w:szCs w:val="20"/>
        </w:rPr>
      </w:pPr>
      <w:r w:rsidRPr="004F5101">
        <w:rPr>
          <w:rFonts w:ascii="Lato" w:hAnsi="Lato"/>
          <w:sz w:val="20"/>
          <w:szCs w:val="20"/>
        </w:rPr>
        <w:t>liczba obiektów bibliotecznych, które w wyniku realizacji zadania przystosowały wyraźnie oznakowane pomieszczenie przeznaczone do aktywnej pracy z seniorami (osobami starszymi), z wyposażeniem dostosowanym do tej grupy wiekowej. 7 zadań o charakterze inwestycyjnym zakończyło się w okresie od 1 stycznia do 31 grudnia 2022 r. W każdym z nich przewidziano spełnienie tego kryterium;</w:t>
      </w:r>
    </w:p>
    <w:p w14:paraId="60F5C478" w14:textId="77777777" w:rsidR="0038028E" w:rsidRPr="004F5101" w:rsidRDefault="0038028E" w:rsidP="004F5101">
      <w:pPr>
        <w:pStyle w:val="Akapitzlist"/>
        <w:numPr>
          <w:ilvl w:val="0"/>
          <w:numId w:val="156"/>
        </w:numPr>
        <w:tabs>
          <w:tab w:val="left" w:pos="709"/>
        </w:tabs>
        <w:spacing w:after="0" w:line="240" w:lineRule="auto"/>
        <w:jc w:val="both"/>
        <w:rPr>
          <w:rFonts w:ascii="Lato" w:hAnsi="Lato"/>
          <w:sz w:val="20"/>
          <w:szCs w:val="20"/>
        </w:rPr>
      </w:pPr>
      <w:r w:rsidRPr="004F5101">
        <w:rPr>
          <w:rFonts w:ascii="Lato" w:hAnsi="Lato"/>
          <w:sz w:val="20"/>
          <w:szCs w:val="20"/>
        </w:rPr>
        <w:t>liczba bibliotek (obiektów bibliotecznych), które w wyniku realizacji zadania zostały dostosowane do potrzeb osób ze szczególnymi potrzebami – 5 inwestycji na 7 realizowanych (pozostałe 2 były już dostosowane);</w:t>
      </w:r>
    </w:p>
    <w:p w14:paraId="4F7F2934" w14:textId="77777777" w:rsidR="0038028E" w:rsidRPr="004F5101" w:rsidRDefault="0038028E" w:rsidP="004F5101">
      <w:pPr>
        <w:pStyle w:val="Akapitzlist"/>
        <w:numPr>
          <w:ilvl w:val="0"/>
          <w:numId w:val="156"/>
        </w:numPr>
        <w:tabs>
          <w:tab w:val="left" w:pos="709"/>
        </w:tabs>
        <w:spacing w:after="0" w:line="240" w:lineRule="auto"/>
        <w:jc w:val="both"/>
        <w:rPr>
          <w:rFonts w:ascii="Lato" w:hAnsi="Lato"/>
          <w:sz w:val="20"/>
          <w:szCs w:val="20"/>
        </w:rPr>
      </w:pPr>
      <w:r w:rsidRPr="004F5101">
        <w:rPr>
          <w:rFonts w:ascii="Lato" w:hAnsi="Lato"/>
          <w:sz w:val="20"/>
          <w:szCs w:val="20"/>
        </w:rPr>
        <w:t>Liczba obiektów bibliotecznych, które w wyniku realizacji zadania poprawiły poziom dostosowania obiektu do osób ze szczególnymi potrzebami – 1 inwestycja (wskaźnik mówi o obiektach, które w momencie realizacji zadania są już przystosowane do potrzeb osób ze szczególnymi potrzebami, a wskutek realizacji zadania poziom dostosowania się poprawia).</w:t>
      </w:r>
    </w:p>
    <w:p w14:paraId="4FCFB598" w14:textId="77777777" w:rsidR="00654750" w:rsidRPr="004F5101" w:rsidRDefault="00654750" w:rsidP="004F5101">
      <w:pPr>
        <w:tabs>
          <w:tab w:val="left" w:pos="709"/>
        </w:tabs>
        <w:spacing w:after="0" w:line="240" w:lineRule="auto"/>
        <w:jc w:val="both"/>
        <w:rPr>
          <w:rFonts w:ascii="Lato" w:hAnsi="Lato"/>
          <w:sz w:val="20"/>
          <w:szCs w:val="20"/>
        </w:rPr>
      </w:pPr>
    </w:p>
    <w:p w14:paraId="5C5C8229" w14:textId="6E7656D1" w:rsidR="0038028E" w:rsidRPr="004F5101" w:rsidRDefault="0038028E" w:rsidP="004F5101">
      <w:pPr>
        <w:tabs>
          <w:tab w:val="left" w:pos="709"/>
        </w:tabs>
        <w:spacing w:after="0" w:line="240" w:lineRule="auto"/>
        <w:jc w:val="both"/>
        <w:rPr>
          <w:rFonts w:ascii="Lato" w:hAnsi="Lato"/>
          <w:sz w:val="20"/>
          <w:szCs w:val="20"/>
        </w:rPr>
      </w:pPr>
      <w:r w:rsidRPr="004F5101">
        <w:rPr>
          <w:rFonts w:ascii="Lato" w:hAnsi="Lato"/>
          <w:sz w:val="20"/>
          <w:szCs w:val="20"/>
        </w:rPr>
        <w:t xml:space="preserve">W ramach </w:t>
      </w:r>
      <w:r w:rsidRPr="004F5101">
        <w:rPr>
          <w:rFonts w:ascii="Lato" w:hAnsi="Lato"/>
          <w:i/>
          <w:sz w:val="20"/>
          <w:szCs w:val="20"/>
        </w:rPr>
        <w:t>Priorytetu 1, Kierunek interwencji 1.1. Zakup i zdalny dostęp do  nowości wydawniczych</w:t>
      </w:r>
      <w:r w:rsidRPr="004F5101">
        <w:rPr>
          <w:rFonts w:ascii="Lato" w:hAnsi="Lato"/>
          <w:b/>
          <w:sz w:val="20"/>
          <w:szCs w:val="20"/>
        </w:rPr>
        <w:t xml:space="preserve"> </w:t>
      </w:r>
      <w:r w:rsidRPr="004F5101">
        <w:rPr>
          <w:rFonts w:ascii="Lato" w:hAnsi="Lato"/>
          <w:sz w:val="20"/>
          <w:szCs w:val="20"/>
        </w:rPr>
        <w:t xml:space="preserve">biblioteki publiczne dzięki otrzymanemu wsparciu mogą zakupić publikacje w formie książek, które ukazały się nie tylko drukiem, ale też na innym nośniku (książki mówione, pisane alfabetem Braille’a, książki elektroniczne) i inne. Możliwy jest również zakup usługi zdalnego dostępu do książek w formacie e-booków i/lub audiobooków i/lub </w:t>
      </w:r>
      <w:proofErr w:type="spellStart"/>
      <w:r w:rsidRPr="004F5101">
        <w:rPr>
          <w:rFonts w:ascii="Lato" w:hAnsi="Lato"/>
          <w:sz w:val="20"/>
          <w:szCs w:val="20"/>
        </w:rPr>
        <w:t>synchrobooków</w:t>
      </w:r>
      <w:proofErr w:type="spellEnd"/>
      <w:r w:rsidRPr="004F5101">
        <w:rPr>
          <w:rFonts w:ascii="Lato" w:hAnsi="Lato"/>
          <w:sz w:val="20"/>
          <w:szCs w:val="20"/>
        </w:rPr>
        <w:t>. Zakupione przez biblioteki publiczne książki  w ww. wymienionych formach publikacji poszerzają ofertę biblioteczną dla szerokiego grona odbiorców, w tym dla osób starszych.</w:t>
      </w:r>
    </w:p>
    <w:p w14:paraId="4CED7E85" w14:textId="77777777" w:rsidR="00654750" w:rsidRPr="004F5101" w:rsidRDefault="00654750" w:rsidP="004F5101">
      <w:pPr>
        <w:tabs>
          <w:tab w:val="left" w:pos="709"/>
        </w:tabs>
        <w:spacing w:after="0" w:line="240" w:lineRule="auto"/>
        <w:jc w:val="both"/>
        <w:rPr>
          <w:rFonts w:ascii="Lato" w:hAnsi="Lato"/>
          <w:sz w:val="20"/>
          <w:szCs w:val="20"/>
        </w:rPr>
      </w:pPr>
    </w:p>
    <w:p w14:paraId="63FA49AA" w14:textId="5B4C6A99" w:rsidR="0038028E" w:rsidRPr="004F5101" w:rsidRDefault="00811520" w:rsidP="004F5101">
      <w:pPr>
        <w:tabs>
          <w:tab w:val="left" w:pos="709"/>
        </w:tabs>
        <w:spacing w:after="0" w:line="240" w:lineRule="auto"/>
        <w:jc w:val="both"/>
        <w:rPr>
          <w:rFonts w:ascii="Lato" w:hAnsi="Lato"/>
          <w:b/>
          <w:color w:val="2F5496" w:themeColor="accent1" w:themeShade="BF"/>
          <w:sz w:val="20"/>
          <w:szCs w:val="20"/>
        </w:rPr>
      </w:pPr>
      <w:r w:rsidRPr="004F5101">
        <w:rPr>
          <w:rFonts w:ascii="Lato" w:hAnsi="Lato"/>
          <w:b/>
          <w:color w:val="2F5496" w:themeColor="accent1" w:themeShade="BF"/>
          <w:sz w:val="20"/>
          <w:szCs w:val="20"/>
        </w:rPr>
        <w:t>Wspieranie aktywności kulturalnej i artystycznej seniorów</w:t>
      </w:r>
    </w:p>
    <w:p w14:paraId="13E8F8BE" w14:textId="2DC4E66E" w:rsidR="0038028E" w:rsidRPr="004F5101" w:rsidRDefault="0038028E" w:rsidP="004F5101">
      <w:pPr>
        <w:tabs>
          <w:tab w:val="left" w:pos="6930"/>
        </w:tabs>
        <w:spacing w:after="0" w:line="240" w:lineRule="auto"/>
        <w:jc w:val="both"/>
        <w:rPr>
          <w:rFonts w:ascii="Lato" w:hAnsi="Lato"/>
          <w:sz w:val="20"/>
          <w:szCs w:val="20"/>
        </w:rPr>
      </w:pPr>
      <w:r w:rsidRPr="004F5101">
        <w:rPr>
          <w:rFonts w:ascii="Lato" w:hAnsi="Lato"/>
          <w:sz w:val="20"/>
          <w:szCs w:val="20"/>
        </w:rPr>
        <w:t>W 2022 r</w:t>
      </w:r>
      <w:r w:rsidR="00654750" w:rsidRPr="004F5101">
        <w:rPr>
          <w:rFonts w:ascii="Lato" w:hAnsi="Lato"/>
          <w:sz w:val="20"/>
          <w:szCs w:val="20"/>
        </w:rPr>
        <w:t>.</w:t>
      </w:r>
      <w:r w:rsidRPr="004F5101">
        <w:rPr>
          <w:rFonts w:ascii="Lato" w:hAnsi="Lato"/>
          <w:sz w:val="20"/>
          <w:szCs w:val="20"/>
        </w:rPr>
        <w:t xml:space="preserve"> instytucje kultury prowadzone lub współprowadzone przez </w:t>
      </w:r>
      <w:proofErr w:type="spellStart"/>
      <w:r w:rsidRPr="004F5101">
        <w:rPr>
          <w:rFonts w:ascii="Lato" w:hAnsi="Lato"/>
          <w:sz w:val="20"/>
          <w:szCs w:val="20"/>
        </w:rPr>
        <w:t>MKiDN</w:t>
      </w:r>
      <w:proofErr w:type="spellEnd"/>
      <w:r w:rsidRPr="004F5101">
        <w:rPr>
          <w:rFonts w:ascii="Lato" w:hAnsi="Lato"/>
          <w:sz w:val="20"/>
          <w:szCs w:val="20"/>
        </w:rPr>
        <w:t xml:space="preserve"> obok działalności kulturalnej i artystycznej kierowanej do szerokiego grona odbiorców bez względu na wiek, kontynuowały również realizację programów edukacyjnych i towarzyszących adresowanych wprost do osób dorosłych, w tym osób starszych. Najczęstszymi działaniami instytucji kultury projektowanymi z myślą o seniorach były zajęcia dyskusyjne i warsztatowe, często prowadzone w cyklach wieloletnich (w tym w formie działalności kół zainteresowań), specjalne i okolicznościowe wydarzenia (koncerty, wieczory), działania popularyzatorskie oraz działania zwiększające dostępność finansową oferty. Przykładowe formy działań:</w:t>
      </w:r>
    </w:p>
    <w:p w14:paraId="453E81F0" w14:textId="77777777" w:rsidR="00654750" w:rsidRPr="004F5101" w:rsidRDefault="0038028E" w:rsidP="004F5101">
      <w:pPr>
        <w:pStyle w:val="Akapitzlist"/>
        <w:numPr>
          <w:ilvl w:val="0"/>
          <w:numId w:val="160"/>
        </w:numPr>
        <w:tabs>
          <w:tab w:val="left" w:pos="6930"/>
        </w:tabs>
        <w:spacing w:after="0" w:line="240" w:lineRule="auto"/>
        <w:jc w:val="both"/>
        <w:rPr>
          <w:rFonts w:ascii="Lato" w:hAnsi="Lato"/>
          <w:sz w:val="20"/>
          <w:szCs w:val="20"/>
        </w:rPr>
      </w:pPr>
      <w:r w:rsidRPr="004F5101">
        <w:rPr>
          <w:rFonts w:ascii="Lato" w:hAnsi="Lato"/>
          <w:sz w:val="20"/>
          <w:szCs w:val="20"/>
        </w:rPr>
        <w:t>ulgowe bilety wstępu dla seniora, w przypadku galerii i centrów sztuki – także jeden dzień wolnego wstępu;</w:t>
      </w:r>
    </w:p>
    <w:p w14:paraId="17E5BEE3" w14:textId="77777777" w:rsidR="00654750" w:rsidRPr="004F5101" w:rsidRDefault="0038028E" w:rsidP="004F5101">
      <w:pPr>
        <w:pStyle w:val="Akapitzlist"/>
        <w:numPr>
          <w:ilvl w:val="0"/>
          <w:numId w:val="160"/>
        </w:numPr>
        <w:tabs>
          <w:tab w:val="left" w:pos="6930"/>
        </w:tabs>
        <w:spacing w:after="0" w:line="240" w:lineRule="auto"/>
        <w:jc w:val="both"/>
        <w:rPr>
          <w:rFonts w:ascii="Lato" w:hAnsi="Lato"/>
          <w:sz w:val="20"/>
          <w:szCs w:val="20"/>
        </w:rPr>
      </w:pPr>
      <w:r w:rsidRPr="004F5101">
        <w:rPr>
          <w:rFonts w:ascii="Lato" w:hAnsi="Lato"/>
          <w:sz w:val="20"/>
          <w:szCs w:val="20"/>
        </w:rPr>
        <w:t>dostosowanie stron www i działań informacyjno-komunikacyjnych do potrzeb tej grupy, tj. m.in. osób z ograniczeniami wzroku i słuchu;</w:t>
      </w:r>
    </w:p>
    <w:p w14:paraId="20AEB381" w14:textId="77777777" w:rsidR="00654750" w:rsidRPr="004F5101" w:rsidRDefault="0038028E" w:rsidP="004F5101">
      <w:pPr>
        <w:pStyle w:val="Akapitzlist"/>
        <w:numPr>
          <w:ilvl w:val="0"/>
          <w:numId w:val="160"/>
        </w:numPr>
        <w:tabs>
          <w:tab w:val="left" w:pos="6930"/>
        </w:tabs>
        <w:spacing w:after="0" w:line="240" w:lineRule="auto"/>
        <w:jc w:val="both"/>
        <w:rPr>
          <w:rFonts w:ascii="Lato" w:hAnsi="Lato"/>
          <w:sz w:val="20"/>
          <w:szCs w:val="20"/>
        </w:rPr>
      </w:pPr>
      <w:r w:rsidRPr="004F5101">
        <w:rPr>
          <w:rFonts w:ascii="Lato" w:hAnsi="Lato"/>
          <w:sz w:val="20"/>
          <w:szCs w:val="20"/>
        </w:rPr>
        <w:t>działania edukacyjne – warsztaty, spotkania, wirtualne spacery i oprowadzania po wystawach itp.;</w:t>
      </w:r>
    </w:p>
    <w:p w14:paraId="63C15BA6" w14:textId="69291182" w:rsidR="0038028E" w:rsidRPr="004F5101" w:rsidRDefault="0038028E" w:rsidP="004F5101">
      <w:pPr>
        <w:pStyle w:val="Akapitzlist"/>
        <w:numPr>
          <w:ilvl w:val="0"/>
          <w:numId w:val="160"/>
        </w:numPr>
        <w:tabs>
          <w:tab w:val="left" w:pos="6930"/>
        </w:tabs>
        <w:spacing w:after="0" w:line="240" w:lineRule="auto"/>
        <w:jc w:val="both"/>
        <w:rPr>
          <w:rFonts w:ascii="Lato" w:hAnsi="Lato"/>
          <w:sz w:val="20"/>
          <w:szCs w:val="20"/>
        </w:rPr>
      </w:pPr>
      <w:r w:rsidRPr="004F5101">
        <w:rPr>
          <w:rFonts w:ascii="Lato" w:hAnsi="Lato"/>
          <w:sz w:val="20"/>
          <w:szCs w:val="20"/>
        </w:rPr>
        <w:t>współpraca z organizacjami i stowarzyszeniami zrzeszającymi osoby w wieku senioralnym.</w:t>
      </w:r>
    </w:p>
    <w:p w14:paraId="6791AA86" w14:textId="77777777" w:rsidR="00654750" w:rsidRPr="004F5101" w:rsidRDefault="00654750" w:rsidP="004F5101">
      <w:pPr>
        <w:pStyle w:val="Akapitzlist"/>
        <w:tabs>
          <w:tab w:val="left" w:pos="6930"/>
        </w:tabs>
        <w:spacing w:after="0" w:line="240" w:lineRule="auto"/>
        <w:jc w:val="both"/>
        <w:rPr>
          <w:rFonts w:ascii="Lato" w:hAnsi="Lato"/>
          <w:sz w:val="20"/>
          <w:szCs w:val="20"/>
        </w:rPr>
      </w:pPr>
    </w:p>
    <w:p w14:paraId="0BE5C94C" w14:textId="77777777" w:rsidR="0038028E" w:rsidRPr="004F5101" w:rsidRDefault="0038028E" w:rsidP="004F5101">
      <w:pPr>
        <w:tabs>
          <w:tab w:val="left" w:pos="6930"/>
        </w:tabs>
        <w:spacing w:after="0" w:line="240" w:lineRule="auto"/>
        <w:jc w:val="both"/>
        <w:rPr>
          <w:rFonts w:ascii="Lato" w:hAnsi="Lato"/>
          <w:sz w:val="20"/>
          <w:szCs w:val="20"/>
        </w:rPr>
      </w:pPr>
      <w:r w:rsidRPr="004F5101">
        <w:rPr>
          <w:rFonts w:ascii="Lato" w:hAnsi="Lato"/>
          <w:sz w:val="20"/>
          <w:szCs w:val="20"/>
        </w:rPr>
        <w:t xml:space="preserve">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w:t>
      </w:r>
      <w:proofErr w:type="spellStart"/>
      <w:r w:rsidRPr="004F5101">
        <w:rPr>
          <w:rFonts w:ascii="Lato" w:hAnsi="Lato"/>
          <w:sz w:val="20"/>
          <w:szCs w:val="20"/>
        </w:rPr>
        <w:t>senioralia</w:t>
      </w:r>
      <w:proofErr w:type="spellEnd"/>
      <w:r w:rsidRPr="004F5101">
        <w:rPr>
          <w:rFonts w:ascii="Lato" w:hAnsi="Lato"/>
          <w:sz w:val="20"/>
          <w:szCs w:val="20"/>
        </w:rPr>
        <w:t>). Przykładowe cykliczne i długofalowe działania:</w:t>
      </w:r>
    </w:p>
    <w:p w14:paraId="096821DC"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Centrum Sztuki Współczesnej Zamek Ujazdowski w Warszawie – cykl</w:t>
      </w:r>
      <w:r w:rsidRPr="004F5101">
        <w:rPr>
          <w:rFonts w:ascii="Lato" w:hAnsi="Lato"/>
          <w:i/>
          <w:sz w:val="20"/>
          <w:szCs w:val="20"/>
        </w:rPr>
        <w:t xml:space="preserve"> Sztuka nie zna wieku</w:t>
      </w:r>
      <w:r w:rsidRPr="004F5101">
        <w:rPr>
          <w:rFonts w:ascii="Lato" w:hAnsi="Lato"/>
          <w:sz w:val="20"/>
          <w:szCs w:val="20"/>
        </w:rPr>
        <w:t xml:space="preserve"> adresowany do osób starszych i dorosłych w ramach uczenia się przez całe życie. To propozycja dla osób, które chcą aktywnie i twórczo zgłębiać tajniki sztuki współczesnej. W roku 2022 odbyły się 24 spotkania w formie wykładu lub oprowadzania z wykładem. Uczestniczyło w nich ok. 180 osób. Ułatwienie dostępu do galerii sztuki dla seniorów poprzez bilety ulgowe. Seniorzy to 9% zwiedzających CSW Zamek Ujazdowski;</w:t>
      </w:r>
    </w:p>
    <w:p w14:paraId="7AE79FB4"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lastRenderedPageBreak/>
        <w:t xml:space="preserve">Filharmonia Podkarpacka im. Artura Malawskiego w Rzeszowie – dla szybkiej komunikacji z osobami starszymi informacje są przekazywane telefonicznie do osoby, która kontaktuje się z całą grupą seniorów. Do dobrych praktyk podejmowanych przez Filharmonię należy wprowadzenie biletów zniżkowych dla seniorów, organizowanie specjalnych koncertów adresowanych do osób starszych, zatytułowanych: </w:t>
      </w:r>
      <w:r w:rsidRPr="004F5101">
        <w:rPr>
          <w:rFonts w:ascii="Lato" w:hAnsi="Lato"/>
          <w:i/>
          <w:sz w:val="20"/>
          <w:szCs w:val="20"/>
        </w:rPr>
        <w:t>Koncert dla seniorów</w:t>
      </w:r>
      <w:r w:rsidRPr="004F5101">
        <w:rPr>
          <w:rFonts w:ascii="Lato" w:hAnsi="Lato"/>
          <w:sz w:val="20"/>
          <w:szCs w:val="20"/>
        </w:rPr>
        <w:t xml:space="preserve"> lub </w:t>
      </w:r>
      <w:r w:rsidRPr="004F5101">
        <w:rPr>
          <w:rFonts w:ascii="Lato" w:hAnsi="Lato"/>
          <w:i/>
          <w:sz w:val="20"/>
          <w:szCs w:val="20"/>
        </w:rPr>
        <w:t>Koncert Familijny</w:t>
      </w:r>
      <w:r w:rsidRPr="004F5101">
        <w:rPr>
          <w:rFonts w:ascii="Lato" w:hAnsi="Lato"/>
          <w:sz w:val="20"/>
          <w:szCs w:val="20"/>
        </w:rPr>
        <w:t xml:space="preserve">; </w:t>
      </w:r>
    </w:p>
    <w:p w14:paraId="22E6B1BB"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Instytut Teatralny – w 2022 roku do sali Instytutu Teatralnego została zakupiona profesjonalna pętla indukcyjna dla osób słabosłyszących, co zwiększa dostępność programów realizowanych przez Instytut dla osób starszych;</w:t>
      </w:r>
    </w:p>
    <w:p w14:paraId="073D17CC"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Filharmonia Pomorska im. I.J. Paderewskiego w Bydgoszczy – wykłady dla seniorów na Politechnice Bydgoskiej służące promocji działalności Filharmonii Pomorskiej w Bydgoszczy, </w:t>
      </w:r>
      <w:r w:rsidRPr="004F5101">
        <w:rPr>
          <w:rFonts w:ascii="Lato" w:hAnsi="Lato"/>
          <w:i/>
          <w:sz w:val="20"/>
          <w:szCs w:val="20"/>
        </w:rPr>
        <w:t>Poranki muzyczne dla seniorów</w:t>
      </w:r>
      <w:r w:rsidRPr="004F5101">
        <w:rPr>
          <w:rFonts w:ascii="Lato" w:hAnsi="Lato"/>
          <w:sz w:val="20"/>
          <w:szCs w:val="20"/>
        </w:rPr>
        <w:t xml:space="preserve"> – cykl połączonych z prelekcją koncertów, mających za zadanie upowszechnianie muzyki, a także zaspokajanie aspiracji kulturalnych seniorów;</w:t>
      </w:r>
    </w:p>
    <w:p w14:paraId="4DC69DD0"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Teatr Żydowski – seniorzy z UTW Teatru Żydowskiego tworzą teatr lalkowy, który z repertuarem wierszy z ich dzieciństwa odwiedza każdego miesiąca dzieci z warszawskich przedszkoli;</w:t>
      </w:r>
    </w:p>
    <w:p w14:paraId="57A110F3"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Stowarzyszenie Teatr Brama – </w:t>
      </w:r>
      <w:proofErr w:type="spellStart"/>
      <w:r w:rsidRPr="004F5101">
        <w:rPr>
          <w:rFonts w:ascii="Lato" w:hAnsi="Lato"/>
          <w:i/>
          <w:sz w:val="20"/>
          <w:szCs w:val="20"/>
        </w:rPr>
        <w:t>InHUBitant</w:t>
      </w:r>
      <w:proofErr w:type="spellEnd"/>
      <w:r w:rsidRPr="004F5101">
        <w:rPr>
          <w:rFonts w:ascii="Lato" w:hAnsi="Lato"/>
          <w:i/>
          <w:sz w:val="20"/>
          <w:szCs w:val="20"/>
        </w:rPr>
        <w:t xml:space="preserve"> – Creative </w:t>
      </w:r>
      <w:proofErr w:type="spellStart"/>
      <w:r w:rsidRPr="004F5101">
        <w:rPr>
          <w:rFonts w:ascii="Lato" w:hAnsi="Lato"/>
          <w:i/>
          <w:sz w:val="20"/>
          <w:szCs w:val="20"/>
        </w:rPr>
        <w:t>Community</w:t>
      </w:r>
      <w:proofErr w:type="spellEnd"/>
      <w:r w:rsidRPr="004F5101">
        <w:rPr>
          <w:rFonts w:ascii="Lato" w:hAnsi="Lato"/>
          <w:i/>
          <w:sz w:val="20"/>
          <w:szCs w:val="20"/>
        </w:rPr>
        <w:t xml:space="preserve"> </w:t>
      </w:r>
      <w:proofErr w:type="spellStart"/>
      <w:r w:rsidRPr="004F5101">
        <w:rPr>
          <w:rFonts w:ascii="Lato" w:hAnsi="Lato"/>
          <w:i/>
          <w:sz w:val="20"/>
          <w:szCs w:val="20"/>
        </w:rPr>
        <w:t>Evolution</w:t>
      </w:r>
      <w:proofErr w:type="spellEnd"/>
      <w:r w:rsidRPr="004F5101">
        <w:rPr>
          <w:rFonts w:ascii="Lato" w:hAnsi="Lato"/>
          <w:sz w:val="20"/>
          <w:szCs w:val="20"/>
        </w:rPr>
        <w:t xml:space="preserve"> – celem projektu było łączenie przedstawicieli różnych grup wiekowych, w tym seniorów, by powstałe produkcje miały wymiar międzypokoleniowy;</w:t>
      </w:r>
    </w:p>
    <w:p w14:paraId="591412B1"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Stowarzyszenie Obszar Metropolitalny Gdańsk-Gdynia-Sopot – </w:t>
      </w:r>
      <w:r w:rsidRPr="004F5101">
        <w:rPr>
          <w:rFonts w:ascii="Lato" w:hAnsi="Lato"/>
          <w:i/>
          <w:sz w:val="20"/>
          <w:szCs w:val="20"/>
        </w:rPr>
        <w:t>Kultura włącza</w:t>
      </w:r>
      <w:r w:rsidRPr="004F5101">
        <w:rPr>
          <w:rFonts w:ascii="Lato" w:hAnsi="Lato"/>
          <w:sz w:val="20"/>
          <w:szCs w:val="20"/>
        </w:rPr>
        <w:t xml:space="preserve"> – w ramach projektu ok. 300 pracowników sektora kultury zwiększyło wiedzę i otrzymało konkretne narzędzia, dzięki którym poszerzono grupę odbiorców oferty bibliotek i domów kultury o m.in. seniorów;</w:t>
      </w:r>
    </w:p>
    <w:p w14:paraId="721DF706"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Gdański Teatr Szekspirowski – </w:t>
      </w:r>
      <w:r w:rsidRPr="004F5101">
        <w:rPr>
          <w:rFonts w:ascii="Lato" w:hAnsi="Lato"/>
          <w:i/>
          <w:sz w:val="20"/>
          <w:szCs w:val="20"/>
        </w:rPr>
        <w:t xml:space="preserve">SZTUKA </w:t>
      </w:r>
      <w:proofErr w:type="spellStart"/>
      <w:r w:rsidRPr="004F5101">
        <w:rPr>
          <w:rFonts w:ascii="Lato" w:hAnsi="Lato"/>
          <w:i/>
          <w:sz w:val="20"/>
          <w:szCs w:val="20"/>
        </w:rPr>
        <w:t>współTWORZENIA</w:t>
      </w:r>
      <w:proofErr w:type="spellEnd"/>
      <w:r w:rsidRPr="004F5101">
        <w:rPr>
          <w:rFonts w:ascii="Lato" w:hAnsi="Lato"/>
          <w:sz w:val="20"/>
          <w:szCs w:val="20"/>
        </w:rPr>
        <w:t xml:space="preserve"> – w ramach projektu organizowano różnorodne zajęcia m.in. dla seniorów, którzy zostali zaproszeni do współtworzenia projektu;</w:t>
      </w:r>
    </w:p>
    <w:p w14:paraId="029AA283"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Narodowe Forum Muzyki – wolontariat m.in. wśród seniorów, a także projekty </w:t>
      </w:r>
      <w:r w:rsidRPr="004F5101">
        <w:rPr>
          <w:rFonts w:ascii="Lato" w:hAnsi="Lato"/>
          <w:i/>
          <w:sz w:val="20"/>
          <w:szCs w:val="20"/>
        </w:rPr>
        <w:t>Wrocławskie Dni Seniora</w:t>
      </w:r>
      <w:r w:rsidRPr="004F5101">
        <w:rPr>
          <w:rFonts w:ascii="Lato" w:hAnsi="Lato"/>
          <w:sz w:val="20"/>
          <w:szCs w:val="20"/>
        </w:rPr>
        <w:t xml:space="preserve"> i </w:t>
      </w:r>
      <w:r w:rsidRPr="004F5101">
        <w:rPr>
          <w:rFonts w:ascii="Lato" w:hAnsi="Lato"/>
          <w:i/>
          <w:sz w:val="20"/>
          <w:szCs w:val="20"/>
        </w:rPr>
        <w:t>Chór Melomana</w:t>
      </w:r>
      <w:r w:rsidRPr="004F5101">
        <w:rPr>
          <w:rFonts w:ascii="Lato" w:hAnsi="Lato"/>
          <w:sz w:val="20"/>
          <w:szCs w:val="20"/>
        </w:rPr>
        <w:t>;</w:t>
      </w:r>
    </w:p>
    <w:p w14:paraId="01591C7D"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 xml:space="preserve">Teatr Narodowy – projekt </w:t>
      </w:r>
      <w:r w:rsidRPr="004F5101">
        <w:rPr>
          <w:rFonts w:ascii="Lato" w:hAnsi="Lato"/>
          <w:i/>
          <w:sz w:val="20"/>
          <w:szCs w:val="20"/>
        </w:rPr>
        <w:t>Teatr dla Seniora</w:t>
      </w:r>
      <w:r w:rsidRPr="004F5101">
        <w:rPr>
          <w:rFonts w:ascii="Lato" w:hAnsi="Lato"/>
          <w:sz w:val="20"/>
          <w:szCs w:val="20"/>
        </w:rPr>
        <w:t>, w ramach którego w 2022 roku odbyło się 70 pokazów spektakli w całości wypełnionych seniorską publicznością. Projekt cieszy się bardzo dużym powodzeniem wśród starszych osób;</w:t>
      </w:r>
    </w:p>
    <w:p w14:paraId="52A690EC" w14:textId="77777777" w:rsidR="0038028E" w:rsidRPr="004F5101" w:rsidRDefault="0038028E" w:rsidP="004F5101">
      <w:pPr>
        <w:pStyle w:val="Akapitzlist"/>
        <w:numPr>
          <w:ilvl w:val="0"/>
          <w:numId w:val="154"/>
        </w:numPr>
        <w:tabs>
          <w:tab w:val="left" w:pos="6930"/>
        </w:tabs>
        <w:spacing w:after="0" w:line="240" w:lineRule="auto"/>
        <w:jc w:val="both"/>
        <w:rPr>
          <w:rFonts w:ascii="Lato" w:hAnsi="Lato"/>
          <w:sz w:val="20"/>
          <w:szCs w:val="20"/>
        </w:rPr>
      </w:pPr>
      <w:r w:rsidRPr="004F5101">
        <w:rPr>
          <w:rFonts w:ascii="Lato" w:hAnsi="Lato"/>
          <w:sz w:val="20"/>
          <w:szCs w:val="20"/>
        </w:rPr>
        <w:t>Centrum Rzeźby Polskiej w Orońsku – cykl warsztatów ceramicznych skierowanych przede wszystkim do lokalnych seniorów zrzeszonych w Klubie Seniora Plus w Orońsku. Cykliczne spotkania odbywały się przez cały rok i miały za zadanie zapoznanie się z warsztatem ceramika i całym procesem ceramicznym;</w:t>
      </w:r>
    </w:p>
    <w:p w14:paraId="5B129055" w14:textId="77777777" w:rsidR="0038028E" w:rsidRPr="004F5101" w:rsidRDefault="0038028E" w:rsidP="004F5101">
      <w:pPr>
        <w:pStyle w:val="Akapitzlist"/>
        <w:numPr>
          <w:ilvl w:val="0"/>
          <w:numId w:val="154"/>
        </w:numPr>
        <w:spacing w:after="0" w:line="240" w:lineRule="auto"/>
        <w:jc w:val="both"/>
        <w:rPr>
          <w:rFonts w:ascii="Lato" w:eastAsia="MS Mincho" w:hAnsi="Lato" w:cstheme="minorHAnsi"/>
          <w:b/>
          <w:sz w:val="20"/>
          <w:szCs w:val="20"/>
          <w:u w:val="single"/>
        </w:rPr>
      </w:pPr>
      <w:r w:rsidRPr="004F5101">
        <w:rPr>
          <w:rFonts w:ascii="Lato" w:hAnsi="Lato" w:cstheme="minorHAnsi"/>
          <w:sz w:val="20"/>
          <w:szCs w:val="20"/>
        </w:rPr>
        <w:t>Zakład Narodowy im. Ossolińskich – w 2022 r. Ossolineum zorganizowało dla seniorów plenery malarskie, rysunku i rzeźby. Uczestnicy warsztatów mogli zapoznać się z podstawami wiedzy z zakresu historii sztuki i technikami tworzenia dzieł;</w:t>
      </w:r>
    </w:p>
    <w:p w14:paraId="7237FB78" w14:textId="77777777" w:rsidR="0038028E" w:rsidRPr="004F5101" w:rsidRDefault="0038028E" w:rsidP="004F5101">
      <w:pPr>
        <w:pStyle w:val="Akapitzlist"/>
        <w:numPr>
          <w:ilvl w:val="0"/>
          <w:numId w:val="154"/>
        </w:numPr>
        <w:spacing w:after="0" w:line="240" w:lineRule="auto"/>
        <w:jc w:val="both"/>
        <w:rPr>
          <w:rFonts w:ascii="Lato" w:eastAsia="MS Mincho" w:hAnsi="Lato" w:cstheme="minorHAnsi"/>
          <w:b/>
          <w:sz w:val="20"/>
          <w:szCs w:val="20"/>
          <w:u w:val="single"/>
        </w:rPr>
      </w:pPr>
      <w:r w:rsidRPr="004F5101">
        <w:rPr>
          <w:rFonts w:ascii="Lato" w:eastAsia="MS Mincho" w:hAnsi="Lato" w:cstheme="minorHAnsi"/>
          <w:sz w:val="20"/>
          <w:szCs w:val="20"/>
        </w:rPr>
        <w:t>Biblioteka Narodowa –</w:t>
      </w:r>
      <w:r w:rsidRPr="004F5101">
        <w:rPr>
          <w:rFonts w:ascii="Lato" w:eastAsia="MS Mincho" w:hAnsi="Lato" w:cstheme="minorHAnsi"/>
          <w:b/>
          <w:sz w:val="20"/>
          <w:szCs w:val="20"/>
          <w:u w:val="single"/>
        </w:rPr>
        <w:t xml:space="preserve"> </w:t>
      </w:r>
      <w:r w:rsidRPr="004F5101">
        <w:rPr>
          <w:rFonts w:ascii="Lato" w:hAnsi="Lato" w:cstheme="minorHAnsi"/>
          <w:sz w:val="20"/>
          <w:szCs w:val="20"/>
        </w:rPr>
        <w:t>od 24 lutego 2022 r. udostępnione zostały zmodernizowane czytelnie, zakupiono czterokrotnie więcej książek z wolnym dostępem dla czytelników. Przestrzeń czytelni została zaprojektowana bez żadnych barier architektonicznych. Osoby niesłyszące lub słabosłyszące mogą korzystać z pętli indukcyjnej.</w:t>
      </w:r>
    </w:p>
    <w:p w14:paraId="1050962F" w14:textId="77777777" w:rsidR="00654750" w:rsidRPr="004F5101" w:rsidRDefault="00654750" w:rsidP="004F5101">
      <w:pPr>
        <w:spacing w:after="0" w:line="240" w:lineRule="auto"/>
        <w:jc w:val="both"/>
        <w:rPr>
          <w:rFonts w:ascii="Lato" w:hAnsi="Lato" w:cstheme="majorHAnsi"/>
          <w:sz w:val="20"/>
          <w:szCs w:val="20"/>
        </w:rPr>
      </w:pPr>
    </w:p>
    <w:p w14:paraId="68B72EB1" w14:textId="5A47D203" w:rsidR="0038028E" w:rsidRPr="004F5101" w:rsidRDefault="0038028E" w:rsidP="004F5101">
      <w:pPr>
        <w:spacing w:after="0" w:line="240" w:lineRule="auto"/>
        <w:jc w:val="both"/>
        <w:rPr>
          <w:rFonts w:ascii="Lato" w:hAnsi="Lato" w:cstheme="majorHAnsi"/>
          <w:sz w:val="20"/>
          <w:szCs w:val="20"/>
        </w:rPr>
      </w:pPr>
      <w:r w:rsidRPr="004F5101">
        <w:rPr>
          <w:rFonts w:ascii="Lato" w:hAnsi="Lato" w:cstheme="majorHAnsi"/>
          <w:sz w:val="20"/>
          <w:szCs w:val="20"/>
        </w:rPr>
        <w:t xml:space="preserve">Stałe działania prowadzą również uczelnie artystyczne, organizując wydarzenia artystyczne dostępne dla szerokiej publiczności lub adresowane do osób starszych, jak również prowadząc programy edukacji artystycznej kierowane do seniorów. Edukacja przybiera formę artystycznych uniwersytetów trzeciego wieku, w tym m.in.: </w:t>
      </w:r>
    </w:p>
    <w:p w14:paraId="56871F21"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Uniwersytet Artystyczny Trzeciego Wieku (Uniwersytet Artystyczny w Poznaniu);</w:t>
      </w:r>
    </w:p>
    <w:p w14:paraId="18C2253C"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Akademia Kreatywnego Seniora (Akademia Sztuk Pięknych w Łodzi);</w:t>
      </w:r>
    </w:p>
    <w:p w14:paraId="6B1B2604"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Akademia Otwarta – dorośli do sztuki (Towarzystwo Przyjaciół ASP wraz z Akademią Sztuk Pięknych w Warszawie);</w:t>
      </w:r>
    </w:p>
    <w:p w14:paraId="0B8E62A4"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 xml:space="preserve">otwarte warsztaty artystyczne dla seniorów w ramach projektu </w:t>
      </w:r>
      <w:r w:rsidRPr="004F5101">
        <w:rPr>
          <w:rFonts w:ascii="Lato" w:hAnsi="Lato" w:cstheme="majorHAnsi"/>
          <w:i/>
          <w:sz w:val="20"/>
          <w:szCs w:val="20"/>
        </w:rPr>
        <w:t>Zbrojownia Sztuki</w:t>
      </w:r>
      <w:r w:rsidRPr="004F5101">
        <w:rPr>
          <w:rFonts w:ascii="Lato" w:hAnsi="Lato" w:cstheme="majorHAnsi"/>
          <w:sz w:val="20"/>
          <w:szCs w:val="20"/>
        </w:rPr>
        <w:t xml:space="preserve"> (Akademia Sztuk Pięknych w Gdańsku);</w:t>
      </w:r>
    </w:p>
    <w:p w14:paraId="706AD25E"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Otwarta Akademia Muzyczna (Akademia Muzyczna im. Karola Lipińskiego we Wrocławiu);</w:t>
      </w:r>
    </w:p>
    <w:p w14:paraId="4D15411B"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Muzyczna Akademia Seniora (Akademia Muzyczna w Katowicach);</w:t>
      </w:r>
    </w:p>
    <w:p w14:paraId="436F8472" w14:textId="77777777" w:rsidR="0038028E" w:rsidRPr="004F5101" w:rsidRDefault="0038028E" w:rsidP="004F5101">
      <w:pPr>
        <w:pStyle w:val="Akapitzlist"/>
        <w:numPr>
          <w:ilvl w:val="0"/>
          <w:numId w:val="153"/>
        </w:numPr>
        <w:spacing w:after="0" w:line="240" w:lineRule="auto"/>
        <w:jc w:val="both"/>
        <w:rPr>
          <w:rFonts w:ascii="Lato" w:hAnsi="Lato" w:cstheme="majorHAnsi"/>
          <w:sz w:val="20"/>
          <w:szCs w:val="20"/>
        </w:rPr>
      </w:pPr>
      <w:r w:rsidRPr="004F5101">
        <w:rPr>
          <w:rFonts w:ascii="Lato" w:hAnsi="Lato" w:cstheme="majorHAnsi"/>
          <w:sz w:val="20"/>
          <w:szCs w:val="20"/>
        </w:rPr>
        <w:t xml:space="preserve">projekt </w:t>
      </w:r>
      <w:r w:rsidRPr="004F5101">
        <w:rPr>
          <w:rFonts w:ascii="Lato" w:hAnsi="Lato" w:cstheme="majorHAnsi"/>
          <w:i/>
          <w:sz w:val="20"/>
          <w:szCs w:val="20"/>
        </w:rPr>
        <w:t>Agora Nestora</w:t>
      </w:r>
      <w:r w:rsidRPr="004F5101">
        <w:rPr>
          <w:rFonts w:ascii="Lato" w:hAnsi="Lato" w:cstheme="majorHAnsi"/>
          <w:sz w:val="20"/>
          <w:szCs w:val="20"/>
        </w:rPr>
        <w:t xml:space="preserve"> (Akademia Muzyczna w Bydgoszczy we współpracy z Miejskim Centrum Kultury).</w:t>
      </w:r>
    </w:p>
    <w:p w14:paraId="175AA0D6" w14:textId="77777777" w:rsidR="00654750" w:rsidRPr="004F5101" w:rsidRDefault="00654750" w:rsidP="004F5101">
      <w:pPr>
        <w:spacing w:after="0" w:line="240" w:lineRule="auto"/>
        <w:jc w:val="both"/>
        <w:rPr>
          <w:rFonts w:ascii="Lato" w:hAnsi="Lato"/>
          <w:sz w:val="20"/>
          <w:szCs w:val="20"/>
        </w:rPr>
      </w:pPr>
    </w:p>
    <w:p w14:paraId="2838E8E0" w14:textId="4153BF2F" w:rsidR="0038028E" w:rsidRPr="004F5101" w:rsidRDefault="0038028E" w:rsidP="004F5101">
      <w:pPr>
        <w:spacing w:after="0" w:line="240" w:lineRule="auto"/>
        <w:jc w:val="both"/>
        <w:rPr>
          <w:rFonts w:ascii="Lato" w:hAnsi="Lato"/>
          <w:sz w:val="20"/>
          <w:szCs w:val="20"/>
        </w:rPr>
      </w:pPr>
      <w:r w:rsidRPr="004F5101">
        <w:rPr>
          <w:rFonts w:ascii="Lato" w:hAnsi="Lato"/>
          <w:sz w:val="20"/>
          <w:szCs w:val="20"/>
        </w:rPr>
        <w:t>Podobnie jak w latach ubiegłych w zakresie kompetencji ministra związanych z architekturą i estetyką przestrzeni publicznej instytucje podejmowały działania propagujące przedsięwzięcia, których obszar działalności związany był z problematyką projektowania przestrzeni publicznej</w:t>
      </w:r>
      <w:r w:rsidR="00654750" w:rsidRPr="004F5101">
        <w:rPr>
          <w:rFonts w:ascii="Lato" w:hAnsi="Lato"/>
          <w:sz w:val="20"/>
          <w:szCs w:val="20"/>
        </w:rPr>
        <w:t xml:space="preserve"> </w:t>
      </w:r>
      <w:r w:rsidRPr="004F5101">
        <w:rPr>
          <w:rFonts w:ascii="Lato" w:hAnsi="Lato"/>
          <w:sz w:val="20"/>
          <w:szCs w:val="20"/>
        </w:rPr>
        <w:t xml:space="preserve">z uwzględnieniem potrzeb </w:t>
      </w:r>
      <w:r w:rsidRPr="004F5101">
        <w:rPr>
          <w:rFonts w:ascii="Lato" w:hAnsi="Lato"/>
          <w:sz w:val="20"/>
          <w:szCs w:val="20"/>
        </w:rPr>
        <w:lastRenderedPageBreak/>
        <w:t>osób starszych. Działania te realizowane były przede wszystkim przez Narodowy Instytut Architektury i Urbanistyki (NIAU).</w:t>
      </w:r>
    </w:p>
    <w:p w14:paraId="0475F426" w14:textId="77777777" w:rsidR="00654750" w:rsidRPr="004F5101" w:rsidRDefault="00654750" w:rsidP="004F5101">
      <w:pPr>
        <w:tabs>
          <w:tab w:val="left" w:pos="709"/>
        </w:tabs>
        <w:spacing w:after="0" w:line="240" w:lineRule="auto"/>
        <w:jc w:val="both"/>
        <w:rPr>
          <w:rFonts w:ascii="Lato" w:hAnsi="Lato"/>
          <w:sz w:val="20"/>
          <w:szCs w:val="20"/>
        </w:rPr>
      </w:pPr>
    </w:p>
    <w:p w14:paraId="2A4A9C96" w14:textId="21F98373" w:rsidR="0038028E" w:rsidRPr="004F5101" w:rsidRDefault="0038028E" w:rsidP="004F5101">
      <w:pPr>
        <w:tabs>
          <w:tab w:val="left" w:pos="709"/>
        </w:tabs>
        <w:spacing w:after="0" w:line="240" w:lineRule="auto"/>
        <w:jc w:val="both"/>
        <w:rPr>
          <w:rFonts w:ascii="Lato" w:hAnsi="Lato"/>
          <w:sz w:val="20"/>
          <w:szCs w:val="20"/>
        </w:rPr>
      </w:pPr>
      <w:r w:rsidRPr="004F5101">
        <w:rPr>
          <w:rFonts w:ascii="Lato" w:hAnsi="Lato"/>
          <w:sz w:val="20"/>
          <w:szCs w:val="20"/>
        </w:rPr>
        <w:t>W 2022 r</w:t>
      </w:r>
      <w:r w:rsidR="00654750" w:rsidRPr="004F5101">
        <w:rPr>
          <w:rFonts w:ascii="Lato" w:hAnsi="Lato"/>
          <w:sz w:val="20"/>
          <w:szCs w:val="20"/>
        </w:rPr>
        <w:t xml:space="preserve">. </w:t>
      </w:r>
      <w:r w:rsidRPr="004F5101">
        <w:rPr>
          <w:rFonts w:ascii="Lato" w:hAnsi="Lato"/>
          <w:sz w:val="20"/>
          <w:szCs w:val="20"/>
        </w:rPr>
        <w:t xml:space="preserve">kontynuowana była także realizacja </w:t>
      </w:r>
      <w:r w:rsidRPr="004F5101">
        <w:rPr>
          <w:rFonts w:ascii="Lato" w:hAnsi="Lato"/>
          <w:i/>
          <w:sz w:val="20"/>
          <w:szCs w:val="20"/>
        </w:rPr>
        <w:t xml:space="preserve">Narodowego Programu Rozwoju Czytelnictwa 2.0 na lata 2021-2025. </w:t>
      </w:r>
      <w:r w:rsidRPr="004F5101">
        <w:rPr>
          <w:rFonts w:ascii="Lato" w:hAnsi="Lato"/>
          <w:sz w:val="20"/>
          <w:szCs w:val="20"/>
        </w:rPr>
        <w:t>W ramach jego</w:t>
      </w:r>
      <w:r w:rsidRPr="004F5101">
        <w:rPr>
          <w:rFonts w:ascii="Lato" w:hAnsi="Lato"/>
          <w:i/>
          <w:sz w:val="20"/>
          <w:szCs w:val="20"/>
        </w:rPr>
        <w:t xml:space="preserve"> Priorytetu 4 - Kierunek interwencji 4.1.  BLISKO – Biblioteka | Lokalność | Inicjatywy | Społeczność | Kooperacja | Oddolność</w:t>
      </w:r>
      <w:r w:rsidRPr="004F5101">
        <w:rPr>
          <w:rFonts w:ascii="Lato" w:hAnsi="Lato"/>
          <w:sz w:val="20"/>
          <w:szCs w:val="20"/>
        </w:rPr>
        <w:t xml:space="preserve"> realizowane są zadania rozwijające funkcjonalności bibliotek jako instytucji działających na rzecz integracji społecznej osób zagrożonych wykluczeniem z kultury, które mogą podejmować nowe aktywności, spędzać czas wolny, czy uczestniczyć w wydarzeniach kulturalnych. Działania tego Priorytetu również i w tym przypadku nie wykluczają udziału osób starszych.</w:t>
      </w:r>
    </w:p>
    <w:p w14:paraId="0706722B" w14:textId="77777777" w:rsidR="00654750" w:rsidRPr="004F5101" w:rsidRDefault="00654750" w:rsidP="004F5101">
      <w:pPr>
        <w:tabs>
          <w:tab w:val="left" w:pos="284"/>
        </w:tabs>
        <w:spacing w:after="0" w:line="240" w:lineRule="auto"/>
        <w:jc w:val="both"/>
        <w:rPr>
          <w:rFonts w:ascii="Lato" w:hAnsi="Lato"/>
          <w:b/>
          <w:sz w:val="20"/>
          <w:szCs w:val="20"/>
          <w:u w:val="single"/>
        </w:rPr>
      </w:pPr>
    </w:p>
    <w:p w14:paraId="0B65FDB6" w14:textId="0F273620" w:rsidR="0038028E" w:rsidRPr="004F5101" w:rsidRDefault="00811520" w:rsidP="004F5101">
      <w:pPr>
        <w:tabs>
          <w:tab w:val="left" w:pos="284"/>
        </w:tabs>
        <w:spacing w:after="0" w:line="240" w:lineRule="auto"/>
        <w:jc w:val="both"/>
        <w:rPr>
          <w:rFonts w:ascii="Lato" w:hAnsi="Lato"/>
          <w:b/>
          <w:color w:val="2F5496" w:themeColor="accent1" w:themeShade="BF"/>
          <w:sz w:val="20"/>
          <w:szCs w:val="20"/>
        </w:rPr>
      </w:pPr>
      <w:r w:rsidRPr="004F5101">
        <w:rPr>
          <w:rFonts w:ascii="Lato" w:hAnsi="Lato"/>
          <w:b/>
          <w:color w:val="2F5496" w:themeColor="accent1" w:themeShade="BF"/>
          <w:sz w:val="20"/>
          <w:szCs w:val="20"/>
        </w:rPr>
        <w:t>Współpraca międzysektorowa</w:t>
      </w:r>
    </w:p>
    <w:p w14:paraId="00041279" w14:textId="77777777" w:rsidR="00654750" w:rsidRPr="004F5101" w:rsidRDefault="0038028E" w:rsidP="004F5101">
      <w:pPr>
        <w:tabs>
          <w:tab w:val="left" w:pos="6930"/>
        </w:tabs>
        <w:spacing w:after="0" w:line="240" w:lineRule="auto"/>
        <w:jc w:val="both"/>
        <w:rPr>
          <w:rFonts w:ascii="Lato" w:hAnsi="Lato"/>
          <w:sz w:val="20"/>
          <w:szCs w:val="20"/>
        </w:rPr>
      </w:pPr>
      <w:r w:rsidRPr="004F5101">
        <w:rPr>
          <w:rFonts w:ascii="Lato" w:hAnsi="Lato"/>
          <w:sz w:val="20"/>
          <w:szCs w:val="20"/>
        </w:rPr>
        <w:t>Istotnym elementem wspierania aktywności seniorów w kulturze jest współpraca instytucji kultury z organizacjami pozarządowymi zrzeszającymi seniorów, działającymi na ich rzecz oraz podmiotami sektora opieki społecznej, opieki zdrowotnej, kościołami i związkami wyznaniowymi.</w:t>
      </w:r>
    </w:p>
    <w:p w14:paraId="7D3B321C" w14:textId="77777777" w:rsidR="00654750" w:rsidRPr="004F5101" w:rsidRDefault="00654750" w:rsidP="004F5101">
      <w:pPr>
        <w:tabs>
          <w:tab w:val="left" w:pos="6930"/>
        </w:tabs>
        <w:spacing w:after="0" w:line="240" w:lineRule="auto"/>
        <w:jc w:val="both"/>
        <w:rPr>
          <w:rFonts w:ascii="Lato" w:hAnsi="Lato"/>
          <w:sz w:val="20"/>
          <w:szCs w:val="20"/>
        </w:rPr>
      </w:pPr>
    </w:p>
    <w:p w14:paraId="0AE17B8C" w14:textId="6F8D0537" w:rsidR="0038028E" w:rsidRPr="004F5101" w:rsidRDefault="0038028E" w:rsidP="004F5101">
      <w:pPr>
        <w:tabs>
          <w:tab w:val="left" w:pos="6930"/>
        </w:tabs>
        <w:spacing w:after="0" w:line="240" w:lineRule="auto"/>
        <w:jc w:val="both"/>
        <w:rPr>
          <w:rFonts w:ascii="Lato" w:hAnsi="Lato"/>
          <w:sz w:val="20"/>
          <w:szCs w:val="20"/>
        </w:rPr>
      </w:pPr>
      <w:r w:rsidRPr="004F5101">
        <w:rPr>
          <w:rFonts w:ascii="Lato" w:hAnsi="Lato"/>
          <w:sz w:val="20"/>
          <w:szCs w:val="20"/>
        </w:rPr>
        <w:t>Najważniejszą rolę w tym współdziałaniu odgrywają Uniwersytety Trzeciego Wieku (UTW). Duża część instytucji kultury stale współdziała z UTW z danej miejscowości. Współpraca ta polega na likwidacji barier uczestnictwa (tańsze lub darmowe bilety), dostosowywaniu oferty kulturalnej do potrzeb seniorów oraz przygotowaniu ofert specjalnych dla UTW. Część instytucji kultury realizuje działania dla seniorów również we współpracy ze związkami kombatantów, klubami seniora, stowarzyszeniami oraz domami pomocy społecznej.</w:t>
      </w:r>
    </w:p>
    <w:p w14:paraId="100DF39D" w14:textId="77777777" w:rsidR="003D03EE" w:rsidRPr="004F5101" w:rsidRDefault="003D03EE" w:rsidP="004F5101">
      <w:pPr>
        <w:tabs>
          <w:tab w:val="left" w:pos="6930"/>
        </w:tabs>
        <w:spacing w:after="0" w:line="240" w:lineRule="auto"/>
        <w:jc w:val="both"/>
        <w:rPr>
          <w:rFonts w:ascii="Lato" w:hAnsi="Lato"/>
          <w:sz w:val="20"/>
          <w:szCs w:val="20"/>
        </w:rPr>
      </w:pPr>
    </w:p>
    <w:p w14:paraId="3B666076" w14:textId="39D1FDF5" w:rsidR="008820EF" w:rsidRPr="00DB2792" w:rsidRDefault="00781EA1" w:rsidP="004F5101">
      <w:pPr>
        <w:pStyle w:val="Nagwek2"/>
        <w:rPr>
          <w:b/>
          <w:bCs/>
        </w:rPr>
      </w:pPr>
      <w:bookmarkStart w:id="51" w:name="_Toc142565936"/>
      <w:r w:rsidRPr="00DB2792">
        <w:rPr>
          <w:b/>
          <w:bCs/>
        </w:rPr>
        <w:t>Ministerstwo Rodziny i Polityki Społecznej</w:t>
      </w:r>
      <w:bookmarkEnd w:id="51"/>
    </w:p>
    <w:p w14:paraId="5800214C" w14:textId="0FE0091B" w:rsidR="009D3308" w:rsidRPr="001E005B" w:rsidRDefault="008820EF" w:rsidP="008820EF">
      <w:pPr>
        <w:spacing w:after="0" w:line="240" w:lineRule="auto"/>
        <w:jc w:val="both"/>
        <w:rPr>
          <w:rFonts w:ascii="Lato" w:hAnsi="Lato" w:cs="Times New Roman"/>
          <w:i/>
          <w:sz w:val="20"/>
          <w:szCs w:val="20"/>
        </w:rPr>
      </w:pPr>
      <w:r w:rsidRPr="001E005B">
        <w:rPr>
          <w:rFonts w:ascii="Lato" w:hAnsi="Lato" w:cs="Times New Roman"/>
          <w:sz w:val="20"/>
          <w:szCs w:val="20"/>
        </w:rPr>
        <w:t>Polityka senioralna odpowiadająca na potrzeby osób starszych stanowi dla Rady Ministrów jeden z priorytetów. Ministerstwo Rodziny i Polityki Społecznej realizuje szereg inicjatyw, które oddziałują na poprawę jakości życia seniorów</w:t>
      </w:r>
      <w:r w:rsidR="001E005B" w:rsidRPr="001E005B">
        <w:rPr>
          <w:rFonts w:ascii="Lato" w:hAnsi="Lato" w:cs="Times New Roman"/>
          <w:sz w:val="20"/>
          <w:szCs w:val="20"/>
        </w:rPr>
        <w:t>.</w:t>
      </w:r>
    </w:p>
    <w:p w14:paraId="5E5F5DB2" w14:textId="77777777" w:rsidR="009D3308" w:rsidRPr="009D3308" w:rsidRDefault="009D3308" w:rsidP="008820EF">
      <w:pPr>
        <w:spacing w:after="0" w:line="240" w:lineRule="auto"/>
        <w:jc w:val="both"/>
        <w:rPr>
          <w:rFonts w:ascii="Lato" w:hAnsi="Lato" w:cs="Times New Roman"/>
          <w:i/>
          <w:sz w:val="20"/>
          <w:szCs w:val="20"/>
          <w:highlight w:val="yellow"/>
        </w:rPr>
      </w:pPr>
    </w:p>
    <w:p w14:paraId="776471FD" w14:textId="77777777" w:rsidR="001E005B" w:rsidRDefault="001E005B" w:rsidP="001E005B">
      <w:pPr>
        <w:autoSpaceDE w:val="0"/>
        <w:autoSpaceDN w:val="0"/>
        <w:adjustRightInd w:val="0"/>
        <w:spacing w:after="0" w:line="240" w:lineRule="auto"/>
        <w:jc w:val="both"/>
        <w:rPr>
          <w:rFonts w:ascii="Lato" w:hAnsi="Lato" w:cs="TimesNewRomanPSMT"/>
          <w:sz w:val="20"/>
          <w:szCs w:val="20"/>
        </w:rPr>
      </w:pPr>
      <w:r w:rsidRPr="001E005B">
        <w:rPr>
          <w:rFonts w:ascii="Lato" w:hAnsi="Lato" w:cs="TimesNewRomanPSMT"/>
          <w:sz w:val="20"/>
          <w:szCs w:val="20"/>
        </w:rPr>
        <w:t>Wsparciem dla osób zainteresowanych dalszym, aktywnym uczestnictwem w życiu społecznym</w:t>
      </w:r>
      <w:r>
        <w:rPr>
          <w:rFonts w:ascii="Lato" w:hAnsi="Lato" w:cs="TimesNewRomanPSMT"/>
          <w:sz w:val="20"/>
          <w:szCs w:val="20"/>
        </w:rPr>
        <w:t xml:space="preserve"> </w:t>
      </w:r>
      <w:r w:rsidRPr="001E005B">
        <w:rPr>
          <w:rFonts w:ascii="Lato" w:hAnsi="Lato" w:cs="TimesNewRomanPSMT"/>
          <w:sz w:val="20"/>
          <w:szCs w:val="20"/>
        </w:rPr>
        <w:t>jest</w:t>
      </w:r>
      <w:r>
        <w:rPr>
          <w:rFonts w:ascii="Lato" w:hAnsi="Lato" w:cs="TimesNewRomanPSMT"/>
          <w:sz w:val="20"/>
          <w:szCs w:val="20"/>
        </w:rPr>
        <w:t xml:space="preserve"> </w:t>
      </w:r>
      <w:r w:rsidRPr="001E005B">
        <w:rPr>
          <w:rFonts w:ascii="Lato" w:hAnsi="Lato" w:cs="TimesNewRomanPSMT"/>
          <w:sz w:val="20"/>
          <w:szCs w:val="20"/>
        </w:rPr>
        <w:t>realizacja programów rządowych skierowanych do osób starszych. Osoby w podeszłym</w:t>
      </w:r>
      <w:r>
        <w:rPr>
          <w:rFonts w:ascii="Lato" w:hAnsi="Lato" w:cs="TimesNewRomanPSMT"/>
          <w:sz w:val="20"/>
          <w:szCs w:val="20"/>
        </w:rPr>
        <w:t xml:space="preserve"> </w:t>
      </w:r>
      <w:r w:rsidRPr="001E005B">
        <w:rPr>
          <w:rFonts w:ascii="Lato" w:hAnsi="Lato" w:cs="TimesNewRomanPSMT"/>
          <w:sz w:val="20"/>
          <w:szCs w:val="20"/>
        </w:rPr>
        <w:t>wieku coraz częściej mają potrzebę rozwijania swoich zainteresowań oraz aktywnego spędzania</w:t>
      </w:r>
      <w:r>
        <w:rPr>
          <w:rFonts w:ascii="Lato" w:hAnsi="Lato" w:cs="TimesNewRomanPSMT"/>
          <w:sz w:val="20"/>
          <w:szCs w:val="20"/>
        </w:rPr>
        <w:t xml:space="preserve"> </w:t>
      </w:r>
      <w:r w:rsidRPr="001E005B">
        <w:rPr>
          <w:rFonts w:ascii="Lato" w:hAnsi="Lato" w:cs="TimesNewRomanPSMT"/>
          <w:sz w:val="20"/>
          <w:szCs w:val="20"/>
        </w:rPr>
        <w:t>czasu wśród sąsiadów</w:t>
      </w:r>
      <w:r>
        <w:rPr>
          <w:rFonts w:ascii="Lato" w:hAnsi="Lato" w:cs="TimesNewRomanPSMT"/>
          <w:sz w:val="20"/>
          <w:szCs w:val="20"/>
        </w:rPr>
        <w:t xml:space="preserve"> </w:t>
      </w:r>
      <w:r w:rsidRPr="001E005B">
        <w:rPr>
          <w:rFonts w:ascii="Lato" w:hAnsi="Lato" w:cs="TimesNewRomanPSMT"/>
          <w:sz w:val="20"/>
          <w:szCs w:val="20"/>
        </w:rPr>
        <w:t>i znajomych. Ministerstwo Rodziny i Polityki Społecznej realizuje także</w:t>
      </w:r>
      <w:r>
        <w:rPr>
          <w:rFonts w:ascii="Lato" w:hAnsi="Lato" w:cs="TimesNewRomanPSMT"/>
          <w:sz w:val="20"/>
          <w:szCs w:val="20"/>
        </w:rPr>
        <w:t xml:space="preserve"> </w:t>
      </w:r>
      <w:r w:rsidRPr="001E005B">
        <w:rPr>
          <w:rFonts w:ascii="Lato" w:hAnsi="Lato" w:cs="TimesNewRomanPSMT"/>
          <w:sz w:val="20"/>
          <w:szCs w:val="20"/>
        </w:rPr>
        <w:t>programy, których beneficjentami są osoby wymagające codziennego wsparcia wraz</w:t>
      </w:r>
      <w:r>
        <w:rPr>
          <w:rFonts w:ascii="Lato" w:hAnsi="Lato" w:cs="TimesNewRomanPSMT"/>
          <w:sz w:val="20"/>
          <w:szCs w:val="20"/>
        </w:rPr>
        <w:t xml:space="preserve"> </w:t>
      </w:r>
      <w:r w:rsidRPr="001E005B">
        <w:rPr>
          <w:rFonts w:ascii="Lato" w:hAnsi="Lato" w:cs="Times New Roman"/>
          <w:sz w:val="20"/>
          <w:szCs w:val="20"/>
        </w:rPr>
        <w:t xml:space="preserve">z </w:t>
      </w:r>
      <w:r w:rsidRPr="001E005B">
        <w:rPr>
          <w:rFonts w:ascii="Lato" w:hAnsi="Lato" w:cs="TimesNewRomanPSMT"/>
          <w:sz w:val="20"/>
          <w:szCs w:val="20"/>
        </w:rPr>
        <w:t xml:space="preserve">opiekunami. </w:t>
      </w:r>
    </w:p>
    <w:p w14:paraId="3C90A825" w14:textId="77777777" w:rsidR="001E005B" w:rsidRDefault="001E005B" w:rsidP="001E005B">
      <w:pPr>
        <w:autoSpaceDE w:val="0"/>
        <w:autoSpaceDN w:val="0"/>
        <w:adjustRightInd w:val="0"/>
        <w:spacing w:after="0" w:line="240" w:lineRule="auto"/>
        <w:jc w:val="both"/>
        <w:rPr>
          <w:rFonts w:ascii="Lato" w:hAnsi="Lato" w:cs="TimesNewRomanPSMT"/>
          <w:sz w:val="20"/>
          <w:szCs w:val="20"/>
        </w:rPr>
      </w:pPr>
    </w:p>
    <w:p w14:paraId="355ACED0" w14:textId="6375E2F4" w:rsidR="008820EF" w:rsidRPr="001E005B" w:rsidRDefault="001E005B" w:rsidP="001E005B">
      <w:pPr>
        <w:autoSpaceDE w:val="0"/>
        <w:autoSpaceDN w:val="0"/>
        <w:adjustRightInd w:val="0"/>
        <w:spacing w:after="0" w:line="240" w:lineRule="auto"/>
        <w:jc w:val="both"/>
        <w:rPr>
          <w:rFonts w:ascii="Lato" w:hAnsi="Lato" w:cs="TimesNewRomanPSMT"/>
          <w:sz w:val="20"/>
          <w:szCs w:val="20"/>
        </w:rPr>
      </w:pPr>
      <w:r w:rsidRPr="001E005B">
        <w:rPr>
          <w:rFonts w:ascii="Lato" w:hAnsi="Lato" w:cs="TimesNewRomanPSMT"/>
          <w:sz w:val="20"/>
          <w:szCs w:val="20"/>
        </w:rPr>
        <w:t>Wszelkie działania podejmowane są w stałej współpracy z samorządami oraz</w:t>
      </w:r>
      <w:r>
        <w:rPr>
          <w:rFonts w:ascii="Lato" w:hAnsi="Lato" w:cs="TimesNewRomanPSMT"/>
          <w:sz w:val="20"/>
          <w:szCs w:val="20"/>
        </w:rPr>
        <w:t xml:space="preserve"> </w:t>
      </w:r>
      <w:r w:rsidRPr="001E005B">
        <w:rPr>
          <w:rFonts w:ascii="Lato" w:hAnsi="Lato" w:cs="TimesNewRomanPSMT"/>
          <w:sz w:val="20"/>
          <w:szCs w:val="20"/>
        </w:rPr>
        <w:t>organizacjami pozarządowymi, które na co dzień realizują politykę społeczną wobec osób</w:t>
      </w:r>
      <w:r>
        <w:rPr>
          <w:rFonts w:ascii="Lato" w:hAnsi="Lato" w:cs="TimesNewRomanPSMT"/>
          <w:sz w:val="20"/>
          <w:szCs w:val="20"/>
        </w:rPr>
        <w:t xml:space="preserve"> </w:t>
      </w:r>
      <w:r w:rsidRPr="001E005B">
        <w:rPr>
          <w:rFonts w:ascii="Lato" w:hAnsi="Lato" w:cs="TimesNewRomanPSMT"/>
          <w:sz w:val="20"/>
          <w:szCs w:val="20"/>
        </w:rPr>
        <w:t>starszych w środowisku lokalnym.</w:t>
      </w:r>
      <w:r>
        <w:rPr>
          <w:rFonts w:ascii="Lato" w:hAnsi="Lato" w:cs="TimesNewRomanPSMT"/>
          <w:sz w:val="20"/>
          <w:szCs w:val="20"/>
        </w:rPr>
        <w:t xml:space="preserve"> </w:t>
      </w:r>
      <w:r w:rsidR="008820EF" w:rsidRPr="001E005B">
        <w:rPr>
          <w:rFonts w:ascii="Lato" w:hAnsi="Lato" w:cs="Times New Roman"/>
          <w:sz w:val="20"/>
          <w:szCs w:val="20"/>
        </w:rPr>
        <w:t>Działania te przyczyniają się do zapewnienia bezpiecznego i godnego starzenia się w jak najlepszym zdrowiu oraz aktywnego uczestnictwa we wszystkich sferach życia.</w:t>
      </w:r>
    </w:p>
    <w:p w14:paraId="28B7FC67" w14:textId="77777777" w:rsidR="008820EF" w:rsidRDefault="008820EF" w:rsidP="00A94E37">
      <w:pPr>
        <w:spacing w:after="0" w:line="240" w:lineRule="auto"/>
        <w:contextualSpacing/>
        <w:jc w:val="both"/>
        <w:rPr>
          <w:rFonts w:ascii="Lato" w:hAnsi="Lato" w:cstheme="minorHAnsi"/>
          <w:b/>
          <w:bCs/>
          <w:iCs/>
          <w:sz w:val="20"/>
          <w:szCs w:val="20"/>
        </w:rPr>
      </w:pPr>
    </w:p>
    <w:p w14:paraId="546EC7E9" w14:textId="018B3044" w:rsidR="008820EF" w:rsidRDefault="008820EF" w:rsidP="00A94E37">
      <w:pPr>
        <w:spacing w:after="0" w:line="240" w:lineRule="auto"/>
        <w:contextualSpacing/>
        <w:jc w:val="both"/>
        <w:rPr>
          <w:rFonts w:ascii="Lato" w:hAnsi="Lato" w:cstheme="minorHAnsi"/>
          <w:b/>
          <w:bCs/>
          <w:iCs/>
          <w:sz w:val="20"/>
          <w:szCs w:val="20"/>
        </w:rPr>
      </w:pPr>
      <w:r>
        <w:rPr>
          <w:rFonts w:ascii="Lato" w:hAnsi="Lato" w:cstheme="minorHAnsi"/>
          <w:b/>
          <w:bCs/>
          <w:iCs/>
          <w:sz w:val="20"/>
          <w:szCs w:val="20"/>
        </w:rPr>
        <w:t>Program Senior+</w:t>
      </w:r>
    </w:p>
    <w:p w14:paraId="0E87BF8F" w14:textId="5402197D" w:rsidR="00475913" w:rsidRPr="005C2D88" w:rsidRDefault="00475913" w:rsidP="00475913">
      <w:pPr>
        <w:spacing w:after="0" w:line="240" w:lineRule="auto"/>
        <w:jc w:val="both"/>
        <w:rPr>
          <w:rFonts w:ascii="Lato" w:eastAsia="Times New Roman" w:hAnsi="Lato"/>
          <w:sz w:val="20"/>
          <w:szCs w:val="20"/>
          <w:lang w:eastAsia="ar-SA"/>
        </w:rPr>
      </w:pPr>
      <w:r>
        <w:rPr>
          <w:rFonts w:ascii="Lato" w:hAnsi="Lato"/>
          <w:bCs/>
          <w:sz w:val="20"/>
          <w:szCs w:val="20"/>
        </w:rPr>
        <w:t xml:space="preserve">Od 2015 r. w ramach </w:t>
      </w:r>
      <w:r w:rsidRPr="00475913">
        <w:rPr>
          <w:rFonts w:ascii="Lato" w:hAnsi="Lato"/>
          <w:bCs/>
          <w:sz w:val="20"/>
          <w:szCs w:val="20"/>
        </w:rPr>
        <w:t>Programu wieloletniego "Senior+" na lata 2021-2025 stale</w:t>
      </w:r>
      <w:r w:rsidRPr="001772CC">
        <w:rPr>
          <w:rFonts w:ascii="Lato" w:hAnsi="Lato"/>
          <w:bCs/>
          <w:sz w:val="20"/>
          <w:szCs w:val="20"/>
        </w:rPr>
        <w:t xml:space="preserve"> rozwija się</w:t>
      </w:r>
      <w:r>
        <w:rPr>
          <w:rFonts w:ascii="Lato" w:hAnsi="Lato"/>
          <w:b/>
          <w:sz w:val="20"/>
          <w:szCs w:val="20"/>
        </w:rPr>
        <w:t xml:space="preserve"> </w:t>
      </w:r>
      <w:r w:rsidRPr="005C2D88">
        <w:rPr>
          <w:rFonts w:ascii="Lato" w:hAnsi="Lato"/>
          <w:bCs/>
          <w:sz w:val="20"/>
          <w:szCs w:val="20"/>
        </w:rPr>
        <w:t xml:space="preserve"> </w:t>
      </w:r>
      <w:r>
        <w:rPr>
          <w:rFonts w:ascii="Lato" w:hAnsi="Lato"/>
          <w:bCs/>
          <w:sz w:val="20"/>
          <w:szCs w:val="20"/>
        </w:rPr>
        <w:t xml:space="preserve">sieć </w:t>
      </w:r>
      <w:r w:rsidRPr="005C2D88">
        <w:rPr>
          <w:rFonts w:ascii="Lato" w:hAnsi="Lato"/>
          <w:bCs/>
          <w:sz w:val="20"/>
          <w:szCs w:val="20"/>
        </w:rPr>
        <w:t>placówek dziennego pobytu dla osób starszych. Dotacje skierowane są do jednostek samorządu terytorialnego z przeznaczeniem na: utworzenie lub wyposażenie placówki oraz na zapewnienie funkcjonowania już istniejących placówek.</w:t>
      </w:r>
      <w:r w:rsidRPr="005C2D88">
        <w:rPr>
          <w:rFonts w:ascii="Lato" w:eastAsia="Times New Roman" w:hAnsi="Lato"/>
          <w:sz w:val="20"/>
          <w:szCs w:val="20"/>
          <w:lang w:eastAsia="ar-SA"/>
        </w:rPr>
        <w:t xml:space="preserve"> </w:t>
      </w:r>
    </w:p>
    <w:p w14:paraId="08CC7A3D" w14:textId="77777777" w:rsidR="00475913" w:rsidRPr="005C2D88" w:rsidRDefault="00475913" w:rsidP="00475913">
      <w:pPr>
        <w:shd w:val="clear" w:color="auto" w:fill="FFFFFF"/>
        <w:spacing w:after="0" w:line="240" w:lineRule="auto"/>
        <w:jc w:val="both"/>
        <w:rPr>
          <w:rFonts w:ascii="Lato" w:eastAsia="Times New Roman" w:hAnsi="Lato"/>
          <w:sz w:val="20"/>
          <w:szCs w:val="20"/>
          <w:lang w:eastAsia="pl-PL"/>
        </w:rPr>
      </w:pPr>
    </w:p>
    <w:p w14:paraId="277A2CDC" w14:textId="6F98AA65" w:rsidR="00475913" w:rsidRDefault="00475913" w:rsidP="00475913">
      <w:pPr>
        <w:pStyle w:val="Sprawozdanie"/>
        <w:spacing w:before="0" w:after="0" w:line="240" w:lineRule="auto"/>
        <w:ind w:firstLine="0"/>
        <w:rPr>
          <w:rFonts w:ascii="Lato" w:hAnsi="Lato"/>
          <w:sz w:val="20"/>
          <w:szCs w:val="20"/>
        </w:rPr>
      </w:pPr>
      <w:r w:rsidRPr="005C2D88">
        <w:rPr>
          <w:rFonts w:ascii="Lato" w:hAnsi="Lato"/>
          <w:sz w:val="20"/>
          <w:szCs w:val="20"/>
        </w:rPr>
        <w:t>Uczestnicy Dziennych Domów i Klubów „Senior+”, korzystają z różnego rodzaju usług: socjalnych, edukacyjnych, kulturalno-oświatowych,</w:t>
      </w:r>
      <w:r>
        <w:rPr>
          <w:rFonts w:ascii="Lato" w:hAnsi="Lato"/>
          <w:sz w:val="20"/>
          <w:szCs w:val="20"/>
        </w:rPr>
        <w:t xml:space="preserve"> </w:t>
      </w:r>
      <w:r w:rsidRPr="005C2D88">
        <w:rPr>
          <w:rFonts w:ascii="Lato" w:hAnsi="Lato"/>
          <w:sz w:val="20"/>
          <w:szCs w:val="20"/>
        </w:rPr>
        <w:t>usług aktywności ruchowej i</w:t>
      </w:r>
      <w:r>
        <w:rPr>
          <w:rFonts w:ascii="Lato" w:hAnsi="Lato"/>
          <w:sz w:val="20"/>
          <w:szCs w:val="20"/>
        </w:rPr>
        <w:t xml:space="preserve"> </w:t>
      </w:r>
      <w:r w:rsidRPr="005C2D88">
        <w:rPr>
          <w:rFonts w:ascii="Lato" w:hAnsi="Lato"/>
          <w:sz w:val="20"/>
          <w:szCs w:val="20"/>
        </w:rPr>
        <w:t xml:space="preserve">kinezyterapii, aktywizująco-społecznych, sportowo-rekreacyjnych, czy terapii zajęciowej. </w:t>
      </w:r>
    </w:p>
    <w:p w14:paraId="36904AB5" w14:textId="19B83679" w:rsidR="00475913" w:rsidRDefault="00475913" w:rsidP="00475913">
      <w:pPr>
        <w:shd w:val="clear" w:color="auto" w:fill="FFFFFF"/>
        <w:spacing w:after="0" w:line="240" w:lineRule="auto"/>
        <w:jc w:val="both"/>
        <w:rPr>
          <w:rFonts w:ascii="Lato" w:eastAsia="Times New Roman" w:hAnsi="Lato"/>
          <w:sz w:val="20"/>
          <w:szCs w:val="20"/>
          <w:lang w:eastAsia="pl-PL"/>
        </w:rPr>
      </w:pPr>
    </w:p>
    <w:p w14:paraId="75673B6D" w14:textId="4E3A668D" w:rsidR="00CE2284" w:rsidRDefault="00CE2284" w:rsidP="00CE2284">
      <w:pPr>
        <w:pStyle w:val="Legenda"/>
        <w:keepNext/>
      </w:pPr>
      <w:bookmarkStart w:id="52" w:name="_Toc142566002"/>
      <w:r>
        <w:t xml:space="preserve">Tabela </w:t>
      </w:r>
      <w:fldSimple w:instr=" SEQ Tabela \* ARABIC ">
        <w:r w:rsidR="00AA385B">
          <w:rPr>
            <w:noProof/>
          </w:rPr>
          <w:t>39</w:t>
        </w:r>
      </w:fldSimple>
      <w:r>
        <w:t xml:space="preserve"> Ośrodki wsparcia Senior+ w podziale na województwa (2015-2022)</w:t>
      </w:r>
      <w:bookmarkEnd w:id="52"/>
    </w:p>
    <w:tbl>
      <w:tblPr>
        <w:tblW w:w="5000" w:type="pct"/>
        <w:tblCellMar>
          <w:left w:w="70" w:type="dxa"/>
          <w:right w:w="70" w:type="dxa"/>
        </w:tblCellMar>
        <w:tblLook w:val="04A0" w:firstRow="1" w:lastRow="0" w:firstColumn="1" w:lastColumn="0" w:noHBand="0" w:noVBand="1"/>
      </w:tblPr>
      <w:tblGrid>
        <w:gridCol w:w="3442"/>
        <w:gridCol w:w="1722"/>
        <w:gridCol w:w="1247"/>
        <w:gridCol w:w="859"/>
        <w:gridCol w:w="1792"/>
      </w:tblGrid>
      <w:tr w:rsidR="00CE2284" w:rsidRPr="002818F9" w14:paraId="55CB533F" w14:textId="77777777" w:rsidTr="002818F9">
        <w:trPr>
          <w:trHeight w:val="288"/>
        </w:trPr>
        <w:tc>
          <w:tcPr>
            <w:tcW w:w="189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64799ABD" w14:textId="7874344B" w:rsidR="00CE2284" w:rsidRPr="002818F9" w:rsidRDefault="00CE2284" w:rsidP="002818F9">
            <w:pPr>
              <w:spacing w:after="0" w:line="240" w:lineRule="auto"/>
              <w:jc w:val="center"/>
              <w:rPr>
                <w:rFonts w:ascii="Lato" w:eastAsia="Times New Roman" w:hAnsi="Lato" w:cs="Calibri"/>
                <w:b/>
                <w:bCs/>
                <w:color w:val="000000"/>
                <w:sz w:val="20"/>
                <w:szCs w:val="20"/>
                <w:lang w:eastAsia="pl-PL"/>
              </w:rPr>
            </w:pPr>
          </w:p>
        </w:tc>
        <w:tc>
          <w:tcPr>
            <w:tcW w:w="950" w:type="pct"/>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28323820" w14:textId="1D072B57" w:rsidR="00CE2284" w:rsidRPr="002818F9" w:rsidRDefault="00CE2284" w:rsidP="002818F9">
            <w:pPr>
              <w:spacing w:after="0" w:line="240" w:lineRule="auto"/>
              <w:jc w:val="center"/>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Dzienne Domy</w:t>
            </w:r>
          </w:p>
        </w:tc>
        <w:tc>
          <w:tcPr>
            <w:tcW w:w="688" w:type="pct"/>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299FF9F2" w14:textId="77777777" w:rsidR="00CE2284" w:rsidRPr="002818F9" w:rsidRDefault="00CE2284" w:rsidP="002818F9">
            <w:pPr>
              <w:spacing w:after="0" w:line="240" w:lineRule="auto"/>
              <w:jc w:val="center"/>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Kluby</w:t>
            </w:r>
          </w:p>
        </w:tc>
        <w:tc>
          <w:tcPr>
            <w:tcW w:w="474" w:type="pct"/>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794475FA" w14:textId="77777777" w:rsidR="00CE2284" w:rsidRPr="002818F9" w:rsidRDefault="00CE2284" w:rsidP="002818F9">
            <w:pPr>
              <w:spacing w:after="0" w:line="240" w:lineRule="auto"/>
              <w:jc w:val="center"/>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Razem</w:t>
            </w:r>
          </w:p>
        </w:tc>
        <w:tc>
          <w:tcPr>
            <w:tcW w:w="98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06646D8C" w14:textId="77777777" w:rsidR="00CE2284" w:rsidRPr="002818F9" w:rsidRDefault="00CE2284" w:rsidP="002818F9">
            <w:pPr>
              <w:spacing w:after="0" w:line="240" w:lineRule="auto"/>
              <w:jc w:val="center"/>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Liczba miejsc</w:t>
            </w:r>
          </w:p>
        </w:tc>
      </w:tr>
      <w:tr w:rsidR="00CE2284" w:rsidRPr="002818F9" w14:paraId="2E5CF83C"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74458B59"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dolnośląskie</w:t>
            </w:r>
          </w:p>
        </w:tc>
        <w:tc>
          <w:tcPr>
            <w:tcW w:w="950" w:type="pct"/>
            <w:tcBorders>
              <w:top w:val="nil"/>
              <w:left w:val="nil"/>
              <w:bottom w:val="single" w:sz="4" w:space="0" w:color="auto"/>
              <w:right w:val="single" w:sz="4" w:space="0" w:color="auto"/>
            </w:tcBorders>
            <w:shd w:val="clear" w:color="auto" w:fill="auto"/>
            <w:noWrap/>
            <w:vAlign w:val="bottom"/>
            <w:hideMark/>
          </w:tcPr>
          <w:p w14:paraId="2AFFD20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28</w:t>
            </w:r>
          </w:p>
        </w:tc>
        <w:tc>
          <w:tcPr>
            <w:tcW w:w="688" w:type="pct"/>
            <w:tcBorders>
              <w:top w:val="nil"/>
              <w:left w:val="nil"/>
              <w:bottom w:val="single" w:sz="4" w:space="0" w:color="auto"/>
              <w:right w:val="single" w:sz="4" w:space="0" w:color="auto"/>
            </w:tcBorders>
            <w:shd w:val="clear" w:color="auto" w:fill="auto"/>
            <w:noWrap/>
            <w:vAlign w:val="bottom"/>
            <w:hideMark/>
          </w:tcPr>
          <w:p w14:paraId="3328A085"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70</w:t>
            </w:r>
          </w:p>
        </w:tc>
        <w:tc>
          <w:tcPr>
            <w:tcW w:w="474" w:type="pct"/>
            <w:tcBorders>
              <w:top w:val="nil"/>
              <w:left w:val="nil"/>
              <w:bottom w:val="single" w:sz="4" w:space="0" w:color="auto"/>
              <w:right w:val="single" w:sz="4" w:space="0" w:color="auto"/>
            </w:tcBorders>
            <w:shd w:val="clear" w:color="auto" w:fill="auto"/>
            <w:noWrap/>
            <w:vAlign w:val="bottom"/>
            <w:hideMark/>
          </w:tcPr>
          <w:p w14:paraId="38A2E994"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98</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4034383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2 472</w:t>
            </w:r>
          </w:p>
        </w:tc>
      </w:tr>
      <w:tr w:rsidR="00CE2284" w:rsidRPr="002818F9" w14:paraId="1262165D"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3FABEB5E"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kujawsko-pomorskie</w:t>
            </w:r>
          </w:p>
        </w:tc>
        <w:tc>
          <w:tcPr>
            <w:tcW w:w="950" w:type="pct"/>
            <w:tcBorders>
              <w:top w:val="nil"/>
              <w:left w:val="nil"/>
              <w:bottom w:val="single" w:sz="4" w:space="0" w:color="auto"/>
              <w:right w:val="single" w:sz="4" w:space="0" w:color="auto"/>
            </w:tcBorders>
            <w:shd w:val="clear" w:color="auto" w:fill="auto"/>
            <w:noWrap/>
            <w:vAlign w:val="bottom"/>
            <w:hideMark/>
          </w:tcPr>
          <w:p w14:paraId="41713942"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28</w:t>
            </w:r>
          </w:p>
        </w:tc>
        <w:tc>
          <w:tcPr>
            <w:tcW w:w="688" w:type="pct"/>
            <w:tcBorders>
              <w:top w:val="nil"/>
              <w:left w:val="nil"/>
              <w:bottom w:val="single" w:sz="4" w:space="0" w:color="auto"/>
              <w:right w:val="single" w:sz="4" w:space="0" w:color="auto"/>
            </w:tcBorders>
            <w:shd w:val="clear" w:color="auto" w:fill="auto"/>
            <w:noWrap/>
            <w:vAlign w:val="bottom"/>
            <w:hideMark/>
          </w:tcPr>
          <w:p w14:paraId="2FAE771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46</w:t>
            </w:r>
          </w:p>
        </w:tc>
        <w:tc>
          <w:tcPr>
            <w:tcW w:w="474" w:type="pct"/>
            <w:tcBorders>
              <w:top w:val="nil"/>
              <w:left w:val="nil"/>
              <w:bottom w:val="single" w:sz="4" w:space="0" w:color="auto"/>
              <w:right w:val="single" w:sz="4" w:space="0" w:color="auto"/>
            </w:tcBorders>
            <w:shd w:val="clear" w:color="auto" w:fill="auto"/>
            <w:noWrap/>
            <w:vAlign w:val="bottom"/>
            <w:hideMark/>
          </w:tcPr>
          <w:p w14:paraId="531B663A"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74</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38899D3E"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1 834</w:t>
            </w:r>
          </w:p>
        </w:tc>
      </w:tr>
      <w:tr w:rsidR="00CE2284" w:rsidRPr="002818F9" w14:paraId="37B139A5"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5800A229"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lubelskie</w:t>
            </w:r>
          </w:p>
        </w:tc>
        <w:tc>
          <w:tcPr>
            <w:tcW w:w="950" w:type="pct"/>
            <w:tcBorders>
              <w:top w:val="nil"/>
              <w:left w:val="nil"/>
              <w:bottom w:val="single" w:sz="4" w:space="0" w:color="auto"/>
              <w:right w:val="single" w:sz="4" w:space="0" w:color="auto"/>
            </w:tcBorders>
            <w:shd w:val="clear" w:color="auto" w:fill="auto"/>
            <w:noWrap/>
            <w:vAlign w:val="bottom"/>
            <w:hideMark/>
          </w:tcPr>
          <w:p w14:paraId="2B59D77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20</w:t>
            </w:r>
          </w:p>
        </w:tc>
        <w:tc>
          <w:tcPr>
            <w:tcW w:w="688" w:type="pct"/>
            <w:tcBorders>
              <w:top w:val="nil"/>
              <w:left w:val="nil"/>
              <w:bottom w:val="single" w:sz="4" w:space="0" w:color="auto"/>
              <w:right w:val="single" w:sz="4" w:space="0" w:color="auto"/>
            </w:tcBorders>
            <w:shd w:val="clear" w:color="auto" w:fill="auto"/>
            <w:noWrap/>
            <w:vAlign w:val="bottom"/>
            <w:hideMark/>
          </w:tcPr>
          <w:p w14:paraId="30AB982B"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33</w:t>
            </w:r>
          </w:p>
        </w:tc>
        <w:tc>
          <w:tcPr>
            <w:tcW w:w="474" w:type="pct"/>
            <w:tcBorders>
              <w:top w:val="nil"/>
              <w:left w:val="nil"/>
              <w:bottom w:val="single" w:sz="4" w:space="0" w:color="auto"/>
              <w:right w:val="single" w:sz="4" w:space="0" w:color="auto"/>
            </w:tcBorders>
            <w:shd w:val="clear" w:color="auto" w:fill="auto"/>
            <w:noWrap/>
            <w:vAlign w:val="bottom"/>
            <w:hideMark/>
          </w:tcPr>
          <w:p w14:paraId="41F97C58"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53</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4FB396E9"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1 186</w:t>
            </w:r>
          </w:p>
        </w:tc>
      </w:tr>
      <w:tr w:rsidR="00CE2284" w:rsidRPr="002818F9" w14:paraId="0E0B9A8C"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24FD2FFB"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lubuskie</w:t>
            </w:r>
          </w:p>
        </w:tc>
        <w:tc>
          <w:tcPr>
            <w:tcW w:w="950" w:type="pct"/>
            <w:tcBorders>
              <w:top w:val="nil"/>
              <w:left w:val="nil"/>
              <w:bottom w:val="single" w:sz="4" w:space="0" w:color="auto"/>
              <w:right w:val="single" w:sz="4" w:space="0" w:color="auto"/>
            </w:tcBorders>
            <w:shd w:val="clear" w:color="auto" w:fill="auto"/>
            <w:noWrap/>
            <w:vAlign w:val="bottom"/>
            <w:hideMark/>
          </w:tcPr>
          <w:p w14:paraId="20267D23"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18</w:t>
            </w:r>
          </w:p>
        </w:tc>
        <w:tc>
          <w:tcPr>
            <w:tcW w:w="688" w:type="pct"/>
            <w:tcBorders>
              <w:top w:val="nil"/>
              <w:left w:val="nil"/>
              <w:bottom w:val="single" w:sz="4" w:space="0" w:color="auto"/>
              <w:right w:val="single" w:sz="4" w:space="0" w:color="auto"/>
            </w:tcBorders>
            <w:shd w:val="clear" w:color="auto" w:fill="auto"/>
            <w:noWrap/>
            <w:vAlign w:val="bottom"/>
            <w:hideMark/>
          </w:tcPr>
          <w:p w14:paraId="7F9B7018"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31</w:t>
            </w:r>
          </w:p>
        </w:tc>
        <w:tc>
          <w:tcPr>
            <w:tcW w:w="474" w:type="pct"/>
            <w:tcBorders>
              <w:top w:val="nil"/>
              <w:left w:val="nil"/>
              <w:bottom w:val="single" w:sz="4" w:space="0" w:color="auto"/>
              <w:right w:val="single" w:sz="4" w:space="0" w:color="auto"/>
            </w:tcBorders>
            <w:shd w:val="clear" w:color="auto" w:fill="auto"/>
            <w:noWrap/>
            <w:vAlign w:val="bottom"/>
            <w:hideMark/>
          </w:tcPr>
          <w:p w14:paraId="09283465"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49</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41059400"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1 090</w:t>
            </w:r>
          </w:p>
        </w:tc>
      </w:tr>
      <w:tr w:rsidR="00CE2284" w:rsidRPr="002818F9" w14:paraId="1454E800"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6E349877"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łódzkie</w:t>
            </w:r>
          </w:p>
        </w:tc>
        <w:tc>
          <w:tcPr>
            <w:tcW w:w="950" w:type="pct"/>
            <w:tcBorders>
              <w:top w:val="nil"/>
              <w:left w:val="nil"/>
              <w:bottom w:val="single" w:sz="4" w:space="0" w:color="auto"/>
              <w:right w:val="single" w:sz="4" w:space="0" w:color="auto"/>
            </w:tcBorders>
            <w:shd w:val="clear" w:color="auto" w:fill="auto"/>
            <w:noWrap/>
            <w:vAlign w:val="bottom"/>
            <w:hideMark/>
          </w:tcPr>
          <w:p w14:paraId="72CA027E"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13</w:t>
            </w:r>
          </w:p>
        </w:tc>
        <w:tc>
          <w:tcPr>
            <w:tcW w:w="688" w:type="pct"/>
            <w:tcBorders>
              <w:top w:val="nil"/>
              <w:left w:val="nil"/>
              <w:bottom w:val="single" w:sz="4" w:space="0" w:color="auto"/>
              <w:right w:val="single" w:sz="4" w:space="0" w:color="auto"/>
            </w:tcBorders>
            <w:shd w:val="clear" w:color="auto" w:fill="auto"/>
            <w:noWrap/>
            <w:vAlign w:val="bottom"/>
            <w:hideMark/>
          </w:tcPr>
          <w:p w14:paraId="4ACE7FF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24</w:t>
            </w:r>
          </w:p>
        </w:tc>
        <w:tc>
          <w:tcPr>
            <w:tcW w:w="474" w:type="pct"/>
            <w:tcBorders>
              <w:top w:val="nil"/>
              <w:left w:val="nil"/>
              <w:bottom w:val="single" w:sz="4" w:space="0" w:color="auto"/>
              <w:right w:val="single" w:sz="4" w:space="0" w:color="auto"/>
            </w:tcBorders>
            <w:shd w:val="clear" w:color="auto" w:fill="auto"/>
            <w:noWrap/>
            <w:vAlign w:val="bottom"/>
            <w:hideMark/>
          </w:tcPr>
          <w:p w14:paraId="6F0F87EF"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37</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19E8D58B"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818</w:t>
            </w:r>
          </w:p>
        </w:tc>
      </w:tr>
      <w:tr w:rsidR="00CE2284" w:rsidRPr="002818F9" w14:paraId="4680645F"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18550BD0"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lastRenderedPageBreak/>
              <w:t>Województwo małopolskie</w:t>
            </w:r>
          </w:p>
        </w:tc>
        <w:tc>
          <w:tcPr>
            <w:tcW w:w="950" w:type="pct"/>
            <w:tcBorders>
              <w:top w:val="nil"/>
              <w:left w:val="nil"/>
              <w:bottom w:val="single" w:sz="4" w:space="0" w:color="auto"/>
              <w:right w:val="single" w:sz="4" w:space="0" w:color="auto"/>
            </w:tcBorders>
            <w:shd w:val="clear" w:color="auto" w:fill="auto"/>
            <w:noWrap/>
            <w:vAlign w:val="bottom"/>
            <w:hideMark/>
          </w:tcPr>
          <w:p w14:paraId="11B2ECCD"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24</w:t>
            </w:r>
          </w:p>
        </w:tc>
        <w:tc>
          <w:tcPr>
            <w:tcW w:w="688" w:type="pct"/>
            <w:tcBorders>
              <w:top w:val="nil"/>
              <w:left w:val="nil"/>
              <w:bottom w:val="single" w:sz="4" w:space="0" w:color="auto"/>
              <w:right w:val="single" w:sz="4" w:space="0" w:color="auto"/>
            </w:tcBorders>
            <w:shd w:val="clear" w:color="auto" w:fill="auto"/>
            <w:noWrap/>
            <w:vAlign w:val="bottom"/>
            <w:hideMark/>
          </w:tcPr>
          <w:p w14:paraId="18333DD5"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80</w:t>
            </w:r>
          </w:p>
        </w:tc>
        <w:tc>
          <w:tcPr>
            <w:tcW w:w="474" w:type="pct"/>
            <w:tcBorders>
              <w:top w:val="nil"/>
              <w:left w:val="nil"/>
              <w:bottom w:val="single" w:sz="4" w:space="0" w:color="auto"/>
              <w:right w:val="single" w:sz="4" w:space="0" w:color="auto"/>
            </w:tcBorders>
            <w:shd w:val="clear" w:color="auto" w:fill="auto"/>
            <w:noWrap/>
            <w:vAlign w:val="bottom"/>
            <w:hideMark/>
          </w:tcPr>
          <w:p w14:paraId="00D7C131"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104</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5AB7568E"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2 504</w:t>
            </w:r>
          </w:p>
        </w:tc>
      </w:tr>
      <w:tr w:rsidR="00CE2284" w:rsidRPr="002818F9" w14:paraId="45753946"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469761BC"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mazowieckie</w:t>
            </w:r>
          </w:p>
        </w:tc>
        <w:tc>
          <w:tcPr>
            <w:tcW w:w="950" w:type="pct"/>
            <w:tcBorders>
              <w:top w:val="nil"/>
              <w:left w:val="nil"/>
              <w:bottom w:val="single" w:sz="4" w:space="0" w:color="auto"/>
              <w:right w:val="single" w:sz="4" w:space="0" w:color="auto"/>
            </w:tcBorders>
            <w:shd w:val="clear" w:color="auto" w:fill="auto"/>
            <w:noWrap/>
            <w:vAlign w:val="bottom"/>
            <w:hideMark/>
          </w:tcPr>
          <w:p w14:paraId="388D3F3E"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38</w:t>
            </w:r>
          </w:p>
        </w:tc>
        <w:tc>
          <w:tcPr>
            <w:tcW w:w="688" w:type="pct"/>
            <w:tcBorders>
              <w:top w:val="nil"/>
              <w:left w:val="nil"/>
              <w:bottom w:val="single" w:sz="4" w:space="0" w:color="auto"/>
              <w:right w:val="single" w:sz="4" w:space="0" w:color="auto"/>
            </w:tcBorders>
            <w:shd w:val="clear" w:color="auto" w:fill="auto"/>
            <w:noWrap/>
            <w:vAlign w:val="bottom"/>
            <w:hideMark/>
          </w:tcPr>
          <w:p w14:paraId="1DBFEE1D"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112</w:t>
            </w:r>
          </w:p>
        </w:tc>
        <w:tc>
          <w:tcPr>
            <w:tcW w:w="474" w:type="pct"/>
            <w:tcBorders>
              <w:top w:val="nil"/>
              <w:left w:val="nil"/>
              <w:bottom w:val="single" w:sz="4" w:space="0" w:color="auto"/>
              <w:right w:val="single" w:sz="4" w:space="0" w:color="auto"/>
            </w:tcBorders>
            <w:shd w:val="clear" w:color="auto" w:fill="auto"/>
            <w:noWrap/>
            <w:vAlign w:val="bottom"/>
            <w:hideMark/>
          </w:tcPr>
          <w:p w14:paraId="671E980A"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150</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06DF7417"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3 647</w:t>
            </w:r>
          </w:p>
        </w:tc>
      </w:tr>
      <w:tr w:rsidR="00CE2284" w:rsidRPr="002818F9" w14:paraId="37C0AB4F"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3D22FEA2"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opolskie</w:t>
            </w:r>
          </w:p>
        </w:tc>
        <w:tc>
          <w:tcPr>
            <w:tcW w:w="950" w:type="pct"/>
            <w:tcBorders>
              <w:top w:val="nil"/>
              <w:left w:val="nil"/>
              <w:bottom w:val="single" w:sz="4" w:space="0" w:color="auto"/>
              <w:right w:val="single" w:sz="4" w:space="0" w:color="auto"/>
            </w:tcBorders>
            <w:shd w:val="clear" w:color="auto" w:fill="auto"/>
            <w:noWrap/>
            <w:vAlign w:val="bottom"/>
            <w:hideMark/>
          </w:tcPr>
          <w:p w14:paraId="028F5C48"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7</w:t>
            </w:r>
          </w:p>
        </w:tc>
        <w:tc>
          <w:tcPr>
            <w:tcW w:w="688" w:type="pct"/>
            <w:tcBorders>
              <w:top w:val="nil"/>
              <w:left w:val="nil"/>
              <w:bottom w:val="single" w:sz="4" w:space="0" w:color="auto"/>
              <w:right w:val="single" w:sz="4" w:space="0" w:color="auto"/>
            </w:tcBorders>
            <w:shd w:val="clear" w:color="auto" w:fill="auto"/>
            <w:noWrap/>
            <w:vAlign w:val="bottom"/>
            <w:hideMark/>
          </w:tcPr>
          <w:p w14:paraId="50D3D7F3"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24</w:t>
            </w:r>
          </w:p>
        </w:tc>
        <w:tc>
          <w:tcPr>
            <w:tcW w:w="474" w:type="pct"/>
            <w:tcBorders>
              <w:top w:val="nil"/>
              <w:left w:val="nil"/>
              <w:bottom w:val="single" w:sz="4" w:space="0" w:color="auto"/>
              <w:right w:val="single" w:sz="4" w:space="0" w:color="auto"/>
            </w:tcBorders>
            <w:shd w:val="clear" w:color="auto" w:fill="auto"/>
            <w:noWrap/>
            <w:vAlign w:val="bottom"/>
            <w:hideMark/>
          </w:tcPr>
          <w:p w14:paraId="6A105C0B"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31</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1A75E43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778</w:t>
            </w:r>
          </w:p>
        </w:tc>
      </w:tr>
      <w:tr w:rsidR="00CE2284" w:rsidRPr="002818F9" w14:paraId="0CD0BCD8"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7578B84F"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podkarpackie</w:t>
            </w:r>
          </w:p>
        </w:tc>
        <w:tc>
          <w:tcPr>
            <w:tcW w:w="950" w:type="pct"/>
            <w:tcBorders>
              <w:top w:val="nil"/>
              <w:left w:val="nil"/>
              <w:bottom w:val="single" w:sz="4" w:space="0" w:color="auto"/>
              <w:right w:val="single" w:sz="4" w:space="0" w:color="auto"/>
            </w:tcBorders>
            <w:shd w:val="clear" w:color="auto" w:fill="auto"/>
            <w:noWrap/>
            <w:vAlign w:val="bottom"/>
            <w:hideMark/>
          </w:tcPr>
          <w:p w14:paraId="33439AE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35</w:t>
            </w:r>
          </w:p>
        </w:tc>
        <w:tc>
          <w:tcPr>
            <w:tcW w:w="688" w:type="pct"/>
            <w:tcBorders>
              <w:top w:val="nil"/>
              <w:left w:val="nil"/>
              <w:bottom w:val="single" w:sz="4" w:space="0" w:color="auto"/>
              <w:right w:val="single" w:sz="4" w:space="0" w:color="auto"/>
            </w:tcBorders>
            <w:shd w:val="clear" w:color="auto" w:fill="auto"/>
            <w:noWrap/>
            <w:vAlign w:val="bottom"/>
            <w:hideMark/>
          </w:tcPr>
          <w:p w14:paraId="439A281F"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44</w:t>
            </w:r>
          </w:p>
        </w:tc>
        <w:tc>
          <w:tcPr>
            <w:tcW w:w="474" w:type="pct"/>
            <w:tcBorders>
              <w:top w:val="nil"/>
              <w:left w:val="nil"/>
              <w:bottom w:val="single" w:sz="4" w:space="0" w:color="auto"/>
              <w:right w:val="single" w:sz="4" w:space="0" w:color="auto"/>
            </w:tcBorders>
            <w:shd w:val="clear" w:color="auto" w:fill="auto"/>
            <w:noWrap/>
            <w:vAlign w:val="bottom"/>
            <w:hideMark/>
          </w:tcPr>
          <w:p w14:paraId="0C01FA71"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79</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44946AC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1 748</w:t>
            </w:r>
          </w:p>
        </w:tc>
      </w:tr>
      <w:tr w:rsidR="00CE2284" w:rsidRPr="002818F9" w14:paraId="22C02077"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3EE96391"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podlaskie</w:t>
            </w:r>
          </w:p>
        </w:tc>
        <w:tc>
          <w:tcPr>
            <w:tcW w:w="950" w:type="pct"/>
            <w:tcBorders>
              <w:top w:val="nil"/>
              <w:left w:val="nil"/>
              <w:bottom w:val="single" w:sz="4" w:space="0" w:color="auto"/>
              <w:right w:val="single" w:sz="4" w:space="0" w:color="auto"/>
            </w:tcBorders>
            <w:shd w:val="clear" w:color="auto" w:fill="auto"/>
            <w:noWrap/>
            <w:vAlign w:val="bottom"/>
            <w:hideMark/>
          </w:tcPr>
          <w:p w14:paraId="1A9D74E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5</w:t>
            </w:r>
          </w:p>
        </w:tc>
        <w:tc>
          <w:tcPr>
            <w:tcW w:w="688" w:type="pct"/>
            <w:tcBorders>
              <w:top w:val="nil"/>
              <w:left w:val="nil"/>
              <w:bottom w:val="single" w:sz="4" w:space="0" w:color="auto"/>
              <w:right w:val="single" w:sz="4" w:space="0" w:color="auto"/>
            </w:tcBorders>
            <w:shd w:val="clear" w:color="auto" w:fill="auto"/>
            <w:noWrap/>
            <w:vAlign w:val="bottom"/>
            <w:hideMark/>
          </w:tcPr>
          <w:p w14:paraId="2599FFAF"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55</w:t>
            </w:r>
          </w:p>
        </w:tc>
        <w:tc>
          <w:tcPr>
            <w:tcW w:w="474" w:type="pct"/>
            <w:tcBorders>
              <w:top w:val="nil"/>
              <w:left w:val="nil"/>
              <w:bottom w:val="single" w:sz="4" w:space="0" w:color="auto"/>
              <w:right w:val="single" w:sz="4" w:space="0" w:color="auto"/>
            </w:tcBorders>
            <w:shd w:val="clear" w:color="auto" w:fill="auto"/>
            <w:noWrap/>
            <w:vAlign w:val="bottom"/>
            <w:hideMark/>
          </w:tcPr>
          <w:p w14:paraId="1FF2A089"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60</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7ED7400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1 166</w:t>
            </w:r>
          </w:p>
        </w:tc>
      </w:tr>
      <w:tr w:rsidR="00CE2284" w:rsidRPr="002818F9" w14:paraId="20CA7DCB"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3FAA397E"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pomorskie</w:t>
            </w:r>
          </w:p>
        </w:tc>
        <w:tc>
          <w:tcPr>
            <w:tcW w:w="950" w:type="pct"/>
            <w:tcBorders>
              <w:top w:val="nil"/>
              <w:left w:val="nil"/>
              <w:bottom w:val="single" w:sz="4" w:space="0" w:color="auto"/>
              <w:right w:val="single" w:sz="4" w:space="0" w:color="auto"/>
            </w:tcBorders>
            <w:shd w:val="clear" w:color="auto" w:fill="auto"/>
            <w:noWrap/>
            <w:vAlign w:val="bottom"/>
            <w:hideMark/>
          </w:tcPr>
          <w:p w14:paraId="006C5C76"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17</w:t>
            </w:r>
          </w:p>
        </w:tc>
        <w:tc>
          <w:tcPr>
            <w:tcW w:w="688" w:type="pct"/>
            <w:tcBorders>
              <w:top w:val="nil"/>
              <w:left w:val="nil"/>
              <w:bottom w:val="single" w:sz="4" w:space="0" w:color="auto"/>
              <w:right w:val="single" w:sz="4" w:space="0" w:color="auto"/>
            </w:tcBorders>
            <w:shd w:val="clear" w:color="auto" w:fill="auto"/>
            <w:noWrap/>
            <w:vAlign w:val="bottom"/>
            <w:hideMark/>
          </w:tcPr>
          <w:p w14:paraId="5823CB7F"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45</w:t>
            </w:r>
          </w:p>
        </w:tc>
        <w:tc>
          <w:tcPr>
            <w:tcW w:w="474" w:type="pct"/>
            <w:tcBorders>
              <w:top w:val="nil"/>
              <w:left w:val="nil"/>
              <w:bottom w:val="single" w:sz="4" w:space="0" w:color="auto"/>
              <w:right w:val="single" w:sz="4" w:space="0" w:color="auto"/>
            </w:tcBorders>
            <w:shd w:val="clear" w:color="auto" w:fill="auto"/>
            <w:noWrap/>
            <w:vAlign w:val="bottom"/>
            <w:hideMark/>
          </w:tcPr>
          <w:p w14:paraId="70429C8E"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62</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3F00E7D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1 299</w:t>
            </w:r>
          </w:p>
        </w:tc>
      </w:tr>
      <w:tr w:rsidR="00CE2284" w:rsidRPr="002818F9" w14:paraId="56BC50C0"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13489D0E"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śląskie</w:t>
            </w:r>
          </w:p>
        </w:tc>
        <w:tc>
          <w:tcPr>
            <w:tcW w:w="950" w:type="pct"/>
            <w:tcBorders>
              <w:top w:val="nil"/>
              <w:left w:val="nil"/>
              <w:bottom w:val="single" w:sz="4" w:space="0" w:color="auto"/>
              <w:right w:val="single" w:sz="4" w:space="0" w:color="auto"/>
            </w:tcBorders>
            <w:shd w:val="clear" w:color="auto" w:fill="auto"/>
            <w:noWrap/>
            <w:vAlign w:val="bottom"/>
            <w:hideMark/>
          </w:tcPr>
          <w:p w14:paraId="63BDE06D"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38</w:t>
            </w:r>
          </w:p>
        </w:tc>
        <w:tc>
          <w:tcPr>
            <w:tcW w:w="688" w:type="pct"/>
            <w:tcBorders>
              <w:top w:val="nil"/>
              <w:left w:val="nil"/>
              <w:bottom w:val="single" w:sz="4" w:space="0" w:color="auto"/>
              <w:right w:val="single" w:sz="4" w:space="0" w:color="auto"/>
            </w:tcBorders>
            <w:shd w:val="clear" w:color="auto" w:fill="auto"/>
            <w:noWrap/>
            <w:vAlign w:val="bottom"/>
            <w:hideMark/>
          </w:tcPr>
          <w:p w14:paraId="0657943C"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57</w:t>
            </w:r>
          </w:p>
        </w:tc>
        <w:tc>
          <w:tcPr>
            <w:tcW w:w="474" w:type="pct"/>
            <w:tcBorders>
              <w:top w:val="nil"/>
              <w:left w:val="nil"/>
              <w:bottom w:val="single" w:sz="4" w:space="0" w:color="auto"/>
              <w:right w:val="single" w:sz="4" w:space="0" w:color="auto"/>
            </w:tcBorders>
            <w:shd w:val="clear" w:color="auto" w:fill="auto"/>
            <w:noWrap/>
            <w:vAlign w:val="bottom"/>
            <w:hideMark/>
          </w:tcPr>
          <w:p w14:paraId="68DE8515"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95</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2A5695C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2 484</w:t>
            </w:r>
          </w:p>
        </w:tc>
      </w:tr>
      <w:tr w:rsidR="00CE2284" w:rsidRPr="002818F9" w14:paraId="041532D9"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1172B9B5"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świętokrzyskie</w:t>
            </w:r>
          </w:p>
        </w:tc>
        <w:tc>
          <w:tcPr>
            <w:tcW w:w="950" w:type="pct"/>
            <w:tcBorders>
              <w:top w:val="nil"/>
              <w:left w:val="nil"/>
              <w:bottom w:val="single" w:sz="4" w:space="0" w:color="auto"/>
              <w:right w:val="single" w:sz="4" w:space="0" w:color="auto"/>
            </w:tcBorders>
            <w:shd w:val="clear" w:color="auto" w:fill="auto"/>
            <w:noWrap/>
            <w:vAlign w:val="bottom"/>
            <w:hideMark/>
          </w:tcPr>
          <w:p w14:paraId="794B1411"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17</w:t>
            </w:r>
          </w:p>
        </w:tc>
        <w:tc>
          <w:tcPr>
            <w:tcW w:w="688" w:type="pct"/>
            <w:tcBorders>
              <w:top w:val="nil"/>
              <w:left w:val="nil"/>
              <w:bottom w:val="single" w:sz="4" w:space="0" w:color="auto"/>
              <w:right w:val="single" w:sz="4" w:space="0" w:color="auto"/>
            </w:tcBorders>
            <w:shd w:val="clear" w:color="auto" w:fill="auto"/>
            <w:noWrap/>
            <w:vAlign w:val="bottom"/>
            <w:hideMark/>
          </w:tcPr>
          <w:p w14:paraId="504DBCAC"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48</w:t>
            </w:r>
          </w:p>
        </w:tc>
        <w:tc>
          <w:tcPr>
            <w:tcW w:w="474" w:type="pct"/>
            <w:tcBorders>
              <w:top w:val="nil"/>
              <w:left w:val="nil"/>
              <w:bottom w:val="single" w:sz="4" w:space="0" w:color="auto"/>
              <w:right w:val="single" w:sz="4" w:space="0" w:color="auto"/>
            </w:tcBorders>
            <w:shd w:val="clear" w:color="auto" w:fill="auto"/>
            <w:noWrap/>
            <w:vAlign w:val="bottom"/>
            <w:hideMark/>
          </w:tcPr>
          <w:p w14:paraId="514BECEC"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65</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1B0AB02B"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1 366</w:t>
            </w:r>
          </w:p>
        </w:tc>
      </w:tr>
      <w:tr w:rsidR="00CE2284" w:rsidRPr="002818F9" w14:paraId="25FCC9EE"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3C4C5E69"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warmińsko-mazurskie</w:t>
            </w:r>
          </w:p>
        </w:tc>
        <w:tc>
          <w:tcPr>
            <w:tcW w:w="950" w:type="pct"/>
            <w:tcBorders>
              <w:top w:val="nil"/>
              <w:left w:val="nil"/>
              <w:bottom w:val="single" w:sz="4" w:space="0" w:color="auto"/>
              <w:right w:val="single" w:sz="4" w:space="0" w:color="auto"/>
            </w:tcBorders>
            <w:shd w:val="clear" w:color="auto" w:fill="auto"/>
            <w:noWrap/>
            <w:vAlign w:val="bottom"/>
            <w:hideMark/>
          </w:tcPr>
          <w:p w14:paraId="58CEC918"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16</w:t>
            </w:r>
          </w:p>
        </w:tc>
        <w:tc>
          <w:tcPr>
            <w:tcW w:w="688" w:type="pct"/>
            <w:tcBorders>
              <w:top w:val="nil"/>
              <w:left w:val="nil"/>
              <w:bottom w:val="single" w:sz="4" w:space="0" w:color="auto"/>
              <w:right w:val="single" w:sz="4" w:space="0" w:color="auto"/>
            </w:tcBorders>
            <w:shd w:val="clear" w:color="auto" w:fill="auto"/>
            <w:noWrap/>
            <w:vAlign w:val="bottom"/>
            <w:hideMark/>
          </w:tcPr>
          <w:p w14:paraId="10058D97"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51</w:t>
            </w:r>
          </w:p>
        </w:tc>
        <w:tc>
          <w:tcPr>
            <w:tcW w:w="474" w:type="pct"/>
            <w:tcBorders>
              <w:top w:val="nil"/>
              <w:left w:val="nil"/>
              <w:bottom w:val="single" w:sz="4" w:space="0" w:color="auto"/>
              <w:right w:val="single" w:sz="4" w:space="0" w:color="auto"/>
            </w:tcBorders>
            <w:shd w:val="clear" w:color="auto" w:fill="auto"/>
            <w:noWrap/>
            <w:vAlign w:val="bottom"/>
            <w:hideMark/>
          </w:tcPr>
          <w:p w14:paraId="40159499"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67</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74316501"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1 424</w:t>
            </w:r>
          </w:p>
        </w:tc>
      </w:tr>
      <w:tr w:rsidR="00CE2284" w:rsidRPr="002818F9" w14:paraId="1DA64B53" w14:textId="77777777" w:rsidTr="00CE2284">
        <w:trPr>
          <w:trHeight w:val="288"/>
        </w:trPr>
        <w:tc>
          <w:tcPr>
            <w:tcW w:w="1899" w:type="pct"/>
            <w:tcBorders>
              <w:top w:val="nil"/>
              <w:left w:val="single" w:sz="4" w:space="0" w:color="auto"/>
              <w:bottom w:val="single" w:sz="4" w:space="0" w:color="auto"/>
              <w:right w:val="single" w:sz="4" w:space="0" w:color="auto"/>
            </w:tcBorders>
            <w:shd w:val="clear" w:color="auto" w:fill="auto"/>
            <w:noWrap/>
            <w:vAlign w:val="bottom"/>
            <w:hideMark/>
          </w:tcPr>
          <w:p w14:paraId="6DDB7EF5"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wielkopolskie</w:t>
            </w:r>
          </w:p>
        </w:tc>
        <w:tc>
          <w:tcPr>
            <w:tcW w:w="950" w:type="pct"/>
            <w:tcBorders>
              <w:top w:val="nil"/>
              <w:left w:val="nil"/>
              <w:bottom w:val="single" w:sz="4" w:space="0" w:color="auto"/>
              <w:right w:val="single" w:sz="4" w:space="0" w:color="auto"/>
            </w:tcBorders>
            <w:shd w:val="clear" w:color="auto" w:fill="auto"/>
            <w:noWrap/>
            <w:vAlign w:val="bottom"/>
            <w:hideMark/>
          </w:tcPr>
          <w:p w14:paraId="18A2727F"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36</w:t>
            </w:r>
          </w:p>
        </w:tc>
        <w:tc>
          <w:tcPr>
            <w:tcW w:w="688" w:type="pct"/>
            <w:tcBorders>
              <w:top w:val="nil"/>
              <w:left w:val="nil"/>
              <w:bottom w:val="single" w:sz="4" w:space="0" w:color="auto"/>
              <w:right w:val="single" w:sz="4" w:space="0" w:color="auto"/>
            </w:tcBorders>
            <w:shd w:val="clear" w:color="auto" w:fill="auto"/>
            <w:noWrap/>
            <w:vAlign w:val="bottom"/>
            <w:hideMark/>
          </w:tcPr>
          <w:p w14:paraId="2B0F1E6C"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66</w:t>
            </w:r>
          </w:p>
        </w:tc>
        <w:tc>
          <w:tcPr>
            <w:tcW w:w="474" w:type="pct"/>
            <w:tcBorders>
              <w:top w:val="nil"/>
              <w:left w:val="nil"/>
              <w:bottom w:val="single" w:sz="4" w:space="0" w:color="auto"/>
              <w:right w:val="single" w:sz="4" w:space="0" w:color="auto"/>
            </w:tcBorders>
            <w:shd w:val="clear" w:color="auto" w:fill="auto"/>
            <w:noWrap/>
            <w:vAlign w:val="bottom"/>
            <w:hideMark/>
          </w:tcPr>
          <w:p w14:paraId="7E0ED61E"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102</w:t>
            </w:r>
          </w:p>
        </w:tc>
        <w:tc>
          <w:tcPr>
            <w:tcW w:w="989" w:type="pct"/>
            <w:tcBorders>
              <w:top w:val="nil"/>
              <w:left w:val="single" w:sz="4" w:space="0" w:color="auto"/>
              <w:bottom w:val="single" w:sz="4" w:space="0" w:color="auto"/>
              <w:right w:val="single" w:sz="4" w:space="0" w:color="auto"/>
            </w:tcBorders>
            <w:shd w:val="clear" w:color="auto" w:fill="auto"/>
            <w:noWrap/>
            <w:vAlign w:val="bottom"/>
            <w:hideMark/>
          </w:tcPr>
          <w:p w14:paraId="22A48C47"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2 610</w:t>
            </w:r>
          </w:p>
        </w:tc>
      </w:tr>
      <w:tr w:rsidR="00CE2284" w:rsidRPr="002818F9" w14:paraId="608C8161" w14:textId="77777777" w:rsidTr="00CE2284">
        <w:trPr>
          <w:trHeight w:val="300"/>
        </w:trPr>
        <w:tc>
          <w:tcPr>
            <w:tcW w:w="1899" w:type="pct"/>
            <w:tcBorders>
              <w:top w:val="nil"/>
              <w:left w:val="single" w:sz="4" w:space="0" w:color="auto"/>
              <w:bottom w:val="nil"/>
              <w:right w:val="single" w:sz="4" w:space="0" w:color="auto"/>
            </w:tcBorders>
            <w:shd w:val="clear" w:color="auto" w:fill="auto"/>
            <w:noWrap/>
            <w:vAlign w:val="bottom"/>
            <w:hideMark/>
          </w:tcPr>
          <w:p w14:paraId="0FA4663A" w14:textId="77777777" w:rsidR="00CE2284" w:rsidRPr="002818F9" w:rsidRDefault="00CE2284" w:rsidP="00CE2284">
            <w:pPr>
              <w:spacing w:after="0" w:line="240" w:lineRule="auto"/>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Województwo zachodniopomorskie</w:t>
            </w:r>
          </w:p>
        </w:tc>
        <w:tc>
          <w:tcPr>
            <w:tcW w:w="950" w:type="pct"/>
            <w:tcBorders>
              <w:top w:val="nil"/>
              <w:left w:val="nil"/>
              <w:bottom w:val="nil"/>
              <w:right w:val="single" w:sz="4" w:space="0" w:color="auto"/>
            </w:tcBorders>
            <w:shd w:val="clear" w:color="auto" w:fill="auto"/>
            <w:noWrap/>
            <w:vAlign w:val="bottom"/>
            <w:hideMark/>
          </w:tcPr>
          <w:p w14:paraId="30F285F4"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13</w:t>
            </w:r>
          </w:p>
        </w:tc>
        <w:tc>
          <w:tcPr>
            <w:tcW w:w="688" w:type="pct"/>
            <w:tcBorders>
              <w:top w:val="nil"/>
              <w:left w:val="nil"/>
              <w:bottom w:val="nil"/>
              <w:right w:val="single" w:sz="4" w:space="0" w:color="auto"/>
            </w:tcBorders>
            <w:shd w:val="clear" w:color="auto" w:fill="auto"/>
            <w:noWrap/>
            <w:vAlign w:val="bottom"/>
            <w:hideMark/>
          </w:tcPr>
          <w:p w14:paraId="6309B509"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40</w:t>
            </w:r>
          </w:p>
        </w:tc>
        <w:tc>
          <w:tcPr>
            <w:tcW w:w="474" w:type="pct"/>
            <w:tcBorders>
              <w:top w:val="nil"/>
              <w:left w:val="nil"/>
              <w:bottom w:val="nil"/>
              <w:right w:val="single" w:sz="4" w:space="0" w:color="auto"/>
            </w:tcBorders>
            <w:shd w:val="clear" w:color="auto" w:fill="auto"/>
            <w:noWrap/>
            <w:vAlign w:val="bottom"/>
            <w:hideMark/>
          </w:tcPr>
          <w:p w14:paraId="0672FA7B"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53</w:t>
            </w:r>
          </w:p>
        </w:tc>
        <w:tc>
          <w:tcPr>
            <w:tcW w:w="989" w:type="pct"/>
            <w:tcBorders>
              <w:top w:val="nil"/>
              <w:left w:val="single" w:sz="4" w:space="0" w:color="auto"/>
              <w:bottom w:val="nil"/>
              <w:right w:val="single" w:sz="4" w:space="0" w:color="auto"/>
            </w:tcBorders>
            <w:shd w:val="clear" w:color="auto" w:fill="auto"/>
            <w:noWrap/>
            <w:vAlign w:val="bottom"/>
            <w:hideMark/>
          </w:tcPr>
          <w:p w14:paraId="0E940B91" w14:textId="77777777" w:rsidR="00CE2284" w:rsidRPr="002818F9" w:rsidRDefault="00CE2284" w:rsidP="00CE2284">
            <w:pPr>
              <w:spacing w:after="0" w:line="240" w:lineRule="auto"/>
              <w:jc w:val="right"/>
              <w:rPr>
                <w:rFonts w:ascii="Lato" w:eastAsia="Times New Roman" w:hAnsi="Lato" w:cs="Calibri"/>
                <w:color w:val="000000"/>
                <w:sz w:val="20"/>
                <w:szCs w:val="20"/>
                <w:lang w:eastAsia="pl-PL"/>
              </w:rPr>
            </w:pPr>
            <w:r w:rsidRPr="002818F9">
              <w:rPr>
                <w:rFonts w:ascii="Lato" w:eastAsia="Times New Roman" w:hAnsi="Lato" w:cs="Calibri"/>
                <w:color w:val="000000"/>
                <w:sz w:val="20"/>
                <w:szCs w:val="20"/>
                <w:lang w:eastAsia="pl-PL"/>
              </w:rPr>
              <w:t>1 319</w:t>
            </w:r>
          </w:p>
        </w:tc>
      </w:tr>
      <w:tr w:rsidR="00CE2284" w:rsidRPr="002818F9" w14:paraId="182C8BD9" w14:textId="77777777" w:rsidTr="00CE2284">
        <w:trPr>
          <w:trHeight w:val="300"/>
        </w:trPr>
        <w:tc>
          <w:tcPr>
            <w:tcW w:w="1899"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94C5FED" w14:textId="77777777" w:rsidR="00CE2284" w:rsidRPr="002818F9" w:rsidRDefault="00CE2284" w:rsidP="00CE2284">
            <w:pPr>
              <w:spacing w:after="0" w:line="240" w:lineRule="auto"/>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POLSKA</w:t>
            </w:r>
          </w:p>
        </w:tc>
        <w:tc>
          <w:tcPr>
            <w:tcW w:w="950" w:type="pct"/>
            <w:tcBorders>
              <w:top w:val="single" w:sz="8" w:space="0" w:color="auto"/>
              <w:left w:val="nil"/>
              <w:bottom w:val="single" w:sz="8" w:space="0" w:color="auto"/>
              <w:right w:val="single" w:sz="4" w:space="0" w:color="auto"/>
            </w:tcBorders>
            <w:shd w:val="clear" w:color="auto" w:fill="auto"/>
            <w:noWrap/>
            <w:vAlign w:val="bottom"/>
            <w:hideMark/>
          </w:tcPr>
          <w:p w14:paraId="5208B9F9"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353</w:t>
            </w:r>
          </w:p>
        </w:tc>
        <w:tc>
          <w:tcPr>
            <w:tcW w:w="688" w:type="pct"/>
            <w:tcBorders>
              <w:top w:val="single" w:sz="8" w:space="0" w:color="auto"/>
              <w:left w:val="nil"/>
              <w:bottom w:val="single" w:sz="8" w:space="0" w:color="auto"/>
              <w:right w:val="single" w:sz="4" w:space="0" w:color="auto"/>
            </w:tcBorders>
            <w:shd w:val="clear" w:color="auto" w:fill="auto"/>
            <w:noWrap/>
            <w:vAlign w:val="bottom"/>
            <w:hideMark/>
          </w:tcPr>
          <w:p w14:paraId="33D36C1C"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826</w:t>
            </w:r>
          </w:p>
        </w:tc>
        <w:tc>
          <w:tcPr>
            <w:tcW w:w="474" w:type="pct"/>
            <w:tcBorders>
              <w:top w:val="single" w:sz="8" w:space="0" w:color="auto"/>
              <w:left w:val="nil"/>
              <w:bottom w:val="single" w:sz="8" w:space="0" w:color="auto"/>
              <w:right w:val="single" w:sz="4" w:space="0" w:color="auto"/>
            </w:tcBorders>
            <w:shd w:val="clear" w:color="auto" w:fill="auto"/>
            <w:noWrap/>
            <w:vAlign w:val="bottom"/>
            <w:hideMark/>
          </w:tcPr>
          <w:p w14:paraId="50E7422A"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1 179</w:t>
            </w:r>
          </w:p>
        </w:tc>
        <w:tc>
          <w:tcPr>
            <w:tcW w:w="989"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B5F0AC2" w14:textId="77777777" w:rsidR="00CE2284" w:rsidRPr="002818F9" w:rsidRDefault="00CE2284" w:rsidP="00CE2284">
            <w:pPr>
              <w:spacing w:after="0" w:line="240" w:lineRule="auto"/>
              <w:jc w:val="right"/>
              <w:rPr>
                <w:rFonts w:ascii="Lato" w:eastAsia="Times New Roman" w:hAnsi="Lato" w:cs="Calibri"/>
                <w:b/>
                <w:bCs/>
                <w:color w:val="000000"/>
                <w:sz w:val="20"/>
                <w:szCs w:val="20"/>
                <w:lang w:eastAsia="pl-PL"/>
              </w:rPr>
            </w:pPr>
            <w:r w:rsidRPr="002818F9">
              <w:rPr>
                <w:rFonts w:ascii="Lato" w:eastAsia="Times New Roman" w:hAnsi="Lato" w:cs="Calibri"/>
                <w:b/>
                <w:bCs/>
                <w:color w:val="000000"/>
                <w:sz w:val="20"/>
                <w:szCs w:val="20"/>
                <w:lang w:eastAsia="pl-PL"/>
              </w:rPr>
              <w:t>27 745</w:t>
            </w:r>
          </w:p>
        </w:tc>
      </w:tr>
    </w:tbl>
    <w:p w14:paraId="4B0E7C6C" w14:textId="1D6F8A37" w:rsidR="00CE2284" w:rsidRPr="004F5101" w:rsidRDefault="00CE2284" w:rsidP="00475913">
      <w:pPr>
        <w:shd w:val="clear" w:color="auto" w:fill="FFFFFF"/>
        <w:spacing w:after="0" w:line="240" w:lineRule="auto"/>
        <w:jc w:val="both"/>
        <w:rPr>
          <w:rFonts w:ascii="Lato" w:eastAsia="Times New Roman" w:hAnsi="Lato"/>
          <w:sz w:val="16"/>
          <w:szCs w:val="16"/>
          <w:lang w:eastAsia="pl-PL"/>
        </w:rPr>
      </w:pPr>
      <w:r w:rsidRPr="004F5101">
        <w:rPr>
          <w:rFonts w:ascii="Lato" w:eastAsia="Times New Roman" w:hAnsi="Lato"/>
          <w:sz w:val="16"/>
          <w:szCs w:val="16"/>
          <w:lang w:eastAsia="pl-PL"/>
        </w:rPr>
        <w:t>Źródło: Ministerstw</w:t>
      </w:r>
      <w:r w:rsidR="004F5101" w:rsidRPr="004F5101">
        <w:rPr>
          <w:rFonts w:ascii="Lato" w:eastAsia="Times New Roman" w:hAnsi="Lato"/>
          <w:sz w:val="16"/>
          <w:szCs w:val="16"/>
          <w:lang w:eastAsia="pl-PL"/>
        </w:rPr>
        <w:t>o</w:t>
      </w:r>
      <w:r w:rsidRPr="004F5101">
        <w:rPr>
          <w:rFonts w:ascii="Lato" w:eastAsia="Times New Roman" w:hAnsi="Lato"/>
          <w:sz w:val="16"/>
          <w:szCs w:val="16"/>
          <w:lang w:eastAsia="pl-PL"/>
        </w:rPr>
        <w:t xml:space="preserve"> Rodziny i Polityki </w:t>
      </w:r>
      <w:r w:rsidR="00F90BC3" w:rsidRPr="004F5101">
        <w:rPr>
          <w:rFonts w:ascii="Lato" w:eastAsia="Times New Roman" w:hAnsi="Lato"/>
          <w:sz w:val="16"/>
          <w:szCs w:val="16"/>
          <w:lang w:eastAsia="pl-PL"/>
        </w:rPr>
        <w:t>Społecznej</w:t>
      </w:r>
    </w:p>
    <w:p w14:paraId="078A6CDE" w14:textId="77777777" w:rsidR="00CE2284" w:rsidRPr="005C2D88" w:rsidRDefault="00CE2284" w:rsidP="00475913">
      <w:pPr>
        <w:shd w:val="clear" w:color="auto" w:fill="FFFFFF"/>
        <w:spacing w:after="0" w:line="240" w:lineRule="auto"/>
        <w:jc w:val="both"/>
        <w:rPr>
          <w:rFonts w:ascii="Lato" w:eastAsia="Times New Roman" w:hAnsi="Lato"/>
          <w:sz w:val="20"/>
          <w:szCs w:val="20"/>
          <w:lang w:eastAsia="pl-PL"/>
        </w:rPr>
      </w:pPr>
    </w:p>
    <w:p w14:paraId="4AED5E27" w14:textId="5A8D23EE" w:rsidR="00475913" w:rsidRPr="001772CC" w:rsidRDefault="00475913" w:rsidP="00475913">
      <w:pPr>
        <w:spacing w:after="0" w:line="240" w:lineRule="auto"/>
        <w:jc w:val="both"/>
        <w:rPr>
          <w:rFonts w:ascii="Lato" w:hAnsi="Lato"/>
          <w:sz w:val="20"/>
          <w:szCs w:val="20"/>
        </w:rPr>
      </w:pPr>
      <w:r w:rsidRPr="005C2D88">
        <w:rPr>
          <w:rFonts w:ascii="Lato" w:hAnsi="Lato"/>
          <w:sz w:val="20"/>
          <w:szCs w:val="20"/>
        </w:rPr>
        <w:t xml:space="preserve">W ramach dotychczasowej realizacji Programu samorządy utworzyły do końca 2022 r. łącznie </w:t>
      </w:r>
      <w:r w:rsidRPr="005C2D88">
        <w:rPr>
          <w:rFonts w:ascii="Lato" w:hAnsi="Lato"/>
          <w:bCs/>
          <w:sz w:val="20"/>
          <w:szCs w:val="20"/>
        </w:rPr>
        <w:t>1179 o</w:t>
      </w:r>
      <w:r w:rsidRPr="005C2D88">
        <w:rPr>
          <w:rFonts w:ascii="Lato" w:hAnsi="Lato"/>
          <w:sz w:val="20"/>
          <w:szCs w:val="20"/>
        </w:rPr>
        <w:t>środków wsparcia „Senior+”</w:t>
      </w:r>
      <w:r>
        <w:rPr>
          <w:rFonts w:ascii="Lato" w:hAnsi="Lato"/>
          <w:sz w:val="20"/>
          <w:szCs w:val="20"/>
        </w:rPr>
        <w:t xml:space="preserve">. Tylko  </w:t>
      </w:r>
      <w:r w:rsidRPr="005C2D88">
        <w:rPr>
          <w:rFonts w:ascii="Lato" w:hAnsi="Lato"/>
          <w:sz w:val="20"/>
          <w:szCs w:val="20"/>
        </w:rPr>
        <w:t>w 2022 r.</w:t>
      </w:r>
      <w:r>
        <w:rPr>
          <w:rFonts w:ascii="Lato" w:hAnsi="Lato"/>
          <w:sz w:val="20"/>
          <w:szCs w:val="20"/>
        </w:rPr>
        <w:t xml:space="preserve"> </w:t>
      </w:r>
      <w:r>
        <w:rPr>
          <w:rFonts w:ascii="Lato" w:eastAsia="Times New Roman" w:hAnsi="Lato"/>
          <w:sz w:val="20"/>
          <w:szCs w:val="20"/>
          <w:lang w:eastAsia="pl-PL"/>
        </w:rPr>
        <w:t xml:space="preserve"> powstało </w:t>
      </w:r>
      <w:r w:rsidRPr="005C2D88">
        <w:rPr>
          <w:rFonts w:ascii="Lato" w:hAnsi="Lato"/>
          <w:sz w:val="20"/>
          <w:szCs w:val="20"/>
        </w:rPr>
        <w:t>87 ośrodków</w:t>
      </w:r>
      <w:r>
        <w:rPr>
          <w:rFonts w:ascii="Lato" w:hAnsi="Lato"/>
          <w:sz w:val="20"/>
          <w:szCs w:val="20"/>
        </w:rPr>
        <w:t xml:space="preserve">, w tym 16 Dziennych Domów i 71 Klubów Senior+. </w:t>
      </w:r>
      <w:r w:rsidR="00CE2284">
        <w:rPr>
          <w:rFonts w:ascii="Lato" w:hAnsi="Lato"/>
          <w:sz w:val="20"/>
          <w:szCs w:val="20"/>
        </w:rPr>
        <w:t xml:space="preserve"> W ramach edycji 2022 Programu utworzono 1 898 miejsc. Dotację na zapewnienie funkcjonowania otrzymało 590 ośrodków. </w:t>
      </w:r>
      <w:r w:rsidRPr="005C2D88">
        <w:rPr>
          <w:rFonts w:ascii="Lato" w:hAnsi="Lato"/>
          <w:sz w:val="20"/>
          <w:szCs w:val="20"/>
        </w:rPr>
        <w:t xml:space="preserve">Wartość programu </w:t>
      </w:r>
      <w:r w:rsidRPr="005C2D88">
        <w:rPr>
          <w:rFonts w:ascii="Lato" w:hAnsi="Lato" w:cs="Times New Roman"/>
          <w:sz w:val="20"/>
          <w:szCs w:val="20"/>
        </w:rPr>
        <w:t xml:space="preserve">na lata 2021–2025 to </w:t>
      </w:r>
      <w:r w:rsidRPr="005C2D88">
        <w:rPr>
          <w:rFonts w:ascii="Lato" w:eastAsia="Times New Roman" w:hAnsi="Lato"/>
          <w:bCs/>
          <w:sz w:val="20"/>
          <w:szCs w:val="20"/>
          <w:lang w:eastAsia="pl-PL"/>
        </w:rPr>
        <w:t>300 mln zł (po 60 mln na każdą edycję).</w:t>
      </w:r>
    </w:p>
    <w:p w14:paraId="6D9605C9" w14:textId="77777777" w:rsidR="00475913" w:rsidRDefault="00475913" w:rsidP="00A94E37">
      <w:pPr>
        <w:spacing w:after="0" w:line="240" w:lineRule="auto"/>
        <w:contextualSpacing/>
        <w:jc w:val="both"/>
        <w:rPr>
          <w:rFonts w:ascii="Lato" w:hAnsi="Lato" w:cstheme="minorHAnsi"/>
          <w:b/>
          <w:bCs/>
          <w:iCs/>
          <w:sz w:val="20"/>
          <w:szCs w:val="20"/>
        </w:rPr>
      </w:pPr>
    </w:p>
    <w:p w14:paraId="628C4F35" w14:textId="1D73E0FE" w:rsidR="008820EF" w:rsidRDefault="008820EF" w:rsidP="00A94E37">
      <w:pPr>
        <w:spacing w:after="0" w:line="240" w:lineRule="auto"/>
        <w:contextualSpacing/>
        <w:jc w:val="both"/>
        <w:rPr>
          <w:rFonts w:ascii="Lato" w:hAnsi="Lato" w:cstheme="minorHAnsi"/>
          <w:b/>
          <w:bCs/>
          <w:iCs/>
          <w:sz w:val="20"/>
          <w:szCs w:val="20"/>
        </w:rPr>
      </w:pPr>
      <w:r>
        <w:rPr>
          <w:rFonts w:ascii="Lato" w:hAnsi="Lato" w:cstheme="minorHAnsi"/>
          <w:b/>
          <w:bCs/>
          <w:iCs/>
          <w:sz w:val="20"/>
          <w:szCs w:val="20"/>
        </w:rPr>
        <w:t>Program Aktywni+</w:t>
      </w:r>
    </w:p>
    <w:p w14:paraId="4E10775C" w14:textId="77777777" w:rsidR="00475913" w:rsidRDefault="00475913" w:rsidP="00475913">
      <w:pPr>
        <w:autoSpaceDE w:val="0"/>
        <w:autoSpaceDN w:val="0"/>
        <w:adjustRightInd w:val="0"/>
        <w:spacing w:after="0" w:line="240" w:lineRule="auto"/>
        <w:jc w:val="both"/>
        <w:rPr>
          <w:rFonts w:ascii="Lato" w:hAnsi="Lato"/>
          <w:sz w:val="20"/>
          <w:szCs w:val="20"/>
        </w:rPr>
      </w:pPr>
      <w:r w:rsidRPr="005C2D88">
        <w:rPr>
          <w:rFonts w:ascii="Lato" w:hAnsi="Lato"/>
          <w:sz w:val="20"/>
          <w:szCs w:val="20"/>
        </w:rPr>
        <w:t>Ministerstwo Rodziny od wielu lat wspiera</w:t>
      </w:r>
      <w:r>
        <w:rPr>
          <w:rFonts w:ascii="Lato" w:hAnsi="Lato"/>
          <w:sz w:val="20"/>
          <w:szCs w:val="20"/>
        </w:rPr>
        <w:t xml:space="preserve"> także</w:t>
      </w:r>
      <w:r w:rsidRPr="005C2D88">
        <w:rPr>
          <w:rFonts w:ascii="Lato" w:hAnsi="Lato"/>
          <w:sz w:val="20"/>
          <w:szCs w:val="20"/>
        </w:rPr>
        <w:t xml:space="preserve"> działalność organizacji pozarządowych </w:t>
      </w:r>
      <w:r w:rsidRPr="005C2D88">
        <w:rPr>
          <w:rFonts w:ascii="Lato" w:hAnsi="Lato" w:cs="Times New Roman"/>
          <w:sz w:val="20"/>
          <w:szCs w:val="20"/>
        </w:rPr>
        <w:t>m.in. fundacji, stowarzyszeń, spółdzielni socjalnych</w:t>
      </w:r>
      <w:r w:rsidRPr="005C2D88">
        <w:rPr>
          <w:rFonts w:ascii="Lato" w:hAnsi="Lato"/>
          <w:sz w:val="20"/>
          <w:szCs w:val="20"/>
        </w:rPr>
        <w:t>, które realizują projekty skierowane do seniorów w całej Polsce</w:t>
      </w:r>
      <w:r>
        <w:rPr>
          <w:rFonts w:ascii="Lato" w:hAnsi="Lato"/>
          <w:sz w:val="20"/>
          <w:szCs w:val="20"/>
        </w:rPr>
        <w:t xml:space="preserve">. </w:t>
      </w:r>
      <w:r>
        <w:rPr>
          <w:rFonts w:ascii="Lato" w:hAnsi="Lato" w:cs="Times New Roman"/>
          <w:sz w:val="20"/>
          <w:szCs w:val="20"/>
        </w:rPr>
        <w:t xml:space="preserve">W ramach </w:t>
      </w:r>
      <w:r w:rsidRPr="005C2D88">
        <w:rPr>
          <w:rFonts w:ascii="Lato" w:hAnsi="Lato" w:cs="Times New Roman"/>
          <w:b/>
          <w:bCs/>
          <w:sz w:val="20"/>
          <w:szCs w:val="20"/>
        </w:rPr>
        <w:t>Programu wieloletniego na rzecz Osób Starszych „Aktywni+” na lata 2021–2025</w:t>
      </w:r>
      <w:r>
        <w:rPr>
          <w:rFonts w:ascii="Lato" w:hAnsi="Lato" w:cs="Times New Roman"/>
          <w:sz w:val="20"/>
          <w:szCs w:val="20"/>
        </w:rPr>
        <w:t xml:space="preserve"> d</w:t>
      </w:r>
      <w:r w:rsidRPr="005C2D88">
        <w:rPr>
          <w:rFonts w:ascii="Lato" w:hAnsi="Lato" w:cs="Times New Roman"/>
          <w:sz w:val="20"/>
          <w:szCs w:val="20"/>
        </w:rPr>
        <w:t>otacje przyznawane są w ramach 4 priorytetów:</w:t>
      </w:r>
      <w:r w:rsidRPr="005C2D88">
        <w:rPr>
          <w:rFonts w:ascii="Lato" w:hAnsi="Lato"/>
          <w:sz w:val="20"/>
          <w:szCs w:val="20"/>
        </w:rPr>
        <w:t xml:space="preserve"> </w:t>
      </w:r>
    </w:p>
    <w:p w14:paraId="68BFF39D" w14:textId="77777777" w:rsidR="00475913" w:rsidRDefault="00475913" w:rsidP="0059185B">
      <w:pPr>
        <w:pStyle w:val="Akapitzlist"/>
        <w:numPr>
          <w:ilvl w:val="0"/>
          <w:numId w:val="178"/>
        </w:numPr>
        <w:autoSpaceDE w:val="0"/>
        <w:autoSpaceDN w:val="0"/>
        <w:adjustRightInd w:val="0"/>
        <w:spacing w:after="0" w:line="240" w:lineRule="auto"/>
        <w:jc w:val="both"/>
        <w:rPr>
          <w:rFonts w:ascii="Lato" w:hAnsi="Lato"/>
          <w:sz w:val="20"/>
          <w:szCs w:val="20"/>
        </w:rPr>
      </w:pPr>
      <w:r w:rsidRPr="001772CC">
        <w:rPr>
          <w:rFonts w:ascii="Lato" w:hAnsi="Lato" w:cs="Times New Roman"/>
          <w:sz w:val="20"/>
          <w:szCs w:val="20"/>
        </w:rPr>
        <w:t>Aktywność społeczna</w:t>
      </w:r>
      <w:r w:rsidRPr="001772CC">
        <w:rPr>
          <w:rFonts w:ascii="Lato" w:hAnsi="Lato"/>
          <w:sz w:val="20"/>
          <w:szCs w:val="20"/>
        </w:rPr>
        <w:t xml:space="preserve">, </w:t>
      </w:r>
    </w:p>
    <w:p w14:paraId="26F1BD28" w14:textId="77777777" w:rsidR="00475913" w:rsidRDefault="00475913" w:rsidP="0059185B">
      <w:pPr>
        <w:pStyle w:val="Akapitzlist"/>
        <w:numPr>
          <w:ilvl w:val="0"/>
          <w:numId w:val="178"/>
        </w:numPr>
        <w:autoSpaceDE w:val="0"/>
        <w:autoSpaceDN w:val="0"/>
        <w:adjustRightInd w:val="0"/>
        <w:spacing w:after="0" w:line="240" w:lineRule="auto"/>
        <w:jc w:val="both"/>
        <w:rPr>
          <w:rFonts w:ascii="Lato" w:hAnsi="Lato"/>
          <w:sz w:val="20"/>
          <w:szCs w:val="20"/>
        </w:rPr>
      </w:pPr>
      <w:r w:rsidRPr="001772CC">
        <w:rPr>
          <w:rFonts w:ascii="Lato" w:hAnsi="Lato" w:cs="Times New Roman"/>
          <w:sz w:val="20"/>
          <w:szCs w:val="20"/>
        </w:rPr>
        <w:t>Partycypacja społeczna</w:t>
      </w:r>
      <w:r w:rsidRPr="001772CC">
        <w:rPr>
          <w:rFonts w:ascii="Lato" w:hAnsi="Lato"/>
          <w:sz w:val="20"/>
          <w:szCs w:val="20"/>
        </w:rPr>
        <w:t xml:space="preserve">, </w:t>
      </w:r>
    </w:p>
    <w:p w14:paraId="22F26952" w14:textId="77777777" w:rsidR="00475913" w:rsidRDefault="00475913" w:rsidP="0059185B">
      <w:pPr>
        <w:pStyle w:val="Akapitzlist"/>
        <w:numPr>
          <w:ilvl w:val="0"/>
          <w:numId w:val="178"/>
        </w:numPr>
        <w:autoSpaceDE w:val="0"/>
        <w:autoSpaceDN w:val="0"/>
        <w:adjustRightInd w:val="0"/>
        <w:spacing w:after="0" w:line="240" w:lineRule="auto"/>
        <w:jc w:val="both"/>
        <w:rPr>
          <w:rFonts w:ascii="Lato" w:hAnsi="Lato"/>
          <w:sz w:val="20"/>
          <w:szCs w:val="20"/>
        </w:rPr>
      </w:pPr>
      <w:r w:rsidRPr="001772CC">
        <w:rPr>
          <w:rFonts w:ascii="Lato" w:hAnsi="Lato" w:cs="Times New Roman"/>
          <w:sz w:val="20"/>
          <w:szCs w:val="20"/>
        </w:rPr>
        <w:t>Włączenie cyfrowe</w:t>
      </w:r>
      <w:r w:rsidRPr="001772CC">
        <w:rPr>
          <w:rFonts w:ascii="Lato" w:hAnsi="Lato"/>
          <w:sz w:val="20"/>
          <w:szCs w:val="20"/>
        </w:rPr>
        <w:t xml:space="preserve"> oraz </w:t>
      </w:r>
    </w:p>
    <w:p w14:paraId="48BF34B2" w14:textId="77777777" w:rsidR="00475913" w:rsidRPr="001772CC" w:rsidRDefault="00475913" w:rsidP="0059185B">
      <w:pPr>
        <w:pStyle w:val="Akapitzlist"/>
        <w:numPr>
          <w:ilvl w:val="0"/>
          <w:numId w:val="178"/>
        </w:numPr>
        <w:autoSpaceDE w:val="0"/>
        <w:autoSpaceDN w:val="0"/>
        <w:adjustRightInd w:val="0"/>
        <w:spacing w:after="0" w:line="240" w:lineRule="auto"/>
        <w:jc w:val="both"/>
        <w:rPr>
          <w:rFonts w:ascii="Lato" w:hAnsi="Lato"/>
          <w:sz w:val="20"/>
          <w:szCs w:val="20"/>
        </w:rPr>
      </w:pPr>
      <w:r w:rsidRPr="001772CC">
        <w:rPr>
          <w:rFonts w:ascii="Lato" w:hAnsi="Lato" w:cs="Times New Roman"/>
          <w:sz w:val="20"/>
          <w:szCs w:val="20"/>
        </w:rPr>
        <w:t xml:space="preserve">Przygotowanie do starości. </w:t>
      </w:r>
    </w:p>
    <w:p w14:paraId="6A557C8F" w14:textId="77777777" w:rsidR="00475913" w:rsidRDefault="00475913" w:rsidP="00475913">
      <w:pPr>
        <w:spacing w:after="0" w:line="240" w:lineRule="auto"/>
        <w:jc w:val="both"/>
        <w:rPr>
          <w:rFonts w:ascii="Lato" w:hAnsi="Lato" w:cs="Times New Roman"/>
          <w:sz w:val="20"/>
          <w:szCs w:val="20"/>
        </w:rPr>
      </w:pPr>
    </w:p>
    <w:p w14:paraId="6C98695D" w14:textId="77777777" w:rsidR="00475913" w:rsidRPr="005C2D88" w:rsidRDefault="00475913" w:rsidP="00475913">
      <w:pPr>
        <w:spacing w:after="0" w:line="240" w:lineRule="auto"/>
        <w:jc w:val="both"/>
        <w:rPr>
          <w:rFonts w:ascii="Lato" w:hAnsi="Lato" w:cs="Times New Roman"/>
          <w:bCs/>
          <w:sz w:val="20"/>
          <w:szCs w:val="20"/>
        </w:rPr>
      </w:pPr>
      <w:r w:rsidRPr="005C2D88">
        <w:rPr>
          <w:rFonts w:ascii="Lato" w:hAnsi="Lato" w:cs="Times New Roman"/>
          <w:sz w:val="20"/>
          <w:szCs w:val="20"/>
        </w:rPr>
        <w:t>Celem Programu Aktywni+ jest zwiększenie uczestnictwa osób starszych we wszystkich dziedzinach życia społecznego oraz wspieranie aktywności organizacji pozarządowych działających na rzecz seniorów.</w:t>
      </w:r>
    </w:p>
    <w:p w14:paraId="2E0F18CF" w14:textId="4FDD3816" w:rsidR="00475913" w:rsidRDefault="00475913" w:rsidP="00CE2284">
      <w:pPr>
        <w:suppressAutoHyphens/>
        <w:spacing w:after="0" w:line="240" w:lineRule="auto"/>
        <w:jc w:val="both"/>
        <w:rPr>
          <w:rFonts w:ascii="Lato" w:hAnsi="Lato" w:cs="Times New Roman"/>
          <w:sz w:val="20"/>
          <w:szCs w:val="20"/>
        </w:rPr>
      </w:pPr>
    </w:p>
    <w:p w14:paraId="2FFDB4CE" w14:textId="6E5FE4D6" w:rsidR="00F90BC3" w:rsidRDefault="00F90BC3" w:rsidP="00F90BC3">
      <w:pPr>
        <w:pStyle w:val="Legenda"/>
        <w:keepNext/>
      </w:pPr>
      <w:bookmarkStart w:id="53" w:name="_Toc142566003"/>
      <w:r>
        <w:t xml:space="preserve">Tabela </w:t>
      </w:r>
      <w:fldSimple w:instr=" SEQ Tabela \* ARABIC ">
        <w:r w:rsidR="00AA385B">
          <w:rPr>
            <w:noProof/>
          </w:rPr>
          <w:t>40</w:t>
        </w:r>
      </w:fldSimple>
      <w:r>
        <w:t xml:space="preserve"> Program Aktywni+ w latach 2021-2022</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2"/>
        <w:gridCol w:w="2218"/>
        <w:gridCol w:w="2833"/>
        <w:gridCol w:w="2909"/>
      </w:tblGrid>
      <w:tr w:rsidR="00CE2284" w:rsidRPr="002818F9" w14:paraId="386060E3" w14:textId="77777777" w:rsidTr="002818F9">
        <w:trPr>
          <w:trHeight w:val="896"/>
        </w:trPr>
        <w:tc>
          <w:tcPr>
            <w:tcW w:w="608" w:type="pct"/>
            <w:shd w:val="clear" w:color="auto" w:fill="8EAADB" w:themeFill="accent1" w:themeFillTint="99"/>
            <w:tcMar>
              <w:top w:w="15" w:type="dxa"/>
              <w:left w:w="108" w:type="dxa"/>
              <w:bottom w:w="0" w:type="dxa"/>
              <w:right w:w="108" w:type="dxa"/>
            </w:tcMar>
            <w:hideMark/>
          </w:tcPr>
          <w:p w14:paraId="7BFEA522"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Edycja</w:t>
            </w:r>
          </w:p>
        </w:tc>
        <w:tc>
          <w:tcPr>
            <w:tcW w:w="1224" w:type="pct"/>
            <w:shd w:val="clear" w:color="auto" w:fill="8EAADB" w:themeFill="accent1" w:themeFillTint="99"/>
            <w:tcMar>
              <w:top w:w="15" w:type="dxa"/>
              <w:left w:w="108" w:type="dxa"/>
              <w:bottom w:w="0" w:type="dxa"/>
              <w:right w:w="108" w:type="dxa"/>
            </w:tcMar>
            <w:hideMark/>
          </w:tcPr>
          <w:p w14:paraId="73121610"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Liczba dofinansowanych projektów</w:t>
            </w:r>
          </w:p>
        </w:tc>
        <w:tc>
          <w:tcPr>
            <w:tcW w:w="1563" w:type="pct"/>
            <w:shd w:val="clear" w:color="auto" w:fill="8EAADB" w:themeFill="accent1" w:themeFillTint="99"/>
            <w:tcMar>
              <w:top w:w="15" w:type="dxa"/>
              <w:left w:w="108" w:type="dxa"/>
              <w:bottom w:w="0" w:type="dxa"/>
              <w:right w:w="108" w:type="dxa"/>
            </w:tcMar>
            <w:hideMark/>
          </w:tcPr>
          <w:p w14:paraId="17E568D0"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Liczba osób starszych (beneficjentów/odbiorców)</w:t>
            </w:r>
          </w:p>
        </w:tc>
        <w:tc>
          <w:tcPr>
            <w:tcW w:w="1605" w:type="pct"/>
            <w:shd w:val="clear" w:color="auto" w:fill="8EAADB" w:themeFill="accent1" w:themeFillTint="99"/>
            <w:tcMar>
              <w:top w:w="15" w:type="dxa"/>
              <w:left w:w="108" w:type="dxa"/>
              <w:bottom w:w="0" w:type="dxa"/>
              <w:right w:w="108" w:type="dxa"/>
            </w:tcMar>
            <w:hideMark/>
          </w:tcPr>
          <w:p w14:paraId="56F2B6EC"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Łączna kwota dofinansowania (w zł)</w:t>
            </w:r>
          </w:p>
        </w:tc>
      </w:tr>
      <w:tr w:rsidR="00CE2284" w:rsidRPr="002818F9" w14:paraId="7EA178D6" w14:textId="77777777" w:rsidTr="00C32B2B">
        <w:trPr>
          <w:trHeight w:val="309"/>
        </w:trPr>
        <w:tc>
          <w:tcPr>
            <w:tcW w:w="608" w:type="pct"/>
            <w:shd w:val="clear" w:color="auto" w:fill="auto"/>
            <w:tcMar>
              <w:top w:w="15" w:type="dxa"/>
              <w:left w:w="108" w:type="dxa"/>
              <w:bottom w:w="0" w:type="dxa"/>
              <w:right w:w="108" w:type="dxa"/>
            </w:tcMar>
            <w:hideMark/>
          </w:tcPr>
          <w:p w14:paraId="6471C68B"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2021</w:t>
            </w:r>
          </w:p>
        </w:tc>
        <w:tc>
          <w:tcPr>
            <w:tcW w:w="1224" w:type="pct"/>
            <w:shd w:val="clear" w:color="auto" w:fill="auto"/>
            <w:tcMar>
              <w:top w:w="15" w:type="dxa"/>
              <w:left w:w="108" w:type="dxa"/>
              <w:bottom w:w="0" w:type="dxa"/>
              <w:right w:w="108" w:type="dxa"/>
            </w:tcMar>
            <w:hideMark/>
          </w:tcPr>
          <w:p w14:paraId="7BDAB9C7"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317</w:t>
            </w:r>
          </w:p>
        </w:tc>
        <w:tc>
          <w:tcPr>
            <w:tcW w:w="1563" w:type="pct"/>
            <w:shd w:val="clear" w:color="auto" w:fill="auto"/>
            <w:tcMar>
              <w:top w:w="15" w:type="dxa"/>
              <w:left w:w="108" w:type="dxa"/>
              <w:bottom w:w="0" w:type="dxa"/>
              <w:right w:w="108" w:type="dxa"/>
            </w:tcMar>
            <w:hideMark/>
          </w:tcPr>
          <w:p w14:paraId="11160E18"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490 845</w:t>
            </w:r>
          </w:p>
        </w:tc>
        <w:tc>
          <w:tcPr>
            <w:tcW w:w="1605" w:type="pct"/>
            <w:shd w:val="clear" w:color="auto" w:fill="auto"/>
            <w:tcMar>
              <w:top w:w="15" w:type="dxa"/>
              <w:left w:w="108" w:type="dxa"/>
              <w:bottom w:w="0" w:type="dxa"/>
              <w:right w:w="108" w:type="dxa"/>
            </w:tcMar>
            <w:hideMark/>
          </w:tcPr>
          <w:p w14:paraId="16275981"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38 822 458,68</w:t>
            </w:r>
          </w:p>
        </w:tc>
      </w:tr>
      <w:tr w:rsidR="00CE2284" w:rsidRPr="002818F9" w14:paraId="6F537D69" w14:textId="77777777" w:rsidTr="00C32B2B">
        <w:trPr>
          <w:trHeight w:val="257"/>
        </w:trPr>
        <w:tc>
          <w:tcPr>
            <w:tcW w:w="608" w:type="pct"/>
            <w:shd w:val="clear" w:color="auto" w:fill="auto"/>
            <w:tcMar>
              <w:top w:w="15" w:type="dxa"/>
              <w:left w:w="108" w:type="dxa"/>
              <w:bottom w:w="0" w:type="dxa"/>
              <w:right w:w="108" w:type="dxa"/>
            </w:tcMar>
            <w:hideMark/>
          </w:tcPr>
          <w:p w14:paraId="13A594D1"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2022</w:t>
            </w:r>
          </w:p>
        </w:tc>
        <w:tc>
          <w:tcPr>
            <w:tcW w:w="1224" w:type="pct"/>
            <w:shd w:val="clear" w:color="auto" w:fill="auto"/>
            <w:tcMar>
              <w:top w:w="15" w:type="dxa"/>
              <w:left w:w="108" w:type="dxa"/>
              <w:bottom w:w="0" w:type="dxa"/>
              <w:right w:w="108" w:type="dxa"/>
            </w:tcMar>
            <w:hideMark/>
          </w:tcPr>
          <w:p w14:paraId="524ADF21"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313</w:t>
            </w:r>
          </w:p>
        </w:tc>
        <w:tc>
          <w:tcPr>
            <w:tcW w:w="1563" w:type="pct"/>
            <w:shd w:val="clear" w:color="auto" w:fill="auto"/>
            <w:tcMar>
              <w:top w:w="15" w:type="dxa"/>
              <w:left w:w="108" w:type="dxa"/>
              <w:bottom w:w="0" w:type="dxa"/>
              <w:right w:w="108" w:type="dxa"/>
            </w:tcMar>
            <w:hideMark/>
          </w:tcPr>
          <w:p w14:paraId="1D5EE096"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131 785</w:t>
            </w:r>
          </w:p>
        </w:tc>
        <w:tc>
          <w:tcPr>
            <w:tcW w:w="1605" w:type="pct"/>
            <w:shd w:val="clear" w:color="auto" w:fill="auto"/>
            <w:tcMar>
              <w:top w:w="15" w:type="dxa"/>
              <w:left w:w="108" w:type="dxa"/>
              <w:bottom w:w="0" w:type="dxa"/>
              <w:right w:w="108" w:type="dxa"/>
            </w:tcMar>
            <w:hideMark/>
          </w:tcPr>
          <w:p w14:paraId="5BDAAE09"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38 775 487,95</w:t>
            </w:r>
          </w:p>
        </w:tc>
      </w:tr>
      <w:tr w:rsidR="00CE2284" w:rsidRPr="002818F9" w14:paraId="07D69925" w14:textId="77777777" w:rsidTr="00C32B2B">
        <w:trPr>
          <w:trHeight w:val="261"/>
        </w:trPr>
        <w:tc>
          <w:tcPr>
            <w:tcW w:w="608" w:type="pct"/>
            <w:shd w:val="clear" w:color="auto" w:fill="auto"/>
            <w:tcMar>
              <w:top w:w="15" w:type="dxa"/>
              <w:left w:w="108" w:type="dxa"/>
              <w:bottom w:w="0" w:type="dxa"/>
              <w:right w:w="108" w:type="dxa"/>
            </w:tcMar>
            <w:hideMark/>
          </w:tcPr>
          <w:p w14:paraId="1CCBF00B"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Łącznie</w:t>
            </w:r>
          </w:p>
        </w:tc>
        <w:tc>
          <w:tcPr>
            <w:tcW w:w="1224" w:type="pct"/>
            <w:shd w:val="clear" w:color="auto" w:fill="auto"/>
            <w:tcMar>
              <w:top w:w="15" w:type="dxa"/>
              <w:left w:w="108" w:type="dxa"/>
              <w:bottom w:w="0" w:type="dxa"/>
              <w:right w:w="108" w:type="dxa"/>
            </w:tcMar>
            <w:hideMark/>
          </w:tcPr>
          <w:p w14:paraId="56C4A951"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630</w:t>
            </w:r>
          </w:p>
        </w:tc>
        <w:tc>
          <w:tcPr>
            <w:tcW w:w="1563" w:type="pct"/>
            <w:shd w:val="clear" w:color="auto" w:fill="auto"/>
            <w:tcMar>
              <w:top w:w="15" w:type="dxa"/>
              <w:left w:w="108" w:type="dxa"/>
              <w:bottom w:w="0" w:type="dxa"/>
              <w:right w:w="108" w:type="dxa"/>
            </w:tcMar>
            <w:hideMark/>
          </w:tcPr>
          <w:p w14:paraId="51A061AA"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622 630</w:t>
            </w:r>
          </w:p>
        </w:tc>
        <w:tc>
          <w:tcPr>
            <w:tcW w:w="1605" w:type="pct"/>
            <w:shd w:val="clear" w:color="auto" w:fill="auto"/>
            <w:tcMar>
              <w:top w:w="15" w:type="dxa"/>
              <w:left w:w="108" w:type="dxa"/>
              <w:bottom w:w="0" w:type="dxa"/>
              <w:right w:w="108" w:type="dxa"/>
            </w:tcMar>
            <w:hideMark/>
          </w:tcPr>
          <w:p w14:paraId="10CF9D6A" w14:textId="77777777" w:rsidR="00CE2284" w:rsidRPr="002818F9" w:rsidRDefault="00CE2284" w:rsidP="00CE2284">
            <w:pPr>
              <w:suppressAutoHyphens/>
              <w:spacing w:after="0" w:line="240" w:lineRule="auto"/>
              <w:jc w:val="both"/>
              <w:rPr>
                <w:rFonts w:ascii="Lato" w:hAnsi="Lato" w:cs="Times New Roman"/>
                <w:sz w:val="18"/>
                <w:szCs w:val="18"/>
              </w:rPr>
            </w:pPr>
            <w:r w:rsidRPr="002818F9">
              <w:rPr>
                <w:rFonts w:ascii="Lato" w:hAnsi="Lato" w:cs="Times New Roman"/>
                <w:b/>
                <w:bCs/>
                <w:sz w:val="18"/>
                <w:szCs w:val="18"/>
              </w:rPr>
              <w:t>77 597 946,63</w:t>
            </w:r>
          </w:p>
        </w:tc>
      </w:tr>
    </w:tbl>
    <w:p w14:paraId="67FBFB99" w14:textId="77777777" w:rsidR="00F90BC3" w:rsidRPr="00CE2284" w:rsidRDefault="00F90BC3" w:rsidP="00F90BC3">
      <w:pPr>
        <w:shd w:val="clear" w:color="auto" w:fill="FFFFFF"/>
        <w:spacing w:after="0" w:line="240" w:lineRule="auto"/>
        <w:jc w:val="both"/>
        <w:rPr>
          <w:rFonts w:ascii="Lato" w:eastAsia="Times New Roman" w:hAnsi="Lato"/>
          <w:sz w:val="18"/>
          <w:szCs w:val="18"/>
          <w:lang w:eastAsia="pl-PL"/>
        </w:rPr>
      </w:pPr>
      <w:r w:rsidRPr="00CE2284">
        <w:rPr>
          <w:rFonts w:ascii="Lato" w:eastAsia="Times New Roman" w:hAnsi="Lato"/>
          <w:sz w:val="18"/>
          <w:szCs w:val="18"/>
          <w:lang w:eastAsia="pl-PL"/>
        </w:rPr>
        <w:t>Źródło: dane z Ministerstwa Rodziny i Polityki Społecznej</w:t>
      </w:r>
    </w:p>
    <w:p w14:paraId="74BD7BBB" w14:textId="77777777" w:rsidR="00CE2284" w:rsidRPr="00CE2284" w:rsidRDefault="00CE2284" w:rsidP="00CE2284">
      <w:pPr>
        <w:suppressAutoHyphens/>
        <w:spacing w:after="0" w:line="240" w:lineRule="auto"/>
        <w:jc w:val="both"/>
        <w:rPr>
          <w:rFonts w:ascii="Lato" w:hAnsi="Lato" w:cs="Times New Roman"/>
          <w:sz w:val="20"/>
          <w:szCs w:val="20"/>
        </w:rPr>
      </w:pPr>
    </w:p>
    <w:p w14:paraId="1F93986E" w14:textId="05B972B9" w:rsidR="008820EF" w:rsidRPr="004F5101" w:rsidRDefault="00475913" w:rsidP="004F5101">
      <w:pPr>
        <w:spacing w:after="0" w:line="240" w:lineRule="auto"/>
        <w:jc w:val="both"/>
        <w:rPr>
          <w:rFonts w:ascii="Lato" w:hAnsi="Lato" w:cs="Times New Roman"/>
          <w:sz w:val="20"/>
          <w:szCs w:val="20"/>
        </w:rPr>
      </w:pPr>
      <w:r w:rsidRPr="004F5101">
        <w:rPr>
          <w:rFonts w:ascii="Lato" w:hAnsi="Lato" w:cs="Times New Roman"/>
          <w:sz w:val="20"/>
          <w:szCs w:val="20"/>
        </w:rPr>
        <w:t xml:space="preserve">W ramach edycji 2021 i 2022 dofinansowano 630 projektów, których wartość wyniosła </w:t>
      </w:r>
      <w:r w:rsidRPr="004F5101">
        <w:rPr>
          <w:rFonts w:ascii="Lato" w:eastAsia="Times New Roman" w:hAnsi="Lato"/>
          <w:sz w:val="20"/>
          <w:szCs w:val="20"/>
          <w:lang w:eastAsia="pl-PL"/>
        </w:rPr>
        <w:t xml:space="preserve">77 597 946,63 zł. Z realizowanych projektów skorzystało 622 630 osób starszych. </w:t>
      </w:r>
      <w:r w:rsidRPr="004F5101">
        <w:rPr>
          <w:rFonts w:ascii="Lato" w:hAnsi="Lato" w:cs="Times New Roman"/>
          <w:sz w:val="20"/>
          <w:szCs w:val="20"/>
        </w:rPr>
        <w:t>Budżet programu na lata 2021–2025 wynosi 200 mln zł.</w:t>
      </w:r>
    </w:p>
    <w:p w14:paraId="734D8B0C" w14:textId="77777777" w:rsidR="008820EF" w:rsidRPr="004F5101" w:rsidRDefault="008820EF" w:rsidP="004F5101">
      <w:pPr>
        <w:spacing w:after="0" w:line="240" w:lineRule="auto"/>
        <w:contextualSpacing/>
        <w:jc w:val="both"/>
        <w:rPr>
          <w:rFonts w:ascii="Lato" w:hAnsi="Lato" w:cstheme="minorHAnsi"/>
          <w:b/>
          <w:bCs/>
          <w:iCs/>
          <w:sz w:val="20"/>
          <w:szCs w:val="20"/>
        </w:rPr>
      </w:pPr>
    </w:p>
    <w:p w14:paraId="1F9EAFD0" w14:textId="7C4B6423" w:rsidR="00A94E37" w:rsidRPr="004F5101" w:rsidRDefault="00A94E37" w:rsidP="004F5101">
      <w:pPr>
        <w:spacing w:after="0" w:line="240" w:lineRule="auto"/>
        <w:contextualSpacing/>
        <w:jc w:val="both"/>
        <w:rPr>
          <w:rFonts w:ascii="Lato" w:hAnsi="Lato" w:cstheme="minorHAnsi"/>
          <w:b/>
          <w:bCs/>
          <w:iCs/>
          <w:sz w:val="20"/>
          <w:szCs w:val="20"/>
        </w:rPr>
      </w:pPr>
      <w:r w:rsidRPr="004F5101">
        <w:rPr>
          <w:rFonts w:ascii="Lato" w:hAnsi="Lato" w:cstheme="minorHAnsi"/>
          <w:b/>
          <w:bCs/>
          <w:iCs/>
          <w:sz w:val="20"/>
          <w:szCs w:val="20"/>
        </w:rPr>
        <w:t xml:space="preserve">Program „Opieka 75+” </w:t>
      </w:r>
    </w:p>
    <w:p w14:paraId="686D1F85" w14:textId="2CDED0F5" w:rsidR="00F965C3"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 xml:space="preserve">Od 2018 r. w resorcie rodziny realizowany jest program „Opieka 75+”, który skierowany jest do osób starszych w wieku 75 lat i więcej, które mieszkają na terenie małych gmin miejskich, wiejskich, miejsko – wiejskich, liczących do 60 tys. mieszkańców. </w:t>
      </w:r>
    </w:p>
    <w:p w14:paraId="0A2E663E" w14:textId="77777777" w:rsidR="00A94E37" w:rsidRPr="004F5101" w:rsidRDefault="00A94E37" w:rsidP="004F5101">
      <w:pPr>
        <w:spacing w:after="0" w:line="240" w:lineRule="auto"/>
        <w:jc w:val="both"/>
        <w:rPr>
          <w:rFonts w:ascii="Lato" w:eastAsia="Times New Roman" w:hAnsi="Lato" w:cstheme="minorHAnsi"/>
          <w:sz w:val="20"/>
          <w:szCs w:val="20"/>
          <w:lang w:eastAsia="pl-PL"/>
        </w:rPr>
      </w:pPr>
      <w:r w:rsidRPr="004F5101">
        <w:rPr>
          <w:rFonts w:ascii="Lato" w:eastAsia="Times New Roman" w:hAnsi="Lato" w:cstheme="minorHAnsi"/>
          <w:sz w:val="20"/>
          <w:szCs w:val="20"/>
          <w:lang w:eastAsia="pl-PL"/>
        </w:rPr>
        <w:t>Celem programu jest zwiększenie dostępności do usług opiekuńczych, w tym specjalistycznych usług opiekuńczych dla osób w wieku 75 lat i więcej, które są osobami samotnymi, samotnie gospodarującymi, a także tych którzy pozostają w rodzinie.</w:t>
      </w:r>
    </w:p>
    <w:p w14:paraId="55023A13" w14:textId="77777777" w:rsidR="00F965C3" w:rsidRPr="004F5101" w:rsidRDefault="00F965C3" w:rsidP="004F5101">
      <w:pPr>
        <w:spacing w:after="0" w:line="240" w:lineRule="auto"/>
        <w:jc w:val="both"/>
        <w:rPr>
          <w:rFonts w:ascii="Lato" w:hAnsi="Lato" w:cstheme="minorHAnsi"/>
          <w:sz w:val="20"/>
          <w:szCs w:val="20"/>
          <w:u w:val="single"/>
        </w:rPr>
      </w:pPr>
    </w:p>
    <w:p w14:paraId="311509E7" w14:textId="25D0C42A"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Środki finansowe z programu mogą być przeznaczone na:</w:t>
      </w:r>
    </w:p>
    <w:p w14:paraId="0F29B14C" w14:textId="77777777" w:rsidR="00A94E37" w:rsidRPr="004F5101" w:rsidRDefault="00A94E37" w:rsidP="004F5101">
      <w:pPr>
        <w:numPr>
          <w:ilvl w:val="0"/>
          <w:numId w:val="174"/>
        </w:numPr>
        <w:spacing w:after="0" w:line="240" w:lineRule="auto"/>
        <w:contextualSpacing/>
        <w:jc w:val="both"/>
        <w:rPr>
          <w:rFonts w:ascii="Lato" w:hAnsi="Lato" w:cstheme="minorHAnsi"/>
          <w:sz w:val="20"/>
          <w:szCs w:val="20"/>
        </w:rPr>
      </w:pPr>
      <w:r w:rsidRPr="004F5101">
        <w:rPr>
          <w:rFonts w:ascii="Lato" w:hAnsi="Lato" w:cstheme="minorHAnsi"/>
          <w:sz w:val="20"/>
          <w:szCs w:val="20"/>
        </w:rPr>
        <w:t>dofinansowanie do usług opiekuńczych, w tym specjalistycznych usług opiekuńczych dla osób, którym przedmiotowe usługi były świadczone w ramach programu i będą kontynuowane w roku 2023;</w:t>
      </w:r>
    </w:p>
    <w:p w14:paraId="4D8363EF" w14:textId="77777777" w:rsidR="00A94E37" w:rsidRPr="004F5101" w:rsidRDefault="00A94E37" w:rsidP="004F5101">
      <w:pPr>
        <w:numPr>
          <w:ilvl w:val="0"/>
          <w:numId w:val="174"/>
        </w:numPr>
        <w:spacing w:after="0" w:line="240" w:lineRule="auto"/>
        <w:contextualSpacing/>
        <w:jc w:val="both"/>
        <w:rPr>
          <w:rFonts w:ascii="Lato" w:hAnsi="Lato" w:cstheme="minorHAnsi"/>
          <w:sz w:val="20"/>
          <w:szCs w:val="20"/>
        </w:rPr>
      </w:pPr>
      <w:r w:rsidRPr="004F5101">
        <w:rPr>
          <w:rFonts w:ascii="Lato" w:hAnsi="Lato" w:cstheme="minorHAnsi"/>
          <w:sz w:val="20"/>
          <w:szCs w:val="20"/>
        </w:rPr>
        <w:t>dofinansowanie do usług opiekuńczych lub specjalistycznych usług opiekuńczych dla osób, którym nie były one świadczone (osoby nowe);</w:t>
      </w:r>
    </w:p>
    <w:p w14:paraId="449DB1EC" w14:textId="77777777" w:rsidR="00A94E37" w:rsidRPr="004F5101" w:rsidRDefault="00A94E37" w:rsidP="004F5101">
      <w:pPr>
        <w:numPr>
          <w:ilvl w:val="0"/>
          <w:numId w:val="174"/>
        </w:numPr>
        <w:spacing w:after="0" w:line="240" w:lineRule="auto"/>
        <w:contextualSpacing/>
        <w:jc w:val="both"/>
        <w:rPr>
          <w:rFonts w:ascii="Lato" w:hAnsi="Lato" w:cstheme="minorHAnsi"/>
          <w:sz w:val="20"/>
          <w:szCs w:val="20"/>
        </w:rPr>
      </w:pPr>
      <w:r w:rsidRPr="004F5101">
        <w:rPr>
          <w:rFonts w:ascii="Lato" w:hAnsi="Lato" w:cstheme="minorHAnsi"/>
          <w:sz w:val="20"/>
          <w:szCs w:val="20"/>
        </w:rPr>
        <w:t>dofinansowanie do zwiększenia liczby godzin usług opiekuńczych, w tym specjalistycznych usług opiekuńczych dla osób w wieku 75 lat i więcej.</w:t>
      </w:r>
    </w:p>
    <w:p w14:paraId="70BF8C5D" w14:textId="77777777" w:rsidR="00A94E37" w:rsidRPr="004F5101" w:rsidRDefault="00A94E37" w:rsidP="004F5101">
      <w:pPr>
        <w:spacing w:after="0" w:line="240" w:lineRule="auto"/>
        <w:ind w:left="720"/>
        <w:contextualSpacing/>
        <w:jc w:val="both"/>
        <w:rPr>
          <w:rFonts w:ascii="Lato" w:hAnsi="Lato" w:cstheme="minorHAnsi"/>
          <w:sz w:val="20"/>
          <w:szCs w:val="20"/>
        </w:rPr>
      </w:pPr>
    </w:p>
    <w:p w14:paraId="7F78BF9F" w14:textId="3D5F2DB3"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 xml:space="preserve">Realizacja przez gminy ww. programu przyczynia się do zapewnienia usług opiekuńczych dla większej ilości osób starszych i niesamodzielnych w miejscu ich zamieszkania, jak również umożliwia zwiększenie liczby godzin u osób, które miały już przyznane przedmiotowe usługi. </w:t>
      </w:r>
    </w:p>
    <w:p w14:paraId="0768F396" w14:textId="77777777" w:rsidR="00F965C3" w:rsidRPr="004F5101" w:rsidRDefault="00F965C3" w:rsidP="004F5101">
      <w:pPr>
        <w:spacing w:after="0" w:line="240" w:lineRule="auto"/>
        <w:jc w:val="both"/>
        <w:rPr>
          <w:rFonts w:ascii="Lato" w:hAnsi="Lato" w:cstheme="minorHAnsi"/>
          <w:sz w:val="20"/>
          <w:szCs w:val="20"/>
        </w:rPr>
      </w:pPr>
    </w:p>
    <w:p w14:paraId="565C3012" w14:textId="605586E0"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Seniorzy w ramach świadczonych usług mają zapewnione podstawowe potrzeby bytowe w swoim miejscu zamieszkania, poczucie bezpieczeństwa oraz mogą dłużej pozostać w swoim środowisku, w związku z czym nie wymagają kierowania do innych form wsparcia bądź opieki – np. do domu pomocy społecznej, co stanowi dla gmin duże obciążenie finansowe.</w:t>
      </w:r>
    </w:p>
    <w:p w14:paraId="4C2420DB" w14:textId="77777777" w:rsidR="00F965C3" w:rsidRPr="004F5101" w:rsidRDefault="00F965C3" w:rsidP="004F5101">
      <w:pPr>
        <w:spacing w:after="0" w:line="240" w:lineRule="auto"/>
        <w:jc w:val="both"/>
        <w:rPr>
          <w:rFonts w:ascii="Lato" w:hAnsi="Lato" w:cstheme="minorHAnsi"/>
          <w:sz w:val="20"/>
          <w:szCs w:val="20"/>
        </w:rPr>
      </w:pPr>
    </w:p>
    <w:p w14:paraId="29ACFF60" w14:textId="210D5777"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Ponadto dzięki programowi „Opieka 75+” gminy uzyskały dodatkowe środki finansowe, które poprawiły ich kondycję finansową i odciążyły budżet w zakresie realizacji zadania obowiązkowego jakim jest świadczenie usług opiekuńczych oraz pozwoliły na zatrudnienie dodatkowych osób świadczących usługi, a także objęcie pomocą większej ilości osób.</w:t>
      </w:r>
    </w:p>
    <w:p w14:paraId="17E124E8" w14:textId="77777777" w:rsidR="00F965C3" w:rsidRPr="004F5101" w:rsidRDefault="00F965C3" w:rsidP="004F5101">
      <w:pPr>
        <w:spacing w:after="0" w:line="240" w:lineRule="auto"/>
        <w:jc w:val="both"/>
        <w:rPr>
          <w:rFonts w:ascii="Lato" w:hAnsi="Lato" w:cstheme="minorHAnsi"/>
          <w:sz w:val="20"/>
          <w:szCs w:val="20"/>
        </w:rPr>
      </w:pPr>
    </w:p>
    <w:p w14:paraId="6CCDE1BC" w14:textId="3351A65C"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Jednocześnie usługi opiekuńcze świadczone w miejscu zamieszkania są tańsze od usług świadczonych w placówkach dziennej lub całodobowej opieki, co daje możliwość objęcia nimi większej liczby osób potrzebujących.</w:t>
      </w:r>
    </w:p>
    <w:p w14:paraId="5E67D53C" w14:textId="77777777" w:rsidR="00F965C3" w:rsidRPr="004F5101" w:rsidRDefault="00F965C3" w:rsidP="004F5101">
      <w:pPr>
        <w:spacing w:after="0" w:line="240" w:lineRule="auto"/>
        <w:jc w:val="both"/>
        <w:rPr>
          <w:rFonts w:ascii="Lato" w:hAnsi="Lato" w:cstheme="minorHAnsi"/>
          <w:sz w:val="20"/>
          <w:szCs w:val="20"/>
        </w:rPr>
      </w:pPr>
    </w:p>
    <w:p w14:paraId="5F9979AE" w14:textId="2420B166" w:rsidR="00A94E37" w:rsidRPr="004F5101" w:rsidRDefault="00A94E37" w:rsidP="004F5101">
      <w:pPr>
        <w:spacing w:after="0" w:line="240" w:lineRule="auto"/>
        <w:jc w:val="both"/>
        <w:rPr>
          <w:rFonts w:ascii="Lato" w:eastAsia="MS Mincho" w:hAnsi="Lato" w:cstheme="minorHAnsi"/>
          <w:bCs/>
          <w:sz w:val="20"/>
          <w:szCs w:val="20"/>
        </w:rPr>
      </w:pPr>
      <w:r w:rsidRPr="004F5101">
        <w:rPr>
          <w:rFonts w:ascii="Lato" w:eastAsia="MS Mincho" w:hAnsi="Lato" w:cstheme="minorHAnsi"/>
          <w:bCs/>
          <w:sz w:val="20"/>
          <w:szCs w:val="20"/>
        </w:rPr>
        <w:t>Dofinasowanie z rezerwy budżetu państwa do realizacji zadania polegającego na  świadczeniu usług opiekuńczych w ramach programu „Opieka 75” w roku 2022 wyniosło 29 398 373,14 zł, w tym 482 610,43 zł na specjalistyczne usługi opiekuńcze. Program jest kontynuowany w roku 2023.</w:t>
      </w:r>
    </w:p>
    <w:p w14:paraId="1DDDE786" w14:textId="77777777" w:rsidR="00A94E37" w:rsidRPr="004F5101" w:rsidRDefault="00A94E37" w:rsidP="004F5101">
      <w:pPr>
        <w:spacing w:after="0" w:line="240" w:lineRule="auto"/>
        <w:contextualSpacing/>
        <w:jc w:val="both"/>
        <w:rPr>
          <w:rFonts w:ascii="Lato" w:hAnsi="Lato" w:cstheme="minorHAnsi"/>
          <w:b/>
          <w:bCs/>
          <w:iCs/>
          <w:sz w:val="20"/>
          <w:szCs w:val="20"/>
        </w:rPr>
      </w:pPr>
      <w:r w:rsidRPr="004F5101">
        <w:rPr>
          <w:rFonts w:ascii="Lato" w:hAnsi="Lato" w:cstheme="minorHAnsi"/>
          <w:b/>
          <w:bCs/>
          <w:iCs/>
          <w:sz w:val="20"/>
          <w:szCs w:val="20"/>
        </w:rPr>
        <w:t>Program „Korpus Wsparcia Seniorów”</w:t>
      </w:r>
    </w:p>
    <w:p w14:paraId="6507B4F4" w14:textId="506C5961"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Program „Korpus Wsparcia Seniorów” jest odpowiedzią na wyzwania, jakie stawiają zachodzące procesy demograficzne oraz elementem polityki państwa w zakresie wsparcia działań na rzecz seniorów niesamodzielnych ze względu na wiek oraz stan zdrowia.</w:t>
      </w:r>
    </w:p>
    <w:p w14:paraId="67ADBE5F" w14:textId="77777777" w:rsidR="00F965C3" w:rsidRPr="004F5101" w:rsidRDefault="00F965C3" w:rsidP="004F5101">
      <w:pPr>
        <w:spacing w:after="0" w:line="240" w:lineRule="auto"/>
        <w:jc w:val="both"/>
        <w:rPr>
          <w:rFonts w:ascii="Lato" w:eastAsia="Times New Roman" w:hAnsi="Lato" w:cstheme="minorHAnsi"/>
          <w:noProof/>
          <w:sz w:val="20"/>
          <w:szCs w:val="20"/>
          <w:lang w:eastAsia="pl-PL"/>
        </w:rPr>
      </w:pPr>
    </w:p>
    <w:p w14:paraId="73B5D419" w14:textId="0F6D1E14"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 xml:space="preserve">Celem programu jest wsparcie finansowe gmin w zakresie zapewnienia usługi wsparcia na rzecz seniorów w wieku 65 lat i więcej przez świadczenie usług wynikających z rozeznanych potrzeb na terenie danej gminy, wpisujących się we wskazane w programie obszary oraz realizacja usług opiekuńczych poprzez dostęp do tzw. „opieki na odległość” mającej na celu poprawę bezpieczeństwa oraz możliwości samodzielnego funkcjonowania w miejscu zamieszkania osób starszych. </w:t>
      </w:r>
    </w:p>
    <w:p w14:paraId="68279764" w14:textId="77777777" w:rsidR="00F965C3" w:rsidRPr="004F5101" w:rsidRDefault="00F965C3" w:rsidP="004F5101">
      <w:pPr>
        <w:spacing w:after="0" w:line="240" w:lineRule="auto"/>
        <w:jc w:val="both"/>
        <w:rPr>
          <w:rFonts w:ascii="Lato" w:eastAsia="Times New Roman" w:hAnsi="Lato" w:cstheme="minorHAnsi"/>
          <w:noProof/>
          <w:sz w:val="20"/>
          <w:szCs w:val="20"/>
          <w:lang w:eastAsia="pl-PL"/>
        </w:rPr>
      </w:pPr>
    </w:p>
    <w:p w14:paraId="2196ACA8"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Program ma również na celu nawiązanie współpracy pomiędzy jednostkami samorządu terytorialnego, organizacjami pozarządowymi skupiającymi środowiska młodzieżowe, a także wolontariuszami tworząc lokalne partnerstwa aby zapewnić możliwość bezpiecznego funkcjonowania seniorów w ich miejscu zamieszkania.</w:t>
      </w:r>
    </w:p>
    <w:p w14:paraId="2C6A8053"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p>
    <w:p w14:paraId="0CC9BB16"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Program realizowany jest w oparciu o dwa moduły działań.</w:t>
      </w:r>
    </w:p>
    <w:p w14:paraId="321AE0AF"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b/>
          <w:noProof/>
          <w:sz w:val="20"/>
          <w:szCs w:val="20"/>
          <w:lang w:eastAsia="pl-PL"/>
        </w:rPr>
        <w:t>MODUŁ I</w:t>
      </w:r>
      <w:r w:rsidRPr="004F5101">
        <w:rPr>
          <w:rFonts w:ascii="Lato" w:eastAsia="Times New Roman" w:hAnsi="Lato" w:cstheme="minorHAnsi"/>
          <w:noProof/>
          <w:sz w:val="20"/>
          <w:szCs w:val="20"/>
          <w:lang w:eastAsia="pl-PL"/>
        </w:rPr>
        <w:t xml:space="preserve"> – którego celem jest zapewnienie usługi wsparcia seniorom w wieku 65 lat i więcej przez świadczenie usług w zakresie określonym w programie, wynikających z rozeznanych potrzeb na terenie danej gminy. </w:t>
      </w:r>
    </w:p>
    <w:p w14:paraId="4C2A5B10" w14:textId="51E7C506"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W realizację Modułu I należy zaangażować wolontariuszy, w tym również działaczy środowisk młodzieżowych i obywatelskich, w zakresie codziennego świadczenia pomocy osobom potrzebującym wsparcia.</w:t>
      </w:r>
    </w:p>
    <w:p w14:paraId="437E4E06" w14:textId="77777777" w:rsidR="00F965C3" w:rsidRPr="004F5101" w:rsidRDefault="00F965C3" w:rsidP="004F5101">
      <w:pPr>
        <w:spacing w:after="0" w:line="240" w:lineRule="auto"/>
        <w:jc w:val="both"/>
        <w:rPr>
          <w:rFonts w:ascii="Lato" w:eastAsia="Times New Roman" w:hAnsi="Lato" w:cstheme="minorHAnsi"/>
          <w:noProof/>
          <w:sz w:val="20"/>
          <w:szCs w:val="20"/>
          <w:lang w:eastAsia="pl-PL"/>
        </w:rPr>
      </w:pPr>
    </w:p>
    <w:p w14:paraId="0FF44537" w14:textId="77777777" w:rsidR="00A94E37" w:rsidRPr="004F5101" w:rsidRDefault="00A94E37" w:rsidP="004F5101">
      <w:pPr>
        <w:spacing w:after="0" w:line="240" w:lineRule="auto"/>
        <w:jc w:val="both"/>
        <w:rPr>
          <w:rFonts w:ascii="Lato" w:eastAsia="Times New Roman" w:hAnsi="Lato" w:cstheme="minorHAnsi"/>
          <w:b/>
          <w:noProof/>
          <w:sz w:val="20"/>
          <w:szCs w:val="20"/>
          <w:lang w:eastAsia="pl-PL"/>
        </w:rPr>
      </w:pPr>
      <w:r w:rsidRPr="004F5101">
        <w:rPr>
          <w:rFonts w:ascii="Lato" w:eastAsia="Times New Roman" w:hAnsi="Lato" w:cstheme="minorHAnsi"/>
          <w:b/>
          <w:noProof/>
          <w:sz w:val="20"/>
          <w:szCs w:val="20"/>
          <w:lang w:eastAsia="pl-PL"/>
        </w:rPr>
        <w:t>Opis usługi wsparcia w ramach Modułu I:</w:t>
      </w:r>
    </w:p>
    <w:p w14:paraId="290FFEA3" w14:textId="77777777" w:rsidR="00A94E37" w:rsidRPr="004F5101" w:rsidRDefault="00A94E37" w:rsidP="004F5101">
      <w:pPr>
        <w:spacing w:after="0" w:line="240" w:lineRule="auto"/>
        <w:jc w:val="both"/>
        <w:rPr>
          <w:rFonts w:ascii="Lato" w:eastAsia="Times New Roman" w:hAnsi="Lato" w:cstheme="minorHAnsi"/>
          <w:b/>
          <w:noProof/>
          <w:sz w:val="20"/>
          <w:szCs w:val="20"/>
          <w:lang w:eastAsia="pl-PL"/>
        </w:rPr>
      </w:pPr>
      <w:r w:rsidRPr="004F5101">
        <w:rPr>
          <w:rFonts w:ascii="Lato" w:eastAsia="Times New Roman" w:hAnsi="Lato" w:cstheme="minorHAnsi"/>
          <w:b/>
          <w:noProof/>
          <w:sz w:val="20"/>
          <w:szCs w:val="20"/>
          <w:lang w:eastAsia="pl-PL"/>
        </w:rPr>
        <w:t>1. Wsparcie społeczne:</w:t>
      </w:r>
    </w:p>
    <w:p w14:paraId="65A87AC5" w14:textId="77777777" w:rsidR="00A94E37" w:rsidRPr="004F5101" w:rsidRDefault="00A94E37" w:rsidP="004F5101">
      <w:pPr>
        <w:numPr>
          <w:ilvl w:val="0"/>
          <w:numId w:val="171"/>
        </w:numPr>
        <w:spacing w:after="0" w:line="240" w:lineRule="auto"/>
        <w:contextualSpacing/>
        <w:jc w:val="both"/>
        <w:rPr>
          <w:rFonts w:ascii="Lato" w:eastAsia="Times New Roman" w:hAnsi="Lato" w:cstheme="minorHAnsi"/>
          <w:b/>
          <w:noProof/>
          <w:sz w:val="20"/>
          <w:szCs w:val="20"/>
          <w:lang w:eastAsia="pl-PL"/>
        </w:rPr>
      </w:pPr>
      <w:r w:rsidRPr="004F5101">
        <w:rPr>
          <w:rFonts w:ascii="Lato" w:eastAsia="Times New Roman" w:hAnsi="Lato" w:cstheme="minorHAnsi"/>
          <w:noProof/>
          <w:sz w:val="20"/>
          <w:szCs w:val="20"/>
          <w:lang w:eastAsia="pl-PL"/>
        </w:rPr>
        <w:lastRenderedPageBreak/>
        <w:t xml:space="preserve">uruchomienie wolontariatu w zakresie wspólnego spędzania czasu z seniorami, </w:t>
      </w:r>
      <w:r w:rsidRPr="004F5101">
        <w:rPr>
          <w:rFonts w:ascii="Lato" w:eastAsia="Times New Roman" w:hAnsi="Lato" w:cstheme="minorHAnsi"/>
          <w:noProof/>
          <w:sz w:val="20"/>
          <w:szCs w:val="20"/>
          <w:lang w:eastAsia="pl-PL"/>
        </w:rPr>
        <w:br/>
        <w:t>w szczególności samotnie zamieszkującymi (np. spacery, rozmowy, wspólne sporządzanie posiłków, zakupy, itp.);</w:t>
      </w:r>
    </w:p>
    <w:p w14:paraId="0B7AC351"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informowanie o dostępie do ogólnopolskich „telefonów zaufania” dla seniorów.</w:t>
      </w:r>
    </w:p>
    <w:p w14:paraId="7FA3B58A" w14:textId="77777777" w:rsidR="00A94E37" w:rsidRPr="004F5101" w:rsidRDefault="00A94E37" w:rsidP="004F5101">
      <w:pPr>
        <w:numPr>
          <w:ilvl w:val="0"/>
          <w:numId w:val="172"/>
        </w:numPr>
        <w:spacing w:after="0" w:line="240" w:lineRule="auto"/>
        <w:jc w:val="both"/>
        <w:rPr>
          <w:rFonts w:ascii="Lato" w:eastAsia="Times New Roman" w:hAnsi="Lato" w:cstheme="minorHAnsi"/>
          <w:b/>
          <w:noProof/>
          <w:sz w:val="20"/>
          <w:szCs w:val="20"/>
          <w:lang w:eastAsia="pl-PL"/>
        </w:rPr>
      </w:pPr>
      <w:r w:rsidRPr="004F5101">
        <w:rPr>
          <w:rFonts w:ascii="Lato" w:eastAsia="Times New Roman" w:hAnsi="Lato" w:cstheme="minorHAnsi"/>
          <w:b/>
          <w:noProof/>
          <w:sz w:val="20"/>
          <w:szCs w:val="20"/>
          <w:lang w:eastAsia="pl-PL"/>
        </w:rPr>
        <w:t>Wsparcie w czynnościach dnia codziennego:</w:t>
      </w:r>
    </w:p>
    <w:p w14:paraId="46787B66"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pomoc w sprawach związanych z utrzymaniem porządku w domu,</w:t>
      </w:r>
    </w:p>
    <w:p w14:paraId="1722D318"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pomoc w dostarczeniu produktów żywnościowych, np. z Federacji Polskich Banków Żywności, Polskiego Czerwonego Krzyża, Polskiego Komitetu Pomocy Społecznej czy Caritas,</w:t>
      </w:r>
    </w:p>
    <w:p w14:paraId="2E090DCC"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zakup i dostarczanie seniorom zakupów obejmujących artykuły podstawowej potrzeby, w tym artykuły spożywcze oraz środki higieny osobistej (koszt zakupionych produktów pokrywa senior),</w:t>
      </w:r>
    </w:p>
    <w:p w14:paraId="2C6308ED"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zakup oraz dostarczanie seniorom ciepłych posiłków (koszty zakupu posiłku pokrywa senior), o ile usługa tego rodzaju nie jest już finansowana z innych źródeł,</w:t>
      </w:r>
    </w:p>
    <w:p w14:paraId="6E5A4051"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wsparcie seniorów objętych usługami w ramach Modułu I programu w formie okolicznościowych (świątecznych) paczek z artykułami żywnościowymi i higienicznymi,</w:t>
      </w:r>
    </w:p>
    <w:p w14:paraId="17624390"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wsparcie/pomoc w umawianiu wizyt lekarskich w miejscu zamieszkania seniora, dowiezienie lub pomoc w organizacji transportu seniora na wizytę lekarską, w tym również asystowanie podczas wizyty,</w:t>
      </w:r>
    </w:p>
    <w:p w14:paraId="2FC6A096"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 xml:space="preserve">pomoc/towarzyszenie w zakresie realizacji recept,  </w:t>
      </w:r>
    </w:p>
    <w:p w14:paraId="720B79F3" w14:textId="77777777" w:rsidR="00A94E37" w:rsidRPr="004F5101" w:rsidRDefault="00A94E37" w:rsidP="004F5101">
      <w:pPr>
        <w:numPr>
          <w:ilvl w:val="0"/>
          <w:numId w:val="171"/>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pomoc w załatwieniu prostych spraw urzędowych, w zależności od możliwości osoby udzielającej wsparcia, i w razie konieczności – gdy obecność seniora jest niezbędna do załatwienia sprawy – pomoc w dowiezieniu seniora do urzędu,</w:t>
      </w:r>
    </w:p>
    <w:p w14:paraId="3D5248DA" w14:textId="77777777" w:rsidR="00A94E37" w:rsidRPr="004F5101" w:rsidRDefault="00A94E37" w:rsidP="004F5101">
      <w:pPr>
        <w:numPr>
          <w:ilvl w:val="0"/>
          <w:numId w:val="171"/>
        </w:numPr>
        <w:spacing w:after="0" w:line="240" w:lineRule="auto"/>
        <w:jc w:val="both"/>
        <w:rPr>
          <w:rFonts w:ascii="Lato" w:eastAsia="Times New Roman" w:hAnsi="Lato" w:cstheme="minorHAnsi"/>
          <w:b/>
          <w:noProof/>
          <w:sz w:val="20"/>
          <w:szCs w:val="20"/>
          <w:lang w:eastAsia="pl-PL"/>
        </w:rPr>
      </w:pPr>
      <w:r w:rsidRPr="004F5101">
        <w:rPr>
          <w:rFonts w:ascii="Lato" w:eastAsia="Times New Roman" w:hAnsi="Lato" w:cstheme="minorHAnsi"/>
          <w:noProof/>
          <w:sz w:val="20"/>
          <w:szCs w:val="20"/>
          <w:lang w:eastAsia="pl-PL"/>
        </w:rPr>
        <w:t xml:space="preserve">pomoc świadczona przez osoby mieszkające w najbliższym sąsiedztwie seniora, tzw. </w:t>
      </w:r>
      <w:r w:rsidRPr="004F5101">
        <w:rPr>
          <w:rFonts w:ascii="Lato" w:eastAsia="Times New Roman" w:hAnsi="Lato" w:cstheme="minorHAnsi"/>
          <w:b/>
          <w:noProof/>
          <w:sz w:val="20"/>
          <w:szCs w:val="20"/>
          <w:lang w:eastAsia="pl-PL"/>
        </w:rPr>
        <w:t>usługi sąsiedzkie.</w:t>
      </w:r>
    </w:p>
    <w:p w14:paraId="18C1AA7D" w14:textId="77777777" w:rsidR="00A94E37" w:rsidRPr="004F5101" w:rsidRDefault="00A94E37" w:rsidP="004F5101">
      <w:pPr>
        <w:spacing w:after="0" w:line="240" w:lineRule="auto"/>
        <w:jc w:val="both"/>
        <w:rPr>
          <w:rFonts w:ascii="Lato" w:eastAsia="Times New Roman" w:hAnsi="Lato" w:cstheme="minorHAnsi"/>
          <w:b/>
          <w:noProof/>
          <w:sz w:val="20"/>
          <w:szCs w:val="20"/>
          <w:lang w:eastAsia="pl-PL"/>
        </w:rPr>
      </w:pPr>
    </w:p>
    <w:p w14:paraId="58B64856"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b/>
          <w:noProof/>
          <w:sz w:val="20"/>
          <w:szCs w:val="20"/>
          <w:lang w:eastAsia="pl-PL"/>
        </w:rPr>
        <w:t xml:space="preserve">MODUŁ II – </w:t>
      </w:r>
      <w:r w:rsidRPr="004F5101">
        <w:rPr>
          <w:rFonts w:ascii="Lato" w:eastAsia="Times New Roman" w:hAnsi="Lato" w:cstheme="minorHAnsi"/>
          <w:noProof/>
          <w:sz w:val="20"/>
          <w:szCs w:val="20"/>
          <w:lang w:eastAsia="pl-PL"/>
        </w:rPr>
        <w:t xml:space="preserve">którego celem jest poprawa bezpieczeństwa oraz możliwości samodzielnego funkcjonowania w miejscu zamieszkania dla osób starszych przez zwiększanie dostępu do tzw. „opieki na odległość”, </w:t>
      </w:r>
    </w:p>
    <w:p w14:paraId="6401FDA8" w14:textId="56233096"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 xml:space="preserve">a także wsparcie gmin w realizacji świadczenia usług opiekuńczych. </w:t>
      </w:r>
    </w:p>
    <w:p w14:paraId="1F0BD006" w14:textId="77777777" w:rsidR="00F965C3" w:rsidRPr="004F5101" w:rsidRDefault="00F965C3" w:rsidP="004F5101">
      <w:pPr>
        <w:spacing w:after="0" w:line="240" w:lineRule="auto"/>
        <w:jc w:val="both"/>
        <w:rPr>
          <w:rFonts w:ascii="Lato" w:eastAsia="Times New Roman" w:hAnsi="Lato" w:cstheme="minorHAnsi"/>
          <w:b/>
          <w:noProof/>
          <w:sz w:val="20"/>
          <w:szCs w:val="20"/>
          <w:lang w:eastAsia="pl-PL"/>
        </w:rPr>
      </w:pPr>
    </w:p>
    <w:p w14:paraId="3B6CFDE2" w14:textId="5F8403A9"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Środki w ramach Modułu II mogą zostać przeznaczone na zakup obsługi systemu dla opasek bezpieczeństwa zakupionych przez gminy w ramach programu realizowanego w 2022 r. oraz zakup w roku 2023 usługi wsparcia w postaci opasek bezpieczeństwa wraz z systemem obsługi.</w:t>
      </w:r>
    </w:p>
    <w:p w14:paraId="668D4F2C" w14:textId="77777777" w:rsidR="00F965C3" w:rsidRPr="004F5101" w:rsidRDefault="00F965C3" w:rsidP="004F5101">
      <w:pPr>
        <w:spacing w:after="0" w:line="240" w:lineRule="auto"/>
        <w:jc w:val="both"/>
        <w:rPr>
          <w:rFonts w:ascii="Lato" w:eastAsia="Times New Roman" w:hAnsi="Lato" w:cstheme="minorHAnsi"/>
          <w:b/>
          <w:noProof/>
          <w:sz w:val="20"/>
          <w:szCs w:val="20"/>
          <w:lang w:eastAsia="pl-PL"/>
        </w:rPr>
      </w:pPr>
    </w:p>
    <w:p w14:paraId="5F54977F" w14:textId="77777777" w:rsidR="00A94E37" w:rsidRPr="004F5101" w:rsidRDefault="00A94E37" w:rsidP="004F5101">
      <w:pPr>
        <w:spacing w:after="0" w:line="240" w:lineRule="auto"/>
        <w:jc w:val="both"/>
        <w:rPr>
          <w:rFonts w:ascii="Lato" w:eastAsia="Times New Roman" w:hAnsi="Lato" w:cstheme="minorHAnsi"/>
          <w:b/>
          <w:noProof/>
          <w:sz w:val="20"/>
          <w:szCs w:val="20"/>
          <w:lang w:eastAsia="pl-PL"/>
        </w:rPr>
      </w:pPr>
      <w:r w:rsidRPr="004F5101">
        <w:rPr>
          <w:rFonts w:ascii="Lato" w:eastAsia="Times New Roman" w:hAnsi="Lato" w:cstheme="minorHAnsi"/>
          <w:b/>
          <w:noProof/>
          <w:sz w:val="20"/>
          <w:szCs w:val="20"/>
          <w:lang w:eastAsia="pl-PL"/>
        </w:rPr>
        <w:t>Opis usługi wsparcia w ramach Modułu II:</w:t>
      </w:r>
    </w:p>
    <w:p w14:paraId="4B44DF84"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 xml:space="preserve">W ramach programu seniorom w wieku 65 lat i więcej zostanie zapewniony dostęp do tzw. „opasek lub innych urządzeń bezpieczeństwa” wyposażonych w następujące funkcje:  </w:t>
      </w:r>
    </w:p>
    <w:p w14:paraId="2C3FB8E0"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przycisk bezpieczeństwa – sygnał SOS,</w:t>
      </w:r>
    </w:p>
    <w:p w14:paraId="23A42EC3"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detektor upadku,</w:t>
      </w:r>
    </w:p>
    <w:p w14:paraId="6CA2A9F5"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czujnik zdjęcia opaski/urządzenia,</w:t>
      </w:r>
    </w:p>
    <w:p w14:paraId="375F01E8"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lokalizator GPS,</w:t>
      </w:r>
    </w:p>
    <w:p w14:paraId="52D8FC51"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funkcje umożliwiające komunikowanie się z centrum obsługi i opiekunami,</w:t>
      </w:r>
    </w:p>
    <w:p w14:paraId="6954A3DD"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funkcje monitorujące podstawowe czynności życiowe (puls i saturacja),</w:t>
      </w:r>
    </w:p>
    <w:p w14:paraId="6F1F3976" w14:textId="77777777" w:rsidR="00A94E37" w:rsidRPr="004F5101" w:rsidRDefault="00A94E37" w:rsidP="004F5101">
      <w:pPr>
        <w:numPr>
          <w:ilvl w:val="0"/>
          <w:numId w:val="173"/>
        </w:numPr>
        <w:spacing w:after="0" w:line="240" w:lineRule="auto"/>
        <w:jc w:val="both"/>
        <w:rPr>
          <w:rFonts w:ascii="Lato" w:eastAsia="Times New Roman" w:hAnsi="Lato" w:cstheme="minorHAnsi"/>
          <w:noProof/>
          <w:sz w:val="20"/>
          <w:szCs w:val="20"/>
          <w:lang w:eastAsia="pl-PL"/>
        </w:rPr>
      </w:pPr>
      <w:r w:rsidRPr="004F5101">
        <w:rPr>
          <w:rFonts w:ascii="Lato" w:eastAsia="Times New Roman" w:hAnsi="Lato" w:cstheme="minorHAnsi"/>
          <w:noProof/>
          <w:sz w:val="20"/>
          <w:szCs w:val="20"/>
          <w:lang w:eastAsia="pl-PL"/>
        </w:rPr>
        <w:t>funkcje umożliwiające monitorowanie czasu realizowanej opieki przez osoby świadczące usługi opiekuńcze lub pomoc sąsiedzką.</w:t>
      </w:r>
    </w:p>
    <w:p w14:paraId="1BEC5E74" w14:textId="77777777" w:rsidR="00A94E37" w:rsidRPr="004F5101" w:rsidRDefault="00A94E37" w:rsidP="004F5101">
      <w:pPr>
        <w:spacing w:after="0" w:line="240" w:lineRule="auto"/>
        <w:jc w:val="both"/>
        <w:rPr>
          <w:rFonts w:ascii="Lato" w:eastAsia="Times New Roman" w:hAnsi="Lato" w:cstheme="minorHAnsi"/>
          <w:noProof/>
          <w:sz w:val="20"/>
          <w:szCs w:val="20"/>
          <w:lang w:eastAsia="pl-PL"/>
        </w:rPr>
      </w:pPr>
    </w:p>
    <w:p w14:paraId="55F041E9" w14:textId="23382E61"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Realizacja programu „Korpus Wsparcia Seniorów” w sposób istotny przyczyniła się do poprawy bezpieczeństwa życia i zdrowia seniorów. Dzięki wspólnym działaniom służb społecznych i społeczności lokalnej, reprezentowanej przez wolontariuszy, możliwe było wprowadzenie dodatkowych rozwiązań pomocowych.</w:t>
      </w:r>
    </w:p>
    <w:p w14:paraId="3D57FB8E" w14:textId="77777777" w:rsidR="00F965C3" w:rsidRPr="004F5101" w:rsidRDefault="00F965C3" w:rsidP="004F5101">
      <w:pPr>
        <w:spacing w:after="0" w:line="240" w:lineRule="auto"/>
        <w:jc w:val="both"/>
        <w:rPr>
          <w:rFonts w:ascii="Lato" w:hAnsi="Lato" w:cstheme="minorHAnsi"/>
          <w:sz w:val="20"/>
          <w:szCs w:val="20"/>
        </w:rPr>
      </w:pPr>
    </w:p>
    <w:p w14:paraId="7D1D6334" w14:textId="735A58E4" w:rsidR="00A94E37" w:rsidRPr="004F5101" w:rsidRDefault="00A94E37" w:rsidP="004F5101">
      <w:pPr>
        <w:spacing w:after="0" w:line="240" w:lineRule="auto"/>
        <w:jc w:val="both"/>
        <w:rPr>
          <w:rFonts w:ascii="Lato" w:hAnsi="Lato" w:cstheme="minorHAnsi"/>
          <w:sz w:val="20"/>
          <w:szCs w:val="20"/>
        </w:rPr>
      </w:pPr>
      <w:r w:rsidRPr="004F5101">
        <w:rPr>
          <w:rFonts w:ascii="Lato" w:hAnsi="Lato" w:cstheme="minorHAnsi"/>
          <w:sz w:val="20"/>
          <w:szCs w:val="20"/>
        </w:rPr>
        <w:t>Ponadto z przedstawionych opinii pracowników OPS/CUS wynika, iż wprowadzenie tzw. „opieki na odległość” niwelowało uczucie codziennej niepewności i strachu osób starszych, samotnych oraz  podtrzymywało ich w dobrej kondycji psychicznej, pozwalało im na większą samodzielność i poczucie autonomii. Kontynuowanie tej formy wsparcia może realnie wydłużać okres pozostawania tych osób w dotychczasowym miejscu zamieszkania. Wartością dodaną programu jest także poprawa komfortu psychicznego rodzin i opiekunów seniorów.</w:t>
      </w:r>
    </w:p>
    <w:p w14:paraId="6C1108A7" w14:textId="77777777" w:rsidR="00F965C3" w:rsidRPr="004F5101" w:rsidRDefault="00F965C3" w:rsidP="004F5101">
      <w:pPr>
        <w:spacing w:after="0" w:line="240" w:lineRule="auto"/>
        <w:jc w:val="both"/>
        <w:rPr>
          <w:rFonts w:ascii="Lato" w:hAnsi="Lato" w:cstheme="minorHAnsi"/>
          <w:sz w:val="20"/>
          <w:szCs w:val="20"/>
        </w:rPr>
      </w:pPr>
    </w:p>
    <w:p w14:paraId="6B73C0BE" w14:textId="77777777" w:rsidR="00A94E37" w:rsidRPr="004F5101" w:rsidRDefault="00A94E37" w:rsidP="004F5101">
      <w:pPr>
        <w:autoSpaceDE w:val="0"/>
        <w:autoSpaceDN w:val="0"/>
        <w:adjustRightInd w:val="0"/>
        <w:spacing w:after="0" w:line="240" w:lineRule="auto"/>
        <w:jc w:val="both"/>
        <w:rPr>
          <w:rFonts w:ascii="Lato" w:hAnsi="Lato" w:cstheme="minorHAnsi"/>
          <w:bCs/>
          <w:sz w:val="20"/>
          <w:szCs w:val="20"/>
        </w:rPr>
      </w:pPr>
      <w:r w:rsidRPr="004F5101">
        <w:rPr>
          <w:rFonts w:ascii="Lato" w:hAnsi="Lato" w:cstheme="minorHAnsi"/>
          <w:bCs/>
          <w:sz w:val="20"/>
          <w:szCs w:val="20"/>
        </w:rPr>
        <w:t>Wysokość środków wydatkowanych na realizację programu w 2022 r. wyniosła 41 812 805,52 zł, z czego:</w:t>
      </w:r>
    </w:p>
    <w:p w14:paraId="52B626CB" w14:textId="77777777" w:rsidR="00A94E37" w:rsidRPr="004F5101" w:rsidRDefault="00A94E37" w:rsidP="004F5101">
      <w:pPr>
        <w:numPr>
          <w:ilvl w:val="0"/>
          <w:numId w:val="176"/>
        </w:numPr>
        <w:autoSpaceDE w:val="0"/>
        <w:autoSpaceDN w:val="0"/>
        <w:adjustRightInd w:val="0"/>
        <w:spacing w:after="0" w:line="240" w:lineRule="auto"/>
        <w:jc w:val="both"/>
        <w:rPr>
          <w:rFonts w:ascii="Lato" w:hAnsi="Lato" w:cstheme="minorHAnsi"/>
          <w:bCs/>
          <w:sz w:val="20"/>
          <w:szCs w:val="20"/>
        </w:rPr>
      </w:pPr>
      <w:r w:rsidRPr="004F5101">
        <w:rPr>
          <w:rFonts w:ascii="Lato" w:hAnsi="Lato" w:cstheme="minorHAnsi"/>
          <w:bCs/>
          <w:sz w:val="20"/>
          <w:szCs w:val="20"/>
        </w:rPr>
        <w:t xml:space="preserve">Moduł I - 12 517 769,04 zł, </w:t>
      </w:r>
    </w:p>
    <w:p w14:paraId="30FB17A2" w14:textId="77777777" w:rsidR="00A94E37" w:rsidRPr="004F5101" w:rsidRDefault="00A94E37" w:rsidP="004F5101">
      <w:pPr>
        <w:numPr>
          <w:ilvl w:val="0"/>
          <w:numId w:val="176"/>
        </w:numPr>
        <w:autoSpaceDE w:val="0"/>
        <w:autoSpaceDN w:val="0"/>
        <w:adjustRightInd w:val="0"/>
        <w:spacing w:after="0" w:line="240" w:lineRule="auto"/>
        <w:jc w:val="both"/>
        <w:rPr>
          <w:rFonts w:ascii="Lato" w:hAnsi="Lato" w:cstheme="minorHAnsi"/>
          <w:bCs/>
          <w:sz w:val="20"/>
          <w:szCs w:val="20"/>
        </w:rPr>
      </w:pPr>
      <w:r w:rsidRPr="004F5101">
        <w:rPr>
          <w:rFonts w:ascii="Lato" w:hAnsi="Lato" w:cstheme="minorHAnsi"/>
          <w:bCs/>
          <w:sz w:val="20"/>
          <w:szCs w:val="20"/>
        </w:rPr>
        <w:lastRenderedPageBreak/>
        <w:t>Moduł II - 29 295 036,48 zł.</w:t>
      </w:r>
    </w:p>
    <w:p w14:paraId="2BC66C2F" w14:textId="77777777" w:rsidR="00A94E37" w:rsidRPr="004F5101" w:rsidRDefault="00A94E37" w:rsidP="004F5101">
      <w:pPr>
        <w:autoSpaceDE w:val="0"/>
        <w:autoSpaceDN w:val="0"/>
        <w:adjustRightInd w:val="0"/>
        <w:spacing w:after="0" w:line="240" w:lineRule="auto"/>
        <w:jc w:val="both"/>
        <w:rPr>
          <w:rFonts w:ascii="Lato" w:hAnsi="Lato" w:cstheme="minorHAnsi"/>
          <w:bCs/>
          <w:sz w:val="20"/>
          <w:szCs w:val="20"/>
        </w:rPr>
      </w:pPr>
      <w:r w:rsidRPr="004F5101">
        <w:rPr>
          <w:rFonts w:ascii="Lato" w:hAnsi="Lato" w:cstheme="minorHAnsi"/>
          <w:bCs/>
          <w:sz w:val="20"/>
          <w:szCs w:val="20"/>
        </w:rPr>
        <w:t>Program jest kontynuowany w roku 2023.</w:t>
      </w:r>
    </w:p>
    <w:p w14:paraId="511CB87A" w14:textId="77777777" w:rsidR="00A94E37" w:rsidRPr="004F5101" w:rsidRDefault="00A94E37" w:rsidP="004F5101">
      <w:pPr>
        <w:autoSpaceDE w:val="0"/>
        <w:autoSpaceDN w:val="0"/>
        <w:adjustRightInd w:val="0"/>
        <w:spacing w:after="0" w:line="240" w:lineRule="auto"/>
        <w:jc w:val="both"/>
        <w:rPr>
          <w:rFonts w:ascii="Lato" w:hAnsi="Lato" w:cstheme="minorHAnsi"/>
          <w:bCs/>
          <w:sz w:val="20"/>
          <w:szCs w:val="20"/>
        </w:rPr>
      </w:pPr>
    </w:p>
    <w:p w14:paraId="43BB1B90" w14:textId="2B70DED1" w:rsidR="00A94E37" w:rsidRPr="004F5101" w:rsidRDefault="00A94E37" w:rsidP="004F5101">
      <w:pPr>
        <w:autoSpaceDE w:val="0"/>
        <w:autoSpaceDN w:val="0"/>
        <w:adjustRightInd w:val="0"/>
        <w:spacing w:after="0" w:line="240" w:lineRule="auto"/>
        <w:jc w:val="both"/>
        <w:rPr>
          <w:rFonts w:ascii="Lato" w:hAnsi="Lato" w:cstheme="minorHAnsi"/>
          <w:b/>
          <w:sz w:val="20"/>
          <w:szCs w:val="20"/>
        </w:rPr>
      </w:pPr>
      <w:r w:rsidRPr="004F5101">
        <w:rPr>
          <w:rFonts w:ascii="Lato" w:hAnsi="Lato" w:cstheme="minorHAnsi"/>
          <w:b/>
          <w:sz w:val="20"/>
          <w:szCs w:val="20"/>
        </w:rPr>
        <w:t>Wieloletni Rządowy Program „Posiłek w szkole i w domu” na lata 2019-2023</w:t>
      </w:r>
    </w:p>
    <w:p w14:paraId="7C1D2E03" w14:textId="6485E92C"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Wieloletni rządowy program „Posiłek w szkole i w domu” na lata 2019-2023</w:t>
      </w:r>
      <w:r w:rsidRPr="004F5101">
        <w:rPr>
          <w:rFonts w:ascii="Lato" w:hAnsi="Lato" w:cstheme="minorHAnsi"/>
          <w:b/>
          <w:sz w:val="20"/>
          <w:szCs w:val="20"/>
        </w:rPr>
        <w:t xml:space="preserve"> </w:t>
      </w:r>
      <w:r w:rsidRPr="004F5101">
        <w:rPr>
          <w:rFonts w:ascii="Lato" w:hAnsi="Lato" w:cstheme="minorHAnsi"/>
          <w:sz w:val="20"/>
          <w:szCs w:val="20"/>
        </w:rPr>
        <w:t xml:space="preserve">zapewnia pomoc zarówno osobom starszym, niepełnosprawnym, o niskich dochodach, jak i dzieciom, które wychowują się w rodzinach znajdujących się w trudnej sytuacji. Istotnym elementem Programu jest zapewnienie dzieciom i młodzieży w wieku szkolnym zjedzenia gorącego posiłku przygotowanego w stołówce szkolnej.  </w:t>
      </w:r>
    </w:p>
    <w:p w14:paraId="004F3C97"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067B2CF8" w14:textId="77777777"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W ramach programu realizowane są trzy moduły:</w:t>
      </w:r>
    </w:p>
    <w:p w14:paraId="1377505C" w14:textId="77777777" w:rsidR="00F965C3" w:rsidRPr="004F5101" w:rsidRDefault="00A94E37" w:rsidP="004F5101">
      <w:pPr>
        <w:pStyle w:val="Akapitzlist"/>
        <w:numPr>
          <w:ilvl w:val="6"/>
          <w:numId w:val="139"/>
        </w:numPr>
        <w:autoSpaceDE w:val="0"/>
        <w:autoSpaceDN w:val="0"/>
        <w:adjustRightInd w:val="0"/>
        <w:spacing w:after="0" w:line="240" w:lineRule="auto"/>
        <w:ind w:left="723"/>
        <w:jc w:val="both"/>
        <w:rPr>
          <w:rFonts w:ascii="Lato" w:hAnsi="Lato" w:cstheme="minorHAnsi"/>
          <w:sz w:val="20"/>
          <w:szCs w:val="20"/>
        </w:rPr>
      </w:pPr>
      <w:r w:rsidRPr="004F5101">
        <w:rPr>
          <w:rFonts w:ascii="Lato" w:hAnsi="Lato" w:cstheme="minorHAnsi"/>
          <w:sz w:val="20"/>
          <w:szCs w:val="20"/>
        </w:rPr>
        <w:t xml:space="preserve">Moduł dla dzieci i młodzieży; </w:t>
      </w:r>
    </w:p>
    <w:p w14:paraId="40E2155E" w14:textId="77777777" w:rsidR="00F965C3" w:rsidRPr="004F5101" w:rsidRDefault="00A94E37" w:rsidP="004F5101">
      <w:pPr>
        <w:pStyle w:val="Akapitzlist"/>
        <w:numPr>
          <w:ilvl w:val="6"/>
          <w:numId w:val="139"/>
        </w:numPr>
        <w:autoSpaceDE w:val="0"/>
        <w:autoSpaceDN w:val="0"/>
        <w:adjustRightInd w:val="0"/>
        <w:spacing w:after="0" w:line="240" w:lineRule="auto"/>
        <w:ind w:left="723"/>
        <w:jc w:val="both"/>
        <w:rPr>
          <w:rFonts w:ascii="Lato" w:hAnsi="Lato" w:cstheme="minorHAnsi"/>
          <w:sz w:val="20"/>
          <w:szCs w:val="20"/>
        </w:rPr>
      </w:pPr>
      <w:r w:rsidRPr="004F5101">
        <w:rPr>
          <w:rFonts w:ascii="Lato" w:hAnsi="Lato" w:cstheme="minorHAnsi"/>
          <w:sz w:val="20"/>
          <w:szCs w:val="20"/>
        </w:rPr>
        <w:t xml:space="preserve">Moduł dla osób dorosłych (za realizację zadań wynikających z modułów 1 i 2 Programu odpowiada minister właściwy do spraw zabezpieczenia społecznego); </w:t>
      </w:r>
    </w:p>
    <w:p w14:paraId="5D43FC00" w14:textId="23A30ACD" w:rsidR="00A94E37" w:rsidRPr="004F5101" w:rsidRDefault="00A94E37" w:rsidP="004F5101">
      <w:pPr>
        <w:pStyle w:val="Akapitzlist"/>
        <w:numPr>
          <w:ilvl w:val="6"/>
          <w:numId w:val="139"/>
        </w:numPr>
        <w:autoSpaceDE w:val="0"/>
        <w:autoSpaceDN w:val="0"/>
        <w:adjustRightInd w:val="0"/>
        <w:spacing w:after="0" w:line="240" w:lineRule="auto"/>
        <w:ind w:left="723"/>
        <w:jc w:val="both"/>
        <w:rPr>
          <w:rFonts w:ascii="Lato" w:hAnsi="Lato" w:cstheme="minorHAnsi"/>
          <w:sz w:val="20"/>
          <w:szCs w:val="20"/>
        </w:rPr>
      </w:pPr>
      <w:r w:rsidRPr="004F5101">
        <w:rPr>
          <w:rFonts w:ascii="Lato" w:hAnsi="Lato" w:cstheme="minorHAnsi"/>
          <w:sz w:val="20"/>
          <w:szCs w:val="20"/>
        </w:rPr>
        <w:t xml:space="preserve">Moduł organizacji stołówek oraz miejsc spożywania posiłków w szkołach (za realizację zadań wynikających z modułu 3 Programu odpowiada minister właściwy do spraw oświaty </w:t>
      </w:r>
      <w:r w:rsidRPr="004F5101">
        <w:rPr>
          <w:rFonts w:ascii="Lato" w:hAnsi="Lato" w:cstheme="minorHAnsi"/>
          <w:sz w:val="20"/>
          <w:szCs w:val="20"/>
        </w:rPr>
        <w:br/>
        <w:t>i wychowania).</w:t>
      </w:r>
    </w:p>
    <w:p w14:paraId="7825DAD7"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14276B03" w14:textId="3C5A8825"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Program poprzez Moduł 1 i 2 zapewnia pomoc dzieciom, uczniom i młodzieży oraz obejmuje pomocą osoby dorosłe, zwłaszcza osoby starsze, chore lub niepełnosprawne i samotne w formie posiłku, świadczenia pieniężnego w postaci zasiłku celowego na zakup posiłku lub żywności albo świadczenia rzeczowego w postaci produktów żywnościowych. </w:t>
      </w:r>
    </w:p>
    <w:p w14:paraId="1C91C0B1"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474111DB" w14:textId="5F495D6B"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Celem  Modułu 3 jest wzmocnienie opiekuńczej funkcji szkoły podstawowej poprzez tworzenie warunków umożliwiających spożywanie przez uczniów posiłku w trakcie pobytu w szkole. </w:t>
      </w:r>
    </w:p>
    <w:p w14:paraId="17C78E29"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2656C824" w14:textId="45454721"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Ze środków przekazywanych w ramach Programu gminy udzielają wsparcia osobom spełniającym warunki otrzymania pomocy wskazane w ustawie z dnia 12 marca 2004 r. o pomocy społecznej oraz spełniającym kryterium dochodowe w wysokości </w:t>
      </w:r>
      <w:r w:rsidR="00033438">
        <w:rPr>
          <w:rFonts w:ascii="Lato" w:hAnsi="Lato" w:cstheme="minorHAnsi"/>
          <w:sz w:val="20"/>
          <w:szCs w:val="20"/>
        </w:rPr>
        <w:t>150</w:t>
      </w:r>
      <w:r w:rsidRPr="004F5101">
        <w:rPr>
          <w:rFonts w:ascii="Lato" w:hAnsi="Lato" w:cstheme="minorHAnsi"/>
          <w:sz w:val="20"/>
          <w:szCs w:val="20"/>
        </w:rPr>
        <w:t xml:space="preserve">% kryterium, o którym mowa w art. 8 ww. ustawy: </w:t>
      </w:r>
    </w:p>
    <w:p w14:paraId="6A48CECA" w14:textId="40058FCE" w:rsidR="00A94E37" w:rsidRPr="004F5101" w:rsidRDefault="00A94E37" w:rsidP="004F5101">
      <w:pPr>
        <w:pStyle w:val="Akapitzlist"/>
        <w:numPr>
          <w:ilvl w:val="0"/>
          <w:numId w:val="175"/>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dzieciom do czasu podjęcia nauki w szkole podstawowej,</w:t>
      </w:r>
    </w:p>
    <w:p w14:paraId="063200B1" w14:textId="77777777" w:rsidR="00A94E37" w:rsidRPr="004F5101" w:rsidRDefault="00A94E37" w:rsidP="004F5101">
      <w:pPr>
        <w:numPr>
          <w:ilvl w:val="0"/>
          <w:numId w:val="175"/>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uczniom do czasu ukończenia szkoły ponadpodstawowej lub szkoły ponadgimnazjalnej, </w:t>
      </w:r>
    </w:p>
    <w:p w14:paraId="47512998" w14:textId="77777777" w:rsidR="00A94E37" w:rsidRPr="004F5101" w:rsidRDefault="00A94E37" w:rsidP="004F5101">
      <w:pPr>
        <w:numPr>
          <w:ilvl w:val="0"/>
          <w:numId w:val="175"/>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osobom i rodzinom znajdującym się w sytuacjach wymienionych w art. 7 ustawy z dnia 12 marca 2004 r. o pomocy społecznej, w szczególności osobom starszym, chorym i niepełnosprawnym</w:t>
      </w:r>
    </w:p>
    <w:p w14:paraId="0FB574E7" w14:textId="77777777"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w formie posiłku, świadczenia pieniężnego na zakup posiłku lub żywności albo świadczenia  rzeczowego w postaci produktów żywnościowych.</w:t>
      </w:r>
    </w:p>
    <w:p w14:paraId="0C4FED6D"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68E1902B" w14:textId="77777777" w:rsidR="00033438" w:rsidRPr="00033438" w:rsidRDefault="00033438" w:rsidP="00033438">
      <w:pPr>
        <w:autoSpaceDE w:val="0"/>
        <w:autoSpaceDN w:val="0"/>
        <w:adjustRightInd w:val="0"/>
        <w:spacing w:after="0" w:line="240" w:lineRule="auto"/>
        <w:jc w:val="both"/>
        <w:rPr>
          <w:rFonts w:ascii="Lato" w:hAnsi="Lato" w:cstheme="minorHAnsi"/>
          <w:sz w:val="20"/>
          <w:szCs w:val="20"/>
        </w:rPr>
      </w:pPr>
      <w:r w:rsidRPr="00033438">
        <w:rPr>
          <w:rFonts w:ascii="Lato" w:hAnsi="Lato" w:cstheme="minorHAnsi"/>
          <w:sz w:val="20"/>
          <w:szCs w:val="20"/>
        </w:rPr>
        <w:t>W dniu 28 grudnia 2022 r. Rada Ministrów przyjęła uchwałę zmieniającą uchwałę w sprawie ustanowienia wieloletniego rządowego programu „Posiłek w szkole i w domu” na lata 2019–2023. Celem zmiany uchwały było podwyższenie kryterium dochodowego ze 150% do 200%, o którym mowa w art. 8 ustawy o pomocy społecznej. W związku z powyższym od 1 stycznia 2023 r. kryteria dochodowe w ramach Programu wynoszą odpowiednio:</w:t>
      </w:r>
    </w:p>
    <w:p w14:paraId="3064B079" w14:textId="77777777" w:rsidR="00033438" w:rsidRPr="00033438" w:rsidRDefault="00033438" w:rsidP="00033438">
      <w:pPr>
        <w:numPr>
          <w:ilvl w:val="0"/>
          <w:numId w:val="177"/>
        </w:numPr>
        <w:autoSpaceDE w:val="0"/>
        <w:autoSpaceDN w:val="0"/>
        <w:adjustRightInd w:val="0"/>
        <w:spacing w:after="0" w:line="240" w:lineRule="auto"/>
        <w:jc w:val="both"/>
        <w:rPr>
          <w:rFonts w:ascii="Lato" w:hAnsi="Lato" w:cstheme="minorHAnsi"/>
          <w:sz w:val="20"/>
          <w:szCs w:val="20"/>
        </w:rPr>
      </w:pPr>
      <w:r w:rsidRPr="00033438">
        <w:rPr>
          <w:rFonts w:ascii="Lato" w:hAnsi="Lato" w:cstheme="minorHAnsi"/>
          <w:sz w:val="20"/>
          <w:szCs w:val="20"/>
        </w:rPr>
        <w:t>1552 zł – dla osoby samotnie gospodarującej;</w:t>
      </w:r>
    </w:p>
    <w:p w14:paraId="21D2ED4C" w14:textId="77777777" w:rsidR="00033438" w:rsidRPr="00033438" w:rsidRDefault="00033438" w:rsidP="00033438">
      <w:pPr>
        <w:numPr>
          <w:ilvl w:val="0"/>
          <w:numId w:val="177"/>
        </w:numPr>
        <w:autoSpaceDE w:val="0"/>
        <w:autoSpaceDN w:val="0"/>
        <w:adjustRightInd w:val="0"/>
        <w:spacing w:after="0" w:line="240" w:lineRule="auto"/>
        <w:jc w:val="both"/>
        <w:rPr>
          <w:rFonts w:ascii="Lato" w:hAnsi="Lato" w:cstheme="minorHAnsi"/>
          <w:sz w:val="20"/>
          <w:szCs w:val="20"/>
        </w:rPr>
      </w:pPr>
      <w:r w:rsidRPr="00033438">
        <w:rPr>
          <w:rFonts w:ascii="Lato" w:hAnsi="Lato" w:cstheme="minorHAnsi"/>
          <w:sz w:val="20"/>
          <w:szCs w:val="20"/>
        </w:rPr>
        <w:t xml:space="preserve">1200 zł – dla osoby w rodzinie.  </w:t>
      </w:r>
    </w:p>
    <w:p w14:paraId="433EC97D"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3FF62272" w14:textId="71541F39"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Program dofinansuje posiłki dowożone osobom dorosłym (np. niewychodzącym z domu ze względu na podeszły wiek czy niepełnosprawność), które same nie są w stanie ich przygotować. Program zapewnia ponadto pozyskanie:</w:t>
      </w:r>
    </w:p>
    <w:p w14:paraId="27A320E7" w14:textId="77777777" w:rsidR="00F965C3" w:rsidRPr="004F5101" w:rsidRDefault="00A94E37" w:rsidP="004F5101">
      <w:pPr>
        <w:pStyle w:val="Akapitzlist"/>
        <w:numPr>
          <w:ilvl w:val="0"/>
          <w:numId w:val="179"/>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dodatkowych środków na dowóz posiłków  - w ramach modułu 2 wójt (burmistrz, prezydent miasta) może pozyskać zwiększenie dotacji do 5% środków finansowych z przeznaczeniem na dowóz posiłków w gminie, w szczególności dla osób starszych, niepełnosprawnych,</w:t>
      </w:r>
    </w:p>
    <w:p w14:paraId="31B46C57" w14:textId="36E5C429" w:rsidR="00A94E37" w:rsidRPr="004F5101" w:rsidRDefault="00A94E37" w:rsidP="004F5101">
      <w:pPr>
        <w:pStyle w:val="Akapitzlist"/>
        <w:numPr>
          <w:ilvl w:val="0"/>
          <w:numId w:val="179"/>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dodatkowych środków dla gmin, które prowadzą samodzielnie stołówki szkolne - wójt (burmistrz, prezydent miasta) może pozyskać zwiększenie dotacji do 5% dla gminy realizującej posiłek w stołówkach przez siebie prowadzonych bezpośrednio.</w:t>
      </w:r>
    </w:p>
    <w:p w14:paraId="7239BC81"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71AD1E3E" w14:textId="383206C0"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Program finansowany  jest  ze  środków  budżetu  państwa oraz  środków własnych jednostek samorządu terytorialnego. Ogólna kwota środków z budżetu państwa przewidziana w całym okresie realizacji Programu to 2 750 000 tys. zł, rocznie 550 mln zł, w tym:</w:t>
      </w:r>
    </w:p>
    <w:p w14:paraId="7D214D2B" w14:textId="77777777" w:rsidR="00F965C3" w:rsidRPr="004F5101" w:rsidRDefault="00A94E37" w:rsidP="004F5101">
      <w:pPr>
        <w:pStyle w:val="Akapitzlist"/>
        <w:numPr>
          <w:ilvl w:val="0"/>
          <w:numId w:val="180"/>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na realizację modułów 1 i 2 Programu w latach 2019-2023 przewidziano 2 550 000 tys. zł   </w:t>
      </w:r>
      <w:r w:rsidRPr="004F5101">
        <w:rPr>
          <w:rFonts w:ascii="Lato" w:hAnsi="Lato" w:cstheme="minorHAnsi"/>
          <w:sz w:val="20"/>
          <w:szCs w:val="20"/>
        </w:rPr>
        <w:br/>
        <w:t>z budżetu państwa (rocznie 510 mln zł),</w:t>
      </w:r>
    </w:p>
    <w:p w14:paraId="32A0C948" w14:textId="2A403AED" w:rsidR="00A94E37" w:rsidRPr="004F5101" w:rsidRDefault="00A94E37" w:rsidP="004F5101">
      <w:pPr>
        <w:pStyle w:val="Akapitzlist"/>
        <w:numPr>
          <w:ilvl w:val="0"/>
          <w:numId w:val="180"/>
        </w:num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lastRenderedPageBreak/>
        <w:t>na realizację modułu 3 Programu w latach 2019-2023 przewidziano 200 000 000 zł  z budżetu   państwa (rocznie 40 mln zł).</w:t>
      </w:r>
    </w:p>
    <w:p w14:paraId="1929B332" w14:textId="77777777" w:rsidR="00F965C3" w:rsidRPr="004F5101" w:rsidRDefault="00F965C3" w:rsidP="004F5101">
      <w:pPr>
        <w:autoSpaceDE w:val="0"/>
        <w:autoSpaceDN w:val="0"/>
        <w:adjustRightInd w:val="0"/>
        <w:spacing w:after="0" w:line="240" w:lineRule="auto"/>
        <w:jc w:val="both"/>
        <w:rPr>
          <w:rFonts w:ascii="Lato" w:hAnsi="Lato" w:cstheme="minorHAnsi"/>
          <w:sz w:val="20"/>
          <w:szCs w:val="20"/>
        </w:rPr>
      </w:pPr>
    </w:p>
    <w:p w14:paraId="5D56A553" w14:textId="019A57DF" w:rsidR="00A94E37" w:rsidRPr="004F5101" w:rsidRDefault="00A94E37" w:rsidP="004F5101">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Liczba osób dorosłych, które zostały objęte w  2022 r. Programem wyniosła  415 323, w tym 187 382 to osoby starsze, niepełnosprawne.</w:t>
      </w:r>
    </w:p>
    <w:p w14:paraId="5B856F1E" w14:textId="2D9F9159" w:rsidR="00455C23" w:rsidRPr="004F5101" w:rsidRDefault="00455C23" w:rsidP="004F5101">
      <w:pPr>
        <w:spacing w:after="0" w:line="240" w:lineRule="auto"/>
        <w:jc w:val="both"/>
        <w:rPr>
          <w:rFonts w:ascii="Lato" w:hAnsi="Lato"/>
          <w:sz w:val="20"/>
          <w:szCs w:val="20"/>
        </w:rPr>
      </w:pPr>
    </w:p>
    <w:p w14:paraId="5F8269FB" w14:textId="77777777" w:rsidR="00E05E1D" w:rsidRPr="004F5101" w:rsidRDefault="00E05E1D" w:rsidP="004F5101">
      <w:pPr>
        <w:spacing w:after="0" w:line="240" w:lineRule="auto"/>
        <w:jc w:val="both"/>
        <w:rPr>
          <w:rFonts w:ascii="Lato" w:hAnsi="Lato" w:cstheme="minorHAnsi"/>
          <w:bCs/>
          <w:sz w:val="20"/>
          <w:szCs w:val="20"/>
        </w:rPr>
      </w:pPr>
      <w:r w:rsidRPr="004F5101">
        <w:rPr>
          <w:rFonts w:ascii="Lato" w:hAnsi="Lato" w:cstheme="minorHAnsi"/>
          <w:bCs/>
          <w:sz w:val="20"/>
          <w:szCs w:val="20"/>
        </w:rPr>
        <w:t>Ministerstwo Rodziny i Polityki Społecznej nie tylko systemowo, ale również przy pomocy programów resortowych, wspiera rozwój form pomocy dedykowanych m.in. osobom zależnym.</w:t>
      </w:r>
    </w:p>
    <w:p w14:paraId="2928AB9C" w14:textId="77777777" w:rsidR="00E05E1D" w:rsidRPr="004F5101" w:rsidRDefault="00E05E1D" w:rsidP="004F5101">
      <w:pPr>
        <w:spacing w:after="0" w:line="240" w:lineRule="auto"/>
        <w:jc w:val="both"/>
        <w:rPr>
          <w:rFonts w:ascii="Lato" w:hAnsi="Lato" w:cstheme="minorHAnsi"/>
          <w:bCs/>
          <w:sz w:val="20"/>
          <w:szCs w:val="20"/>
        </w:rPr>
      </w:pPr>
    </w:p>
    <w:p w14:paraId="664B9026" w14:textId="77777777" w:rsidR="001E005B" w:rsidRPr="004F5101" w:rsidRDefault="00E05E1D" w:rsidP="004F5101">
      <w:pPr>
        <w:spacing w:after="0" w:line="240" w:lineRule="auto"/>
        <w:jc w:val="both"/>
        <w:rPr>
          <w:rFonts w:ascii="Lato" w:hAnsi="Lato" w:cstheme="minorHAnsi"/>
          <w:bCs/>
          <w:sz w:val="20"/>
          <w:szCs w:val="20"/>
        </w:rPr>
      </w:pPr>
      <w:r w:rsidRPr="004F5101">
        <w:rPr>
          <w:rFonts w:ascii="Lato" w:hAnsi="Lato" w:cstheme="minorHAnsi"/>
          <w:b/>
          <w:iCs/>
          <w:sz w:val="20"/>
          <w:szCs w:val="20"/>
        </w:rPr>
        <w:t>Program rozwoju rodzinnych domów pomocy</w:t>
      </w:r>
    </w:p>
    <w:p w14:paraId="6CD021E4" w14:textId="32CC1344" w:rsidR="00E05E1D" w:rsidRPr="004F5101" w:rsidRDefault="001E005B" w:rsidP="004F5101">
      <w:pPr>
        <w:spacing w:after="0" w:line="240" w:lineRule="auto"/>
        <w:jc w:val="both"/>
        <w:rPr>
          <w:rFonts w:ascii="Lato" w:hAnsi="Lato" w:cstheme="minorHAnsi"/>
          <w:bCs/>
          <w:sz w:val="20"/>
          <w:szCs w:val="20"/>
        </w:rPr>
      </w:pPr>
      <w:r w:rsidRPr="004F5101">
        <w:rPr>
          <w:rFonts w:ascii="Lato" w:hAnsi="Lato" w:cstheme="minorHAnsi"/>
          <w:bCs/>
          <w:sz w:val="20"/>
          <w:szCs w:val="20"/>
        </w:rPr>
        <w:t xml:space="preserve">Celem programu </w:t>
      </w:r>
      <w:r w:rsidR="00E05E1D" w:rsidRPr="004F5101">
        <w:rPr>
          <w:rFonts w:ascii="Lato" w:hAnsi="Lato" w:cstheme="minorHAnsi"/>
          <w:bCs/>
          <w:sz w:val="20"/>
          <w:szCs w:val="20"/>
        </w:rPr>
        <w:t xml:space="preserve"> jest poprawa dostępności do usług opiekuńczych i bytowych świadczonych w rodzinnych domach pomocy oraz rozwój tej formy wsparcia. Wsparcie finansowe dla samorządów gminnych możliwe jest w dwóch modułach: wsparcie finansowe gmin w kosztach jakie ponoszą za pobyt osób skierowanych do rodzinnych domów pomocy (moduł I) oraz dofinansowanie kosztów remontu lub zakupu wyposażenia w sytuacji  tworzenia rodzinnych domów pomocy (moduł II). </w:t>
      </w:r>
    </w:p>
    <w:p w14:paraId="07B1165A" w14:textId="77777777" w:rsidR="00E05E1D" w:rsidRPr="004F5101" w:rsidRDefault="00E05E1D" w:rsidP="004F5101">
      <w:pPr>
        <w:spacing w:after="0" w:line="240" w:lineRule="auto"/>
        <w:jc w:val="both"/>
        <w:rPr>
          <w:rFonts w:ascii="Lato" w:hAnsi="Lato" w:cstheme="minorHAnsi"/>
          <w:bCs/>
          <w:sz w:val="20"/>
          <w:szCs w:val="20"/>
        </w:rPr>
      </w:pPr>
    </w:p>
    <w:p w14:paraId="266DBDCC" w14:textId="5A0BF06B" w:rsidR="00E05E1D" w:rsidRPr="004F5101" w:rsidRDefault="00E05E1D" w:rsidP="004F5101">
      <w:pPr>
        <w:spacing w:after="0" w:line="240" w:lineRule="auto"/>
        <w:jc w:val="both"/>
        <w:rPr>
          <w:rFonts w:ascii="Lato" w:hAnsi="Lato" w:cstheme="minorHAnsi"/>
          <w:bCs/>
          <w:sz w:val="20"/>
          <w:szCs w:val="20"/>
        </w:rPr>
      </w:pPr>
      <w:r w:rsidRPr="004F5101">
        <w:rPr>
          <w:rFonts w:ascii="Lato" w:hAnsi="Lato" w:cstheme="minorHAnsi"/>
          <w:bCs/>
          <w:sz w:val="20"/>
          <w:szCs w:val="20"/>
        </w:rPr>
        <w:t>W wyniku podziału środków w 2022 roku gminy, które złożyły wnioski na realizację Programu otrzymały łącznie 5 708 255 zł ze środków z rezerwy celowej budżetu państwa na rozwój rodzinnych domów pomocy. Program jest kontynuowany w roku 2023.</w:t>
      </w:r>
    </w:p>
    <w:p w14:paraId="5B16FA59" w14:textId="77777777" w:rsidR="00E05E1D" w:rsidRPr="004F5101" w:rsidRDefault="00E05E1D" w:rsidP="004F5101">
      <w:pPr>
        <w:spacing w:after="0" w:line="240" w:lineRule="auto"/>
        <w:jc w:val="both"/>
        <w:rPr>
          <w:rFonts w:ascii="Lato" w:hAnsi="Lato" w:cstheme="minorHAnsi"/>
          <w:bCs/>
          <w:sz w:val="20"/>
          <w:szCs w:val="20"/>
        </w:rPr>
      </w:pPr>
    </w:p>
    <w:p w14:paraId="1B8F0DDD" w14:textId="77777777" w:rsidR="00E05E1D" w:rsidRPr="004F5101" w:rsidRDefault="00E05E1D" w:rsidP="004F5101">
      <w:pPr>
        <w:spacing w:after="0" w:line="240" w:lineRule="auto"/>
        <w:jc w:val="both"/>
        <w:rPr>
          <w:rFonts w:ascii="Lato" w:hAnsi="Lato" w:cstheme="minorHAnsi"/>
          <w:b/>
          <w:bCs/>
          <w:sz w:val="20"/>
          <w:szCs w:val="20"/>
        </w:rPr>
      </w:pPr>
      <w:r w:rsidRPr="004F5101">
        <w:rPr>
          <w:rFonts w:ascii="Lato" w:eastAsia="Times New Roman" w:hAnsi="Lato" w:cstheme="minorHAnsi"/>
          <w:b/>
          <w:sz w:val="20"/>
          <w:szCs w:val="20"/>
          <w:lang w:eastAsia="pl-PL"/>
        </w:rPr>
        <w:t>Krajowy Programu Przeciwdziałania Ubóstwu i Wykluczeniu Społecznemu. Aktualizacja 2021-2027, polityka publiczna z perspektywą do roku 2030</w:t>
      </w:r>
    </w:p>
    <w:p w14:paraId="5A138F7B" w14:textId="77777777" w:rsidR="00E05E1D" w:rsidRPr="004F5101" w:rsidRDefault="00E05E1D" w:rsidP="004F5101">
      <w:pPr>
        <w:spacing w:after="0" w:line="240" w:lineRule="auto"/>
        <w:jc w:val="both"/>
        <w:rPr>
          <w:rFonts w:ascii="Lato" w:hAnsi="Lato" w:cstheme="minorHAnsi"/>
          <w:sz w:val="20"/>
          <w:szCs w:val="20"/>
        </w:rPr>
      </w:pPr>
      <w:r w:rsidRPr="004F5101">
        <w:rPr>
          <w:rFonts w:ascii="Lato" w:eastAsia="Times New Roman" w:hAnsi="Lato" w:cstheme="minorHAnsi"/>
          <w:sz w:val="20"/>
          <w:szCs w:val="20"/>
          <w:lang w:eastAsia="pl-PL"/>
        </w:rPr>
        <w:t xml:space="preserve">Jednym z głównych Priorytetów „Krajowego Programu Przeciwdziałania Ubóstwu i Wykluczeniu Społecznemu. Aktualizacja 2021-2027, polityka publiczna z perspektywą do roku 2030”  są zaplanowane </w:t>
      </w:r>
      <w:r w:rsidRPr="004F5101">
        <w:rPr>
          <w:rFonts w:ascii="Lato" w:hAnsi="Lato" w:cstheme="minorHAnsi"/>
          <w:sz w:val="20"/>
          <w:szCs w:val="20"/>
        </w:rPr>
        <w:t xml:space="preserve">usługi społeczne dla osób z niepełnosprawnościami, osób starszych i innych osób potrzebujących wsparcia  w codziennym funkcjonowaniu. Zaplanowane w Programie działania mają na celu rozwój usług środowiskowych dla osób, które potrzebują wsparcia w codziennym funkcjonowaniu jak również są odpowiedzią na ideę procesu deinstytucjonalizacji usług społecznych rozumianego jako długofalowy proces przejścia od usług świadczonych w instytucjach do usług świadczonych w środowisku lokalnym, którego końcowym rezultatem będzie odejście od usług społecznych świadczonych w instytucjach na rzecz usług społecznych świadczonych w środowisku lokalnym. Realizacja procesu będzie przebiegała poprzez wieloaspektowe wsparcie rodzin i osób oraz wypracowany system świadczenia usług w środowisku lokalnym. Proces deinstytucjonalizacji usług społecznych to proces wielopłaszczyznowy i wieloletni, wymagający zaangażowania instytucji z poziomu krajowego, z poziomu regionalnego (województwa, powiaty, gminy), organizacji obywatelskich działających na rzecz interesariuszy usług społecznych oraz samych osób zainteresowanych. Działania w zakresie procesu deinstytucjonalizacji usług będą w pierwszej fazie koncentrować się na rozwoju usług środowiskowych w celu zapobiegania umieszczaniu osób w placówkach całodobowych, przeglądzie obowiązujących aktów prawnych, dokumentów strategicznych i obowiązujących systemów świadczenia usług w celu wprowadzenia zmian w obszarze deinstytucjonalizacji usług społecznych. Działanie zaplanowane na lata 2021-2030. </w:t>
      </w:r>
    </w:p>
    <w:p w14:paraId="3B74445D" w14:textId="77777777" w:rsidR="00E05E1D" w:rsidRPr="004F5101" w:rsidRDefault="00E05E1D" w:rsidP="004F5101">
      <w:pPr>
        <w:spacing w:after="0" w:line="240" w:lineRule="auto"/>
        <w:jc w:val="both"/>
        <w:rPr>
          <w:rFonts w:ascii="Lato" w:hAnsi="Lato" w:cstheme="minorHAnsi"/>
          <w:sz w:val="20"/>
          <w:szCs w:val="20"/>
        </w:rPr>
      </w:pPr>
    </w:p>
    <w:p w14:paraId="2F78062F" w14:textId="01FCD3CB" w:rsidR="00E05E1D" w:rsidRPr="004F5101" w:rsidRDefault="00E05E1D" w:rsidP="007C0D2B">
      <w:pPr>
        <w:autoSpaceDE w:val="0"/>
        <w:autoSpaceDN w:val="0"/>
        <w:adjustRightInd w:val="0"/>
        <w:spacing w:after="0" w:line="240" w:lineRule="auto"/>
        <w:jc w:val="both"/>
        <w:rPr>
          <w:rFonts w:ascii="Lato" w:hAnsi="Lato" w:cstheme="minorHAnsi"/>
          <w:b/>
          <w:sz w:val="20"/>
          <w:szCs w:val="20"/>
        </w:rPr>
      </w:pPr>
      <w:r w:rsidRPr="004F5101">
        <w:rPr>
          <w:rFonts w:ascii="Lato" w:hAnsi="Lato" w:cstheme="minorHAnsi"/>
          <w:b/>
          <w:sz w:val="20"/>
          <w:szCs w:val="20"/>
        </w:rPr>
        <w:t>Opracowanie i pilotażowe wdrożenie mechanizmów i planów deinstytucjonalizacji usług społecznych</w:t>
      </w:r>
    </w:p>
    <w:p w14:paraId="5E049AC2" w14:textId="0430E10C" w:rsidR="00E05E1D" w:rsidRPr="004F5101" w:rsidRDefault="00E05E1D" w:rsidP="007C0D2B">
      <w:pPr>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Celem realizowanego w ramach PO WER projektu pn. „Opracowanie i pilotażowe wdrożenie mechanizmów i planów deinstytucjonalizacji usług społecznych” jest opracowanie i wdrożenie lokalnych planów deinstytucjonalizacji usług społecznych w  dwudziestu jednostkach samorządu terytorialnego wybranych z terenu całego kraju. Plany deinstytucjonalizacji usług społecznych będą dotyczyć osób potrzebujących wsparcia w codziennym funkcjonowaniu, tj. </w:t>
      </w:r>
      <w:r w:rsidRPr="004F5101">
        <w:rPr>
          <w:rFonts w:ascii="Lato" w:hAnsi="Lato" w:cstheme="minorHAnsi"/>
          <w:b/>
          <w:bCs/>
          <w:sz w:val="20"/>
          <w:szCs w:val="20"/>
        </w:rPr>
        <w:t>osób starszych</w:t>
      </w:r>
      <w:r w:rsidRPr="004F5101">
        <w:rPr>
          <w:rFonts w:ascii="Lato" w:hAnsi="Lato" w:cstheme="minorHAnsi"/>
          <w:sz w:val="20"/>
          <w:szCs w:val="20"/>
        </w:rPr>
        <w:t xml:space="preserve">, osób z niepełnosprawnościami, osób w kryzysie psychicznym, osób pozostających w kryzysie bezdomności, dzieci przebywających w wieloosobowych placówkach całodobowych. </w:t>
      </w:r>
    </w:p>
    <w:p w14:paraId="71B1F5B1" w14:textId="77777777" w:rsidR="00E05E1D" w:rsidRPr="004F5101" w:rsidRDefault="00E05E1D" w:rsidP="007C0D2B">
      <w:pPr>
        <w:spacing w:after="0" w:line="240" w:lineRule="auto"/>
        <w:jc w:val="both"/>
        <w:rPr>
          <w:rFonts w:ascii="Lato" w:hAnsi="Lato" w:cstheme="minorHAnsi"/>
          <w:sz w:val="20"/>
          <w:szCs w:val="20"/>
        </w:rPr>
      </w:pPr>
    </w:p>
    <w:p w14:paraId="44DDF582" w14:textId="3A694FCE" w:rsidR="00E05E1D" w:rsidRPr="00033438" w:rsidRDefault="00E05E1D" w:rsidP="007C0D2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b/>
          <w:bCs/>
          <w:iCs/>
          <w:noProof/>
          <w:sz w:val="20"/>
          <w:szCs w:val="20"/>
        </w:rPr>
      </w:pPr>
      <w:r w:rsidRPr="004F5101">
        <w:rPr>
          <w:rFonts w:ascii="Lato" w:hAnsi="Lato" w:cstheme="minorHAnsi"/>
          <w:b/>
          <w:bCs/>
          <w:iCs/>
          <w:noProof/>
          <w:sz w:val="20"/>
          <w:szCs w:val="20"/>
        </w:rPr>
        <w:t>Strategia rozwoju usług społecznych, polityka publiczna do roku 2030 (z perspektywą do 2035 r.)</w:t>
      </w:r>
    </w:p>
    <w:p w14:paraId="12205A31" w14:textId="77777777" w:rsidR="00E05E1D" w:rsidRPr="004F5101" w:rsidRDefault="00E05E1D" w:rsidP="007C0D2B">
      <w:pPr>
        <w:spacing w:after="0" w:line="240" w:lineRule="auto"/>
        <w:jc w:val="both"/>
        <w:rPr>
          <w:rFonts w:ascii="Lato" w:hAnsi="Lato" w:cstheme="minorHAnsi"/>
          <w:bCs/>
          <w:i/>
          <w:iCs/>
          <w:noProof/>
          <w:sz w:val="20"/>
          <w:szCs w:val="20"/>
        </w:rPr>
      </w:pPr>
      <w:r w:rsidRPr="004F5101">
        <w:rPr>
          <w:rFonts w:ascii="Lato" w:hAnsi="Lato" w:cstheme="minorHAnsi"/>
          <w:bCs/>
          <w:iCs/>
          <w:noProof/>
          <w:sz w:val="20"/>
          <w:szCs w:val="20"/>
        </w:rPr>
        <w:t>Uchwałą nr 135 z dnia 15 czerwca 2022 r.  Rada Ministrów przyjęła opracowany w Ministerstwie Rodziny i Polityki Społecznej   dokument pn.:</w:t>
      </w:r>
      <w:r w:rsidRPr="004F5101">
        <w:rPr>
          <w:rFonts w:ascii="Lato" w:hAnsi="Lato" w:cstheme="minorHAnsi"/>
          <w:noProof/>
          <w:sz w:val="20"/>
          <w:szCs w:val="20"/>
        </w:rPr>
        <w:t xml:space="preserve"> „</w:t>
      </w:r>
      <w:r w:rsidRPr="004F5101">
        <w:rPr>
          <w:rFonts w:ascii="Lato" w:hAnsi="Lato" w:cstheme="minorHAnsi"/>
          <w:bCs/>
          <w:i/>
          <w:iCs/>
          <w:noProof/>
          <w:sz w:val="20"/>
          <w:szCs w:val="20"/>
        </w:rPr>
        <w:t>Strategia rozwoju usług społecznych, polityka publiczna do roku 2030 (z perspektywą do 2035 r.)”.</w:t>
      </w:r>
    </w:p>
    <w:p w14:paraId="7E30B4BB" w14:textId="77777777" w:rsidR="00E05E1D" w:rsidRPr="004F5101" w:rsidRDefault="00E05E1D" w:rsidP="007C0D2B">
      <w:pPr>
        <w:shd w:val="clear" w:color="auto" w:fill="FFFFFF" w:themeFill="background1"/>
        <w:spacing w:after="0" w:line="240" w:lineRule="auto"/>
        <w:jc w:val="both"/>
        <w:rPr>
          <w:rFonts w:ascii="Lato" w:hAnsi="Lato" w:cstheme="minorHAnsi"/>
          <w:bCs/>
          <w:sz w:val="20"/>
          <w:szCs w:val="20"/>
        </w:rPr>
      </w:pPr>
      <w:r w:rsidRPr="004F5101">
        <w:rPr>
          <w:rFonts w:ascii="Lato" w:hAnsi="Lato" w:cstheme="minorHAnsi"/>
          <w:bCs/>
          <w:sz w:val="20"/>
          <w:szCs w:val="20"/>
        </w:rPr>
        <w:t>W ramach drugiego celu strategicznego tj. zbudowanie skutecznego i trwałego systemu świadczenia usług społecznych dla osób potrzebujących wsparcia w codziennym funkcjonowaniu zakład się m.in.:</w:t>
      </w:r>
    </w:p>
    <w:p w14:paraId="2D926D36" w14:textId="77777777" w:rsidR="00E05E1D" w:rsidRPr="004F5101" w:rsidRDefault="00E05E1D" w:rsidP="007C0D2B">
      <w:pPr>
        <w:pStyle w:val="Akapitzlist"/>
        <w:widowControl w:val="0"/>
        <w:numPr>
          <w:ilvl w:val="0"/>
          <w:numId w:val="170"/>
        </w:numPr>
        <w:shd w:val="clear" w:color="auto" w:fill="FFFFFF" w:themeFill="background1"/>
        <w:adjustRightInd w:val="0"/>
        <w:spacing w:after="0" w:line="240" w:lineRule="auto"/>
        <w:ind w:left="426" w:hanging="284"/>
        <w:jc w:val="both"/>
        <w:textAlignment w:val="baseline"/>
        <w:rPr>
          <w:rFonts w:ascii="Lato" w:hAnsi="Lato" w:cstheme="minorHAnsi"/>
          <w:bCs/>
          <w:sz w:val="20"/>
          <w:szCs w:val="20"/>
        </w:rPr>
      </w:pPr>
      <w:r w:rsidRPr="004F5101">
        <w:rPr>
          <w:rFonts w:ascii="Lato" w:hAnsi="Lato" w:cstheme="minorHAnsi"/>
          <w:bCs/>
          <w:sz w:val="20"/>
          <w:szCs w:val="20"/>
        </w:rPr>
        <w:t>Wdrożenie systemu realizacji usług społecznych oraz standaryzacja usług świadczonych na rzecz osób starszych;</w:t>
      </w:r>
    </w:p>
    <w:p w14:paraId="65746D15" w14:textId="77777777" w:rsidR="00E05E1D" w:rsidRPr="004F5101" w:rsidRDefault="00E05E1D" w:rsidP="007C0D2B">
      <w:pPr>
        <w:pStyle w:val="Akapitzlist"/>
        <w:widowControl w:val="0"/>
        <w:numPr>
          <w:ilvl w:val="0"/>
          <w:numId w:val="170"/>
        </w:numPr>
        <w:shd w:val="clear" w:color="auto" w:fill="FFFFFF" w:themeFill="background1"/>
        <w:adjustRightInd w:val="0"/>
        <w:spacing w:after="0" w:line="240" w:lineRule="auto"/>
        <w:ind w:left="426" w:hanging="284"/>
        <w:jc w:val="both"/>
        <w:textAlignment w:val="baseline"/>
        <w:rPr>
          <w:rFonts w:ascii="Lato" w:hAnsi="Lato" w:cstheme="minorHAnsi"/>
          <w:bCs/>
          <w:sz w:val="20"/>
          <w:szCs w:val="20"/>
        </w:rPr>
      </w:pPr>
      <w:r w:rsidRPr="004F5101">
        <w:rPr>
          <w:rFonts w:ascii="Lato" w:hAnsi="Lato" w:cstheme="minorHAnsi"/>
          <w:bCs/>
          <w:sz w:val="20"/>
          <w:szCs w:val="20"/>
        </w:rPr>
        <w:lastRenderedPageBreak/>
        <w:t>Wsparcie rodziny realizującej opiekę nad osobą starszą;</w:t>
      </w:r>
    </w:p>
    <w:p w14:paraId="3E89AEDF" w14:textId="77777777" w:rsidR="00E05E1D" w:rsidRPr="004F5101" w:rsidRDefault="00E05E1D" w:rsidP="007C0D2B">
      <w:pPr>
        <w:pStyle w:val="Akapitzlist"/>
        <w:widowControl w:val="0"/>
        <w:numPr>
          <w:ilvl w:val="0"/>
          <w:numId w:val="170"/>
        </w:numPr>
        <w:shd w:val="clear" w:color="auto" w:fill="FFFFFF" w:themeFill="background1"/>
        <w:adjustRightInd w:val="0"/>
        <w:spacing w:after="0" w:line="240" w:lineRule="auto"/>
        <w:ind w:left="426" w:hanging="284"/>
        <w:jc w:val="both"/>
        <w:textAlignment w:val="baseline"/>
        <w:rPr>
          <w:rFonts w:ascii="Lato" w:hAnsi="Lato" w:cstheme="minorHAnsi"/>
          <w:bCs/>
          <w:sz w:val="20"/>
          <w:szCs w:val="20"/>
        </w:rPr>
      </w:pPr>
      <w:r w:rsidRPr="004F5101">
        <w:rPr>
          <w:rFonts w:ascii="Lato" w:hAnsi="Lato" w:cstheme="minorHAnsi"/>
          <w:bCs/>
          <w:sz w:val="20"/>
          <w:szCs w:val="20"/>
        </w:rPr>
        <w:t>Rozwój środowiskowych form wsparcia nad osobami starszymi;</w:t>
      </w:r>
    </w:p>
    <w:p w14:paraId="43067E99" w14:textId="77777777" w:rsidR="00E05E1D" w:rsidRPr="004F5101" w:rsidRDefault="00E05E1D" w:rsidP="007C0D2B">
      <w:pPr>
        <w:pStyle w:val="Akapitzlist"/>
        <w:widowControl w:val="0"/>
        <w:numPr>
          <w:ilvl w:val="0"/>
          <w:numId w:val="170"/>
        </w:numPr>
        <w:shd w:val="clear" w:color="auto" w:fill="FFFFFF" w:themeFill="background1"/>
        <w:adjustRightInd w:val="0"/>
        <w:spacing w:after="0" w:line="240" w:lineRule="auto"/>
        <w:ind w:left="426" w:hanging="284"/>
        <w:jc w:val="both"/>
        <w:textAlignment w:val="baseline"/>
        <w:rPr>
          <w:rFonts w:ascii="Lato" w:hAnsi="Lato" w:cstheme="minorHAnsi"/>
          <w:bCs/>
          <w:sz w:val="20"/>
          <w:szCs w:val="20"/>
        </w:rPr>
      </w:pPr>
      <w:r w:rsidRPr="004F5101">
        <w:rPr>
          <w:rFonts w:ascii="Lato" w:hAnsi="Lato" w:cstheme="minorHAnsi"/>
          <w:bCs/>
          <w:sz w:val="20"/>
          <w:szCs w:val="20"/>
        </w:rPr>
        <w:t>Wsparcie i rozwój kadr świadczących usługi społeczne.</w:t>
      </w:r>
    </w:p>
    <w:p w14:paraId="6B338866" w14:textId="77777777" w:rsidR="00E05E1D" w:rsidRPr="004F5101" w:rsidRDefault="00E05E1D" w:rsidP="007C0D2B">
      <w:pPr>
        <w:widowControl w:val="0"/>
        <w:shd w:val="clear" w:color="auto" w:fill="FFFFFF" w:themeFill="background1"/>
        <w:adjustRightInd w:val="0"/>
        <w:spacing w:after="0" w:line="240" w:lineRule="auto"/>
        <w:jc w:val="both"/>
        <w:textAlignment w:val="baseline"/>
        <w:rPr>
          <w:rFonts w:ascii="Lato" w:hAnsi="Lato" w:cstheme="minorHAnsi"/>
          <w:bCs/>
          <w:sz w:val="20"/>
          <w:szCs w:val="20"/>
        </w:rPr>
      </w:pPr>
      <w:r w:rsidRPr="004F5101">
        <w:rPr>
          <w:rFonts w:ascii="Lato" w:hAnsi="Lato" w:cstheme="minorHAnsi"/>
          <w:sz w:val="20"/>
          <w:szCs w:val="20"/>
        </w:rPr>
        <w:t>Działanie zaplanowane na lata 2022-2035</w:t>
      </w:r>
    </w:p>
    <w:p w14:paraId="3304A292" w14:textId="77777777" w:rsidR="00E05E1D" w:rsidRPr="004F5101" w:rsidRDefault="00E05E1D" w:rsidP="007C0D2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sz w:val="20"/>
          <w:szCs w:val="20"/>
        </w:rPr>
      </w:pPr>
      <w:r w:rsidRPr="004F5101">
        <w:rPr>
          <w:rFonts w:ascii="Lato" w:hAnsi="Lato" w:cstheme="minorHAnsi"/>
          <w:sz w:val="20"/>
          <w:szCs w:val="20"/>
        </w:rPr>
        <w:t xml:space="preserve">Brak na ten moment danych za 2022 r. </w:t>
      </w:r>
    </w:p>
    <w:p w14:paraId="77B940FE" w14:textId="139077DC" w:rsidR="00E05E1D" w:rsidRDefault="00E05E1D" w:rsidP="007C0D2B">
      <w:pPr>
        <w:tabs>
          <w:tab w:val="left" w:pos="-720"/>
          <w:tab w:val="left" w:pos="0"/>
          <w:tab w:val="left" w:pos="2110"/>
        </w:tabs>
        <w:autoSpaceDE w:val="0"/>
        <w:autoSpaceDN w:val="0"/>
        <w:adjustRightInd w:val="0"/>
        <w:spacing w:after="0" w:line="240" w:lineRule="auto"/>
        <w:jc w:val="both"/>
        <w:rPr>
          <w:rFonts w:ascii="Lato" w:hAnsi="Lato" w:cs="Calibri"/>
          <w:b/>
          <w:sz w:val="20"/>
          <w:szCs w:val="20"/>
        </w:rPr>
      </w:pPr>
    </w:p>
    <w:p w14:paraId="123D879F" w14:textId="77777777" w:rsidR="007C0D2B" w:rsidRPr="00E55D86" w:rsidRDefault="007C0D2B" w:rsidP="007C0D2B">
      <w:pPr>
        <w:tabs>
          <w:tab w:val="left" w:pos="-720"/>
          <w:tab w:val="left" w:pos="0"/>
          <w:tab w:val="left" w:pos="2110"/>
        </w:tabs>
        <w:autoSpaceDE w:val="0"/>
        <w:autoSpaceDN w:val="0"/>
        <w:adjustRightInd w:val="0"/>
        <w:spacing w:after="0" w:line="240" w:lineRule="auto"/>
        <w:jc w:val="both"/>
        <w:rPr>
          <w:rFonts w:ascii="Lato" w:hAnsi="Lato" w:cs="Calibri"/>
          <w:color w:val="000000"/>
          <w:sz w:val="20"/>
          <w:szCs w:val="20"/>
        </w:rPr>
      </w:pPr>
      <w:r>
        <w:rPr>
          <w:rFonts w:ascii="Lato" w:hAnsi="Lato" w:cs="Calibri"/>
          <w:color w:val="000000"/>
          <w:sz w:val="20"/>
          <w:szCs w:val="20"/>
        </w:rPr>
        <w:t xml:space="preserve">W </w:t>
      </w:r>
      <w:proofErr w:type="spellStart"/>
      <w:r>
        <w:rPr>
          <w:rFonts w:ascii="Lato" w:hAnsi="Lato" w:cs="Calibri"/>
          <w:color w:val="000000"/>
          <w:sz w:val="20"/>
          <w:szCs w:val="20"/>
        </w:rPr>
        <w:t>MRiPS</w:t>
      </w:r>
      <w:proofErr w:type="spellEnd"/>
      <w:r>
        <w:rPr>
          <w:rFonts w:ascii="Lato" w:hAnsi="Lato" w:cs="Calibri"/>
          <w:color w:val="000000"/>
          <w:sz w:val="20"/>
          <w:szCs w:val="20"/>
        </w:rPr>
        <w:t xml:space="preserve"> realizowane są programy resortowe finansowane ze środków Funduszu Solidarnościowego, które kierowane są do osób z niepełnosprawnościami. Wśród beneficjentów programów duże grono stanowią seniorzy.</w:t>
      </w:r>
    </w:p>
    <w:p w14:paraId="22AF8A64" w14:textId="77777777" w:rsidR="007C0D2B" w:rsidRDefault="007C0D2B" w:rsidP="007C0D2B">
      <w:pPr>
        <w:spacing w:after="0" w:line="240" w:lineRule="auto"/>
        <w:jc w:val="both"/>
        <w:rPr>
          <w:rFonts w:ascii="Lato" w:eastAsia="Times New Roman" w:hAnsi="Lato" w:cs="Times New Roman"/>
          <w:b/>
          <w:sz w:val="20"/>
          <w:szCs w:val="20"/>
          <w:lang w:eastAsia="pl-PL"/>
        </w:rPr>
      </w:pPr>
    </w:p>
    <w:p w14:paraId="5D88A4F8" w14:textId="37ED38F9" w:rsidR="007C0D2B" w:rsidRPr="007C0D2B" w:rsidRDefault="007C0D2B" w:rsidP="007C0D2B">
      <w:pPr>
        <w:spacing w:after="0" w:line="240" w:lineRule="auto"/>
        <w:jc w:val="both"/>
        <w:rPr>
          <w:rFonts w:ascii="Lato" w:hAnsi="Lato"/>
          <w:sz w:val="20"/>
          <w:szCs w:val="20"/>
        </w:rPr>
      </w:pPr>
      <w:r w:rsidRPr="007C0D2B">
        <w:rPr>
          <w:rFonts w:ascii="Lato" w:eastAsia="Times New Roman" w:hAnsi="Lato" w:cs="Times New Roman"/>
          <w:b/>
          <w:sz w:val="20"/>
          <w:szCs w:val="20"/>
          <w:lang w:eastAsia="pl-PL"/>
        </w:rPr>
        <w:t xml:space="preserve">Asystent osobisty osoby niepełnosprawnej </w:t>
      </w:r>
      <w:r w:rsidRPr="007C0D2B">
        <w:rPr>
          <w:rFonts w:ascii="Lato" w:eastAsia="Times New Roman" w:hAnsi="Lato" w:cs="Times New Roman"/>
          <w:sz w:val="20"/>
          <w:szCs w:val="20"/>
          <w:lang w:eastAsia="pl-PL"/>
        </w:rPr>
        <w:t>(dla jednostek samorządu terytorialnego)</w:t>
      </w:r>
      <w:r w:rsidRPr="007C0D2B">
        <w:rPr>
          <w:rFonts w:ascii="Lato" w:eastAsia="Times New Roman" w:hAnsi="Lato" w:cs="Times New Roman"/>
          <w:b/>
          <w:sz w:val="20"/>
          <w:szCs w:val="20"/>
          <w:lang w:eastAsia="pl-PL"/>
        </w:rPr>
        <w:t xml:space="preserve"> </w:t>
      </w:r>
      <w:r w:rsidRPr="007C0D2B">
        <w:rPr>
          <w:rFonts w:ascii="Lato" w:eastAsia="Times New Roman" w:hAnsi="Lato" w:cs="Times New Roman"/>
          <w:sz w:val="20"/>
          <w:szCs w:val="20"/>
          <w:lang w:eastAsia="pl-PL"/>
        </w:rPr>
        <w:t>oraz</w:t>
      </w:r>
      <w:r w:rsidRPr="007C0D2B">
        <w:rPr>
          <w:rFonts w:ascii="Lato" w:eastAsia="Times New Roman" w:hAnsi="Lato" w:cs="Times New Roman"/>
          <w:b/>
          <w:sz w:val="20"/>
          <w:szCs w:val="20"/>
          <w:lang w:eastAsia="pl-PL"/>
        </w:rPr>
        <w:t xml:space="preserve"> Asystent osobisty osoby z niepełnosprawnościami </w:t>
      </w:r>
      <w:r w:rsidRPr="007C0D2B">
        <w:rPr>
          <w:rFonts w:ascii="Lato" w:eastAsia="Times New Roman" w:hAnsi="Lato" w:cs="Times New Roman"/>
          <w:sz w:val="20"/>
          <w:szCs w:val="20"/>
          <w:lang w:eastAsia="pl-PL"/>
        </w:rPr>
        <w:t>(dla organizacji pozarządowych)</w:t>
      </w:r>
    </w:p>
    <w:p w14:paraId="5E2D9F80" w14:textId="435CE150" w:rsidR="007C0D2B" w:rsidRDefault="007C0D2B" w:rsidP="007C0D2B">
      <w:pPr>
        <w:spacing w:after="0" w:line="240" w:lineRule="auto"/>
        <w:jc w:val="both"/>
        <w:rPr>
          <w:rFonts w:ascii="Lato" w:hAnsi="Lato"/>
          <w:sz w:val="20"/>
          <w:szCs w:val="20"/>
        </w:rPr>
      </w:pPr>
      <w:r w:rsidRPr="00267D4E">
        <w:rPr>
          <w:rFonts w:ascii="Lato" w:hAnsi="Lato"/>
          <w:sz w:val="20"/>
          <w:szCs w:val="20"/>
        </w:rPr>
        <w:t>Głównym celem Program</w:t>
      </w:r>
      <w:r>
        <w:rPr>
          <w:rFonts w:ascii="Lato" w:hAnsi="Lato"/>
          <w:sz w:val="20"/>
          <w:szCs w:val="20"/>
        </w:rPr>
        <w:t>ów</w:t>
      </w:r>
      <w:r w:rsidRPr="00267D4E">
        <w:rPr>
          <w:rFonts w:ascii="Lato" w:hAnsi="Lato"/>
          <w:sz w:val="20"/>
          <w:szCs w:val="20"/>
        </w:rPr>
        <w:t xml:space="preserve"> jest wprowadzenie usług asystencji osobistej jako formy ogólnodostępnego wsparcia w wykonywaniu codziennych czynności oraz funkcjonowaniu w życiu społecznym, których adresatami są 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oraz osoby niepełnosprawne posiadające orzeczenie: o znacznym stopniu niepełnosprawności albo o umiarkowanym stopniu niepełnosprawności albo traktowane na równi z orzeczeniami wymienionymi w lit. a i b, zgodnie z art. 5 i art. 62 ustawy z dnia 27 sierpnia 1997 r. o rehabilitacji zawodowej i społecznej oraz zatrudnianiu osób niepełnosprawnych (Dz. U. z 2021 r., poz. 573 ze zm.).</w:t>
      </w:r>
    </w:p>
    <w:p w14:paraId="5D3CA2BC" w14:textId="77777777" w:rsidR="007C0D2B" w:rsidRPr="00267D4E" w:rsidRDefault="007C0D2B" w:rsidP="007C0D2B">
      <w:pPr>
        <w:spacing w:after="0" w:line="240" w:lineRule="auto"/>
        <w:jc w:val="both"/>
        <w:rPr>
          <w:rFonts w:ascii="Lato" w:hAnsi="Lato"/>
          <w:sz w:val="20"/>
          <w:szCs w:val="20"/>
        </w:rPr>
      </w:pPr>
    </w:p>
    <w:p w14:paraId="174CD070" w14:textId="7A3BFCFB" w:rsidR="007C0D2B" w:rsidRDefault="007C0D2B" w:rsidP="007C0D2B">
      <w:pPr>
        <w:spacing w:after="0" w:line="240" w:lineRule="auto"/>
        <w:jc w:val="both"/>
        <w:rPr>
          <w:rFonts w:ascii="Lato" w:hAnsi="Lato"/>
          <w:sz w:val="20"/>
          <w:szCs w:val="20"/>
        </w:rPr>
      </w:pPr>
      <w:r w:rsidRPr="00267D4E">
        <w:rPr>
          <w:rFonts w:ascii="Lato" w:hAnsi="Lato"/>
          <w:sz w:val="20"/>
          <w:szCs w:val="20"/>
        </w:rPr>
        <w:t>Program</w:t>
      </w:r>
      <w:r>
        <w:rPr>
          <w:rFonts w:ascii="Lato" w:hAnsi="Lato"/>
          <w:sz w:val="20"/>
          <w:szCs w:val="20"/>
        </w:rPr>
        <w:t>y</w:t>
      </w:r>
      <w:r w:rsidRPr="00267D4E">
        <w:rPr>
          <w:rFonts w:ascii="Lato" w:hAnsi="Lato"/>
          <w:sz w:val="20"/>
          <w:szCs w:val="20"/>
        </w:rPr>
        <w:t xml:space="preserve"> ma</w:t>
      </w:r>
      <w:r>
        <w:rPr>
          <w:rFonts w:ascii="Lato" w:hAnsi="Lato"/>
          <w:sz w:val="20"/>
          <w:szCs w:val="20"/>
        </w:rPr>
        <w:t>ją</w:t>
      </w:r>
      <w:r w:rsidRPr="00267D4E">
        <w:rPr>
          <w:rFonts w:ascii="Lato" w:hAnsi="Lato"/>
          <w:sz w:val="20"/>
          <w:szCs w:val="20"/>
        </w:rPr>
        <w:t xml:space="preserve"> zapewniać możliwość skorzystania przez osoby niepełnosprawne z pomocy asystenta przy wykonywaniu codziennych czynności i funkcjonowaniu w życiu społecznym; stymulowanie osoby niepełnosprawnej do podejmowania aktywności i umożliwienie realizowania prawa do niezależnego życia; przeciwdziałanie dyskryminacji ze  względu na niepełnosprawność czy też zwiększenie wsparcia świadczonego przez asystentów ucznia ze specjalnymi potrzebami edukacyjnymi (ASPE) w zakresie wsparcia niepełnosprawnych uczniów, także w innych wymiarach życia i funkcjonowania społecznego.</w:t>
      </w:r>
    </w:p>
    <w:p w14:paraId="6A651E98" w14:textId="77777777" w:rsidR="007C0D2B" w:rsidRPr="00A17BAE" w:rsidRDefault="007C0D2B" w:rsidP="007C0D2B">
      <w:pPr>
        <w:spacing w:after="0" w:line="240" w:lineRule="auto"/>
        <w:jc w:val="both"/>
        <w:rPr>
          <w:rFonts w:ascii="Lato" w:hAnsi="Lato"/>
          <w:sz w:val="20"/>
          <w:szCs w:val="20"/>
        </w:rPr>
      </w:pPr>
    </w:p>
    <w:p w14:paraId="78E5117B" w14:textId="77777777" w:rsidR="007C0D2B" w:rsidRPr="007C0D2B" w:rsidRDefault="007C0D2B" w:rsidP="007C0D2B">
      <w:pPr>
        <w:spacing w:after="0" w:line="240" w:lineRule="auto"/>
        <w:jc w:val="both"/>
        <w:rPr>
          <w:rFonts w:ascii="Lato" w:hAnsi="Lato"/>
          <w:b/>
          <w:sz w:val="20"/>
          <w:szCs w:val="20"/>
        </w:rPr>
      </w:pPr>
      <w:r w:rsidRPr="007C0D2B">
        <w:rPr>
          <w:rFonts w:ascii="Lato" w:hAnsi="Lato"/>
          <w:b/>
          <w:sz w:val="20"/>
          <w:szCs w:val="20"/>
        </w:rPr>
        <w:t xml:space="preserve">Opieka </w:t>
      </w:r>
      <w:proofErr w:type="spellStart"/>
      <w:r w:rsidRPr="007C0D2B">
        <w:rPr>
          <w:rFonts w:ascii="Lato" w:hAnsi="Lato"/>
          <w:b/>
          <w:sz w:val="20"/>
          <w:szCs w:val="20"/>
        </w:rPr>
        <w:t>wytchnieniowa</w:t>
      </w:r>
      <w:proofErr w:type="spellEnd"/>
      <w:r w:rsidRPr="007C0D2B">
        <w:rPr>
          <w:rFonts w:ascii="Lato" w:hAnsi="Lato"/>
          <w:b/>
          <w:sz w:val="20"/>
          <w:szCs w:val="20"/>
        </w:rPr>
        <w:t xml:space="preserve"> </w:t>
      </w:r>
      <w:r w:rsidRPr="007C0D2B">
        <w:rPr>
          <w:rFonts w:ascii="Lato" w:hAnsi="Lato"/>
          <w:sz w:val="20"/>
          <w:szCs w:val="20"/>
        </w:rPr>
        <w:t>(dla jednostek samorządu terytorialnego) oraz</w:t>
      </w:r>
      <w:r w:rsidRPr="007C0D2B">
        <w:rPr>
          <w:rFonts w:ascii="Lato" w:hAnsi="Lato"/>
          <w:b/>
          <w:sz w:val="20"/>
          <w:szCs w:val="20"/>
        </w:rPr>
        <w:t xml:space="preserve"> Opieka </w:t>
      </w:r>
      <w:proofErr w:type="spellStart"/>
      <w:r w:rsidRPr="007C0D2B">
        <w:rPr>
          <w:rFonts w:ascii="Lato" w:hAnsi="Lato"/>
          <w:b/>
          <w:sz w:val="20"/>
          <w:szCs w:val="20"/>
        </w:rPr>
        <w:t>wytchnieniowa</w:t>
      </w:r>
      <w:proofErr w:type="spellEnd"/>
      <w:r w:rsidRPr="007C0D2B">
        <w:rPr>
          <w:rFonts w:ascii="Lato" w:hAnsi="Lato"/>
          <w:b/>
          <w:sz w:val="20"/>
          <w:szCs w:val="20"/>
        </w:rPr>
        <w:t xml:space="preserve"> dla członków rodzin lub opiekunów osób z niepełnosprawnościami </w:t>
      </w:r>
      <w:r w:rsidRPr="007C0D2B">
        <w:rPr>
          <w:rFonts w:ascii="Lato" w:hAnsi="Lato"/>
          <w:sz w:val="20"/>
          <w:szCs w:val="20"/>
        </w:rPr>
        <w:t>(dla organizacji pozarządowych)</w:t>
      </w:r>
    </w:p>
    <w:p w14:paraId="06DC8FC0" w14:textId="44EE9284" w:rsidR="007C0D2B" w:rsidRDefault="007C0D2B" w:rsidP="007C0D2B">
      <w:pPr>
        <w:spacing w:after="0" w:line="240" w:lineRule="auto"/>
        <w:jc w:val="both"/>
        <w:rPr>
          <w:rFonts w:ascii="Lato" w:hAnsi="Lato"/>
          <w:sz w:val="20"/>
          <w:szCs w:val="20"/>
        </w:rPr>
      </w:pPr>
      <w:r w:rsidRPr="00267D4E">
        <w:rPr>
          <w:rFonts w:ascii="Lato" w:hAnsi="Lato"/>
          <w:sz w:val="20"/>
          <w:szCs w:val="20"/>
        </w:rPr>
        <w:t xml:space="preserve">Program „Opieka </w:t>
      </w:r>
      <w:proofErr w:type="spellStart"/>
      <w:r w:rsidRPr="00267D4E">
        <w:rPr>
          <w:rFonts w:ascii="Lato" w:hAnsi="Lato"/>
          <w:sz w:val="20"/>
          <w:szCs w:val="20"/>
        </w:rPr>
        <w:t>wytchnieniowa</w:t>
      </w:r>
      <w:proofErr w:type="spellEnd"/>
      <w:r w:rsidRPr="00267D4E">
        <w:rPr>
          <w:rFonts w:ascii="Lato" w:hAnsi="Lato"/>
          <w:sz w:val="20"/>
          <w:szCs w:val="20"/>
        </w:rPr>
        <w:t xml:space="preserve">” adresowany jest do członków rodzin lub opiekunów sprawujących bezpośrednią opiekę nad dziećmi z orzeczeniem o niepełnosprawności lub osobami posiadającymi orzeczenie o znacznym stopniu niepełnosprawności, które wymagają usługi opieki </w:t>
      </w:r>
      <w:proofErr w:type="spellStart"/>
      <w:r w:rsidRPr="00267D4E">
        <w:rPr>
          <w:rFonts w:ascii="Lato" w:hAnsi="Lato"/>
          <w:sz w:val="20"/>
          <w:szCs w:val="20"/>
        </w:rPr>
        <w:t>wytchnieniowej</w:t>
      </w:r>
      <w:proofErr w:type="spellEnd"/>
      <w:r w:rsidRPr="00267D4E">
        <w:rPr>
          <w:rFonts w:ascii="Lato" w:hAnsi="Lato"/>
          <w:sz w:val="20"/>
          <w:szCs w:val="20"/>
        </w:rPr>
        <w:t xml:space="preserve">. </w:t>
      </w:r>
    </w:p>
    <w:p w14:paraId="0F77B05E" w14:textId="77777777" w:rsidR="007C0D2B" w:rsidRPr="00267D4E" w:rsidRDefault="007C0D2B" w:rsidP="007C0D2B">
      <w:pPr>
        <w:spacing w:after="0" w:line="240" w:lineRule="auto"/>
        <w:jc w:val="both"/>
        <w:rPr>
          <w:rFonts w:ascii="Lato" w:hAnsi="Lato"/>
          <w:sz w:val="20"/>
          <w:szCs w:val="20"/>
        </w:rPr>
      </w:pPr>
    </w:p>
    <w:p w14:paraId="56837A29" w14:textId="77777777" w:rsidR="007C0D2B" w:rsidRDefault="007C0D2B" w:rsidP="007C0D2B">
      <w:pPr>
        <w:spacing w:after="0" w:line="240" w:lineRule="auto"/>
        <w:jc w:val="both"/>
        <w:rPr>
          <w:rFonts w:ascii="Lato" w:hAnsi="Lato"/>
          <w:sz w:val="20"/>
          <w:szCs w:val="20"/>
        </w:rPr>
      </w:pPr>
      <w:r w:rsidRPr="00267D4E">
        <w:rPr>
          <w:rFonts w:ascii="Lato" w:hAnsi="Lato"/>
          <w:sz w:val="20"/>
          <w:szCs w:val="20"/>
        </w:rPr>
        <w:t xml:space="preserve">Opieka </w:t>
      </w:r>
      <w:proofErr w:type="spellStart"/>
      <w:r w:rsidRPr="00267D4E">
        <w:rPr>
          <w:rFonts w:ascii="Lato" w:hAnsi="Lato"/>
          <w:sz w:val="20"/>
          <w:szCs w:val="20"/>
        </w:rPr>
        <w:t>wytchnieniowa</w:t>
      </w:r>
      <w:proofErr w:type="spellEnd"/>
      <w:r w:rsidRPr="00267D4E">
        <w:rPr>
          <w:rFonts w:ascii="Lato" w:hAnsi="Lato"/>
          <w:sz w:val="20"/>
          <w:szCs w:val="20"/>
        </w:rPr>
        <w:t xml:space="preserve"> ma za zadanie odciążenie członków rodzin lub opiekunów osób z niepełnosprawnością poprzez wsparcie ich w codziennych obowiązkach lub zapewnienie czasowego zastępstwa. </w:t>
      </w:r>
    </w:p>
    <w:p w14:paraId="45023021" w14:textId="77777777" w:rsidR="007C0D2B" w:rsidRDefault="007C0D2B" w:rsidP="007C0D2B">
      <w:pPr>
        <w:spacing w:after="0" w:line="240" w:lineRule="auto"/>
        <w:jc w:val="both"/>
        <w:rPr>
          <w:rFonts w:ascii="Lato" w:hAnsi="Lato"/>
          <w:sz w:val="20"/>
          <w:szCs w:val="20"/>
        </w:rPr>
      </w:pPr>
    </w:p>
    <w:p w14:paraId="0CF266B1" w14:textId="32FD9321" w:rsidR="007C0D2B" w:rsidRPr="00123AD9" w:rsidRDefault="007C0D2B" w:rsidP="007C0D2B">
      <w:pPr>
        <w:spacing w:after="0" w:line="240" w:lineRule="auto"/>
        <w:jc w:val="both"/>
        <w:rPr>
          <w:rFonts w:ascii="Lato" w:hAnsi="Lato"/>
          <w:sz w:val="20"/>
          <w:szCs w:val="20"/>
        </w:rPr>
      </w:pPr>
      <w:r w:rsidRPr="00123AD9">
        <w:rPr>
          <w:rFonts w:ascii="Lato" w:hAnsi="Lato"/>
          <w:b/>
          <w:sz w:val="20"/>
          <w:szCs w:val="20"/>
        </w:rPr>
        <w:t>Centra opiekuńczo-mieszkalne</w:t>
      </w:r>
    </w:p>
    <w:p w14:paraId="4A5A4813" w14:textId="7FFD4557" w:rsidR="007C0D2B" w:rsidRDefault="007C0D2B" w:rsidP="007C0D2B">
      <w:pPr>
        <w:spacing w:after="0" w:line="240" w:lineRule="auto"/>
        <w:jc w:val="both"/>
        <w:rPr>
          <w:rFonts w:ascii="Lato" w:hAnsi="Lato"/>
          <w:sz w:val="20"/>
          <w:szCs w:val="20"/>
        </w:rPr>
      </w:pPr>
      <w:r w:rsidRPr="003A5386">
        <w:rPr>
          <w:rFonts w:ascii="Lato" w:hAnsi="Lato"/>
          <w:sz w:val="20"/>
          <w:szCs w:val="20"/>
        </w:rPr>
        <w:t>Głównym celem Programu</w:t>
      </w:r>
      <w:r>
        <w:rPr>
          <w:rFonts w:ascii="Lato" w:hAnsi="Lato"/>
          <w:sz w:val="20"/>
          <w:szCs w:val="20"/>
        </w:rPr>
        <w:t xml:space="preserve"> „Centra opiekuńczo-mieszkalne” </w:t>
      </w:r>
      <w:r w:rsidRPr="003A5386">
        <w:rPr>
          <w:rFonts w:ascii="Lato" w:hAnsi="Lato"/>
          <w:sz w:val="20"/>
          <w:szCs w:val="20"/>
        </w:rPr>
        <w:t>jest stworzenie warunków dla jednostek samorządu terytorialnego szczebla gminnego/powiatowego, pozwalających na</w:t>
      </w:r>
      <w:r>
        <w:rPr>
          <w:rFonts w:ascii="Lato" w:hAnsi="Lato"/>
          <w:sz w:val="20"/>
          <w:szCs w:val="20"/>
        </w:rPr>
        <w:t> </w:t>
      </w:r>
      <w:r w:rsidRPr="003A5386">
        <w:rPr>
          <w:rFonts w:ascii="Lato" w:hAnsi="Lato"/>
          <w:sz w:val="20"/>
          <w:szCs w:val="20"/>
        </w:rPr>
        <w:t>tworzenie i utrzymanie placówek pobytu całodob</w:t>
      </w:r>
      <w:r>
        <w:rPr>
          <w:rFonts w:ascii="Lato" w:hAnsi="Lato"/>
          <w:sz w:val="20"/>
          <w:szCs w:val="20"/>
        </w:rPr>
        <w:t>owego oraz dziennego dla osób z </w:t>
      </w:r>
      <w:r w:rsidRPr="003A5386">
        <w:rPr>
          <w:rFonts w:ascii="Lato" w:hAnsi="Lato"/>
          <w:sz w:val="20"/>
          <w:szCs w:val="20"/>
        </w:rPr>
        <w:t xml:space="preserve">niepełnosprawnościami. </w:t>
      </w:r>
    </w:p>
    <w:p w14:paraId="325A1544" w14:textId="77777777" w:rsidR="007C0D2B" w:rsidRDefault="007C0D2B" w:rsidP="007C0D2B">
      <w:pPr>
        <w:spacing w:after="0" w:line="240" w:lineRule="auto"/>
        <w:jc w:val="both"/>
        <w:rPr>
          <w:rFonts w:ascii="Lato" w:hAnsi="Lato"/>
          <w:sz w:val="20"/>
          <w:szCs w:val="20"/>
        </w:rPr>
      </w:pPr>
    </w:p>
    <w:p w14:paraId="048BEE74" w14:textId="77777777" w:rsidR="007C0D2B" w:rsidRDefault="007C0D2B" w:rsidP="007C0D2B">
      <w:pPr>
        <w:spacing w:after="0" w:line="240" w:lineRule="auto"/>
        <w:jc w:val="both"/>
        <w:rPr>
          <w:rFonts w:ascii="Lato" w:hAnsi="Lato"/>
          <w:sz w:val="20"/>
          <w:szCs w:val="20"/>
        </w:rPr>
      </w:pPr>
      <w:r w:rsidRPr="003A5386">
        <w:rPr>
          <w:rFonts w:ascii="Lato" w:hAnsi="Lato"/>
          <w:sz w:val="20"/>
          <w:szCs w:val="20"/>
        </w:rPr>
        <w:t>Zgodnie z założeniami Centra, przeznaczone są dla dorosłych osób niepełnosprawnych ze</w:t>
      </w:r>
      <w:r>
        <w:rPr>
          <w:rFonts w:ascii="Lato" w:hAnsi="Lato"/>
          <w:sz w:val="20"/>
          <w:szCs w:val="20"/>
        </w:rPr>
        <w:t> </w:t>
      </w:r>
      <w:r w:rsidRPr="003A5386">
        <w:rPr>
          <w:rFonts w:ascii="Lato" w:hAnsi="Lato"/>
          <w:sz w:val="20"/>
          <w:szCs w:val="20"/>
        </w:rPr>
        <w:t xml:space="preserve"> znacznym lub umiarkowanym stopniem niepełnosprawności, o których mowa w ustawie z dnia 27 sierpnia 1997 r. o rehabilitacji zawodowej i społecznej oraz zatrudnianiu osób niepełnosprawnych (Dz. U. z 2021 r. poz. 573, z </w:t>
      </w:r>
      <w:proofErr w:type="spellStart"/>
      <w:r w:rsidRPr="003A5386">
        <w:rPr>
          <w:rFonts w:ascii="Lato" w:hAnsi="Lato"/>
          <w:sz w:val="20"/>
          <w:szCs w:val="20"/>
        </w:rPr>
        <w:t>późn</w:t>
      </w:r>
      <w:proofErr w:type="spellEnd"/>
      <w:r w:rsidRPr="003A5386">
        <w:rPr>
          <w:rFonts w:ascii="Lato" w:hAnsi="Lato"/>
          <w:sz w:val="20"/>
          <w:szCs w:val="20"/>
        </w:rPr>
        <w:t>. zm.) oraz orzeczeniem traktowanym na równi z orzeczeniem o znacznym lub umiarkowanym stopniu niepełnosprawności w</w:t>
      </w:r>
      <w:r>
        <w:rPr>
          <w:rFonts w:ascii="Lato" w:hAnsi="Lato"/>
          <w:sz w:val="20"/>
          <w:szCs w:val="20"/>
        </w:rPr>
        <w:t> </w:t>
      </w:r>
      <w:r w:rsidRPr="003A5386">
        <w:rPr>
          <w:rFonts w:ascii="Lato" w:hAnsi="Lato"/>
          <w:sz w:val="20"/>
          <w:szCs w:val="20"/>
        </w:rPr>
        <w:t xml:space="preserve"> rozumieniu ww. ustawy.</w:t>
      </w:r>
    </w:p>
    <w:p w14:paraId="2852F995" w14:textId="77777777" w:rsidR="007C0D2B" w:rsidRPr="004F5101" w:rsidRDefault="007C0D2B" w:rsidP="004F5101">
      <w:pPr>
        <w:tabs>
          <w:tab w:val="left" w:pos="-720"/>
          <w:tab w:val="left" w:pos="0"/>
          <w:tab w:val="left" w:pos="2110"/>
        </w:tabs>
        <w:autoSpaceDE w:val="0"/>
        <w:autoSpaceDN w:val="0"/>
        <w:adjustRightInd w:val="0"/>
        <w:spacing w:after="0" w:line="240" w:lineRule="auto"/>
        <w:jc w:val="both"/>
        <w:rPr>
          <w:rFonts w:ascii="Lato" w:hAnsi="Lato" w:cs="Calibri"/>
          <w:b/>
          <w:sz w:val="20"/>
          <w:szCs w:val="20"/>
        </w:rPr>
      </w:pPr>
    </w:p>
    <w:p w14:paraId="266B8E64" w14:textId="53DD9C12" w:rsidR="00EA0165" w:rsidRPr="004F5101" w:rsidRDefault="00EA0165" w:rsidP="004F5101">
      <w:pPr>
        <w:tabs>
          <w:tab w:val="left" w:pos="-720"/>
          <w:tab w:val="left" w:pos="0"/>
          <w:tab w:val="left" w:pos="2110"/>
        </w:tabs>
        <w:autoSpaceDE w:val="0"/>
        <w:autoSpaceDN w:val="0"/>
        <w:adjustRightInd w:val="0"/>
        <w:spacing w:after="0" w:line="240" w:lineRule="auto"/>
        <w:jc w:val="both"/>
        <w:rPr>
          <w:rFonts w:ascii="Lato" w:hAnsi="Lato"/>
          <w:color w:val="FF0000"/>
          <w:sz w:val="20"/>
          <w:szCs w:val="20"/>
        </w:rPr>
      </w:pPr>
      <w:r w:rsidRPr="004F5101">
        <w:rPr>
          <w:rFonts w:ascii="Lato" w:hAnsi="Lato" w:cs="Calibri"/>
          <w:b/>
          <w:sz w:val="20"/>
          <w:szCs w:val="20"/>
        </w:rPr>
        <w:t>Modyfikacja zasad waloryzacji świadczeń emerytalno-rentowych</w:t>
      </w:r>
    </w:p>
    <w:p w14:paraId="598856CC" w14:textId="1D7BBE6C" w:rsidR="00EA0165" w:rsidRPr="004F5101" w:rsidRDefault="00EA0165" w:rsidP="004F5101">
      <w:pPr>
        <w:spacing w:after="0" w:line="240" w:lineRule="auto"/>
        <w:jc w:val="both"/>
        <w:rPr>
          <w:rFonts w:ascii="Lato" w:hAnsi="Lato"/>
          <w:color w:val="000000"/>
          <w:sz w:val="20"/>
          <w:szCs w:val="20"/>
        </w:rPr>
      </w:pPr>
      <w:r w:rsidRPr="004F5101">
        <w:rPr>
          <w:rFonts w:ascii="Lato" w:hAnsi="Lato" w:cs="Times New Roman"/>
          <w:sz w:val="20"/>
          <w:szCs w:val="20"/>
        </w:rPr>
        <w:t xml:space="preserve">W 2022 r. realizując skuteczną politykę wsparcia seniorów, chcąc w większym stopniu zabezpieczyć ich sytuację finansową </w:t>
      </w:r>
      <w:r w:rsidRPr="004F5101">
        <w:rPr>
          <w:rFonts w:ascii="Lato" w:hAnsi="Lato"/>
          <w:sz w:val="20"/>
          <w:szCs w:val="20"/>
        </w:rPr>
        <w:t>z uwagi na wysoką inflację, rząd podwyższył wskaźnik waloryzacji emerytur i rent. W</w:t>
      </w:r>
      <w:r w:rsidRPr="004F5101">
        <w:rPr>
          <w:rFonts w:ascii="Lato" w:hAnsi="Lato"/>
          <w:color w:val="000000"/>
          <w:sz w:val="20"/>
          <w:szCs w:val="20"/>
        </w:rPr>
        <w:t>skaźnik ten wzrósł ze 105,7% do 107,0%. Koszt waloryzacji świadczeń w 2022 r. wyniósł ok. 18,4 mld zł.</w:t>
      </w:r>
      <w:r w:rsidR="00582A04" w:rsidRPr="004F5101">
        <w:rPr>
          <w:rFonts w:ascii="Lato" w:hAnsi="Lato"/>
          <w:color w:val="000000"/>
          <w:sz w:val="20"/>
          <w:szCs w:val="20"/>
        </w:rPr>
        <w:t xml:space="preserve"> </w:t>
      </w:r>
      <w:r w:rsidRPr="004F5101">
        <w:rPr>
          <w:rFonts w:ascii="Lato" w:hAnsi="Lato" w:cs="Calibri"/>
          <w:sz w:val="20"/>
          <w:szCs w:val="20"/>
        </w:rPr>
        <w:t>Dzięki działaniom rządu, najniższa gwarantowana emerytura wzrosła z 880,45 zł  (w 2015 r.) do 1338,44 zł (w 2022 r.), tj. o ponad 52%.</w:t>
      </w:r>
    </w:p>
    <w:p w14:paraId="7ACDBBF7" w14:textId="77777777" w:rsidR="00582A04" w:rsidRPr="004F5101" w:rsidRDefault="00582A04" w:rsidP="004F5101">
      <w:pPr>
        <w:spacing w:after="0" w:line="240" w:lineRule="auto"/>
        <w:jc w:val="both"/>
        <w:rPr>
          <w:rFonts w:ascii="Lato" w:hAnsi="Lato" w:cs="Calibri"/>
          <w:b/>
          <w:sz w:val="20"/>
          <w:szCs w:val="20"/>
        </w:rPr>
      </w:pPr>
    </w:p>
    <w:p w14:paraId="5E76A6A6" w14:textId="1FDCF5C8" w:rsidR="00EA0165" w:rsidRPr="004F5101" w:rsidRDefault="00EA0165" w:rsidP="004F5101">
      <w:pPr>
        <w:spacing w:after="0" w:line="240" w:lineRule="auto"/>
        <w:jc w:val="both"/>
        <w:rPr>
          <w:rFonts w:ascii="Lato" w:hAnsi="Lato" w:cs="Calibri"/>
          <w:sz w:val="20"/>
          <w:szCs w:val="20"/>
        </w:rPr>
      </w:pPr>
      <w:r w:rsidRPr="004F5101">
        <w:rPr>
          <w:rFonts w:ascii="Lato" w:hAnsi="Lato" w:cs="Calibri"/>
          <w:b/>
          <w:sz w:val="20"/>
          <w:szCs w:val="20"/>
        </w:rPr>
        <w:lastRenderedPageBreak/>
        <w:t>Wypłata dodatkowego rocznego świadczenia pieniężnego – tzw. 13  emerytury</w:t>
      </w:r>
    </w:p>
    <w:p w14:paraId="59D0CED9" w14:textId="14A04F1D" w:rsidR="00EA0165" w:rsidRPr="004F5101" w:rsidRDefault="00EA0165" w:rsidP="004F5101">
      <w:pPr>
        <w:spacing w:after="0" w:line="240" w:lineRule="auto"/>
        <w:jc w:val="both"/>
        <w:rPr>
          <w:rFonts w:ascii="Lato" w:hAnsi="Lato"/>
          <w:iCs/>
          <w:sz w:val="20"/>
          <w:szCs w:val="20"/>
        </w:rPr>
      </w:pPr>
      <w:r w:rsidRPr="004F5101">
        <w:rPr>
          <w:rFonts w:ascii="Lato" w:hAnsi="Lato"/>
          <w:iCs/>
          <w:sz w:val="20"/>
          <w:szCs w:val="20"/>
        </w:rPr>
        <w:t>Ustawa z dnia  9 stycznia 2020 r. o dodatkowym rocznym świadczeniu pieniężnym dla emerytów i</w:t>
      </w:r>
      <w:r w:rsidR="00537810" w:rsidRPr="004F5101">
        <w:rPr>
          <w:rFonts w:ascii="Lato" w:hAnsi="Lato"/>
          <w:iCs/>
          <w:sz w:val="20"/>
          <w:szCs w:val="20"/>
        </w:rPr>
        <w:t xml:space="preserve"> </w:t>
      </w:r>
      <w:r w:rsidRPr="004F5101">
        <w:rPr>
          <w:rFonts w:ascii="Lato" w:hAnsi="Lato"/>
          <w:iCs/>
          <w:sz w:val="20"/>
          <w:szCs w:val="20"/>
        </w:rPr>
        <w:t>rencistów wprowadziła coroczną wypłatę dodatkowego rocznego świadczenia pieniężnego (13 emerytury) dla wszystkich świadczeniobiorców.</w:t>
      </w:r>
      <w:r w:rsidR="00582A04" w:rsidRPr="004F5101">
        <w:rPr>
          <w:rFonts w:ascii="Lato" w:hAnsi="Lato"/>
          <w:iCs/>
          <w:sz w:val="20"/>
          <w:szCs w:val="20"/>
        </w:rPr>
        <w:t xml:space="preserve"> </w:t>
      </w:r>
      <w:r w:rsidRPr="004F5101">
        <w:rPr>
          <w:rFonts w:ascii="Lato" w:hAnsi="Lato"/>
          <w:iCs/>
          <w:sz w:val="20"/>
          <w:szCs w:val="20"/>
        </w:rPr>
        <w:t>Wysokość 13 emerytury odpowiada wysokości najniższej emerytury, obowiązującej od dnia 1 marca roku, w którym wypłacane jest dodatkowe roczne świadczenie pieniężne. W 2022 r. była to kwota 1338,44 zł (brutto). W 2022 r. - 13 emerytura została zwolniona z podatku dochodowego od osób fizycznych</w:t>
      </w:r>
      <w:r w:rsidRPr="004F5101">
        <w:rPr>
          <w:rFonts w:ascii="Lato" w:hAnsi="Lato" w:cs="Calibri"/>
          <w:color w:val="000000"/>
          <w:sz w:val="20"/>
          <w:szCs w:val="20"/>
        </w:rPr>
        <w:t>.</w:t>
      </w:r>
      <w:r w:rsidR="00582A04" w:rsidRPr="004F5101">
        <w:rPr>
          <w:rFonts w:ascii="Lato" w:hAnsi="Lato"/>
          <w:iCs/>
          <w:sz w:val="20"/>
          <w:szCs w:val="20"/>
        </w:rPr>
        <w:t xml:space="preserve"> </w:t>
      </w:r>
      <w:r w:rsidRPr="004F5101">
        <w:rPr>
          <w:rFonts w:ascii="Lato" w:hAnsi="Lato"/>
          <w:iCs/>
          <w:sz w:val="20"/>
          <w:szCs w:val="20"/>
        </w:rPr>
        <w:t xml:space="preserve">Koszt wypłaty 13 emerytury w 2022 r. to ok. 13,1 mld zł.  </w:t>
      </w:r>
    </w:p>
    <w:p w14:paraId="131343EA" w14:textId="77777777" w:rsidR="00582A04" w:rsidRPr="004F5101" w:rsidRDefault="00582A04" w:rsidP="004F5101">
      <w:pPr>
        <w:spacing w:after="0" w:line="240" w:lineRule="auto"/>
        <w:jc w:val="both"/>
        <w:rPr>
          <w:rFonts w:ascii="Lato" w:hAnsi="Lato" w:cs="Calibri"/>
          <w:b/>
          <w:sz w:val="20"/>
          <w:szCs w:val="20"/>
        </w:rPr>
      </w:pPr>
    </w:p>
    <w:p w14:paraId="3A9C3F16" w14:textId="02A51B41" w:rsidR="00EA0165" w:rsidRPr="004F5101" w:rsidRDefault="00EA0165" w:rsidP="004F5101">
      <w:pPr>
        <w:spacing w:after="0" w:line="240" w:lineRule="auto"/>
        <w:jc w:val="both"/>
        <w:rPr>
          <w:rFonts w:ascii="Lato" w:hAnsi="Lato" w:cs="Calibri"/>
          <w:sz w:val="20"/>
          <w:szCs w:val="20"/>
        </w:rPr>
      </w:pPr>
      <w:r w:rsidRPr="004F5101">
        <w:rPr>
          <w:rFonts w:ascii="Lato" w:hAnsi="Lato" w:cs="Calibri"/>
          <w:b/>
          <w:sz w:val="20"/>
          <w:szCs w:val="20"/>
        </w:rPr>
        <w:t xml:space="preserve">Wypłata kolejnego w 2022 r. dodatkowego rocznego świadczenia pieniężnego – tzw. 14 emerytury </w:t>
      </w:r>
    </w:p>
    <w:p w14:paraId="77E17368" w14:textId="523AE6B0" w:rsidR="00EA0165" w:rsidRPr="004F5101" w:rsidRDefault="00EA0165" w:rsidP="004F5101">
      <w:pPr>
        <w:spacing w:after="0" w:line="240" w:lineRule="auto"/>
        <w:jc w:val="both"/>
        <w:rPr>
          <w:rFonts w:ascii="Lato" w:hAnsi="Lato"/>
          <w:iCs/>
          <w:sz w:val="20"/>
          <w:szCs w:val="20"/>
        </w:rPr>
      </w:pPr>
      <w:r w:rsidRPr="004F5101">
        <w:rPr>
          <w:rFonts w:ascii="Lato" w:hAnsi="Lato"/>
          <w:iCs/>
          <w:sz w:val="20"/>
          <w:szCs w:val="20"/>
        </w:rPr>
        <w:t>Przepisami ustawy z dnia 26 maja 2022 r. o kolejnym w 2022 r. dodatkowym rocznym świadczeniu pieniężnym dla emerytów i rencistów wprowadzono wypłatę 14 emerytury. Dla osób pobierających świadczenia w wysokości do 2900 zł brutto – 14 emerytura wypłacana była w wysokości najniższej emerytury (1338,44 zł brutto). W przypadku świadczeniobiorców pobierających świadczenie w wysokości wyższej niż 2900 zł, stosowano zasadę „złotówka za złotówkę”, a więc tzw. 14 emerytura była zmniejszana o kwotę przekroczenia ponad 2900 zł brutto. W 2022 r., tak jak 13 emerytura, 14 emerytura została zwolniona z podatku dochodowego od osób fizycznych</w:t>
      </w:r>
      <w:r w:rsidRPr="004F5101">
        <w:rPr>
          <w:rFonts w:ascii="Lato" w:hAnsi="Lato" w:cs="Calibri"/>
          <w:color w:val="000000"/>
          <w:sz w:val="20"/>
          <w:szCs w:val="20"/>
        </w:rPr>
        <w:t>.</w:t>
      </w:r>
      <w:r w:rsidRPr="004F5101">
        <w:rPr>
          <w:rFonts w:ascii="Lato" w:hAnsi="Lato"/>
          <w:iCs/>
          <w:sz w:val="20"/>
          <w:szCs w:val="20"/>
        </w:rPr>
        <w:t xml:space="preserve"> Koszt wypłaty 14 emerytury w 2022 r. to kwota ok. 11,4 mld zł.</w:t>
      </w:r>
    </w:p>
    <w:p w14:paraId="224E0C08" w14:textId="77777777" w:rsidR="00582A04" w:rsidRPr="004F5101" w:rsidRDefault="00582A04" w:rsidP="004F5101">
      <w:pPr>
        <w:spacing w:after="0" w:line="240" w:lineRule="auto"/>
        <w:jc w:val="both"/>
        <w:rPr>
          <w:rFonts w:ascii="Lato" w:hAnsi="Lato"/>
          <w:b/>
          <w:color w:val="000000"/>
          <w:sz w:val="20"/>
          <w:szCs w:val="20"/>
        </w:rPr>
      </w:pPr>
    </w:p>
    <w:p w14:paraId="1F155C3D" w14:textId="2928EE63" w:rsidR="00EA0165" w:rsidRPr="004F5101" w:rsidRDefault="00EA0165" w:rsidP="004F5101">
      <w:pPr>
        <w:spacing w:after="0" w:line="240" w:lineRule="auto"/>
        <w:jc w:val="both"/>
        <w:rPr>
          <w:rFonts w:ascii="Lato" w:hAnsi="Lato"/>
          <w:iCs/>
          <w:sz w:val="20"/>
          <w:szCs w:val="20"/>
        </w:rPr>
      </w:pPr>
      <w:r w:rsidRPr="004F5101">
        <w:rPr>
          <w:rFonts w:ascii="Lato" w:hAnsi="Lato"/>
          <w:b/>
          <w:color w:val="000000"/>
          <w:sz w:val="20"/>
          <w:szCs w:val="20"/>
        </w:rPr>
        <w:t>Rodzicielskie Świadczenie Uzupełniające (RSU)</w:t>
      </w:r>
    </w:p>
    <w:p w14:paraId="633C3462" w14:textId="717B22DF" w:rsidR="00EA0165" w:rsidRPr="004F5101" w:rsidRDefault="00EA0165" w:rsidP="004F5101">
      <w:pPr>
        <w:pStyle w:val="Akapitzlist"/>
        <w:spacing w:after="0" w:line="240" w:lineRule="auto"/>
        <w:ind w:left="0"/>
        <w:contextualSpacing w:val="0"/>
        <w:jc w:val="both"/>
        <w:rPr>
          <w:rFonts w:ascii="Lato" w:hAnsi="Lato" w:cs="Calibri"/>
          <w:iCs/>
          <w:sz w:val="20"/>
          <w:szCs w:val="20"/>
        </w:rPr>
      </w:pPr>
      <w:r w:rsidRPr="004F5101">
        <w:rPr>
          <w:rFonts w:ascii="Lato" w:hAnsi="Lato" w:cs="Calibri"/>
          <w:iCs/>
          <w:sz w:val="20"/>
          <w:szCs w:val="20"/>
        </w:rPr>
        <w:t xml:space="preserve">Od marca 2019 r. wypłacane jest Rodzicielskie Świadczenie Uzupełniające – tzw. Program Mama 4+. Ustawa o rodzicielskim świadczeniu uzupełniającym ma na celu uhonorowanie i docenienie okresu wychowywania dzieci (co najmniej czworga). W przypadku osoby niemającej prawa do żadnego świadczenia, wysokość RSU odpowiada kwocie najniższej emerytury (w 2022 r. - 1338,44 zł brutto). Gdy osoba zainteresowana pobiera już świadczenie niższe od najniższej emerytury, świadczenie rodzicielskie uzupełnia pobierane świadczenie do tej kwoty. </w:t>
      </w:r>
      <w:r w:rsidRPr="004F5101">
        <w:rPr>
          <w:rFonts w:ascii="Lato" w:hAnsi="Lato" w:cs="Calibri"/>
          <w:bCs/>
          <w:color w:val="000000"/>
          <w:sz w:val="20"/>
          <w:szCs w:val="20"/>
        </w:rPr>
        <w:t>W</w:t>
      </w:r>
      <w:r w:rsidRPr="004F5101">
        <w:rPr>
          <w:rFonts w:ascii="Lato" w:eastAsia="Times New Roman" w:hAnsi="Lato" w:cs="Calibri"/>
          <w:sz w:val="20"/>
          <w:szCs w:val="20"/>
        </w:rPr>
        <w:t xml:space="preserve"> okresie od 1 marca 2019 r. do 31 grudnia 2022 r. </w:t>
      </w:r>
      <w:r w:rsidRPr="004F5101">
        <w:rPr>
          <w:rFonts w:ascii="Lato" w:hAnsi="Lato" w:cs="Calibri"/>
          <w:color w:val="000000"/>
          <w:sz w:val="20"/>
          <w:szCs w:val="20"/>
        </w:rPr>
        <w:t xml:space="preserve">wydatki na RSU wyniosły ok. 1,74 mld zł (ZUS i KRUS), </w:t>
      </w:r>
      <w:r w:rsidRPr="004F5101">
        <w:rPr>
          <w:rFonts w:ascii="Lato" w:hAnsi="Lato" w:cs="Calibri"/>
          <w:iCs/>
          <w:sz w:val="20"/>
          <w:szCs w:val="20"/>
        </w:rPr>
        <w:t>a świadczenie to przyznano ok. 72 tys. osób.</w:t>
      </w:r>
    </w:p>
    <w:p w14:paraId="5D97DFA4" w14:textId="77777777" w:rsidR="00EA0165" w:rsidRPr="004F5101" w:rsidRDefault="00EA0165" w:rsidP="004F5101">
      <w:pPr>
        <w:spacing w:after="0" w:line="240" w:lineRule="auto"/>
        <w:jc w:val="both"/>
        <w:rPr>
          <w:rFonts w:ascii="Lato" w:hAnsi="Lato"/>
          <w:sz w:val="20"/>
          <w:szCs w:val="20"/>
        </w:rPr>
      </w:pPr>
    </w:p>
    <w:p w14:paraId="36DAD9B1" w14:textId="0607D59D" w:rsidR="00455C23" w:rsidRPr="004F5101" w:rsidRDefault="00D94F8B" w:rsidP="004F5101">
      <w:pPr>
        <w:spacing w:after="0" w:line="240" w:lineRule="auto"/>
        <w:jc w:val="both"/>
        <w:rPr>
          <w:rFonts w:ascii="Lato" w:hAnsi="Lato"/>
          <w:b/>
          <w:bCs/>
          <w:sz w:val="20"/>
          <w:szCs w:val="20"/>
        </w:rPr>
      </w:pPr>
      <w:r w:rsidRPr="004F5101">
        <w:rPr>
          <w:rFonts w:ascii="Lato" w:eastAsia="Times New Roman" w:hAnsi="Lato" w:cs="Arial"/>
          <w:b/>
          <w:bCs/>
          <w:sz w:val="20"/>
          <w:szCs w:val="20"/>
          <w:lang w:eastAsia="pl-PL"/>
        </w:rPr>
        <w:t>„Rozwój usług społecznych świadczonych w środowisku lokalnym” PO WER</w:t>
      </w:r>
    </w:p>
    <w:p w14:paraId="59B4990B" w14:textId="2A3B3339" w:rsidR="00455C23" w:rsidRPr="004F5101" w:rsidRDefault="00455C23" w:rsidP="004F5101">
      <w:pPr>
        <w:spacing w:after="0" w:line="240" w:lineRule="auto"/>
        <w:jc w:val="both"/>
        <w:rPr>
          <w:rFonts w:ascii="Lato" w:eastAsia="Times New Roman" w:hAnsi="Lato" w:cs="Arial"/>
          <w:bCs/>
          <w:iCs/>
          <w:sz w:val="20"/>
          <w:szCs w:val="20"/>
          <w:lang w:eastAsia="pl-PL"/>
        </w:rPr>
      </w:pPr>
      <w:r w:rsidRPr="004F5101">
        <w:rPr>
          <w:rFonts w:ascii="Lato" w:eastAsia="Times New Roman" w:hAnsi="Lato" w:cs="Arial"/>
          <w:bCs/>
          <w:iCs/>
          <w:sz w:val="20"/>
          <w:szCs w:val="20"/>
          <w:lang w:eastAsia="pl-PL"/>
        </w:rPr>
        <w:t xml:space="preserve">W 2022 roku, w ramach </w:t>
      </w:r>
      <w:r w:rsidRPr="004F5101">
        <w:rPr>
          <w:rFonts w:ascii="Lato" w:eastAsia="Times New Roman" w:hAnsi="Lato" w:cs="Arial"/>
          <w:sz w:val="20"/>
          <w:szCs w:val="20"/>
          <w:lang w:eastAsia="pl-PL"/>
        </w:rPr>
        <w:t>Działania 2.8 „</w:t>
      </w:r>
      <w:r w:rsidRPr="004F5101">
        <w:rPr>
          <w:rFonts w:ascii="Lato" w:eastAsia="Times New Roman" w:hAnsi="Lato" w:cs="Arial"/>
          <w:i/>
          <w:sz w:val="20"/>
          <w:szCs w:val="20"/>
          <w:lang w:eastAsia="pl-PL"/>
        </w:rPr>
        <w:t>Rozwój usług społecznych świadczonych w środowisku lokalnym</w:t>
      </w:r>
      <w:r w:rsidRPr="004F5101">
        <w:rPr>
          <w:rFonts w:ascii="Lato" w:eastAsia="Times New Roman" w:hAnsi="Lato" w:cs="Arial"/>
          <w:sz w:val="20"/>
          <w:szCs w:val="20"/>
          <w:lang w:eastAsia="pl-PL"/>
        </w:rPr>
        <w:t xml:space="preserve">” PO WER, </w:t>
      </w:r>
      <w:r w:rsidRPr="004F5101">
        <w:rPr>
          <w:rFonts w:ascii="Lato" w:eastAsia="Times New Roman" w:hAnsi="Lato" w:cs="Arial"/>
          <w:bCs/>
          <w:iCs/>
          <w:sz w:val="20"/>
          <w:szCs w:val="20"/>
          <w:lang w:eastAsia="pl-PL"/>
        </w:rPr>
        <w:t xml:space="preserve">trwała realizacja 6 projektów w ramach typu projektu dotyczącego wsparcia procesu deinstytucjonalizacji usług społecznych w Polsce (rozumianego jako przejście od opieki instytucjonalnej do opieki środowiskowej) pn.: </w:t>
      </w:r>
      <w:r w:rsidRPr="004F5101">
        <w:rPr>
          <w:rFonts w:ascii="Lato" w:eastAsia="Times New Roman" w:hAnsi="Lato" w:cs="Arial"/>
          <w:bCs/>
          <w:i/>
          <w:iCs/>
          <w:sz w:val="20"/>
          <w:szCs w:val="20"/>
          <w:lang w:eastAsia="pl-PL"/>
        </w:rPr>
        <w:t>Wypracowanie standardów i przeprowadzenie pilotaży w zakresie usług mieszkalnictwa wspomaganego dla osób o specyficznych potrzebach, z uwzględnieniem możliwości finansowania tych rozwiązań</w:t>
      </w:r>
      <w:r w:rsidRPr="004F5101">
        <w:rPr>
          <w:rFonts w:ascii="Lato" w:eastAsia="Times New Roman" w:hAnsi="Lato" w:cs="Arial"/>
          <w:bCs/>
          <w:iCs/>
          <w:sz w:val="20"/>
          <w:szCs w:val="20"/>
          <w:lang w:eastAsia="pl-PL"/>
        </w:rPr>
        <w:t>.</w:t>
      </w:r>
      <w:r w:rsidR="00582A04" w:rsidRPr="004F5101">
        <w:rPr>
          <w:rFonts w:ascii="Lato" w:eastAsia="Times New Roman" w:hAnsi="Lato" w:cs="Arial"/>
          <w:bCs/>
          <w:iCs/>
          <w:sz w:val="20"/>
          <w:szCs w:val="20"/>
          <w:lang w:eastAsia="pl-PL"/>
        </w:rPr>
        <w:t xml:space="preserve"> </w:t>
      </w:r>
      <w:r w:rsidRPr="004F5101">
        <w:rPr>
          <w:rFonts w:ascii="Lato" w:eastAsia="Times New Roman" w:hAnsi="Lato" w:cs="Arial"/>
          <w:sz w:val="20"/>
          <w:szCs w:val="20"/>
          <w:lang w:eastAsia="pl-PL"/>
        </w:rPr>
        <w:t>Projekty realizowane są przez 6 Regionalnych Ośrodków Polityki Społecznej i zakończą się do września 2023 r</w:t>
      </w:r>
      <w:r w:rsidR="00582A04" w:rsidRPr="004F5101">
        <w:rPr>
          <w:rFonts w:ascii="Lato" w:eastAsia="Times New Roman" w:hAnsi="Lato" w:cs="Arial"/>
          <w:sz w:val="20"/>
          <w:szCs w:val="20"/>
          <w:lang w:eastAsia="pl-PL"/>
        </w:rPr>
        <w:t>.</w:t>
      </w:r>
    </w:p>
    <w:p w14:paraId="0E647832" w14:textId="77777777" w:rsidR="00582A04" w:rsidRPr="004F5101" w:rsidRDefault="00582A04" w:rsidP="004F5101">
      <w:pPr>
        <w:spacing w:after="0" w:line="240" w:lineRule="auto"/>
        <w:jc w:val="both"/>
        <w:rPr>
          <w:rFonts w:ascii="Lato" w:eastAsia="Times New Roman" w:hAnsi="Lato" w:cs="Arial"/>
          <w:sz w:val="20"/>
          <w:szCs w:val="20"/>
          <w:lang w:eastAsia="pl-PL"/>
        </w:rPr>
      </w:pPr>
    </w:p>
    <w:p w14:paraId="00601656" w14:textId="6FC25C86" w:rsidR="00455C23" w:rsidRPr="004F5101" w:rsidRDefault="00455C23" w:rsidP="004F5101">
      <w:pPr>
        <w:spacing w:after="0" w:line="240" w:lineRule="auto"/>
        <w:jc w:val="both"/>
        <w:rPr>
          <w:rFonts w:ascii="Lato" w:eastAsia="Times New Roman" w:hAnsi="Lato" w:cs="Arial"/>
          <w:sz w:val="20"/>
          <w:szCs w:val="20"/>
          <w:lang w:eastAsia="pl-PL"/>
        </w:rPr>
      </w:pPr>
      <w:r w:rsidRPr="004F5101">
        <w:rPr>
          <w:rFonts w:ascii="Lato" w:eastAsia="Times New Roman" w:hAnsi="Lato" w:cs="Arial"/>
          <w:sz w:val="20"/>
          <w:szCs w:val="20"/>
          <w:lang w:eastAsia="pl-PL"/>
        </w:rPr>
        <w:t>Projekty obejmują działania zgodne z ideą deinstytucjonalizacji usług, tj. działania zmierzające do przejścia od świadczenia usług w formach instytucjonalnych (stacjonarnych) do usług świadczonych w środowisku lokalnym. Ich celem jest wypracowanie takich rozwiązań, które umożliwią osobom starszym, niepełnosprawnym oraz zaburzonym psychicznie „niezależne życie”.</w:t>
      </w:r>
    </w:p>
    <w:p w14:paraId="0817F496" w14:textId="77777777" w:rsidR="00582A04" w:rsidRPr="004F5101" w:rsidRDefault="00582A04" w:rsidP="004F5101">
      <w:pPr>
        <w:spacing w:after="0" w:line="240" w:lineRule="auto"/>
        <w:jc w:val="both"/>
        <w:rPr>
          <w:rFonts w:ascii="Lato" w:eastAsia="Times New Roman" w:hAnsi="Lato" w:cs="Arial"/>
          <w:sz w:val="20"/>
          <w:szCs w:val="20"/>
          <w:lang w:eastAsia="pl-PL"/>
        </w:rPr>
      </w:pPr>
    </w:p>
    <w:p w14:paraId="0145A4D5" w14:textId="1A0EE574" w:rsidR="00455C23" w:rsidRPr="004F5101" w:rsidRDefault="00455C23" w:rsidP="004F5101">
      <w:pPr>
        <w:spacing w:after="0" w:line="240" w:lineRule="auto"/>
        <w:jc w:val="both"/>
        <w:rPr>
          <w:rFonts w:ascii="Lato" w:eastAsia="Times New Roman" w:hAnsi="Lato" w:cs="Arial"/>
          <w:sz w:val="20"/>
          <w:szCs w:val="20"/>
          <w:lang w:eastAsia="pl-PL"/>
        </w:rPr>
      </w:pPr>
      <w:r w:rsidRPr="004F5101">
        <w:rPr>
          <w:rFonts w:ascii="Lato" w:eastAsia="Times New Roman" w:hAnsi="Lato" w:cs="Arial"/>
          <w:sz w:val="20"/>
          <w:szCs w:val="20"/>
          <w:lang w:eastAsia="pl-PL"/>
        </w:rPr>
        <w:t>Projekty zakładają sfinansowanie opracowanych rozwiązań, dlatego też wypracowane standardy usług zostaną przetestowane w mieszkaniach wspomaganych w ramach pilotażu na obszarze samorządowych jednostek organizacyjnych – 30 gmin. Po przeprowadzeniu pilotaży oraz weryfikacji rezultatów z nich wynikających opracowane standardy będą rekomendowane do stosowania.</w:t>
      </w:r>
    </w:p>
    <w:p w14:paraId="48854724" w14:textId="77777777" w:rsidR="00582A04" w:rsidRPr="004F5101" w:rsidRDefault="00582A04" w:rsidP="004F5101">
      <w:pPr>
        <w:spacing w:after="0" w:line="240" w:lineRule="auto"/>
        <w:jc w:val="both"/>
        <w:rPr>
          <w:rFonts w:ascii="Lato" w:eastAsia="Times New Roman" w:hAnsi="Lato" w:cs="Arial"/>
          <w:sz w:val="20"/>
          <w:szCs w:val="20"/>
          <w:lang w:eastAsia="pl-PL"/>
        </w:rPr>
      </w:pPr>
    </w:p>
    <w:p w14:paraId="67D12CB6" w14:textId="3C070C2A" w:rsidR="00455C23" w:rsidRPr="004F5101" w:rsidRDefault="00455C23" w:rsidP="004F5101">
      <w:pPr>
        <w:spacing w:after="0" w:line="240" w:lineRule="auto"/>
        <w:jc w:val="both"/>
        <w:rPr>
          <w:rFonts w:ascii="Lato" w:eastAsia="Times New Roman" w:hAnsi="Lato" w:cs="Arial"/>
          <w:sz w:val="20"/>
          <w:szCs w:val="20"/>
          <w:lang w:eastAsia="pl-PL"/>
        </w:rPr>
      </w:pPr>
      <w:r w:rsidRPr="004F5101">
        <w:rPr>
          <w:rFonts w:ascii="Lato" w:eastAsia="Times New Roman" w:hAnsi="Lato" w:cs="Arial"/>
          <w:sz w:val="20"/>
          <w:szCs w:val="20"/>
          <w:lang w:eastAsia="pl-PL"/>
        </w:rPr>
        <w:t xml:space="preserve">W 2022 r. trwała realizacja opracowanego modelu/standardu na rzecz deinstytucjonalizacji usług na terenie gminnych jednostek samorządu terytorialnego, co oznaczało prowadzenie 36 mieszkań wspomaganych, w których mieszkało 158 osób o specyficznych potrzebach. </w:t>
      </w:r>
    </w:p>
    <w:p w14:paraId="756A8A29" w14:textId="77777777" w:rsidR="00582A04" w:rsidRPr="004F5101" w:rsidRDefault="00582A04" w:rsidP="004F5101">
      <w:pPr>
        <w:spacing w:after="0" w:line="240" w:lineRule="auto"/>
        <w:jc w:val="both"/>
        <w:rPr>
          <w:rFonts w:ascii="Lato" w:eastAsia="Times New Roman" w:hAnsi="Lato" w:cs="Arial"/>
          <w:sz w:val="20"/>
          <w:szCs w:val="20"/>
          <w:lang w:eastAsia="pl-PL"/>
        </w:rPr>
      </w:pPr>
    </w:p>
    <w:p w14:paraId="0CE3E6DB" w14:textId="15B26B5A" w:rsidR="00455C23" w:rsidRPr="004F5101" w:rsidRDefault="00455C23" w:rsidP="004F5101">
      <w:pPr>
        <w:spacing w:after="0" w:line="240" w:lineRule="auto"/>
        <w:jc w:val="both"/>
        <w:rPr>
          <w:rFonts w:ascii="Lato" w:eastAsia="Times New Roman" w:hAnsi="Lato" w:cs="Arial"/>
          <w:b/>
          <w:sz w:val="20"/>
          <w:szCs w:val="20"/>
          <w:lang w:eastAsia="pl-PL"/>
        </w:rPr>
      </w:pPr>
      <w:r w:rsidRPr="004F5101">
        <w:rPr>
          <w:rFonts w:ascii="Lato" w:eastAsia="Times New Roman" w:hAnsi="Lato" w:cs="Arial"/>
          <w:sz w:val="20"/>
          <w:szCs w:val="20"/>
          <w:lang w:eastAsia="pl-PL"/>
        </w:rPr>
        <w:t>Jednocześnie w ramach 2 projektów, które zakończyły się w 2022 r., zrealizowano zadania dotyczące opracowania rekomendacji i przeprowadzenia działań edukacyjno-szkoleniowych dla przedstawicieli jednostek samorządu terytorialnego i NGO w zakresie stosowania opracowanego i wdrożonego standardu.</w:t>
      </w:r>
      <w:r w:rsidRPr="004F5101">
        <w:rPr>
          <w:rFonts w:ascii="Lato" w:eastAsia="Times New Roman" w:hAnsi="Lato" w:cs="Arial"/>
          <w:b/>
          <w:sz w:val="20"/>
          <w:szCs w:val="20"/>
          <w:lang w:eastAsia="pl-PL"/>
        </w:rPr>
        <w:t xml:space="preserve"> </w:t>
      </w:r>
    </w:p>
    <w:p w14:paraId="78CD117E" w14:textId="64BCA0D1" w:rsidR="00582A04" w:rsidRPr="004F5101" w:rsidRDefault="00582A04" w:rsidP="004F5101">
      <w:pPr>
        <w:spacing w:after="0" w:line="240" w:lineRule="auto"/>
        <w:jc w:val="both"/>
        <w:rPr>
          <w:rFonts w:ascii="Lato" w:eastAsia="Times New Roman" w:hAnsi="Lato" w:cs="Arial"/>
          <w:b/>
          <w:sz w:val="20"/>
          <w:szCs w:val="20"/>
          <w:lang w:eastAsia="pl-PL"/>
        </w:rPr>
      </w:pPr>
    </w:p>
    <w:p w14:paraId="43BA2DF3"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 xml:space="preserve">Dokument strategiczny wyznaczający ramy polityk publicznych wobec osób starszych, czyli </w:t>
      </w:r>
      <w:r w:rsidRPr="004F5101">
        <w:rPr>
          <w:rFonts w:ascii="Lato" w:hAnsi="Lato"/>
          <w:i/>
          <w:sz w:val="20"/>
          <w:szCs w:val="20"/>
        </w:rPr>
        <w:t>Polityka społeczna wobec osób starszych 2030. BEZPIECZEŃSTWO – UCZESTNICTWO – SOLIDARNOŚĆ,</w:t>
      </w:r>
      <w:r w:rsidRPr="004F5101">
        <w:rPr>
          <w:rFonts w:ascii="Lato" w:hAnsi="Lato"/>
          <w:sz w:val="20"/>
          <w:szCs w:val="20"/>
        </w:rPr>
        <w:t xml:space="preserve"> </w:t>
      </w:r>
      <w:r w:rsidRPr="004F5101">
        <w:rPr>
          <w:rFonts w:ascii="Lato" w:hAnsi="Lato"/>
          <w:sz w:val="20"/>
          <w:szCs w:val="20"/>
        </w:rPr>
        <w:lastRenderedPageBreak/>
        <w:t xml:space="preserve">uwzględnia bardzo dużą rolę sektora ekonomii społecznej w polityce na rzecz osób starszych. Następujące działania szczegółowe dotyczą podmiotów ekonomii społecznej: </w:t>
      </w:r>
    </w:p>
    <w:p w14:paraId="380481A3" w14:textId="77777777" w:rsidR="00035D3B" w:rsidRPr="004F5101" w:rsidRDefault="00035D3B" w:rsidP="004F5101">
      <w:pPr>
        <w:pStyle w:val="Akapitzlist"/>
        <w:numPr>
          <w:ilvl w:val="0"/>
          <w:numId w:val="144"/>
        </w:numPr>
        <w:spacing w:after="0" w:line="240" w:lineRule="auto"/>
        <w:jc w:val="both"/>
        <w:rPr>
          <w:rFonts w:ascii="Lato" w:hAnsi="Lato"/>
          <w:sz w:val="20"/>
          <w:szCs w:val="20"/>
        </w:rPr>
      </w:pPr>
      <w:r w:rsidRPr="004F5101">
        <w:rPr>
          <w:rFonts w:ascii="Lato" w:hAnsi="Lato"/>
          <w:sz w:val="20"/>
          <w:szCs w:val="20"/>
        </w:rPr>
        <w:t>realizacja kampanii społecznych mających na celu podnoszenie w społecznej świadomości znaczenia uczestnictwa osób starszych w życiu społecznym i gospodarczym;</w:t>
      </w:r>
    </w:p>
    <w:p w14:paraId="54D2AD8D" w14:textId="77777777" w:rsidR="00035D3B" w:rsidRPr="004F5101" w:rsidRDefault="00035D3B" w:rsidP="004F5101">
      <w:pPr>
        <w:pStyle w:val="Akapitzlist"/>
        <w:numPr>
          <w:ilvl w:val="0"/>
          <w:numId w:val="144"/>
        </w:numPr>
        <w:spacing w:after="0" w:line="240" w:lineRule="auto"/>
        <w:jc w:val="both"/>
        <w:rPr>
          <w:rFonts w:ascii="Lato" w:hAnsi="Lato"/>
          <w:sz w:val="20"/>
          <w:szCs w:val="20"/>
        </w:rPr>
      </w:pPr>
      <w:r w:rsidRPr="004F5101">
        <w:rPr>
          <w:rFonts w:ascii="Lato" w:hAnsi="Lato"/>
          <w:sz w:val="20"/>
          <w:szCs w:val="20"/>
        </w:rPr>
        <w:t>dofinansowywanie prowadzonych przez pracodawców działań skierowanych na utrzymanie przez pracowników zdolności do pracy przez cały okres aktywności zawodowej</w:t>
      </w:r>
    </w:p>
    <w:p w14:paraId="401C9C63" w14:textId="77777777" w:rsidR="00035D3B" w:rsidRPr="004F5101" w:rsidRDefault="00035D3B" w:rsidP="004F5101">
      <w:pPr>
        <w:pStyle w:val="Akapitzlist"/>
        <w:numPr>
          <w:ilvl w:val="0"/>
          <w:numId w:val="144"/>
        </w:numPr>
        <w:spacing w:after="0" w:line="240" w:lineRule="auto"/>
        <w:jc w:val="both"/>
        <w:rPr>
          <w:rFonts w:ascii="Lato" w:hAnsi="Lato"/>
          <w:sz w:val="20"/>
          <w:szCs w:val="20"/>
        </w:rPr>
      </w:pPr>
      <w:r w:rsidRPr="004F5101">
        <w:rPr>
          <w:rFonts w:ascii="Lato" w:hAnsi="Lato"/>
          <w:sz w:val="20"/>
          <w:szCs w:val="20"/>
        </w:rPr>
        <w:t>włączanie osób starszych w działania na rzecz integracji społeczności lokalnej;</w:t>
      </w:r>
    </w:p>
    <w:p w14:paraId="4774027B" w14:textId="77777777" w:rsidR="00035D3B" w:rsidRPr="004F5101" w:rsidRDefault="00035D3B" w:rsidP="004F5101">
      <w:pPr>
        <w:pStyle w:val="Akapitzlist"/>
        <w:numPr>
          <w:ilvl w:val="0"/>
          <w:numId w:val="144"/>
        </w:numPr>
        <w:spacing w:after="0" w:line="240" w:lineRule="auto"/>
        <w:jc w:val="both"/>
        <w:rPr>
          <w:rFonts w:ascii="Lato" w:hAnsi="Lato"/>
          <w:sz w:val="20"/>
          <w:szCs w:val="20"/>
        </w:rPr>
      </w:pPr>
      <w:r w:rsidRPr="004F5101">
        <w:rPr>
          <w:rFonts w:ascii="Lato" w:hAnsi="Lato"/>
          <w:sz w:val="20"/>
          <w:szCs w:val="20"/>
        </w:rPr>
        <w:t>wsparcie podmiotów ekonomii społecznej zatrudniających osoby starsze</w:t>
      </w:r>
    </w:p>
    <w:p w14:paraId="5618CB1C" w14:textId="54A7E11D" w:rsidR="00035D3B" w:rsidRPr="004F5101" w:rsidRDefault="00035D3B" w:rsidP="004F5101">
      <w:pPr>
        <w:pStyle w:val="Akapitzlist"/>
        <w:numPr>
          <w:ilvl w:val="0"/>
          <w:numId w:val="144"/>
        </w:numPr>
        <w:spacing w:after="0" w:line="240" w:lineRule="auto"/>
        <w:jc w:val="both"/>
        <w:rPr>
          <w:rFonts w:ascii="Lato" w:hAnsi="Lato"/>
          <w:sz w:val="20"/>
          <w:szCs w:val="20"/>
        </w:rPr>
      </w:pPr>
      <w:r w:rsidRPr="004F5101">
        <w:rPr>
          <w:rFonts w:ascii="Lato" w:hAnsi="Lato"/>
          <w:sz w:val="20"/>
          <w:szCs w:val="20"/>
        </w:rPr>
        <w:t>zwiększanie zakresu usług społecznych dostarczanych przez podmioty ekonomii społecznej i umożliwiających wzmocnienie samodzielności osób starszych.</w:t>
      </w:r>
    </w:p>
    <w:p w14:paraId="1034C46C" w14:textId="77777777" w:rsidR="00035D3B" w:rsidRPr="004F5101" w:rsidRDefault="00035D3B" w:rsidP="004F5101">
      <w:pPr>
        <w:spacing w:after="0" w:line="240" w:lineRule="auto"/>
        <w:jc w:val="both"/>
        <w:rPr>
          <w:rFonts w:ascii="Lato" w:hAnsi="Lato"/>
          <w:sz w:val="20"/>
          <w:szCs w:val="20"/>
        </w:rPr>
      </w:pPr>
    </w:p>
    <w:p w14:paraId="53600F24" w14:textId="48900692"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 xml:space="preserve">Wymienione powyżej zadania są całkowicie spójne z celami polityk publicznych w zakresie ekonomii społecznej, wyznaczonych w </w:t>
      </w:r>
      <w:r w:rsidRPr="004F5101">
        <w:rPr>
          <w:rFonts w:ascii="Lato" w:hAnsi="Lato"/>
          <w:i/>
          <w:sz w:val="20"/>
          <w:szCs w:val="20"/>
        </w:rPr>
        <w:t>Krajowym Programie Rozwoju Ekonomii Społecznej do 2030 r. Ekonomia solidarności społecznej</w:t>
      </w:r>
      <w:r w:rsidRPr="004F5101">
        <w:rPr>
          <w:rFonts w:ascii="Lato" w:hAnsi="Lato"/>
          <w:sz w:val="20"/>
          <w:szCs w:val="20"/>
        </w:rPr>
        <w:t xml:space="preserve"> (KPRES). Wspomniany dokument, traktujący ekonomię społeczną jako narzędzie budowania większej spójności społecznej, uwzględnia również sytuację i potrzeby osób starszych. Należy także dodać, że w 2022 r. KPRES został zaktualizowany, aby lepiej odpowiadać na aktualne problemy społeczne oraz aby </w:t>
      </w:r>
      <w:proofErr w:type="spellStart"/>
      <w:r w:rsidRPr="004F5101">
        <w:rPr>
          <w:rFonts w:ascii="Lato" w:hAnsi="Lato"/>
          <w:sz w:val="20"/>
          <w:szCs w:val="20"/>
        </w:rPr>
        <w:t>uspójnić</w:t>
      </w:r>
      <w:proofErr w:type="spellEnd"/>
      <w:r w:rsidRPr="004F5101">
        <w:rPr>
          <w:rFonts w:ascii="Lato" w:hAnsi="Lato"/>
          <w:sz w:val="20"/>
          <w:szCs w:val="20"/>
        </w:rPr>
        <w:t xml:space="preserve"> programowe zapisy z nowym stanem </w:t>
      </w:r>
      <w:proofErr w:type="spellStart"/>
      <w:r w:rsidRPr="004F5101">
        <w:rPr>
          <w:rFonts w:ascii="Lato" w:hAnsi="Lato"/>
          <w:sz w:val="20"/>
          <w:szCs w:val="20"/>
        </w:rPr>
        <w:t>organizacyjno</w:t>
      </w:r>
      <w:proofErr w:type="spellEnd"/>
      <w:r w:rsidRPr="004F5101">
        <w:rPr>
          <w:rFonts w:ascii="Lato" w:hAnsi="Lato"/>
          <w:sz w:val="20"/>
          <w:szCs w:val="20"/>
        </w:rPr>
        <w:t xml:space="preserve"> – prawnym. W tym punkcie trzeba zaznaczyć, że 30 października 2022 r. weszła w życie ustawa z dnia 5 sierpnia 2022 r. o ekonomii społecznej (Dz. U. z 2022 r. poz. 1812), stanowiąca pierwszą w Polsce kompleksową ustawę regulującą obszar ekonomii społecznej. Z perspektywy polityki senioralnej, niezwykle istotny wydaje się fakt, że zarówno ww. ustawa, jak również KPRES zaliczają osoby starsze do grupy osób zagrożonych wykluczeniem społecznym. Ma to ogromne znaczenie, ponieważ formalnie osoby starsze stanowią jedną z grup docelowych działań podmiotów ekonomii społecznej, zarówno w obszarze reintegracji, jak również usług społecznych.</w:t>
      </w:r>
    </w:p>
    <w:p w14:paraId="5858D95E" w14:textId="77777777" w:rsidR="00035D3B" w:rsidRPr="004F5101" w:rsidRDefault="00035D3B" w:rsidP="004F5101">
      <w:pPr>
        <w:spacing w:after="0" w:line="240" w:lineRule="auto"/>
        <w:jc w:val="both"/>
        <w:rPr>
          <w:rFonts w:ascii="Lato" w:hAnsi="Lato"/>
          <w:sz w:val="20"/>
          <w:szCs w:val="20"/>
        </w:rPr>
      </w:pPr>
    </w:p>
    <w:p w14:paraId="2731C2DA" w14:textId="6397CC2E"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 xml:space="preserve">Część zadań wyznaczonych w KPRES jest dedykowana bezpośrednio osobom starszym. W obszarze I – solidarna wspólnota lokalna, jednym z priorytetów jest rozwój usług społecznych. W ramach tego priorytetu realizowane jest działanie I.1.3. pn. „rozwój usług społecznych na rzecz rodzin, dzieci i młodzieży, osób niepełnosprawnych, niesamodzielnych, osób starszych, osób z zaburzeniami psychicznymi oraz osób w kryzysie bezdomności”. Działanie to ma na celu przede wszystkim zapewnienie wysokiej jakości usług, w tym </w:t>
      </w:r>
      <w:proofErr w:type="spellStart"/>
      <w:r w:rsidRPr="004F5101">
        <w:rPr>
          <w:rFonts w:ascii="Lato" w:hAnsi="Lato"/>
          <w:sz w:val="20"/>
          <w:szCs w:val="20"/>
        </w:rPr>
        <w:t>zdeinstytucjonalizowanych</w:t>
      </w:r>
      <w:proofErr w:type="spellEnd"/>
      <w:r w:rsidRPr="004F5101">
        <w:rPr>
          <w:rFonts w:ascii="Lato" w:hAnsi="Lato"/>
          <w:sz w:val="20"/>
          <w:szCs w:val="20"/>
        </w:rPr>
        <w:t>, dopasowanych do potrzeb odbiorców (m.in. osób starszych). Aby to osiągnąć organizowane są dla podmiotów ekonomii społecznej szkolenia z zakresu pomocy osobom starszym, rozwijane są usługi oparte na działalności wolontariuszy, wspierane są różne formy samopomocy, a także rozwijane są usługi społeczne na rzecz rodzin opiekujących się osobami niesamodzielnymi.</w:t>
      </w:r>
    </w:p>
    <w:p w14:paraId="5180E32A" w14:textId="77777777" w:rsidR="00035D3B" w:rsidRPr="004F5101" w:rsidRDefault="00035D3B" w:rsidP="004F5101">
      <w:pPr>
        <w:spacing w:after="0" w:line="240" w:lineRule="auto"/>
        <w:jc w:val="both"/>
        <w:rPr>
          <w:rFonts w:ascii="Lato" w:hAnsi="Lato"/>
          <w:sz w:val="20"/>
          <w:szCs w:val="20"/>
        </w:rPr>
      </w:pPr>
    </w:p>
    <w:p w14:paraId="3B0CF8D1"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Kolejnym priorytetem obszaru I jest aktywizacja zawodowa osób niepełnosprawnych oraz osób starszych w podmiotach ekonomii społecznej. W tym priorytecie kluczowe wydaje się działanie II.2.3., czyli „tworzenie warunków do kontynuowania aktywności zawodowej osób starszych w podmiotach ekonomii społecznej”. Osiąganie odpowiednich warunków zatrudnieniowych dla tych osób jest możliwe dzięki:</w:t>
      </w:r>
    </w:p>
    <w:p w14:paraId="5EAE2AC7" w14:textId="77777777" w:rsidR="00035D3B" w:rsidRPr="004F5101" w:rsidRDefault="00035D3B" w:rsidP="004F5101">
      <w:pPr>
        <w:pStyle w:val="Akapitzlist"/>
        <w:numPr>
          <w:ilvl w:val="0"/>
          <w:numId w:val="145"/>
        </w:numPr>
        <w:spacing w:after="0" w:line="240" w:lineRule="auto"/>
        <w:jc w:val="both"/>
        <w:rPr>
          <w:rFonts w:ascii="Lato" w:hAnsi="Lato"/>
          <w:sz w:val="20"/>
          <w:szCs w:val="20"/>
        </w:rPr>
      </w:pPr>
      <w:r w:rsidRPr="004F5101">
        <w:rPr>
          <w:rFonts w:ascii="Lato" w:hAnsi="Lato"/>
          <w:sz w:val="20"/>
          <w:szCs w:val="20"/>
        </w:rPr>
        <w:t>promowaniu wśród PES form zatrudnienia odpowiadających na potrzeby osób starszych;</w:t>
      </w:r>
    </w:p>
    <w:p w14:paraId="07A6C12F" w14:textId="77777777" w:rsidR="00035D3B" w:rsidRPr="004F5101" w:rsidRDefault="00035D3B" w:rsidP="004F5101">
      <w:pPr>
        <w:pStyle w:val="Akapitzlist"/>
        <w:numPr>
          <w:ilvl w:val="0"/>
          <w:numId w:val="145"/>
        </w:numPr>
        <w:spacing w:after="0" w:line="240" w:lineRule="auto"/>
        <w:jc w:val="both"/>
        <w:rPr>
          <w:rFonts w:ascii="Lato" w:hAnsi="Lato"/>
          <w:sz w:val="20"/>
          <w:szCs w:val="20"/>
        </w:rPr>
      </w:pPr>
      <w:r w:rsidRPr="004F5101">
        <w:rPr>
          <w:rFonts w:ascii="Lato" w:hAnsi="Lato"/>
          <w:sz w:val="20"/>
          <w:szCs w:val="20"/>
        </w:rPr>
        <w:t xml:space="preserve">wspieraniu zakładania i prowadzenia przedsiębiorstw społecznych przez pracowników w wieku przedemerytalnym oraz wspieraniu zatrudnienia pracowników po 60. roku życia; </w:t>
      </w:r>
    </w:p>
    <w:p w14:paraId="7E1D6E15" w14:textId="77777777" w:rsidR="00035D3B" w:rsidRPr="004F5101" w:rsidRDefault="00035D3B" w:rsidP="004F5101">
      <w:pPr>
        <w:pStyle w:val="Akapitzlist"/>
        <w:numPr>
          <w:ilvl w:val="0"/>
          <w:numId w:val="145"/>
        </w:numPr>
        <w:spacing w:after="0" w:line="240" w:lineRule="auto"/>
        <w:jc w:val="both"/>
        <w:rPr>
          <w:rFonts w:ascii="Lato" w:hAnsi="Lato"/>
          <w:sz w:val="20"/>
          <w:szCs w:val="20"/>
        </w:rPr>
      </w:pPr>
      <w:r w:rsidRPr="004F5101">
        <w:rPr>
          <w:rFonts w:ascii="Lato" w:hAnsi="Lato"/>
          <w:sz w:val="20"/>
          <w:szCs w:val="20"/>
        </w:rPr>
        <w:t>wspieraniu wykorzystania przedsiębiorczości społecznej w procesach „</w:t>
      </w:r>
      <w:proofErr w:type="spellStart"/>
      <w:r w:rsidRPr="004F5101">
        <w:rPr>
          <w:rFonts w:ascii="Lato" w:hAnsi="Lato"/>
          <w:sz w:val="20"/>
          <w:szCs w:val="20"/>
        </w:rPr>
        <w:t>outplacementu</w:t>
      </w:r>
      <w:proofErr w:type="spellEnd"/>
      <w:r w:rsidRPr="004F5101">
        <w:rPr>
          <w:rFonts w:ascii="Lato" w:hAnsi="Lato"/>
          <w:sz w:val="20"/>
          <w:szCs w:val="20"/>
        </w:rPr>
        <w:t>” i adaptacji zawodowej oraz tworzeniu przedsiębiorstw społecznych w związku z procesami restrukturyzacyjnymi, w szczególności dla pracowników po 60. roku życia;</w:t>
      </w:r>
    </w:p>
    <w:p w14:paraId="280D103D" w14:textId="7BEAE9EF" w:rsidR="00035D3B" w:rsidRPr="004F5101" w:rsidRDefault="00035D3B" w:rsidP="004F5101">
      <w:pPr>
        <w:pStyle w:val="Akapitzlist"/>
        <w:numPr>
          <w:ilvl w:val="0"/>
          <w:numId w:val="145"/>
        </w:numPr>
        <w:spacing w:after="0" w:line="240" w:lineRule="auto"/>
        <w:jc w:val="both"/>
        <w:rPr>
          <w:rFonts w:ascii="Lato" w:hAnsi="Lato"/>
          <w:sz w:val="20"/>
          <w:szCs w:val="20"/>
        </w:rPr>
      </w:pPr>
      <w:r w:rsidRPr="004F5101">
        <w:rPr>
          <w:rFonts w:ascii="Lato" w:hAnsi="Lato"/>
          <w:sz w:val="20"/>
          <w:szCs w:val="20"/>
        </w:rPr>
        <w:t>prowadzeniu działań na rzecz promocji i rozwoju działalności gospodarczej w sektorze „srebrnej gospodarki”, w szczególności przez rozwój działalności podmiotów ekonomii społecznej w zakresie dostarczania usług społecznych adresowanych do osób starszych i starzejących się.</w:t>
      </w:r>
    </w:p>
    <w:p w14:paraId="1834AEC2" w14:textId="77777777" w:rsidR="00035D3B" w:rsidRPr="004F5101" w:rsidRDefault="00035D3B" w:rsidP="004F5101">
      <w:pPr>
        <w:spacing w:after="0" w:line="240" w:lineRule="auto"/>
        <w:jc w:val="both"/>
        <w:rPr>
          <w:rFonts w:ascii="Lato" w:hAnsi="Lato"/>
          <w:sz w:val="20"/>
          <w:szCs w:val="20"/>
        </w:rPr>
      </w:pPr>
    </w:p>
    <w:p w14:paraId="3820FD9A"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 xml:space="preserve">Kolejny priorytet dotyczy tworzenia miejsc pracy w przedsiębiorstwach społecznych dla osób zagrożonych wykluczeniem społecznym, a więc m.in. dla osób starszych. Jest to główny cel KPRES, odzwierciedlony we wskaźniku programowym – do 2030 r. powstanie 29 tys. wysokiej jakości miejsc pracy dla osób zagrożonych wykluczeniem społecznym. Należy zaznaczyć, że do końca 2022 r. w przedsiębiorstwach społecznych powstało już 16 120 takich miejsc pracy (w samym 2022 r. – 2 751). Ze względu na brak danych dotyczących przesłanek wykluczenia pracowników tych przedsiębiorstw, nie sposób określić jaką część stanowią osoby starsze. Niemniej jednak, opisywane tu podmioty, których </w:t>
      </w:r>
      <w:r w:rsidRPr="004F5101">
        <w:rPr>
          <w:rFonts w:ascii="Lato" w:hAnsi="Lato"/>
          <w:sz w:val="20"/>
          <w:szCs w:val="20"/>
        </w:rPr>
        <w:lastRenderedPageBreak/>
        <w:t>potencjał ilościowy stale wzrasta, z pewnością należy uznać za środowisko pracy sprzyjające rozwojowi „srebrnej gospodarki”.</w:t>
      </w:r>
    </w:p>
    <w:p w14:paraId="64ADCE77" w14:textId="77777777" w:rsidR="00035D3B" w:rsidRPr="004F5101" w:rsidRDefault="00035D3B" w:rsidP="004F5101">
      <w:pPr>
        <w:spacing w:after="0" w:line="240" w:lineRule="auto"/>
        <w:jc w:val="both"/>
        <w:rPr>
          <w:rFonts w:ascii="Lato" w:hAnsi="Lato"/>
          <w:sz w:val="20"/>
          <w:szCs w:val="20"/>
        </w:rPr>
      </w:pPr>
    </w:p>
    <w:p w14:paraId="7AD69D0B" w14:textId="4A1509FF"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 xml:space="preserve">Mając na uwadze powyższe przykłady, należy dostrzec pozytywną relację między rozwojem sektora ekonomii społecznej i poprawą sytuacji osób starszych, zarówno jako uczestników rynku pracy, jak również jako odbiorców usług społecznych. W związku z powyższym, wspomnieć można o programach Ministerstwa Rodziny i Polityki Społecznej, tworzonych i realizowanych w 2022 r. w celu wzmacniania potencjału podmiotów ekonomii społecznej, w tym przedsiębiorstw społecznych. </w:t>
      </w:r>
    </w:p>
    <w:p w14:paraId="242D6AE8" w14:textId="77777777" w:rsidR="00035D3B" w:rsidRPr="004F5101" w:rsidRDefault="00035D3B" w:rsidP="004F5101">
      <w:pPr>
        <w:spacing w:after="0" w:line="240" w:lineRule="auto"/>
        <w:jc w:val="both"/>
        <w:rPr>
          <w:rFonts w:ascii="Lato" w:hAnsi="Lato"/>
          <w:sz w:val="20"/>
          <w:szCs w:val="20"/>
        </w:rPr>
      </w:pPr>
    </w:p>
    <w:p w14:paraId="1653ABD4" w14:textId="7D6B1600"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Jednym z takich działań realizowanych w 2022 r. był konkurs w ramach Programu resortowego „Od wykluczenia do aktywizacji. Program pomocy osobom wykluczonym społecznie i zawodowo na lata 2020-2022”, dzięki któremu podmioty zatrudnienia socjalnego, czyli centra i kluby integracji społecznej, mogły podnosić jakość swojej oferty na rzecz osób zagrożonych wykluczeniem społecznym. Program stworzył możliwości spotęgowania efektów świadczenia usług reintegracji społecznej i zawodowej dla osób zagrożonych wykluczeniem społecznym, uzupełniając ustawowe obowiązki samorządów gmin w zakresie przeciwdziałania wykluczeniu społecznemu, a także wspomagając działalność uprawnionych podmiotów funkcjonujących w obszarze pomocy społecznej.</w:t>
      </w:r>
    </w:p>
    <w:p w14:paraId="10380865" w14:textId="77777777" w:rsidR="00035D3B" w:rsidRPr="004F5101" w:rsidRDefault="00035D3B" w:rsidP="004F5101">
      <w:pPr>
        <w:spacing w:after="0" w:line="240" w:lineRule="auto"/>
        <w:jc w:val="both"/>
        <w:rPr>
          <w:rFonts w:ascii="Lato" w:hAnsi="Lato"/>
          <w:sz w:val="20"/>
          <w:szCs w:val="20"/>
        </w:rPr>
      </w:pPr>
    </w:p>
    <w:p w14:paraId="22F3AF2C"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Budżet Programu w 2022 r, podobnie jak w poprzednich latach, wyniósł 3 mln zł. Ostatecznie dofinansowano 31 ofert na łączną kwotę 2 973 852,60 zł</w:t>
      </w:r>
    </w:p>
    <w:p w14:paraId="7993E593" w14:textId="77777777" w:rsidR="00035D3B" w:rsidRPr="004F5101" w:rsidRDefault="00035D3B" w:rsidP="004F5101">
      <w:pPr>
        <w:spacing w:after="0" w:line="240" w:lineRule="auto"/>
        <w:jc w:val="both"/>
        <w:rPr>
          <w:rFonts w:ascii="Lato" w:hAnsi="Lato"/>
          <w:sz w:val="20"/>
          <w:szCs w:val="20"/>
        </w:rPr>
      </w:pPr>
    </w:p>
    <w:p w14:paraId="39DB3A41" w14:textId="50A6D10C"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Poza środkami z budżetu państwa duże znaczenie w rozwoju polityk publicznych na rzecz włączenia społecznego mają również środki europejskie, przede wszystkim z Europejskiego Funduszu Społecznego (EFS). W ramach perspektywy finansowej na lata 2014-2020 środki z EFS wykorzystywane były zarówno na poziomie krajowym, przede wszystkim w ramach Programu Operacyjnego Wiedza Edukacja Rozwój, jak również w ramach Regionalnych Programów Operacyjnych, za których realizację odpowiadały samorządy województw. Działania w ramach wskazanej powyżej perspektywy finansowej były realizowana w 2022 r. i mogą być jeszcze realizowane do końca 2023 r. Przedsięwzięcia realizowane dzięki tym środkom pozwoliły na wypracowanie i przetestowanie podstawowych rozwiązań, pojęć i struktur, które po odpowiednim zaadaptowaniu zostały uwzględnione w ustawie o ekonomii społecznej. Jednocześnie dzięki tym środkom możliwe było podejmowanie inicjatyw istotnych z perspektywy zwiększania rozpoznawalności sektora ekonomii społecznej.</w:t>
      </w:r>
    </w:p>
    <w:p w14:paraId="2AAEA8B4" w14:textId="77777777" w:rsidR="00035D3B" w:rsidRPr="004F5101" w:rsidRDefault="00035D3B" w:rsidP="004F5101">
      <w:pPr>
        <w:spacing w:after="0" w:line="240" w:lineRule="auto"/>
        <w:jc w:val="both"/>
        <w:rPr>
          <w:rFonts w:ascii="Lato" w:hAnsi="Lato"/>
          <w:sz w:val="20"/>
          <w:szCs w:val="20"/>
        </w:rPr>
      </w:pPr>
    </w:p>
    <w:p w14:paraId="2A56A136"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Jednym z istotnych działań realizowanych w 2022 r. finansowanych ze środków europejskich, był projekt pn. „Energia społeczna. Sieć Przedsiębiorstw Społecznych realizujących nowe modele usług w zakresie użyteczności publicznej”. Projekt sfinansowano ze środków EFS w ramach Programu Operacyjnego Wiedza Edukacja Rozwój. Realizatorami projektu byli Stowarzyszenie Na Rzecz Spółdzielni Socjalnych oraz Ogólnopolski Związek Rewizyjny Spółdzielni Socjalnych. Projekt realizowany był od stycznia 2019 r. do grudnia 2022 r., a jego wartość wynosiła 10 mln zł. W ramach projektu opracowano i pilotażowo wdrożono 5 modeli przedsiębiorstw społecznych, wspierających osoby zagrożone wykluczeniem społecznym, ze szczególnym uwzględnieniem osób z niepełnosprawnością, niesamodzielnych i w wieku powyżej 60 roku życia oraz ich rodziny.</w:t>
      </w:r>
    </w:p>
    <w:p w14:paraId="5873670A" w14:textId="77777777"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Modele oraz poszczególne wdrożenia realizowane były przy udziale społeczności lokalnych, jednostek samorządu terytorialnego oraz Ośrodków Wsparcia Ekonomii Społecznej. Modele obejmowały wiązki usług tj. przynajmniej trzy typy usług w ramach każdego z następujących modeli:</w:t>
      </w:r>
    </w:p>
    <w:p w14:paraId="3E949C24" w14:textId="77777777" w:rsidR="00035D3B" w:rsidRPr="004F5101" w:rsidRDefault="00035D3B" w:rsidP="004F5101">
      <w:pPr>
        <w:spacing w:after="0" w:line="240" w:lineRule="auto"/>
        <w:jc w:val="both"/>
        <w:rPr>
          <w:rFonts w:ascii="Lato" w:hAnsi="Lato"/>
          <w:sz w:val="20"/>
          <w:szCs w:val="20"/>
        </w:rPr>
      </w:pPr>
    </w:p>
    <w:p w14:paraId="23B08F8E" w14:textId="77777777" w:rsidR="00035D3B" w:rsidRPr="004F5101" w:rsidRDefault="00035D3B" w:rsidP="004F5101">
      <w:pPr>
        <w:pStyle w:val="Akapitzlist"/>
        <w:numPr>
          <w:ilvl w:val="0"/>
          <w:numId w:val="146"/>
        </w:numPr>
        <w:spacing w:after="0" w:line="240" w:lineRule="auto"/>
        <w:jc w:val="both"/>
        <w:rPr>
          <w:rFonts w:ascii="Lato" w:hAnsi="Lato"/>
          <w:sz w:val="20"/>
          <w:szCs w:val="20"/>
        </w:rPr>
      </w:pPr>
      <w:r w:rsidRPr="004F5101">
        <w:rPr>
          <w:rFonts w:ascii="Lato" w:hAnsi="Lato"/>
          <w:sz w:val="20"/>
          <w:szCs w:val="20"/>
        </w:rPr>
        <w:t>Opieka+, którego celem jest podnoszenie komfortu życia osób niesamodzielnych, zmagających się z problemami życia codziennego. Grupą docelową tej wiązki są osoby niesamodzielne, w tym osoby z niepełnosprawnościami oraz osoby powyżej 60 roku życia. Wiązka usług społecznych obejmuje usługi opiekuńcze (specjalistyczne usługi opiekuńcze), które są usługami bazowymi, wraz z usługami komplementarnymi (m.in.: asystentura osobista, pomoc prawna, sprzątanie, drobne naprawy), które stanowią usługi informacyjne, edukacyjne, rekreacyjne oraz zdrowotne.</w:t>
      </w:r>
    </w:p>
    <w:p w14:paraId="076FF5F8" w14:textId="77777777" w:rsidR="00035D3B" w:rsidRPr="004F5101" w:rsidRDefault="00035D3B" w:rsidP="004F5101">
      <w:pPr>
        <w:pStyle w:val="Akapitzlist"/>
        <w:numPr>
          <w:ilvl w:val="0"/>
          <w:numId w:val="146"/>
        </w:numPr>
        <w:spacing w:after="0" w:line="240" w:lineRule="auto"/>
        <w:jc w:val="both"/>
        <w:rPr>
          <w:rFonts w:ascii="Lato" w:hAnsi="Lato"/>
          <w:sz w:val="20"/>
          <w:szCs w:val="20"/>
        </w:rPr>
      </w:pPr>
      <w:r w:rsidRPr="004F5101">
        <w:rPr>
          <w:rFonts w:ascii="Lato" w:hAnsi="Lato"/>
          <w:sz w:val="20"/>
          <w:szCs w:val="20"/>
        </w:rPr>
        <w:t xml:space="preserve">Opieka </w:t>
      </w:r>
      <w:proofErr w:type="spellStart"/>
      <w:r w:rsidRPr="004F5101">
        <w:rPr>
          <w:rFonts w:ascii="Lato" w:hAnsi="Lato"/>
          <w:sz w:val="20"/>
          <w:szCs w:val="20"/>
        </w:rPr>
        <w:t>wytchnieniowa</w:t>
      </w:r>
      <w:proofErr w:type="spellEnd"/>
      <w:r w:rsidRPr="004F5101">
        <w:rPr>
          <w:rFonts w:ascii="Lato" w:hAnsi="Lato"/>
          <w:sz w:val="20"/>
          <w:szCs w:val="20"/>
        </w:rPr>
        <w:t>+, którego celem jest przeciwdziałanie wypaleniu oraz braku motywacji i chęci do sprawowania opieki przez opiekunów osób zależnych. Wiązka zapewnia opiekunom odpoczynek fizyczny i psychiczny, a także wyposaża ich w niezbędne kompetencje oraz narzędzia, jak również możliwości włączenia społecznego. Zintegrowane w tym modelu usługi obejmują m.in.: opiekę zastępczą i wsparcie interwencyjne, podnoszenie kompetencji w zakresie sprawowania opieki, wsparcie psychologiczne, pomoc prawną czy też rehabilitację.</w:t>
      </w:r>
    </w:p>
    <w:p w14:paraId="40C20733" w14:textId="77777777" w:rsidR="00035D3B" w:rsidRPr="004F5101" w:rsidRDefault="00035D3B" w:rsidP="004F5101">
      <w:pPr>
        <w:pStyle w:val="Akapitzlist"/>
        <w:numPr>
          <w:ilvl w:val="0"/>
          <w:numId w:val="146"/>
        </w:numPr>
        <w:spacing w:after="0" w:line="240" w:lineRule="auto"/>
        <w:jc w:val="both"/>
        <w:rPr>
          <w:rFonts w:ascii="Lato" w:hAnsi="Lato"/>
          <w:sz w:val="20"/>
          <w:szCs w:val="20"/>
        </w:rPr>
      </w:pPr>
      <w:r w:rsidRPr="004F5101">
        <w:rPr>
          <w:rFonts w:ascii="Lato" w:hAnsi="Lato"/>
          <w:sz w:val="20"/>
          <w:szCs w:val="20"/>
        </w:rPr>
        <w:lastRenderedPageBreak/>
        <w:t>Opieka nad dziećmi+, w ramach którego wspierane są dzieci ze specjalnymi potrzebami edukacyjnymi w wieku przedszkolnym oraz ich opiekunowie. W modelu tym współwystępują usługi związane z: opieką i edukacją przedszkolną, organizacją warsztatów i innych form wspierających rozwój dzieci w tym rehabilitacji, wsparciem dla rodziców oraz działaniami reintegracyjnymi.</w:t>
      </w:r>
    </w:p>
    <w:p w14:paraId="5129F011" w14:textId="77777777" w:rsidR="00035D3B" w:rsidRPr="004F5101" w:rsidRDefault="00035D3B" w:rsidP="004F5101">
      <w:pPr>
        <w:pStyle w:val="Akapitzlist"/>
        <w:numPr>
          <w:ilvl w:val="0"/>
          <w:numId w:val="146"/>
        </w:numPr>
        <w:spacing w:after="0" w:line="240" w:lineRule="auto"/>
        <w:jc w:val="both"/>
        <w:rPr>
          <w:rFonts w:ascii="Lato" w:hAnsi="Lato"/>
          <w:sz w:val="20"/>
          <w:szCs w:val="20"/>
        </w:rPr>
      </w:pPr>
      <w:r w:rsidRPr="004F5101">
        <w:rPr>
          <w:rFonts w:ascii="Lato" w:hAnsi="Lato"/>
          <w:sz w:val="20"/>
          <w:szCs w:val="20"/>
        </w:rPr>
        <w:t>Rehabilitacja+, skierowanym do osób z ograniczeniami mobilności, w tym do osób z niepełnosprawnościami oraz osób powyżej 60. roku życia. W tym modelu rehabilitacja rozpatrywana jest kompleksowo i ma na celu przede wszystkim zapewnienie wszechstronnej opieki usprawniającej, która zapewni przywrócenie maksymalnej lub możliwej do osiągnięcia sprawności fizycznej i psychicznej. W ramach wiązki świadczone są usługi obejmujące m.in. rehabilitację, wypożyczanie sprzętu rehabilitacyjnego, edukację w zakresie profilaktyki zdrowia, transport specjalistyczny.</w:t>
      </w:r>
    </w:p>
    <w:p w14:paraId="4E514395" w14:textId="235363D7" w:rsidR="00035D3B" w:rsidRPr="004F5101" w:rsidRDefault="00035D3B" w:rsidP="004F5101">
      <w:pPr>
        <w:pStyle w:val="Akapitzlist"/>
        <w:numPr>
          <w:ilvl w:val="0"/>
          <w:numId w:val="146"/>
        </w:numPr>
        <w:spacing w:after="0" w:line="240" w:lineRule="auto"/>
        <w:jc w:val="both"/>
        <w:rPr>
          <w:rFonts w:ascii="Lato" w:hAnsi="Lato"/>
          <w:sz w:val="20"/>
          <w:szCs w:val="20"/>
        </w:rPr>
      </w:pPr>
      <w:r w:rsidRPr="004F5101">
        <w:rPr>
          <w:rFonts w:ascii="Lato" w:hAnsi="Lato"/>
          <w:sz w:val="20"/>
          <w:szCs w:val="20"/>
        </w:rPr>
        <w:t>Turystyka społeczna+, którego celem było wspieranie rozwoju lokalnego dzięki wykorzystaniu lokalnych walorów turystycznych, a także dostarczenie usług do grup klientów do tej pory marginalizowanych na rynku usług turystycznych ze względu na ich specyficzne problemy np. niepełnosprawność lub niskie dochody. W modelu tym integrowane były m.in. usługi z zakresu gastronomii, opieki nad dziećmi, wypożyczanie sprzętu turystycznego.</w:t>
      </w:r>
    </w:p>
    <w:p w14:paraId="7BACE92E" w14:textId="77777777" w:rsidR="00035D3B" w:rsidRPr="004F5101" w:rsidRDefault="00035D3B" w:rsidP="004F5101">
      <w:pPr>
        <w:spacing w:after="0" w:line="240" w:lineRule="auto"/>
        <w:jc w:val="both"/>
        <w:rPr>
          <w:rFonts w:ascii="Lato" w:hAnsi="Lato"/>
          <w:sz w:val="20"/>
          <w:szCs w:val="20"/>
        </w:rPr>
      </w:pPr>
    </w:p>
    <w:p w14:paraId="1E9A9262" w14:textId="50EBA885" w:rsidR="00035D3B" w:rsidRPr="004F5101" w:rsidRDefault="00035D3B" w:rsidP="004F5101">
      <w:pPr>
        <w:spacing w:after="0" w:line="240" w:lineRule="auto"/>
        <w:jc w:val="both"/>
        <w:rPr>
          <w:rFonts w:ascii="Lato" w:hAnsi="Lato"/>
          <w:sz w:val="20"/>
          <w:szCs w:val="20"/>
        </w:rPr>
      </w:pPr>
      <w:r w:rsidRPr="004F5101">
        <w:rPr>
          <w:rFonts w:ascii="Lato" w:hAnsi="Lato"/>
          <w:sz w:val="20"/>
          <w:szCs w:val="20"/>
        </w:rPr>
        <w:t>Wnioski wynikające z badania przeprowadzonego po realizacji pilotażu potwierdziły, że usługi świadczone w sposób zintegrowany zdecydowanie lepiej zaspakajają potrzeby lokalne, niż usługi świadczone jednostkowo. Taki sposób funkcjonowania pozwala także na elastyczne i efektywne dopasowywanie usług do konkretnych potrzeb odbiorców. Jednocześnie zarówno przedsiębiorstwa społeczne jak i jednostki samorządu terytorialnego wyrażały zadowolenie z wdrożenia modeli i gotowość do kontynuowania działań w oparciu o tę formułę.</w:t>
      </w:r>
    </w:p>
    <w:p w14:paraId="7BE7ABC2" w14:textId="77777777" w:rsidR="00035D3B" w:rsidRPr="004F5101" w:rsidRDefault="00035D3B" w:rsidP="004F5101">
      <w:pPr>
        <w:spacing w:after="0" w:line="240" w:lineRule="auto"/>
        <w:jc w:val="both"/>
        <w:rPr>
          <w:rFonts w:ascii="Lato" w:hAnsi="Lato"/>
          <w:sz w:val="20"/>
          <w:szCs w:val="20"/>
        </w:rPr>
      </w:pPr>
    </w:p>
    <w:p w14:paraId="2AEE789E" w14:textId="43F92A55" w:rsidR="00035D3B" w:rsidRDefault="00035D3B" w:rsidP="004F5101">
      <w:pPr>
        <w:spacing w:after="0" w:line="240" w:lineRule="auto"/>
        <w:jc w:val="both"/>
        <w:rPr>
          <w:rFonts w:ascii="Lato" w:hAnsi="Lato"/>
          <w:sz w:val="20"/>
          <w:szCs w:val="20"/>
        </w:rPr>
      </w:pPr>
      <w:r w:rsidRPr="004F5101">
        <w:rPr>
          <w:rFonts w:ascii="Lato" w:hAnsi="Lato"/>
          <w:sz w:val="20"/>
          <w:szCs w:val="20"/>
        </w:rPr>
        <w:t xml:space="preserve">Podsumowując, w 2022 r. miało miejsce kilka istotnych zmian w obszarze </w:t>
      </w:r>
      <w:proofErr w:type="spellStart"/>
      <w:r w:rsidRPr="004F5101">
        <w:rPr>
          <w:rFonts w:ascii="Lato" w:hAnsi="Lato"/>
          <w:sz w:val="20"/>
          <w:szCs w:val="20"/>
        </w:rPr>
        <w:t>legislacyjno</w:t>
      </w:r>
      <w:proofErr w:type="spellEnd"/>
      <w:r w:rsidRPr="004F5101">
        <w:rPr>
          <w:rFonts w:ascii="Lato" w:hAnsi="Lato"/>
          <w:sz w:val="20"/>
          <w:szCs w:val="20"/>
        </w:rPr>
        <w:t xml:space="preserve"> – organizacyjnym, które dostosowały kształt ekonomii społecznej do aktualnych uwarunkowań społecznych. Wejście w życie ustawy o ekonomii społecznej oraz aktualizacja KPRES zmieniły ramy działania tego sektora, dzięki czemu może on lepiej odpowiadać na potrzeby osób zagrożonych wykluczeniem społecznym, w tym osób starszych. W 2022 r. kontynuowano również dotychczasowe działania adresowane do podmiotów ekonomii społecznej i mające na celu wzmacnianie ich potencjału. Dzięki temu wzrosła liczba miejsc pracy w przedsiębiorstwach społecznych, a także rozwinięty został system świadczenia usług społecznych, co z pewnością wpływa pozytywnie na sytuację osób starszych. </w:t>
      </w:r>
    </w:p>
    <w:p w14:paraId="33725475" w14:textId="1112C71C" w:rsidR="00035D3B" w:rsidRDefault="00035D3B" w:rsidP="00582A04">
      <w:pPr>
        <w:spacing w:after="0" w:line="240" w:lineRule="auto"/>
        <w:jc w:val="both"/>
        <w:rPr>
          <w:rFonts w:ascii="Lato" w:eastAsia="Times New Roman" w:hAnsi="Lato" w:cs="Arial"/>
          <w:b/>
          <w:sz w:val="20"/>
          <w:szCs w:val="20"/>
          <w:lang w:eastAsia="pl-PL"/>
        </w:rPr>
      </w:pPr>
    </w:p>
    <w:p w14:paraId="3BDDA0EB" w14:textId="77777777" w:rsidR="004E3025" w:rsidRPr="004E3025" w:rsidRDefault="004E3025" w:rsidP="004E3025">
      <w:pPr>
        <w:spacing w:after="0" w:line="240" w:lineRule="auto"/>
        <w:jc w:val="both"/>
        <w:rPr>
          <w:rFonts w:ascii="Lato" w:eastAsia="Times New Roman" w:hAnsi="Lato" w:cs="Arial"/>
          <w:b/>
          <w:sz w:val="20"/>
          <w:szCs w:val="20"/>
          <w:lang w:eastAsia="pl-PL"/>
        </w:rPr>
      </w:pPr>
      <w:r w:rsidRPr="004E3025">
        <w:rPr>
          <w:rFonts w:ascii="Lato" w:eastAsia="Times New Roman" w:hAnsi="Lato" w:cs="Arial"/>
          <w:b/>
          <w:sz w:val="20"/>
          <w:szCs w:val="20"/>
          <w:lang w:eastAsia="pl-PL"/>
        </w:rPr>
        <w:t>Współpraca międzynarodowa</w:t>
      </w:r>
    </w:p>
    <w:p w14:paraId="40733BB3" w14:textId="77777777" w:rsidR="004E3025" w:rsidRPr="004E3025" w:rsidRDefault="004E3025" w:rsidP="004E3025">
      <w:p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W 2022 r. Ministerstwo Rodziny i Polityki Społecznej przygotowało stanowiska i materiały dotyczące działań na rzecz osób starszych, które były prezentowane (przez przedstawicieli MSZ) na forach międzynarodowych:</w:t>
      </w:r>
    </w:p>
    <w:p w14:paraId="2D194884" w14:textId="77777777"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Na forum grupy roboczej Rady UE ds. praw Człowieka (COHOM) Polska przedstawiła wątpliwości co do wobec wartości dodanej działań Otwartej Grupy Roboczej  do spraw Praw Osób Starszych, jak też proponowanych form dalszych prac w ramach tej grupy, wskazując, że właściwą formą prac w zakresie polityki dotyczącej osób starszych i realizacji ich praw są prace i dyskusje dotyczące zjawiska starzenia się społeczeństw i sytuacji osób starszych, prowadzone w ramach ONZ m.in. w ramach Europejskiej Komisji Gospodarczej (Grupa Robocza do spraw Starzenia się).</w:t>
      </w:r>
    </w:p>
    <w:p w14:paraId="33A699F2" w14:textId="77777777"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Polska uczestniczyła w uzgadnianiu wspólnego wystąpienia UE na 12. sesję Otwartej Grupy Roboczej do spraw Starzenia się w Nowym Jorku (11-14 kwietnia 2022 r.), w ramach stanowiska przedstawianego na COHOM; Polska nie uczestniczyła natomiast w sesji grupy roboczej.</w:t>
      </w:r>
    </w:p>
    <w:p w14:paraId="19279E20" w14:textId="77777777"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Przygotowany został projekt wystąpienia dotyczącego wzmacniania ochrony praw człowieka osób starszych, zawierającego omówienie działań polskiego rządu na rzecz zapewnienia jak najlepszej ochrony praw osób starszych; wystąpienie to zostało przedstawione na spotkaniu na temat praw osób starszych, zorganizowanym w Genewie w dniach 29-30 sierpnia 2022 r.</w:t>
      </w:r>
    </w:p>
    <w:p w14:paraId="7C64F6CF" w14:textId="77777777"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 xml:space="preserve">Zgodnie ze stanowiskiem </w:t>
      </w:r>
      <w:proofErr w:type="spellStart"/>
      <w:r w:rsidRPr="004E3025">
        <w:rPr>
          <w:rFonts w:ascii="Lato" w:eastAsia="Times New Roman" w:hAnsi="Lato" w:cs="Arial"/>
          <w:bCs/>
          <w:sz w:val="20"/>
          <w:szCs w:val="20"/>
          <w:lang w:eastAsia="pl-PL"/>
        </w:rPr>
        <w:t>MRiPS</w:t>
      </w:r>
      <w:proofErr w:type="spellEnd"/>
      <w:r w:rsidRPr="004E3025">
        <w:rPr>
          <w:rFonts w:ascii="Lato" w:eastAsia="Times New Roman" w:hAnsi="Lato" w:cs="Arial"/>
          <w:bCs/>
          <w:sz w:val="20"/>
          <w:szCs w:val="20"/>
          <w:lang w:eastAsia="pl-PL"/>
        </w:rPr>
        <w:t xml:space="preserve"> Polska, podobnie jak w latach ubiegłych, nie przyłączyła się do grona państw sponsorujących rezolucję w sprawie praw osób starszych, dotyczącą, między innymi, przedłużenia mandatu niezależnego eksperta do spraw wszystkich praw osób starszych (51 sesja Rady Praw Człowieka (12 września - 7 października 2022 r.), deklarując zarazem gotowość współpracy z ekspertem.</w:t>
      </w:r>
    </w:p>
    <w:p w14:paraId="52B6C788" w14:textId="77777777"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lastRenderedPageBreak/>
        <w:t xml:space="preserve">Polska uczestniczyła w uzgodnieniu wystąpienia UE w </w:t>
      </w:r>
      <w:proofErr w:type="spellStart"/>
      <w:r w:rsidRPr="004E3025">
        <w:rPr>
          <w:rFonts w:ascii="Lato" w:eastAsia="Times New Roman" w:hAnsi="Lato" w:cs="Arial"/>
          <w:bCs/>
          <w:sz w:val="20"/>
          <w:szCs w:val="20"/>
          <w:lang w:eastAsia="pl-PL"/>
        </w:rPr>
        <w:t>w</w:t>
      </w:r>
      <w:proofErr w:type="spellEnd"/>
      <w:r w:rsidRPr="004E3025">
        <w:rPr>
          <w:rFonts w:ascii="Lato" w:eastAsia="Times New Roman" w:hAnsi="Lato" w:cs="Arial"/>
          <w:bCs/>
          <w:sz w:val="20"/>
          <w:szCs w:val="20"/>
          <w:lang w:eastAsia="pl-PL"/>
        </w:rPr>
        <w:t xml:space="preserve"> dialogu interaktywnym z Niezależnym Ekspertem ds. przestrzegania wszystkich praw człowieka osób starszych (29 września 2022 r.), tej dyskusji. Zgodnie ze stanowiskiem </w:t>
      </w:r>
      <w:proofErr w:type="spellStart"/>
      <w:r w:rsidRPr="004E3025">
        <w:rPr>
          <w:rFonts w:ascii="Lato" w:eastAsia="Times New Roman" w:hAnsi="Lato" w:cs="Arial"/>
          <w:bCs/>
          <w:sz w:val="20"/>
          <w:szCs w:val="20"/>
          <w:lang w:eastAsia="pl-PL"/>
        </w:rPr>
        <w:t>MRiPS</w:t>
      </w:r>
      <w:proofErr w:type="spellEnd"/>
      <w:r w:rsidRPr="004E3025">
        <w:rPr>
          <w:rFonts w:ascii="Lato" w:eastAsia="Times New Roman" w:hAnsi="Lato" w:cs="Arial"/>
          <w:bCs/>
          <w:sz w:val="20"/>
          <w:szCs w:val="20"/>
          <w:lang w:eastAsia="pl-PL"/>
        </w:rPr>
        <w:t>, Polska nie przyłączyła się do sponsorów rezolucji Zgromadzenia Ogólnego NZ dotyczącej następstw Drugiego światowego zgromadzenia nt. starzenia się, w ramach tego stanowiska  uczestniczyła w koordynacji unijnej dotyczącej projektu rezolucji.</w:t>
      </w:r>
    </w:p>
    <w:p w14:paraId="701FB7DF" w14:textId="77777777" w:rsidR="00E52286"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4E3025">
        <w:rPr>
          <w:rFonts w:ascii="Lato" w:eastAsia="Times New Roman" w:hAnsi="Lato" w:cs="Arial"/>
          <w:bCs/>
          <w:sz w:val="20"/>
          <w:szCs w:val="20"/>
          <w:lang w:eastAsia="pl-PL"/>
        </w:rPr>
        <w:t xml:space="preserve">Przygotowane zostały materiały dla Zastępcy Stałego Przedstawiciela RP przy NZ w Nowym Jorku, który uczestniczył w wydarzeniu nt. wyzwań dla starzejących się społeczeństw w ramach Silver </w:t>
      </w:r>
      <w:proofErr w:type="spellStart"/>
      <w:r w:rsidRPr="004E3025">
        <w:rPr>
          <w:rFonts w:ascii="Lato" w:eastAsia="Times New Roman" w:hAnsi="Lato" w:cs="Arial"/>
          <w:bCs/>
          <w:sz w:val="20"/>
          <w:szCs w:val="20"/>
          <w:lang w:eastAsia="pl-PL"/>
        </w:rPr>
        <w:t>Economy</w:t>
      </w:r>
      <w:proofErr w:type="spellEnd"/>
      <w:r w:rsidRPr="004E3025">
        <w:rPr>
          <w:rFonts w:ascii="Lato" w:eastAsia="Times New Roman" w:hAnsi="Lato" w:cs="Arial"/>
          <w:bCs/>
          <w:sz w:val="20"/>
          <w:szCs w:val="20"/>
          <w:lang w:eastAsia="pl-PL"/>
        </w:rPr>
        <w:t xml:space="preserve"> Forum, w siedzibie ONZ w Nowym Jorku, w dn. 9 listopada 2022 r.</w:t>
      </w:r>
    </w:p>
    <w:p w14:paraId="186D45EE" w14:textId="1B875C9D" w:rsidR="004E3025" w:rsidRDefault="004E3025" w:rsidP="004E3025">
      <w:pPr>
        <w:pStyle w:val="Akapitzlist"/>
        <w:numPr>
          <w:ilvl w:val="0"/>
          <w:numId w:val="251"/>
        </w:numPr>
        <w:spacing w:after="0" w:line="240" w:lineRule="auto"/>
        <w:jc w:val="both"/>
        <w:rPr>
          <w:rFonts w:ascii="Lato" w:eastAsia="Times New Roman" w:hAnsi="Lato" w:cs="Arial"/>
          <w:bCs/>
          <w:sz w:val="20"/>
          <w:szCs w:val="20"/>
          <w:lang w:eastAsia="pl-PL"/>
        </w:rPr>
      </w:pPr>
      <w:r w:rsidRPr="00E52286">
        <w:rPr>
          <w:rFonts w:ascii="Lato" w:eastAsia="Times New Roman" w:hAnsi="Lato" w:cs="Arial"/>
          <w:bCs/>
          <w:sz w:val="20"/>
          <w:szCs w:val="20"/>
          <w:lang w:eastAsia="pl-PL"/>
        </w:rPr>
        <w:t xml:space="preserve">Konferencja ministerialna w sprawie starzenia się – Rzym  16-17 czerwca 2022  </w:t>
      </w:r>
      <w:r w:rsidR="00E52286">
        <w:rPr>
          <w:rFonts w:ascii="Lato" w:eastAsia="Times New Roman" w:hAnsi="Lato" w:cs="Arial"/>
          <w:bCs/>
          <w:sz w:val="20"/>
          <w:szCs w:val="20"/>
          <w:lang w:eastAsia="pl-PL"/>
        </w:rPr>
        <w:t xml:space="preserve">- </w:t>
      </w:r>
      <w:r w:rsidRPr="00E52286">
        <w:rPr>
          <w:rFonts w:ascii="Lato" w:eastAsia="Times New Roman" w:hAnsi="Lato" w:cs="Arial"/>
          <w:bCs/>
          <w:sz w:val="20"/>
          <w:szCs w:val="20"/>
          <w:lang w:eastAsia="pl-PL"/>
        </w:rPr>
        <w:t>prace grupy roboczej do spraw osób starszych w ramach EKG ONZ</w:t>
      </w:r>
    </w:p>
    <w:p w14:paraId="32F8AFF4" w14:textId="77777777" w:rsidR="00E52286" w:rsidRPr="00E52286" w:rsidRDefault="00E52286" w:rsidP="00E52286">
      <w:pPr>
        <w:pStyle w:val="Akapitzlist"/>
        <w:spacing w:after="0" w:line="240" w:lineRule="auto"/>
        <w:jc w:val="both"/>
        <w:rPr>
          <w:rFonts w:ascii="Lato" w:eastAsia="Times New Roman" w:hAnsi="Lato" w:cs="Arial"/>
          <w:bCs/>
          <w:sz w:val="20"/>
          <w:szCs w:val="20"/>
          <w:lang w:eastAsia="pl-PL"/>
        </w:rPr>
      </w:pPr>
    </w:p>
    <w:p w14:paraId="681070B9" w14:textId="2C083E97" w:rsidR="00781EA1" w:rsidRPr="00DB2792" w:rsidRDefault="00781EA1" w:rsidP="006B2B17">
      <w:pPr>
        <w:pStyle w:val="Nagwek2"/>
        <w:rPr>
          <w:b/>
          <w:bCs/>
        </w:rPr>
      </w:pPr>
      <w:bookmarkStart w:id="54" w:name="_Toc142565937"/>
      <w:r w:rsidRPr="00DB2792">
        <w:rPr>
          <w:b/>
          <w:bCs/>
        </w:rPr>
        <w:t>Ministerstwo Rolnictwa i Rozwoju Wsi</w:t>
      </w:r>
      <w:bookmarkEnd w:id="54"/>
    </w:p>
    <w:p w14:paraId="5355F29B" w14:textId="13FBB318" w:rsidR="003C730B" w:rsidRPr="004F5101" w:rsidRDefault="0000145E" w:rsidP="004F5101">
      <w:p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Według danych GUS n</w:t>
      </w:r>
      <w:r w:rsidRPr="004F5101">
        <w:rPr>
          <w:rFonts w:ascii="Lato" w:hAnsi="Lato" w:cs="Times New Roman"/>
          <w:sz w:val="20"/>
          <w:szCs w:val="20"/>
        </w:rPr>
        <w:t xml:space="preserve">a obszarach wiejskich w Polsce zamieszkuje obecnie ponad 2,4 </w:t>
      </w:r>
      <w:r w:rsidRPr="004F5101">
        <w:rPr>
          <w:rFonts w:ascii="Lato" w:hAnsi="Lato" w:cs="TimesNewRomanPSMT"/>
          <w:sz w:val="20"/>
          <w:szCs w:val="20"/>
        </w:rPr>
        <w:t xml:space="preserve">mln osób po 65 roku życia. Prognozuje się, że do 2035 r. liczba ta wzrośnie o niemal 60%, do ponad 3,4 </w:t>
      </w:r>
      <w:r w:rsidRPr="004F5101">
        <w:rPr>
          <w:rFonts w:ascii="Lato" w:hAnsi="Lato" w:cs="Times New Roman"/>
          <w:sz w:val="20"/>
          <w:szCs w:val="20"/>
        </w:rPr>
        <w:t xml:space="preserve">mln, a ich odsetek wobec </w:t>
      </w:r>
      <w:r w:rsidRPr="004F5101">
        <w:rPr>
          <w:rFonts w:ascii="Lato" w:hAnsi="Lato" w:cs="TimesNewRomanPSMT"/>
          <w:sz w:val="20"/>
          <w:szCs w:val="20"/>
        </w:rPr>
        <w:t>ogółu populacji z obecnych 14% do 22%. Starzenie się społeczeństwa na wsi będzie się przejawiać zarówno ogólnym wzrostem liczby osób starszych zamieszkujących obszary wiejskie, jak i zwiększeniu się proporcji seniorów wobec ogółu mieszkańców. Dlatego też niezbędne jest podejmowanie wszelakich działań mających na celu szeroko rozumianą aktywizację społeczną i zawodową osób starszych, których potencjał zwłaszcza w środowisku wiejskim nie jest wykorzystywany w ogóle lub jest wykorzystywany w sposób znikomy. Ważnym problemem jest również zapewnienie osobom starszym, niesamodzielnym odpowiedniej opieki i poziomu życia.</w:t>
      </w:r>
    </w:p>
    <w:p w14:paraId="33F925F8" w14:textId="468B5708" w:rsidR="0000145E" w:rsidRPr="004F5101" w:rsidRDefault="0000145E" w:rsidP="004F5101">
      <w:pPr>
        <w:autoSpaceDE w:val="0"/>
        <w:autoSpaceDN w:val="0"/>
        <w:adjustRightInd w:val="0"/>
        <w:spacing w:after="0" w:line="240" w:lineRule="auto"/>
        <w:jc w:val="both"/>
        <w:rPr>
          <w:rFonts w:ascii="Lato" w:hAnsi="Lato" w:cs="TimesNewRomanPSMT"/>
          <w:sz w:val="20"/>
          <w:szCs w:val="20"/>
        </w:rPr>
      </w:pPr>
    </w:p>
    <w:p w14:paraId="6079072A" w14:textId="77777777" w:rsidR="002B6F8B" w:rsidRPr="004F5101" w:rsidRDefault="00BE73F8" w:rsidP="004F5101">
      <w:p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 xml:space="preserve">Kompleksową obsługę ubezpieczonych rolników i członków ich rodzin, dla których działalność rolnicza stanowi jedyne, bądź podstawowe źródło utrzymania, w zakresie ubezpieczenia społecznego prowadzi Kasa Rolniczego Ubezpieczenia Społecznego (KRUS), na podstawie ustawy z dnia 20 grudnia 1990 r. o ubezpieczeniu społecznym rolników (Dz. U. z 2021 r. poz. 266). </w:t>
      </w:r>
    </w:p>
    <w:p w14:paraId="1DF05B83" w14:textId="77777777" w:rsidR="002B6F8B" w:rsidRPr="004F5101" w:rsidRDefault="002B6F8B" w:rsidP="004F5101">
      <w:pPr>
        <w:autoSpaceDE w:val="0"/>
        <w:autoSpaceDN w:val="0"/>
        <w:adjustRightInd w:val="0"/>
        <w:spacing w:after="0" w:line="240" w:lineRule="auto"/>
        <w:jc w:val="both"/>
        <w:rPr>
          <w:rFonts w:ascii="Lato" w:hAnsi="Lato" w:cs="TimesNewRomanPSMT"/>
          <w:sz w:val="20"/>
          <w:szCs w:val="20"/>
        </w:rPr>
      </w:pPr>
    </w:p>
    <w:p w14:paraId="752997EE" w14:textId="77777777" w:rsidR="002B6F8B" w:rsidRPr="004F5101" w:rsidRDefault="00BE73F8" w:rsidP="004F5101">
      <w:pPr>
        <w:autoSpaceDE w:val="0"/>
        <w:autoSpaceDN w:val="0"/>
        <w:adjustRightInd w:val="0"/>
        <w:spacing w:after="0" w:line="240" w:lineRule="auto"/>
        <w:jc w:val="both"/>
        <w:rPr>
          <w:rFonts w:ascii="Lato" w:hAnsi="Lato" w:cs="Times New Roman"/>
          <w:sz w:val="20"/>
          <w:szCs w:val="20"/>
        </w:rPr>
      </w:pPr>
      <w:r w:rsidRPr="004F5101">
        <w:rPr>
          <w:rFonts w:ascii="Lato" w:hAnsi="Lato" w:cs="TimesNewRomanPSMT"/>
          <w:sz w:val="20"/>
          <w:szCs w:val="20"/>
        </w:rPr>
        <w:t>Liczba osób starszych objętych ubezpieczeniem społecznym rolników na koniec 202</w:t>
      </w:r>
      <w:r w:rsidR="002B6F8B" w:rsidRPr="004F5101">
        <w:rPr>
          <w:rFonts w:ascii="Lato" w:hAnsi="Lato" w:cs="TimesNewRomanPSMT"/>
          <w:sz w:val="20"/>
          <w:szCs w:val="20"/>
        </w:rPr>
        <w:t>2</w:t>
      </w:r>
      <w:r w:rsidRPr="004F5101">
        <w:rPr>
          <w:rFonts w:ascii="Lato" w:hAnsi="Lato" w:cs="TimesNewRomanPSMT"/>
          <w:sz w:val="20"/>
          <w:szCs w:val="20"/>
        </w:rPr>
        <w:t xml:space="preserve"> r. wyniosła </w:t>
      </w:r>
      <w:r w:rsidR="002B6F8B" w:rsidRPr="004F5101">
        <w:rPr>
          <w:rFonts w:ascii="Lato" w:hAnsi="Lato" w:cs="TimesNewRomanPSMT"/>
          <w:sz w:val="20"/>
          <w:szCs w:val="20"/>
        </w:rPr>
        <w:t>97 448</w:t>
      </w:r>
      <w:r w:rsidRPr="004F5101">
        <w:rPr>
          <w:rFonts w:ascii="Lato" w:hAnsi="Lato" w:cs="Times New Roman"/>
          <w:sz w:val="20"/>
          <w:szCs w:val="20"/>
        </w:rPr>
        <w:t xml:space="preserve"> os</w:t>
      </w:r>
      <w:r w:rsidR="002B6F8B" w:rsidRPr="004F5101">
        <w:rPr>
          <w:rFonts w:ascii="Lato" w:hAnsi="Lato" w:cs="Times New Roman"/>
          <w:sz w:val="20"/>
          <w:szCs w:val="20"/>
        </w:rPr>
        <w:t>ób.</w:t>
      </w:r>
      <w:r w:rsidRPr="004F5101">
        <w:rPr>
          <w:rFonts w:ascii="Lato" w:hAnsi="Lato" w:cs="Times New Roman"/>
          <w:sz w:val="20"/>
          <w:szCs w:val="20"/>
        </w:rPr>
        <w:t xml:space="preserve"> W tej grupie dominow</w:t>
      </w:r>
      <w:r w:rsidRPr="004F5101">
        <w:rPr>
          <w:rFonts w:ascii="Lato" w:hAnsi="Lato" w:cs="TimesNewRomanPSMT"/>
          <w:sz w:val="20"/>
          <w:szCs w:val="20"/>
        </w:rPr>
        <w:t>ali mężczyźni – 8</w:t>
      </w:r>
      <w:r w:rsidR="002B6F8B" w:rsidRPr="004F5101">
        <w:rPr>
          <w:rFonts w:ascii="Lato" w:hAnsi="Lato" w:cs="TimesNewRomanPSMT"/>
          <w:sz w:val="20"/>
          <w:szCs w:val="20"/>
        </w:rPr>
        <w:t>8 630 osób</w:t>
      </w:r>
      <w:r w:rsidRPr="004F5101">
        <w:rPr>
          <w:rFonts w:ascii="Lato" w:hAnsi="Lato" w:cs="TimesNewRomanPSMT"/>
          <w:sz w:val="20"/>
          <w:szCs w:val="20"/>
        </w:rPr>
        <w:t xml:space="preserve">, natomiast ubezpieczone kobiety stanowiły </w:t>
      </w:r>
      <w:r w:rsidR="002B6F8B" w:rsidRPr="004F5101">
        <w:rPr>
          <w:rFonts w:ascii="Lato" w:hAnsi="Lato" w:cs="TimesNewRomanPSMT"/>
          <w:sz w:val="20"/>
          <w:szCs w:val="20"/>
        </w:rPr>
        <w:t>8 818 osób</w:t>
      </w:r>
      <w:r w:rsidRPr="004F5101">
        <w:rPr>
          <w:rFonts w:ascii="Lato" w:hAnsi="Lato" w:cs="TimesNewRomanPSMT"/>
          <w:sz w:val="20"/>
          <w:szCs w:val="20"/>
        </w:rPr>
        <w:t xml:space="preserve"> (dysproporcje te należy bezpośrednio wiązać m.in. z ustawowym wiekiem przechodzenia na emeryturę rolniczą, który w przypadku kobiet wynosi 60 lat, a mężczyzn – </w:t>
      </w:r>
      <w:r w:rsidRPr="004F5101">
        <w:rPr>
          <w:rFonts w:ascii="Lato" w:hAnsi="Lato" w:cs="Times New Roman"/>
          <w:sz w:val="20"/>
          <w:szCs w:val="20"/>
        </w:rPr>
        <w:t xml:space="preserve">65 lat). </w:t>
      </w:r>
    </w:p>
    <w:p w14:paraId="0F49C70F" w14:textId="77777777" w:rsidR="002B6F8B" w:rsidRPr="004F5101" w:rsidRDefault="002B6F8B" w:rsidP="004F5101">
      <w:pPr>
        <w:autoSpaceDE w:val="0"/>
        <w:autoSpaceDN w:val="0"/>
        <w:adjustRightInd w:val="0"/>
        <w:spacing w:after="0" w:line="240" w:lineRule="auto"/>
        <w:jc w:val="both"/>
        <w:rPr>
          <w:rFonts w:ascii="Lato" w:hAnsi="Lato" w:cs="Times New Roman"/>
          <w:color w:val="FF0000"/>
          <w:sz w:val="20"/>
          <w:szCs w:val="20"/>
        </w:rPr>
      </w:pPr>
    </w:p>
    <w:p w14:paraId="4EE41FA6" w14:textId="3ED88862" w:rsidR="00001477" w:rsidRPr="004F5101" w:rsidRDefault="00BE73F8" w:rsidP="004F5101">
      <w:pPr>
        <w:autoSpaceDE w:val="0"/>
        <w:autoSpaceDN w:val="0"/>
        <w:adjustRightInd w:val="0"/>
        <w:spacing w:after="0" w:line="240" w:lineRule="auto"/>
        <w:jc w:val="both"/>
        <w:rPr>
          <w:rFonts w:ascii="Lato" w:hAnsi="Lato" w:cs="TimesNewRomanPSMT"/>
          <w:color w:val="FF0000"/>
          <w:sz w:val="20"/>
          <w:szCs w:val="20"/>
        </w:rPr>
      </w:pPr>
      <w:r w:rsidRPr="004F5101">
        <w:rPr>
          <w:rFonts w:ascii="Lato" w:hAnsi="Lato" w:cs="Times New Roman"/>
          <w:sz w:val="20"/>
          <w:szCs w:val="20"/>
        </w:rPr>
        <w:t xml:space="preserve">Na </w:t>
      </w:r>
      <w:r w:rsidRPr="004F5101">
        <w:rPr>
          <w:rFonts w:ascii="Lato" w:hAnsi="Lato" w:cs="TimesNewRomanPSMT"/>
          <w:sz w:val="20"/>
          <w:szCs w:val="20"/>
        </w:rPr>
        <w:t>koniec 202</w:t>
      </w:r>
      <w:r w:rsidR="002B6F8B" w:rsidRPr="004F5101">
        <w:rPr>
          <w:rFonts w:ascii="Lato" w:hAnsi="Lato" w:cs="TimesNewRomanPSMT"/>
          <w:sz w:val="20"/>
          <w:szCs w:val="20"/>
        </w:rPr>
        <w:t>2</w:t>
      </w:r>
      <w:r w:rsidRPr="004F5101">
        <w:rPr>
          <w:rFonts w:ascii="Lato" w:hAnsi="Lato" w:cs="TimesNewRomanPSMT"/>
          <w:sz w:val="20"/>
          <w:szCs w:val="20"/>
        </w:rPr>
        <w:t xml:space="preserve"> r. wśród ubezpieczonych w KRUS</w:t>
      </w:r>
      <w:r w:rsidR="002B6F8B" w:rsidRPr="004F5101">
        <w:rPr>
          <w:rFonts w:ascii="Lato" w:hAnsi="Lato" w:cs="TimesNewRomanPSMT"/>
          <w:sz w:val="20"/>
          <w:szCs w:val="20"/>
        </w:rPr>
        <w:t xml:space="preserve"> </w:t>
      </w:r>
      <w:r w:rsidRPr="004F5101">
        <w:rPr>
          <w:rFonts w:ascii="Lato" w:hAnsi="Lato" w:cs="TimesNewRomanPSMT"/>
          <w:sz w:val="20"/>
          <w:szCs w:val="20"/>
        </w:rPr>
        <w:t>dodatkowo pozarolniczą działalność gospodarczą prowadziło 5</w:t>
      </w:r>
      <w:r w:rsidR="001B01A6" w:rsidRPr="004F5101">
        <w:rPr>
          <w:rFonts w:ascii="Lato" w:hAnsi="Lato" w:cs="TimesNewRomanPSMT"/>
          <w:sz w:val="20"/>
          <w:szCs w:val="20"/>
        </w:rPr>
        <w:t xml:space="preserve"> 826 </w:t>
      </w:r>
      <w:r w:rsidRPr="004F5101">
        <w:rPr>
          <w:rFonts w:ascii="Lato" w:hAnsi="Lato" w:cs="TimesNewRomanPSMT"/>
          <w:sz w:val="20"/>
          <w:szCs w:val="20"/>
        </w:rPr>
        <w:t>osób starszych. Według stanu na dzień 31 grudnia 202</w:t>
      </w:r>
      <w:r w:rsidR="001B01A6" w:rsidRPr="004F5101">
        <w:rPr>
          <w:rFonts w:ascii="Lato" w:hAnsi="Lato" w:cs="TimesNewRomanPSMT"/>
          <w:sz w:val="20"/>
          <w:szCs w:val="20"/>
        </w:rPr>
        <w:t>2</w:t>
      </w:r>
      <w:r w:rsidRPr="004F5101">
        <w:rPr>
          <w:rFonts w:ascii="Lato" w:hAnsi="Lato" w:cs="TimesNewRomanPSMT"/>
          <w:sz w:val="20"/>
          <w:szCs w:val="20"/>
        </w:rPr>
        <w:t xml:space="preserve"> r. liczba osób w wieku 60</w:t>
      </w:r>
      <w:r w:rsidR="001B01A6" w:rsidRPr="004F5101">
        <w:rPr>
          <w:rFonts w:ascii="Lato" w:hAnsi="Lato" w:cs="TimesNewRomanPSMT"/>
          <w:sz w:val="20"/>
          <w:szCs w:val="20"/>
        </w:rPr>
        <w:t xml:space="preserve"> lat i więcej</w:t>
      </w:r>
      <w:r w:rsidRPr="004F5101">
        <w:rPr>
          <w:rFonts w:ascii="Lato" w:hAnsi="Lato" w:cs="TimesNewRomanPSMT"/>
          <w:sz w:val="20"/>
          <w:szCs w:val="20"/>
        </w:rPr>
        <w:t xml:space="preserve"> pobierających świadczenia emerytalne z KRUS wyniosła </w:t>
      </w:r>
      <w:r w:rsidR="00952262" w:rsidRPr="004F5101">
        <w:rPr>
          <w:rFonts w:ascii="Lato" w:hAnsi="Lato" w:cs="TimesNewRomanPSMT"/>
          <w:sz w:val="20"/>
          <w:szCs w:val="20"/>
        </w:rPr>
        <w:t xml:space="preserve">767 419, w tym kobiety 527 168 i 240 251 mężczyzn. </w:t>
      </w:r>
      <w:r w:rsidRPr="004F5101">
        <w:rPr>
          <w:rFonts w:ascii="Lato" w:hAnsi="Lato" w:cs="TimesNewRomanPSMT"/>
          <w:sz w:val="20"/>
          <w:szCs w:val="20"/>
        </w:rPr>
        <w:t xml:space="preserve">Renty z tytułu niezdolności </w:t>
      </w:r>
      <w:r w:rsidRPr="004F5101">
        <w:rPr>
          <w:rFonts w:ascii="Lato" w:hAnsi="Lato" w:cs="Times New Roman"/>
          <w:sz w:val="20"/>
          <w:szCs w:val="20"/>
        </w:rPr>
        <w:t xml:space="preserve">do </w:t>
      </w:r>
      <w:r w:rsidRPr="004F5101">
        <w:rPr>
          <w:rFonts w:ascii="Lato" w:hAnsi="Lato" w:cs="TimesNewRomanPSMT"/>
          <w:sz w:val="20"/>
          <w:szCs w:val="20"/>
        </w:rPr>
        <w:t xml:space="preserve">pracy pobierało </w:t>
      </w:r>
      <w:r w:rsidR="00952262" w:rsidRPr="004F5101">
        <w:rPr>
          <w:rFonts w:ascii="Lato" w:hAnsi="Lato" w:cs="TimesNewRomanPSMT"/>
          <w:sz w:val="20"/>
          <w:szCs w:val="20"/>
        </w:rPr>
        <w:t>175 541</w:t>
      </w:r>
      <w:r w:rsidRPr="004F5101">
        <w:rPr>
          <w:rFonts w:ascii="Lato" w:hAnsi="Lato" w:cs="TimesNewRomanPSMT"/>
          <w:sz w:val="20"/>
          <w:szCs w:val="20"/>
        </w:rPr>
        <w:t xml:space="preserve"> osób starszych, w tym </w:t>
      </w:r>
      <w:r w:rsidR="00952262" w:rsidRPr="004F5101">
        <w:rPr>
          <w:rFonts w:ascii="Lato" w:hAnsi="Lato" w:cs="TimesNewRomanPSMT"/>
          <w:sz w:val="20"/>
          <w:szCs w:val="20"/>
        </w:rPr>
        <w:t xml:space="preserve">84 104 kobiety i </w:t>
      </w:r>
      <w:r w:rsidRPr="004F5101">
        <w:rPr>
          <w:rFonts w:ascii="Lato" w:hAnsi="Lato" w:cs="TimesNewRomanPSMT"/>
          <w:sz w:val="20"/>
          <w:szCs w:val="20"/>
        </w:rPr>
        <w:t>9</w:t>
      </w:r>
      <w:r w:rsidR="00952262" w:rsidRPr="004F5101">
        <w:rPr>
          <w:rFonts w:ascii="Lato" w:hAnsi="Lato" w:cs="TimesNewRomanPSMT"/>
          <w:sz w:val="20"/>
          <w:szCs w:val="20"/>
        </w:rPr>
        <w:t>1 437</w:t>
      </w:r>
      <w:r w:rsidRPr="004F5101">
        <w:rPr>
          <w:rFonts w:ascii="Lato" w:hAnsi="Lato" w:cs="TimesNewRomanPSMT"/>
          <w:sz w:val="20"/>
          <w:szCs w:val="20"/>
        </w:rPr>
        <w:t xml:space="preserve"> mężczyzn</w:t>
      </w:r>
      <w:r w:rsidR="00952262" w:rsidRPr="004F5101">
        <w:rPr>
          <w:rFonts w:ascii="Lato" w:hAnsi="Lato" w:cs="TimesNewRomanPSMT"/>
          <w:sz w:val="20"/>
          <w:szCs w:val="20"/>
        </w:rPr>
        <w:t>. N</w:t>
      </w:r>
      <w:r w:rsidRPr="004F5101">
        <w:rPr>
          <w:rFonts w:ascii="Lato" w:hAnsi="Lato" w:cs="TimesNewRomanPSMT"/>
          <w:sz w:val="20"/>
          <w:szCs w:val="20"/>
        </w:rPr>
        <w:t>atomiast renty rodzinne pobierało 5</w:t>
      </w:r>
      <w:r w:rsidR="00952262" w:rsidRPr="004F5101">
        <w:rPr>
          <w:rFonts w:ascii="Lato" w:hAnsi="Lato" w:cs="TimesNewRomanPSMT"/>
          <w:sz w:val="20"/>
          <w:szCs w:val="20"/>
        </w:rPr>
        <w:t>3 376</w:t>
      </w:r>
      <w:r w:rsidRPr="004F5101">
        <w:rPr>
          <w:rFonts w:ascii="Lato" w:hAnsi="Lato" w:cs="TimesNewRomanPSMT"/>
          <w:sz w:val="20"/>
          <w:szCs w:val="20"/>
        </w:rPr>
        <w:t xml:space="preserve"> osób starszych. Średni okres pobierania świadczeń emerytalno</w:t>
      </w:r>
      <w:r w:rsidRPr="004F5101">
        <w:rPr>
          <w:rFonts w:ascii="Lato" w:hAnsi="Lato" w:cs="Times New Roman"/>
          <w:sz w:val="20"/>
          <w:szCs w:val="20"/>
        </w:rPr>
        <w:t>-rentowych</w:t>
      </w:r>
      <w:r w:rsidRPr="004F5101">
        <w:rPr>
          <w:rFonts w:ascii="Lato" w:hAnsi="Lato" w:cs="TimesNewRomanPSMT"/>
          <w:sz w:val="20"/>
          <w:szCs w:val="20"/>
        </w:rPr>
        <w:t xml:space="preserve"> </w:t>
      </w:r>
      <w:r w:rsidRPr="004F5101">
        <w:rPr>
          <w:rFonts w:ascii="Lato" w:hAnsi="Lato" w:cs="Times New Roman"/>
          <w:sz w:val="20"/>
          <w:szCs w:val="20"/>
        </w:rPr>
        <w:t xml:space="preserve">w </w:t>
      </w:r>
      <w:r w:rsidRPr="004F5101">
        <w:rPr>
          <w:rFonts w:ascii="Lato" w:hAnsi="Lato" w:cs="TimesNewRomanPSMT"/>
          <w:sz w:val="20"/>
          <w:szCs w:val="20"/>
        </w:rPr>
        <w:t>202</w:t>
      </w:r>
      <w:r w:rsidR="001B01A6" w:rsidRPr="004F5101">
        <w:rPr>
          <w:rFonts w:ascii="Lato" w:hAnsi="Lato" w:cs="TimesNewRomanPSMT"/>
          <w:sz w:val="20"/>
          <w:szCs w:val="20"/>
        </w:rPr>
        <w:t>2</w:t>
      </w:r>
      <w:r w:rsidRPr="004F5101">
        <w:rPr>
          <w:rFonts w:ascii="Lato" w:hAnsi="Lato" w:cs="TimesNewRomanPSMT"/>
          <w:sz w:val="20"/>
          <w:szCs w:val="20"/>
        </w:rPr>
        <w:t xml:space="preserve"> r. wyniósł 23 lata w przy</w:t>
      </w:r>
      <w:r w:rsidRPr="004F5101">
        <w:rPr>
          <w:rFonts w:ascii="Lato" w:hAnsi="Lato" w:cs="Times New Roman"/>
          <w:sz w:val="20"/>
          <w:szCs w:val="20"/>
        </w:rPr>
        <w:t>padku emerytury rolniczej, 1</w:t>
      </w:r>
      <w:r w:rsidR="001B01A6" w:rsidRPr="004F5101">
        <w:rPr>
          <w:rFonts w:ascii="Lato" w:hAnsi="Lato" w:cs="Times New Roman"/>
          <w:sz w:val="20"/>
          <w:szCs w:val="20"/>
        </w:rPr>
        <w:t>7</w:t>
      </w:r>
      <w:r w:rsidRPr="004F5101">
        <w:rPr>
          <w:rFonts w:ascii="Lato" w:hAnsi="Lato" w:cs="Times New Roman"/>
          <w:sz w:val="20"/>
          <w:szCs w:val="20"/>
        </w:rPr>
        <w:t xml:space="preserve"> </w:t>
      </w:r>
      <w:r w:rsidR="001B01A6" w:rsidRPr="004F5101">
        <w:rPr>
          <w:rFonts w:ascii="Lato" w:hAnsi="Lato" w:cs="Times New Roman"/>
          <w:sz w:val="20"/>
          <w:szCs w:val="20"/>
        </w:rPr>
        <w:t>lat</w:t>
      </w:r>
      <w:r w:rsidRPr="004F5101">
        <w:rPr>
          <w:rFonts w:ascii="Lato" w:hAnsi="Lato" w:cs="Times New Roman"/>
          <w:sz w:val="20"/>
          <w:szCs w:val="20"/>
        </w:rPr>
        <w:t xml:space="preserve"> w przypadku renty</w:t>
      </w:r>
      <w:r w:rsidRPr="004F5101">
        <w:rPr>
          <w:rFonts w:ascii="Lato" w:hAnsi="Lato" w:cs="TimesNewRomanPSMT"/>
          <w:sz w:val="20"/>
          <w:szCs w:val="20"/>
        </w:rPr>
        <w:t xml:space="preserve"> rolniczej (ogółem).</w:t>
      </w:r>
      <w:r w:rsidR="00F66AB1" w:rsidRPr="004F5101">
        <w:rPr>
          <w:rFonts w:ascii="Lato" w:hAnsi="Lato" w:cs="TimesNewRomanPSMT"/>
          <w:sz w:val="20"/>
          <w:szCs w:val="20"/>
        </w:rPr>
        <w:t xml:space="preserve"> Liczba osób skierowanych na rehabilitację leczniczą w 2022 r. w przedziale wiekowym 56-65 lat wyniosła 5 398 osób, natomiast powyżej 65 roku życia 63 osoby.</w:t>
      </w:r>
    </w:p>
    <w:p w14:paraId="71407F87" w14:textId="6A7B540F" w:rsidR="00F66AB1" w:rsidRPr="004F5101" w:rsidRDefault="00F66AB1" w:rsidP="004F5101">
      <w:pPr>
        <w:autoSpaceDE w:val="0"/>
        <w:autoSpaceDN w:val="0"/>
        <w:adjustRightInd w:val="0"/>
        <w:spacing w:after="0" w:line="240" w:lineRule="auto"/>
        <w:jc w:val="both"/>
        <w:rPr>
          <w:rFonts w:ascii="Lato" w:hAnsi="Lato" w:cs="TimesNewRomanPSMT"/>
          <w:sz w:val="20"/>
          <w:szCs w:val="20"/>
        </w:rPr>
      </w:pPr>
    </w:p>
    <w:p w14:paraId="1854C1A2" w14:textId="7D105084" w:rsidR="0018776A" w:rsidRPr="004F5101" w:rsidRDefault="0018776A" w:rsidP="004F5101">
      <w:p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 xml:space="preserve">Jednocześnie, od wielu lat zwiększa się liczba funkcjonujących Kół Gospodyń Wiejskich. To organizacje, które skupiają mieszkanki wsi i prowadzą wiele różnorodnych działań na rzecz lokalnej społeczności. </w:t>
      </w:r>
    </w:p>
    <w:p w14:paraId="75EDC56C" w14:textId="7FE72FAC" w:rsidR="0018776A" w:rsidRPr="004F5101" w:rsidRDefault="0018776A" w:rsidP="004F5101">
      <w:p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Koła gospodyń wiejskich odpowiadają między innymi za:</w:t>
      </w:r>
    </w:p>
    <w:p w14:paraId="632BBA07"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 xml:space="preserve">prowadzenie działalności </w:t>
      </w:r>
      <w:proofErr w:type="spellStart"/>
      <w:r w:rsidRPr="004F5101">
        <w:rPr>
          <w:rFonts w:ascii="Lato" w:hAnsi="Lato" w:cs="TimesNewRomanPSMT"/>
          <w:sz w:val="20"/>
          <w:szCs w:val="20"/>
        </w:rPr>
        <w:t>społeczno</w:t>
      </w:r>
      <w:proofErr w:type="spellEnd"/>
      <w:r w:rsidRPr="004F5101">
        <w:rPr>
          <w:rFonts w:ascii="Lato" w:hAnsi="Lato" w:cs="TimesNewRomanPSMT"/>
          <w:sz w:val="20"/>
          <w:szCs w:val="20"/>
        </w:rPr>
        <w:t>– wychowawczej i oświatowo – kulturalnej w środowiskach wiejskich,</w:t>
      </w:r>
    </w:p>
    <w:p w14:paraId="1F8C8619"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prowadzenie działalności na rzecz wszechstronnego rozwoju obszarów wiejskich,</w:t>
      </w:r>
    </w:p>
    <w:p w14:paraId="6D01219B"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wparcie rozwoju przedsiębiorczości kobiet,</w:t>
      </w:r>
    </w:p>
    <w:p w14:paraId="5F731DCF"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inicjowanie i prowadzenie działań na rzecz poprawy warunków życia i pracy kobiet na wsi.</w:t>
      </w:r>
    </w:p>
    <w:p w14:paraId="5E4B7A9E"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upowszechnienie i rozwijanie form współdziałania, gospodarowania i racjonalnych metod prowadzenia gospodarstw domowych,</w:t>
      </w:r>
    </w:p>
    <w:p w14:paraId="10ABF93C"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reprezentowanie interesów środowiska kobiet wiejskich wobec organów administracji publicznej,</w:t>
      </w:r>
    </w:p>
    <w:p w14:paraId="3085339C" w14:textId="77777777" w:rsidR="0018776A" w:rsidRPr="004F5101" w:rsidRDefault="0018776A" w:rsidP="004F5101">
      <w:pPr>
        <w:pStyle w:val="Akapitzlist"/>
        <w:numPr>
          <w:ilvl w:val="0"/>
          <w:numId w:val="202"/>
        </w:numPr>
        <w:autoSpaceDE w:val="0"/>
        <w:autoSpaceDN w:val="0"/>
        <w:adjustRightInd w:val="0"/>
        <w:spacing w:after="0" w:line="240" w:lineRule="auto"/>
        <w:jc w:val="both"/>
        <w:rPr>
          <w:rFonts w:ascii="Lato" w:hAnsi="Lato" w:cs="TimesNewRomanPSMT"/>
          <w:sz w:val="20"/>
          <w:szCs w:val="20"/>
        </w:rPr>
      </w:pPr>
      <w:r w:rsidRPr="004F5101">
        <w:rPr>
          <w:rFonts w:ascii="Lato" w:hAnsi="Lato" w:cs="TimesNewRomanPSMT"/>
          <w:sz w:val="20"/>
          <w:szCs w:val="20"/>
        </w:rPr>
        <w:t>rozwijanie kultury ludowej, w tym w szczególności kulturę lokalną i regionalną.</w:t>
      </w:r>
    </w:p>
    <w:p w14:paraId="631CCE85" w14:textId="77777777" w:rsidR="0018776A" w:rsidRPr="004F5101" w:rsidRDefault="0018776A" w:rsidP="004F5101">
      <w:pPr>
        <w:autoSpaceDE w:val="0"/>
        <w:autoSpaceDN w:val="0"/>
        <w:adjustRightInd w:val="0"/>
        <w:spacing w:after="0" w:line="240" w:lineRule="auto"/>
        <w:jc w:val="both"/>
        <w:rPr>
          <w:rFonts w:ascii="Lato" w:hAnsi="Lato" w:cs="TimesNewRomanPSMT"/>
          <w:sz w:val="20"/>
          <w:szCs w:val="20"/>
        </w:rPr>
      </w:pPr>
    </w:p>
    <w:p w14:paraId="49496E00" w14:textId="45C21B8D" w:rsidR="00B76565" w:rsidRPr="004F5101" w:rsidRDefault="0018776A" w:rsidP="004F5101">
      <w:pPr>
        <w:autoSpaceDE w:val="0"/>
        <w:autoSpaceDN w:val="0"/>
        <w:adjustRightInd w:val="0"/>
        <w:spacing w:after="0" w:line="240" w:lineRule="auto"/>
        <w:jc w:val="both"/>
        <w:rPr>
          <w:rFonts w:ascii="Lato" w:eastAsia="Times New Roman" w:hAnsi="Lato" w:cs="Calibri"/>
          <w:b/>
          <w:bCs/>
          <w:sz w:val="20"/>
          <w:szCs w:val="20"/>
          <w:lang w:eastAsia="pl-PL"/>
        </w:rPr>
      </w:pPr>
      <w:r w:rsidRPr="004F5101">
        <w:rPr>
          <w:rFonts w:ascii="Lato" w:hAnsi="Lato" w:cs="TimesNewRomanPSMT"/>
          <w:sz w:val="20"/>
          <w:szCs w:val="20"/>
        </w:rPr>
        <w:lastRenderedPageBreak/>
        <w:t xml:space="preserve">Zgodnie z danymi przekazanymi przez Ministerstwo Rolnictwa i Rozwoju Wsi w 2022 r. funkcjonowało 11 927 kół gospodyń wiejskich – najwięcej w województwie </w:t>
      </w:r>
      <w:r w:rsidR="005618B3" w:rsidRPr="004F5101">
        <w:rPr>
          <w:rFonts w:ascii="Lato" w:hAnsi="Lato" w:cs="TimesNewRomanPSMT"/>
          <w:sz w:val="20"/>
          <w:szCs w:val="20"/>
        </w:rPr>
        <w:t xml:space="preserve">wielkopolskim i mazowieckim.  Łącznie zostało wydanych ponad 11 tys. decyzji. Kwota pomocy według wydanych decyzji wyniosła </w:t>
      </w:r>
      <w:r w:rsidR="005618B3" w:rsidRPr="004F5101">
        <w:rPr>
          <w:rFonts w:ascii="Lato" w:eastAsia="Times New Roman" w:hAnsi="Lato" w:cs="Calibri"/>
          <w:sz w:val="20"/>
          <w:szCs w:val="20"/>
          <w:lang w:eastAsia="pl-PL"/>
        </w:rPr>
        <w:t>62 615 000,00 zł.</w:t>
      </w:r>
      <w:r w:rsidR="005618B3" w:rsidRPr="004F5101">
        <w:rPr>
          <w:rFonts w:ascii="Lato" w:eastAsia="Times New Roman" w:hAnsi="Lato" w:cs="Calibri"/>
          <w:b/>
          <w:bCs/>
          <w:sz w:val="20"/>
          <w:szCs w:val="20"/>
          <w:lang w:eastAsia="pl-PL"/>
        </w:rPr>
        <w:t xml:space="preserve"> </w:t>
      </w:r>
    </w:p>
    <w:p w14:paraId="42A7D740" w14:textId="77777777" w:rsidR="005618B3" w:rsidRPr="00F66AB1" w:rsidRDefault="005618B3" w:rsidP="00F66AB1">
      <w:pPr>
        <w:autoSpaceDE w:val="0"/>
        <w:autoSpaceDN w:val="0"/>
        <w:adjustRightInd w:val="0"/>
        <w:spacing w:after="0" w:line="240" w:lineRule="auto"/>
        <w:jc w:val="both"/>
        <w:rPr>
          <w:rFonts w:ascii="Lato" w:hAnsi="Lato" w:cs="TimesNewRomanPSMT"/>
          <w:color w:val="FF0000"/>
          <w:sz w:val="20"/>
          <w:szCs w:val="20"/>
        </w:rPr>
      </w:pPr>
    </w:p>
    <w:p w14:paraId="5CDED305" w14:textId="0183964D" w:rsidR="00D41C51" w:rsidRDefault="00D41C51" w:rsidP="00D41C51">
      <w:pPr>
        <w:pStyle w:val="Legenda"/>
        <w:keepNext/>
      </w:pPr>
      <w:bookmarkStart w:id="55" w:name="_Toc142566004"/>
      <w:r>
        <w:t xml:space="preserve">Tabela </w:t>
      </w:r>
      <w:fldSimple w:instr=" SEQ Tabela \* ARABIC ">
        <w:r w:rsidR="00AA385B">
          <w:rPr>
            <w:noProof/>
          </w:rPr>
          <w:t>41</w:t>
        </w:r>
      </w:fldSimple>
      <w:r>
        <w:t xml:space="preserve"> </w:t>
      </w:r>
      <w:r w:rsidRPr="004C0C39">
        <w:t>Pomoc dla Kół Gospodyń Wiejskich udzielona w 2022 r. (na podstawie ustawy o Kołach Gospodyń Wiejskich)</w:t>
      </w:r>
      <w:bookmarkEnd w:id="55"/>
    </w:p>
    <w:tbl>
      <w:tblPr>
        <w:tblW w:w="5000" w:type="pct"/>
        <w:tblCellMar>
          <w:left w:w="70" w:type="dxa"/>
          <w:right w:w="70" w:type="dxa"/>
        </w:tblCellMar>
        <w:tblLook w:val="04A0" w:firstRow="1" w:lastRow="0" w:firstColumn="1" w:lastColumn="0" w:noHBand="0" w:noVBand="1"/>
      </w:tblPr>
      <w:tblGrid>
        <w:gridCol w:w="409"/>
        <w:gridCol w:w="1879"/>
        <w:gridCol w:w="2035"/>
        <w:gridCol w:w="1594"/>
        <w:gridCol w:w="1596"/>
        <w:gridCol w:w="1549"/>
      </w:tblGrid>
      <w:tr w:rsidR="00001477" w:rsidRPr="002818F9" w14:paraId="1EBAD213" w14:textId="77777777" w:rsidTr="002818F9">
        <w:trPr>
          <w:trHeight w:val="450"/>
        </w:trPr>
        <w:tc>
          <w:tcPr>
            <w:tcW w:w="226"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noWrap/>
            <w:vAlign w:val="bottom"/>
            <w:hideMark/>
          </w:tcPr>
          <w:p w14:paraId="4736A3E0"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L.p.</w:t>
            </w:r>
          </w:p>
        </w:tc>
        <w:tc>
          <w:tcPr>
            <w:tcW w:w="998"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63993AE"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Województwo</w:t>
            </w:r>
          </w:p>
        </w:tc>
        <w:tc>
          <w:tcPr>
            <w:tcW w:w="1174"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9E342BE"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 xml:space="preserve">Liczba Kół Gospodyń Wiejskich wpisanych do Krajowego Rejestru Kół Gospodyń Wiejskich </w:t>
            </w:r>
          </w:p>
        </w:tc>
        <w:tc>
          <w:tcPr>
            <w:tcW w:w="905"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E844644"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Liczba wydanych decyzji</w:t>
            </w:r>
          </w:p>
        </w:tc>
        <w:tc>
          <w:tcPr>
            <w:tcW w:w="906"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13889757"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Kwota pomocy, wg wydanych decyzji (zł)</w:t>
            </w:r>
          </w:p>
        </w:tc>
        <w:tc>
          <w:tcPr>
            <w:tcW w:w="792"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A22A903" w14:textId="77777777" w:rsidR="00001477" w:rsidRPr="002818F9" w:rsidRDefault="00001477" w:rsidP="00D41C51">
            <w:pPr>
              <w:spacing w:after="0" w:line="240" w:lineRule="auto"/>
              <w:jc w:val="center"/>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Kwota zrealizowanych płatności*</w:t>
            </w:r>
            <w:r w:rsidRPr="002818F9">
              <w:rPr>
                <w:rFonts w:ascii="Lato" w:eastAsia="Times New Roman" w:hAnsi="Lato" w:cs="Calibri"/>
                <w:color w:val="000000"/>
                <w:sz w:val="18"/>
                <w:szCs w:val="18"/>
                <w:lang w:eastAsia="pl-PL"/>
              </w:rPr>
              <w:br/>
              <w:t>(zł)</w:t>
            </w:r>
          </w:p>
        </w:tc>
      </w:tr>
      <w:tr w:rsidR="00001477" w:rsidRPr="002818F9" w14:paraId="62875AAE" w14:textId="77777777" w:rsidTr="002818F9">
        <w:trPr>
          <w:trHeight w:val="450"/>
        </w:trPr>
        <w:tc>
          <w:tcPr>
            <w:tcW w:w="226"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0019F1A8"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c>
          <w:tcPr>
            <w:tcW w:w="998"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E5869D5"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c>
          <w:tcPr>
            <w:tcW w:w="1174"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0E10C3D"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c>
          <w:tcPr>
            <w:tcW w:w="905"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49F4B03"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c>
          <w:tcPr>
            <w:tcW w:w="906"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1E0D9D8A"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c>
          <w:tcPr>
            <w:tcW w:w="792"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0B617CE5" w14:textId="77777777" w:rsidR="00001477" w:rsidRPr="002818F9" w:rsidRDefault="00001477" w:rsidP="00D41C51">
            <w:pPr>
              <w:spacing w:after="0" w:line="240" w:lineRule="auto"/>
              <w:rPr>
                <w:rFonts w:ascii="Lato" w:eastAsia="Times New Roman" w:hAnsi="Lato" w:cs="Calibri"/>
                <w:color w:val="000000"/>
                <w:sz w:val="18"/>
                <w:szCs w:val="18"/>
                <w:lang w:eastAsia="pl-PL"/>
              </w:rPr>
            </w:pPr>
          </w:p>
        </w:tc>
      </w:tr>
      <w:tr w:rsidR="00001477" w:rsidRPr="002818F9" w14:paraId="64079B1D"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7DAEA21E"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w:t>
            </w:r>
          </w:p>
        </w:tc>
        <w:tc>
          <w:tcPr>
            <w:tcW w:w="998" w:type="pct"/>
            <w:tcBorders>
              <w:top w:val="nil"/>
              <w:left w:val="nil"/>
              <w:bottom w:val="single" w:sz="4" w:space="0" w:color="auto"/>
              <w:right w:val="single" w:sz="4" w:space="0" w:color="auto"/>
            </w:tcBorders>
            <w:shd w:val="clear" w:color="auto" w:fill="auto"/>
            <w:vAlign w:val="center"/>
            <w:hideMark/>
          </w:tcPr>
          <w:p w14:paraId="2F8E6218"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dolnośląskie</w:t>
            </w:r>
          </w:p>
        </w:tc>
        <w:tc>
          <w:tcPr>
            <w:tcW w:w="1174" w:type="pct"/>
            <w:tcBorders>
              <w:top w:val="nil"/>
              <w:left w:val="nil"/>
              <w:bottom w:val="single" w:sz="4" w:space="0" w:color="000000"/>
              <w:right w:val="nil"/>
            </w:tcBorders>
            <w:shd w:val="clear" w:color="auto" w:fill="auto"/>
            <w:noWrap/>
            <w:vAlign w:val="center"/>
            <w:hideMark/>
          </w:tcPr>
          <w:p w14:paraId="0455FCAD"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451</w:t>
            </w:r>
          </w:p>
        </w:tc>
        <w:tc>
          <w:tcPr>
            <w:tcW w:w="905" w:type="pct"/>
            <w:tcBorders>
              <w:top w:val="nil"/>
              <w:left w:val="single" w:sz="4" w:space="0" w:color="000000"/>
              <w:bottom w:val="single" w:sz="4" w:space="0" w:color="000000"/>
              <w:right w:val="nil"/>
            </w:tcBorders>
            <w:shd w:val="clear" w:color="auto" w:fill="auto"/>
            <w:noWrap/>
            <w:vAlign w:val="center"/>
            <w:hideMark/>
          </w:tcPr>
          <w:p w14:paraId="71CB370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418</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C0B4B55"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2 219 000,00</w:t>
            </w:r>
          </w:p>
        </w:tc>
        <w:tc>
          <w:tcPr>
            <w:tcW w:w="792" w:type="pct"/>
            <w:tcBorders>
              <w:top w:val="nil"/>
              <w:left w:val="nil"/>
              <w:bottom w:val="single" w:sz="4" w:space="0" w:color="auto"/>
              <w:right w:val="single" w:sz="4" w:space="0" w:color="auto"/>
            </w:tcBorders>
            <w:shd w:val="clear" w:color="auto" w:fill="auto"/>
            <w:noWrap/>
            <w:vAlign w:val="center"/>
            <w:hideMark/>
          </w:tcPr>
          <w:p w14:paraId="7855C77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2 213 000,00</w:t>
            </w:r>
          </w:p>
        </w:tc>
      </w:tr>
      <w:tr w:rsidR="00001477" w:rsidRPr="002818F9" w14:paraId="63665FEB"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12D6A1AC"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2</w:t>
            </w:r>
          </w:p>
        </w:tc>
        <w:tc>
          <w:tcPr>
            <w:tcW w:w="998" w:type="pct"/>
            <w:tcBorders>
              <w:top w:val="nil"/>
              <w:left w:val="nil"/>
              <w:bottom w:val="single" w:sz="4" w:space="0" w:color="auto"/>
              <w:right w:val="single" w:sz="4" w:space="0" w:color="auto"/>
            </w:tcBorders>
            <w:shd w:val="clear" w:color="auto" w:fill="auto"/>
            <w:vAlign w:val="center"/>
            <w:hideMark/>
          </w:tcPr>
          <w:p w14:paraId="4F04F9CF"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kujawsko-pomorskie</w:t>
            </w:r>
          </w:p>
        </w:tc>
        <w:tc>
          <w:tcPr>
            <w:tcW w:w="1174" w:type="pct"/>
            <w:tcBorders>
              <w:top w:val="nil"/>
              <w:left w:val="nil"/>
              <w:bottom w:val="single" w:sz="4" w:space="0" w:color="000000"/>
              <w:right w:val="nil"/>
            </w:tcBorders>
            <w:shd w:val="clear" w:color="auto" w:fill="auto"/>
            <w:noWrap/>
            <w:vAlign w:val="center"/>
            <w:hideMark/>
          </w:tcPr>
          <w:p w14:paraId="0CF04821"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677</w:t>
            </w:r>
          </w:p>
        </w:tc>
        <w:tc>
          <w:tcPr>
            <w:tcW w:w="905" w:type="pct"/>
            <w:tcBorders>
              <w:top w:val="nil"/>
              <w:left w:val="single" w:sz="4" w:space="0" w:color="000000"/>
              <w:bottom w:val="single" w:sz="4" w:space="0" w:color="000000"/>
              <w:right w:val="nil"/>
            </w:tcBorders>
            <w:shd w:val="clear" w:color="auto" w:fill="auto"/>
            <w:noWrap/>
            <w:vAlign w:val="center"/>
            <w:hideMark/>
          </w:tcPr>
          <w:p w14:paraId="790BC9DD"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636</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544C261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3 422 000,00</w:t>
            </w:r>
          </w:p>
        </w:tc>
        <w:tc>
          <w:tcPr>
            <w:tcW w:w="792" w:type="pct"/>
            <w:tcBorders>
              <w:top w:val="nil"/>
              <w:left w:val="nil"/>
              <w:bottom w:val="single" w:sz="4" w:space="0" w:color="auto"/>
              <w:right w:val="single" w:sz="4" w:space="0" w:color="auto"/>
            </w:tcBorders>
            <w:shd w:val="clear" w:color="auto" w:fill="auto"/>
            <w:noWrap/>
            <w:vAlign w:val="center"/>
            <w:hideMark/>
          </w:tcPr>
          <w:p w14:paraId="085EDFB6"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3 422 000,00</w:t>
            </w:r>
          </w:p>
        </w:tc>
      </w:tr>
      <w:tr w:rsidR="00001477" w:rsidRPr="002818F9" w14:paraId="0E81FB8A"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697AA511"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3</w:t>
            </w:r>
          </w:p>
        </w:tc>
        <w:tc>
          <w:tcPr>
            <w:tcW w:w="998" w:type="pct"/>
            <w:tcBorders>
              <w:top w:val="nil"/>
              <w:left w:val="nil"/>
              <w:bottom w:val="single" w:sz="4" w:space="0" w:color="auto"/>
              <w:right w:val="single" w:sz="4" w:space="0" w:color="auto"/>
            </w:tcBorders>
            <w:shd w:val="clear" w:color="auto" w:fill="auto"/>
            <w:vAlign w:val="center"/>
            <w:hideMark/>
          </w:tcPr>
          <w:p w14:paraId="211B7031"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lubelskie</w:t>
            </w:r>
          </w:p>
        </w:tc>
        <w:tc>
          <w:tcPr>
            <w:tcW w:w="1174" w:type="pct"/>
            <w:tcBorders>
              <w:top w:val="nil"/>
              <w:left w:val="nil"/>
              <w:bottom w:val="single" w:sz="4" w:space="0" w:color="000000"/>
              <w:right w:val="nil"/>
            </w:tcBorders>
            <w:shd w:val="clear" w:color="auto" w:fill="auto"/>
            <w:noWrap/>
            <w:vAlign w:val="center"/>
            <w:hideMark/>
          </w:tcPr>
          <w:p w14:paraId="34ABDAA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1 421</w:t>
            </w:r>
          </w:p>
        </w:tc>
        <w:tc>
          <w:tcPr>
            <w:tcW w:w="905" w:type="pct"/>
            <w:tcBorders>
              <w:top w:val="nil"/>
              <w:left w:val="single" w:sz="4" w:space="0" w:color="000000"/>
              <w:bottom w:val="single" w:sz="4" w:space="0" w:color="000000"/>
              <w:right w:val="nil"/>
            </w:tcBorders>
            <w:shd w:val="clear" w:color="auto" w:fill="auto"/>
            <w:noWrap/>
            <w:vAlign w:val="center"/>
            <w:hideMark/>
          </w:tcPr>
          <w:p w14:paraId="3FF0CE47"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1 359</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42652D0"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7 446 000,00</w:t>
            </w:r>
          </w:p>
        </w:tc>
        <w:tc>
          <w:tcPr>
            <w:tcW w:w="792" w:type="pct"/>
            <w:tcBorders>
              <w:top w:val="nil"/>
              <w:left w:val="nil"/>
              <w:bottom w:val="single" w:sz="4" w:space="0" w:color="auto"/>
              <w:right w:val="single" w:sz="4" w:space="0" w:color="auto"/>
            </w:tcBorders>
            <w:shd w:val="clear" w:color="auto" w:fill="auto"/>
            <w:noWrap/>
            <w:vAlign w:val="center"/>
            <w:hideMark/>
          </w:tcPr>
          <w:p w14:paraId="1D43A0F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7 446 000,00</w:t>
            </w:r>
          </w:p>
        </w:tc>
      </w:tr>
      <w:tr w:rsidR="00001477" w:rsidRPr="002818F9" w14:paraId="111E9147"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2B9B82E6"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4</w:t>
            </w:r>
          </w:p>
        </w:tc>
        <w:tc>
          <w:tcPr>
            <w:tcW w:w="998" w:type="pct"/>
            <w:tcBorders>
              <w:top w:val="nil"/>
              <w:left w:val="nil"/>
              <w:bottom w:val="single" w:sz="4" w:space="0" w:color="auto"/>
              <w:right w:val="single" w:sz="4" w:space="0" w:color="auto"/>
            </w:tcBorders>
            <w:shd w:val="clear" w:color="auto" w:fill="auto"/>
            <w:vAlign w:val="center"/>
            <w:hideMark/>
          </w:tcPr>
          <w:p w14:paraId="07F97A04"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lubuskie</w:t>
            </w:r>
          </w:p>
        </w:tc>
        <w:tc>
          <w:tcPr>
            <w:tcW w:w="1174" w:type="pct"/>
            <w:tcBorders>
              <w:top w:val="nil"/>
              <w:left w:val="nil"/>
              <w:bottom w:val="single" w:sz="4" w:space="0" w:color="000000"/>
              <w:right w:val="nil"/>
            </w:tcBorders>
            <w:shd w:val="clear" w:color="auto" w:fill="auto"/>
            <w:noWrap/>
            <w:vAlign w:val="center"/>
            <w:hideMark/>
          </w:tcPr>
          <w:p w14:paraId="08CA915F"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187</w:t>
            </w:r>
          </w:p>
        </w:tc>
        <w:tc>
          <w:tcPr>
            <w:tcW w:w="905" w:type="pct"/>
            <w:tcBorders>
              <w:top w:val="nil"/>
              <w:left w:val="single" w:sz="4" w:space="0" w:color="000000"/>
              <w:bottom w:val="single" w:sz="4" w:space="0" w:color="000000"/>
              <w:right w:val="nil"/>
            </w:tcBorders>
            <w:shd w:val="clear" w:color="auto" w:fill="auto"/>
            <w:noWrap/>
            <w:vAlign w:val="center"/>
            <w:hideMark/>
          </w:tcPr>
          <w:p w14:paraId="5E37998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168</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60A2D8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916 000,00</w:t>
            </w:r>
          </w:p>
        </w:tc>
        <w:tc>
          <w:tcPr>
            <w:tcW w:w="792" w:type="pct"/>
            <w:tcBorders>
              <w:top w:val="nil"/>
              <w:left w:val="nil"/>
              <w:bottom w:val="single" w:sz="4" w:space="0" w:color="auto"/>
              <w:right w:val="single" w:sz="4" w:space="0" w:color="auto"/>
            </w:tcBorders>
            <w:shd w:val="clear" w:color="auto" w:fill="auto"/>
            <w:noWrap/>
            <w:vAlign w:val="center"/>
            <w:hideMark/>
          </w:tcPr>
          <w:p w14:paraId="1F81918D"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916 000,00</w:t>
            </w:r>
          </w:p>
        </w:tc>
      </w:tr>
      <w:tr w:rsidR="00001477" w:rsidRPr="002818F9" w14:paraId="53B06174"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5CB81188"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5</w:t>
            </w:r>
          </w:p>
        </w:tc>
        <w:tc>
          <w:tcPr>
            <w:tcW w:w="998" w:type="pct"/>
            <w:tcBorders>
              <w:top w:val="nil"/>
              <w:left w:val="nil"/>
              <w:bottom w:val="single" w:sz="4" w:space="0" w:color="auto"/>
              <w:right w:val="single" w:sz="4" w:space="0" w:color="auto"/>
            </w:tcBorders>
            <w:shd w:val="clear" w:color="auto" w:fill="auto"/>
            <w:vAlign w:val="center"/>
            <w:hideMark/>
          </w:tcPr>
          <w:p w14:paraId="1C8565DA"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łódzkie</w:t>
            </w:r>
          </w:p>
        </w:tc>
        <w:tc>
          <w:tcPr>
            <w:tcW w:w="1174" w:type="pct"/>
            <w:tcBorders>
              <w:top w:val="nil"/>
              <w:left w:val="nil"/>
              <w:bottom w:val="single" w:sz="4" w:space="0" w:color="000000"/>
              <w:right w:val="nil"/>
            </w:tcBorders>
            <w:shd w:val="clear" w:color="auto" w:fill="auto"/>
            <w:noWrap/>
            <w:vAlign w:val="center"/>
            <w:hideMark/>
          </w:tcPr>
          <w:p w14:paraId="44A10EB2"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1 032</w:t>
            </w:r>
          </w:p>
        </w:tc>
        <w:tc>
          <w:tcPr>
            <w:tcW w:w="905" w:type="pct"/>
            <w:tcBorders>
              <w:top w:val="nil"/>
              <w:left w:val="single" w:sz="4" w:space="0" w:color="000000"/>
              <w:bottom w:val="single" w:sz="4" w:space="0" w:color="000000"/>
              <w:right w:val="nil"/>
            </w:tcBorders>
            <w:shd w:val="clear" w:color="auto" w:fill="auto"/>
            <w:noWrap/>
            <w:vAlign w:val="center"/>
            <w:hideMark/>
          </w:tcPr>
          <w:p w14:paraId="71BDACD6"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988</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49C7658"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5 573 000,00</w:t>
            </w:r>
          </w:p>
        </w:tc>
        <w:tc>
          <w:tcPr>
            <w:tcW w:w="792" w:type="pct"/>
            <w:tcBorders>
              <w:top w:val="nil"/>
              <w:left w:val="nil"/>
              <w:bottom w:val="single" w:sz="4" w:space="0" w:color="auto"/>
              <w:right w:val="single" w:sz="4" w:space="0" w:color="auto"/>
            </w:tcBorders>
            <w:shd w:val="clear" w:color="auto" w:fill="auto"/>
            <w:noWrap/>
            <w:vAlign w:val="center"/>
            <w:hideMark/>
          </w:tcPr>
          <w:p w14:paraId="5174D75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5 573 000,00</w:t>
            </w:r>
          </w:p>
        </w:tc>
      </w:tr>
      <w:tr w:rsidR="00001477" w:rsidRPr="002818F9" w14:paraId="29675E64"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30978E09"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6</w:t>
            </w:r>
          </w:p>
        </w:tc>
        <w:tc>
          <w:tcPr>
            <w:tcW w:w="998" w:type="pct"/>
            <w:tcBorders>
              <w:top w:val="nil"/>
              <w:left w:val="nil"/>
              <w:bottom w:val="single" w:sz="4" w:space="0" w:color="auto"/>
              <w:right w:val="single" w:sz="4" w:space="0" w:color="auto"/>
            </w:tcBorders>
            <w:shd w:val="clear" w:color="auto" w:fill="auto"/>
            <w:vAlign w:val="center"/>
            <w:hideMark/>
          </w:tcPr>
          <w:p w14:paraId="4130C284"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małopolskie</w:t>
            </w:r>
          </w:p>
        </w:tc>
        <w:tc>
          <w:tcPr>
            <w:tcW w:w="1174" w:type="pct"/>
            <w:tcBorders>
              <w:top w:val="nil"/>
              <w:left w:val="nil"/>
              <w:bottom w:val="single" w:sz="4" w:space="0" w:color="000000"/>
              <w:right w:val="nil"/>
            </w:tcBorders>
            <w:shd w:val="clear" w:color="auto" w:fill="auto"/>
            <w:noWrap/>
            <w:vAlign w:val="center"/>
            <w:hideMark/>
          </w:tcPr>
          <w:p w14:paraId="06A3143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915</w:t>
            </w:r>
          </w:p>
        </w:tc>
        <w:tc>
          <w:tcPr>
            <w:tcW w:w="905" w:type="pct"/>
            <w:tcBorders>
              <w:top w:val="nil"/>
              <w:left w:val="single" w:sz="4" w:space="0" w:color="000000"/>
              <w:bottom w:val="single" w:sz="4" w:space="0" w:color="000000"/>
              <w:right w:val="nil"/>
            </w:tcBorders>
            <w:shd w:val="clear" w:color="auto" w:fill="auto"/>
            <w:noWrap/>
            <w:vAlign w:val="center"/>
            <w:hideMark/>
          </w:tcPr>
          <w:p w14:paraId="394BB97B"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889</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2917774E"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4 832 000,00</w:t>
            </w:r>
          </w:p>
        </w:tc>
        <w:tc>
          <w:tcPr>
            <w:tcW w:w="792" w:type="pct"/>
            <w:tcBorders>
              <w:top w:val="nil"/>
              <w:left w:val="nil"/>
              <w:bottom w:val="single" w:sz="4" w:space="0" w:color="auto"/>
              <w:right w:val="single" w:sz="4" w:space="0" w:color="auto"/>
            </w:tcBorders>
            <w:shd w:val="clear" w:color="auto" w:fill="auto"/>
            <w:noWrap/>
            <w:vAlign w:val="center"/>
            <w:hideMark/>
          </w:tcPr>
          <w:p w14:paraId="0448BA17"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4 832 000,00</w:t>
            </w:r>
          </w:p>
        </w:tc>
      </w:tr>
      <w:tr w:rsidR="00001477" w:rsidRPr="002818F9" w14:paraId="10BE1950"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7D9CDF8B"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7</w:t>
            </w:r>
          </w:p>
        </w:tc>
        <w:tc>
          <w:tcPr>
            <w:tcW w:w="998" w:type="pct"/>
            <w:tcBorders>
              <w:top w:val="nil"/>
              <w:left w:val="nil"/>
              <w:bottom w:val="single" w:sz="4" w:space="0" w:color="auto"/>
              <w:right w:val="single" w:sz="4" w:space="0" w:color="auto"/>
            </w:tcBorders>
            <w:shd w:val="clear" w:color="auto" w:fill="auto"/>
            <w:noWrap/>
            <w:vAlign w:val="center"/>
            <w:hideMark/>
          </w:tcPr>
          <w:p w14:paraId="0638C0B3"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mazowieckie</w:t>
            </w:r>
          </w:p>
        </w:tc>
        <w:tc>
          <w:tcPr>
            <w:tcW w:w="1174" w:type="pct"/>
            <w:tcBorders>
              <w:top w:val="nil"/>
              <w:left w:val="nil"/>
              <w:bottom w:val="single" w:sz="4" w:space="0" w:color="000000"/>
              <w:right w:val="nil"/>
            </w:tcBorders>
            <w:shd w:val="clear" w:color="auto" w:fill="auto"/>
            <w:noWrap/>
            <w:vAlign w:val="center"/>
            <w:hideMark/>
          </w:tcPr>
          <w:p w14:paraId="4A454767"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1 608</w:t>
            </w:r>
          </w:p>
        </w:tc>
        <w:tc>
          <w:tcPr>
            <w:tcW w:w="905" w:type="pct"/>
            <w:tcBorders>
              <w:top w:val="nil"/>
              <w:left w:val="single" w:sz="4" w:space="0" w:color="000000"/>
              <w:bottom w:val="single" w:sz="4" w:space="0" w:color="000000"/>
              <w:right w:val="nil"/>
            </w:tcBorders>
            <w:shd w:val="clear" w:color="auto" w:fill="auto"/>
            <w:noWrap/>
            <w:vAlign w:val="center"/>
            <w:hideMark/>
          </w:tcPr>
          <w:p w14:paraId="5ED112FB"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1 518</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5D21BD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8 505 000,00</w:t>
            </w:r>
          </w:p>
        </w:tc>
        <w:tc>
          <w:tcPr>
            <w:tcW w:w="792" w:type="pct"/>
            <w:tcBorders>
              <w:top w:val="nil"/>
              <w:left w:val="nil"/>
              <w:bottom w:val="single" w:sz="4" w:space="0" w:color="auto"/>
              <w:right w:val="single" w:sz="4" w:space="0" w:color="auto"/>
            </w:tcBorders>
            <w:shd w:val="clear" w:color="auto" w:fill="auto"/>
            <w:noWrap/>
            <w:vAlign w:val="center"/>
            <w:hideMark/>
          </w:tcPr>
          <w:p w14:paraId="3883268E"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8 499 996,50</w:t>
            </w:r>
          </w:p>
        </w:tc>
      </w:tr>
      <w:tr w:rsidR="00001477" w:rsidRPr="002818F9" w14:paraId="14DD42CE"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67DDBCB2"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8</w:t>
            </w:r>
          </w:p>
        </w:tc>
        <w:tc>
          <w:tcPr>
            <w:tcW w:w="998" w:type="pct"/>
            <w:tcBorders>
              <w:top w:val="nil"/>
              <w:left w:val="nil"/>
              <w:bottom w:val="single" w:sz="4" w:space="0" w:color="auto"/>
              <w:right w:val="single" w:sz="4" w:space="0" w:color="auto"/>
            </w:tcBorders>
            <w:shd w:val="clear" w:color="auto" w:fill="auto"/>
            <w:noWrap/>
            <w:vAlign w:val="center"/>
            <w:hideMark/>
          </w:tcPr>
          <w:p w14:paraId="409CE011"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opolskie</w:t>
            </w:r>
          </w:p>
        </w:tc>
        <w:tc>
          <w:tcPr>
            <w:tcW w:w="1174" w:type="pct"/>
            <w:tcBorders>
              <w:top w:val="nil"/>
              <w:left w:val="nil"/>
              <w:bottom w:val="single" w:sz="4" w:space="0" w:color="000000"/>
              <w:right w:val="nil"/>
            </w:tcBorders>
            <w:shd w:val="clear" w:color="auto" w:fill="auto"/>
            <w:noWrap/>
            <w:vAlign w:val="center"/>
            <w:hideMark/>
          </w:tcPr>
          <w:p w14:paraId="5D4CB920"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172</w:t>
            </w:r>
          </w:p>
        </w:tc>
        <w:tc>
          <w:tcPr>
            <w:tcW w:w="905" w:type="pct"/>
            <w:tcBorders>
              <w:top w:val="nil"/>
              <w:left w:val="single" w:sz="4" w:space="0" w:color="000000"/>
              <w:bottom w:val="single" w:sz="4" w:space="0" w:color="000000"/>
              <w:right w:val="nil"/>
            </w:tcBorders>
            <w:shd w:val="clear" w:color="auto" w:fill="auto"/>
            <w:noWrap/>
            <w:vAlign w:val="center"/>
            <w:hideMark/>
          </w:tcPr>
          <w:p w14:paraId="6366EF5E"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161</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7EF9D4D1"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888 000,00</w:t>
            </w:r>
          </w:p>
        </w:tc>
        <w:tc>
          <w:tcPr>
            <w:tcW w:w="792" w:type="pct"/>
            <w:tcBorders>
              <w:top w:val="nil"/>
              <w:left w:val="nil"/>
              <w:bottom w:val="single" w:sz="4" w:space="0" w:color="auto"/>
              <w:right w:val="single" w:sz="4" w:space="0" w:color="auto"/>
            </w:tcBorders>
            <w:shd w:val="clear" w:color="auto" w:fill="auto"/>
            <w:noWrap/>
            <w:vAlign w:val="center"/>
            <w:hideMark/>
          </w:tcPr>
          <w:p w14:paraId="516656CD"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888 000,00</w:t>
            </w:r>
          </w:p>
        </w:tc>
      </w:tr>
      <w:tr w:rsidR="00001477" w:rsidRPr="002818F9" w14:paraId="7EC4126C"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07588413"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9</w:t>
            </w:r>
          </w:p>
        </w:tc>
        <w:tc>
          <w:tcPr>
            <w:tcW w:w="998" w:type="pct"/>
            <w:tcBorders>
              <w:top w:val="nil"/>
              <w:left w:val="nil"/>
              <w:bottom w:val="single" w:sz="4" w:space="0" w:color="auto"/>
              <w:right w:val="single" w:sz="4" w:space="0" w:color="auto"/>
            </w:tcBorders>
            <w:shd w:val="clear" w:color="auto" w:fill="auto"/>
            <w:noWrap/>
            <w:vAlign w:val="center"/>
            <w:hideMark/>
          </w:tcPr>
          <w:p w14:paraId="69CF78F5" w14:textId="1955055D" w:rsidR="00001477" w:rsidRPr="002818F9" w:rsidRDefault="000B7295"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podkarpackie</w:t>
            </w:r>
          </w:p>
        </w:tc>
        <w:tc>
          <w:tcPr>
            <w:tcW w:w="1174" w:type="pct"/>
            <w:tcBorders>
              <w:top w:val="nil"/>
              <w:left w:val="nil"/>
              <w:bottom w:val="single" w:sz="4" w:space="0" w:color="000000"/>
              <w:right w:val="nil"/>
            </w:tcBorders>
            <w:shd w:val="clear" w:color="auto" w:fill="auto"/>
            <w:noWrap/>
            <w:vAlign w:val="center"/>
            <w:hideMark/>
          </w:tcPr>
          <w:p w14:paraId="576047B6"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876</w:t>
            </w:r>
          </w:p>
        </w:tc>
        <w:tc>
          <w:tcPr>
            <w:tcW w:w="905" w:type="pct"/>
            <w:tcBorders>
              <w:top w:val="nil"/>
              <w:left w:val="single" w:sz="4" w:space="0" w:color="000000"/>
              <w:bottom w:val="single" w:sz="4" w:space="0" w:color="000000"/>
              <w:right w:val="nil"/>
            </w:tcBorders>
            <w:shd w:val="clear" w:color="auto" w:fill="auto"/>
            <w:noWrap/>
            <w:vAlign w:val="center"/>
            <w:hideMark/>
          </w:tcPr>
          <w:p w14:paraId="23AC02D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856</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8F6816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4 642 000,00</w:t>
            </w:r>
          </w:p>
        </w:tc>
        <w:tc>
          <w:tcPr>
            <w:tcW w:w="792" w:type="pct"/>
            <w:tcBorders>
              <w:top w:val="nil"/>
              <w:left w:val="nil"/>
              <w:bottom w:val="single" w:sz="4" w:space="0" w:color="auto"/>
              <w:right w:val="single" w:sz="4" w:space="0" w:color="auto"/>
            </w:tcBorders>
            <w:shd w:val="clear" w:color="auto" w:fill="auto"/>
            <w:noWrap/>
            <w:vAlign w:val="center"/>
            <w:hideMark/>
          </w:tcPr>
          <w:p w14:paraId="43CFDB5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4 637 000,00</w:t>
            </w:r>
          </w:p>
        </w:tc>
      </w:tr>
      <w:tr w:rsidR="00001477" w:rsidRPr="002818F9" w14:paraId="3E7EE828"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4303C4FA"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10</w:t>
            </w:r>
          </w:p>
        </w:tc>
        <w:tc>
          <w:tcPr>
            <w:tcW w:w="998" w:type="pct"/>
            <w:tcBorders>
              <w:top w:val="nil"/>
              <w:left w:val="nil"/>
              <w:bottom w:val="single" w:sz="4" w:space="0" w:color="auto"/>
              <w:right w:val="single" w:sz="4" w:space="0" w:color="auto"/>
            </w:tcBorders>
            <w:shd w:val="clear" w:color="auto" w:fill="auto"/>
            <w:noWrap/>
            <w:vAlign w:val="center"/>
            <w:hideMark/>
          </w:tcPr>
          <w:p w14:paraId="02A87B86"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podlaskie</w:t>
            </w:r>
          </w:p>
        </w:tc>
        <w:tc>
          <w:tcPr>
            <w:tcW w:w="1174" w:type="pct"/>
            <w:tcBorders>
              <w:top w:val="nil"/>
              <w:left w:val="nil"/>
              <w:bottom w:val="single" w:sz="4" w:space="0" w:color="000000"/>
              <w:right w:val="nil"/>
            </w:tcBorders>
            <w:shd w:val="clear" w:color="auto" w:fill="auto"/>
            <w:noWrap/>
            <w:vAlign w:val="center"/>
            <w:hideMark/>
          </w:tcPr>
          <w:p w14:paraId="149768D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456</w:t>
            </w:r>
          </w:p>
        </w:tc>
        <w:tc>
          <w:tcPr>
            <w:tcW w:w="905" w:type="pct"/>
            <w:tcBorders>
              <w:top w:val="nil"/>
              <w:left w:val="single" w:sz="4" w:space="0" w:color="000000"/>
              <w:bottom w:val="single" w:sz="4" w:space="0" w:color="000000"/>
              <w:right w:val="nil"/>
            </w:tcBorders>
            <w:shd w:val="clear" w:color="auto" w:fill="auto"/>
            <w:noWrap/>
            <w:vAlign w:val="center"/>
            <w:hideMark/>
          </w:tcPr>
          <w:p w14:paraId="0F9E03E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438</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3C08B92B"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2 412 000,00</w:t>
            </w:r>
          </w:p>
        </w:tc>
        <w:tc>
          <w:tcPr>
            <w:tcW w:w="792" w:type="pct"/>
            <w:tcBorders>
              <w:top w:val="nil"/>
              <w:left w:val="nil"/>
              <w:bottom w:val="single" w:sz="4" w:space="0" w:color="auto"/>
              <w:right w:val="single" w:sz="4" w:space="0" w:color="auto"/>
            </w:tcBorders>
            <w:shd w:val="clear" w:color="auto" w:fill="auto"/>
            <w:noWrap/>
            <w:vAlign w:val="center"/>
            <w:hideMark/>
          </w:tcPr>
          <w:p w14:paraId="35B470F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2 412 000,00</w:t>
            </w:r>
          </w:p>
        </w:tc>
      </w:tr>
      <w:tr w:rsidR="00001477" w:rsidRPr="002818F9" w14:paraId="272704F7"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259D13EF"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11</w:t>
            </w:r>
          </w:p>
        </w:tc>
        <w:tc>
          <w:tcPr>
            <w:tcW w:w="998" w:type="pct"/>
            <w:tcBorders>
              <w:top w:val="nil"/>
              <w:left w:val="nil"/>
              <w:bottom w:val="single" w:sz="4" w:space="0" w:color="auto"/>
              <w:right w:val="single" w:sz="4" w:space="0" w:color="auto"/>
            </w:tcBorders>
            <w:shd w:val="clear" w:color="auto" w:fill="auto"/>
            <w:noWrap/>
            <w:vAlign w:val="center"/>
            <w:hideMark/>
          </w:tcPr>
          <w:p w14:paraId="161283A8"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pomorskie</w:t>
            </w:r>
          </w:p>
        </w:tc>
        <w:tc>
          <w:tcPr>
            <w:tcW w:w="1174" w:type="pct"/>
            <w:tcBorders>
              <w:top w:val="nil"/>
              <w:left w:val="nil"/>
              <w:bottom w:val="single" w:sz="4" w:space="0" w:color="000000"/>
              <w:right w:val="nil"/>
            </w:tcBorders>
            <w:shd w:val="clear" w:color="auto" w:fill="auto"/>
            <w:noWrap/>
            <w:vAlign w:val="center"/>
            <w:hideMark/>
          </w:tcPr>
          <w:p w14:paraId="5F51709D"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374</w:t>
            </w:r>
          </w:p>
        </w:tc>
        <w:tc>
          <w:tcPr>
            <w:tcW w:w="905" w:type="pct"/>
            <w:tcBorders>
              <w:top w:val="nil"/>
              <w:left w:val="single" w:sz="4" w:space="0" w:color="000000"/>
              <w:bottom w:val="single" w:sz="4" w:space="0" w:color="000000"/>
              <w:right w:val="nil"/>
            </w:tcBorders>
            <w:shd w:val="clear" w:color="auto" w:fill="auto"/>
            <w:noWrap/>
            <w:vAlign w:val="center"/>
            <w:hideMark/>
          </w:tcPr>
          <w:p w14:paraId="525A13C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356</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64B64E00"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1 859 000,00</w:t>
            </w:r>
          </w:p>
        </w:tc>
        <w:tc>
          <w:tcPr>
            <w:tcW w:w="792" w:type="pct"/>
            <w:tcBorders>
              <w:top w:val="nil"/>
              <w:left w:val="nil"/>
              <w:bottom w:val="single" w:sz="4" w:space="0" w:color="auto"/>
              <w:right w:val="single" w:sz="4" w:space="0" w:color="auto"/>
            </w:tcBorders>
            <w:shd w:val="clear" w:color="auto" w:fill="auto"/>
            <w:noWrap/>
            <w:vAlign w:val="center"/>
            <w:hideMark/>
          </w:tcPr>
          <w:p w14:paraId="40DB4E7C"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1 859 000,00</w:t>
            </w:r>
          </w:p>
        </w:tc>
      </w:tr>
      <w:tr w:rsidR="00001477" w:rsidRPr="002818F9" w14:paraId="2CEA9C6D"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1EF645BC"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12</w:t>
            </w:r>
          </w:p>
        </w:tc>
        <w:tc>
          <w:tcPr>
            <w:tcW w:w="998" w:type="pct"/>
            <w:tcBorders>
              <w:top w:val="nil"/>
              <w:left w:val="nil"/>
              <w:bottom w:val="single" w:sz="4" w:space="0" w:color="auto"/>
              <w:right w:val="single" w:sz="4" w:space="0" w:color="auto"/>
            </w:tcBorders>
            <w:shd w:val="clear" w:color="auto" w:fill="auto"/>
            <w:noWrap/>
            <w:vAlign w:val="center"/>
            <w:hideMark/>
          </w:tcPr>
          <w:p w14:paraId="68DDF424"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śląskie</w:t>
            </w:r>
          </w:p>
        </w:tc>
        <w:tc>
          <w:tcPr>
            <w:tcW w:w="1174" w:type="pct"/>
            <w:tcBorders>
              <w:top w:val="nil"/>
              <w:left w:val="nil"/>
              <w:bottom w:val="single" w:sz="4" w:space="0" w:color="000000"/>
              <w:right w:val="nil"/>
            </w:tcBorders>
            <w:shd w:val="clear" w:color="auto" w:fill="auto"/>
            <w:noWrap/>
            <w:vAlign w:val="center"/>
            <w:hideMark/>
          </w:tcPr>
          <w:p w14:paraId="25EC07C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368</w:t>
            </w:r>
          </w:p>
        </w:tc>
        <w:tc>
          <w:tcPr>
            <w:tcW w:w="905" w:type="pct"/>
            <w:tcBorders>
              <w:top w:val="nil"/>
              <w:left w:val="single" w:sz="4" w:space="0" w:color="000000"/>
              <w:bottom w:val="single" w:sz="4" w:space="0" w:color="000000"/>
              <w:right w:val="nil"/>
            </w:tcBorders>
            <w:shd w:val="clear" w:color="auto" w:fill="auto"/>
            <w:noWrap/>
            <w:vAlign w:val="center"/>
            <w:hideMark/>
          </w:tcPr>
          <w:p w14:paraId="6AF3636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366</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1639B898"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2 001 000,00</w:t>
            </w:r>
          </w:p>
        </w:tc>
        <w:tc>
          <w:tcPr>
            <w:tcW w:w="792" w:type="pct"/>
            <w:tcBorders>
              <w:top w:val="nil"/>
              <w:left w:val="nil"/>
              <w:bottom w:val="single" w:sz="4" w:space="0" w:color="auto"/>
              <w:right w:val="single" w:sz="4" w:space="0" w:color="auto"/>
            </w:tcBorders>
            <w:shd w:val="clear" w:color="auto" w:fill="auto"/>
            <w:noWrap/>
            <w:vAlign w:val="center"/>
            <w:hideMark/>
          </w:tcPr>
          <w:p w14:paraId="3F6B6607"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2 001 000,00</w:t>
            </w:r>
          </w:p>
        </w:tc>
      </w:tr>
      <w:tr w:rsidR="00001477" w:rsidRPr="002818F9" w14:paraId="1896DF6E"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3F7FBD64"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13</w:t>
            </w:r>
          </w:p>
        </w:tc>
        <w:tc>
          <w:tcPr>
            <w:tcW w:w="998" w:type="pct"/>
            <w:tcBorders>
              <w:top w:val="nil"/>
              <w:left w:val="nil"/>
              <w:bottom w:val="single" w:sz="4" w:space="0" w:color="auto"/>
              <w:right w:val="single" w:sz="4" w:space="0" w:color="auto"/>
            </w:tcBorders>
            <w:shd w:val="clear" w:color="auto" w:fill="auto"/>
            <w:noWrap/>
            <w:vAlign w:val="center"/>
            <w:hideMark/>
          </w:tcPr>
          <w:p w14:paraId="22917D39"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świętokrzyskie</w:t>
            </w:r>
          </w:p>
        </w:tc>
        <w:tc>
          <w:tcPr>
            <w:tcW w:w="1174" w:type="pct"/>
            <w:tcBorders>
              <w:top w:val="nil"/>
              <w:left w:val="nil"/>
              <w:bottom w:val="single" w:sz="4" w:space="0" w:color="000000"/>
              <w:right w:val="nil"/>
            </w:tcBorders>
            <w:shd w:val="clear" w:color="auto" w:fill="auto"/>
            <w:noWrap/>
            <w:vAlign w:val="center"/>
            <w:hideMark/>
          </w:tcPr>
          <w:p w14:paraId="427DA9A8"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757</w:t>
            </w:r>
          </w:p>
        </w:tc>
        <w:tc>
          <w:tcPr>
            <w:tcW w:w="905" w:type="pct"/>
            <w:tcBorders>
              <w:top w:val="nil"/>
              <w:left w:val="single" w:sz="4" w:space="0" w:color="000000"/>
              <w:bottom w:val="single" w:sz="4" w:space="0" w:color="000000"/>
              <w:right w:val="nil"/>
            </w:tcBorders>
            <w:shd w:val="clear" w:color="auto" w:fill="auto"/>
            <w:noWrap/>
            <w:vAlign w:val="center"/>
            <w:hideMark/>
          </w:tcPr>
          <w:p w14:paraId="69E2637A"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723</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2D0F2A2B"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3 919 000,00</w:t>
            </w:r>
          </w:p>
        </w:tc>
        <w:tc>
          <w:tcPr>
            <w:tcW w:w="792" w:type="pct"/>
            <w:tcBorders>
              <w:top w:val="nil"/>
              <w:left w:val="nil"/>
              <w:bottom w:val="single" w:sz="4" w:space="0" w:color="auto"/>
              <w:right w:val="single" w:sz="4" w:space="0" w:color="auto"/>
            </w:tcBorders>
            <w:shd w:val="clear" w:color="auto" w:fill="auto"/>
            <w:noWrap/>
            <w:vAlign w:val="center"/>
            <w:hideMark/>
          </w:tcPr>
          <w:p w14:paraId="39D18E36"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3 914 000,00</w:t>
            </w:r>
          </w:p>
        </w:tc>
      </w:tr>
      <w:tr w:rsidR="00001477" w:rsidRPr="002818F9" w14:paraId="25550F34"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6F0650EE"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14</w:t>
            </w:r>
          </w:p>
        </w:tc>
        <w:tc>
          <w:tcPr>
            <w:tcW w:w="998" w:type="pct"/>
            <w:tcBorders>
              <w:top w:val="nil"/>
              <w:left w:val="nil"/>
              <w:bottom w:val="single" w:sz="4" w:space="0" w:color="auto"/>
              <w:right w:val="single" w:sz="4" w:space="0" w:color="auto"/>
            </w:tcBorders>
            <w:shd w:val="clear" w:color="auto" w:fill="auto"/>
            <w:noWrap/>
            <w:vAlign w:val="center"/>
            <w:hideMark/>
          </w:tcPr>
          <w:p w14:paraId="605BAFB9"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warmińsko-mazurskie</w:t>
            </w:r>
          </w:p>
        </w:tc>
        <w:tc>
          <w:tcPr>
            <w:tcW w:w="1174" w:type="pct"/>
            <w:tcBorders>
              <w:top w:val="nil"/>
              <w:left w:val="nil"/>
              <w:bottom w:val="single" w:sz="4" w:space="0" w:color="000000"/>
              <w:right w:val="nil"/>
            </w:tcBorders>
            <w:shd w:val="clear" w:color="auto" w:fill="auto"/>
            <w:noWrap/>
            <w:vAlign w:val="center"/>
            <w:hideMark/>
          </w:tcPr>
          <w:p w14:paraId="3871306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449</w:t>
            </w:r>
          </w:p>
        </w:tc>
        <w:tc>
          <w:tcPr>
            <w:tcW w:w="905" w:type="pct"/>
            <w:tcBorders>
              <w:top w:val="nil"/>
              <w:left w:val="single" w:sz="4" w:space="0" w:color="000000"/>
              <w:bottom w:val="single" w:sz="4" w:space="0" w:color="000000"/>
              <w:right w:val="nil"/>
            </w:tcBorders>
            <w:shd w:val="clear" w:color="auto" w:fill="auto"/>
            <w:noWrap/>
            <w:vAlign w:val="center"/>
            <w:hideMark/>
          </w:tcPr>
          <w:p w14:paraId="695A1A2F"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412</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40AB5D35"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2 166 000,00</w:t>
            </w:r>
          </w:p>
        </w:tc>
        <w:tc>
          <w:tcPr>
            <w:tcW w:w="792" w:type="pct"/>
            <w:tcBorders>
              <w:top w:val="nil"/>
              <w:left w:val="nil"/>
              <w:bottom w:val="single" w:sz="4" w:space="0" w:color="auto"/>
              <w:right w:val="single" w:sz="4" w:space="0" w:color="auto"/>
            </w:tcBorders>
            <w:shd w:val="clear" w:color="auto" w:fill="auto"/>
            <w:noWrap/>
            <w:vAlign w:val="center"/>
            <w:hideMark/>
          </w:tcPr>
          <w:p w14:paraId="092395D2"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2 165 906,87</w:t>
            </w:r>
          </w:p>
        </w:tc>
      </w:tr>
      <w:tr w:rsidR="00001477" w:rsidRPr="002818F9" w14:paraId="7DAACFD1"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4B3514BB"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15</w:t>
            </w:r>
          </w:p>
        </w:tc>
        <w:tc>
          <w:tcPr>
            <w:tcW w:w="998" w:type="pct"/>
            <w:tcBorders>
              <w:top w:val="nil"/>
              <w:left w:val="nil"/>
              <w:bottom w:val="single" w:sz="4" w:space="0" w:color="auto"/>
              <w:right w:val="single" w:sz="4" w:space="0" w:color="auto"/>
            </w:tcBorders>
            <w:shd w:val="clear" w:color="auto" w:fill="auto"/>
            <w:noWrap/>
            <w:vAlign w:val="center"/>
            <w:hideMark/>
          </w:tcPr>
          <w:p w14:paraId="4E6937C7"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wielkopolskie</w:t>
            </w:r>
          </w:p>
        </w:tc>
        <w:tc>
          <w:tcPr>
            <w:tcW w:w="1174" w:type="pct"/>
            <w:tcBorders>
              <w:top w:val="nil"/>
              <w:left w:val="nil"/>
              <w:bottom w:val="single" w:sz="4" w:space="0" w:color="000000"/>
              <w:right w:val="nil"/>
            </w:tcBorders>
            <w:shd w:val="clear" w:color="auto" w:fill="auto"/>
            <w:noWrap/>
            <w:vAlign w:val="center"/>
            <w:hideMark/>
          </w:tcPr>
          <w:p w14:paraId="358DB21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1 689</w:t>
            </w:r>
          </w:p>
        </w:tc>
        <w:tc>
          <w:tcPr>
            <w:tcW w:w="905" w:type="pct"/>
            <w:tcBorders>
              <w:top w:val="nil"/>
              <w:left w:val="single" w:sz="4" w:space="0" w:color="000000"/>
              <w:bottom w:val="single" w:sz="4" w:space="0" w:color="000000"/>
              <w:right w:val="nil"/>
            </w:tcBorders>
            <w:shd w:val="clear" w:color="auto" w:fill="auto"/>
            <w:noWrap/>
            <w:vAlign w:val="center"/>
            <w:hideMark/>
          </w:tcPr>
          <w:p w14:paraId="17F54225"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1 647</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36F7449B"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9 491 000,00</w:t>
            </w:r>
          </w:p>
        </w:tc>
        <w:tc>
          <w:tcPr>
            <w:tcW w:w="792" w:type="pct"/>
            <w:tcBorders>
              <w:top w:val="nil"/>
              <w:left w:val="nil"/>
              <w:bottom w:val="single" w:sz="4" w:space="0" w:color="auto"/>
              <w:right w:val="single" w:sz="4" w:space="0" w:color="auto"/>
            </w:tcBorders>
            <w:shd w:val="clear" w:color="auto" w:fill="auto"/>
            <w:noWrap/>
            <w:vAlign w:val="center"/>
            <w:hideMark/>
          </w:tcPr>
          <w:p w14:paraId="470FCCDE"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9 490 991,19</w:t>
            </w:r>
          </w:p>
        </w:tc>
      </w:tr>
      <w:tr w:rsidR="00001477" w:rsidRPr="002818F9" w14:paraId="1E601BF7" w14:textId="77777777" w:rsidTr="00001477">
        <w:trPr>
          <w:trHeight w:val="288"/>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1CF3911E" w14:textId="77777777" w:rsidR="00001477" w:rsidRPr="002818F9" w:rsidRDefault="00001477" w:rsidP="00D41C51">
            <w:pPr>
              <w:spacing w:after="0" w:line="240" w:lineRule="auto"/>
              <w:jc w:val="right"/>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16</w:t>
            </w:r>
          </w:p>
        </w:tc>
        <w:tc>
          <w:tcPr>
            <w:tcW w:w="998" w:type="pct"/>
            <w:tcBorders>
              <w:top w:val="nil"/>
              <w:left w:val="nil"/>
              <w:bottom w:val="single" w:sz="4" w:space="0" w:color="auto"/>
              <w:right w:val="single" w:sz="4" w:space="0" w:color="auto"/>
            </w:tcBorders>
            <w:shd w:val="clear" w:color="auto" w:fill="auto"/>
            <w:noWrap/>
            <w:vAlign w:val="center"/>
            <w:hideMark/>
          </w:tcPr>
          <w:p w14:paraId="4713000B"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zachodniopomorskie</w:t>
            </w:r>
          </w:p>
        </w:tc>
        <w:tc>
          <w:tcPr>
            <w:tcW w:w="1174" w:type="pct"/>
            <w:tcBorders>
              <w:top w:val="nil"/>
              <w:left w:val="nil"/>
              <w:bottom w:val="single" w:sz="4" w:space="0" w:color="000000"/>
              <w:right w:val="nil"/>
            </w:tcBorders>
            <w:shd w:val="clear" w:color="auto" w:fill="auto"/>
            <w:noWrap/>
            <w:vAlign w:val="center"/>
            <w:hideMark/>
          </w:tcPr>
          <w:p w14:paraId="3EF57F29"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495</w:t>
            </w:r>
          </w:p>
        </w:tc>
        <w:tc>
          <w:tcPr>
            <w:tcW w:w="905" w:type="pct"/>
            <w:tcBorders>
              <w:top w:val="nil"/>
              <w:left w:val="single" w:sz="4" w:space="0" w:color="000000"/>
              <w:bottom w:val="single" w:sz="4" w:space="0" w:color="000000"/>
              <w:right w:val="nil"/>
            </w:tcBorders>
            <w:shd w:val="clear" w:color="auto" w:fill="auto"/>
            <w:noWrap/>
            <w:vAlign w:val="center"/>
            <w:hideMark/>
          </w:tcPr>
          <w:p w14:paraId="6B1C2793"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440</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14:paraId="322730E2"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2 324 000,00</w:t>
            </w:r>
          </w:p>
        </w:tc>
        <w:tc>
          <w:tcPr>
            <w:tcW w:w="792" w:type="pct"/>
            <w:tcBorders>
              <w:top w:val="nil"/>
              <w:left w:val="nil"/>
              <w:bottom w:val="single" w:sz="4" w:space="0" w:color="auto"/>
              <w:right w:val="single" w:sz="4" w:space="0" w:color="auto"/>
            </w:tcBorders>
            <w:shd w:val="clear" w:color="auto" w:fill="auto"/>
            <w:noWrap/>
            <w:vAlign w:val="center"/>
            <w:hideMark/>
          </w:tcPr>
          <w:p w14:paraId="248B18F5" w14:textId="77777777" w:rsidR="00001477" w:rsidRPr="002818F9" w:rsidRDefault="00001477" w:rsidP="00D41C51">
            <w:pPr>
              <w:spacing w:after="0" w:line="240" w:lineRule="auto"/>
              <w:jc w:val="right"/>
              <w:rPr>
                <w:rFonts w:ascii="Lato" w:eastAsia="Times New Roman" w:hAnsi="Lato" w:cs="Calibri"/>
                <w:sz w:val="20"/>
                <w:szCs w:val="20"/>
                <w:lang w:eastAsia="pl-PL"/>
              </w:rPr>
            </w:pPr>
            <w:r w:rsidRPr="002818F9">
              <w:rPr>
                <w:rFonts w:ascii="Lato" w:eastAsia="Times New Roman" w:hAnsi="Lato" w:cs="Calibri"/>
                <w:sz w:val="20"/>
                <w:szCs w:val="20"/>
                <w:lang w:eastAsia="pl-PL"/>
              </w:rPr>
              <w:t>2 322 156,50</w:t>
            </w:r>
          </w:p>
        </w:tc>
      </w:tr>
      <w:tr w:rsidR="00001477" w:rsidRPr="002818F9" w14:paraId="4E9AE675" w14:textId="77777777" w:rsidTr="002818F9">
        <w:trPr>
          <w:trHeight w:val="288"/>
        </w:trPr>
        <w:tc>
          <w:tcPr>
            <w:tcW w:w="226" w:type="pct"/>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681DA2C0" w14:textId="77777777" w:rsidR="00001477" w:rsidRPr="002818F9" w:rsidRDefault="00001477" w:rsidP="00D41C51">
            <w:pPr>
              <w:spacing w:after="0" w:line="240" w:lineRule="auto"/>
              <w:rPr>
                <w:rFonts w:ascii="Lato" w:eastAsia="Times New Roman" w:hAnsi="Lato" w:cs="Calibri"/>
                <w:color w:val="000000"/>
                <w:sz w:val="18"/>
                <w:szCs w:val="18"/>
                <w:lang w:eastAsia="pl-PL"/>
              </w:rPr>
            </w:pPr>
            <w:r w:rsidRPr="002818F9">
              <w:rPr>
                <w:rFonts w:ascii="Lato" w:eastAsia="Times New Roman" w:hAnsi="Lato" w:cs="Calibri"/>
                <w:color w:val="000000"/>
                <w:sz w:val="18"/>
                <w:szCs w:val="18"/>
                <w:lang w:eastAsia="pl-PL"/>
              </w:rPr>
              <w:t> </w:t>
            </w:r>
          </w:p>
        </w:tc>
        <w:tc>
          <w:tcPr>
            <w:tcW w:w="998" w:type="pct"/>
            <w:tcBorders>
              <w:top w:val="nil"/>
              <w:left w:val="nil"/>
              <w:bottom w:val="single" w:sz="4" w:space="0" w:color="auto"/>
              <w:right w:val="single" w:sz="4" w:space="0" w:color="auto"/>
            </w:tcBorders>
            <w:shd w:val="clear" w:color="auto" w:fill="8EAADB" w:themeFill="accent1" w:themeFillTint="99"/>
            <w:noWrap/>
            <w:vAlign w:val="bottom"/>
            <w:hideMark/>
          </w:tcPr>
          <w:p w14:paraId="53F99FA7" w14:textId="77777777" w:rsidR="00001477" w:rsidRPr="002818F9" w:rsidRDefault="00001477" w:rsidP="00D41C51">
            <w:pPr>
              <w:spacing w:after="0" w:line="240" w:lineRule="auto"/>
              <w:rPr>
                <w:rFonts w:ascii="Lato" w:eastAsia="Times New Roman" w:hAnsi="Lato" w:cs="Calibri"/>
                <w:b/>
                <w:bCs/>
                <w:color w:val="000000"/>
                <w:sz w:val="18"/>
                <w:szCs w:val="18"/>
                <w:lang w:eastAsia="pl-PL"/>
              </w:rPr>
            </w:pPr>
            <w:r w:rsidRPr="002818F9">
              <w:rPr>
                <w:rFonts w:ascii="Lato" w:eastAsia="Times New Roman" w:hAnsi="Lato" w:cs="Calibri"/>
                <w:b/>
                <w:bCs/>
                <w:color w:val="000000"/>
                <w:sz w:val="18"/>
                <w:szCs w:val="18"/>
                <w:lang w:eastAsia="pl-PL"/>
              </w:rPr>
              <w:t>Razem</w:t>
            </w:r>
          </w:p>
        </w:tc>
        <w:tc>
          <w:tcPr>
            <w:tcW w:w="1174" w:type="pct"/>
            <w:tcBorders>
              <w:top w:val="nil"/>
              <w:left w:val="nil"/>
              <w:bottom w:val="single" w:sz="4" w:space="0" w:color="000000"/>
              <w:right w:val="nil"/>
            </w:tcBorders>
            <w:shd w:val="clear" w:color="auto" w:fill="8EAADB" w:themeFill="accent1" w:themeFillTint="99"/>
            <w:noWrap/>
            <w:vAlign w:val="center"/>
            <w:hideMark/>
          </w:tcPr>
          <w:p w14:paraId="2A6EA5D5" w14:textId="77777777" w:rsidR="00001477" w:rsidRPr="002818F9" w:rsidRDefault="00001477" w:rsidP="00D41C51">
            <w:pPr>
              <w:spacing w:after="0" w:line="240" w:lineRule="auto"/>
              <w:jc w:val="right"/>
              <w:rPr>
                <w:rFonts w:ascii="Lato" w:eastAsia="Times New Roman" w:hAnsi="Lato" w:cs="Calibri"/>
                <w:b/>
                <w:bCs/>
                <w:lang w:eastAsia="pl-PL"/>
              </w:rPr>
            </w:pPr>
            <w:r w:rsidRPr="002818F9">
              <w:rPr>
                <w:rFonts w:ascii="Lato" w:eastAsia="Times New Roman" w:hAnsi="Lato" w:cs="Calibri"/>
                <w:b/>
                <w:bCs/>
                <w:lang w:eastAsia="pl-PL"/>
              </w:rPr>
              <w:t>11 927</w:t>
            </w:r>
          </w:p>
        </w:tc>
        <w:tc>
          <w:tcPr>
            <w:tcW w:w="905" w:type="pct"/>
            <w:tcBorders>
              <w:top w:val="nil"/>
              <w:left w:val="single" w:sz="4" w:space="0" w:color="000000"/>
              <w:bottom w:val="single" w:sz="4" w:space="0" w:color="000000"/>
              <w:right w:val="nil"/>
            </w:tcBorders>
            <w:shd w:val="clear" w:color="auto" w:fill="8EAADB" w:themeFill="accent1" w:themeFillTint="99"/>
            <w:noWrap/>
            <w:vAlign w:val="center"/>
            <w:hideMark/>
          </w:tcPr>
          <w:p w14:paraId="71DC9FE3" w14:textId="77777777" w:rsidR="00001477" w:rsidRPr="002818F9" w:rsidRDefault="00001477" w:rsidP="00D41C51">
            <w:pPr>
              <w:spacing w:after="0" w:line="240" w:lineRule="auto"/>
              <w:jc w:val="right"/>
              <w:rPr>
                <w:rFonts w:ascii="Lato" w:eastAsia="Times New Roman" w:hAnsi="Lato" w:cs="Calibri"/>
                <w:b/>
                <w:bCs/>
                <w:lang w:eastAsia="pl-PL"/>
              </w:rPr>
            </w:pPr>
            <w:r w:rsidRPr="002818F9">
              <w:rPr>
                <w:rFonts w:ascii="Lato" w:eastAsia="Times New Roman" w:hAnsi="Lato" w:cs="Calibri"/>
                <w:b/>
                <w:bCs/>
                <w:lang w:eastAsia="pl-PL"/>
              </w:rPr>
              <w:t>11 375</w:t>
            </w:r>
          </w:p>
        </w:tc>
        <w:tc>
          <w:tcPr>
            <w:tcW w:w="906" w:type="pct"/>
            <w:tcBorders>
              <w:top w:val="nil"/>
              <w:left w:val="single" w:sz="4" w:space="0" w:color="000000"/>
              <w:bottom w:val="single" w:sz="4" w:space="0" w:color="000000"/>
              <w:right w:val="nil"/>
            </w:tcBorders>
            <w:shd w:val="clear" w:color="auto" w:fill="8EAADB" w:themeFill="accent1" w:themeFillTint="99"/>
            <w:noWrap/>
            <w:vAlign w:val="center"/>
            <w:hideMark/>
          </w:tcPr>
          <w:p w14:paraId="37EEBA8E" w14:textId="77777777" w:rsidR="00001477" w:rsidRPr="002818F9" w:rsidRDefault="00001477" w:rsidP="00D41C51">
            <w:pPr>
              <w:spacing w:after="0" w:line="240" w:lineRule="auto"/>
              <w:jc w:val="right"/>
              <w:rPr>
                <w:rFonts w:ascii="Lato" w:eastAsia="Times New Roman" w:hAnsi="Lato" w:cs="Calibri"/>
                <w:b/>
                <w:bCs/>
                <w:lang w:eastAsia="pl-PL"/>
              </w:rPr>
            </w:pPr>
            <w:r w:rsidRPr="002818F9">
              <w:rPr>
                <w:rFonts w:ascii="Lato" w:eastAsia="Times New Roman" w:hAnsi="Lato" w:cs="Calibri"/>
                <w:b/>
                <w:bCs/>
                <w:lang w:eastAsia="pl-PL"/>
              </w:rPr>
              <w:t>62 615 000,00</w:t>
            </w:r>
          </w:p>
        </w:tc>
        <w:tc>
          <w:tcPr>
            <w:tcW w:w="792"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C77B36C" w14:textId="77777777" w:rsidR="00001477" w:rsidRPr="002818F9" w:rsidRDefault="00001477" w:rsidP="00D41C51">
            <w:pPr>
              <w:spacing w:after="0" w:line="240" w:lineRule="auto"/>
              <w:jc w:val="right"/>
              <w:rPr>
                <w:rFonts w:ascii="Lato" w:eastAsia="Times New Roman" w:hAnsi="Lato" w:cs="Calibri"/>
                <w:b/>
                <w:bCs/>
                <w:lang w:eastAsia="pl-PL"/>
              </w:rPr>
            </w:pPr>
            <w:r w:rsidRPr="002818F9">
              <w:rPr>
                <w:rFonts w:ascii="Lato" w:eastAsia="Times New Roman" w:hAnsi="Lato" w:cs="Calibri"/>
                <w:b/>
                <w:bCs/>
                <w:lang w:eastAsia="pl-PL"/>
              </w:rPr>
              <w:t>62 592 051,06</w:t>
            </w:r>
          </w:p>
        </w:tc>
      </w:tr>
    </w:tbl>
    <w:p w14:paraId="53E33C71" w14:textId="522BE79C" w:rsidR="00D41C51" w:rsidRPr="00D41C51" w:rsidRDefault="00D41C51" w:rsidP="004F5101">
      <w:pPr>
        <w:spacing w:after="0" w:line="240" w:lineRule="auto"/>
        <w:rPr>
          <w:rFonts w:ascii="Lato" w:hAnsi="Lato"/>
          <w:sz w:val="16"/>
          <w:szCs w:val="16"/>
        </w:rPr>
      </w:pPr>
      <w:r w:rsidRPr="00D41C51">
        <w:rPr>
          <w:rFonts w:ascii="Lato" w:hAnsi="Lato"/>
          <w:sz w:val="16"/>
          <w:szCs w:val="16"/>
        </w:rPr>
        <w:t xml:space="preserve">*zrealizowane płatności uwzględniają zwroty pomocy dokonane przez KGW na rachunek Agencji (z tytułu kwoty niewykorzystanej pomocy finansowej, pomocy wykorzystanej niezgodnie z przeznaczeniem, pomocy pobranej nienależnie lub pobranej w nadmiernej wysokości wraz z </w:t>
      </w:r>
      <w:r w:rsidR="00825C62" w:rsidRPr="00D41C51">
        <w:rPr>
          <w:rFonts w:ascii="Lato" w:hAnsi="Lato"/>
          <w:sz w:val="16"/>
          <w:szCs w:val="16"/>
        </w:rPr>
        <w:t>należnymi</w:t>
      </w:r>
      <w:r w:rsidRPr="00D41C51">
        <w:rPr>
          <w:rFonts w:ascii="Lato" w:hAnsi="Lato"/>
          <w:sz w:val="16"/>
          <w:szCs w:val="16"/>
        </w:rPr>
        <w:t xml:space="preserve"> odsetkami)</w:t>
      </w:r>
    </w:p>
    <w:p w14:paraId="19B20949" w14:textId="3BF982B9" w:rsidR="00D41C51" w:rsidRDefault="00D41C51" w:rsidP="004F5101">
      <w:pPr>
        <w:spacing w:line="240" w:lineRule="auto"/>
        <w:rPr>
          <w:rFonts w:ascii="Lato" w:hAnsi="Lato"/>
          <w:sz w:val="16"/>
          <w:szCs w:val="16"/>
        </w:rPr>
      </w:pPr>
      <w:r w:rsidRPr="00D41C51">
        <w:rPr>
          <w:rFonts w:ascii="Lato" w:hAnsi="Lato"/>
          <w:sz w:val="16"/>
          <w:szCs w:val="16"/>
        </w:rPr>
        <w:t>Źródło: Ministerstwo Rolnictwa i Rozwoju Wsi</w:t>
      </w:r>
    </w:p>
    <w:p w14:paraId="4D82811B" w14:textId="6627FD65" w:rsidR="00D41C51" w:rsidRPr="00A23BCB" w:rsidRDefault="004F5101" w:rsidP="004F5101">
      <w:pPr>
        <w:spacing w:after="0" w:line="240" w:lineRule="auto"/>
        <w:jc w:val="both"/>
        <w:rPr>
          <w:rFonts w:ascii="Lato" w:hAnsi="Lato"/>
          <w:b/>
          <w:bCs/>
          <w:sz w:val="20"/>
          <w:szCs w:val="20"/>
        </w:rPr>
      </w:pPr>
      <w:r>
        <w:rPr>
          <w:rFonts w:ascii="Lato" w:hAnsi="Lato"/>
          <w:b/>
          <w:bCs/>
          <w:sz w:val="20"/>
          <w:szCs w:val="20"/>
        </w:rPr>
        <w:t>Poniżej przedstawione zostały przykładowe d</w:t>
      </w:r>
      <w:r w:rsidR="00D41C51" w:rsidRPr="00A23BCB">
        <w:rPr>
          <w:rFonts w:ascii="Lato" w:hAnsi="Lato"/>
          <w:b/>
          <w:bCs/>
          <w:sz w:val="20"/>
          <w:szCs w:val="20"/>
        </w:rPr>
        <w:t>ziałania i programy podjęte</w:t>
      </w:r>
      <w:r w:rsidR="00A23BCB" w:rsidRPr="00A23BCB">
        <w:rPr>
          <w:rFonts w:ascii="Lato" w:hAnsi="Lato"/>
          <w:b/>
          <w:bCs/>
          <w:sz w:val="20"/>
          <w:szCs w:val="20"/>
        </w:rPr>
        <w:t xml:space="preserve"> przez Narodowy Instytut Kultury i Dziedzictwa</w:t>
      </w:r>
      <w:r w:rsidR="00001477">
        <w:rPr>
          <w:rFonts w:ascii="Lato" w:hAnsi="Lato"/>
          <w:b/>
          <w:bCs/>
          <w:sz w:val="20"/>
          <w:szCs w:val="20"/>
        </w:rPr>
        <w:t xml:space="preserve"> </w:t>
      </w:r>
      <w:r w:rsidR="00A23BCB" w:rsidRPr="00A23BCB">
        <w:rPr>
          <w:rFonts w:ascii="Lato" w:hAnsi="Lato"/>
          <w:b/>
          <w:bCs/>
          <w:sz w:val="20"/>
          <w:szCs w:val="20"/>
        </w:rPr>
        <w:t xml:space="preserve">Wsi </w:t>
      </w:r>
      <w:r w:rsidR="00D41C51" w:rsidRPr="00A23BCB">
        <w:rPr>
          <w:rFonts w:ascii="Lato" w:hAnsi="Lato"/>
          <w:b/>
          <w:bCs/>
          <w:sz w:val="20"/>
          <w:szCs w:val="20"/>
        </w:rPr>
        <w:t xml:space="preserve"> na rzecz osób starszych w 2022 r.:</w:t>
      </w:r>
    </w:p>
    <w:p w14:paraId="4533EA95" w14:textId="526BD8AD" w:rsidR="00D41C51" w:rsidRDefault="00D41C51" w:rsidP="004F5101">
      <w:pPr>
        <w:pStyle w:val="Akapitzlist"/>
        <w:numPr>
          <w:ilvl w:val="0"/>
          <w:numId w:val="201"/>
        </w:numPr>
        <w:spacing w:after="0" w:line="240" w:lineRule="auto"/>
        <w:jc w:val="both"/>
        <w:rPr>
          <w:rFonts w:ascii="Lato" w:hAnsi="Lato"/>
          <w:sz w:val="20"/>
          <w:szCs w:val="20"/>
        </w:rPr>
      </w:pPr>
      <w:r w:rsidRPr="00D41C51">
        <w:rPr>
          <w:rFonts w:ascii="Lato" w:hAnsi="Lato"/>
          <w:sz w:val="20"/>
          <w:szCs w:val="20"/>
        </w:rPr>
        <w:t>Seminarium "Godzina dla zdrowia" odbywało się w ramach Staromiejskiego Uniwersytetu Trzeciego Wieku im. Marii Skłodowskiej-Curie</w:t>
      </w:r>
      <w:r>
        <w:rPr>
          <w:rFonts w:ascii="Lato" w:hAnsi="Lato"/>
          <w:sz w:val="20"/>
          <w:szCs w:val="20"/>
        </w:rPr>
        <w:t>, spotkanie</w:t>
      </w:r>
      <w:r w:rsidRPr="00D41C51">
        <w:rPr>
          <w:rFonts w:ascii="Lato" w:hAnsi="Lato"/>
          <w:sz w:val="20"/>
          <w:szCs w:val="20"/>
        </w:rPr>
        <w:t xml:space="preserve"> prowadzone przez specjalistkę w dziedzinie dietetyki skierowanej do osób starszych,</w:t>
      </w:r>
      <w:r>
        <w:rPr>
          <w:rFonts w:ascii="Lato" w:hAnsi="Lato"/>
          <w:sz w:val="20"/>
          <w:szCs w:val="20"/>
        </w:rPr>
        <w:t xml:space="preserve"> 80 osób, woj. mazowieckie;</w:t>
      </w:r>
    </w:p>
    <w:p w14:paraId="0E6442F6" w14:textId="170B952B" w:rsidR="00D41C51" w:rsidRDefault="00D41C51" w:rsidP="004F5101">
      <w:pPr>
        <w:pStyle w:val="Akapitzlist"/>
        <w:numPr>
          <w:ilvl w:val="0"/>
          <w:numId w:val="201"/>
        </w:numPr>
        <w:spacing w:after="0" w:line="240" w:lineRule="auto"/>
        <w:jc w:val="both"/>
        <w:rPr>
          <w:rFonts w:ascii="Lato" w:hAnsi="Lato"/>
          <w:sz w:val="20"/>
          <w:szCs w:val="20"/>
        </w:rPr>
      </w:pPr>
      <w:proofErr w:type="spellStart"/>
      <w:r w:rsidRPr="00D41C51">
        <w:rPr>
          <w:rFonts w:ascii="Lato" w:hAnsi="Lato"/>
          <w:sz w:val="20"/>
          <w:szCs w:val="20"/>
        </w:rPr>
        <w:t>Gimanstyka</w:t>
      </w:r>
      <w:proofErr w:type="spellEnd"/>
      <w:r w:rsidRPr="00D41C51">
        <w:rPr>
          <w:rFonts w:ascii="Lato" w:hAnsi="Lato"/>
          <w:sz w:val="20"/>
          <w:szCs w:val="20"/>
        </w:rPr>
        <w:t xml:space="preserve"> dla seniorów odbywała się w ramach Staromiejskiego Uniwersytetu Trzeciego Wieku im. Marii Skłodowskiej-Curie</w:t>
      </w:r>
      <w:r>
        <w:rPr>
          <w:rFonts w:ascii="Lato" w:hAnsi="Lato"/>
          <w:sz w:val="20"/>
          <w:szCs w:val="20"/>
        </w:rPr>
        <w:t>, z</w:t>
      </w:r>
      <w:r w:rsidRPr="00D41C51">
        <w:rPr>
          <w:rFonts w:ascii="Lato" w:hAnsi="Lato"/>
          <w:sz w:val="20"/>
          <w:szCs w:val="20"/>
        </w:rPr>
        <w:t>ajęcia z gimnastyki z elementami jogi dla osób starszych prowadzone przez specjalistkę -   doktor nauk o kulturze fizycznej mające na celu zachowanie ogólnej sprawności</w:t>
      </w:r>
      <w:r>
        <w:rPr>
          <w:rFonts w:ascii="Lato" w:hAnsi="Lato"/>
          <w:sz w:val="20"/>
          <w:szCs w:val="20"/>
        </w:rPr>
        <w:t>, 25 osób, woj. mazowieckie;</w:t>
      </w:r>
    </w:p>
    <w:p w14:paraId="32665EE6" w14:textId="31C1DAF3" w:rsidR="00D41C51" w:rsidRDefault="00D41C51" w:rsidP="004F5101">
      <w:pPr>
        <w:pStyle w:val="Akapitzlist"/>
        <w:numPr>
          <w:ilvl w:val="0"/>
          <w:numId w:val="201"/>
        </w:numPr>
        <w:spacing w:after="0" w:line="240" w:lineRule="auto"/>
        <w:jc w:val="both"/>
        <w:rPr>
          <w:rFonts w:ascii="Lato" w:hAnsi="Lato"/>
          <w:sz w:val="20"/>
          <w:szCs w:val="20"/>
        </w:rPr>
      </w:pPr>
      <w:proofErr w:type="spellStart"/>
      <w:r w:rsidRPr="00D41C51">
        <w:rPr>
          <w:rFonts w:ascii="Lato" w:hAnsi="Lato"/>
          <w:sz w:val="20"/>
          <w:szCs w:val="20"/>
        </w:rPr>
        <w:t>Semimarium</w:t>
      </w:r>
      <w:proofErr w:type="spellEnd"/>
      <w:r w:rsidRPr="00D41C51">
        <w:rPr>
          <w:rFonts w:ascii="Lato" w:hAnsi="Lato"/>
          <w:sz w:val="20"/>
          <w:szCs w:val="20"/>
        </w:rPr>
        <w:t xml:space="preserve"> "Warszawa - miasto i ludzie"  odbywało się w ramach Staromiejskiego</w:t>
      </w:r>
      <w:r>
        <w:rPr>
          <w:rFonts w:ascii="Lato" w:hAnsi="Lato"/>
          <w:sz w:val="20"/>
          <w:szCs w:val="20"/>
        </w:rPr>
        <w:t xml:space="preserve"> </w:t>
      </w:r>
      <w:r w:rsidRPr="00D41C51">
        <w:rPr>
          <w:rFonts w:ascii="Lato" w:hAnsi="Lato"/>
          <w:sz w:val="20"/>
          <w:szCs w:val="20"/>
        </w:rPr>
        <w:t>Uniwersytetu Trzeciego Wieku  im. Marii Skłodowskiej-Curie</w:t>
      </w:r>
      <w:r>
        <w:rPr>
          <w:rFonts w:ascii="Lato" w:hAnsi="Lato"/>
          <w:sz w:val="20"/>
          <w:szCs w:val="20"/>
        </w:rPr>
        <w:t xml:space="preserve">, spotkanie </w:t>
      </w:r>
      <w:r w:rsidRPr="00D41C51">
        <w:rPr>
          <w:rFonts w:ascii="Lato" w:hAnsi="Lato"/>
          <w:sz w:val="20"/>
          <w:szCs w:val="20"/>
        </w:rPr>
        <w:t>prowadzone przez kustosza Działu Edukacji Muzeum Niepodległości w Warszawie podczas którego wykładowca przybliżał sylwetki znanych postaci związanych ze stolicą, zakończone dyskusj</w:t>
      </w:r>
      <w:r>
        <w:rPr>
          <w:rFonts w:ascii="Lato" w:hAnsi="Lato"/>
          <w:sz w:val="20"/>
          <w:szCs w:val="20"/>
        </w:rPr>
        <w:t>ą, 80 osób, woj. mazowieckie;</w:t>
      </w:r>
    </w:p>
    <w:p w14:paraId="5CE6CC10" w14:textId="33664D65" w:rsidR="00D41C51" w:rsidRDefault="00D41C51" w:rsidP="004F5101">
      <w:pPr>
        <w:pStyle w:val="Akapitzlist"/>
        <w:numPr>
          <w:ilvl w:val="0"/>
          <w:numId w:val="201"/>
        </w:numPr>
        <w:spacing w:after="0" w:line="240" w:lineRule="auto"/>
        <w:jc w:val="both"/>
        <w:rPr>
          <w:rFonts w:ascii="Lato" w:hAnsi="Lato"/>
          <w:sz w:val="20"/>
          <w:szCs w:val="20"/>
        </w:rPr>
      </w:pPr>
      <w:r w:rsidRPr="00D41C51">
        <w:rPr>
          <w:rFonts w:ascii="Lato" w:hAnsi="Lato"/>
          <w:sz w:val="20"/>
          <w:szCs w:val="20"/>
        </w:rPr>
        <w:t>Seminarium "Przystanek w podróży" odbywało się w ramach Staromiejskiego Uniwersytetu Trzeciego Wieku im. Marii Skłodowskiej-Curie</w:t>
      </w:r>
      <w:r>
        <w:rPr>
          <w:rFonts w:ascii="Lato" w:hAnsi="Lato"/>
          <w:sz w:val="20"/>
          <w:szCs w:val="20"/>
        </w:rPr>
        <w:t xml:space="preserve">, spotkanie </w:t>
      </w:r>
      <w:r w:rsidRPr="00D41C51">
        <w:rPr>
          <w:rFonts w:ascii="Lato" w:hAnsi="Lato"/>
          <w:sz w:val="20"/>
          <w:szCs w:val="20"/>
        </w:rPr>
        <w:t xml:space="preserve">prowadzone przez podróżnika, dziennikarza i autora wielu publikacji  podczas którego </w:t>
      </w:r>
      <w:proofErr w:type="spellStart"/>
      <w:r w:rsidRPr="00D41C51">
        <w:rPr>
          <w:rFonts w:ascii="Lato" w:hAnsi="Lato"/>
          <w:sz w:val="20"/>
          <w:szCs w:val="20"/>
        </w:rPr>
        <w:t>wykladowca</w:t>
      </w:r>
      <w:proofErr w:type="spellEnd"/>
      <w:r w:rsidRPr="00D41C51">
        <w:rPr>
          <w:rFonts w:ascii="Lato" w:hAnsi="Lato"/>
          <w:sz w:val="20"/>
          <w:szCs w:val="20"/>
        </w:rPr>
        <w:t xml:space="preserve"> opowiadał o ciekawych miejscach na świecie związanych z Polakami, zakończone dyskusją</w:t>
      </w:r>
      <w:r>
        <w:rPr>
          <w:rFonts w:ascii="Lato" w:hAnsi="Lato"/>
          <w:sz w:val="20"/>
          <w:szCs w:val="20"/>
        </w:rPr>
        <w:t>, 80 osób, woj. mazowieckie;</w:t>
      </w:r>
    </w:p>
    <w:p w14:paraId="76B3ED5C" w14:textId="1047A644" w:rsidR="00D41C51" w:rsidRDefault="00D41C51" w:rsidP="004F5101">
      <w:pPr>
        <w:pStyle w:val="Akapitzlist"/>
        <w:numPr>
          <w:ilvl w:val="0"/>
          <w:numId w:val="201"/>
        </w:numPr>
        <w:spacing w:after="0" w:line="240" w:lineRule="auto"/>
        <w:jc w:val="both"/>
        <w:rPr>
          <w:rFonts w:ascii="Lato" w:hAnsi="Lato"/>
          <w:sz w:val="20"/>
          <w:szCs w:val="20"/>
        </w:rPr>
      </w:pPr>
      <w:r w:rsidRPr="00D41C51">
        <w:rPr>
          <w:rFonts w:ascii="Lato" w:hAnsi="Lato"/>
          <w:sz w:val="20"/>
          <w:szCs w:val="20"/>
        </w:rPr>
        <w:t xml:space="preserve">Seminarium "Islam i Arabowie. Historia i współczesność" odbywało się w ramach </w:t>
      </w:r>
      <w:proofErr w:type="spellStart"/>
      <w:r w:rsidRPr="00D41C51">
        <w:rPr>
          <w:rFonts w:ascii="Lato" w:hAnsi="Lato"/>
          <w:sz w:val="20"/>
          <w:szCs w:val="20"/>
        </w:rPr>
        <w:t>Staromiejskieo</w:t>
      </w:r>
      <w:proofErr w:type="spellEnd"/>
      <w:r w:rsidRPr="00D41C51">
        <w:rPr>
          <w:rFonts w:ascii="Lato" w:hAnsi="Lato"/>
          <w:sz w:val="20"/>
          <w:szCs w:val="20"/>
        </w:rPr>
        <w:t xml:space="preserve"> </w:t>
      </w:r>
      <w:proofErr w:type="spellStart"/>
      <w:r w:rsidRPr="00D41C51">
        <w:rPr>
          <w:rFonts w:ascii="Lato" w:hAnsi="Lato"/>
          <w:sz w:val="20"/>
          <w:szCs w:val="20"/>
        </w:rPr>
        <w:t>Uniwesytetu</w:t>
      </w:r>
      <w:proofErr w:type="spellEnd"/>
      <w:r w:rsidRPr="00D41C51">
        <w:rPr>
          <w:rFonts w:ascii="Lato" w:hAnsi="Lato"/>
          <w:sz w:val="20"/>
          <w:szCs w:val="20"/>
        </w:rPr>
        <w:t xml:space="preserve"> Trzeciego Wieku  im. Marii Skłodowskiej-Curi</w:t>
      </w:r>
      <w:r>
        <w:rPr>
          <w:rFonts w:ascii="Lato" w:hAnsi="Lato"/>
          <w:sz w:val="20"/>
          <w:szCs w:val="20"/>
        </w:rPr>
        <w:t xml:space="preserve">e, spotkanie </w:t>
      </w:r>
      <w:r w:rsidRPr="00D41C51">
        <w:rPr>
          <w:rFonts w:ascii="Lato" w:hAnsi="Lato"/>
          <w:sz w:val="20"/>
          <w:szCs w:val="20"/>
        </w:rPr>
        <w:t>prowadzone przez doktora nauk humanistycznych podczas którego poruszane były zagadnienia związane z historią i współczesnością  Islamu i krajów arabskich,  zakończone dyskusją</w:t>
      </w:r>
      <w:r>
        <w:rPr>
          <w:rFonts w:ascii="Lato" w:hAnsi="Lato"/>
          <w:sz w:val="20"/>
          <w:szCs w:val="20"/>
        </w:rPr>
        <w:t>, 80 osób, woj. mazowieckie;</w:t>
      </w:r>
    </w:p>
    <w:p w14:paraId="69A2CA36" w14:textId="77777777"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lastRenderedPageBreak/>
        <w:t>Seminarium "Kresowe opowieści historyczne" odbywało się w ramach Staromiejskiego Uniwersytetu Trzeciego Wieku im. Marii Skłodowskiej-Curie</w:t>
      </w:r>
      <w:r>
        <w:rPr>
          <w:rFonts w:ascii="Lato" w:hAnsi="Lato"/>
          <w:sz w:val="20"/>
          <w:szCs w:val="20"/>
        </w:rPr>
        <w:t>, spotkanie</w:t>
      </w:r>
      <w:r w:rsidRPr="00A23BCB">
        <w:rPr>
          <w:rFonts w:ascii="Lato" w:hAnsi="Lato"/>
          <w:sz w:val="20"/>
          <w:szCs w:val="20"/>
        </w:rPr>
        <w:t xml:space="preserve"> prowadzone przez kustosza Działu Edukacji Muzeum Niepodległości w Warszawie podczas którego wykładowca przybliżał miejsca  i postacie związane</w:t>
      </w:r>
      <w:r>
        <w:rPr>
          <w:rFonts w:ascii="Lato" w:hAnsi="Lato"/>
          <w:sz w:val="20"/>
          <w:szCs w:val="20"/>
        </w:rPr>
        <w:t xml:space="preserve"> </w:t>
      </w:r>
      <w:r w:rsidRPr="00A23BCB">
        <w:rPr>
          <w:rFonts w:ascii="Lato" w:hAnsi="Lato"/>
          <w:sz w:val="20"/>
          <w:szCs w:val="20"/>
        </w:rPr>
        <w:t>z historią  Polski na Kresach, zakończone dyskusją</w:t>
      </w:r>
      <w:r>
        <w:rPr>
          <w:rFonts w:ascii="Lato" w:hAnsi="Lato"/>
          <w:sz w:val="20"/>
          <w:szCs w:val="20"/>
        </w:rPr>
        <w:t>; 80 osób, woj. mazowieckie;</w:t>
      </w:r>
    </w:p>
    <w:p w14:paraId="5C592B54" w14:textId="2757D51C"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Warsztaty "Rysunek i malarstwo" odbywały się w ramach Staromiejskiego Uniwersytetu Trzeciego Wieku</w:t>
      </w:r>
      <w:r>
        <w:rPr>
          <w:rFonts w:ascii="Lato" w:hAnsi="Lato"/>
          <w:sz w:val="20"/>
          <w:szCs w:val="20"/>
        </w:rPr>
        <w:t xml:space="preserve"> </w:t>
      </w:r>
      <w:r w:rsidRPr="00A23BCB">
        <w:rPr>
          <w:rFonts w:ascii="Lato" w:hAnsi="Lato"/>
          <w:sz w:val="20"/>
          <w:szCs w:val="20"/>
        </w:rPr>
        <w:t>im. Marii Skłodowskiej-Curie</w:t>
      </w:r>
      <w:r>
        <w:rPr>
          <w:rFonts w:ascii="Lato" w:hAnsi="Lato"/>
          <w:sz w:val="20"/>
          <w:szCs w:val="20"/>
        </w:rPr>
        <w:t xml:space="preserve">, </w:t>
      </w:r>
      <w:r w:rsidRPr="00A23BCB">
        <w:rPr>
          <w:rFonts w:ascii="Lato" w:hAnsi="Lato"/>
          <w:sz w:val="20"/>
          <w:szCs w:val="20"/>
        </w:rPr>
        <w:t>Warsztaty prowadzone są przez artystkę -malarkę podczas których  uczestnicy poznali techniki malarskie i samodzielnie wykonali rysunki  pastelami i akwarelami</w:t>
      </w:r>
      <w:r>
        <w:rPr>
          <w:rFonts w:ascii="Lato" w:hAnsi="Lato"/>
          <w:sz w:val="20"/>
          <w:szCs w:val="20"/>
        </w:rPr>
        <w:t>; 40 osób, woj. mazowieckie;</w:t>
      </w:r>
    </w:p>
    <w:p w14:paraId="27C23840" w14:textId="3742AC9C"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 xml:space="preserve"> Terapia ruchu przy muzyce odbywała</w:t>
      </w:r>
      <w:r>
        <w:rPr>
          <w:rFonts w:ascii="Lato" w:hAnsi="Lato"/>
          <w:sz w:val="20"/>
          <w:szCs w:val="20"/>
        </w:rPr>
        <w:t xml:space="preserve"> </w:t>
      </w:r>
      <w:r w:rsidRPr="00A23BCB">
        <w:rPr>
          <w:rFonts w:ascii="Lato" w:hAnsi="Lato"/>
          <w:sz w:val="20"/>
          <w:szCs w:val="20"/>
        </w:rPr>
        <w:t>w ramach Staromiejskiego Uniwersytetu Trzeciego Wieku im. Marii Skłodowskiej-Curie</w:t>
      </w:r>
      <w:r>
        <w:rPr>
          <w:rFonts w:ascii="Lato" w:hAnsi="Lato"/>
          <w:sz w:val="20"/>
          <w:szCs w:val="20"/>
        </w:rPr>
        <w:t>, i</w:t>
      </w:r>
      <w:r w:rsidRPr="00A23BCB">
        <w:rPr>
          <w:rFonts w:ascii="Lato" w:hAnsi="Lato"/>
          <w:sz w:val="20"/>
          <w:szCs w:val="20"/>
        </w:rPr>
        <w:t>ntegracja poprzez naukę tańca w kręgu</w:t>
      </w:r>
      <w:r>
        <w:rPr>
          <w:rFonts w:ascii="Lato" w:hAnsi="Lato"/>
          <w:sz w:val="20"/>
          <w:szCs w:val="20"/>
        </w:rPr>
        <w:t>, 25 osób, woj. mazowieckie;</w:t>
      </w:r>
    </w:p>
    <w:p w14:paraId="647AC5EB" w14:textId="61DFDE34"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Konsultacje informatyczne odbywały się w ramach Staromiejskie</w:t>
      </w:r>
      <w:r w:rsidR="002818F9">
        <w:rPr>
          <w:rFonts w:ascii="Lato" w:hAnsi="Lato"/>
          <w:sz w:val="20"/>
          <w:szCs w:val="20"/>
        </w:rPr>
        <w:t>g</w:t>
      </w:r>
      <w:r w:rsidRPr="00A23BCB">
        <w:rPr>
          <w:rFonts w:ascii="Lato" w:hAnsi="Lato"/>
          <w:sz w:val="20"/>
          <w:szCs w:val="20"/>
        </w:rPr>
        <w:t xml:space="preserve">o </w:t>
      </w:r>
      <w:r w:rsidR="002818F9" w:rsidRPr="00A23BCB">
        <w:rPr>
          <w:rFonts w:ascii="Lato" w:hAnsi="Lato"/>
          <w:sz w:val="20"/>
          <w:szCs w:val="20"/>
        </w:rPr>
        <w:t>Uniwersytetu</w:t>
      </w:r>
      <w:r w:rsidRPr="00A23BCB">
        <w:rPr>
          <w:rFonts w:ascii="Lato" w:hAnsi="Lato"/>
          <w:sz w:val="20"/>
          <w:szCs w:val="20"/>
        </w:rPr>
        <w:t xml:space="preserve"> Trzeciego Wieku im. Marii Skłodowskiej-Curie</w:t>
      </w:r>
      <w:r>
        <w:rPr>
          <w:rFonts w:ascii="Lato" w:hAnsi="Lato"/>
          <w:sz w:val="20"/>
          <w:szCs w:val="20"/>
        </w:rPr>
        <w:t>, p</w:t>
      </w:r>
      <w:r w:rsidRPr="00A23BCB">
        <w:rPr>
          <w:rFonts w:ascii="Lato" w:hAnsi="Lato"/>
          <w:sz w:val="20"/>
          <w:szCs w:val="20"/>
        </w:rPr>
        <w:t xml:space="preserve">odczas konsultacji  osoby starsze mogły zasięgać porad </w:t>
      </w:r>
      <w:r w:rsidR="002818F9" w:rsidRPr="00A23BCB">
        <w:rPr>
          <w:rFonts w:ascii="Lato" w:hAnsi="Lato"/>
          <w:sz w:val="20"/>
          <w:szCs w:val="20"/>
        </w:rPr>
        <w:t>dotyczących</w:t>
      </w:r>
      <w:r w:rsidRPr="00A23BCB">
        <w:rPr>
          <w:rFonts w:ascii="Lato" w:hAnsi="Lato"/>
          <w:sz w:val="20"/>
          <w:szCs w:val="20"/>
        </w:rPr>
        <w:t xml:space="preserve"> obsługi komputera, laptopa  i telefonu </w:t>
      </w:r>
      <w:proofErr w:type="spellStart"/>
      <w:r w:rsidRPr="00A23BCB">
        <w:rPr>
          <w:rFonts w:ascii="Lato" w:hAnsi="Lato"/>
          <w:sz w:val="20"/>
          <w:szCs w:val="20"/>
        </w:rPr>
        <w:t>komorkowego</w:t>
      </w:r>
      <w:proofErr w:type="spellEnd"/>
      <w:r w:rsidRPr="00A23BCB">
        <w:rPr>
          <w:rFonts w:ascii="Lato" w:hAnsi="Lato"/>
          <w:sz w:val="20"/>
          <w:szCs w:val="20"/>
        </w:rPr>
        <w:t>, co przeciwdziała ich  wykluczeniu cyfrowemu w społeczeństwie</w:t>
      </w:r>
      <w:r>
        <w:rPr>
          <w:rFonts w:ascii="Lato" w:hAnsi="Lato"/>
          <w:sz w:val="20"/>
          <w:szCs w:val="20"/>
        </w:rPr>
        <w:t>; 25 osób, woj. mazowieckie;</w:t>
      </w:r>
    </w:p>
    <w:p w14:paraId="77E1F487" w14:textId="11935172"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 xml:space="preserve">Wykłady o tematyce humanistyczno-przyrodniczej odbywały się w ramach </w:t>
      </w:r>
      <w:r w:rsidR="002818F9" w:rsidRPr="00A23BCB">
        <w:rPr>
          <w:rFonts w:ascii="Lato" w:hAnsi="Lato"/>
          <w:sz w:val="20"/>
          <w:szCs w:val="20"/>
        </w:rPr>
        <w:t>Staromiejskiego</w:t>
      </w:r>
      <w:r w:rsidRPr="00A23BCB">
        <w:rPr>
          <w:rFonts w:ascii="Lato" w:hAnsi="Lato"/>
          <w:sz w:val="20"/>
          <w:szCs w:val="20"/>
        </w:rPr>
        <w:t xml:space="preserve"> </w:t>
      </w:r>
      <w:r w:rsidR="002818F9" w:rsidRPr="00A23BCB">
        <w:rPr>
          <w:rFonts w:ascii="Lato" w:hAnsi="Lato"/>
          <w:sz w:val="20"/>
          <w:szCs w:val="20"/>
        </w:rPr>
        <w:t>Uniwersytetu</w:t>
      </w:r>
      <w:r w:rsidRPr="00A23BCB">
        <w:rPr>
          <w:rFonts w:ascii="Lato" w:hAnsi="Lato"/>
          <w:sz w:val="20"/>
          <w:szCs w:val="20"/>
        </w:rPr>
        <w:t xml:space="preserve"> Trzeciego Wieku  im. Marii Skłodowskiej-Curie</w:t>
      </w:r>
      <w:r>
        <w:rPr>
          <w:rFonts w:ascii="Lato" w:hAnsi="Lato"/>
          <w:sz w:val="20"/>
          <w:szCs w:val="20"/>
        </w:rPr>
        <w:t>, c</w:t>
      </w:r>
      <w:r w:rsidRPr="00A23BCB">
        <w:rPr>
          <w:rFonts w:ascii="Lato" w:hAnsi="Lato"/>
          <w:sz w:val="20"/>
          <w:szCs w:val="20"/>
        </w:rPr>
        <w:t>otygodniowe wykłady prowadzone były przez specjalistów w swoich dziedzinach i poruszały tematykę związaną z historią Polski, dziedzictwem przyrodniczym, historią muzyki, opery, roku obrzędowego, w tym świątecznych zwyczajów i wierzeń ludowych, kultury ludowej regionów</w:t>
      </w:r>
      <w:r>
        <w:rPr>
          <w:rFonts w:ascii="Lato" w:hAnsi="Lato"/>
          <w:sz w:val="20"/>
          <w:szCs w:val="20"/>
        </w:rPr>
        <w:t>, 80 osób, woj. mazowieckie;</w:t>
      </w:r>
    </w:p>
    <w:p w14:paraId="13E4AB0D" w14:textId="48D346CF"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Wyjścia do teatrów warszawskich odbywały się w ramach Staromiejskiego Uniwersytetu Trzeciego Wieku</w:t>
      </w:r>
      <w:r>
        <w:rPr>
          <w:rFonts w:ascii="Lato" w:hAnsi="Lato"/>
          <w:sz w:val="20"/>
          <w:szCs w:val="20"/>
        </w:rPr>
        <w:t xml:space="preserve"> </w:t>
      </w:r>
      <w:r w:rsidRPr="00A23BCB">
        <w:rPr>
          <w:rFonts w:ascii="Lato" w:hAnsi="Lato"/>
          <w:sz w:val="20"/>
          <w:szCs w:val="20"/>
        </w:rPr>
        <w:t>im. Marii Skłodowskiej-Curie</w:t>
      </w:r>
      <w:r>
        <w:rPr>
          <w:rFonts w:ascii="Lato" w:hAnsi="Lato"/>
          <w:sz w:val="20"/>
          <w:szCs w:val="20"/>
        </w:rPr>
        <w:t>, u</w:t>
      </w:r>
      <w:r w:rsidRPr="00A23BCB">
        <w:rPr>
          <w:rFonts w:ascii="Lato" w:hAnsi="Lato"/>
          <w:sz w:val="20"/>
          <w:szCs w:val="20"/>
        </w:rPr>
        <w:t xml:space="preserve">możliwienie osobom starszym uczestnictwa w wydarzeniach kulturalnych, dzięki organizowaniu grupowych wyjść i </w:t>
      </w:r>
      <w:r>
        <w:rPr>
          <w:rFonts w:ascii="Lato" w:hAnsi="Lato"/>
          <w:sz w:val="20"/>
          <w:szCs w:val="20"/>
        </w:rPr>
        <w:t>z</w:t>
      </w:r>
      <w:r w:rsidRPr="00A23BCB">
        <w:rPr>
          <w:rFonts w:ascii="Lato" w:hAnsi="Lato"/>
          <w:sz w:val="20"/>
          <w:szCs w:val="20"/>
        </w:rPr>
        <w:t>niżkowych biletów</w:t>
      </w:r>
      <w:r>
        <w:rPr>
          <w:rFonts w:ascii="Lato" w:hAnsi="Lato"/>
          <w:sz w:val="20"/>
          <w:szCs w:val="20"/>
        </w:rPr>
        <w:t>, 150 osób, woj. mazowieckie;</w:t>
      </w:r>
    </w:p>
    <w:p w14:paraId="41FB73A1" w14:textId="36E46CFB"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Wycieczki po mieście "Warszawa na nowo odkryta" odbywały się w ramach Staromiejskiego Uniwersytetu Trzeciego Wieku  im. Marii Skłodowskiej-Curie</w:t>
      </w:r>
      <w:r>
        <w:rPr>
          <w:rFonts w:ascii="Lato" w:hAnsi="Lato"/>
          <w:sz w:val="20"/>
          <w:szCs w:val="20"/>
        </w:rPr>
        <w:t>, w</w:t>
      </w:r>
      <w:r w:rsidRPr="00A23BCB">
        <w:rPr>
          <w:rFonts w:ascii="Lato" w:hAnsi="Lato"/>
          <w:sz w:val="20"/>
          <w:szCs w:val="20"/>
        </w:rPr>
        <w:t>ycieczki z przewodnikiem</w:t>
      </w:r>
      <w:r>
        <w:rPr>
          <w:rFonts w:ascii="Lato" w:hAnsi="Lato"/>
          <w:sz w:val="20"/>
          <w:szCs w:val="20"/>
        </w:rPr>
        <w:t xml:space="preserve"> </w:t>
      </w:r>
      <w:r w:rsidRPr="00A23BCB">
        <w:rPr>
          <w:rFonts w:ascii="Lato" w:hAnsi="Lato"/>
          <w:sz w:val="20"/>
          <w:szCs w:val="20"/>
        </w:rPr>
        <w:t>po Warszawie, poza głównymi szlakami turystycznymi.</w:t>
      </w:r>
      <w:r>
        <w:rPr>
          <w:rFonts w:ascii="Lato" w:hAnsi="Lato"/>
          <w:sz w:val="20"/>
          <w:szCs w:val="20"/>
        </w:rPr>
        <w:t xml:space="preserve"> </w:t>
      </w:r>
      <w:r w:rsidRPr="00A23BCB">
        <w:rPr>
          <w:rFonts w:ascii="Lato" w:hAnsi="Lato"/>
          <w:sz w:val="20"/>
          <w:szCs w:val="20"/>
        </w:rPr>
        <w:t>Towarzyszyły im opowieści o</w:t>
      </w:r>
      <w:r>
        <w:rPr>
          <w:rFonts w:ascii="Lato" w:hAnsi="Lato"/>
          <w:sz w:val="20"/>
          <w:szCs w:val="20"/>
        </w:rPr>
        <w:t xml:space="preserve"> </w:t>
      </w:r>
      <w:r w:rsidRPr="00A23BCB">
        <w:rPr>
          <w:rFonts w:ascii="Lato" w:hAnsi="Lato"/>
          <w:sz w:val="20"/>
          <w:szCs w:val="20"/>
        </w:rPr>
        <w:t>ludziach, obiektach, wydarzeniach przybliżające  historię Warszawy w przystępnej,</w:t>
      </w:r>
      <w:r>
        <w:rPr>
          <w:rFonts w:ascii="Lato" w:hAnsi="Lato"/>
          <w:sz w:val="20"/>
          <w:szCs w:val="20"/>
        </w:rPr>
        <w:t xml:space="preserve"> </w:t>
      </w:r>
      <w:r w:rsidRPr="00A23BCB">
        <w:rPr>
          <w:rFonts w:ascii="Lato" w:hAnsi="Lato"/>
          <w:sz w:val="20"/>
          <w:szCs w:val="20"/>
        </w:rPr>
        <w:t>dostosowanej  do wieku formie</w:t>
      </w:r>
      <w:r>
        <w:rPr>
          <w:rFonts w:ascii="Lato" w:hAnsi="Lato"/>
          <w:sz w:val="20"/>
          <w:szCs w:val="20"/>
        </w:rPr>
        <w:t>, 80 osób, woj. mazowieckie;</w:t>
      </w:r>
    </w:p>
    <w:p w14:paraId="682B556A" w14:textId="76AE75AC" w:rsidR="00A23BCB"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Warsztaty wikliniarskie, robienia przedmiotów z drewna, malowania ceramiki,  zajęcia fakultatywne prowadzone były w ramach Staromiejskiego Uniwersytetu Trzeciego Wieku                                                       im. Marii Skłodowskiej-Curie</w:t>
      </w:r>
      <w:r>
        <w:rPr>
          <w:rFonts w:ascii="Lato" w:hAnsi="Lato"/>
          <w:sz w:val="20"/>
          <w:szCs w:val="20"/>
        </w:rPr>
        <w:t>, w</w:t>
      </w:r>
      <w:r w:rsidRPr="00A23BCB">
        <w:rPr>
          <w:rFonts w:ascii="Lato" w:hAnsi="Lato"/>
          <w:sz w:val="20"/>
          <w:szCs w:val="20"/>
        </w:rPr>
        <w:t>arsztaty prowadzone przez uznanych twórców ludowych mające na celu popularyzację tradycji sztuki ludowej w różnych  jej przejawach</w:t>
      </w:r>
      <w:r>
        <w:rPr>
          <w:rFonts w:ascii="Lato" w:hAnsi="Lato"/>
          <w:sz w:val="20"/>
          <w:szCs w:val="20"/>
        </w:rPr>
        <w:t>, 50 osób, woj. mazowieckie;</w:t>
      </w:r>
    </w:p>
    <w:p w14:paraId="370048F5" w14:textId="1EE2125A" w:rsidR="004A7CFE" w:rsidRPr="004A7CFE" w:rsidRDefault="00A23BCB" w:rsidP="004F5101">
      <w:pPr>
        <w:pStyle w:val="Akapitzlist"/>
        <w:numPr>
          <w:ilvl w:val="0"/>
          <w:numId w:val="201"/>
        </w:numPr>
        <w:spacing w:after="0" w:line="240" w:lineRule="auto"/>
        <w:jc w:val="both"/>
        <w:rPr>
          <w:rFonts w:ascii="Lato" w:hAnsi="Lato"/>
          <w:sz w:val="20"/>
          <w:szCs w:val="20"/>
        </w:rPr>
      </w:pPr>
      <w:r w:rsidRPr="00A23BCB">
        <w:rPr>
          <w:rFonts w:ascii="Lato" w:hAnsi="Lato"/>
          <w:sz w:val="20"/>
          <w:szCs w:val="20"/>
        </w:rPr>
        <w:t>Wyjazd studyjny do Skansen Kultury Ludowej i Ziemiańskiej w Kuligowie nad Bugiem</w:t>
      </w:r>
      <w:r>
        <w:rPr>
          <w:rFonts w:ascii="Lato" w:hAnsi="Lato"/>
          <w:sz w:val="20"/>
          <w:szCs w:val="20"/>
        </w:rPr>
        <w:t>, z</w:t>
      </w:r>
      <w:r w:rsidRPr="00A23BCB">
        <w:rPr>
          <w:rFonts w:ascii="Lato" w:hAnsi="Lato"/>
          <w:sz w:val="20"/>
          <w:szCs w:val="20"/>
        </w:rPr>
        <w:t>wiedzanie skansenu wraz z przewodnikiem i poznanie zabudowań mieszkalnych i gospodarskich mieszkańców i wozownia, czyli wszystko, co w dawnej j wsi mazowieckiej</w:t>
      </w:r>
      <w:r>
        <w:rPr>
          <w:rFonts w:ascii="Lato" w:hAnsi="Lato"/>
          <w:sz w:val="20"/>
          <w:szCs w:val="20"/>
        </w:rPr>
        <w:t>, 45 osób, woj. mazowieckie.</w:t>
      </w:r>
    </w:p>
    <w:p w14:paraId="0519B8CD" w14:textId="356A340D" w:rsidR="00183DBD" w:rsidRPr="00DB2792" w:rsidRDefault="00781EA1" w:rsidP="00183DBD">
      <w:pPr>
        <w:pStyle w:val="Nagwek2"/>
        <w:rPr>
          <w:b/>
          <w:bCs/>
        </w:rPr>
      </w:pPr>
      <w:bookmarkStart w:id="56" w:name="_Toc142565938"/>
      <w:r w:rsidRPr="00DB2792">
        <w:rPr>
          <w:b/>
          <w:bCs/>
        </w:rPr>
        <w:t>Ministerstwo Rozwoju i Technologii</w:t>
      </w:r>
      <w:bookmarkEnd w:id="56"/>
    </w:p>
    <w:p w14:paraId="3A6F6E9A" w14:textId="55764CCB" w:rsidR="00183DBD" w:rsidRDefault="00183DBD" w:rsidP="00135D02">
      <w:pPr>
        <w:spacing w:after="0" w:line="240" w:lineRule="auto"/>
        <w:jc w:val="both"/>
        <w:rPr>
          <w:rFonts w:ascii="Lato" w:hAnsi="Lato"/>
          <w:sz w:val="20"/>
          <w:szCs w:val="20"/>
        </w:rPr>
      </w:pPr>
      <w:r w:rsidRPr="00183DBD">
        <w:rPr>
          <w:rFonts w:ascii="Lato" w:hAnsi="Lato"/>
          <w:sz w:val="20"/>
          <w:szCs w:val="20"/>
        </w:rPr>
        <w:t xml:space="preserve">W ramach działania „Prowadzenie działań na rzecz promocji przedsiębiorczości osób starszych”, w drugiej połowie roku 2022, zaistniała możliwość realizacji zadań promocyjnych w formie stacjonarnej. W dniach 30 września-1 października 2022 r. przedstawiciele </w:t>
      </w:r>
      <w:proofErr w:type="spellStart"/>
      <w:r w:rsidRPr="00183DBD">
        <w:rPr>
          <w:rFonts w:ascii="Lato" w:hAnsi="Lato"/>
          <w:sz w:val="20"/>
          <w:szCs w:val="20"/>
        </w:rPr>
        <w:t>MRiT</w:t>
      </w:r>
      <w:proofErr w:type="spellEnd"/>
      <w:r w:rsidRPr="00183DBD">
        <w:rPr>
          <w:rFonts w:ascii="Lato" w:hAnsi="Lato"/>
          <w:sz w:val="20"/>
          <w:szCs w:val="20"/>
        </w:rPr>
        <w:t xml:space="preserve"> wzięli udział w organizacji stoiska informacyjno-promocyjnego podczas targów </w:t>
      </w:r>
      <w:proofErr w:type="spellStart"/>
      <w:r w:rsidRPr="00183DBD">
        <w:rPr>
          <w:rFonts w:ascii="Lato" w:hAnsi="Lato"/>
          <w:sz w:val="20"/>
          <w:szCs w:val="20"/>
        </w:rPr>
        <w:t>Viva</w:t>
      </w:r>
      <w:proofErr w:type="spellEnd"/>
      <w:r w:rsidRPr="00183DBD">
        <w:rPr>
          <w:rFonts w:ascii="Lato" w:hAnsi="Lato"/>
          <w:sz w:val="20"/>
          <w:szCs w:val="20"/>
        </w:rPr>
        <w:t xml:space="preserve"> Seniorzy w Poznaniu, gdzie temat aktywności zawodowej osób starszych był dyskutowany w rozmowach bezpośrednich z przedsiębiorcami oraz przedstawicielami społeczności senioralnej. Dodatkowo, w ramach wydarzeń targowych, zorganizowano odrębne seminarium poświęcone m.in. promocji zarządu sukcesyjnego, którego celem jest usprawnienie procesu przekazywania firmy następcom i kontynuowania tym samym działalności gospodarczej. Podobny zakres działań był realizowany podczas targów Dostępność Plus w dniach 7-8 listopada 2022 r. w Opolu.</w:t>
      </w:r>
    </w:p>
    <w:p w14:paraId="366CE5DB" w14:textId="77777777" w:rsidR="00135D02" w:rsidRPr="00183DBD" w:rsidRDefault="00135D02" w:rsidP="00135D02">
      <w:pPr>
        <w:spacing w:after="0" w:line="240" w:lineRule="auto"/>
        <w:jc w:val="both"/>
        <w:rPr>
          <w:rFonts w:ascii="Lato" w:hAnsi="Lato"/>
          <w:sz w:val="20"/>
          <w:szCs w:val="20"/>
        </w:rPr>
      </w:pPr>
    </w:p>
    <w:p w14:paraId="4BD1C534" w14:textId="6A17F0B0" w:rsidR="00183DBD" w:rsidRDefault="00183DBD" w:rsidP="00135D02">
      <w:pPr>
        <w:spacing w:after="0" w:line="240" w:lineRule="auto"/>
        <w:jc w:val="both"/>
        <w:rPr>
          <w:rFonts w:ascii="Lato" w:hAnsi="Lato"/>
          <w:sz w:val="20"/>
          <w:szCs w:val="20"/>
        </w:rPr>
      </w:pPr>
      <w:r w:rsidRPr="00183DBD">
        <w:rPr>
          <w:rFonts w:ascii="Lato" w:hAnsi="Lato"/>
          <w:sz w:val="20"/>
          <w:szCs w:val="20"/>
        </w:rPr>
        <w:t>Ponadto, podobnie jak w latach poprzednich, w ramach identyfikacji barier w działalności gospodarczej analizowano aspekty aktywności zawodowej osób starszych. Część rekomendacji z tego procesu była proponowana jako rozwiązania legislacyjne, nad którymi toczyły się prace w Ministerstwie Rozwoju i Technologii.</w:t>
      </w:r>
    </w:p>
    <w:p w14:paraId="33798EB8" w14:textId="77777777" w:rsidR="00DB2792" w:rsidRPr="00183DBD" w:rsidRDefault="00DB2792" w:rsidP="00135D02">
      <w:pPr>
        <w:spacing w:after="0" w:line="240" w:lineRule="auto"/>
        <w:jc w:val="both"/>
        <w:rPr>
          <w:rFonts w:ascii="Lato" w:hAnsi="Lato"/>
          <w:sz w:val="20"/>
          <w:szCs w:val="20"/>
        </w:rPr>
      </w:pPr>
    </w:p>
    <w:p w14:paraId="2C542346" w14:textId="3DC470C4" w:rsidR="007B07C8" w:rsidRPr="00DB2792" w:rsidRDefault="00781EA1" w:rsidP="007B07C8">
      <w:pPr>
        <w:pStyle w:val="Nagwek2"/>
        <w:rPr>
          <w:b/>
          <w:bCs/>
        </w:rPr>
      </w:pPr>
      <w:bookmarkStart w:id="57" w:name="_Toc142565939"/>
      <w:r w:rsidRPr="00DB2792">
        <w:rPr>
          <w:b/>
          <w:bCs/>
        </w:rPr>
        <w:lastRenderedPageBreak/>
        <w:t>Ministerstwo Spraw Wewnętrznych i Administracji</w:t>
      </w:r>
      <w:bookmarkEnd w:id="57"/>
    </w:p>
    <w:p w14:paraId="1FE549EB" w14:textId="16BB6E60"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W 2022 r. Ministerstwo Spraw Wewnętrznych i Administracji zaangażowane było w kampanię społeczną pn. </w:t>
      </w:r>
      <w:r w:rsidRPr="00135D02">
        <w:rPr>
          <w:rFonts w:ascii="Lato" w:hAnsi="Lato" w:cs="Arial"/>
          <w:i/>
          <w:color w:val="000000"/>
          <w:sz w:val="20"/>
          <w:szCs w:val="20"/>
        </w:rPr>
        <w:t>„Czad i Ogień. Obudź Czujność”</w:t>
      </w:r>
      <w:r w:rsidRPr="00135D02">
        <w:rPr>
          <w:rFonts w:ascii="Lato" w:hAnsi="Lato" w:cs="Arial"/>
          <w:color w:val="000000"/>
          <w:sz w:val="20"/>
          <w:szCs w:val="20"/>
        </w:rPr>
        <w:t xml:space="preserve">  promującą bezpieczne zachowania w odniesieniu do zagrożeń i sposobów zapobiegania pożarom oraz zatruciom tlenkiem węgla. Beneficjentami kampanii byli przede wszystkim seniorzy, którzy często korzystają z urządzeń grzewczych zasilanych gazem. Kampania była przeprowadzona w kilku rozgłośniach Polskiego Radia S.A., w tym również na antenie Programu Pierwszego Polskiego Radia. W ramach jej realizacji Ministerstwo Spraw Wewnętrznych i Administracji przekazało kilkaset czujek dualnych (dymu i czadu), które były nagrodami w konkursach dotyczących bezpiecznego użytkowania urządzeń grzewczych.</w:t>
      </w:r>
    </w:p>
    <w:p w14:paraId="31D2F62E" w14:textId="77777777" w:rsidR="007B07C8" w:rsidRPr="00135D02" w:rsidRDefault="007B07C8" w:rsidP="00135D02">
      <w:pPr>
        <w:spacing w:after="0" w:line="240" w:lineRule="auto"/>
        <w:jc w:val="both"/>
        <w:rPr>
          <w:rFonts w:ascii="Lato" w:hAnsi="Lato" w:cs="Arial"/>
          <w:color w:val="000000"/>
          <w:sz w:val="20"/>
          <w:szCs w:val="20"/>
        </w:rPr>
      </w:pPr>
    </w:p>
    <w:p w14:paraId="3A519144" w14:textId="45218408"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Ministerstwo Spraw Wewnętrznych i Administracji w 2022 r. zleciło również organizacji pozarządowej realizację zadania publicznego pn. </w:t>
      </w:r>
      <w:r w:rsidRPr="00135D02">
        <w:rPr>
          <w:rFonts w:ascii="Lato" w:hAnsi="Lato" w:cs="Arial"/>
          <w:i/>
          <w:color w:val="000000"/>
          <w:sz w:val="20"/>
          <w:szCs w:val="20"/>
        </w:rPr>
        <w:t>„Prowadzenie telefonu interwencyjnego w sprawie poszukiwania osób zaginionych, przede wszystkim dzieci”</w:t>
      </w:r>
      <w:r w:rsidRPr="00135D02">
        <w:rPr>
          <w:rFonts w:ascii="Lato" w:hAnsi="Lato" w:cs="Arial"/>
          <w:color w:val="000000"/>
          <w:sz w:val="20"/>
          <w:szCs w:val="20"/>
        </w:rPr>
        <w:t xml:space="preserve">. Realizacja zadania była ukierunkowana także na osoby starsze, których zaginięcia stanowią duży odsetek osób poszukiwanych przez najbliższych. W ramach realizacji zadania, organizacja pozarządowa prowadziła całodobowy, ogólnopolski, bezpłatny interwencyjny telefon w sprawie osób zaginionych. </w:t>
      </w:r>
    </w:p>
    <w:p w14:paraId="48C5D341" w14:textId="77777777" w:rsidR="007B07C8" w:rsidRPr="00135D02" w:rsidRDefault="007B07C8" w:rsidP="00135D02">
      <w:pPr>
        <w:spacing w:after="0" w:line="240" w:lineRule="auto"/>
        <w:jc w:val="both"/>
        <w:rPr>
          <w:rFonts w:ascii="Lato" w:hAnsi="Lato" w:cs="Arial"/>
          <w:color w:val="000000"/>
          <w:sz w:val="20"/>
          <w:szCs w:val="20"/>
        </w:rPr>
      </w:pPr>
    </w:p>
    <w:p w14:paraId="663EAFD3" w14:textId="053B234C"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Ministerstwo Spraw Wewnętrznych i Administracji odpowiada także za koordynację realizowanych działań na rzecz bezpieczeństwa i porządku publicznego podejmowanych w ramach </w:t>
      </w:r>
      <w:r w:rsidRPr="00135D02">
        <w:rPr>
          <w:rFonts w:ascii="Lato" w:hAnsi="Lato" w:cs="Arial"/>
          <w:i/>
          <w:color w:val="000000"/>
          <w:sz w:val="20"/>
          <w:szCs w:val="20"/>
        </w:rPr>
        <w:t xml:space="preserve">„Rządowego programu ograniczania przestępczości i aspołecznych </w:t>
      </w:r>
      <w:proofErr w:type="spellStart"/>
      <w:r w:rsidRPr="00135D02">
        <w:rPr>
          <w:rFonts w:ascii="Lato" w:hAnsi="Lato" w:cs="Arial"/>
          <w:i/>
          <w:color w:val="000000"/>
          <w:sz w:val="20"/>
          <w:szCs w:val="20"/>
        </w:rPr>
        <w:t>zachowań</w:t>
      </w:r>
      <w:proofErr w:type="spellEnd"/>
      <w:r w:rsidRPr="00135D02">
        <w:rPr>
          <w:rFonts w:ascii="Lato" w:hAnsi="Lato" w:cs="Arial"/>
          <w:i/>
          <w:color w:val="000000"/>
          <w:sz w:val="20"/>
          <w:szCs w:val="20"/>
        </w:rPr>
        <w:t xml:space="preserve"> Razem bezpieczniej im. Władysława Stasiaka na lata 2022-2024”. </w:t>
      </w:r>
      <w:r w:rsidRPr="00135D02">
        <w:rPr>
          <w:rFonts w:ascii="Lato" w:hAnsi="Lato" w:cs="Arial"/>
          <w:color w:val="000000"/>
          <w:sz w:val="20"/>
          <w:szCs w:val="20"/>
        </w:rPr>
        <w:t>W ramach Programu wspierane były przedsięwzięcia związane z budową, modernizacją oraz doposażeniem przejść dla pieszych oraz zapewnieniem bezpieczeństwa w miejscach szczególnie niebezpiecznych z uwzględnieniem budowy lub modernizacji systemów monitoringu miejskiego. Dzięki takim realizacjom m.in. osoby starsze mogą czuć się bezpieczniej w miejscu zamieszkania, gdyż instalacja monitoringu miejskiego przekłada się wprost na poziom bezpieczeństwa lokalnego. Natomiast tzw. bezpieczne przejścia dla pieszych umożliwiają przemieszczanie się osób starszych, ograniczając zagrożenia tej grupy niechronionych uczestników ruchu drogowego przed zagrożeniami   związanymi z wypadkami komunikacyjnymi. Łączna kwota dotacji na działania związane z realizacją Programu w 2022 r. wyniosła 11 978 434 zł.</w:t>
      </w:r>
    </w:p>
    <w:p w14:paraId="4CA8246E" w14:textId="77777777" w:rsidR="007B07C8" w:rsidRPr="00135D02" w:rsidRDefault="007B07C8" w:rsidP="00135D02">
      <w:pPr>
        <w:spacing w:after="0" w:line="240" w:lineRule="auto"/>
        <w:ind w:firstLine="709"/>
        <w:jc w:val="both"/>
        <w:rPr>
          <w:rFonts w:ascii="Lato" w:hAnsi="Lato" w:cs="Arial"/>
          <w:color w:val="000000"/>
          <w:sz w:val="20"/>
          <w:szCs w:val="20"/>
        </w:rPr>
      </w:pPr>
    </w:p>
    <w:p w14:paraId="6F7FD67F" w14:textId="5B55C732" w:rsidR="007B07C8" w:rsidRPr="00135D02" w:rsidRDefault="007B07C8" w:rsidP="00135D02">
      <w:pPr>
        <w:spacing w:after="0" w:line="240" w:lineRule="auto"/>
        <w:jc w:val="both"/>
        <w:rPr>
          <w:rFonts w:ascii="Lato" w:hAnsi="Lato" w:cs="Arial"/>
          <w:b/>
          <w:bCs/>
          <w:color w:val="000000"/>
          <w:sz w:val="20"/>
          <w:szCs w:val="20"/>
        </w:rPr>
      </w:pPr>
      <w:r w:rsidRPr="00135D02">
        <w:rPr>
          <w:rFonts w:ascii="Lato" w:hAnsi="Lato" w:cs="Arial"/>
          <w:b/>
          <w:bCs/>
          <w:color w:val="000000"/>
          <w:sz w:val="20"/>
          <w:szCs w:val="20"/>
        </w:rPr>
        <w:t>Działania Urzędu do Spraw Cudzoziemców</w:t>
      </w:r>
    </w:p>
    <w:p w14:paraId="4A0DEE99" w14:textId="19096E40"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W odniesieniu do społeczności cudzoziemców, w tym powyżej 60 roku życia, Szef Urzędu do Spraw Cudzoziemców realizuje zadania związane z przyznawaniem cudzoziemcom ubiegającym się o ochronę międzynarodową w Polsce, a także objętych ochroną czasową, którym wydane zostało zaświadczenie o korzystaniu z ochrony czasowej – pomocy socjalnej i opieki medycznej, w zakresie</w:t>
      </w:r>
      <w:r w:rsidR="006A32A8" w:rsidRPr="00135D02">
        <w:rPr>
          <w:rFonts w:ascii="Lato" w:hAnsi="Lato" w:cs="Arial"/>
          <w:color w:val="000000"/>
          <w:sz w:val="20"/>
          <w:szCs w:val="20"/>
        </w:rPr>
        <w:t xml:space="preserve"> </w:t>
      </w:r>
      <w:r w:rsidRPr="00135D02">
        <w:rPr>
          <w:rFonts w:ascii="Lato" w:hAnsi="Lato" w:cs="Arial"/>
          <w:color w:val="000000"/>
          <w:sz w:val="20"/>
          <w:szCs w:val="20"/>
        </w:rPr>
        <w:t xml:space="preserve">określonym przez ustawę z dnia 13 czerwca 2003 r. </w:t>
      </w:r>
      <w:r w:rsidRPr="00135D02">
        <w:rPr>
          <w:rFonts w:ascii="Lato" w:hAnsi="Lato" w:cs="Arial"/>
          <w:i/>
          <w:color w:val="000000"/>
          <w:sz w:val="20"/>
          <w:szCs w:val="20"/>
        </w:rPr>
        <w:t>o udzielaniu cudzoziemcom ochrony na terytorium Rzeczypospolitej Polskiej.</w:t>
      </w:r>
      <w:r w:rsidRPr="00135D02">
        <w:rPr>
          <w:rFonts w:ascii="Lato" w:hAnsi="Lato" w:cs="Arial"/>
          <w:color w:val="000000"/>
          <w:sz w:val="20"/>
          <w:szCs w:val="20"/>
        </w:rPr>
        <w:t xml:space="preserve"> Spośród wszystkich zarejestrowanych świadczeniobiorców cudzoziemcy w wieku 60 lat i powyżej liczyli w 2022 r. 208 osób, co stanowi 5,2 % wszystkich cudzoziemców, którym pomoc socjalną i opiekę medyczną zapewnia Szef Urzędu do Spraw Cudzoziemców. Wśród nich 156 osób było w trakcie postępowania o udzielenie ochrony międzynarodowej, a 52 osoby otrzymały od Szefa Urzędu do Spraw Cudzoziemców zaświadczenie o korzystaniu z ochrony czasowej. W grupie 208 cudzoziemców zaledwie 15 osób mieszkało w ośrodkach dla cudzoziemców, 192 osoby wybrały możliwość zamieszkania poza ośrodkiem, a 1 osoba została umieszczona w Zakładzie Opiekuńczo-Leczniczym. We wskazanej grupie 208 cudzoziemców w wieku 60+, znajdowało się 138 kobiet i 70 mężczyzn. </w:t>
      </w:r>
    </w:p>
    <w:p w14:paraId="7356602B" w14:textId="77777777" w:rsidR="006A32A8" w:rsidRPr="00135D02" w:rsidRDefault="006A32A8" w:rsidP="00135D02">
      <w:pPr>
        <w:spacing w:after="0" w:line="240" w:lineRule="auto"/>
        <w:jc w:val="both"/>
        <w:rPr>
          <w:rFonts w:ascii="Lato" w:hAnsi="Lato" w:cs="Arial"/>
          <w:color w:val="000000"/>
          <w:sz w:val="20"/>
          <w:szCs w:val="20"/>
        </w:rPr>
      </w:pPr>
    </w:p>
    <w:p w14:paraId="1387418C" w14:textId="19D74A9E"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Osoby w wieku podeszłym, zgodnie z ustawą </w:t>
      </w:r>
      <w:r w:rsidRPr="00135D02">
        <w:rPr>
          <w:rFonts w:ascii="Lato" w:hAnsi="Lato" w:cs="Arial"/>
          <w:i/>
          <w:color w:val="000000"/>
          <w:sz w:val="20"/>
          <w:szCs w:val="20"/>
        </w:rPr>
        <w:t>o udzielaniu cudzoziemcom ochrony na terytorium Rzeczypospolitej Polskiej</w:t>
      </w:r>
      <w:r w:rsidRPr="00135D02">
        <w:rPr>
          <w:rFonts w:ascii="Lato" w:hAnsi="Lato" w:cs="Arial"/>
          <w:color w:val="000000"/>
          <w:sz w:val="20"/>
          <w:szCs w:val="20"/>
        </w:rPr>
        <w:t>, są uznane za osoby mogące wymagać szczególnego traktowania w postępowaniu w sprawie udzielenia ochrony międzynarodowej lub w zakresie pomocy socjalnej. Zgodnie z ww. ustawą, osobę w podeszłym wieku uznaje się za wymagającą szczególnego traktowania w zakresie pomocy socjalnej, w przypadku gdy może zachodzić potrzeba:</w:t>
      </w:r>
    </w:p>
    <w:p w14:paraId="46EA42CB" w14:textId="7777777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1) zakwaterowania w ośrodku dla cudzoziemców:</w:t>
      </w:r>
    </w:p>
    <w:p w14:paraId="241142A9" w14:textId="77777777" w:rsidR="007B07C8" w:rsidRPr="00135D02" w:rsidRDefault="007B07C8" w:rsidP="00135D02">
      <w:pPr>
        <w:spacing w:after="0" w:line="240" w:lineRule="auto"/>
        <w:ind w:firstLine="284"/>
        <w:jc w:val="both"/>
        <w:rPr>
          <w:rFonts w:ascii="Lato" w:hAnsi="Lato" w:cs="Arial"/>
          <w:color w:val="000000"/>
          <w:sz w:val="20"/>
          <w:szCs w:val="20"/>
        </w:rPr>
      </w:pPr>
      <w:r w:rsidRPr="00135D02">
        <w:rPr>
          <w:rFonts w:ascii="Lato" w:hAnsi="Lato" w:cs="Arial"/>
          <w:color w:val="000000"/>
          <w:sz w:val="20"/>
          <w:szCs w:val="20"/>
        </w:rPr>
        <w:t>a) przystosowanym do potrzeb osób niepełnosprawnych,</w:t>
      </w:r>
    </w:p>
    <w:p w14:paraId="453709DD" w14:textId="77777777" w:rsidR="007B07C8" w:rsidRPr="00135D02" w:rsidRDefault="007B07C8" w:rsidP="00135D02">
      <w:pPr>
        <w:spacing w:after="0" w:line="240" w:lineRule="auto"/>
        <w:ind w:firstLine="284"/>
        <w:jc w:val="both"/>
        <w:rPr>
          <w:rFonts w:ascii="Lato" w:hAnsi="Lato" w:cs="Arial"/>
          <w:color w:val="000000"/>
          <w:sz w:val="20"/>
          <w:szCs w:val="20"/>
        </w:rPr>
      </w:pPr>
      <w:r w:rsidRPr="00135D02">
        <w:rPr>
          <w:rFonts w:ascii="Lato" w:hAnsi="Lato" w:cs="Arial"/>
          <w:color w:val="000000"/>
          <w:sz w:val="20"/>
          <w:szCs w:val="20"/>
        </w:rPr>
        <w:t>b) zapewniającym pokój jednoosobowy,</w:t>
      </w:r>
    </w:p>
    <w:p w14:paraId="6B822D2A" w14:textId="77777777" w:rsidR="007B07C8" w:rsidRPr="00135D02" w:rsidRDefault="007B07C8" w:rsidP="00135D02">
      <w:pPr>
        <w:spacing w:after="0" w:line="240" w:lineRule="auto"/>
        <w:ind w:firstLine="284"/>
        <w:jc w:val="both"/>
        <w:rPr>
          <w:rFonts w:ascii="Lato" w:hAnsi="Lato" w:cs="Arial"/>
          <w:color w:val="000000"/>
          <w:sz w:val="20"/>
          <w:szCs w:val="20"/>
        </w:rPr>
      </w:pPr>
      <w:r w:rsidRPr="00135D02">
        <w:rPr>
          <w:rFonts w:ascii="Lato" w:hAnsi="Lato" w:cs="Arial"/>
          <w:color w:val="000000"/>
          <w:sz w:val="20"/>
          <w:szCs w:val="20"/>
        </w:rPr>
        <w:t>c) przeznaczonym wyłącznie dla kobiet lub kobiet z dziećmi;</w:t>
      </w:r>
    </w:p>
    <w:p w14:paraId="7C0B81D7" w14:textId="77777777" w:rsidR="007B07C8" w:rsidRPr="00135D02" w:rsidRDefault="007B07C8" w:rsidP="00135D02">
      <w:p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2) umieszczenia w zakładzie opiekuńczo-leczniczym, zakładzie pielęgnacyjno-opiekuńczym lub hospicjum;</w:t>
      </w:r>
    </w:p>
    <w:p w14:paraId="6081105C" w14:textId="7777777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3) dostosowania diety do stanu zdrowia.</w:t>
      </w:r>
    </w:p>
    <w:p w14:paraId="469A2A13" w14:textId="77777777" w:rsidR="006A32A8" w:rsidRPr="00135D02" w:rsidRDefault="006A32A8" w:rsidP="00135D02">
      <w:pPr>
        <w:spacing w:after="0" w:line="240" w:lineRule="auto"/>
        <w:jc w:val="both"/>
        <w:rPr>
          <w:rFonts w:ascii="Lato" w:hAnsi="Lato" w:cs="Arial"/>
          <w:color w:val="000000"/>
          <w:sz w:val="20"/>
          <w:szCs w:val="20"/>
        </w:rPr>
      </w:pPr>
    </w:p>
    <w:p w14:paraId="525D91FB" w14:textId="53B44A7B"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W Urzędzie do Spraw Cudzoziemców została opracowana procedura postępowania z cudzoziemcami wymagającymi szczególnego traktowania w zakresie pomocy socjalnej, w której szczegółowo wskazano wszystkie etapy pomocy socjalnej osobie z grupy wrażliwej z podziałem na kategorie. Procedura ta ma na celu utrzymanie jakości udzielanej pomocy socjalnej na wysokim poziomie, dostosowanym do szczególnych potrzeb cudzoziemców. Każdy cudzoziemiec, który zgłasza się do ośrodka recepcyjnego, przechodzi przez procedurę identyfikacji w zakresie szczególnych potrzeb podczas badań w ramach procedury filtra epidemiologicznego. W przypadku pozyskania informacji od psychologa, lekarza lub pielęgniarki w trakcie udzielania pomocy socjalnej, że cudzoziemiec jest osobą wymagającą szczególnego traktowania, ustala się z personelem medycznym, w jakim zakresie w odniesieniu do pomocy socjalnej osoba ta wymaga szczególnego traktowania. W przypadku, gdy osoba wymaga specjalnej diety istnieje możliwość uzyskania ekwiwalentu pieniężnego w zamian za wyżywienie, bądź otrzymywania posiłków lub produktów spożywczych dostosowanych do pisemnych zaleceń lekarza w zakresie diety. Gdy zachodzi konieczność zapewnienia dodatkowego sprzętu (jak wózek inwalidzki, kule, </w:t>
      </w:r>
      <w:proofErr w:type="spellStart"/>
      <w:r w:rsidRPr="00135D02">
        <w:rPr>
          <w:rFonts w:ascii="Lato" w:hAnsi="Lato" w:cs="Arial"/>
          <w:color w:val="000000"/>
          <w:sz w:val="20"/>
          <w:szCs w:val="20"/>
        </w:rPr>
        <w:t>pieluchomajtki</w:t>
      </w:r>
      <w:proofErr w:type="spellEnd"/>
      <w:r w:rsidRPr="00135D02">
        <w:rPr>
          <w:rFonts w:ascii="Lato" w:hAnsi="Lato" w:cs="Arial"/>
          <w:color w:val="000000"/>
          <w:sz w:val="20"/>
          <w:szCs w:val="20"/>
        </w:rPr>
        <w:t>, itp.) istnieje możliwość dostarczenia go osobie potrzebującej bezpłatnie (w ramach dostępnych zasobów) lub dofinansowania (w przypadku wózka inwalidzkiego) przez Urząd do Spraw Cudzoziemców. W 2022 r. przez Urząd do Spraw Cudzoziemców zostały zakupione następujące artykuły, które przeznaczone zostały m.in. na potrzeby osób niepełnosprawnych, w tym niepełnosprawnych osób starszych:</w:t>
      </w:r>
    </w:p>
    <w:p w14:paraId="6443C42C" w14:textId="77777777" w:rsidR="006A32A8" w:rsidRPr="00135D02" w:rsidRDefault="007B07C8" w:rsidP="00135D02">
      <w:pPr>
        <w:pStyle w:val="Akapitzlist"/>
        <w:numPr>
          <w:ilvl w:val="0"/>
          <w:numId w:val="29"/>
        </w:numPr>
        <w:spacing w:after="0" w:line="240" w:lineRule="auto"/>
        <w:jc w:val="both"/>
        <w:rPr>
          <w:rFonts w:ascii="Lato" w:hAnsi="Lato" w:cs="Arial"/>
          <w:color w:val="000000"/>
          <w:sz w:val="20"/>
          <w:szCs w:val="20"/>
        </w:rPr>
      </w:pPr>
      <w:r w:rsidRPr="00135D02">
        <w:rPr>
          <w:rFonts w:ascii="Lato" w:hAnsi="Lato" w:cs="Arial"/>
          <w:color w:val="000000"/>
          <w:sz w:val="20"/>
          <w:szCs w:val="20"/>
        </w:rPr>
        <w:t>maseczki jednorazowe dla cudzoziemców będących pod opieką Urzędu do Spraw Cudzoziemców, w celu użytkowania ich podczas wizyt lekarskich, itp.,</w:t>
      </w:r>
    </w:p>
    <w:p w14:paraId="6A0F1AA6" w14:textId="012ADBED" w:rsidR="007B07C8" w:rsidRPr="00135D02" w:rsidRDefault="007B07C8" w:rsidP="00135D02">
      <w:pPr>
        <w:pStyle w:val="Akapitzlist"/>
        <w:numPr>
          <w:ilvl w:val="0"/>
          <w:numId w:val="29"/>
        </w:numPr>
        <w:spacing w:after="0" w:line="240" w:lineRule="auto"/>
        <w:jc w:val="both"/>
        <w:rPr>
          <w:rFonts w:ascii="Lato" w:hAnsi="Lato" w:cs="Arial"/>
          <w:color w:val="000000"/>
          <w:sz w:val="20"/>
          <w:szCs w:val="20"/>
        </w:rPr>
      </w:pPr>
      <w:r w:rsidRPr="00135D02">
        <w:rPr>
          <w:rFonts w:ascii="Lato" w:hAnsi="Lato" w:cs="Arial"/>
          <w:color w:val="000000"/>
          <w:sz w:val="20"/>
          <w:szCs w:val="20"/>
        </w:rPr>
        <w:t>wyposażenie i sprzęt przeznaczony dla osób z grup wrażliwych, np. łóżko rehabilitacyjne, piłki do ćwiczeń, poduszki ortopedyczne, rower treningowy/rehabilitacyjny, chodziki, krzesełko/taboret pod prysznic dla osób niepełnosprawnych i wózek prysznicowy, ciśnieniomierze, pulsoksymetry.</w:t>
      </w:r>
    </w:p>
    <w:p w14:paraId="607E470B" w14:textId="16C9CB37" w:rsidR="007B07C8" w:rsidRPr="00135D02" w:rsidRDefault="007B07C8" w:rsidP="00135D02">
      <w:pPr>
        <w:spacing w:after="0" w:line="240" w:lineRule="auto"/>
        <w:ind w:firstLine="709"/>
        <w:jc w:val="both"/>
        <w:rPr>
          <w:rFonts w:ascii="Lato" w:hAnsi="Lato" w:cs="Arial"/>
          <w:color w:val="000000"/>
          <w:sz w:val="20"/>
          <w:szCs w:val="20"/>
        </w:rPr>
      </w:pPr>
      <w:r w:rsidRPr="00135D02">
        <w:rPr>
          <w:rFonts w:ascii="Lato" w:hAnsi="Lato" w:cs="Arial"/>
          <w:color w:val="000000"/>
          <w:sz w:val="20"/>
          <w:szCs w:val="20"/>
        </w:rPr>
        <w:t xml:space="preserve">Opieka medyczna dla cudzoziemców obejmuje świadczenia opieki zdrowotnej w zakresie przewidzianym w ustawie z dnia 27 sierpnia 2004 r. </w:t>
      </w:r>
      <w:r w:rsidRPr="00135D02">
        <w:rPr>
          <w:rFonts w:ascii="Lato" w:hAnsi="Lato" w:cs="Arial"/>
          <w:i/>
          <w:color w:val="000000"/>
          <w:sz w:val="20"/>
          <w:szCs w:val="20"/>
        </w:rPr>
        <w:t>o świadczeniach opieki zdrowotnej finansowanych ze środków publicznyc</w:t>
      </w:r>
      <w:r w:rsidRPr="00135D02">
        <w:rPr>
          <w:rFonts w:ascii="Lato" w:hAnsi="Lato" w:cs="Arial"/>
          <w:color w:val="000000"/>
          <w:sz w:val="20"/>
          <w:szCs w:val="20"/>
        </w:rPr>
        <w:t xml:space="preserve">h, z wyłączeniem leczenia uzdrowiskowego albo rehabilitacji uzdrowiskowej. Opiekę medyczną dla cudzoziemców ubiegających się w Polsce o udzielenie ochrony międzynarodowej koordynuje firma Petra </w:t>
      </w:r>
      <w:proofErr w:type="spellStart"/>
      <w:r w:rsidRPr="00135D02">
        <w:rPr>
          <w:rFonts w:ascii="Lato" w:hAnsi="Lato" w:cs="Arial"/>
          <w:color w:val="000000"/>
          <w:sz w:val="20"/>
          <w:szCs w:val="20"/>
        </w:rPr>
        <w:t>Medica</w:t>
      </w:r>
      <w:proofErr w:type="spellEnd"/>
      <w:r w:rsidRPr="00135D02">
        <w:rPr>
          <w:rFonts w:ascii="Lato" w:hAnsi="Lato" w:cs="Arial"/>
          <w:color w:val="000000"/>
          <w:sz w:val="20"/>
          <w:szCs w:val="20"/>
        </w:rPr>
        <w:t xml:space="preserve"> sp. z o.o. w Warszawie, na podstawie umowy cywilnoprawnej zawartej pomiędzy Skarbem Państwa reprezentowanym przez Urząd do Spraw Cudzoziemców a ww. Wykonawcą. Opieka medyczna jest realizowana w punktach medycznych we wszystkich ośrodkach dla cudzoziemców oraz Zespole Obsługi Cudzoziemców przy ul. Taborowej 33 w Warszawie. W każdym punkcie pracuje lekarz, pielęgniarka oraz psycholog, którzy świadczą podstawową opiekę medyczną, jak również kierują na badania specjalistyczne. Opieka medyczna dla cudzoziemców zamieszkujących z dala od ośrodków jest realizowana przez placówki w miastach wojewódzkich. Zapisy i koordynacja wizyt lekarskich odbywają się przez infolinię firmy Petra </w:t>
      </w:r>
      <w:proofErr w:type="spellStart"/>
      <w:r w:rsidRPr="00135D02">
        <w:rPr>
          <w:rFonts w:ascii="Lato" w:hAnsi="Lato" w:cs="Arial"/>
          <w:color w:val="000000"/>
          <w:sz w:val="20"/>
          <w:szCs w:val="20"/>
        </w:rPr>
        <w:t>Medica</w:t>
      </w:r>
      <w:proofErr w:type="spellEnd"/>
      <w:r w:rsidRPr="00135D02">
        <w:rPr>
          <w:rFonts w:ascii="Lato" w:hAnsi="Lato" w:cs="Arial"/>
          <w:color w:val="000000"/>
          <w:sz w:val="20"/>
          <w:szCs w:val="20"/>
        </w:rPr>
        <w:t xml:space="preserve"> sp. z o.o., gdzie cudzoziemiec uzyskuje informację o terminie i miejscu wizyty oraz sposobie realizacji recept. </w:t>
      </w:r>
    </w:p>
    <w:p w14:paraId="5685CC41" w14:textId="77777777" w:rsidR="006A32A8" w:rsidRPr="00135D02" w:rsidRDefault="006A32A8" w:rsidP="00135D02">
      <w:pPr>
        <w:spacing w:after="0" w:line="240" w:lineRule="auto"/>
        <w:jc w:val="both"/>
        <w:rPr>
          <w:rFonts w:ascii="Lato" w:hAnsi="Lato" w:cs="Arial"/>
          <w:color w:val="000000"/>
          <w:sz w:val="20"/>
          <w:szCs w:val="20"/>
        </w:rPr>
      </w:pPr>
    </w:p>
    <w:p w14:paraId="67784AAF" w14:textId="7777777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Koordynację tłumaczeń dotyczących dokumentacji medycznej zapewnia operator medyczny świadczący usługi opieki medycznej cudzoziemcom. Operator medyczny współpracuje z tłumaczami języków najczęściej występujących wśród cudzoziemców: rosyjskiego, ukraińskiego, angielskiego, jak również tłumaczami języków rzadkich, np. perskiego, arabskiego, czeczeńskiego czy uzbeckiego. </w:t>
      </w:r>
    </w:p>
    <w:p w14:paraId="3868EF2D" w14:textId="77777777" w:rsidR="006A32A8" w:rsidRPr="00135D02" w:rsidRDefault="006A32A8" w:rsidP="00135D02">
      <w:pPr>
        <w:spacing w:after="0" w:line="240" w:lineRule="auto"/>
        <w:jc w:val="both"/>
        <w:rPr>
          <w:rFonts w:ascii="Lato" w:hAnsi="Lato" w:cs="Arial"/>
          <w:color w:val="000000"/>
          <w:sz w:val="20"/>
          <w:szCs w:val="20"/>
        </w:rPr>
      </w:pPr>
    </w:p>
    <w:p w14:paraId="0CD605AD" w14:textId="65F9BA32"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Dodatkowo, mając na względzie wyjątkowo intymne rozmowy z psychologiem, w ośrodkach dla cudzoziemców zatrudniani są psychologowie biegle mówiący w języku rosyjskim, którym posługuje się większość przebywających w Polsce cudzoziemców ubiegających się o udzielenie ochrony międzynarodowej.</w:t>
      </w:r>
    </w:p>
    <w:p w14:paraId="69B08F1D" w14:textId="77777777" w:rsidR="006A32A8" w:rsidRPr="00135D02" w:rsidRDefault="006A32A8" w:rsidP="00135D02">
      <w:pPr>
        <w:spacing w:after="0" w:line="240" w:lineRule="auto"/>
        <w:jc w:val="both"/>
        <w:rPr>
          <w:rFonts w:ascii="Lato" w:hAnsi="Lato" w:cs="Arial"/>
          <w:color w:val="000000"/>
          <w:sz w:val="20"/>
          <w:szCs w:val="20"/>
        </w:rPr>
      </w:pPr>
    </w:p>
    <w:p w14:paraId="09A4791F" w14:textId="2CAC511D"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W zakresie aktywności edukacyjnej, osoby starsze, podobnie jak inni cudzoziemcy pozostający pod opieką Urzędu do Spraw Cudzoziemców, mogą korzystać z nauki języka polskiego, która zgodnie ze zobowiązaniami wynikającymi z </w:t>
      </w:r>
      <w:r w:rsidRPr="00135D02">
        <w:rPr>
          <w:rFonts w:ascii="Lato" w:hAnsi="Lato" w:cs="Arial"/>
          <w:i/>
          <w:color w:val="000000"/>
          <w:sz w:val="20"/>
          <w:szCs w:val="20"/>
        </w:rPr>
        <w:t>ustawy</w:t>
      </w:r>
      <w:r w:rsidRPr="00135D02">
        <w:rPr>
          <w:rFonts w:ascii="Lato" w:hAnsi="Lato" w:cs="Arial"/>
          <w:color w:val="000000"/>
          <w:sz w:val="20"/>
          <w:szCs w:val="20"/>
        </w:rPr>
        <w:t xml:space="preserve"> </w:t>
      </w:r>
      <w:r w:rsidRPr="00135D02">
        <w:rPr>
          <w:rFonts w:ascii="Lato" w:hAnsi="Lato" w:cs="Arial"/>
          <w:i/>
          <w:color w:val="000000"/>
          <w:sz w:val="20"/>
          <w:szCs w:val="20"/>
        </w:rPr>
        <w:t>o udzielaniu cudzoziemcom ochrony na terytorium Rzeczypospolitej Polskiej</w:t>
      </w:r>
      <w:r w:rsidRPr="00135D02">
        <w:rPr>
          <w:rFonts w:ascii="Lato" w:hAnsi="Lato" w:cs="Arial"/>
          <w:color w:val="000000"/>
          <w:sz w:val="20"/>
          <w:szCs w:val="20"/>
        </w:rPr>
        <w:t xml:space="preserve">, jest zapewniana przez Urząd do Spraw Cudzoziemców. Zajęcia w grupach dla dorosłych są prowadzone w oparciu o ujednolicony materiał dydaktyczny na poziomie A1 oraz A2 z elementami B1. Nacisk kładziony jest na rozwój słuchania i mówienia oraz czytania i pisania. Ponadto programy nauczania uwzględniają specyficzne potrzeby komunikacyjne osób ubiegających się o ochronę międzynarodową w Polsce, w tym treści </w:t>
      </w:r>
      <w:proofErr w:type="spellStart"/>
      <w:r w:rsidRPr="00135D02">
        <w:rPr>
          <w:rFonts w:ascii="Lato" w:hAnsi="Lato" w:cs="Arial"/>
          <w:color w:val="000000"/>
          <w:sz w:val="20"/>
          <w:szCs w:val="20"/>
        </w:rPr>
        <w:t>realioznawcze</w:t>
      </w:r>
      <w:proofErr w:type="spellEnd"/>
      <w:r w:rsidRPr="00135D02">
        <w:rPr>
          <w:rFonts w:ascii="Lato" w:hAnsi="Lato" w:cs="Arial"/>
          <w:color w:val="000000"/>
          <w:sz w:val="20"/>
          <w:szCs w:val="20"/>
        </w:rPr>
        <w:t xml:space="preserve"> i </w:t>
      </w:r>
      <w:proofErr w:type="spellStart"/>
      <w:r w:rsidRPr="00135D02">
        <w:rPr>
          <w:rFonts w:ascii="Lato" w:hAnsi="Lato" w:cs="Arial"/>
          <w:color w:val="000000"/>
          <w:sz w:val="20"/>
          <w:szCs w:val="20"/>
        </w:rPr>
        <w:t>socjokulturowe</w:t>
      </w:r>
      <w:proofErr w:type="spellEnd"/>
      <w:r w:rsidRPr="00135D02">
        <w:rPr>
          <w:rFonts w:ascii="Lato" w:hAnsi="Lato" w:cs="Arial"/>
          <w:color w:val="000000"/>
          <w:sz w:val="20"/>
          <w:szCs w:val="20"/>
        </w:rPr>
        <w:t xml:space="preserve">. Programy nauki obejmują nabycie umiejętności podstawowych, takich jak przedstawienie siebie i swojej rodziny, a także symulacje sytuacji komunikacyjnych: w sklepie, w restauracji, na ulicy, u lekarza, w podróży, w szkole, przy szukaniu pracy lub wynajęciu mieszkania. Prowadzone były również kursy nauki języka polskiego na terenie </w:t>
      </w:r>
      <w:r w:rsidRPr="00135D02">
        <w:rPr>
          <w:rFonts w:ascii="Lato" w:hAnsi="Lato" w:cs="Arial"/>
          <w:color w:val="000000"/>
          <w:sz w:val="20"/>
          <w:szCs w:val="20"/>
        </w:rPr>
        <w:lastRenderedPageBreak/>
        <w:t>Warszawy, które były skierowane do dorosłych cudzoziemców korzystających ze świadczenia na pokrycie we własnym zakresie kosztów pobytu na terytorium Rzeczypospolitej Polskiej i zamieszkujących na terenie Warszawy oraz okolic. Wprowadzono możliwość realizacji ww. zajęć w formie zdalnej, z której mogli skorzystać cudzoziemcy będący pod opieką Urzędu do Spraw Cudzoziemców i zamieszkujący na terenie całej Polski. Cudzoziemcy uczestniczący w kursie są zaopatrywani w podręczniki i materiały biurowe. Ponadto cudzoziemcy mają możliwość otrzymania certyfikatu ukończenia kursu, lub certyfikatu o uczestnictwie w kursie (warunkiem jego otrzymania jest odpowiednio osiągnięcie wyniku pozytywnego z testu końcowego lub frekwencja na poziomie min. 50%). Dodatkowo uczestnicy kursu z najwyższą frekwencją i najlepszymi wynikami w nauce w każdym ośrodku oraz na terenie Warszawy i/lub w formie zdalnej otrzymują nagrody rzeczowe lub bony o wartości 300 zł. Uczestnicy zajęć stacjonarnych na terenie Warszawy mogą zadecydować o wyborze nagrody w formie zwrotu kosztów ich dojazdów na zajęcia.</w:t>
      </w:r>
    </w:p>
    <w:p w14:paraId="061BCCFB" w14:textId="77777777" w:rsidR="006A32A8" w:rsidRPr="00135D02" w:rsidRDefault="006A32A8" w:rsidP="00135D02">
      <w:pPr>
        <w:spacing w:after="0" w:line="240" w:lineRule="auto"/>
        <w:jc w:val="both"/>
        <w:rPr>
          <w:rFonts w:ascii="Lato" w:hAnsi="Lato" w:cs="Arial"/>
          <w:color w:val="000000"/>
          <w:sz w:val="20"/>
          <w:szCs w:val="20"/>
        </w:rPr>
      </w:pPr>
    </w:p>
    <w:p w14:paraId="05C74161" w14:textId="356F339D"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W zakresie aktywności informacyjnych, osoby starsze, podobnie jak inni cudzoziemcy pozostający pod opieką Urzędu do Spraw Cudzoziemców, mogą korzystać z kursów orientacyjnych, które są prowadzone na terenie ośrodków dla cudzoziemców. Zakres tematyczny kursów obejmuje takie tematy jak: pomoc udzielana w ośrodkach dla cudzoziemców i poza nimi, edukacja, opieka medyczna, rynek pracy w Polsce, polska historia i kultura.</w:t>
      </w:r>
    </w:p>
    <w:p w14:paraId="774F7CFF" w14:textId="77777777" w:rsidR="006A32A8" w:rsidRPr="00135D02" w:rsidRDefault="006A32A8" w:rsidP="00135D02">
      <w:pPr>
        <w:spacing w:after="0" w:line="240" w:lineRule="auto"/>
        <w:jc w:val="both"/>
        <w:rPr>
          <w:rFonts w:ascii="Lato" w:hAnsi="Lato" w:cs="Arial"/>
          <w:color w:val="000000"/>
          <w:sz w:val="20"/>
          <w:szCs w:val="20"/>
        </w:rPr>
      </w:pPr>
    </w:p>
    <w:p w14:paraId="4823D2AC" w14:textId="73935C79"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Ponadto w 2022 r. ośrodki dla cudzoziemców wspólnie z organizacjami pozarządowymi aktywizowały osoby starsze do zajęć prowadzonych w formie m. in. warsztatów rękodzieła dla kobiet, warsztatów artystyczno-</w:t>
      </w:r>
      <w:proofErr w:type="spellStart"/>
      <w:r w:rsidRPr="00135D02">
        <w:rPr>
          <w:rFonts w:ascii="Lato" w:hAnsi="Lato" w:cs="Arial"/>
          <w:color w:val="000000"/>
          <w:sz w:val="20"/>
          <w:szCs w:val="20"/>
        </w:rPr>
        <w:t>psycho</w:t>
      </w:r>
      <w:proofErr w:type="spellEnd"/>
      <w:r w:rsidRPr="00135D02">
        <w:rPr>
          <w:rFonts w:ascii="Lato" w:hAnsi="Lato" w:cs="Arial"/>
          <w:color w:val="000000"/>
          <w:sz w:val="20"/>
          <w:szCs w:val="20"/>
        </w:rPr>
        <w:t>-edukacyjnych, warsztatów wykonywania biżuterii oraz zajęć aktywizacyjnych dotyczących wykonywania pracy chałupniczej dla kobiet.</w:t>
      </w:r>
    </w:p>
    <w:p w14:paraId="2155DF50" w14:textId="77777777" w:rsidR="007B07C8" w:rsidRPr="00135D02" w:rsidRDefault="007B07C8" w:rsidP="00135D02">
      <w:pPr>
        <w:spacing w:after="0" w:line="240" w:lineRule="auto"/>
        <w:ind w:firstLine="709"/>
        <w:jc w:val="both"/>
        <w:rPr>
          <w:rFonts w:ascii="Lato" w:hAnsi="Lato" w:cs="Arial"/>
          <w:color w:val="000000"/>
          <w:sz w:val="20"/>
          <w:szCs w:val="20"/>
        </w:rPr>
      </w:pPr>
    </w:p>
    <w:p w14:paraId="7664B6D5" w14:textId="3F7B4A55" w:rsidR="007B07C8" w:rsidRPr="00135D02" w:rsidRDefault="007B07C8" w:rsidP="00135D02">
      <w:pPr>
        <w:spacing w:after="0" w:line="240" w:lineRule="auto"/>
        <w:jc w:val="both"/>
        <w:rPr>
          <w:rFonts w:ascii="Lato" w:hAnsi="Lato" w:cs="Arial"/>
          <w:b/>
          <w:bCs/>
          <w:color w:val="000000"/>
          <w:sz w:val="20"/>
          <w:szCs w:val="20"/>
        </w:rPr>
      </w:pPr>
      <w:r w:rsidRPr="00135D02">
        <w:rPr>
          <w:rFonts w:ascii="Lato" w:hAnsi="Lato" w:cs="Arial"/>
          <w:b/>
          <w:bCs/>
          <w:color w:val="000000"/>
          <w:sz w:val="20"/>
          <w:szCs w:val="20"/>
        </w:rPr>
        <w:t>Działania Policji</w:t>
      </w:r>
    </w:p>
    <w:p w14:paraId="10C7011E" w14:textId="7777777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Policja podejmuje szereg działań na rzecz poprawy bezpieczeństwa, wśród których znajdują się m.in. działania adresowane do różnych grup odbiorców, w tym także osób starszych. Seniorzy stanowią szczególną grupę osób, do których policjanci kierują programy, akcje i inne działania profilaktyczne zmierzające do zapobieżenia ich </w:t>
      </w:r>
      <w:proofErr w:type="spellStart"/>
      <w:r w:rsidRPr="00135D02">
        <w:rPr>
          <w:rFonts w:ascii="Lato" w:hAnsi="Lato" w:cs="Arial"/>
          <w:color w:val="000000"/>
          <w:sz w:val="20"/>
          <w:szCs w:val="20"/>
        </w:rPr>
        <w:t>wiktymizacji</w:t>
      </w:r>
      <w:proofErr w:type="spellEnd"/>
      <w:r w:rsidRPr="00135D02">
        <w:rPr>
          <w:rFonts w:ascii="Lato" w:hAnsi="Lato" w:cs="Arial"/>
          <w:color w:val="000000"/>
          <w:sz w:val="20"/>
          <w:szCs w:val="20"/>
        </w:rPr>
        <w:t xml:space="preserve">. Działania te w szczególności polegają na informowaniu o zagrożeniach występujących w najbliższym otoczeniu, zapoznawaniu ze sposobami działania sprawców przestępstw, jak również aktywizacji w życiu codziennym.    </w:t>
      </w:r>
    </w:p>
    <w:p w14:paraId="3D829991" w14:textId="7777777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I. Działania profilaktyczne.</w:t>
      </w:r>
    </w:p>
    <w:p w14:paraId="52E1FF9E" w14:textId="77777777" w:rsidR="006A32A8" w:rsidRPr="00135D02" w:rsidRDefault="006A32A8" w:rsidP="00135D02">
      <w:pPr>
        <w:spacing w:after="0" w:line="240" w:lineRule="auto"/>
        <w:jc w:val="both"/>
        <w:rPr>
          <w:rFonts w:ascii="Lato" w:hAnsi="Lato" w:cs="Arial"/>
          <w:color w:val="000000"/>
          <w:sz w:val="20"/>
          <w:szCs w:val="20"/>
        </w:rPr>
      </w:pPr>
    </w:p>
    <w:p w14:paraId="564A15F5" w14:textId="77DF76EB"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Główne kierunki policyjnych działań w zakresie zapobiegania przestępczości oraz innym zagrożeniom społecznym znalazły odzwierciedlenie w Priorytetach Komendanta Głównego Policji na lata 2021-2023, w III Priorytecie </w:t>
      </w:r>
      <w:r w:rsidRPr="00135D02">
        <w:rPr>
          <w:rFonts w:ascii="Lato" w:hAnsi="Lato" w:cs="Arial"/>
          <w:i/>
          <w:color w:val="000000"/>
          <w:sz w:val="20"/>
          <w:szCs w:val="20"/>
        </w:rPr>
        <w:t>„Podniesienie efektywności działań Policji w celu realizacji oczekiwań społecznych”.</w:t>
      </w:r>
      <w:r w:rsidRPr="00135D02">
        <w:rPr>
          <w:rFonts w:ascii="Lato" w:hAnsi="Lato" w:cs="Arial"/>
          <w:color w:val="000000"/>
          <w:sz w:val="20"/>
          <w:szCs w:val="20"/>
        </w:rPr>
        <w:t xml:space="preserve"> Wśród zadań służących realizacji wspomnianego priorytetu znalazło się zadanie polegające na dostosowaniu działań profilaktycznych Policji do zdiagnozowanych zagrożeń społecznych m.in. w obszarze bezpieczeństwa seniorów.</w:t>
      </w:r>
    </w:p>
    <w:p w14:paraId="14609212" w14:textId="77777777" w:rsidR="006A32A8" w:rsidRPr="00135D02" w:rsidRDefault="006A32A8" w:rsidP="00135D02">
      <w:pPr>
        <w:spacing w:after="0" w:line="240" w:lineRule="auto"/>
        <w:jc w:val="both"/>
        <w:rPr>
          <w:rFonts w:ascii="Lato" w:hAnsi="Lato" w:cs="Arial"/>
          <w:color w:val="000000"/>
          <w:sz w:val="20"/>
          <w:szCs w:val="20"/>
        </w:rPr>
      </w:pPr>
    </w:p>
    <w:p w14:paraId="73394060" w14:textId="4318401E"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Realizacja wspomnianych wyżej zadań ustawowych wiąże się najczęściej z opracowaniem i wdrażaniem przez jednostki organizacyjne Policji programów lub działań profilaktycznych (akcje, kampanie i spotkania informacyjne, konkursy wiedzy, audycje radiowe i telewizyjne, komunikaty na stronach internetowych, itd.). W związku ze zmieniającymi się uwarunkowaniami społecznymi, a także zgodnie z deklarowanymi przez mieszkańców obawami przed staniem się ofiarą konkretnego przestępstwa lub zagrożenia – inicjatywy te podlegają ciągłej modyfikacji lub są zastępowane przez nowe, dostosowane do aktualnych zagrożeń społecznych. Działania profilaktyczne Policji odpowiadają na realne potrzeby społeczne, a także formułowane przez mieszkańców konkretne oczekiwania, co do rodzaju i form aktywności Policji w obszarze zapobiegania zagrożeniom bezpieczeństwa. Podstawę realizacji programów profilaktycznych stanowi również współpraca z instytucjami </w:t>
      </w:r>
      <w:proofErr w:type="spellStart"/>
      <w:r w:rsidRPr="00135D02">
        <w:rPr>
          <w:rFonts w:ascii="Lato" w:hAnsi="Lato" w:cs="Arial"/>
          <w:color w:val="000000"/>
          <w:sz w:val="20"/>
          <w:szCs w:val="20"/>
        </w:rPr>
        <w:t>pozapolicyjnymi</w:t>
      </w:r>
      <w:proofErr w:type="spellEnd"/>
      <w:r w:rsidRPr="00135D02">
        <w:rPr>
          <w:rFonts w:ascii="Lato" w:hAnsi="Lato" w:cs="Arial"/>
          <w:color w:val="000000"/>
          <w:sz w:val="20"/>
          <w:szCs w:val="20"/>
        </w:rPr>
        <w:t xml:space="preserve"> m.in. takimi jak: władze samorządowe, organizacje kościelne, urzędy pocztowe, instytucje finansowe, placówki służby zdrowia, uczelnie wyższe, czy stowarzyszenia działające na rzecz bezpieczeństwa. W 2022 r. Policja zrealizowała 987 różnego rodzaju inicjatyw profilaktycznych w obszarze dotyczącym bezpieczeństwa seniorów, w tym 16317 spotkań, w których uczestniczyło 328 329 osób.</w:t>
      </w:r>
    </w:p>
    <w:p w14:paraId="75F831FF" w14:textId="77777777" w:rsidR="006A32A8" w:rsidRPr="00135D02" w:rsidRDefault="006A32A8" w:rsidP="00135D02">
      <w:pPr>
        <w:spacing w:after="0" w:line="240" w:lineRule="auto"/>
        <w:jc w:val="both"/>
        <w:rPr>
          <w:rFonts w:ascii="Lato" w:hAnsi="Lato" w:cs="Arial"/>
          <w:color w:val="000000"/>
          <w:sz w:val="20"/>
          <w:szCs w:val="20"/>
        </w:rPr>
      </w:pPr>
    </w:p>
    <w:p w14:paraId="7667A40C" w14:textId="57D087D7"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Podkreślenia wymaga fakt, że do seniorów adresowane są również działania z obszaru </w:t>
      </w:r>
      <w:proofErr w:type="spellStart"/>
      <w:r w:rsidRPr="00135D02">
        <w:rPr>
          <w:rFonts w:ascii="Lato" w:hAnsi="Lato" w:cs="Arial"/>
          <w:color w:val="000000"/>
          <w:sz w:val="20"/>
          <w:szCs w:val="20"/>
        </w:rPr>
        <w:t>cyberzagrożeń</w:t>
      </w:r>
      <w:proofErr w:type="spellEnd"/>
      <w:r w:rsidRPr="00135D02">
        <w:rPr>
          <w:rFonts w:ascii="Lato" w:hAnsi="Lato" w:cs="Arial"/>
          <w:color w:val="000000"/>
          <w:sz w:val="20"/>
          <w:szCs w:val="20"/>
        </w:rPr>
        <w:t>. W obszarze tym w 2022 r. Policja zrealizowała 61 różnego rodzaju inicjatyw profilaktycznych skierowanych do seniorów, w tym 523 spotkania, w których uczestniczyło 12 686 osób.</w:t>
      </w:r>
    </w:p>
    <w:p w14:paraId="00DA2C3D" w14:textId="77777777" w:rsidR="006A32A8" w:rsidRPr="00135D02" w:rsidRDefault="006A32A8" w:rsidP="00135D02">
      <w:pPr>
        <w:spacing w:after="0" w:line="240" w:lineRule="auto"/>
        <w:jc w:val="both"/>
        <w:rPr>
          <w:rFonts w:ascii="Lato" w:hAnsi="Lato" w:cs="Arial"/>
          <w:color w:val="000000"/>
          <w:sz w:val="20"/>
          <w:szCs w:val="20"/>
        </w:rPr>
      </w:pPr>
    </w:p>
    <w:p w14:paraId="010D6643" w14:textId="4DA2FD3F"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lastRenderedPageBreak/>
        <w:t>Jako przykłady działań realizowanych przez Policję na rzecz ochrony osób starszych można wskazać:</w:t>
      </w:r>
    </w:p>
    <w:p w14:paraId="7A18BC3A"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 xml:space="preserve">przygotowywanie i umieszczanie na kanale YouTube, przez jednostki organizacyjne Policji filmów adresowanych do seniorów, których celem było zobrazowanie i uwrażliwienie na metody działania sprawców oszustw. Podkreślić należy, że część z przygotowanych filmów, w ramach współpracy Policji z lokalnymi stacjami telewizyjnymi, była emitowana na antenie. Jako przykład można wskazać na Komendę Wojewódzką Policji w Krakowie, która przygotowała cykl filmów skierowanych do seniorów pt. </w:t>
      </w:r>
      <w:r w:rsidRPr="00135D02">
        <w:rPr>
          <w:rFonts w:ascii="Lato" w:hAnsi="Lato" w:cs="Arial"/>
          <w:i/>
          <w:color w:val="000000"/>
          <w:sz w:val="20"/>
          <w:szCs w:val="20"/>
        </w:rPr>
        <w:t>„Seniorze, nie daj się oszukać”,</w:t>
      </w:r>
      <w:r w:rsidRPr="00135D02">
        <w:rPr>
          <w:rFonts w:ascii="Lato" w:hAnsi="Lato" w:cs="Arial"/>
          <w:color w:val="000000"/>
          <w:sz w:val="20"/>
          <w:szCs w:val="20"/>
        </w:rPr>
        <w:t xml:space="preserve"> dotyczących elementarnych zasad bezpieczeństwa,</w:t>
      </w:r>
    </w:p>
    <w:p w14:paraId="21F9FD80"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kontynuowanie przez Komendę Wojewódzką Policji we Wrocławiu, za pośrednictwem kanału YouTube, w każdy pierwszy poniedziałek miesiąca w godzinach 9:00 – 9:30 na żywo audycji pn. „</w:t>
      </w:r>
      <w:r w:rsidRPr="00135D02">
        <w:rPr>
          <w:rFonts w:ascii="Lato" w:hAnsi="Lato" w:cs="Arial"/>
          <w:i/>
          <w:color w:val="000000"/>
          <w:sz w:val="20"/>
          <w:szCs w:val="20"/>
        </w:rPr>
        <w:t>Senior Online”.</w:t>
      </w:r>
      <w:r w:rsidRPr="00135D02">
        <w:rPr>
          <w:rFonts w:ascii="Lato" w:hAnsi="Lato" w:cs="Arial"/>
          <w:color w:val="000000"/>
          <w:sz w:val="20"/>
          <w:szCs w:val="20"/>
        </w:rPr>
        <w:t xml:space="preserve"> Celem tych audycji jest przede wszystkim kontakt Policji oraz zapraszanych gości, takich jak np. miejski rzecznik konsumenta z seniorami i uwrażliwianie społeczeństwa na sytuacje, w których osoby starsze stają się ofiarami przestępstw. Podczas audycji policjanci zwracają uwagę na powody wyboru seniorów jako ofiar np. oszustw oraz podają wskazówki, jak można ten proces zatrzymać. W cyklu tych audycji policjanci z danej Komendy Powiatowej Policji/Komendy Miejskiej Policji spotykają się z mieszkańcami i omawiają zagrożenia, w tym konkretne przykłady zdarzeń, do jakich doszło w ostatnim czasie z udziałem seniorów na terenie podległym konkretnej Komendzie Powiatowej Policji/Komendzie Miejskiej Policji,</w:t>
      </w:r>
    </w:p>
    <w:p w14:paraId="0E7EE341"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 xml:space="preserve">przedsięwzięcie informacyjno-edukacyjne </w:t>
      </w:r>
      <w:r w:rsidRPr="00135D02">
        <w:rPr>
          <w:rFonts w:ascii="Lato" w:hAnsi="Lato" w:cs="Arial"/>
          <w:i/>
          <w:color w:val="000000"/>
          <w:sz w:val="20"/>
          <w:szCs w:val="20"/>
        </w:rPr>
        <w:t>„Parasol bezpieczeństwa seniora”,</w:t>
      </w:r>
      <w:r w:rsidRPr="00135D02">
        <w:rPr>
          <w:rFonts w:ascii="Lato" w:hAnsi="Lato" w:cs="Arial"/>
          <w:color w:val="000000"/>
          <w:sz w:val="20"/>
          <w:szCs w:val="20"/>
        </w:rPr>
        <w:t xml:space="preserve"> którego celem było edukowanie starszych mieszkańców, w zakresie wielu aspektów bezpieczeństwa, zarówno w przestrzeni publicznej, podczas podróży w sezonie wakacyjnym, czy też w trakcie pobytu w plenerze np. przed różnymi formami oszustw na legendę, przed włamaniem, kradzieżą do mieszkań, domów czy ogródków działkowych. W ramach przedsięwzięcia przeprowadzono 216 spotkań, w których wzięło udział 1 829 osób, w tym seniorzy (Komenda Wojewódzka Policji w Łodzi),</w:t>
      </w:r>
    </w:p>
    <w:p w14:paraId="34E10097"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 xml:space="preserve">kampania informacyjno-edukacyjna </w:t>
      </w:r>
      <w:r w:rsidRPr="00135D02">
        <w:rPr>
          <w:rFonts w:ascii="Lato" w:hAnsi="Lato" w:cs="Arial"/>
          <w:i/>
          <w:color w:val="000000"/>
          <w:sz w:val="20"/>
          <w:szCs w:val="20"/>
        </w:rPr>
        <w:t>„Bezpieczny senior”,</w:t>
      </w:r>
      <w:r w:rsidRPr="00135D02">
        <w:rPr>
          <w:rFonts w:ascii="Lato" w:hAnsi="Lato" w:cs="Arial"/>
          <w:color w:val="000000"/>
          <w:sz w:val="20"/>
          <w:szCs w:val="20"/>
        </w:rPr>
        <w:t xml:space="preserve"> której celem była nauka bezpiecznych </w:t>
      </w:r>
      <w:proofErr w:type="spellStart"/>
      <w:r w:rsidRPr="00135D02">
        <w:rPr>
          <w:rFonts w:ascii="Lato" w:hAnsi="Lato" w:cs="Arial"/>
          <w:color w:val="000000"/>
          <w:sz w:val="20"/>
          <w:szCs w:val="20"/>
        </w:rPr>
        <w:t>zachowań</w:t>
      </w:r>
      <w:proofErr w:type="spellEnd"/>
      <w:r w:rsidRPr="00135D02">
        <w:rPr>
          <w:rFonts w:ascii="Lato" w:hAnsi="Lato" w:cs="Arial"/>
          <w:color w:val="000000"/>
          <w:sz w:val="20"/>
          <w:szCs w:val="20"/>
        </w:rPr>
        <w:t xml:space="preserve"> i umiejętności, radzenie sobie w sytuacjach kryzysowych, przeciwdziałanie zjawiskom patologii, a szczególnie zmniejszenie liczby przestępstw na szkodę seniorów, jak również aktywizacja ludzi w wieku emerytalnym. W ramach przedsięwzięcia przeprowadzono 34 spotkania, w których wzięło udział 714 seniorów (Komenda Wojewódzka Policji w Olsztynie),</w:t>
      </w:r>
    </w:p>
    <w:p w14:paraId="36E081BD"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kampania informacyjno-edukacyjna „</w:t>
      </w:r>
      <w:r w:rsidRPr="00135D02">
        <w:rPr>
          <w:rFonts w:ascii="Lato" w:hAnsi="Lato" w:cs="Arial"/>
          <w:i/>
          <w:color w:val="000000"/>
          <w:sz w:val="20"/>
          <w:szCs w:val="20"/>
        </w:rPr>
        <w:t>Senior–Net”,</w:t>
      </w:r>
      <w:r w:rsidRPr="00135D02">
        <w:rPr>
          <w:rFonts w:ascii="Lato" w:hAnsi="Lato" w:cs="Arial"/>
          <w:color w:val="000000"/>
          <w:sz w:val="20"/>
          <w:szCs w:val="20"/>
        </w:rPr>
        <w:t xml:space="preserve"> której celem było zachęcenie emerytów i rencistów do korzystania z usług bankowych przy otrzymywaniu i przechowywaniu środków pieniężnych, w celu zapobieżenia ich utraty w wyniku kradzieży czy oszustwa. W ramach przedsięwzięcia przeprowadzono 71 spotkań, w których wzięły udział 2 534 osoby, w tym emeryci i renciści. Autorami kampanii, oprócz Policji, był ZUS i KRUS (Komenda Wojewódzka Policji w Katowicach),</w:t>
      </w:r>
    </w:p>
    <w:p w14:paraId="5DDE042E"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projekt „</w:t>
      </w:r>
      <w:r w:rsidRPr="00135D02">
        <w:rPr>
          <w:rFonts w:ascii="Lato" w:hAnsi="Lato" w:cs="Arial"/>
          <w:i/>
          <w:color w:val="000000"/>
          <w:sz w:val="20"/>
          <w:szCs w:val="20"/>
        </w:rPr>
        <w:t>Fałszywy telefon – zagrożone oszczędności</w:t>
      </w:r>
      <w:r w:rsidRPr="00135D02">
        <w:rPr>
          <w:rFonts w:ascii="Lato" w:hAnsi="Lato" w:cs="Arial"/>
          <w:color w:val="000000"/>
          <w:sz w:val="20"/>
          <w:szCs w:val="20"/>
        </w:rPr>
        <w:t xml:space="preserve">” zainaugurowany przez Komendę Wojewódzką Policji w Rzeszowie, którego celem było upowszechnianie wiedzy na temat specyfiki zorganizowanych oszustw metodą na tzw. legendę „na wnuczka”, „na policjanta”, „na wypadek”, w tym kampanie edukacyjno-informacyjne oraz spotkania bezpośrednio z seniorami. Partnerami projektu były Komendy Wojewódzkie Policji w: Białymstoku, Lublinie, Olsztynie oraz Gorzowie Wielkopolskim. Pod koniec 2022 r. w Janowie Podlaskim na terenie województwa lubelskiego odbyła się konferencja podsumowująca projekt, która miała na celu upowszechnianie wypracowanych rezultatów. W konferencji poza partnerami projektu, uczestniczyli reprezentanci Policji zagranicznych: Narodowej Policji Hiszpańskiej, Policji Kryminalnej – Prezydium Policji w Berlinie, Narodowej Policji Bułgarskiej, Komendy Stołecznej Policji w Budapeszcie, Policji Rumuńskiej oraz Rumuńskiego Instytutu Zapobiegania Przestępczości. Podczas podsumowania omówiono stopień realizacji założeń projektu: </w:t>
      </w:r>
    </w:p>
    <w:p w14:paraId="445E22D3" w14:textId="77777777" w:rsidR="006A32A8" w:rsidRPr="00135D02" w:rsidRDefault="007B07C8" w:rsidP="00135D02">
      <w:pPr>
        <w:pStyle w:val="Akapitzlist"/>
        <w:numPr>
          <w:ilvl w:val="0"/>
          <w:numId w:val="30"/>
        </w:num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w każdej jednostce uczestniczącej w projekcie zorganizowano </w:t>
      </w:r>
      <w:r w:rsidRPr="00135D02">
        <w:rPr>
          <w:rFonts w:ascii="Lato" w:hAnsi="Lato" w:cs="Arial"/>
          <w:i/>
          <w:color w:val="000000"/>
          <w:sz w:val="20"/>
          <w:szCs w:val="20"/>
        </w:rPr>
        <w:t>„Dni pomocy osobom pokrzywdzonym przestępstwem”.</w:t>
      </w:r>
      <w:r w:rsidRPr="00135D02">
        <w:rPr>
          <w:rFonts w:ascii="Lato" w:hAnsi="Lato" w:cs="Arial"/>
          <w:color w:val="000000"/>
          <w:sz w:val="20"/>
          <w:szCs w:val="20"/>
        </w:rPr>
        <w:t xml:space="preserve"> Policjanci udzielali pomocy osobom pokrzywdzonym przestępstwem oraz przekazywali wskazówki, jak reagować w przypadku próby oszustwa i gdzie szukać pomocy. Łącznie odbyło się ponad 100 takich dyżurów,</w:t>
      </w:r>
    </w:p>
    <w:p w14:paraId="24C988CF" w14:textId="77777777" w:rsidR="006A32A8" w:rsidRPr="00135D02" w:rsidRDefault="007B07C8" w:rsidP="00135D02">
      <w:pPr>
        <w:pStyle w:val="Akapitzlist"/>
        <w:numPr>
          <w:ilvl w:val="0"/>
          <w:numId w:val="30"/>
        </w:num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w ramach akcji </w:t>
      </w:r>
      <w:r w:rsidRPr="00135D02">
        <w:rPr>
          <w:rFonts w:ascii="Lato" w:hAnsi="Lato" w:cs="Arial"/>
          <w:i/>
          <w:color w:val="000000"/>
          <w:sz w:val="20"/>
          <w:szCs w:val="20"/>
        </w:rPr>
        <w:t>„Powiadom swojego seniora”</w:t>
      </w:r>
      <w:r w:rsidRPr="00135D02">
        <w:rPr>
          <w:rFonts w:ascii="Lato" w:hAnsi="Lato" w:cs="Arial"/>
          <w:color w:val="000000"/>
          <w:sz w:val="20"/>
          <w:szCs w:val="20"/>
        </w:rPr>
        <w:t xml:space="preserve"> odbyło się blisko 200 spotkań, podczas których omówiono najważniejsze elementy związane z bezpieczeństwem seniorów i sposobem postępowania podczas kontaktu z potencjalnym sprawcą. Seniorzy otrzymali ulotki i materiały promocyjne z kontaktem do koordynatora merytorycznego. W ramach akcji przeszkolono ponad 3 000 seniorów,</w:t>
      </w:r>
    </w:p>
    <w:p w14:paraId="2C7F2548" w14:textId="77777777" w:rsidR="006A32A8" w:rsidRPr="00135D02" w:rsidRDefault="007B07C8" w:rsidP="00135D02">
      <w:pPr>
        <w:pStyle w:val="Akapitzlist"/>
        <w:numPr>
          <w:ilvl w:val="0"/>
          <w:numId w:val="30"/>
        </w:numPr>
        <w:spacing w:after="0" w:line="240" w:lineRule="auto"/>
        <w:jc w:val="both"/>
        <w:rPr>
          <w:rFonts w:ascii="Lato" w:hAnsi="Lato" w:cs="Arial"/>
          <w:color w:val="000000"/>
          <w:sz w:val="20"/>
          <w:szCs w:val="20"/>
        </w:rPr>
      </w:pPr>
      <w:r w:rsidRPr="00135D02">
        <w:rPr>
          <w:rFonts w:ascii="Lato" w:hAnsi="Lato" w:cs="Arial"/>
          <w:color w:val="000000"/>
          <w:sz w:val="20"/>
          <w:szCs w:val="20"/>
        </w:rPr>
        <w:t>wyemitowano łącznie 700 spotów prewencyjnych dotyczących oszustw metodą na tzw. legendę „na wnuczka”, „na policjanta”, „na wypadek”, na antenach telewizji regionalnych,</w:t>
      </w:r>
    </w:p>
    <w:p w14:paraId="02DB2140" w14:textId="77777777" w:rsidR="006A32A8" w:rsidRPr="00135D02" w:rsidRDefault="007B07C8" w:rsidP="00135D02">
      <w:pPr>
        <w:pStyle w:val="Akapitzlist"/>
        <w:numPr>
          <w:ilvl w:val="0"/>
          <w:numId w:val="30"/>
        </w:num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łącznie przeszkolono ponad 300 osób, w ramach organizowanych seminariów dla funkcjonariuszy wydziałów prewencji oraz policjantów realizujących zadania z zakresu </w:t>
      </w:r>
      <w:r w:rsidRPr="00135D02">
        <w:rPr>
          <w:rFonts w:ascii="Lato" w:hAnsi="Lato" w:cs="Arial"/>
          <w:color w:val="000000"/>
          <w:sz w:val="20"/>
          <w:szCs w:val="20"/>
        </w:rPr>
        <w:lastRenderedPageBreak/>
        <w:t xml:space="preserve">profilaktyki społecznej komend miejskich i powiatowych Policji, poszczególnych komend wojewódzkich Policji oraz podmiotów zewnętrznych działających na rzecz seniorów (przedstawicieli banku, stowarzyszeń, UOKiK) na temat specyfiki oszustw popełnianych metodą "na wnuczka", bezpieczeństwa seniorów w sieci oraz zapobiegania wtórnej </w:t>
      </w:r>
      <w:proofErr w:type="spellStart"/>
      <w:r w:rsidRPr="00135D02">
        <w:rPr>
          <w:rFonts w:ascii="Lato" w:hAnsi="Lato" w:cs="Arial"/>
          <w:color w:val="000000"/>
          <w:sz w:val="20"/>
          <w:szCs w:val="20"/>
        </w:rPr>
        <w:t>wiktymizacji</w:t>
      </w:r>
      <w:proofErr w:type="spellEnd"/>
      <w:r w:rsidRPr="00135D02">
        <w:rPr>
          <w:rFonts w:ascii="Lato" w:hAnsi="Lato" w:cs="Arial"/>
          <w:color w:val="000000"/>
          <w:sz w:val="20"/>
          <w:szCs w:val="20"/>
        </w:rPr>
        <w:t xml:space="preserve"> ofiar przestępstw,</w:t>
      </w:r>
    </w:p>
    <w:p w14:paraId="338B1205" w14:textId="624EC4A7" w:rsidR="007B07C8" w:rsidRPr="00135D02" w:rsidRDefault="007B07C8" w:rsidP="00135D02">
      <w:pPr>
        <w:pStyle w:val="Akapitzlist"/>
        <w:numPr>
          <w:ilvl w:val="0"/>
          <w:numId w:val="30"/>
        </w:numPr>
        <w:spacing w:after="0" w:line="240" w:lineRule="auto"/>
        <w:jc w:val="both"/>
        <w:rPr>
          <w:rFonts w:ascii="Lato" w:hAnsi="Lato" w:cs="Arial"/>
          <w:color w:val="000000"/>
          <w:sz w:val="20"/>
          <w:szCs w:val="20"/>
        </w:rPr>
      </w:pPr>
      <w:r w:rsidRPr="00135D02">
        <w:rPr>
          <w:rFonts w:ascii="Lato" w:hAnsi="Lato" w:cs="Arial"/>
          <w:color w:val="000000"/>
          <w:sz w:val="20"/>
          <w:szCs w:val="20"/>
        </w:rPr>
        <w:t>na terenie komend wojewódzkich Policji biorących udział w projekcie zrealizowano szkolenia dla przedstawicieli banków, firm świadczących usługi finansowe (łącznie ponad 60 podmiotów finansowych),</w:t>
      </w:r>
    </w:p>
    <w:p w14:paraId="793F14AB" w14:textId="77777777" w:rsidR="007B07C8" w:rsidRPr="00135D02" w:rsidRDefault="007B07C8" w:rsidP="00135D02">
      <w:pPr>
        <w:pStyle w:val="Akapitzlist"/>
        <w:numPr>
          <w:ilvl w:val="0"/>
          <w:numId w:val="27"/>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 xml:space="preserve">przedsięwzięcie informacyjno-edukacyjne </w:t>
      </w:r>
      <w:r w:rsidRPr="00135D02">
        <w:rPr>
          <w:rFonts w:ascii="Lato" w:hAnsi="Lato" w:cs="Arial"/>
          <w:i/>
          <w:color w:val="000000"/>
          <w:sz w:val="20"/>
          <w:szCs w:val="20"/>
        </w:rPr>
        <w:t>„</w:t>
      </w:r>
      <w:proofErr w:type="spellStart"/>
      <w:r w:rsidRPr="00135D02">
        <w:rPr>
          <w:rFonts w:ascii="Lato" w:hAnsi="Lato" w:cs="Arial"/>
          <w:i/>
          <w:color w:val="000000"/>
          <w:sz w:val="20"/>
          <w:szCs w:val="20"/>
        </w:rPr>
        <w:t>Cyberbank</w:t>
      </w:r>
      <w:proofErr w:type="spellEnd"/>
      <w:r w:rsidRPr="00135D02">
        <w:rPr>
          <w:rFonts w:ascii="Lato" w:hAnsi="Lato" w:cs="Arial"/>
          <w:i/>
          <w:color w:val="000000"/>
          <w:sz w:val="20"/>
          <w:szCs w:val="20"/>
        </w:rPr>
        <w:t xml:space="preserve"> 2.0”,</w:t>
      </w:r>
      <w:r w:rsidRPr="00135D02">
        <w:rPr>
          <w:rFonts w:ascii="Lato" w:hAnsi="Lato" w:cs="Arial"/>
          <w:color w:val="000000"/>
          <w:sz w:val="20"/>
          <w:szCs w:val="20"/>
        </w:rPr>
        <w:t xml:space="preserve"> którego celem było upowszechnianie bezpiecznych zasad korzystania z bankowości elektronicznej oraz popularyzacja wiedzy o zasadach funkcjonowania rynku finansowego wśród seniorów. Istotnym elementem projektu było również wypracowanie algorytmów współpracy pomiędzy pracownikami banków a Policją, w przypadku próby popełnienia oszustwa o charakterze bankowym. W ramach projektu zorganizowano warsztaty dla 40. funkcjonariuszy, mające na celu podniesienie wiedzy i umiejętności w zakresie bezpieczeństwa bankowości elektronicznej i </w:t>
      </w:r>
      <w:proofErr w:type="spellStart"/>
      <w:r w:rsidRPr="00135D02">
        <w:rPr>
          <w:rFonts w:ascii="Lato" w:hAnsi="Lato" w:cs="Arial"/>
          <w:color w:val="000000"/>
          <w:sz w:val="20"/>
          <w:szCs w:val="20"/>
        </w:rPr>
        <w:t>cyberzagrożeń</w:t>
      </w:r>
      <w:proofErr w:type="spellEnd"/>
      <w:r w:rsidRPr="00135D02">
        <w:rPr>
          <w:rFonts w:ascii="Lato" w:hAnsi="Lato" w:cs="Arial"/>
          <w:color w:val="000000"/>
          <w:sz w:val="20"/>
          <w:szCs w:val="20"/>
        </w:rPr>
        <w:t>. W ramach projektu przeprowadzono 679 spotkań, w których uczestniczyło 13 005 osób, w tym seniorzy (Komenda Wojewódzka Policji w Kielcach).</w:t>
      </w:r>
    </w:p>
    <w:p w14:paraId="05F1D7DC" w14:textId="77777777" w:rsidR="006A32A8" w:rsidRPr="00135D02" w:rsidRDefault="006A32A8" w:rsidP="00135D02">
      <w:pPr>
        <w:spacing w:after="0" w:line="240" w:lineRule="auto"/>
        <w:jc w:val="both"/>
        <w:rPr>
          <w:rFonts w:ascii="Lato" w:hAnsi="Lato" w:cs="Arial"/>
          <w:color w:val="000000"/>
          <w:sz w:val="20"/>
          <w:szCs w:val="20"/>
        </w:rPr>
      </w:pPr>
    </w:p>
    <w:p w14:paraId="0408CF92" w14:textId="0457FE78" w:rsidR="007B07C8" w:rsidRPr="00135D02" w:rsidRDefault="007B07C8" w:rsidP="00135D02">
      <w:pPr>
        <w:spacing w:after="0" w:line="240" w:lineRule="auto"/>
        <w:jc w:val="both"/>
        <w:rPr>
          <w:rFonts w:ascii="Lato" w:hAnsi="Lato" w:cs="Arial"/>
          <w:b/>
          <w:bCs/>
          <w:color w:val="000000"/>
          <w:sz w:val="20"/>
          <w:szCs w:val="20"/>
        </w:rPr>
      </w:pPr>
      <w:r w:rsidRPr="00135D02">
        <w:rPr>
          <w:rFonts w:ascii="Lato" w:hAnsi="Lato" w:cs="Arial"/>
          <w:b/>
          <w:bCs/>
          <w:color w:val="000000"/>
          <w:sz w:val="20"/>
          <w:szCs w:val="20"/>
        </w:rPr>
        <w:t>Monitorowanie obszaru związanego z działalnością domów pomocy społecznej oraz placówek zapewniających całodobową opiekę osobom niepełnosprawnym, przewlekle chorym lub osobom w podeszłym wieku działających w oparciu o zezwolenie wojewody, jak i bez takiego zezwolenia.</w:t>
      </w:r>
    </w:p>
    <w:p w14:paraId="63BBF25B" w14:textId="77777777" w:rsidR="006A32A8" w:rsidRPr="00135D02" w:rsidRDefault="006A32A8" w:rsidP="00135D02">
      <w:pPr>
        <w:spacing w:after="0" w:line="240" w:lineRule="auto"/>
        <w:jc w:val="both"/>
        <w:rPr>
          <w:rFonts w:ascii="Lato" w:hAnsi="Lato" w:cs="Arial"/>
          <w:color w:val="000000"/>
          <w:sz w:val="20"/>
          <w:szCs w:val="20"/>
        </w:rPr>
      </w:pPr>
    </w:p>
    <w:p w14:paraId="610FD9CC" w14:textId="2B973AEA"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Do przeprowadzania kontroli działalności domów pomocy społecznej oraz placówek zapewniających całodobową opiekę osobom niepełnosprawnym, przewlekle chorym lub osobom w podeszłym wieku ustawodawca uprawnił wyłącznie wojewodów. Wojewoda, na podstawie art. 127a ustawy z dnia 12 marca 2004 r. </w:t>
      </w:r>
      <w:r w:rsidRPr="00135D02">
        <w:rPr>
          <w:rFonts w:ascii="Lato" w:hAnsi="Lato" w:cs="Arial"/>
          <w:i/>
          <w:color w:val="000000"/>
          <w:sz w:val="20"/>
          <w:szCs w:val="20"/>
        </w:rPr>
        <w:t>o pomocy społecznej</w:t>
      </w:r>
      <w:r w:rsidRPr="00135D02">
        <w:rPr>
          <w:rFonts w:ascii="Lato" w:hAnsi="Lato" w:cs="Arial"/>
          <w:color w:val="000000"/>
          <w:sz w:val="20"/>
          <w:szCs w:val="20"/>
        </w:rPr>
        <w:t xml:space="preserve">, może wystąpić z wnioskiem do właściwego miejscowo komendanta Policji o pomoc, jeżeli jest to niezbędne do przeprowadzenia czynności kontrolnych. Działania podjęte przez jednostki organizacyjne Policji podległe Komendzie Wojewódzkiej Policji/Komendzie Stołecznej Policji, polegające na zidentyfikowaniu domów/placówek mogących funkcjonować na ich terenie bez zezwolenia wojewody, nadal miały charakter wspierający urzędy wojewódzkie. Polegały one m.in. na określeniu lokalizacji ich funkcjonowania, w oparciu o posiadaną wiedzę dzielnicowych, wynikającą z rozpoznania </w:t>
      </w:r>
      <w:proofErr w:type="spellStart"/>
      <w:r w:rsidRPr="00135D02">
        <w:rPr>
          <w:rFonts w:ascii="Lato" w:hAnsi="Lato" w:cs="Arial"/>
          <w:color w:val="000000"/>
          <w:sz w:val="20"/>
          <w:szCs w:val="20"/>
        </w:rPr>
        <w:t>terenowo-osobowego</w:t>
      </w:r>
      <w:proofErr w:type="spellEnd"/>
      <w:r w:rsidRPr="00135D02">
        <w:rPr>
          <w:rFonts w:ascii="Lato" w:hAnsi="Lato" w:cs="Arial"/>
          <w:color w:val="000000"/>
          <w:sz w:val="20"/>
          <w:szCs w:val="20"/>
        </w:rPr>
        <w:t xml:space="preserve">, pogłębionego m.in. o rozmowy z mieszkańcami sąsiadujących posesji lub pracownikami domów/placówek. Pozyskane w ten sposób informacje porównywane były z rejestrami prowadzonymi przez właściwych miejscowo wojewodów. Następnie funkcjonariusze przekazywali pozyskane w ten sposób informacje właściwym do spraw pomocy społecznej wydziałom urzędów wojewódzkich, uprawnionym, w imieniu wojewody, do sprawowania nadzoru i kontroli nad domami/placówkami, celem zweryfikowania otrzymanych danych, a  w przypadku stwierdzenia nieprawidłowości, wdrożenia postępowania administracyjnego zmierzającego do wyegzekwowania, zgodnej z obowiązującym stanem prawnym, formy podjętej przez dom/placówkę działalności. </w:t>
      </w:r>
    </w:p>
    <w:p w14:paraId="63B77172" w14:textId="77777777" w:rsidR="006A32A8" w:rsidRPr="00135D02" w:rsidRDefault="006A32A8" w:rsidP="00135D02">
      <w:pPr>
        <w:spacing w:after="0" w:line="240" w:lineRule="auto"/>
        <w:jc w:val="both"/>
        <w:rPr>
          <w:rFonts w:ascii="Lato" w:hAnsi="Lato" w:cs="Arial"/>
          <w:color w:val="000000"/>
          <w:sz w:val="20"/>
          <w:szCs w:val="20"/>
        </w:rPr>
      </w:pPr>
    </w:p>
    <w:p w14:paraId="38234512" w14:textId="29F2D3E3"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Ponadto należy dodać, że podejmowane przez funkcjonariuszy Policji czynności służbowe, polegające na weryfikowaniu postępowań sprawdzających/przygotowawczych, w szczególności wyczerpujących znamiona przestępstw przeciwko życiu i zdrowiu, rodzinie i opiece oraz wolności, zmierzały do identyfikowania ewentualnych zagrożeń życia lub zdrowia, a także wolności osób przebywających w domach/placówkach, zarówno działających w oparciu o stosowne zezwolenie, jak też działających bez takiego zezwolenia, a następnie informowania o powyższym wydziały polityki społecznej urzędów wojewódzkich, w celu zainicjowania kontroli doraźnych z udziałem lub bez udziału Policji.  </w:t>
      </w:r>
    </w:p>
    <w:p w14:paraId="72A53016" w14:textId="77777777" w:rsidR="006A32A8" w:rsidRPr="00135D02" w:rsidRDefault="006A32A8" w:rsidP="00135D02">
      <w:pPr>
        <w:spacing w:after="0" w:line="240" w:lineRule="auto"/>
        <w:jc w:val="both"/>
        <w:rPr>
          <w:rFonts w:ascii="Lato" w:hAnsi="Lato" w:cs="Arial"/>
          <w:color w:val="000000"/>
          <w:sz w:val="20"/>
          <w:szCs w:val="20"/>
        </w:rPr>
      </w:pPr>
    </w:p>
    <w:p w14:paraId="3C1D94D6" w14:textId="0F881548" w:rsidR="007B07C8" w:rsidRPr="00135D02" w:rsidRDefault="007B07C8" w:rsidP="00135D02">
      <w:pPr>
        <w:spacing w:after="0" w:line="240" w:lineRule="auto"/>
        <w:jc w:val="both"/>
        <w:rPr>
          <w:rFonts w:ascii="Lato" w:hAnsi="Lato" w:cs="Arial"/>
          <w:color w:val="000000"/>
          <w:sz w:val="20"/>
          <w:szCs w:val="20"/>
        </w:rPr>
      </w:pPr>
      <w:r w:rsidRPr="00135D02">
        <w:rPr>
          <w:rFonts w:ascii="Lato" w:hAnsi="Lato" w:cs="Arial"/>
          <w:color w:val="000000"/>
          <w:sz w:val="20"/>
          <w:szCs w:val="20"/>
        </w:rPr>
        <w:t xml:space="preserve">Działania Policji obrazujące wybrane ustalenia w powyższym obszarze, w ujęciu statystycznym, przedstawiają się następująco (dane za okres od 1 stycznia do 31 grudnia 2022 r.): </w:t>
      </w:r>
    </w:p>
    <w:p w14:paraId="55E3B2A7" w14:textId="77777777" w:rsidR="007B07C8" w:rsidRPr="00135D02" w:rsidRDefault="007B07C8" w:rsidP="00135D02">
      <w:pPr>
        <w:pStyle w:val="Akapitzlist"/>
        <w:numPr>
          <w:ilvl w:val="0"/>
          <w:numId w:val="28"/>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liczba domów/placówek działających w oparciu o zezwolenie wojewody – 1624;</w:t>
      </w:r>
    </w:p>
    <w:p w14:paraId="1B499380" w14:textId="77777777" w:rsidR="007B07C8" w:rsidRPr="00135D02" w:rsidRDefault="007B07C8" w:rsidP="00135D02">
      <w:pPr>
        <w:pStyle w:val="Akapitzlist"/>
        <w:numPr>
          <w:ilvl w:val="0"/>
          <w:numId w:val="28"/>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liczba domów/placówek zidentyfikowanych jako działające bez zezwolenia wojewody – 94;</w:t>
      </w:r>
    </w:p>
    <w:p w14:paraId="70AC5F60" w14:textId="77777777" w:rsidR="007B07C8" w:rsidRPr="00135D02" w:rsidRDefault="007B07C8" w:rsidP="00135D02">
      <w:pPr>
        <w:pStyle w:val="Akapitzlist"/>
        <w:numPr>
          <w:ilvl w:val="0"/>
          <w:numId w:val="28"/>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łącznie skontrolowano 855 domów/placówek działających w oparciu o zezwolenie wojewody, w tym działające bez zezwolenia, z czego 162 z udziałem Policji, 693 bez udziału Policji;</w:t>
      </w:r>
    </w:p>
    <w:p w14:paraId="6F1244E3" w14:textId="00E39E73" w:rsidR="007B07C8" w:rsidRPr="00135D02" w:rsidRDefault="007B07C8" w:rsidP="00135D02">
      <w:pPr>
        <w:pStyle w:val="Akapitzlist"/>
        <w:numPr>
          <w:ilvl w:val="0"/>
          <w:numId w:val="28"/>
        </w:numPr>
        <w:spacing w:after="0" w:line="240" w:lineRule="auto"/>
        <w:ind w:left="284" w:hanging="284"/>
        <w:jc w:val="both"/>
        <w:rPr>
          <w:rFonts w:ascii="Lato" w:hAnsi="Lato" w:cs="Arial"/>
          <w:color w:val="000000"/>
          <w:sz w:val="20"/>
          <w:szCs w:val="20"/>
        </w:rPr>
      </w:pPr>
      <w:r w:rsidRPr="00135D02">
        <w:rPr>
          <w:rFonts w:ascii="Lato" w:hAnsi="Lato" w:cs="Arial"/>
          <w:color w:val="000000"/>
          <w:sz w:val="20"/>
          <w:szCs w:val="20"/>
        </w:rPr>
        <w:t xml:space="preserve">łącznie na terenie kraju przeprowadzono 229 postępowań karnych. Zawiadomienia o podejrzeniu popełnienia przestępstwa, inicjujące wszczęcie postępowania przygotowawczego, składane były zazwyczaj przez personel – 108, członków rodzin osób przebywających w domach/placówkach – 41, podopiecznych – 49, innych zawiadamiających – 11, instytucje – 20. W efekcie prowadzonych postępowań przygotowawczych do sądu skierowano 29 aktów oskarżenia (ujawnieni sprawcy: </w:t>
      </w:r>
      <w:r w:rsidRPr="00135D02">
        <w:rPr>
          <w:rFonts w:ascii="Lato" w:hAnsi="Lato" w:cs="Arial"/>
          <w:color w:val="000000"/>
          <w:sz w:val="20"/>
          <w:szCs w:val="20"/>
        </w:rPr>
        <w:lastRenderedPageBreak/>
        <w:t>podopieczni – 25, personel – 3, inna osoba – 1, ujawnieni pokrzywdzeni: podopieczni – 17, personel – 14, przedstawiciel instytucji – 2), przy czym 112 postępowań umorzono, a kolejne 84 postępowania znajdowały się w toku, zaś 4 postępowania zawieszono.</w:t>
      </w:r>
    </w:p>
    <w:p w14:paraId="37425973" w14:textId="77777777" w:rsidR="006A32A8" w:rsidRPr="006A32A8" w:rsidRDefault="006A32A8" w:rsidP="006A32A8">
      <w:pPr>
        <w:pStyle w:val="Akapitzlist"/>
        <w:spacing w:after="0" w:line="240" w:lineRule="auto"/>
        <w:ind w:left="284"/>
        <w:rPr>
          <w:rFonts w:ascii="Lato" w:hAnsi="Lato" w:cs="Arial"/>
          <w:color w:val="000000"/>
          <w:sz w:val="20"/>
          <w:szCs w:val="20"/>
        </w:rPr>
      </w:pPr>
    </w:p>
    <w:p w14:paraId="0FB8BB1B" w14:textId="47B67117" w:rsidR="00781EA1" w:rsidRPr="00DB2792" w:rsidRDefault="00781EA1" w:rsidP="006B2B17">
      <w:pPr>
        <w:pStyle w:val="Nagwek2"/>
        <w:rPr>
          <w:b/>
          <w:bCs/>
        </w:rPr>
      </w:pPr>
      <w:bookmarkStart w:id="58" w:name="_Toc142565940"/>
      <w:r w:rsidRPr="00DB2792">
        <w:rPr>
          <w:b/>
          <w:bCs/>
        </w:rPr>
        <w:t>Ministerstwo Spraw Zagranicznych</w:t>
      </w:r>
      <w:bookmarkEnd w:id="58"/>
    </w:p>
    <w:p w14:paraId="0C763D9B" w14:textId="7546EB34" w:rsidR="00C611FD" w:rsidRPr="00C611FD" w:rsidRDefault="00C611FD" w:rsidP="00135D02">
      <w:pPr>
        <w:autoSpaceDE w:val="0"/>
        <w:autoSpaceDN w:val="0"/>
        <w:spacing w:after="0" w:line="240" w:lineRule="auto"/>
        <w:jc w:val="both"/>
        <w:rPr>
          <w:rFonts w:ascii="Lato" w:hAnsi="Lato"/>
          <w:sz w:val="20"/>
          <w:szCs w:val="20"/>
        </w:rPr>
      </w:pPr>
      <w:r w:rsidRPr="00C611FD">
        <w:rPr>
          <w:rFonts w:ascii="Lato" w:hAnsi="Lato"/>
          <w:sz w:val="20"/>
          <w:szCs w:val="20"/>
        </w:rPr>
        <w:t>W 2022 r. Ministerstwo Spraw Zagranicznych realizowało następujące działania na rzecz osób starszych w aspekcie dotyczącym praw osób starszych w ramach Międzynarodowego Systemu Ochrony Praw Człowieka:</w:t>
      </w:r>
    </w:p>
    <w:p w14:paraId="039CE713" w14:textId="77777777" w:rsid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Na forum grupy roboczej Rady UE ds. praw Człowieka (COHOM) w Brukseli podczas negocjacji dokumentu Strategicznego Planu Pracy UE na forach praw człowieka ONZ w 2022 r. (</w:t>
      </w:r>
      <w:r w:rsidRPr="00C611FD">
        <w:rPr>
          <w:rFonts w:ascii="Lato" w:hAnsi="Lato"/>
          <w:i/>
          <w:iCs/>
          <w:sz w:val="20"/>
          <w:szCs w:val="20"/>
        </w:rPr>
        <w:t xml:space="preserve">EU Strategic </w:t>
      </w:r>
      <w:proofErr w:type="spellStart"/>
      <w:r w:rsidRPr="00C611FD">
        <w:rPr>
          <w:rFonts w:ascii="Lato" w:hAnsi="Lato"/>
          <w:i/>
          <w:iCs/>
          <w:sz w:val="20"/>
          <w:szCs w:val="20"/>
        </w:rPr>
        <w:t>Work</w:t>
      </w:r>
      <w:proofErr w:type="spellEnd"/>
      <w:r w:rsidRPr="00C611FD">
        <w:rPr>
          <w:rFonts w:ascii="Lato" w:hAnsi="Lato"/>
          <w:i/>
          <w:iCs/>
          <w:sz w:val="20"/>
          <w:szCs w:val="20"/>
        </w:rPr>
        <w:t xml:space="preserve"> Plan for EU </w:t>
      </w:r>
      <w:proofErr w:type="spellStart"/>
      <w:r w:rsidRPr="00C611FD">
        <w:rPr>
          <w:rFonts w:ascii="Lato" w:hAnsi="Lato"/>
          <w:i/>
          <w:iCs/>
          <w:sz w:val="20"/>
          <w:szCs w:val="20"/>
        </w:rPr>
        <w:t>action</w:t>
      </w:r>
      <w:proofErr w:type="spellEnd"/>
      <w:r w:rsidRPr="00C611FD">
        <w:rPr>
          <w:rFonts w:ascii="Lato" w:hAnsi="Lato"/>
          <w:i/>
          <w:iCs/>
          <w:sz w:val="20"/>
          <w:szCs w:val="20"/>
        </w:rPr>
        <w:t xml:space="preserve"> in UN </w:t>
      </w:r>
      <w:proofErr w:type="spellStart"/>
      <w:r w:rsidRPr="00C611FD">
        <w:rPr>
          <w:rFonts w:ascii="Lato" w:hAnsi="Lato"/>
          <w:i/>
          <w:iCs/>
          <w:sz w:val="20"/>
          <w:szCs w:val="20"/>
        </w:rPr>
        <w:t>human</w:t>
      </w:r>
      <w:proofErr w:type="spellEnd"/>
      <w:r w:rsidRPr="00C611FD">
        <w:rPr>
          <w:rFonts w:ascii="Lato" w:hAnsi="Lato"/>
          <w:i/>
          <w:iCs/>
          <w:sz w:val="20"/>
          <w:szCs w:val="20"/>
        </w:rPr>
        <w:t xml:space="preserve"> </w:t>
      </w:r>
      <w:proofErr w:type="spellStart"/>
      <w:r w:rsidRPr="00C611FD">
        <w:rPr>
          <w:rFonts w:ascii="Lato" w:hAnsi="Lato"/>
          <w:i/>
          <w:iCs/>
          <w:sz w:val="20"/>
          <w:szCs w:val="20"/>
        </w:rPr>
        <w:t>rights</w:t>
      </w:r>
      <w:proofErr w:type="spellEnd"/>
      <w:r w:rsidRPr="00C611FD">
        <w:rPr>
          <w:rFonts w:ascii="Lato" w:hAnsi="Lato"/>
          <w:i/>
          <w:iCs/>
          <w:sz w:val="20"/>
          <w:szCs w:val="20"/>
        </w:rPr>
        <w:t xml:space="preserve"> fora in 2022</w:t>
      </w:r>
      <w:r w:rsidRPr="00C611FD">
        <w:rPr>
          <w:rFonts w:ascii="Lato" w:hAnsi="Lato"/>
          <w:sz w:val="20"/>
          <w:szCs w:val="20"/>
        </w:rPr>
        <w:t>), m.in. w trakcie posiedzeń w dn. 23 lutego i 30 marca 2022 r.,</w:t>
      </w:r>
      <w:r w:rsidRPr="00C611FD">
        <w:rPr>
          <w:rFonts w:ascii="Lato" w:hAnsi="Lato"/>
          <w:color w:val="1F497D"/>
          <w:sz w:val="20"/>
          <w:szCs w:val="20"/>
        </w:rPr>
        <w:t xml:space="preserve"> </w:t>
      </w:r>
      <w:r w:rsidRPr="00C611FD">
        <w:rPr>
          <w:rFonts w:ascii="Lato" w:hAnsi="Lato"/>
          <w:sz w:val="20"/>
          <w:szCs w:val="20"/>
        </w:rPr>
        <w:t>Polska prezentowała stanowisko wyrażające wątpliwości wobec wartości dodanej działań Otwartej Grupy Roboczej  do spraw Praw Osób Starszych – OEWGA oraz zaangażowania UE w prace tego forum;</w:t>
      </w:r>
    </w:p>
    <w:p w14:paraId="12577B33" w14:textId="77777777" w:rsid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 xml:space="preserve">Polska </w:t>
      </w:r>
      <w:r w:rsidRPr="00C611FD">
        <w:rPr>
          <w:rFonts w:ascii="Lato" w:hAnsi="Lato"/>
          <w:sz w:val="20"/>
          <w:szCs w:val="20"/>
          <w:u w:val="single"/>
        </w:rPr>
        <w:t>nie</w:t>
      </w:r>
      <w:r w:rsidRPr="00C611FD">
        <w:rPr>
          <w:rFonts w:ascii="Lato" w:hAnsi="Lato"/>
          <w:sz w:val="20"/>
          <w:szCs w:val="20"/>
        </w:rPr>
        <w:t xml:space="preserve"> wzięła aktywnego udziału w 12. sesji Otwartej Grupy Roboczej nt. Starzenia się (</w:t>
      </w:r>
      <w:r w:rsidRPr="00C611FD">
        <w:rPr>
          <w:rFonts w:ascii="Lato" w:hAnsi="Lato"/>
          <w:i/>
          <w:iCs/>
          <w:sz w:val="20"/>
          <w:szCs w:val="20"/>
        </w:rPr>
        <w:t xml:space="preserve">Open </w:t>
      </w:r>
      <w:proofErr w:type="spellStart"/>
      <w:r w:rsidRPr="00C611FD">
        <w:rPr>
          <w:rFonts w:ascii="Lato" w:hAnsi="Lato"/>
          <w:i/>
          <w:iCs/>
          <w:sz w:val="20"/>
          <w:szCs w:val="20"/>
        </w:rPr>
        <w:t>Ended</w:t>
      </w:r>
      <w:proofErr w:type="spellEnd"/>
      <w:r w:rsidRPr="00C611FD">
        <w:rPr>
          <w:rFonts w:ascii="Lato" w:hAnsi="Lato"/>
          <w:i/>
          <w:iCs/>
          <w:sz w:val="20"/>
          <w:szCs w:val="20"/>
        </w:rPr>
        <w:t xml:space="preserve"> </w:t>
      </w:r>
      <w:proofErr w:type="spellStart"/>
      <w:r w:rsidRPr="00C611FD">
        <w:rPr>
          <w:rFonts w:ascii="Lato" w:hAnsi="Lato"/>
          <w:i/>
          <w:iCs/>
          <w:sz w:val="20"/>
          <w:szCs w:val="20"/>
        </w:rPr>
        <w:t>Working</w:t>
      </w:r>
      <w:proofErr w:type="spellEnd"/>
      <w:r w:rsidRPr="00C611FD">
        <w:rPr>
          <w:rFonts w:ascii="Lato" w:hAnsi="Lato"/>
          <w:i/>
          <w:iCs/>
          <w:sz w:val="20"/>
          <w:szCs w:val="20"/>
        </w:rPr>
        <w:t xml:space="preserve"> </w:t>
      </w:r>
      <w:proofErr w:type="spellStart"/>
      <w:r w:rsidRPr="00C611FD">
        <w:rPr>
          <w:rFonts w:ascii="Lato" w:hAnsi="Lato"/>
          <w:i/>
          <w:iCs/>
          <w:sz w:val="20"/>
          <w:szCs w:val="20"/>
        </w:rPr>
        <w:t>Group</w:t>
      </w:r>
      <w:proofErr w:type="spellEnd"/>
      <w:r w:rsidRPr="00C611FD">
        <w:rPr>
          <w:rFonts w:ascii="Lato" w:hAnsi="Lato"/>
          <w:i/>
          <w:iCs/>
          <w:sz w:val="20"/>
          <w:szCs w:val="20"/>
        </w:rPr>
        <w:t xml:space="preserve"> on </w:t>
      </w:r>
      <w:proofErr w:type="spellStart"/>
      <w:r w:rsidRPr="00C611FD">
        <w:rPr>
          <w:rFonts w:ascii="Lato" w:hAnsi="Lato"/>
          <w:i/>
          <w:iCs/>
          <w:sz w:val="20"/>
          <w:szCs w:val="20"/>
        </w:rPr>
        <w:t>Ageing</w:t>
      </w:r>
      <w:proofErr w:type="spellEnd"/>
      <w:r w:rsidRPr="00C611FD">
        <w:rPr>
          <w:rFonts w:ascii="Lato" w:hAnsi="Lato"/>
          <w:i/>
          <w:iCs/>
          <w:sz w:val="20"/>
          <w:szCs w:val="20"/>
        </w:rPr>
        <w:t>, OEWGA</w:t>
      </w:r>
      <w:r w:rsidRPr="00C611FD">
        <w:rPr>
          <w:rFonts w:ascii="Lato" w:hAnsi="Lato"/>
          <w:sz w:val="20"/>
          <w:szCs w:val="20"/>
        </w:rPr>
        <w:t xml:space="preserve">) w Nowym Jorku, w dniach 11-14 kwietnia 2022 r., wskazując, że właściwą formą prac w zakresie polityki dotyczącej osób starszych i realizacji ich praw są prace i dyskusje dotyczące zjawiska starzenia się społeczeństw i sytuacji osób starszych, prowadzone w ramach ONZ m.in. w ramach Europejskiej Komisji Gospodarczej (Grupa Robocza do spraw Starzenia się). Polska była jednak podczas sesji obecna w panelach w osobie p. Anny </w:t>
      </w:r>
      <w:proofErr w:type="spellStart"/>
      <w:r w:rsidRPr="00C611FD">
        <w:rPr>
          <w:rFonts w:ascii="Lato" w:hAnsi="Lato"/>
          <w:sz w:val="20"/>
          <w:szCs w:val="20"/>
        </w:rPr>
        <w:t>Chabiery</w:t>
      </w:r>
      <w:proofErr w:type="spellEnd"/>
      <w:r w:rsidRPr="00C611FD">
        <w:rPr>
          <w:rFonts w:ascii="Lato" w:hAnsi="Lato"/>
          <w:sz w:val="20"/>
          <w:szCs w:val="20"/>
        </w:rPr>
        <w:t xml:space="preserve">, przedstawicielki Biura Rzecznika Praw Obywatelskich oraz prof. Janiny </w:t>
      </w:r>
      <w:proofErr w:type="spellStart"/>
      <w:r w:rsidRPr="00C611FD">
        <w:rPr>
          <w:rFonts w:ascii="Lato" w:hAnsi="Lato"/>
          <w:sz w:val="20"/>
          <w:szCs w:val="20"/>
        </w:rPr>
        <w:t>Petelczyc</w:t>
      </w:r>
      <w:proofErr w:type="spellEnd"/>
      <w:r w:rsidRPr="00C611FD">
        <w:rPr>
          <w:rFonts w:ascii="Lato" w:hAnsi="Lato"/>
          <w:sz w:val="20"/>
          <w:szCs w:val="20"/>
        </w:rPr>
        <w:t xml:space="preserve"> ze Szkoły Głównej Handlowej oraz uczestniczyła w uzgodnieniu wspólnego wystąpienia UE na to spotkanie;</w:t>
      </w:r>
    </w:p>
    <w:p w14:paraId="076C9173" w14:textId="77777777" w:rsid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Polska uczestniczyła w spotkaniu nt. praw osób starszych, zwołanym na postawie rezolucji 48/3 Rady Praw Człowieka, w Genewie w dniach 29-30 sierpnia 2022 r., zaś przedstawiciel RP wystąpił w dyskusji panelowej dot. wzmacniania ochrony praw człowieka osób starszych, który omówił działania polskiego rządu w celu zapewnienia jak najlepszej ochrony praw osób starszych;</w:t>
      </w:r>
    </w:p>
    <w:p w14:paraId="3A44735B" w14:textId="77777777" w:rsid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 xml:space="preserve">Podczas 51 sesji Rady Praw Człowieka (12 września - 7 października 2022 r.), Polska </w:t>
      </w:r>
      <w:r w:rsidRPr="00C611FD">
        <w:rPr>
          <w:rFonts w:ascii="Lato" w:hAnsi="Lato"/>
          <w:sz w:val="20"/>
          <w:szCs w:val="20"/>
          <w:u w:val="single"/>
        </w:rPr>
        <w:t>nie</w:t>
      </w:r>
      <w:r w:rsidRPr="00C611FD">
        <w:rPr>
          <w:rFonts w:ascii="Lato" w:hAnsi="Lato"/>
          <w:sz w:val="20"/>
          <w:szCs w:val="20"/>
        </w:rPr>
        <w:t xml:space="preserve"> przyłączyła się do grona państw sponsorujących rezolucję dot. praw osób starszych (</w:t>
      </w:r>
      <w:r w:rsidRPr="00C611FD">
        <w:rPr>
          <w:rFonts w:ascii="Lato" w:hAnsi="Lato"/>
          <w:i/>
          <w:iCs/>
          <w:sz w:val="20"/>
          <w:szCs w:val="20"/>
        </w:rPr>
        <w:t xml:space="preserve">The </w:t>
      </w:r>
      <w:proofErr w:type="spellStart"/>
      <w:r w:rsidRPr="00C611FD">
        <w:rPr>
          <w:rFonts w:ascii="Lato" w:hAnsi="Lato"/>
          <w:i/>
          <w:iCs/>
          <w:sz w:val="20"/>
          <w:szCs w:val="20"/>
        </w:rPr>
        <w:t>human</w:t>
      </w:r>
      <w:proofErr w:type="spellEnd"/>
      <w:r w:rsidRPr="00C611FD">
        <w:rPr>
          <w:rFonts w:ascii="Lato" w:hAnsi="Lato"/>
          <w:i/>
          <w:iCs/>
          <w:sz w:val="20"/>
          <w:szCs w:val="20"/>
        </w:rPr>
        <w:t xml:space="preserve"> </w:t>
      </w:r>
      <w:proofErr w:type="spellStart"/>
      <w:r w:rsidRPr="00C611FD">
        <w:rPr>
          <w:rFonts w:ascii="Lato" w:hAnsi="Lato"/>
          <w:i/>
          <w:iCs/>
          <w:sz w:val="20"/>
          <w:szCs w:val="20"/>
        </w:rPr>
        <w:t>rights</w:t>
      </w:r>
      <w:proofErr w:type="spellEnd"/>
      <w:r w:rsidRPr="00C611FD">
        <w:rPr>
          <w:rFonts w:ascii="Lato" w:hAnsi="Lato"/>
          <w:i/>
          <w:iCs/>
          <w:sz w:val="20"/>
          <w:szCs w:val="20"/>
        </w:rPr>
        <w:t xml:space="preserve"> of </w:t>
      </w:r>
      <w:proofErr w:type="spellStart"/>
      <w:r w:rsidRPr="00C611FD">
        <w:rPr>
          <w:rFonts w:ascii="Lato" w:hAnsi="Lato"/>
          <w:i/>
          <w:iCs/>
          <w:sz w:val="20"/>
          <w:szCs w:val="20"/>
        </w:rPr>
        <w:t>older</w:t>
      </w:r>
      <w:proofErr w:type="spellEnd"/>
      <w:r w:rsidRPr="00C611FD">
        <w:rPr>
          <w:rFonts w:ascii="Lato" w:hAnsi="Lato"/>
          <w:i/>
          <w:iCs/>
          <w:sz w:val="20"/>
          <w:szCs w:val="20"/>
        </w:rPr>
        <w:t xml:space="preserve"> </w:t>
      </w:r>
      <w:proofErr w:type="spellStart"/>
      <w:r w:rsidRPr="00C611FD">
        <w:rPr>
          <w:rFonts w:ascii="Lato" w:hAnsi="Lato"/>
          <w:i/>
          <w:iCs/>
          <w:sz w:val="20"/>
          <w:szCs w:val="20"/>
        </w:rPr>
        <w:t>persons</w:t>
      </w:r>
      <w:proofErr w:type="spellEnd"/>
      <w:r w:rsidRPr="00C611FD">
        <w:rPr>
          <w:rFonts w:ascii="Lato" w:hAnsi="Lato"/>
          <w:sz w:val="20"/>
          <w:szCs w:val="20"/>
        </w:rPr>
        <w:t>) zawierającej postanowienie o przedłużeniu mandatu Niezależnego Eksperta ds. wszystkich praw osób starszych;</w:t>
      </w:r>
    </w:p>
    <w:p w14:paraId="532CA1CA" w14:textId="77777777" w:rsid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W ramach sesji III Komitetu Zgromadzenia Ogólnego Narodów Zjednoczonych P</w:t>
      </w:r>
      <w:r w:rsidRPr="00C611FD">
        <w:rPr>
          <w:rFonts w:ascii="Lato" w:hAnsi="Lato"/>
          <w:sz w:val="20"/>
          <w:szCs w:val="20"/>
          <w:lang w:eastAsia="pl-PL"/>
        </w:rPr>
        <w:t xml:space="preserve">olska uczestniczyła </w:t>
      </w:r>
      <w:r w:rsidRPr="00C611FD">
        <w:rPr>
          <w:rFonts w:ascii="Lato" w:hAnsi="Lato"/>
          <w:sz w:val="20"/>
          <w:szCs w:val="20"/>
        </w:rPr>
        <w:t xml:space="preserve">Dialogu interaktywnym z Niezależnym Ekspertem ds. przestrzegania wszystkich praw człowieka osób starszych </w:t>
      </w:r>
      <w:r w:rsidRPr="00C611FD">
        <w:rPr>
          <w:rFonts w:ascii="Lato" w:hAnsi="Lato"/>
          <w:sz w:val="20"/>
          <w:szCs w:val="20"/>
          <w:lang w:eastAsia="pl-PL"/>
        </w:rPr>
        <w:t>w dn. 29 września 2022 r. oraz w uzgodnieniu wystąpienia UE w tej dyskusji, a także w ramach koordynacji unijnej brała udział w negocjacjach rezolucji dot. następstw Drugiego Światowego Zgromadzenia nt. starzenia się (</w:t>
      </w:r>
      <w:proofErr w:type="spellStart"/>
      <w:r w:rsidRPr="00C611FD">
        <w:rPr>
          <w:rFonts w:ascii="Lato" w:hAnsi="Lato"/>
          <w:i/>
          <w:iCs/>
          <w:sz w:val="20"/>
          <w:szCs w:val="20"/>
          <w:lang w:eastAsia="pl-PL"/>
        </w:rPr>
        <w:t>Follow-up</w:t>
      </w:r>
      <w:proofErr w:type="spellEnd"/>
      <w:r w:rsidRPr="00C611FD">
        <w:rPr>
          <w:rFonts w:ascii="Lato" w:hAnsi="Lato"/>
          <w:i/>
          <w:iCs/>
          <w:sz w:val="20"/>
          <w:szCs w:val="20"/>
          <w:lang w:eastAsia="pl-PL"/>
        </w:rPr>
        <w:t xml:space="preserve"> to the Second World Assembly on </w:t>
      </w:r>
      <w:proofErr w:type="spellStart"/>
      <w:r w:rsidRPr="00C611FD">
        <w:rPr>
          <w:rFonts w:ascii="Lato" w:hAnsi="Lato"/>
          <w:i/>
          <w:iCs/>
          <w:sz w:val="20"/>
          <w:szCs w:val="20"/>
          <w:lang w:eastAsia="pl-PL"/>
        </w:rPr>
        <w:t>Ageing</w:t>
      </w:r>
      <w:proofErr w:type="spellEnd"/>
      <w:r w:rsidRPr="00C611FD">
        <w:rPr>
          <w:rFonts w:ascii="Lato" w:hAnsi="Lato"/>
          <w:sz w:val="20"/>
          <w:szCs w:val="20"/>
          <w:lang w:eastAsia="pl-PL"/>
        </w:rPr>
        <w:t>) nie przyłączając się do grona sponsorów dokumentu ;</w:t>
      </w:r>
    </w:p>
    <w:p w14:paraId="3D1D47BD" w14:textId="54D9C5E3" w:rsidR="00C611FD" w:rsidRPr="00C611FD" w:rsidRDefault="00C611FD" w:rsidP="00135D02">
      <w:pPr>
        <w:pStyle w:val="Akapitzlist"/>
        <w:numPr>
          <w:ilvl w:val="0"/>
          <w:numId w:val="37"/>
        </w:numPr>
        <w:autoSpaceDE w:val="0"/>
        <w:autoSpaceDN w:val="0"/>
        <w:spacing w:after="0" w:line="240" w:lineRule="auto"/>
        <w:jc w:val="both"/>
        <w:rPr>
          <w:rFonts w:ascii="Lato" w:hAnsi="Lato"/>
          <w:sz w:val="20"/>
          <w:szCs w:val="20"/>
        </w:rPr>
      </w:pPr>
      <w:r w:rsidRPr="00C611FD">
        <w:rPr>
          <w:rFonts w:ascii="Lato" w:hAnsi="Lato"/>
          <w:sz w:val="20"/>
          <w:szCs w:val="20"/>
        </w:rPr>
        <w:t xml:space="preserve">Polska na szczeblu Zastępcy Stałego </w:t>
      </w:r>
      <w:r w:rsidRPr="00C611FD">
        <w:rPr>
          <w:rFonts w:ascii="Lato" w:hAnsi="Lato"/>
          <w:color w:val="000000"/>
          <w:sz w:val="20"/>
          <w:szCs w:val="20"/>
        </w:rPr>
        <w:t xml:space="preserve">Przedstawiciela RP przy NZ w Nowym Jorku </w:t>
      </w:r>
      <w:r w:rsidRPr="00C611FD">
        <w:rPr>
          <w:rFonts w:ascii="Lato" w:hAnsi="Lato"/>
          <w:sz w:val="20"/>
          <w:szCs w:val="20"/>
        </w:rPr>
        <w:t xml:space="preserve">uczestniczyła w wydarzeniu nt. wyzwań dla starzejących się społeczeństw w ramach </w:t>
      </w:r>
      <w:r w:rsidRPr="00C611FD">
        <w:rPr>
          <w:rFonts w:ascii="Lato" w:hAnsi="Lato"/>
          <w:i/>
          <w:iCs/>
          <w:sz w:val="20"/>
          <w:szCs w:val="20"/>
        </w:rPr>
        <w:t xml:space="preserve">Silver </w:t>
      </w:r>
      <w:proofErr w:type="spellStart"/>
      <w:r w:rsidRPr="00C611FD">
        <w:rPr>
          <w:rFonts w:ascii="Lato" w:hAnsi="Lato"/>
          <w:i/>
          <w:iCs/>
          <w:sz w:val="20"/>
          <w:szCs w:val="20"/>
        </w:rPr>
        <w:t>Economy</w:t>
      </w:r>
      <w:proofErr w:type="spellEnd"/>
      <w:r w:rsidRPr="00C611FD">
        <w:rPr>
          <w:rFonts w:ascii="Lato" w:hAnsi="Lato"/>
          <w:i/>
          <w:iCs/>
          <w:sz w:val="20"/>
          <w:szCs w:val="20"/>
        </w:rPr>
        <w:t xml:space="preserve"> Forum</w:t>
      </w:r>
      <w:r w:rsidRPr="00C611FD">
        <w:rPr>
          <w:rFonts w:ascii="Lato" w:hAnsi="Lato"/>
          <w:sz w:val="20"/>
          <w:szCs w:val="20"/>
        </w:rPr>
        <w:t xml:space="preserve">, </w:t>
      </w:r>
      <w:r w:rsidRPr="00C611FD">
        <w:rPr>
          <w:rFonts w:ascii="Lato" w:hAnsi="Lato"/>
          <w:color w:val="000000"/>
          <w:sz w:val="20"/>
          <w:szCs w:val="20"/>
        </w:rPr>
        <w:t>w siedzibie ONZ</w:t>
      </w:r>
      <w:r w:rsidRPr="00C611FD">
        <w:rPr>
          <w:rFonts w:ascii="Lato" w:hAnsi="Lato"/>
          <w:sz w:val="20"/>
          <w:szCs w:val="20"/>
        </w:rPr>
        <w:t xml:space="preserve"> </w:t>
      </w:r>
      <w:r w:rsidRPr="00C611FD">
        <w:rPr>
          <w:rFonts w:ascii="Lato" w:hAnsi="Lato"/>
          <w:color w:val="000000"/>
          <w:sz w:val="20"/>
          <w:szCs w:val="20"/>
        </w:rPr>
        <w:t>w Nowym Jorku,</w:t>
      </w:r>
      <w:r w:rsidRPr="00C611FD">
        <w:rPr>
          <w:rFonts w:ascii="Lato" w:hAnsi="Lato"/>
          <w:sz w:val="20"/>
          <w:szCs w:val="20"/>
        </w:rPr>
        <w:t xml:space="preserve"> w dn. 9 listopada 2022 </w:t>
      </w:r>
      <w:r w:rsidRPr="00C611FD">
        <w:rPr>
          <w:rFonts w:ascii="Lato" w:hAnsi="Lato"/>
          <w:color w:val="000000"/>
          <w:sz w:val="20"/>
          <w:szCs w:val="20"/>
        </w:rPr>
        <w:t>r.</w:t>
      </w:r>
    </w:p>
    <w:p w14:paraId="4189669D" w14:textId="77777777" w:rsidR="00C611FD" w:rsidRPr="00C611FD" w:rsidRDefault="00C611FD" w:rsidP="00C611FD">
      <w:pPr>
        <w:pStyle w:val="Akapitzlist"/>
        <w:autoSpaceDE w:val="0"/>
        <w:autoSpaceDN w:val="0"/>
        <w:spacing w:after="0" w:line="240" w:lineRule="auto"/>
        <w:jc w:val="both"/>
        <w:rPr>
          <w:rFonts w:ascii="Lato" w:hAnsi="Lato"/>
          <w:sz w:val="20"/>
          <w:szCs w:val="20"/>
        </w:rPr>
      </w:pPr>
    </w:p>
    <w:p w14:paraId="68D51D4E" w14:textId="72CD34F1" w:rsidR="00830305" w:rsidRPr="00DB2792" w:rsidRDefault="00781EA1" w:rsidP="00830305">
      <w:pPr>
        <w:pStyle w:val="Nagwek2"/>
        <w:rPr>
          <w:b/>
          <w:bCs/>
        </w:rPr>
      </w:pPr>
      <w:bookmarkStart w:id="59" w:name="_Toc142565941"/>
      <w:r w:rsidRPr="00DB2792">
        <w:rPr>
          <w:b/>
          <w:bCs/>
        </w:rPr>
        <w:t>Ministerstwo Sportu i Turystyki</w:t>
      </w:r>
      <w:bookmarkEnd w:id="59"/>
    </w:p>
    <w:p w14:paraId="5B444737" w14:textId="1DDE4900"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 xml:space="preserve">Zapewnienie warunków i oferty dla powszechnego podejmowania aktywności fizycznej na każdym etapie życia to jeden z głównych celów określonych w dokumentach strategicznych Ministerstwa Sportu i Turystyki. Jednym ze zdefiniowanych w tym zakresie priorytetów jest „Wspieranie działań na rzecz integracji społecznej osób starszych poprzez aktywność fizyczną”. </w:t>
      </w:r>
    </w:p>
    <w:p w14:paraId="73A359D1" w14:textId="77777777" w:rsidR="00C611FD" w:rsidRPr="003C730B" w:rsidRDefault="00C611FD" w:rsidP="003C730B">
      <w:pPr>
        <w:spacing w:after="0" w:line="240" w:lineRule="auto"/>
        <w:jc w:val="both"/>
        <w:rPr>
          <w:rFonts w:ascii="Lato" w:hAnsi="Lato"/>
          <w:sz w:val="20"/>
          <w:szCs w:val="20"/>
        </w:rPr>
      </w:pPr>
    </w:p>
    <w:p w14:paraId="1C8B8C5F" w14:textId="5CB99871"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 xml:space="preserve">Ministerstwo wychodząc naprzeciw aktualnym wyzwaniom demograficznym związanych ze starzeniem się populacji naszego kraju, dostrzega potrzebę działań w zakresie promocji wszelkich form aktywności seniorów, od lat wzmacniając wsparcie zadań z zakresu upowszechniania aktywności fizycznej i promowania sportu, kierowanych do osób starszych. </w:t>
      </w:r>
    </w:p>
    <w:p w14:paraId="571A0815" w14:textId="77777777" w:rsidR="00C611FD" w:rsidRPr="003C730B" w:rsidRDefault="00C611FD" w:rsidP="003C730B">
      <w:pPr>
        <w:spacing w:after="0" w:line="240" w:lineRule="auto"/>
        <w:jc w:val="both"/>
        <w:rPr>
          <w:rFonts w:ascii="Lato" w:hAnsi="Lato"/>
          <w:sz w:val="20"/>
          <w:szCs w:val="20"/>
        </w:rPr>
      </w:pPr>
    </w:p>
    <w:p w14:paraId="57375C85" w14:textId="1CB4F016"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 xml:space="preserve">Inicjatywa wdrażania szerokich działań upowszechniania aktywności fizycznej osób starszych, pojawiła się w wyniku analizy i oceny aktualnej sytuacji stanu potrzeb i oczekiwań w sferze utrzymania odpowiedniego poziomu potencjału biologicznego człowieka, wobec wydłużającego się czasu trwania życia ludzkiego. </w:t>
      </w:r>
    </w:p>
    <w:p w14:paraId="646B4964" w14:textId="77777777" w:rsidR="00C611FD" w:rsidRPr="003C730B" w:rsidRDefault="00C611FD" w:rsidP="003C730B">
      <w:pPr>
        <w:spacing w:after="0" w:line="240" w:lineRule="auto"/>
        <w:jc w:val="both"/>
        <w:rPr>
          <w:rFonts w:ascii="Lato" w:hAnsi="Lato"/>
          <w:sz w:val="20"/>
          <w:szCs w:val="20"/>
        </w:rPr>
      </w:pPr>
    </w:p>
    <w:p w14:paraId="7A9504B6" w14:textId="02EB7386"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lastRenderedPageBreak/>
        <w:t xml:space="preserve">Wspieranie tego typu przedsięwzięć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 z życia społecznego. Podstawowym problemem w tym zakresie, jest obniżająca się sprawność fizyczna i związane z nią, często mocno ograniczone, możliwości lokomocyjne. Promocja zdrowego stylu życia oraz oferta systematycznej aktywności fizycznej, mają wspierać seniorów w dążeniu do wydłużenia okresu utrzymywania dobrego stanu zdrowia, ogólnej sprawności i samodzielności w wykonywaniu podstawowych czynności ruchowych. Dzięki temu będą mogli kontynuować aktywność zawodową, jak i aktywnie uczestniczyć w wybranych formach życia społecznego. </w:t>
      </w:r>
    </w:p>
    <w:p w14:paraId="1DBB8844" w14:textId="77777777" w:rsidR="00C611FD" w:rsidRPr="003C730B" w:rsidRDefault="00C611FD" w:rsidP="003C730B">
      <w:pPr>
        <w:spacing w:after="0" w:line="240" w:lineRule="auto"/>
        <w:jc w:val="both"/>
        <w:rPr>
          <w:rFonts w:ascii="Lato" w:hAnsi="Lato"/>
          <w:sz w:val="20"/>
          <w:szCs w:val="20"/>
        </w:rPr>
      </w:pPr>
    </w:p>
    <w:p w14:paraId="12EDECF8" w14:textId="77777777"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Działania w tym zakresie zakładają organizację przedsięwzięć aktywizujących ludzi w starszym wieku w następujących formach:</w:t>
      </w:r>
    </w:p>
    <w:p w14:paraId="1D23967E" w14:textId="47AD65CC"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1. aktywność rekreacyjna – różne formy indywidualnego lub grupowego czynnego wypoczynku opartego na aktywności fizycznej;</w:t>
      </w:r>
    </w:p>
    <w:p w14:paraId="24ABED07" w14:textId="77777777" w:rsidR="00C611FD" w:rsidRPr="003C730B" w:rsidRDefault="00830305" w:rsidP="003C730B">
      <w:pPr>
        <w:spacing w:after="0" w:line="240" w:lineRule="auto"/>
        <w:jc w:val="both"/>
        <w:rPr>
          <w:rFonts w:ascii="Lato" w:hAnsi="Lato"/>
          <w:sz w:val="20"/>
          <w:szCs w:val="20"/>
        </w:rPr>
      </w:pPr>
      <w:r w:rsidRPr="003C730B">
        <w:rPr>
          <w:rFonts w:ascii="Lato" w:hAnsi="Lato"/>
          <w:sz w:val="20"/>
          <w:szCs w:val="20"/>
        </w:rPr>
        <w:t>2. aktywność prewencyjna – mająca zapobiegać przedwczesnemu i patologicznemu starzeniu się, powiązana z prozdrowotnym stylem życia - właściwym odżywianiem i aktywnością społeczną;</w:t>
      </w:r>
    </w:p>
    <w:p w14:paraId="0614FFE6" w14:textId="77777777" w:rsidR="00C611FD" w:rsidRPr="003C730B" w:rsidRDefault="00C611FD" w:rsidP="003C730B">
      <w:pPr>
        <w:spacing w:after="0" w:line="240" w:lineRule="auto"/>
        <w:jc w:val="both"/>
        <w:rPr>
          <w:rFonts w:ascii="Lato" w:hAnsi="Lato"/>
          <w:sz w:val="20"/>
          <w:szCs w:val="20"/>
        </w:rPr>
      </w:pPr>
    </w:p>
    <w:p w14:paraId="20FDB764" w14:textId="72B0DCD6"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Głównymi celami, które można osiągnąć poprzez systematyczną aktywność ruchową osób starszych jest:</w:t>
      </w:r>
    </w:p>
    <w:p w14:paraId="531E98F9" w14:textId="77777777" w:rsidR="00830305" w:rsidRPr="003C730B" w:rsidRDefault="00830305" w:rsidP="003C730B">
      <w:pPr>
        <w:pStyle w:val="Akapitzlist"/>
        <w:numPr>
          <w:ilvl w:val="0"/>
          <w:numId w:val="21"/>
        </w:numPr>
        <w:spacing w:after="0" w:line="240" w:lineRule="auto"/>
        <w:jc w:val="both"/>
        <w:rPr>
          <w:rFonts w:ascii="Lato" w:hAnsi="Lato"/>
          <w:sz w:val="20"/>
          <w:szCs w:val="20"/>
        </w:rPr>
      </w:pPr>
      <w:r w:rsidRPr="003C730B">
        <w:rPr>
          <w:rFonts w:ascii="Lato" w:hAnsi="Lato"/>
          <w:sz w:val="20"/>
          <w:szCs w:val="20"/>
        </w:rPr>
        <w:t>utrzymanie sprawności,</w:t>
      </w:r>
    </w:p>
    <w:p w14:paraId="303C7708" w14:textId="77777777" w:rsidR="00830305" w:rsidRPr="003C730B" w:rsidRDefault="00830305" w:rsidP="003C730B">
      <w:pPr>
        <w:pStyle w:val="Akapitzlist"/>
        <w:numPr>
          <w:ilvl w:val="0"/>
          <w:numId w:val="21"/>
        </w:numPr>
        <w:spacing w:after="0" w:line="240" w:lineRule="auto"/>
        <w:jc w:val="both"/>
        <w:rPr>
          <w:rFonts w:ascii="Lato" w:hAnsi="Lato"/>
          <w:sz w:val="20"/>
          <w:szCs w:val="20"/>
        </w:rPr>
      </w:pPr>
      <w:r w:rsidRPr="003C730B">
        <w:rPr>
          <w:rFonts w:ascii="Lato" w:hAnsi="Lato"/>
          <w:sz w:val="20"/>
          <w:szCs w:val="20"/>
        </w:rPr>
        <w:t xml:space="preserve">utrzymanie samodzielności, </w:t>
      </w:r>
    </w:p>
    <w:p w14:paraId="3F2EA559" w14:textId="1942BC3F" w:rsidR="00830305" w:rsidRPr="003C730B" w:rsidRDefault="00830305" w:rsidP="003C730B">
      <w:pPr>
        <w:pStyle w:val="Akapitzlist"/>
        <w:numPr>
          <w:ilvl w:val="0"/>
          <w:numId w:val="21"/>
        </w:numPr>
        <w:spacing w:after="0" w:line="240" w:lineRule="auto"/>
        <w:jc w:val="both"/>
        <w:rPr>
          <w:rFonts w:ascii="Lato" w:hAnsi="Lato"/>
          <w:sz w:val="20"/>
          <w:szCs w:val="20"/>
        </w:rPr>
      </w:pPr>
      <w:r w:rsidRPr="003C730B">
        <w:rPr>
          <w:rFonts w:ascii="Lato" w:hAnsi="Lato"/>
          <w:sz w:val="20"/>
          <w:szCs w:val="20"/>
        </w:rPr>
        <w:t>utrzymanie niezależności.</w:t>
      </w:r>
    </w:p>
    <w:p w14:paraId="7CFF2877" w14:textId="6EA9BB4C"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 xml:space="preserve">Osiąganie tych celów związane jest z możliwościami osoby starszej, jej wiekiem biologicznym, wiekiem czynnościowym i wiekiem psychologicznym. </w:t>
      </w:r>
    </w:p>
    <w:p w14:paraId="00833AEA" w14:textId="77777777" w:rsidR="00C611FD" w:rsidRPr="003C730B" w:rsidRDefault="00C611FD" w:rsidP="003C730B">
      <w:pPr>
        <w:spacing w:after="0" w:line="240" w:lineRule="auto"/>
        <w:jc w:val="both"/>
        <w:rPr>
          <w:rFonts w:ascii="Lato" w:hAnsi="Lato"/>
          <w:sz w:val="20"/>
          <w:szCs w:val="20"/>
        </w:rPr>
      </w:pPr>
    </w:p>
    <w:p w14:paraId="62E1DEB2" w14:textId="4577D07D"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Przyjmuje się, że skuteczną realizację zadania wspomagać powinny projekty polegające na promowaniu aktywności fizycznej osób starszych, wskazujące korzyści dla dobrego zdrowia, lepszego samopoczucia, pełnego udziału i akceptacji swej roli w życiu społeczeństwa. Wiele badań dowodzi, że nie ma granicy wieku, przy której aktywność fizyczna byłaby niemożliwa i nie przynosiła korzyści. W zakresie promocyjnym, zadanie ma na celu przywrócenie starszym osobom „chęci” do uprawiania ćwiczeń fizycznych, adekwatnych do wieku i swoich aktualnych możliwości, ponieważ nie ma żadnych biologicznych barier, które by taką aktywność mogły jednoznacznie wykluczać.</w:t>
      </w:r>
    </w:p>
    <w:p w14:paraId="20862F11" w14:textId="77777777" w:rsidR="00C611FD" w:rsidRPr="003C730B" w:rsidRDefault="00C611FD" w:rsidP="003C730B">
      <w:pPr>
        <w:spacing w:after="0" w:line="240" w:lineRule="auto"/>
        <w:jc w:val="both"/>
        <w:rPr>
          <w:rFonts w:ascii="Lato" w:hAnsi="Lato"/>
          <w:sz w:val="20"/>
          <w:szCs w:val="20"/>
        </w:rPr>
      </w:pPr>
    </w:p>
    <w:p w14:paraId="2A46DC76" w14:textId="56C87471" w:rsidR="00830305" w:rsidRPr="003C730B" w:rsidRDefault="00830305" w:rsidP="003C730B">
      <w:pPr>
        <w:spacing w:after="0" w:line="240" w:lineRule="auto"/>
        <w:jc w:val="both"/>
        <w:rPr>
          <w:rFonts w:ascii="Lato" w:hAnsi="Lato"/>
          <w:sz w:val="20"/>
          <w:szCs w:val="20"/>
        </w:rPr>
      </w:pPr>
      <w:r w:rsidRPr="003C730B">
        <w:rPr>
          <w:rFonts w:ascii="Lato" w:hAnsi="Lato"/>
          <w:sz w:val="20"/>
          <w:szCs w:val="20"/>
        </w:rPr>
        <w:t>Działania są adresowane do osób, które ukończyły 50. rok życia. Zakładają wsparcie przedsięwzięć o charakterze ogólnopolskim lub ponadregionalnym i szerokim zasięgu, realizowanych w formie programów aktywizacji ruchowej, kampanii profilaktycznych, akcji inicjujących aktywność fizyczną, imprez popularyzatorskich, profilaktycznych oraz działań promujących aktywność fizyczną osób starszych. Podstawową formą objętą działaniami promocyjnymi są zajęcia aktywności rekreacyjnej i aktywności prewencyjnej, dostarczające seniorom niezbędnej dawki ćwiczeń ruchowych.</w:t>
      </w:r>
    </w:p>
    <w:p w14:paraId="63280803" w14:textId="77777777" w:rsidR="00C611FD" w:rsidRPr="003C730B" w:rsidRDefault="00C611FD" w:rsidP="003C730B">
      <w:pPr>
        <w:spacing w:after="0" w:line="240" w:lineRule="auto"/>
        <w:jc w:val="both"/>
        <w:rPr>
          <w:rFonts w:ascii="Lato" w:hAnsi="Lato"/>
          <w:sz w:val="20"/>
          <w:szCs w:val="20"/>
        </w:rPr>
      </w:pPr>
    </w:p>
    <w:p w14:paraId="233638A9" w14:textId="11C849B0" w:rsidR="00830305" w:rsidRPr="003C730B" w:rsidRDefault="00830305" w:rsidP="003C730B">
      <w:pPr>
        <w:spacing w:after="0" w:line="240" w:lineRule="auto"/>
        <w:jc w:val="both"/>
        <w:rPr>
          <w:rFonts w:ascii="Lato" w:hAnsi="Lato"/>
          <w:sz w:val="20"/>
          <w:szCs w:val="20"/>
        </w:rPr>
      </w:pPr>
      <w:proofErr w:type="spellStart"/>
      <w:r w:rsidRPr="003C730B">
        <w:rPr>
          <w:rFonts w:ascii="Lato" w:hAnsi="Lato"/>
          <w:sz w:val="20"/>
          <w:szCs w:val="20"/>
        </w:rPr>
        <w:t>MSiT</w:t>
      </w:r>
      <w:proofErr w:type="spellEnd"/>
      <w:r w:rsidRPr="003C730B">
        <w:rPr>
          <w:rFonts w:ascii="Lato" w:hAnsi="Lato"/>
          <w:sz w:val="20"/>
          <w:szCs w:val="20"/>
        </w:rPr>
        <w:t xml:space="preserve"> poprzez realizację ww. działań zamierza dotrzeć do jak największej liczby adresatów, między innymi do ponad 65 tys. seniorów skupionych wokół środowisk ponad 600 Uniwersytetów Trzeciego Wieku, rozwijających swą działalność w całej Polsce, z przekazem wiedzy dotyczącej zdrowego starzenia się oraz możliwości zwiększenia poziomu aktywności fizycznej. Ważnym instrumentem w dotarciu do odbiorców programu jest uruchomienie wszelkich kanałów komunikacji, w tym portali internetowych i wydawnictw, poświęconych promocji aktywności fizycznej wśród osób starszych. </w:t>
      </w:r>
    </w:p>
    <w:p w14:paraId="4BBF9C4F" w14:textId="77777777" w:rsidR="00C611FD" w:rsidRPr="003C730B" w:rsidRDefault="00C611FD" w:rsidP="003C730B">
      <w:pPr>
        <w:spacing w:after="0" w:line="240" w:lineRule="auto"/>
        <w:jc w:val="both"/>
        <w:rPr>
          <w:rFonts w:ascii="Lato" w:hAnsi="Lato"/>
          <w:sz w:val="20"/>
          <w:szCs w:val="20"/>
        </w:rPr>
      </w:pPr>
    </w:p>
    <w:p w14:paraId="42DC5037" w14:textId="694AB9E8" w:rsidR="00C611FD" w:rsidRPr="003C730B" w:rsidRDefault="00830305" w:rsidP="003C730B">
      <w:pPr>
        <w:spacing w:after="0" w:line="240" w:lineRule="auto"/>
        <w:jc w:val="both"/>
        <w:rPr>
          <w:rFonts w:ascii="Lato" w:hAnsi="Lato"/>
          <w:sz w:val="20"/>
          <w:szCs w:val="20"/>
        </w:rPr>
      </w:pPr>
      <w:r w:rsidRPr="003C730B">
        <w:rPr>
          <w:rFonts w:ascii="Lato" w:hAnsi="Lato"/>
          <w:sz w:val="20"/>
          <w:szCs w:val="20"/>
        </w:rPr>
        <w:t xml:space="preserve">Koszty realizacji projektu ze strony Ministerstwa Sportu i Turystyki zostały zapewnione ze środków pochodzących z budżetu państwa. Na dofinansowanie działań skierowanych do seniorów w ramach Programu „Sport dla Wszystkich” oraz programu „Sportowe Wakacje +” łącznie w 2022 roku przyznano dofinansowanie w wysokości 3 595 000,00 zł. Pozwoliło to na udział w różnorodnych projektach ponad 104 223 uczestników. Poniższe zestawienie przedstawia zadania dofinansowane w roku 2022. </w:t>
      </w:r>
    </w:p>
    <w:p w14:paraId="511B3F29" w14:textId="0ABAF9B9" w:rsidR="00830305" w:rsidRPr="003C730B" w:rsidRDefault="00830305" w:rsidP="003C730B">
      <w:pPr>
        <w:spacing w:after="0" w:line="240" w:lineRule="auto"/>
        <w:jc w:val="both"/>
        <w:rPr>
          <w:rFonts w:ascii="Lato" w:hAnsi="Lato"/>
          <w:b/>
          <w:bCs/>
          <w:sz w:val="20"/>
          <w:szCs w:val="20"/>
        </w:rPr>
      </w:pPr>
    </w:p>
    <w:p w14:paraId="0D6BAF54" w14:textId="715D0C6C" w:rsidR="00370482" w:rsidRDefault="00370482" w:rsidP="00370482">
      <w:pPr>
        <w:pStyle w:val="Legenda"/>
        <w:keepNext/>
      </w:pPr>
      <w:bookmarkStart w:id="60" w:name="_Toc142566005"/>
      <w:r>
        <w:t xml:space="preserve">Tabela </w:t>
      </w:r>
      <w:fldSimple w:instr=" SEQ Tabela \* ARABIC ">
        <w:r w:rsidR="00AA385B">
          <w:rPr>
            <w:noProof/>
          </w:rPr>
          <w:t>42</w:t>
        </w:r>
      </w:fldSimple>
      <w:r>
        <w:t xml:space="preserve"> </w:t>
      </w:r>
      <w:r w:rsidRPr="000A36AB">
        <w:t xml:space="preserve">Sport dla wszystkich </w:t>
      </w:r>
      <w:r>
        <w:t xml:space="preserve">edycja </w:t>
      </w:r>
      <w:r w:rsidRPr="000A36AB">
        <w:t>2022</w:t>
      </w:r>
      <w:bookmarkEnd w:id="60"/>
    </w:p>
    <w:tbl>
      <w:tblPr>
        <w:tblStyle w:val="Tabela-Siatka"/>
        <w:tblW w:w="5000" w:type="pct"/>
        <w:jc w:val="center"/>
        <w:tblLook w:val="04A0" w:firstRow="1" w:lastRow="0" w:firstColumn="1" w:lastColumn="0" w:noHBand="0" w:noVBand="1"/>
      </w:tblPr>
      <w:tblGrid>
        <w:gridCol w:w="3210"/>
        <w:gridCol w:w="3871"/>
        <w:gridCol w:w="1981"/>
      </w:tblGrid>
      <w:tr w:rsidR="00830305" w:rsidRPr="003C730B" w14:paraId="27C1801B" w14:textId="77777777" w:rsidTr="002818F9">
        <w:trPr>
          <w:trHeight w:val="107"/>
          <w:jc w:val="center"/>
        </w:trPr>
        <w:tc>
          <w:tcPr>
            <w:tcW w:w="1771" w:type="pct"/>
            <w:shd w:val="clear" w:color="auto" w:fill="8EAADB" w:themeFill="accent1" w:themeFillTint="99"/>
          </w:tcPr>
          <w:p w14:paraId="58C49AB7" w14:textId="606243E3"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Nazwa organizacji</w:t>
            </w:r>
          </w:p>
        </w:tc>
        <w:tc>
          <w:tcPr>
            <w:tcW w:w="2136" w:type="pct"/>
            <w:shd w:val="clear" w:color="auto" w:fill="8EAADB" w:themeFill="accent1" w:themeFillTint="99"/>
          </w:tcPr>
          <w:p w14:paraId="09703FF7" w14:textId="77777777"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Nazwa zadania</w:t>
            </w:r>
          </w:p>
        </w:tc>
        <w:tc>
          <w:tcPr>
            <w:tcW w:w="1093" w:type="pct"/>
            <w:shd w:val="clear" w:color="auto" w:fill="8EAADB" w:themeFill="accent1" w:themeFillTint="99"/>
          </w:tcPr>
          <w:p w14:paraId="3252A645" w14:textId="77777777"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Kwota dotacji w zł</w:t>
            </w:r>
          </w:p>
        </w:tc>
      </w:tr>
      <w:tr w:rsidR="00830305" w:rsidRPr="003C730B" w14:paraId="6A69B802" w14:textId="77777777" w:rsidTr="002818F9">
        <w:trPr>
          <w:trHeight w:val="523"/>
          <w:jc w:val="center"/>
        </w:trPr>
        <w:tc>
          <w:tcPr>
            <w:tcW w:w="1771" w:type="pct"/>
            <w:vAlign w:val="center"/>
          </w:tcPr>
          <w:p w14:paraId="455C59E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lastRenderedPageBreak/>
              <w:t>Akademia Wychowania Fizycznego I Medycznego Na Rzecz Rodziny I Seniorów</w:t>
            </w:r>
          </w:p>
        </w:tc>
        <w:tc>
          <w:tcPr>
            <w:tcW w:w="2136" w:type="pct"/>
            <w:vAlign w:val="center"/>
          </w:tcPr>
          <w:p w14:paraId="02F1174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XIV Olimpiada Seniorów - Międzynarodowy  Wieczór  Integracyjny </w:t>
            </w:r>
          </w:p>
        </w:tc>
        <w:tc>
          <w:tcPr>
            <w:tcW w:w="1093" w:type="pct"/>
            <w:vAlign w:val="center"/>
          </w:tcPr>
          <w:p w14:paraId="7616F95F"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50 000,00</w:t>
            </w:r>
          </w:p>
        </w:tc>
      </w:tr>
      <w:tr w:rsidR="00830305" w:rsidRPr="003C730B" w14:paraId="62C9DF58" w14:textId="77777777" w:rsidTr="002818F9">
        <w:trPr>
          <w:trHeight w:val="136"/>
          <w:jc w:val="center"/>
        </w:trPr>
        <w:tc>
          <w:tcPr>
            <w:tcW w:w="1771" w:type="pct"/>
            <w:vAlign w:val="center"/>
            <w:hideMark/>
          </w:tcPr>
          <w:p w14:paraId="74C5174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Akademicki Związek Sportowy Warszawa</w:t>
            </w:r>
          </w:p>
        </w:tc>
        <w:tc>
          <w:tcPr>
            <w:tcW w:w="2136" w:type="pct"/>
            <w:vAlign w:val="center"/>
            <w:hideMark/>
          </w:tcPr>
          <w:p w14:paraId="481B67AB"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Sportowa Akademia Dojrzałego Wieku - Seniorzy Zawsze Aktywni</w:t>
            </w:r>
          </w:p>
        </w:tc>
        <w:tc>
          <w:tcPr>
            <w:tcW w:w="1093" w:type="pct"/>
            <w:vAlign w:val="center"/>
            <w:hideMark/>
          </w:tcPr>
          <w:p w14:paraId="5E64F9A4"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45 000,00</w:t>
            </w:r>
          </w:p>
        </w:tc>
      </w:tr>
      <w:tr w:rsidR="00830305" w:rsidRPr="003C730B" w14:paraId="7C5CB6EC" w14:textId="77777777" w:rsidTr="002818F9">
        <w:trPr>
          <w:trHeight w:val="128"/>
          <w:jc w:val="center"/>
        </w:trPr>
        <w:tc>
          <w:tcPr>
            <w:tcW w:w="1771" w:type="pct"/>
            <w:vAlign w:val="center"/>
            <w:hideMark/>
          </w:tcPr>
          <w:p w14:paraId="758A19D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hideMark/>
          </w:tcPr>
          <w:p w14:paraId="4E0E5C5E"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Aktywna Ławka - ogólnopolski program aktywności rekreacyjnej w plenerze</w:t>
            </w:r>
          </w:p>
        </w:tc>
        <w:tc>
          <w:tcPr>
            <w:tcW w:w="1093" w:type="pct"/>
            <w:vAlign w:val="center"/>
            <w:hideMark/>
          </w:tcPr>
          <w:p w14:paraId="17FA6761"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19A50DE6" w14:textId="77777777" w:rsidTr="002818F9">
        <w:trPr>
          <w:trHeight w:val="262"/>
          <w:jc w:val="center"/>
        </w:trPr>
        <w:tc>
          <w:tcPr>
            <w:tcW w:w="1771" w:type="pct"/>
            <w:vAlign w:val="center"/>
            <w:hideMark/>
          </w:tcPr>
          <w:p w14:paraId="0BE26EE7"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hideMark/>
          </w:tcPr>
          <w:p w14:paraId="08C54E7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sz w:val="18"/>
                <w:szCs w:val="18"/>
              </w:rPr>
              <w:t>Łapię dzień - aktywnie w każdym dniu</w:t>
            </w:r>
          </w:p>
        </w:tc>
        <w:tc>
          <w:tcPr>
            <w:tcW w:w="1093" w:type="pct"/>
            <w:vAlign w:val="center"/>
            <w:hideMark/>
          </w:tcPr>
          <w:p w14:paraId="145EF336"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40 000,00</w:t>
            </w:r>
          </w:p>
        </w:tc>
      </w:tr>
      <w:tr w:rsidR="00830305" w:rsidRPr="003C730B" w14:paraId="16337F80" w14:textId="77777777" w:rsidTr="002818F9">
        <w:trPr>
          <w:trHeight w:val="166"/>
          <w:jc w:val="center"/>
        </w:trPr>
        <w:tc>
          <w:tcPr>
            <w:tcW w:w="1771" w:type="pct"/>
            <w:vAlign w:val="center"/>
          </w:tcPr>
          <w:p w14:paraId="6C12FBA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tcPr>
          <w:p w14:paraId="2F4C4FD7"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Program Aktywności Rekreacyjnej na Wsi dla Seniorów "PAW dla Seniorów"</w:t>
            </w:r>
          </w:p>
        </w:tc>
        <w:tc>
          <w:tcPr>
            <w:tcW w:w="1093" w:type="pct"/>
            <w:vAlign w:val="center"/>
          </w:tcPr>
          <w:p w14:paraId="1D9FCACB"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25 000,00</w:t>
            </w:r>
          </w:p>
        </w:tc>
      </w:tr>
      <w:tr w:rsidR="00830305" w:rsidRPr="003C730B" w14:paraId="7C8B63BE" w14:textId="77777777" w:rsidTr="002818F9">
        <w:trPr>
          <w:trHeight w:val="127"/>
          <w:jc w:val="center"/>
        </w:trPr>
        <w:tc>
          <w:tcPr>
            <w:tcW w:w="1771" w:type="pct"/>
            <w:vAlign w:val="center"/>
          </w:tcPr>
          <w:p w14:paraId="50AF1C5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tcPr>
          <w:p w14:paraId="68DF9424"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sz w:val="18"/>
                <w:szCs w:val="18"/>
              </w:rPr>
              <w:t>Przyjazne siłownie plenerowe</w:t>
            </w:r>
          </w:p>
        </w:tc>
        <w:tc>
          <w:tcPr>
            <w:tcW w:w="1093" w:type="pct"/>
            <w:vAlign w:val="center"/>
          </w:tcPr>
          <w:p w14:paraId="6443150C"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25 000,00</w:t>
            </w:r>
          </w:p>
        </w:tc>
      </w:tr>
      <w:tr w:rsidR="00830305" w:rsidRPr="003C730B" w14:paraId="6B35E5CF" w14:textId="77777777" w:rsidTr="002818F9">
        <w:trPr>
          <w:trHeight w:val="127"/>
          <w:jc w:val="center"/>
        </w:trPr>
        <w:tc>
          <w:tcPr>
            <w:tcW w:w="1771" w:type="pct"/>
            <w:vAlign w:val="center"/>
          </w:tcPr>
          <w:p w14:paraId="0A7E6FEE"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tcPr>
          <w:p w14:paraId="2F98B356" w14:textId="77777777" w:rsidR="00830305" w:rsidRPr="002818F9" w:rsidRDefault="00830305" w:rsidP="002818F9">
            <w:pPr>
              <w:rPr>
                <w:rFonts w:ascii="Lato" w:eastAsia="Times New Roman" w:hAnsi="Lato" w:cs="Calibri"/>
                <w:color w:val="000000"/>
                <w:sz w:val="18"/>
                <w:szCs w:val="18"/>
                <w:lang w:eastAsia="pl-PL"/>
              </w:rPr>
            </w:pPr>
            <w:proofErr w:type="spellStart"/>
            <w:r w:rsidRPr="002818F9">
              <w:rPr>
                <w:rFonts w:ascii="Lato" w:hAnsi="Lato"/>
                <w:color w:val="000000"/>
                <w:sz w:val="18"/>
                <w:szCs w:val="18"/>
              </w:rPr>
              <w:t>Seniorada</w:t>
            </w:r>
            <w:proofErr w:type="spellEnd"/>
            <w:r w:rsidRPr="002818F9">
              <w:rPr>
                <w:rFonts w:ascii="Lato" w:hAnsi="Lato"/>
                <w:color w:val="000000"/>
                <w:sz w:val="18"/>
                <w:szCs w:val="18"/>
              </w:rPr>
              <w:t xml:space="preserve"> - międzypokoleniowy piknik rekreacyjny</w:t>
            </w:r>
          </w:p>
        </w:tc>
        <w:tc>
          <w:tcPr>
            <w:tcW w:w="1093" w:type="pct"/>
            <w:vAlign w:val="center"/>
          </w:tcPr>
          <w:p w14:paraId="1024B4B9"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70C7549F" w14:textId="77777777" w:rsidTr="002818F9">
        <w:trPr>
          <w:trHeight w:val="58"/>
          <w:jc w:val="center"/>
        </w:trPr>
        <w:tc>
          <w:tcPr>
            <w:tcW w:w="1771" w:type="pct"/>
            <w:vAlign w:val="center"/>
          </w:tcPr>
          <w:p w14:paraId="0DBE36C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Europejskie Stowarzyszenie Promocji Aktywności Ruchowej 50+</w:t>
            </w:r>
          </w:p>
        </w:tc>
        <w:tc>
          <w:tcPr>
            <w:tcW w:w="2136" w:type="pct"/>
            <w:vAlign w:val="center"/>
          </w:tcPr>
          <w:p w14:paraId="55483E7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Wolontariusze na start. Promujemy aktywność w plenerze.</w:t>
            </w:r>
          </w:p>
        </w:tc>
        <w:tc>
          <w:tcPr>
            <w:tcW w:w="1093" w:type="pct"/>
            <w:vAlign w:val="center"/>
          </w:tcPr>
          <w:p w14:paraId="4F906033"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20 000,00</w:t>
            </w:r>
          </w:p>
        </w:tc>
      </w:tr>
      <w:tr w:rsidR="00830305" w:rsidRPr="003C730B" w14:paraId="5722CD78" w14:textId="77777777" w:rsidTr="002818F9">
        <w:trPr>
          <w:trHeight w:val="98"/>
          <w:jc w:val="center"/>
        </w:trPr>
        <w:tc>
          <w:tcPr>
            <w:tcW w:w="1771" w:type="pct"/>
            <w:vAlign w:val="center"/>
            <w:hideMark/>
          </w:tcPr>
          <w:p w14:paraId="2A065EA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"4-Via-Sport"</w:t>
            </w:r>
          </w:p>
        </w:tc>
        <w:tc>
          <w:tcPr>
            <w:tcW w:w="2136" w:type="pct"/>
            <w:vAlign w:val="center"/>
            <w:hideMark/>
          </w:tcPr>
          <w:p w14:paraId="516944E4"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"Ruch to zdrowie" czyli szerzenie kultury fizycznej i umysłowej wśród dorosłych i seniorów.</w:t>
            </w:r>
          </w:p>
        </w:tc>
        <w:tc>
          <w:tcPr>
            <w:tcW w:w="1093" w:type="pct"/>
            <w:vAlign w:val="center"/>
            <w:hideMark/>
          </w:tcPr>
          <w:p w14:paraId="4E84C913"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10 000,00</w:t>
            </w:r>
          </w:p>
        </w:tc>
      </w:tr>
      <w:tr w:rsidR="00830305" w:rsidRPr="003C730B" w14:paraId="64909BB1" w14:textId="77777777" w:rsidTr="002818F9">
        <w:trPr>
          <w:trHeight w:val="148"/>
          <w:jc w:val="center"/>
        </w:trPr>
        <w:tc>
          <w:tcPr>
            <w:tcW w:w="1771" w:type="pct"/>
            <w:vAlign w:val="center"/>
            <w:hideMark/>
          </w:tcPr>
          <w:p w14:paraId="6D31603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"SUDETY"</w:t>
            </w:r>
          </w:p>
        </w:tc>
        <w:tc>
          <w:tcPr>
            <w:tcW w:w="2136" w:type="pct"/>
            <w:vAlign w:val="center"/>
            <w:hideMark/>
          </w:tcPr>
          <w:p w14:paraId="1A440B5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Opolska Akademia Zdrowego Seniora</w:t>
            </w:r>
          </w:p>
        </w:tc>
        <w:tc>
          <w:tcPr>
            <w:tcW w:w="1093" w:type="pct"/>
            <w:vAlign w:val="center"/>
            <w:hideMark/>
          </w:tcPr>
          <w:p w14:paraId="3F741D30"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180 000,00</w:t>
            </w:r>
          </w:p>
        </w:tc>
      </w:tr>
      <w:tr w:rsidR="00830305" w:rsidRPr="003C730B" w14:paraId="4A993731" w14:textId="77777777" w:rsidTr="002818F9">
        <w:trPr>
          <w:trHeight w:val="491"/>
          <w:jc w:val="center"/>
        </w:trPr>
        <w:tc>
          <w:tcPr>
            <w:tcW w:w="1771" w:type="pct"/>
            <w:vAlign w:val="center"/>
            <w:hideMark/>
          </w:tcPr>
          <w:p w14:paraId="1AB1CCA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Bądź w ruchu</w:t>
            </w:r>
          </w:p>
        </w:tc>
        <w:tc>
          <w:tcPr>
            <w:tcW w:w="2136" w:type="pct"/>
            <w:vAlign w:val="center"/>
            <w:hideMark/>
          </w:tcPr>
          <w:p w14:paraId="320556CC"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Bądź w ruchu - silny, zdrowy, aktywny - upowszechnianie aktywnego, sportowego i zdrowego trybu życia dla dzieci, młodzieży, dorosłych oraz seniorów. </w:t>
            </w:r>
          </w:p>
        </w:tc>
        <w:tc>
          <w:tcPr>
            <w:tcW w:w="1093" w:type="pct"/>
            <w:vAlign w:val="center"/>
            <w:hideMark/>
          </w:tcPr>
          <w:p w14:paraId="11DF9D10"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40 000,00</w:t>
            </w:r>
          </w:p>
        </w:tc>
      </w:tr>
      <w:tr w:rsidR="00830305" w:rsidRPr="003C730B" w14:paraId="3BAFCB10" w14:textId="77777777" w:rsidTr="002818F9">
        <w:trPr>
          <w:trHeight w:val="618"/>
          <w:jc w:val="center"/>
        </w:trPr>
        <w:tc>
          <w:tcPr>
            <w:tcW w:w="1771" w:type="pct"/>
            <w:vAlign w:val="center"/>
            <w:hideMark/>
          </w:tcPr>
          <w:p w14:paraId="72E73E7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Instytut Łukasiewicza</w:t>
            </w:r>
          </w:p>
        </w:tc>
        <w:tc>
          <w:tcPr>
            <w:tcW w:w="2136" w:type="pct"/>
            <w:vAlign w:val="center"/>
            <w:hideMark/>
          </w:tcPr>
          <w:p w14:paraId="2C54827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Kampania informacyjno-edukacyjna dla słuchaczy uniwersytetów trzeciego wieku i klubów seniora „UTW BEZ GRANIC: seniorzy na start!” 2022. Kontynuacja działań o zasięgu ogólnopolskim</w:t>
            </w:r>
          </w:p>
        </w:tc>
        <w:tc>
          <w:tcPr>
            <w:tcW w:w="1093" w:type="pct"/>
            <w:vAlign w:val="center"/>
            <w:hideMark/>
          </w:tcPr>
          <w:p w14:paraId="411E1F9E"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300 000,00</w:t>
            </w:r>
          </w:p>
        </w:tc>
      </w:tr>
      <w:tr w:rsidR="00830305" w:rsidRPr="003C730B" w14:paraId="7C40368E" w14:textId="77777777" w:rsidTr="002818F9">
        <w:trPr>
          <w:trHeight w:val="81"/>
          <w:jc w:val="center"/>
        </w:trPr>
        <w:tc>
          <w:tcPr>
            <w:tcW w:w="1771" w:type="pct"/>
            <w:vAlign w:val="center"/>
            <w:hideMark/>
          </w:tcPr>
          <w:p w14:paraId="620DF66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Fundacja </w:t>
            </w:r>
            <w:proofErr w:type="spellStart"/>
            <w:r w:rsidRPr="002818F9">
              <w:rPr>
                <w:rFonts w:ascii="Lato" w:hAnsi="Lato"/>
                <w:color w:val="000000"/>
                <w:sz w:val="18"/>
                <w:szCs w:val="18"/>
              </w:rPr>
              <w:t>MaxiFootball</w:t>
            </w:r>
            <w:proofErr w:type="spellEnd"/>
          </w:p>
        </w:tc>
        <w:tc>
          <w:tcPr>
            <w:tcW w:w="2136" w:type="pct"/>
            <w:vAlign w:val="center"/>
            <w:hideMark/>
          </w:tcPr>
          <w:p w14:paraId="4CB2EC9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Zajęcia sportowe dla 20 Seniorów z Domu Dziennego Pobytu </w:t>
            </w:r>
          </w:p>
        </w:tc>
        <w:tc>
          <w:tcPr>
            <w:tcW w:w="1093" w:type="pct"/>
            <w:vAlign w:val="center"/>
            <w:hideMark/>
          </w:tcPr>
          <w:p w14:paraId="072A4907"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20 000,00</w:t>
            </w:r>
          </w:p>
        </w:tc>
      </w:tr>
      <w:tr w:rsidR="00830305" w:rsidRPr="003C730B" w14:paraId="76B5B674" w14:textId="77777777" w:rsidTr="002818F9">
        <w:trPr>
          <w:trHeight w:val="214"/>
          <w:jc w:val="center"/>
        </w:trPr>
        <w:tc>
          <w:tcPr>
            <w:tcW w:w="1771" w:type="pct"/>
            <w:vAlign w:val="center"/>
            <w:hideMark/>
          </w:tcPr>
          <w:p w14:paraId="4679DB7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Rozwoju Wioślarstwa Polskiego</w:t>
            </w:r>
          </w:p>
        </w:tc>
        <w:tc>
          <w:tcPr>
            <w:tcW w:w="2136" w:type="pct"/>
            <w:vAlign w:val="center"/>
            <w:hideMark/>
          </w:tcPr>
          <w:p w14:paraId="4BE499F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Upowszechnianie sportu oraz olimpizmu poprzez organizację imprez i spotkań osób starszych w tym słuchaczy Uniwersytetów trzeciego wieku w Polsce.</w:t>
            </w:r>
          </w:p>
        </w:tc>
        <w:tc>
          <w:tcPr>
            <w:tcW w:w="1093" w:type="pct"/>
            <w:vAlign w:val="center"/>
            <w:hideMark/>
          </w:tcPr>
          <w:p w14:paraId="1BF3E570"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70 000,00</w:t>
            </w:r>
          </w:p>
        </w:tc>
      </w:tr>
      <w:tr w:rsidR="00830305" w:rsidRPr="003C730B" w14:paraId="6007B986" w14:textId="77777777" w:rsidTr="002818F9">
        <w:trPr>
          <w:trHeight w:val="58"/>
          <w:jc w:val="center"/>
        </w:trPr>
        <w:tc>
          <w:tcPr>
            <w:tcW w:w="1771" w:type="pct"/>
            <w:vAlign w:val="center"/>
            <w:hideMark/>
          </w:tcPr>
          <w:p w14:paraId="342565E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Fundacja Warszawa to Wolność</w:t>
            </w:r>
          </w:p>
        </w:tc>
        <w:tc>
          <w:tcPr>
            <w:tcW w:w="2136" w:type="pct"/>
            <w:vAlign w:val="center"/>
            <w:hideMark/>
          </w:tcPr>
          <w:p w14:paraId="19C2CF7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Aktywni Seniorzy </w:t>
            </w:r>
          </w:p>
        </w:tc>
        <w:tc>
          <w:tcPr>
            <w:tcW w:w="1093" w:type="pct"/>
            <w:vAlign w:val="center"/>
            <w:hideMark/>
          </w:tcPr>
          <w:p w14:paraId="619D064E"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200 000,00</w:t>
            </w:r>
          </w:p>
        </w:tc>
      </w:tr>
      <w:tr w:rsidR="00830305" w:rsidRPr="003C730B" w14:paraId="6D2AEB3A" w14:textId="77777777" w:rsidTr="002818F9">
        <w:trPr>
          <w:trHeight w:val="244"/>
          <w:jc w:val="center"/>
        </w:trPr>
        <w:tc>
          <w:tcPr>
            <w:tcW w:w="1771" w:type="pct"/>
            <w:vAlign w:val="center"/>
            <w:hideMark/>
          </w:tcPr>
          <w:p w14:paraId="236525B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Gdański Klub Sportowy 'KORSARZ"</w:t>
            </w:r>
          </w:p>
        </w:tc>
        <w:tc>
          <w:tcPr>
            <w:tcW w:w="2136" w:type="pct"/>
            <w:vAlign w:val="center"/>
            <w:hideMark/>
          </w:tcPr>
          <w:p w14:paraId="7A63D33C"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Pomorska Akademia Seniora</w:t>
            </w:r>
          </w:p>
        </w:tc>
        <w:tc>
          <w:tcPr>
            <w:tcW w:w="1093" w:type="pct"/>
            <w:vAlign w:val="center"/>
            <w:hideMark/>
          </w:tcPr>
          <w:p w14:paraId="62ABA021"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35 000,00</w:t>
            </w:r>
          </w:p>
        </w:tc>
      </w:tr>
      <w:tr w:rsidR="00830305" w:rsidRPr="003C730B" w14:paraId="71473B9A" w14:textId="77777777" w:rsidTr="002818F9">
        <w:trPr>
          <w:trHeight w:val="276"/>
          <w:jc w:val="center"/>
        </w:trPr>
        <w:tc>
          <w:tcPr>
            <w:tcW w:w="1771" w:type="pct"/>
            <w:vAlign w:val="center"/>
            <w:hideMark/>
          </w:tcPr>
          <w:p w14:paraId="228EF6B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Integracyjny Klub Sportowy "TARPAN"</w:t>
            </w:r>
          </w:p>
        </w:tc>
        <w:tc>
          <w:tcPr>
            <w:tcW w:w="2136" w:type="pct"/>
            <w:vAlign w:val="center"/>
            <w:hideMark/>
          </w:tcPr>
          <w:p w14:paraId="619BEB5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Aktywny senior, zdrowy senior</w:t>
            </w:r>
          </w:p>
        </w:tc>
        <w:tc>
          <w:tcPr>
            <w:tcW w:w="1093" w:type="pct"/>
            <w:vAlign w:val="center"/>
            <w:hideMark/>
          </w:tcPr>
          <w:p w14:paraId="35A0B4DC"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28FA46AE" w14:textId="77777777" w:rsidTr="002818F9">
        <w:trPr>
          <w:trHeight w:val="113"/>
          <w:jc w:val="center"/>
        </w:trPr>
        <w:tc>
          <w:tcPr>
            <w:tcW w:w="1771" w:type="pct"/>
            <w:vAlign w:val="center"/>
            <w:hideMark/>
          </w:tcPr>
          <w:p w14:paraId="54C6816C"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KLUB BIEGACZA SPORTING</w:t>
            </w:r>
          </w:p>
        </w:tc>
        <w:tc>
          <w:tcPr>
            <w:tcW w:w="2136" w:type="pct"/>
            <w:vAlign w:val="center"/>
            <w:hideMark/>
          </w:tcPr>
          <w:p w14:paraId="5E5FFD7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Ogólnopolski program aktywizacji osób starszych zmagających się z otyłością 2022</w:t>
            </w:r>
          </w:p>
        </w:tc>
        <w:tc>
          <w:tcPr>
            <w:tcW w:w="1093" w:type="pct"/>
            <w:vAlign w:val="center"/>
            <w:hideMark/>
          </w:tcPr>
          <w:p w14:paraId="238B103A"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70 000,00</w:t>
            </w:r>
          </w:p>
        </w:tc>
      </w:tr>
      <w:tr w:rsidR="00830305" w:rsidRPr="003C730B" w14:paraId="7B49204A" w14:textId="77777777" w:rsidTr="002818F9">
        <w:trPr>
          <w:trHeight w:val="529"/>
          <w:jc w:val="center"/>
        </w:trPr>
        <w:tc>
          <w:tcPr>
            <w:tcW w:w="1771" w:type="pct"/>
            <w:vAlign w:val="center"/>
            <w:hideMark/>
          </w:tcPr>
          <w:p w14:paraId="2476513D"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Klub </w:t>
            </w:r>
            <w:proofErr w:type="spellStart"/>
            <w:r w:rsidRPr="002818F9">
              <w:rPr>
                <w:rFonts w:ascii="Lato" w:hAnsi="Lato"/>
                <w:color w:val="000000"/>
                <w:sz w:val="18"/>
                <w:szCs w:val="18"/>
              </w:rPr>
              <w:t>Petanque</w:t>
            </w:r>
            <w:proofErr w:type="spellEnd"/>
            <w:r w:rsidRPr="002818F9">
              <w:rPr>
                <w:rFonts w:ascii="Lato" w:hAnsi="Lato"/>
                <w:color w:val="000000"/>
                <w:sz w:val="18"/>
                <w:szCs w:val="18"/>
              </w:rPr>
              <w:t xml:space="preserve"> Lajkonik Kraków</w:t>
            </w:r>
          </w:p>
        </w:tc>
        <w:tc>
          <w:tcPr>
            <w:tcW w:w="2136" w:type="pct"/>
            <w:vAlign w:val="center"/>
            <w:hideMark/>
          </w:tcPr>
          <w:p w14:paraId="6A17445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Popularyzacja </w:t>
            </w:r>
            <w:proofErr w:type="spellStart"/>
            <w:r w:rsidRPr="002818F9">
              <w:rPr>
                <w:rFonts w:ascii="Lato" w:hAnsi="Lato"/>
                <w:color w:val="000000"/>
                <w:sz w:val="18"/>
                <w:szCs w:val="18"/>
              </w:rPr>
              <w:t>petanque</w:t>
            </w:r>
            <w:proofErr w:type="spellEnd"/>
            <w:r w:rsidRPr="002818F9">
              <w:rPr>
                <w:rFonts w:ascii="Lato" w:hAnsi="Lato"/>
                <w:color w:val="000000"/>
                <w:sz w:val="18"/>
                <w:szCs w:val="18"/>
              </w:rPr>
              <w:t xml:space="preserve"> (gry w </w:t>
            </w:r>
            <w:proofErr w:type="spellStart"/>
            <w:r w:rsidRPr="002818F9">
              <w:rPr>
                <w:rFonts w:ascii="Lato" w:hAnsi="Lato"/>
                <w:color w:val="000000"/>
                <w:sz w:val="18"/>
                <w:szCs w:val="18"/>
              </w:rPr>
              <w:t>boule</w:t>
            </w:r>
            <w:proofErr w:type="spellEnd"/>
            <w:r w:rsidRPr="002818F9">
              <w:rPr>
                <w:rFonts w:ascii="Lato" w:hAnsi="Lato"/>
                <w:color w:val="000000"/>
                <w:sz w:val="18"/>
                <w:szCs w:val="18"/>
              </w:rPr>
              <w:t>) wśród seniorów jako promowanie rozwoju tej dziedziny sportu, a także forma aktywności i utrzymania kondycji fizycznej i intelektualnej grupy społecznej seniorów.</w:t>
            </w:r>
          </w:p>
        </w:tc>
        <w:tc>
          <w:tcPr>
            <w:tcW w:w="1093" w:type="pct"/>
            <w:vAlign w:val="center"/>
            <w:hideMark/>
          </w:tcPr>
          <w:p w14:paraId="19A57368"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20 000,00</w:t>
            </w:r>
          </w:p>
        </w:tc>
      </w:tr>
      <w:tr w:rsidR="00830305" w:rsidRPr="003C730B" w14:paraId="10392B8D" w14:textId="77777777" w:rsidTr="002818F9">
        <w:trPr>
          <w:trHeight w:val="432"/>
          <w:jc w:val="center"/>
        </w:trPr>
        <w:tc>
          <w:tcPr>
            <w:tcW w:w="1771" w:type="pct"/>
            <w:vAlign w:val="center"/>
            <w:hideMark/>
          </w:tcPr>
          <w:p w14:paraId="3F68A9F9" w14:textId="014C55E0"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Klub</w:t>
            </w:r>
            <w:r w:rsidR="002818F9">
              <w:rPr>
                <w:rFonts w:ascii="Lato" w:hAnsi="Lato"/>
                <w:color w:val="000000"/>
                <w:sz w:val="18"/>
                <w:szCs w:val="18"/>
              </w:rPr>
              <w:t xml:space="preserve"> </w:t>
            </w:r>
            <w:r w:rsidRPr="002818F9">
              <w:rPr>
                <w:rFonts w:ascii="Lato" w:hAnsi="Lato"/>
                <w:color w:val="000000"/>
                <w:sz w:val="18"/>
                <w:szCs w:val="18"/>
              </w:rPr>
              <w:t>Rekreacyjno-Sportowy Towarzystwa Krzewienia Kultury Fizycznej SPORTOWIEC</w:t>
            </w:r>
          </w:p>
        </w:tc>
        <w:tc>
          <w:tcPr>
            <w:tcW w:w="2136" w:type="pct"/>
            <w:vAlign w:val="center"/>
            <w:hideMark/>
          </w:tcPr>
          <w:p w14:paraId="2D4D8F4C"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Sprawność seniorów</w:t>
            </w:r>
          </w:p>
        </w:tc>
        <w:tc>
          <w:tcPr>
            <w:tcW w:w="1093" w:type="pct"/>
            <w:vAlign w:val="center"/>
            <w:hideMark/>
          </w:tcPr>
          <w:p w14:paraId="137F2849"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15 000,00</w:t>
            </w:r>
          </w:p>
        </w:tc>
      </w:tr>
      <w:tr w:rsidR="00830305" w:rsidRPr="003C730B" w14:paraId="1F52A68B" w14:textId="77777777" w:rsidTr="002818F9">
        <w:trPr>
          <w:trHeight w:val="200"/>
          <w:jc w:val="center"/>
        </w:trPr>
        <w:tc>
          <w:tcPr>
            <w:tcW w:w="1771" w:type="pct"/>
            <w:vAlign w:val="center"/>
            <w:hideMark/>
          </w:tcPr>
          <w:p w14:paraId="7C48681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Krajowe Zrzeszenie Ludowe Zespoły Sportowe</w:t>
            </w:r>
          </w:p>
        </w:tc>
        <w:tc>
          <w:tcPr>
            <w:tcW w:w="2136" w:type="pct"/>
            <w:vAlign w:val="center"/>
            <w:hideMark/>
          </w:tcPr>
          <w:p w14:paraId="00CDDFC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Szkolenie "Aktywny Senior LZS"</w:t>
            </w:r>
          </w:p>
        </w:tc>
        <w:tc>
          <w:tcPr>
            <w:tcW w:w="1093" w:type="pct"/>
            <w:vAlign w:val="center"/>
            <w:hideMark/>
          </w:tcPr>
          <w:p w14:paraId="750D6E70"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50 000,00</w:t>
            </w:r>
          </w:p>
        </w:tc>
      </w:tr>
      <w:tr w:rsidR="00830305" w:rsidRPr="003C730B" w14:paraId="3DE6B724" w14:textId="77777777" w:rsidTr="002818F9">
        <w:trPr>
          <w:trHeight w:val="178"/>
          <w:jc w:val="center"/>
        </w:trPr>
        <w:tc>
          <w:tcPr>
            <w:tcW w:w="1771" w:type="pct"/>
            <w:vAlign w:val="center"/>
            <w:hideMark/>
          </w:tcPr>
          <w:p w14:paraId="40CBD81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Lubuska Federacja Sportu</w:t>
            </w:r>
          </w:p>
        </w:tc>
        <w:tc>
          <w:tcPr>
            <w:tcW w:w="2136" w:type="pct"/>
            <w:vAlign w:val="center"/>
            <w:hideMark/>
          </w:tcPr>
          <w:p w14:paraId="672CFF8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Sprawny i świadomy Senior</w:t>
            </w:r>
          </w:p>
        </w:tc>
        <w:tc>
          <w:tcPr>
            <w:tcW w:w="1093" w:type="pct"/>
            <w:vAlign w:val="center"/>
            <w:hideMark/>
          </w:tcPr>
          <w:p w14:paraId="4452F751"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60 000,00</w:t>
            </w:r>
          </w:p>
        </w:tc>
      </w:tr>
      <w:tr w:rsidR="00830305" w:rsidRPr="003C730B" w14:paraId="24E77BAE" w14:textId="77777777" w:rsidTr="002818F9">
        <w:trPr>
          <w:trHeight w:val="225"/>
          <w:jc w:val="center"/>
        </w:trPr>
        <w:tc>
          <w:tcPr>
            <w:tcW w:w="1771" w:type="pct"/>
            <w:vAlign w:val="center"/>
            <w:hideMark/>
          </w:tcPr>
          <w:p w14:paraId="570CBC5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Ludowy Klub Sportowy Tworków</w:t>
            </w:r>
          </w:p>
        </w:tc>
        <w:tc>
          <w:tcPr>
            <w:tcW w:w="2136" w:type="pct"/>
            <w:vAlign w:val="center"/>
            <w:hideMark/>
          </w:tcPr>
          <w:p w14:paraId="1EA139E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Niepodległościowy turniej szachowy dla dzieci, młodzieży, seniorów i dorosłych mieszkańców gminy Krzyżanowice.</w:t>
            </w:r>
          </w:p>
        </w:tc>
        <w:tc>
          <w:tcPr>
            <w:tcW w:w="1093" w:type="pct"/>
            <w:vAlign w:val="center"/>
            <w:hideMark/>
          </w:tcPr>
          <w:p w14:paraId="2A3741E3"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5 000,00</w:t>
            </w:r>
          </w:p>
        </w:tc>
      </w:tr>
      <w:tr w:rsidR="00830305" w:rsidRPr="003C730B" w14:paraId="65D09038" w14:textId="77777777" w:rsidTr="002818F9">
        <w:trPr>
          <w:trHeight w:val="276"/>
          <w:jc w:val="center"/>
        </w:trPr>
        <w:tc>
          <w:tcPr>
            <w:tcW w:w="1771" w:type="pct"/>
            <w:vAlign w:val="center"/>
            <w:hideMark/>
          </w:tcPr>
          <w:p w14:paraId="5F80905C"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Ludowy Zespół Sportowy Orkan Dalewo</w:t>
            </w:r>
          </w:p>
        </w:tc>
        <w:tc>
          <w:tcPr>
            <w:tcW w:w="2136" w:type="pct"/>
            <w:vAlign w:val="center"/>
            <w:hideMark/>
          </w:tcPr>
          <w:p w14:paraId="622F0491"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Sport w Gminie Marianowo - od juniorka do seniorka </w:t>
            </w:r>
          </w:p>
        </w:tc>
        <w:tc>
          <w:tcPr>
            <w:tcW w:w="1093" w:type="pct"/>
            <w:vAlign w:val="center"/>
            <w:hideMark/>
          </w:tcPr>
          <w:p w14:paraId="40CF2523"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18 000,00</w:t>
            </w:r>
          </w:p>
        </w:tc>
      </w:tr>
      <w:tr w:rsidR="00830305" w:rsidRPr="003C730B" w14:paraId="3D979D8B" w14:textId="77777777" w:rsidTr="002818F9">
        <w:trPr>
          <w:trHeight w:val="269"/>
          <w:jc w:val="center"/>
        </w:trPr>
        <w:tc>
          <w:tcPr>
            <w:tcW w:w="1771" w:type="pct"/>
            <w:vAlign w:val="center"/>
            <w:hideMark/>
          </w:tcPr>
          <w:p w14:paraId="0D39B2C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Mazowieckie Towarzystwo Krzewienia Kultury Fizycznej</w:t>
            </w:r>
          </w:p>
        </w:tc>
        <w:tc>
          <w:tcPr>
            <w:tcW w:w="2136" w:type="pct"/>
            <w:vAlign w:val="center"/>
            <w:hideMark/>
          </w:tcPr>
          <w:p w14:paraId="798B33A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Mazowiecka Sportowa </w:t>
            </w:r>
            <w:proofErr w:type="spellStart"/>
            <w:r w:rsidRPr="002818F9">
              <w:rPr>
                <w:rFonts w:ascii="Lato" w:hAnsi="Lato"/>
                <w:color w:val="000000"/>
                <w:sz w:val="18"/>
                <w:szCs w:val="18"/>
              </w:rPr>
              <w:t>Senioriada</w:t>
            </w:r>
            <w:proofErr w:type="spellEnd"/>
            <w:r w:rsidRPr="002818F9">
              <w:rPr>
                <w:rFonts w:ascii="Lato" w:hAnsi="Lato"/>
                <w:color w:val="000000"/>
                <w:sz w:val="18"/>
                <w:szCs w:val="18"/>
              </w:rPr>
              <w:t xml:space="preserve"> 2022 Aktywnie - Zdrowo - Sportowo Piknik sportowy dla mazowieckich seniorów </w:t>
            </w:r>
          </w:p>
        </w:tc>
        <w:tc>
          <w:tcPr>
            <w:tcW w:w="1093" w:type="pct"/>
            <w:vAlign w:val="center"/>
            <w:hideMark/>
          </w:tcPr>
          <w:p w14:paraId="6C48BD6B"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40 000,00</w:t>
            </w:r>
          </w:p>
        </w:tc>
      </w:tr>
      <w:tr w:rsidR="00830305" w:rsidRPr="003C730B" w14:paraId="70D8224E" w14:textId="77777777" w:rsidTr="002818F9">
        <w:trPr>
          <w:trHeight w:val="58"/>
          <w:jc w:val="center"/>
        </w:trPr>
        <w:tc>
          <w:tcPr>
            <w:tcW w:w="1771" w:type="pct"/>
            <w:vAlign w:val="center"/>
            <w:hideMark/>
          </w:tcPr>
          <w:p w14:paraId="7C83B81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Miejski Klub Sportowy </w:t>
            </w:r>
            <w:proofErr w:type="spellStart"/>
            <w:r w:rsidRPr="002818F9">
              <w:rPr>
                <w:rFonts w:ascii="Lato" w:hAnsi="Lato"/>
                <w:color w:val="000000"/>
                <w:sz w:val="18"/>
                <w:szCs w:val="18"/>
              </w:rPr>
              <w:t>Handball</w:t>
            </w:r>
            <w:proofErr w:type="spellEnd"/>
            <w:r w:rsidRPr="002818F9">
              <w:rPr>
                <w:rFonts w:ascii="Lato" w:hAnsi="Lato"/>
                <w:color w:val="000000"/>
                <w:sz w:val="18"/>
                <w:szCs w:val="18"/>
              </w:rPr>
              <w:t xml:space="preserve"> Czersk</w:t>
            </w:r>
          </w:p>
        </w:tc>
        <w:tc>
          <w:tcPr>
            <w:tcW w:w="2136" w:type="pct"/>
            <w:vAlign w:val="center"/>
            <w:hideMark/>
          </w:tcPr>
          <w:p w14:paraId="6439EE9E"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"Aktywnie i zdrowo - zajęcia sportowe dla dzieci, młodzieży, dorosłych i seniorów"</w:t>
            </w:r>
          </w:p>
        </w:tc>
        <w:tc>
          <w:tcPr>
            <w:tcW w:w="1093" w:type="pct"/>
            <w:vAlign w:val="center"/>
            <w:hideMark/>
          </w:tcPr>
          <w:p w14:paraId="1D84204E"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20 000,00</w:t>
            </w:r>
          </w:p>
        </w:tc>
      </w:tr>
      <w:tr w:rsidR="00830305" w:rsidRPr="003C730B" w14:paraId="0434EC96" w14:textId="77777777" w:rsidTr="00370482">
        <w:trPr>
          <w:trHeight w:val="846"/>
          <w:jc w:val="center"/>
        </w:trPr>
        <w:tc>
          <w:tcPr>
            <w:tcW w:w="1771" w:type="pct"/>
            <w:vAlign w:val="center"/>
            <w:hideMark/>
          </w:tcPr>
          <w:p w14:paraId="2EA8FF9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lastRenderedPageBreak/>
              <w:t>Międzyszkolny Uczniowski Klub Sportowy Stoczek 45 Białystok</w:t>
            </w:r>
          </w:p>
        </w:tc>
        <w:tc>
          <w:tcPr>
            <w:tcW w:w="2136" w:type="pct"/>
            <w:vAlign w:val="center"/>
            <w:hideMark/>
          </w:tcPr>
          <w:p w14:paraId="246274C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Upowszechnianie sportu wśród dzieci, młodzieży, dorosłych i seniorów oraz osób niepełnosprawnych poprzez przygotowanie do udziału oraz organizację 41. Memoriału Szachowego Ludwika Zamenhofa</w:t>
            </w:r>
          </w:p>
        </w:tc>
        <w:tc>
          <w:tcPr>
            <w:tcW w:w="1093" w:type="pct"/>
            <w:vAlign w:val="center"/>
            <w:hideMark/>
          </w:tcPr>
          <w:p w14:paraId="7026310E"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40 000,00</w:t>
            </w:r>
          </w:p>
        </w:tc>
      </w:tr>
      <w:tr w:rsidR="00830305" w:rsidRPr="003C730B" w14:paraId="6684D20D" w14:textId="77777777" w:rsidTr="00370482">
        <w:trPr>
          <w:trHeight w:val="311"/>
          <w:jc w:val="center"/>
        </w:trPr>
        <w:tc>
          <w:tcPr>
            <w:tcW w:w="1771" w:type="pct"/>
            <w:vAlign w:val="bottom"/>
            <w:hideMark/>
          </w:tcPr>
          <w:p w14:paraId="7D64EBC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sz w:val="18"/>
                <w:szCs w:val="18"/>
              </w:rPr>
              <w:t>New Europe Foundation</w:t>
            </w:r>
          </w:p>
        </w:tc>
        <w:tc>
          <w:tcPr>
            <w:tcW w:w="2136" w:type="pct"/>
            <w:vAlign w:val="bottom"/>
            <w:hideMark/>
          </w:tcPr>
          <w:p w14:paraId="23B59DA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sz w:val="18"/>
                <w:szCs w:val="18"/>
              </w:rPr>
              <w:t>Śląska Akademia Aktywnego Seniora</w:t>
            </w:r>
          </w:p>
        </w:tc>
        <w:tc>
          <w:tcPr>
            <w:tcW w:w="1093" w:type="pct"/>
            <w:vAlign w:val="bottom"/>
            <w:hideMark/>
          </w:tcPr>
          <w:p w14:paraId="096E461F"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sz w:val="18"/>
                <w:szCs w:val="18"/>
              </w:rPr>
              <w:t>200 000,00</w:t>
            </w:r>
          </w:p>
        </w:tc>
      </w:tr>
      <w:tr w:rsidR="00830305" w:rsidRPr="003C730B" w14:paraId="15AFA2B8" w14:textId="77777777" w:rsidTr="00370482">
        <w:trPr>
          <w:trHeight w:val="995"/>
          <w:jc w:val="center"/>
        </w:trPr>
        <w:tc>
          <w:tcPr>
            <w:tcW w:w="1771" w:type="pct"/>
            <w:vAlign w:val="center"/>
            <w:hideMark/>
          </w:tcPr>
          <w:p w14:paraId="107B1ECF"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Ogólnopolska Federacja Stowarzyszeń Uniwersytetów Trzeciego Wieku</w:t>
            </w:r>
          </w:p>
        </w:tc>
        <w:tc>
          <w:tcPr>
            <w:tcW w:w="2136" w:type="pct"/>
            <w:vAlign w:val="center"/>
            <w:hideMark/>
          </w:tcPr>
          <w:p w14:paraId="5E5995C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Akademia Animatorów Aktywności Ruchowej Seniorów </w:t>
            </w:r>
          </w:p>
        </w:tc>
        <w:tc>
          <w:tcPr>
            <w:tcW w:w="1093" w:type="pct"/>
            <w:vAlign w:val="center"/>
            <w:hideMark/>
          </w:tcPr>
          <w:p w14:paraId="2DD313E9"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48BBC4C2" w14:textId="77777777" w:rsidTr="002818F9">
        <w:trPr>
          <w:trHeight w:val="58"/>
          <w:jc w:val="center"/>
        </w:trPr>
        <w:tc>
          <w:tcPr>
            <w:tcW w:w="1771" w:type="pct"/>
            <w:vAlign w:val="center"/>
            <w:hideMark/>
          </w:tcPr>
          <w:p w14:paraId="0E0234D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Parafialny Klub Sportowy "Jadwiga"</w:t>
            </w:r>
          </w:p>
        </w:tc>
        <w:tc>
          <w:tcPr>
            <w:tcW w:w="2136" w:type="pct"/>
            <w:vAlign w:val="center"/>
            <w:hideMark/>
          </w:tcPr>
          <w:p w14:paraId="05B2580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Od juniora do seniora - sport dla wszystkich </w:t>
            </w:r>
            <w:r w:rsidRPr="002818F9">
              <w:rPr>
                <w:rFonts w:ascii="Lato" w:hAnsi="Lato"/>
                <w:color w:val="000000"/>
                <w:sz w:val="18"/>
                <w:szCs w:val="18"/>
              </w:rPr>
              <w:br/>
              <w:t>w Jadwidze</w:t>
            </w:r>
          </w:p>
        </w:tc>
        <w:tc>
          <w:tcPr>
            <w:tcW w:w="1093" w:type="pct"/>
            <w:vAlign w:val="center"/>
            <w:hideMark/>
          </w:tcPr>
          <w:p w14:paraId="25E7CD4D"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35 000,00</w:t>
            </w:r>
          </w:p>
        </w:tc>
      </w:tr>
      <w:tr w:rsidR="00830305" w:rsidRPr="003C730B" w14:paraId="49DD3710" w14:textId="77777777" w:rsidTr="002818F9">
        <w:trPr>
          <w:trHeight w:val="127"/>
          <w:jc w:val="center"/>
        </w:trPr>
        <w:tc>
          <w:tcPr>
            <w:tcW w:w="1771" w:type="pct"/>
            <w:vAlign w:val="center"/>
            <w:hideMark/>
          </w:tcPr>
          <w:p w14:paraId="667832BF"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Podlaski Okręgowy Związek Badmintona</w:t>
            </w:r>
          </w:p>
        </w:tc>
        <w:tc>
          <w:tcPr>
            <w:tcW w:w="2136" w:type="pct"/>
            <w:vAlign w:val="center"/>
            <w:hideMark/>
          </w:tcPr>
          <w:p w14:paraId="2C3FB54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Białystok na sportowo - Zajęcia rodzinne, dzieci, młodzieży i dorosłych oraz seniorów </w:t>
            </w:r>
            <w:r w:rsidRPr="002818F9">
              <w:rPr>
                <w:rFonts w:ascii="Lato" w:hAnsi="Lato"/>
                <w:color w:val="000000"/>
                <w:sz w:val="18"/>
                <w:szCs w:val="18"/>
              </w:rPr>
              <w:br/>
              <w:t xml:space="preserve">w Badmintonie </w:t>
            </w:r>
          </w:p>
        </w:tc>
        <w:tc>
          <w:tcPr>
            <w:tcW w:w="1093" w:type="pct"/>
            <w:vAlign w:val="center"/>
            <w:hideMark/>
          </w:tcPr>
          <w:p w14:paraId="231A7A94"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1653FE23" w14:textId="77777777" w:rsidTr="002818F9">
        <w:trPr>
          <w:trHeight w:val="179"/>
          <w:jc w:val="center"/>
        </w:trPr>
        <w:tc>
          <w:tcPr>
            <w:tcW w:w="1771" w:type="pct"/>
            <w:vAlign w:val="center"/>
            <w:hideMark/>
          </w:tcPr>
          <w:p w14:paraId="46963C9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Polskie Stowarzyszenie </w:t>
            </w:r>
            <w:proofErr w:type="spellStart"/>
            <w:r w:rsidRPr="002818F9">
              <w:rPr>
                <w:rFonts w:ascii="Lato" w:hAnsi="Lato"/>
                <w:color w:val="000000"/>
                <w:sz w:val="18"/>
                <w:szCs w:val="18"/>
              </w:rPr>
              <w:t>Nordic</w:t>
            </w:r>
            <w:proofErr w:type="spellEnd"/>
            <w:r w:rsidRPr="002818F9">
              <w:rPr>
                <w:rFonts w:ascii="Lato" w:hAnsi="Lato"/>
                <w:color w:val="000000"/>
                <w:sz w:val="18"/>
                <w:szCs w:val="18"/>
              </w:rPr>
              <w:t xml:space="preserve"> </w:t>
            </w:r>
            <w:proofErr w:type="spellStart"/>
            <w:r w:rsidRPr="002818F9">
              <w:rPr>
                <w:rFonts w:ascii="Lato" w:hAnsi="Lato"/>
                <w:color w:val="000000"/>
                <w:sz w:val="18"/>
                <w:szCs w:val="18"/>
              </w:rPr>
              <w:t>Walking</w:t>
            </w:r>
            <w:proofErr w:type="spellEnd"/>
          </w:p>
        </w:tc>
        <w:tc>
          <w:tcPr>
            <w:tcW w:w="2136" w:type="pct"/>
            <w:vAlign w:val="center"/>
            <w:hideMark/>
          </w:tcPr>
          <w:p w14:paraId="0C9FA6FB" w14:textId="77777777" w:rsidR="00830305" w:rsidRPr="002818F9" w:rsidRDefault="00830305" w:rsidP="002818F9">
            <w:pPr>
              <w:rPr>
                <w:rFonts w:ascii="Lato" w:eastAsia="Times New Roman" w:hAnsi="Lato" w:cs="Calibri"/>
                <w:color w:val="000000"/>
                <w:sz w:val="18"/>
                <w:szCs w:val="18"/>
                <w:lang w:eastAsia="pl-PL"/>
              </w:rPr>
            </w:pPr>
            <w:proofErr w:type="spellStart"/>
            <w:r w:rsidRPr="002818F9">
              <w:rPr>
                <w:rFonts w:ascii="Lato" w:hAnsi="Lato"/>
                <w:color w:val="000000"/>
                <w:sz w:val="18"/>
                <w:szCs w:val="18"/>
              </w:rPr>
              <w:t>Nordic</w:t>
            </w:r>
            <w:proofErr w:type="spellEnd"/>
            <w:r w:rsidRPr="002818F9">
              <w:rPr>
                <w:rFonts w:ascii="Lato" w:hAnsi="Lato"/>
                <w:color w:val="000000"/>
                <w:sz w:val="18"/>
                <w:szCs w:val="18"/>
              </w:rPr>
              <w:t xml:space="preserve"> </w:t>
            </w:r>
            <w:proofErr w:type="spellStart"/>
            <w:r w:rsidRPr="002818F9">
              <w:rPr>
                <w:rFonts w:ascii="Lato" w:hAnsi="Lato"/>
                <w:color w:val="000000"/>
                <w:sz w:val="18"/>
                <w:szCs w:val="18"/>
              </w:rPr>
              <w:t>Walking</w:t>
            </w:r>
            <w:proofErr w:type="spellEnd"/>
            <w:r w:rsidRPr="002818F9">
              <w:rPr>
                <w:rFonts w:ascii="Lato" w:hAnsi="Lato"/>
                <w:color w:val="000000"/>
                <w:sz w:val="18"/>
                <w:szCs w:val="18"/>
              </w:rPr>
              <w:t xml:space="preserve"> Senior</w:t>
            </w:r>
          </w:p>
        </w:tc>
        <w:tc>
          <w:tcPr>
            <w:tcW w:w="1093" w:type="pct"/>
            <w:vAlign w:val="center"/>
            <w:hideMark/>
          </w:tcPr>
          <w:p w14:paraId="63D5A626"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700 000,00</w:t>
            </w:r>
          </w:p>
        </w:tc>
      </w:tr>
      <w:tr w:rsidR="00830305" w:rsidRPr="003C730B" w14:paraId="3274161B" w14:textId="77777777" w:rsidTr="002818F9">
        <w:trPr>
          <w:trHeight w:val="299"/>
          <w:jc w:val="center"/>
        </w:trPr>
        <w:tc>
          <w:tcPr>
            <w:tcW w:w="1771" w:type="pct"/>
            <w:vAlign w:val="center"/>
            <w:hideMark/>
          </w:tcPr>
          <w:p w14:paraId="2F4941A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Samurai </w:t>
            </w:r>
            <w:proofErr w:type="spellStart"/>
            <w:r w:rsidRPr="002818F9">
              <w:rPr>
                <w:rFonts w:ascii="Lato" w:hAnsi="Lato"/>
                <w:color w:val="000000"/>
                <w:sz w:val="18"/>
                <w:szCs w:val="18"/>
              </w:rPr>
              <w:t>Spirit</w:t>
            </w:r>
            <w:proofErr w:type="spellEnd"/>
            <w:r w:rsidRPr="002818F9">
              <w:rPr>
                <w:rFonts w:ascii="Lato" w:hAnsi="Lato"/>
                <w:color w:val="000000"/>
                <w:sz w:val="18"/>
                <w:szCs w:val="18"/>
              </w:rPr>
              <w:t xml:space="preserve"> </w:t>
            </w:r>
            <w:proofErr w:type="spellStart"/>
            <w:r w:rsidRPr="002818F9">
              <w:rPr>
                <w:rFonts w:ascii="Lato" w:hAnsi="Lato"/>
                <w:color w:val="000000"/>
                <w:sz w:val="18"/>
                <w:szCs w:val="18"/>
              </w:rPr>
              <w:t>Dojo</w:t>
            </w:r>
            <w:proofErr w:type="spellEnd"/>
            <w:r w:rsidRPr="002818F9">
              <w:rPr>
                <w:rFonts w:ascii="Lato" w:hAnsi="Lato"/>
                <w:color w:val="000000"/>
                <w:sz w:val="18"/>
                <w:szCs w:val="18"/>
              </w:rPr>
              <w:t xml:space="preserve"> Klub Sportów i Sztuk Walki</w:t>
            </w:r>
          </w:p>
        </w:tc>
        <w:tc>
          <w:tcPr>
            <w:tcW w:w="2136" w:type="pct"/>
            <w:vAlign w:val="center"/>
            <w:hideMark/>
          </w:tcPr>
          <w:p w14:paraId="2867B12E"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Akademia Aktywności-Trenuj z Mistrzem od Juniora do Seniora.</w:t>
            </w:r>
          </w:p>
        </w:tc>
        <w:tc>
          <w:tcPr>
            <w:tcW w:w="1093" w:type="pct"/>
            <w:vAlign w:val="center"/>
            <w:hideMark/>
          </w:tcPr>
          <w:p w14:paraId="2D04F692"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12 000,00</w:t>
            </w:r>
          </w:p>
        </w:tc>
      </w:tr>
      <w:tr w:rsidR="00830305" w:rsidRPr="003C730B" w14:paraId="368004BD" w14:textId="77777777" w:rsidTr="002818F9">
        <w:trPr>
          <w:trHeight w:val="432"/>
          <w:jc w:val="center"/>
        </w:trPr>
        <w:tc>
          <w:tcPr>
            <w:tcW w:w="1771" w:type="pct"/>
            <w:vAlign w:val="center"/>
            <w:hideMark/>
          </w:tcPr>
          <w:p w14:paraId="2A80E632"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Stowarzyszenie Kolbuszowski Klub Sportowy "Kolbuszowianka" w Kolbuszowej</w:t>
            </w:r>
          </w:p>
        </w:tc>
        <w:tc>
          <w:tcPr>
            <w:tcW w:w="2136" w:type="pct"/>
            <w:vAlign w:val="center"/>
            <w:hideMark/>
          </w:tcPr>
          <w:p w14:paraId="2E0BE49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"Sportowa Rodzina 2022 - zajęcia rekreacyjno-sportowe dla dzieci, młodzieży, dorosłych i seniorów "</w:t>
            </w:r>
          </w:p>
        </w:tc>
        <w:tc>
          <w:tcPr>
            <w:tcW w:w="1093" w:type="pct"/>
            <w:vAlign w:val="center"/>
            <w:hideMark/>
          </w:tcPr>
          <w:p w14:paraId="194CE87F"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10 000,00</w:t>
            </w:r>
          </w:p>
        </w:tc>
      </w:tr>
      <w:tr w:rsidR="00830305" w:rsidRPr="003C730B" w14:paraId="7DD80B68" w14:textId="77777777" w:rsidTr="002818F9">
        <w:trPr>
          <w:trHeight w:val="59"/>
          <w:jc w:val="center"/>
        </w:trPr>
        <w:tc>
          <w:tcPr>
            <w:tcW w:w="1771" w:type="pct"/>
            <w:vAlign w:val="center"/>
            <w:hideMark/>
          </w:tcPr>
          <w:p w14:paraId="68428DC4"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Stowarzyszenie MANKO</w:t>
            </w:r>
          </w:p>
        </w:tc>
        <w:tc>
          <w:tcPr>
            <w:tcW w:w="2136" w:type="pct"/>
            <w:vAlign w:val="center"/>
            <w:hideMark/>
          </w:tcPr>
          <w:p w14:paraId="5C45808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Senior w Ruchu - III edycja</w:t>
            </w:r>
          </w:p>
        </w:tc>
        <w:tc>
          <w:tcPr>
            <w:tcW w:w="1093" w:type="pct"/>
            <w:vAlign w:val="center"/>
            <w:hideMark/>
          </w:tcPr>
          <w:p w14:paraId="715FA8B5"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150 000,00</w:t>
            </w:r>
          </w:p>
        </w:tc>
      </w:tr>
      <w:tr w:rsidR="00830305" w:rsidRPr="003C730B" w14:paraId="5E7F036D" w14:textId="77777777" w:rsidTr="002818F9">
        <w:trPr>
          <w:trHeight w:val="58"/>
          <w:jc w:val="center"/>
        </w:trPr>
        <w:tc>
          <w:tcPr>
            <w:tcW w:w="1771" w:type="pct"/>
            <w:vAlign w:val="center"/>
            <w:hideMark/>
          </w:tcPr>
          <w:p w14:paraId="643A8519"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Stowarzyszenie </w:t>
            </w:r>
            <w:proofErr w:type="spellStart"/>
            <w:r w:rsidRPr="002818F9">
              <w:rPr>
                <w:rFonts w:ascii="Lato" w:hAnsi="Lato"/>
                <w:color w:val="000000"/>
                <w:sz w:val="18"/>
                <w:szCs w:val="18"/>
              </w:rPr>
              <w:t>Sanus</w:t>
            </w:r>
            <w:proofErr w:type="spellEnd"/>
            <w:r w:rsidRPr="002818F9">
              <w:rPr>
                <w:rFonts w:ascii="Lato" w:hAnsi="Lato"/>
                <w:color w:val="000000"/>
                <w:sz w:val="18"/>
                <w:szCs w:val="18"/>
              </w:rPr>
              <w:t xml:space="preserve"> </w:t>
            </w:r>
            <w:proofErr w:type="spellStart"/>
            <w:r w:rsidRPr="002818F9">
              <w:rPr>
                <w:rFonts w:ascii="Lato" w:hAnsi="Lato"/>
                <w:color w:val="000000"/>
                <w:sz w:val="18"/>
                <w:szCs w:val="18"/>
              </w:rPr>
              <w:t>Vivere</w:t>
            </w:r>
            <w:proofErr w:type="spellEnd"/>
          </w:p>
        </w:tc>
        <w:tc>
          <w:tcPr>
            <w:tcW w:w="2136" w:type="pct"/>
            <w:vAlign w:val="center"/>
            <w:hideMark/>
          </w:tcPr>
          <w:p w14:paraId="3410F4B6"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Aktywny Senior</w:t>
            </w:r>
          </w:p>
        </w:tc>
        <w:tc>
          <w:tcPr>
            <w:tcW w:w="1093" w:type="pct"/>
            <w:vAlign w:val="center"/>
            <w:hideMark/>
          </w:tcPr>
          <w:p w14:paraId="0988C1C9"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25 000,00</w:t>
            </w:r>
          </w:p>
        </w:tc>
      </w:tr>
      <w:tr w:rsidR="00830305" w:rsidRPr="003C730B" w14:paraId="52D1B6AF" w14:textId="77777777" w:rsidTr="002818F9">
        <w:trPr>
          <w:trHeight w:val="179"/>
          <w:jc w:val="center"/>
        </w:trPr>
        <w:tc>
          <w:tcPr>
            <w:tcW w:w="1771" w:type="pct"/>
            <w:vAlign w:val="center"/>
            <w:hideMark/>
          </w:tcPr>
          <w:p w14:paraId="49B34A68"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Stowarzyszenie Sądecki Uniwersytet Trzeciego Wieku</w:t>
            </w:r>
          </w:p>
        </w:tc>
        <w:tc>
          <w:tcPr>
            <w:tcW w:w="2136" w:type="pct"/>
            <w:vAlign w:val="center"/>
            <w:hideMark/>
          </w:tcPr>
          <w:p w14:paraId="7E3A618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Siłownia Seniora - II edycja</w:t>
            </w:r>
          </w:p>
        </w:tc>
        <w:tc>
          <w:tcPr>
            <w:tcW w:w="1093" w:type="pct"/>
            <w:vAlign w:val="center"/>
            <w:hideMark/>
          </w:tcPr>
          <w:p w14:paraId="20BB7705"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10 000,00</w:t>
            </w:r>
          </w:p>
        </w:tc>
      </w:tr>
      <w:tr w:rsidR="00830305" w:rsidRPr="003C730B" w14:paraId="77E20041" w14:textId="77777777" w:rsidTr="002818F9">
        <w:trPr>
          <w:trHeight w:val="297"/>
          <w:jc w:val="center"/>
        </w:trPr>
        <w:tc>
          <w:tcPr>
            <w:tcW w:w="1771" w:type="pct"/>
            <w:vAlign w:val="center"/>
            <w:hideMark/>
          </w:tcPr>
          <w:p w14:paraId="525A366F"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Stowarzyszenie Uniwersytet Trzeciego Wieku w Lesznie</w:t>
            </w:r>
          </w:p>
        </w:tc>
        <w:tc>
          <w:tcPr>
            <w:tcW w:w="2136" w:type="pct"/>
            <w:vAlign w:val="center"/>
            <w:hideMark/>
          </w:tcPr>
          <w:p w14:paraId="69E7188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"Seniorzy na  sportowo"</w:t>
            </w:r>
          </w:p>
        </w:tc>
        <w:tc>
          <w:tcPr>
            <w:tcW w:w="1093" w:type="pct"/>
            <w:vAlign w:val="center"/>
            <w:hideMark/>
          </w:tcPr>
          <w:p w14:paraId="61A451C6"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30 000,00</w:t>
            </w:r>
          </w:p>
        </w:tc>
      </w:tr>
      <w:tr w:rsidR="00830305" w:rsidRPr="003C730B" w14:paraId="213D06BC" w14:textId="77777777" w:rsidTr="002818F9">
        <w:trPr>
          <w:trHeight w:val="276"/>
          <w:jc w:val="center"/>
        </w:trPr>
        <w:tc>
          <w:tcPr>
            <w:tcW w:w="1771" w:type="pct"/>
            <w:vAlign w:val="center"/>
            <w:hideMark/>
          </w:tcPr>
          <w:p w14:paraId="3430A9F6"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Szkoła Futbolu Staniątki</w:t>
            </w:r>
          </w:p>
        </w:tc>
        <w:tc>
          <w:tcPr>
            <w:tcW w:w="2136" w:type="pct"/>
            <w:vAlign w:val="center"/>
            <w:hideMark/>
          </w:tcPr>
          <w:p w14:paraId="49F50F05"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"Dziecko, mama, dziadek, starszy brat, w piłkę mogą wszyscy grać - Edycja III"</w:t>
            </w:r>
          </w:p>
        </w:tc>
        <w:tc>
          <w:tcPr>
            <w:tcW w:w="1093" w:type="pct"/>
            <w:vAlign w:val="center"/>
            <w:hideMark/>
          </w:tcPr>
          <w:p w14:paraId="594E05B0"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25 000,00</w:t>
            </w:r>
          </w:p>
        </w:tc>
      </w:tr>
      <w:tr w:rsidR="00830305" w:rsidRPr="003C730B" w14:paraId="50F2BE3C" w14:textId="77777777" w:rsidTr="002818F9">
        <w:trPr>
          <w:trHeight w:val="254"/>
          <w:jc w:val="center"/>
        </w:trPr>
        <w:tc>
          <w:tcPr>
            <w:tcW w:w="1771" w:type="pct"/>
            <w:vAlign w:val="center"/>
            <w:hideMark/>
          </w:tcPr>
          <w:p w14:paraId="3D380CF3"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Towarzystwo Krzewienia Kultury Fizycznej</w:t>
            </w:r>
          </w:p>
        </w:tc>
        <w:tc>
          <w:tcPr>
            <w:tcW w:w="2136" w:type="pct"/>
            <w:vAlign w:val="center"/>
            <w:hideMark/>
          </w:tcPr>
          <w:p w14:paraId="2A559807" w14:textId="77777777" w:rsidR="00830305" w:rsidRPr="002818F9" w:rsidRDefault="00830305" w:rsidP="002818F9">
            <w:pPr>
              <w:rPr>
                <w:rFonts w:ascii="Lato" w:eastAsia="Times New Roman" w:hAnsi="Lato" w:cs="Calibri"/>
                <w:color w:val="000000"/>
                <w:sz w:val="18"/>
                <w:szCs w:val="18"/>
                <w:lang w:eastAsia="pl-PL"/>
              </w:rPr>
            </w:pPr>
            <w:proofErr w:type="spellStart"/>
            <w:r w:rsidRPr="002818F9">
              <w:rPr>
                <w:rFonts w:ascii="Lato" w:hAnsi="Lato"/>
                <w:color w:val="000000"/>
                <w:sz w:val="18"/>
                <w:szCs w:val="18"/>
              </w:rPr>
              <w:t>Nordic</w:t>
            </w:r>
            <w:proofErr w:type="spellEnd"/>
            <w:r w:rsidRPr="002818F9">
              <w:rPr>
                <w:rFonts w:ascii="Lato" w:hAnsi="Lato"/>
                <w:color w:val="000000"/>
                <w:sz w:val="18"/>
                <w:szCs w:val="18"/>
              </w:rPr>
              <w:t xml:space="preserve"> </w:t>
            </w:r>
            <w:proofErr w:type="spellStart"/>
            <w:r w:rsidRPr="002818F9">
              <w:rPr>
                <w:rFonts w:ascii="Lato" w:hAnsi="Lato"/>
                <w:color w:val="000000"/>
                <w:sz w:val="18"/>
                <w:szCs w:val="18"/>
              </w:rPr>
              <w:t>Walking</w:t>
            </w:r>
            <w:proofErr w:type="spellEnd"/>
            <w:r w:rsidRPr="002818F9">
              <w:rPr>
                <w:rFonts w:ascii="Lato" w:hAnsi="Lato"/>
                <w:color w:val="000000"/>
                <w:sz w:val="18"/>
                <w:szCs w:val="18"/>
              </w:rPr>
              <w:t>, pływanie i taniec formą terapii i aktywności fizycznej dla seniorów.</w:t>
            </w:r>
          </w:p>
        </w:tc>
        <w:tc>
          <w:tcPr>
            <w:tcW w:w="1093" w:type="pct"/>
            <w:vAlign w:val="center"/>
            <w:hideMark/>
          </w:tcPr>
          <w:p w14:paraId="30B5FE8A"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40 000,00</w:t>
            </w:r>
          </w:p>
        </w:tc>
      </w:tr>
      <w:tr w:rsidR="00830305" w:rsidRPr="003C730B" w14:paraId="0B1CFA7F" w14:textId="77777777" w:rsidTr="002818F9">
        <w:trPr>
          <w:trHeight w:val="104"/>
          <w:jc w:val="center"/>
        </w:trPr>
        <w:tc>
          <w:tcPr>
            <w:tcW w:w="1771" w:type="pct"/>
            <w:vAlign w:val="center"/>
            <w:hideMark/>
          </w:tcPr>
          <w:p w14:paraId="0B78F64A"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Uniwersytet Trzeciego Wieku w Świętochłowicach</w:t>
            </w:r>
          </w:p>
        </w:tc>
        <w:tc>
          <w:tcPr>
            <w:tcW w:w="2136" w:type="pct"/>
            <w:vAlign w:val="center"/>
            <w:hideMark/>
          </w:tcPr>
          <w:p w14:paraId="3A8D3D57"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 xml:space="preserve">„V Świętochłowicka Uniwersjada Seniorów 2022”  </w:t>
            </w:r>
          </w:p>
        </w:tc>
        <w:tc>
          <w:tcPr>
            <w:tcW w:w="1093" w:type="pct"/>
            <w:vAlign w:val="center"/>
            <w:hideMark/>
          </w:tcPr>
          <w:p w14:paraId="5776FEE2"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20 000,00</w:t>
            </w:r>
          </w:p>
        </w:tc>
      </w:tr>
      <w:tr w:rsidR="00830305" w:rsidRPr="003C730B" w14:paraId="7AE7C458" w14:textId="77777777" w:rsidTr="002818F9">
        <w:trPr>
          <w:trHeight w:val="238"/>
          <w:jc w:val="center"/>
        </w:trPr>
        <w:tc>
          <w:tcPr>
            <w:tcW w:w="1771" w:type="pct"/>
            <w:vAlign w:val="center"/>
            <w:hideMark/>
          </w:tcPr>
          <w:p w14:paraId="71C29E2B"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Wojewódzkie Zrzeszenie  Ludowe Zespoły Sportowe</w:t>
            </w:r>
          </w:p>
        </w:tc>
        <w:tc>
          <w:tcPr>
            <w:tcW w:w="2136" w:type="pct"/>
            <w:vAlign w:val="center"/>
            <w:hideMark/>
          </w:tcPr>
          <w:p w14:paraId="523AD520" w14:textId="77777777" w:rsidR="00830305" w:rsidRPr="002818F9" w:rsidRDefault="00830305" w:rsidP="002818F9">
            <w:pPr>
              <w:rPr>
                <w:rFonts w:ascii="Lato" w:eastAsia="Times New Roman" w:hAnsi="Lato" w:cs="Calibri"/>
                <w:color w:val="000000"/>
                <w:sz w:val="18"/>
                <w:szCs w:val="18"/>
                <w:lang w:eastAsia="pl-PL"/>
              </w:rPr>
            </w:pPr>
            <w:r w:rsidRPr="002818F9">
              <w:rPr>
                <w:rFonts w:ascii="Lato" w:hAnsi="Lato"/>
                <w:color w:val="000000"/>
                <w:sz w:val="18"/>
                <w:szCs w:val="18"/>
              </w:rPr>
              <w:t>Letnie i Halowe Igrzyska Seniorów na Lubelszczyźnie 2022</w:t>
            </w:r>
          </w:p>
        </w:tc>
        <w:tc>
          <w:tcPr>
            <w:tcW w:w="1093" w:type="pct"/>
            <w:vAlign w:val="center"/>
            <w:hideMark/>
          </w:tcPr>
          <w:p w14:paraId="360F100E" w14:textId="77777777" w:rsidR="00830305" w:rsidRPr="002818F9" w:rsidRDefault="00830305" w:rsidP="003C730B">
            <w:pPr>
              <w:jc w:val="both"/>
              <w:rPr>
                <w:rFonts w:ascii="Lato" w:eastAsia="Times New Roman" w:hAnsi="Lato" w:cs="Calibri"/>
                <w:color w:val="000000"/>
                <w:sz w:val="18"/>
                <w:szCs w:val="18"/>
                <w:lang w:eastAsia="pl-PL"/>
              </w:rPr>
            </w:pPr>
            <w:r w:rsidRPr="002818F9">
              <w:rPr>
                <w:rFonts w:ascii="Lato" w:hAnsi="Lato"/>
                <w:color w:val="000000"/>
                <w:sz w:val="18"/>
                <w:szCs w:val="18"/>
              </w:rPr>
              <w:t>80 000,00</w:t>
            </w:r>
          </w:p>
        </w:tc>
      </w:tr>
      <w:tr w:rsidR="00830305" w:rsidRPr="003C730B" w14:paraId="510105F4" w14:textId="77777777" w:rsidTr="00830305">
        <w:trPr>
          <w:trHeight w:val="393"/>
          <w:jc w:val="center"/>
        </w:trPr>
        <w:tc>
          <w:tcPr>
            <w:tcW w:w="3907" w:type="pct"/>
            <w:gridSpan w:val="2"/>
          </w:tcPr>
          <w:p w14:paraId="28646D50" w14:textId="77777777" w:rsidR="00830305" w:rsidRPr="002818F9" w:rsidRDefault="00830305" w:rsidP="003C730B">
            <w:pPr>
              <w:jc w:val="both"/>
              <w:rPr>
                <w:rFonts w:ascii="Lato" w:eastAsia="Times New Roman" w:hAnsi="Lato" w:cs="Calibri"/>
                <w:b/>
                <w:color w:val="000000"/>
                <w:sz w:val="18"/>
                <w:szCs w:val="18"/>
                <w:lang w:eastAsia="pl-PL"/>
              </w:rPr>
            </w:pPr>
            <w:r w:rsidRPr="002818F9">
              <w:rPr>
                <w:rFonts w:ascii="Lato" w:eastAsia="Times New Roman" w:hAnsi="Lato" w:cs="Calibri"/>
                <w:b/>
                <w:color w:val="000000"/>
                <w:sz w:val="18"/>
                <w:szCs w:val="18"/>
                <w:lang w:eastAsia="pl-PL"/>
              </w:rPr>
              <w:t>Razem:</w:t>
            </w:r>
          </w:p>
        </w:tc>
        <w:tc>
          <w:tcPr>
            <w:tcW w:w="1093" w:type="pct"/>
          </w:tcPr>
          <w:p w14:paraId="2FC26DF4" w14:textId="77777777" w:rsidR="00830305" w:rsidRPr="002818F9" w:rsidRDefault="00830305" w:rsidP="003C730B">
            <w:pPr>
              <w:jc w:val="both"/>
              <w:rPr>
                <w:rFonts w:ascii="Lato" w:eastAsia="Times New Roman" w:hAnsi="Lato" w:cs="Calibri"/>
                <w:b/>
                <w:color w:val="000000"/>
                <w:sz w:val="18"/>
                <w:szCs w:val="18"/>
                <w:lang w:eastAsia="pl-PL"/>
              </w:rPr>
            </w:pPr>
            <w:r w:rsidRPr="002818F9">
              <w:rPr>
                <w:rFonts w:ascii="Lato" w:eastAsia="Times New Roman" w:hAnsi="Lato" w:cs="Calibri"/>
                <w:b/>
                <w:color w:val="000000"/>
                <w:sz w:val="18"/>
                <w:szCs w:val="18"/>
                <w:lang w:eastAsia="pl-PL"/>
              </w:rPr>
              <w:t>2 795 000,00</w:t>
            </w:r>
          </w:p>
        </w:tc>
      </w:tr>
    </w:tbl>
    <w:p w14:paraId="34FFC252" w14:textId="5B0DA93F" w:rsidR="00830305" w:rsidRPr="00370482" w:rsidRDefault="00370482" w:rsidP="003C730B">
      <w:pPr>
        <w:spacing w:after="0" w:line="240" w:lineRule="auto"/>
        <w:jc w:val="both"/>
        <w:rPr>
          <w:rFonts w:ascii="Lato" w:hAnsi="Lato"/>
          <w:sz w:val="16"/>
          <w:szCs w:val="16"/>
        </w:rPr>
      </w:pPr>
      <w:r w:rsidRPr="00370482">
        <w:rPr>
          <w:rFonts w:ascii="Lato" w:hAnsi="Lato"/>
          <w:sz w:val="16"/>
          <w:szCs w:val="16"/>
        </w:rPr>
        <w:t>Źródło: Ministerstwo Sportu i Turystyki</w:t>
      </w:r>
    </w:p>
    <w:p w14:paraId="3622B0ED" w14:textId="77777777" w:rsidR="00370482" w:rsidRPr="003C730B" w:rsidRDefault="00370482" w:rsidP="003C730B">
      <w:pPr>
        <w:spacing w:after="0" w:line="240" w:lineRule="auto"/>
        <w:jc w:val="both"/>
        <w:rPr>
          <w:rFonts w:ascii="Lato" w:hAnsi="Lato"/>
          <w:sz w:val="20"/>
          <w:szCs w:val="20"/>
        </w:rPr>
      </w:pPr>
    </w:p>
    <w:p w14:paraId="5DA183AC" w14:textId="2C24639F" w:rsidR="00370482" w:rsidRDefault="00370482" w:rsidP="00370482">
      <w:pPr>
        <w:pStyle w:val="Legenda"/>
        <w:keepNext/>
      </w:pPr>
      <w:bookmarkStart w:id="61" w:name="_Toc142566006"/>
      <w:r>
        <w:t xml:space="preserve">Tabela </w:t>
      </w:r>
      <w:fldSimple w:instr=" SEQ Tabela \* ARABIC ">
        <w:r w:rsidR="00AA385B">
          <w:rPr>
            <w:noProof/>
          </w:rPr>
          <w:t>43</w:t>
        </w:r>
      </w:fldSimple>
      <w:r>
        <w:t xml:space="preserve"> Sportowe wakacje+ edycja 2022</w:t>
      </w:r>
      <w:bookmarkEnd w:id="61"/>
    </w:p>
    <w:tbl>
      <w:tblPr>
        <w:tblStyle w:val="Tabela-Siatka"/>
        <w:tblW w:w="9072" w:type="dxa"/>
        <w:jc w:val="center"/>
        <w:tblLook w:val="04A0" w:firstRow="1" w:lastRow="0" w:firstColumn="1" w:lastColumn="0" w:noHBand="0" w:noVBand="1"/>
      </w:tblPr>
      <w:tblGrid>
        <w:gridCol w:w="3214"/>
        <w:gridCol w:w="3874"/>
        <w:gridCol w:w="1984"/>
      </w:tblGrid>
      <w:tr w:rsidR="00830305" w:rsidRPr="002818F9" w14:paraId="2CCDDDD9" w14:textId="77777777" w:rsidTr="002818F9">
        <w:trPr>
          <w:trHeight w:val="60"/>
          <w:jc w:val="center"/>
        </w:trPr>
        <w:tc>
          <w:tcPr>
            <w:tcW w:w="3214" w:type="dxa"/>
            <w:shd w:val="clear" w:color="auto" w:fill="8EAADB" w:themeFill="accent1" w:themeFillTint="99"/>
          </w:tcPr>
          <w:p w14:paraId="279AC723" w14:textId="0D85E23E"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Nazwa organizacji</w:t>
            </w:r>
          </w:p>
        </w:tc>
        <w:tc>
          <w:tcPr>
            <w:tcW w:w="3874" w:type="dxa"/>
            <w:shd w:val="clear" w:color="auto" w:fill="8EAADB" w:themeFill="accent1" w:themeFillTint="99"/>
          </w:tcPr>
          <w:p w14:paraId="77D64102" w14:textId="77777777"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Nazwa zadania</w:t>
            </w:r>
          </w:p>
        </w:tc>
        <w:tc>
          <w:tcPr>
            <w:tcW w:w="1984" w:type="dxa"/>
            <w:shd w:val="clear" w:color="auto" w:fill="8EAADB" w:themeFill="accent1" w:themeFillTint="99"/>
          </w:tcPr>
          <w:p w14:paraId="7188EBE0" w14:textId="77777777" w:rsidR="00830305" w:rsidRPr="002818F9" w:rsidRDefault="00830305" w:rsidP="002818F9">
            <w:pPr>
              <w:jc w:val="center"/>
              <w:rPr>
                <w:rFonts w:ascii="Lato" w:eastAsia="Times New Roman" w:hAnsi="Lato" w:cs="Calibri"/>
                <w:color w:val="000000"/>
                <w:sz w:val="18"/>
                <w:szCs w:val="18"/>
                <w:lang w:eastAsia="pl-PL"/>
              </w:rPr>
            </w:pPr>
            <w:r w:rsidRPr="002818F9">
              <w:rPr>
                <w:rFonts w:ascii="Lato" w:eastAsia="Times New Roman" w:hAnsi="Lato" w:cs="Calibri"/>
                <w:b/>
                <w:bCs/>
                <w:color w:val="000000"/>
                <w:sz w:val="18"/>
                <w:szCs w:val="18"/>
                <w:lang w:eastAsia="pl-PL"/>
              </w:rPr>
              <w:t>Kwota dotacji w zł</w:t>
            </w:r>
          </w:p>
        </w:tc>
      </w:tr>
      <w:tr w:rsidR="00830305" w:rsidRPr="002818F9" w14:paraId="56FB417B" w14:textId="77777777" w:rsidTr="002818F9">
        <w:trPr>
          <w:trHeight w:val="138"/>
          <w:jc w:val="center"/>
        </w:trPr>
        <w:tc>
          <w:tcPr>
            <w:tcW w:w="3214" w:type="dxa"/>
            <w:hideMark/>
          </w:tcPr>
          <w:p w14:paraId="70C48FD7"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Miejski Ludowy Klub Sportowy "</w:t>
            </w:r>
            <w:proofErr w:type="spellStart"/>
            <w:r w:rsidRPr="002818F9">
              <w:rPr>
                <w:rFonts w:ascii="Lato" w:eastAsia="Times New Roman" w:hAnsi="Lato" w:cs="Times New Roman"/>
                <w:sz w:val="18"/>
                <w:szCs w:val="18"/>
                <w:lang w:eastAsia="pl-PL"/>
              </w:rPr>
              <w:t>Józefovia</w:t>
            </w:r>
            <w:proofErr w:type="spellEnd"/>
            <w:r w:rsidRPr="002818F9">
              <w:rPr>
                <w:rFonts w:ascii="Lato" w:eastAsia="Times New Roman" w:hAnsi="Lato" w:cs="Times New Roman"/>
                <w:sz w:val="18"/>
                <w:szCs w:val="18"/>
                <w:lang w:eastAsia="pl-PL"/>
              </w:rPr>
              <w:t>"</w:t>
            </w:r>
          </w:p>
        </w:tc>
        <w:tc>
          <w:tcPr>
            <w:tcW w:w="3874" w:type="dxa"/>
            <w:hideMark/>
          </w:tcPr>
          <w:p w14:paraId="3FCF2C48"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"Aktywnie od przedszkola do seniora"</w:t>
            </w:r>
          </w:p>
        </w:tc>
        <w:tc>
          <w:tcPr>
            <w:tcW w:w="1984" w:type="dxa"/>
            <w:noWrap/>
            <w:hideMark/>
          </w:tcPr>
          <w:p w14:paraId="09E2A5B2"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40 000,00</w:t>
            </w:r>
          </w:p>
        </w:tc>
      </w:tr>
      <w:tr w:rsidR="00830305" w:rsidRPr="002818F9" w14:paraId="6E57429A" w14:textId="77777777" w:rsidTr="002818F9">
        <w:trPr>
          <w:trHeight w:val="237"/>
          <w:jc w:val="center"/>
        </w:trPr>
        <w:tc>
          <w:tcPr>
            <w:tcW w:w="3214" w:type="dxa"/>
            <w:hideMark/>
          </w:tcPr>
          <w:p w14:paraId="000BDEC9"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Fundacja Narodowy Badminton</w:t>
            </w:r>
          </w:p>
        </w:tc>
        <w:tc>
          <w:tcPr>
            <w:tcW w:w="3874" w:type="dxa"/>
            <w:hideMark/>
          </w:tcPr>
          <w:p w14:paraId="626E62FD"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Cykl turniejów badmintona dla seniorów.</w:t>
            </w:r>
          </w:p>
        </w:tc>
        <w:tc>
          <w:tcPr>
            <w:tcW w:w="1984" w:type="dxa"/>
            <w:noWrap/>
            <w:hideMark/>
          </w:tcPr>
          <w:p w14:paraId="3FD876ED"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90 000,00</w:t>
            </w:r>
          </w:p>
        </w:tc>
      </w:tr>
      <w:tr w:rsidR="00830305" w:rsidRPr="002818F9" w14:paraId="00DB175F" w14:textId="77777777" w:rsidTr="002818F9">
        <w:trPr>
          <w:trHeight w:val="176"/>
          <w:jc w:val="center"/>
        </w:trPr>
        <w:tc>
          <w:tcPr>
            <w:tcW w:w="3214" w:type="dxa"/>
            <w:hideMark/>
          </w:tcPr>
          <w:p w14:paraId="24A30C5A"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Uczniowski Klub Sportowy Otwock</w:t>
            </w:r>
          </w:p>
        </w:tc>
        <w:tc>
          <w:tcPr>
            <w:tcW w:w="3874" w:type="dxa"/>
            <w:hideMark/>
          </w:tcPr>
          <w:p w14:paraId="1E1D9CA8"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Ogólnodostępne zajęcia sportowe dla dzieci i młodzieży, dorosłych, seniorów - dla wszystkich grup społecznych i środowiskowych. </w:t>
            </w:r>
          </w:p>
        </w:tc>
        <w:tc>
          <w:tcPr>
            <w:tcW w:w="1984" w:type="dxa"/>
            <w:noWrap/>
            <w:hideMark/>
          </w:tcPr>
          <w:p w14:paraId="710FA934"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25 000,00</w:t>
            </w:r>
          </w:p>
        </w:tc>
      </w:tr>
      <w:tr w:rsidR="00830305" w:rsidRPr="002818F9" w14:paraId="4C5196CF" w14:textId="77777777" w:rsidTr="002818F9">
        <w:trPr>
          <w:trHeight w:val="572"/>
          <w:jc w:val="center"/>
        </w:trPr>
        <w:tc>
          <w:tcPr>
            <w:tcW w:w="3214" w:type="dxa"/>
            <w:hideMark/>
          </w:tcPr>
          <w:p w14:paraId="701C4524"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Stowarzyszenie </w:t>
            </w:r>
            <w:proofErr w:type="spellStart"/>
            <w:r w:rsidRPr="002818F9">
              <w:rPr>
                <w:rFonts w:ascii="Lato" w:eastAsia="Times New Roman" w:hAnsi="Lato" w:cs="Times New Roman"/>
                <w:sz w:val="18"/>
                <w:szCs w:val="18"/>
                <w:lang w:eastAsia="pl-PL"/>
              </w:rPr>
              <w:t>MiniAkro</w:t>
            </w:r>
            <w:proofErr w:type="spellEnd"/>
            <w:r w:rsidRPr="002818F9">
              <w:rPr>
                <w:rFonts w:ascii="Lato" w:eastAsia="Times New Roman" w:hAnsi="Lato" w:cs="Times New Roman"/>
                <w:sz w:val="18"/>
                <w:szCs w:val="18"/>
                <w:lang w:eastAsia="pl-PL"/>
              </w:rPr>
              <w:t xml:space="preserve"> Akrobatyka dla Dzieci Centrum Edukacji Prozdrowotnej</w:t>
            </w:r>
          </w:p>
        </w:tc>
        <w:tc>
          <w:tcPr>
            <w:tcW w:w="3874" w:type="dxa"/>
            <w:hideMark/>
          </w:tcPr>
          <w:p w14:paraId="079567AD"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Ogólnodostępne zajęcia sportowe dla dzieci i młodzieży, dorosłych, seniorów - dla wszystkich grup społecznych i środowiskowych.</w:t>
            </w:r>
          </w:p>
        </w:tc>
        <w:tc>
          <w:tcPr>
            <w:tcW w:w="1984" w:type="dxa"/>
            <w:noWrap/>
            <w:hideMark/>
          </w:tcPr>
          <w:p w14:paraId="09B6FE97"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25 000,00</w:t>
            </w:r>
          </w:p>
        </w:tc>
      </w:tr>
      <w:tr w:rsidR="00830305" w:rsidRPr="002818F9" w14:paraId="79A9B67D" w14:textId="77777777" w:rsidTr="002818F9">
        <w:trPr>
          <w:trHeight w:val="58"/>
          <w:jc w:val="center"/>
        </w:trPr>
        <w:tc>
          <w:tcPr>
            <w:tcW w:w="3214" w:type="dxa"/>
            <w:hideMark/>
          </w:tcPr>
          <w:p w14:paraId="711366A0"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Przemyski Klub </w:t>
            </w:r>
            <w:proofErr w:type="spellStart"/>
            <w:r w:rsidRPr="002818F9">
              <w:rPr>
                <w:rFonts w:ascii="Lato" w:eastAsia="Times New Roman" w:hAnsi="Lato" w:cs="Times New Roman"/>
                <w:sz w:val="18"/>
                <w:szCs w:val="18"/>
                <w:lang w:eastAsia="pl-PL"/>
              </w:rPr>
              <w:t>Shorin-Ryu</w:t>
            </w:r>
            <w:proofErr w:type="spellEnd"/>
            <w:r w:rsidRPr="002818F9">
              <w:rPr>
                <w:rFonts w:ascii="Lato" w:eastAsia="Times New Roman" w:hAnsi="Lato" w:cs="Times New Roman"/>
                <w:sz w:val="18"/>
                <w:szCs w:val="18"/>
                <w:lang w:eastAsia="pl-PL"/>
              </w:rPr>
              <w:t xml:space="preserve"> Karate</w:t>
            </w:r>
          </w:p>
        </w:tc>
        <w:tc>
          <w:tcPr>
            <w:tcW w:w="3874" w:type="dxa"/>
            <w:hideMark/>
          </w:tcPr>
          <w:p w14:paraId="105509C1"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Samoobrona dla Seniora</w:t>
            </w:r>
          </w:p>
        </w:tc>
        <w:tc>
          <w:tcPr>
            <w:tcW w:w="1984" w:type="dxa"/>
            <w:noWrap/>
            <w:hideMark/>
          </w:tcPr>
          <w:p w14:paraId="2963EDE2"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20 000,00</w:t>
            </w:r>
          </w:p>
        </w:tc>
      </w:tr>
      <w:tr w:rsidR="00830305" w:rsidRPr="002818F9" w14:paraId="40292AF5" w14:textId="77777777" w:rsidTr="002818F9">
        <w:trPr>
          <w:trHeight w:val="318"/>
          <w:jc w:val="center"/>
        </w:trPr>
        <w:tc>
          <w:tcPr>
            <w:tcW w:w="3214" w:type="dxa"/>
            <w:hideMark/>
          </w:tcPr>
          <w:p w14:paraId="7ECACCDF"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Podlaski Okręgowy Związek Badmintona</w:t>
            </w:r>
          </w:p>
        </w:tc>
        <w:tc>
          <w:tcPr>
            <w:tcW w:w="3874" w:type="dxa"/>
            <w:hideMark/>
          </w:tcPr>
          <w:p w14:paraId="452283C4"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Sportowy Białystok - Zajęcia rodzinne, dzieci, młodzieży, studentów, dorosłych oraz seniorów w Badmintonie</w:t>
            </w:r>
          </w:p>
        </w:tc>
        <w:tc>
          <w:tcPr>
            <w:tcW w:w="1984" w:type="dxa"/>
            <w:noWrap/>
            <w:hideMark/>
          </w:tcPr>
          <w:p w14:paraId="5825E0AD"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100 000,00</w:t>
            </w:r>
          </w:p>
        </w:tc>
      </w:tr>
      <w:tr w:rsidR="00830305" w:rsidRPr="002818F9" w14:paraId="384DA87E" w14:textId="77777777" w:rsidTr="002818F9">
        <w:trPr>
          <w:trHeight w:val="699"/>
          <w:jc w:val="center"/>
        </w:trPr>
        <w:tc>
          <w:tcPr>
            <w:tcW w:w="3214" w:type="dxa"/>
            <w:hideMark/>
          </w:tcPr>
          <w:p w14:paraId="0661D83E"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Uczniowski Klub Judo "</w:t>
            </w:r>
            <w:proofErr w:type="spellStart"/>
            <w:r w:rsidRPr="002818F9">
              <w:rPr>
                <w:rFonts w:ascii="Lato" w:eastAsia="Times New Roman" w:hAnsi="Lato" w:cs="Times New Roman"/>
                <w:sz w:val="18"/>
                <w:szCs w:val="18"/>
                <w:lang w:eastAsia="pl-PL"/>
              </w:rPr>
              <w:t>ASzWoj</w:t>
            </w:r>
            <w:proofErr w:type="spellEnd"/>
            <w:r w:rsidRPr="002818F9">
              <w:rPr>
                <w:rFonts w:ascii="Lato" w:eastAsia="Times New Roman" w:hAnsi="Lato" w:cs="Times New Roman"/>
                <w:sz w:val="18"/>
                <w:szCs w:val="18"/>
                <w:lang w:eastAsia="pl-PL"/>
              </w:rPr>
              <w:t xml:space="preserve"> Warszawa"</w:t>
            </w:r>
          </w:p>
        </w:tc>
        <w:tc>
          <w:tcPr>
            <w:tcW w:w="3874" w:type="dxa"/>
            <w:hideMark/>
          </w:tcPr>
          <w:p w14:paraId="72B170D4"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Ogólnodostępne zajęcia sportowe dla dzieci i młodzieży, dorosłych, seniorów - dla wszystkich grup społecznych i środowiskowych. </w:t>
            </w:r>
          </w:p>
        </w:tc>
        <w:tc>
          <w:tcPr>
            <w:tcW w:w="1984" w:type="dxa"/>
            <w:noWrap/>
            <w:hideMark/>
          </w:tcPr>
          <w:p w14:paraId="1C425899"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25 000,00</w:t>
            </w:r>
          </w:p>
        </w:tc>
      </w:tr>
      <w:tr w:rsidR="00830305" w:rsidRPr="002818F9" w14:paraId="37109AF5" w14:textId="77777777" w:rsidTr="002818F9">
        <w:trPr>
          <w:trHeight w:val="558"/>
          <w:jc w:val="center"/>
        </w:trPr>
        <w:tc>
          <w:tcPr>
            <w:tcW w:w="3214" w:type="dxa"/>
            <w:hideMark/>
          </w:tcPr>
          <w:p w14:paraId="1645CB7C"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lastRenderedPageBreak/>
              <w:t>UKS PRASKIE CENTRUM SPORTU</w:t>
            </w:r>
          </w:p>
        </w:tc>
        <w:tc>
          <w:tcPr>
            <w:tcW w:w="3874" w:type="dxa"/>
            <w:hideMark/>
          </w:tcPr>
          <w:p w14:paraId="0E9C0222"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Ogólnodostępne zajęcia sportowe dla dzieci i młodzieży, dorosłych, seniorów - dla wszystkich grup społecznych i środowiskowych. </w:t>
            </w:r>
          </w:p>
        </w:tc>
        <w:tc>
          <w:tcPr>
            <w:tcW w:w="1984" w:type="dxa"/>
            <w:noWrap/>
            <w:hideMark/>
          </w:tcPr>
          <w:p w14:paraId="120A7AAB"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25 000,00</w:t>
            </w:r>
          </w:p>
        </w:tc>
      </w:tr>
      <w:tr w:rsidR="00830305" w:rsidRPr="002818F9" w14:paraId="71F49935" w14:textId="77777777" w:rsidTr="002818F9">
        <w:trPr>
          <w:trHeight w:val="412"/>
          <w:jc w:val="center"/>
        </w:trPr>
        <w:tc>
          <w:tcPr>
            <w:tcW w:w="3214" w:type="dxa"/>
            <w:hideMark/>
          </w:tcPr>
          <w:p w14:paraId="1315829F"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Podbeskidzkie Towarzystwo Sportowe "Janosik"</w:t>
            </w:r>
          </w:p>
        </w:tc>
        <w:tc>
          <w:tcPr>
            <w:tcW w:w="3874" w:type="dxa"/>
            <w:hideMark/>
          </w:tcPr>
          <w:p w14:paraId="3B40CA87"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Aktywny senior</w:t>
            </w:r>
          </w:p>
        </w:tc>
        <w:tc>
          <w:tcPr>
            <w:tcW w:w="1984" w:type="dxa"/>
            <w:noWrap/>
            <w:hideMark/>
          </w:tcPr>
          <w:p w14:paraId="3FA682CC"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15 000,00</w:t>
            </w:r>
          </w:p>
        </w:tc>
      </w:tr>
      <w:tr w:rsidR="00830305" w:rsidRPr="002818F9" w14:paraId="30E58A5B" w14:textId="77777777" w:rsidTr="002818F9">
        <w:trPr>
          <w:trHeight w:val="686"/>
          <w:jc w:val="center"/>
        </w:trPr>
        <w:tc>
          <w:tcPr>
            <w:tcW w:w="3214" w:type="dxa"/>
            <w:hideMark/>
          </w:tcPr>
          <w:p w14:paraId="4FA682EF"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Fundacja Akademickiego Związku Sportowego</w:t>
            </w:r>
          </w:p>
        </w:tc>
        <w:tc>
          <w:tcPr>
            <w:tcW w:w="3874" w:type="dxa"/>
            <w:hideMark/>
          </w:tcPr>
          <w:p w14:paraId="41F9EE41"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Frajdy Miejskie - pikniki sportowe/gry miejskie dla dzieci, młodzieży, dorosłych, seniorów i rodzin</w:t>
            </w:r>
          </w:p>
        </w:tc>
        <w:tc>
          <w:tcPr>
            <w:tcW w:w="1984" w:type="dxa"/>
            <w:noWrap/>
            <w:hideMark/>
          </w:tcPr>
          <w:p w14:paraId="2C360EE1"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200 000,00</w:t>
            </w:r>
          </w:p>
        </w:tc>
      </w:tr>
      <w:tr w:rsidR="00830305" w:rsidRPr="002818F9" w14:paraId="75B9707C" w14:textId="77777777" w:rsidTr="002818F9">
        <w:trPr>
          <w:trHeight w:val="686"/>
          <w:jc w:val="center"/>
        </w:trPr>
        <w:tc>
          <w:tcPr>
            <w:tcW w:w="3214" w:type="dxa"/>
          </w:tcPr>
          <w:p w14:paraId="70F99CDF"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Akademia Sportu WAWER</w:t>
            </w:r>
          </w:p>
        </w:tc>
        <w:tc>
          <w:tcPr>
            <w:tcW w:w="3874" w:type="dxa"/>
          </w:tcPr>
          <w:p w14:paraId="330412B8"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 xml:space="preserve">Ogólnodostępne zajęcia sportowe dla dzieci i młodzieży, dorosłych, seniorów - dla wszystkich grup społecznych i środowiskowych. </w:t>
            </w:r>
          </w:p>
        </w:tc>
        <w:tc>
          <w:tcPr>
            <w:tcW w:w="1984" w:type="dxa"/>
            <w:noWrap/>
          </w:tcPr>
          <w:p w14:paraId="3E4EF27D"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25 000,00</w:t>
            </w:r>
          </w:p>
        </w:tc>
      </w:tr>
      <w:tr w:rsidR="00830305" w:rsidRPr="002818F9" w14:paraId="3B78A026" w14:textId="77777777" w:rsidTr="002818F9">
        <w:trPr>
          <w:trHeight w:val="253"/>
          <w:jc w:val="center"/>
        </w:trPr>
        <w:tc>
          <w:tcPr>
            <w:tcW w:w="3214" w:type="dxa"/>
          </w:tcPr>
          <w:p w14:paraId="661D4566"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Akademicki Związek Sportowy</w:t>
            </w:r>
          </w:p>
        </w:tc>
        <w:tc>
          <w:tcPr>
            <w:tcW w:w="3874" w:type="dxa"/>
          </w:tcPr>
          <w:p w14:paraId="0BFC39BE" w14:textId="77777777" w:rsidR="00830305" w:rsidRPr="002818F9" w:rsidRDefault="00830305" w:rsidP="002818F9">
            <w:pPr>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Akademia Sportu - otwarte szkółki sportowe dla dzieci, młodzieży, dorosłych, seniorów i rodzin</w:t>
            </w:r>
          </w:p>
        </w:tc>
        <w:tc>
          <w:tcPr>
            <w:tcW w:w="1984" w:type="dxa"/>
            <w:noWrap/>
          </w:tcPr>
          <w:p w14:paraId="663FDFC6" w14:textId="77777777" w:rsidR="00830305" w:rsidRPr="002818F9" w:rsidRDefault="00830305" w:rsidP="003C730B">
            <w:pPr>
              <w:jc w:val="both"/>
              <w:rPr>
                <w:rFonts w:ascii="Lato" w:eastAsia="Times New Roman" w:hAnsi="Lato" w:cs="Times New Roman"/>
                <w:sz w:val="18"/>
                <w:szCs w:val="18"/>
                <w:lang w:eastAsia="pl-PL"/>
              </w:rPr>
            </w:pPr>
            <w:r w:rsidRPr="002818F9">
              <w:rPr>
                <w:rFonts w:ascii="Lato" w:eastAsia="Times New Roman" w:hAnsi="Lato" w:cs="Times New Roman"/>
                <w:sz w:val="18"/>
                <w:szCs w:val="18"/>
                <w:lang w:eastAsia="pl-PL"/>
              </w:rPr>
              <w:t>210 000,00</w:t>
            </w:r>
          </w:p>
        </w:tc>
      </w:tr>
      <w:tr w:rsidR="00830305" w:rsidRPr="002818F9" w14:paraId="25C28EB6" w14:textId="77777777" w:rsidTr="002818F9">
        <w:trPr>
          <w:trHeight w:val="149"/>
          <w:jc w:val="center"/>
        </w:trPr>
        <w:tc>
          <w:tcPr>
            <w:tcW w:w="7088" w:type="dxa"/>
            <w:gridSpan w:val="2"/>
          </w:tcPr>
          <w:p w14:paraId="1DA496E4" w14:textId="77777777" w:rsidR="00830305" w:rsidRPr="002818F9" w:rsidRDefault="00830305" w:rsidP="003C730B">
            <w:pPr>
              <w:jc w:val="both"/>
              <w:rPr>
                <w:rFonts w:ascii="Lato" w:eastAsia="Times New Roman" w:hAnsi="Lato" w:cs="Calibri"/>
                <w:b/>
                <w:color w:val="000000"/>
                <w:sz w:val="18"/>
                <w:szCs w:val="18"/>
                <w:lang w:eastAsia="pl-PL"/>
              </w:rPr>
            </w:pPr>
            <w:r w:rsidRPr="002818F9">
              <w:rPr>
                <w:rFonts w:ascii="Lato" w:eastAsia="Times New Roman" w:hAnsi="Lato" w:cs="Calibri"/>
                <w:b/>
                <w:color w:val="000000"/>
                <w:sz w:val="18"/>
                <w:szCs w:val="18"/>
                <w:lang w:eastAsia="pl-PL"/>
              </w:rPr>
              <w:t>Razem:</w:t>
            </w:r>
          </w:p>
        </w:tc>
        <w:tc>
          <w:tcPr>
            <w:tcW w:w="1984" w:type="dxa"/>
          </w:tcPr>
          <w:p w14:paraId="4E3D6E70" w14:textId="77777777" w:rsidR="00830305" w:rsidRPr="002818F9" w:rsidRDefault="00830305" w:rsidP="003C730B">
            <w:pPr>
              <w:jc w:val="both"/>
              <w:rPr>
                <w:rFonts w:ascii="Lato" w:eastAsia="Times New Roman" w:hAnsi="Lato" w:cs="Calibri"/>
                <w:b/>
                <w:color w:val="000000"/>
                <w:sz w:val="18"/>
                <w:szCs w:val="18"/>
                <w:lang w:eastAsia="pl-PL"/>
              </w:rPr>
            </w:pPr>
            <w:r w:rsidRPr="002818F9">
              <w:rPr>
                <w:rFonts w:ascii="Lato" w:eastAsia="Times New Roman" w:hAnsi="Lato" w:cs="Calibri"/>
                <w:b/>
                <w:color w:val="000000"/>
                <w:sz w:val="18"/>
                <w:szCs w:val="18"/>
                <w:lang w:eastAsia="pl-PL"/>
              </w:rPr>
              <w:t>800 000,00</w:t>
            </w:r>
          </w:p>
        </w:tc>
      </w:tr>
    </w:tbl>
    <w:p w14:paraId="14F9762B" w14:textId="77777777" w:rsidR="00370482" w:rsidRPr="00370482" w:rsidRDefault="00370482" w:rsidP="00370482">
      <w:pPr>
        <w:spacing w:after="0" w:line="240" w:lineRule="auto"/>
        <w:jc w:val="both"/>
        <w:rPr>
          <w:rFonts w:ascii="Lato" w:hAnsi="Lato"/>
          <w:sz w:val="16"/>
          <w:szCs w:val="16"/>
        </w:rPr>
      </w:pPr>
      <w:r w:rsidRPr="00370482">
        <w:rPr>
          <w:rFonts w:ascii="Lato" w:hAnsi="Lato"/>
          <w:sz w:val="16"/>
          <w:szCs w:val="16"/>
        </w:rPr>
        <w:t>Źródło: Ministerstwo Sportu i Turystyki</w:t>
      </w:r>
    </w:p>
    <w:p w14:paraId="4E033FDA" w14:textId="77777777" w:rsidR="00830305" w:rsidRPr="003C730B" w:rsidRDefault="00830305" w:rsidP="003C730B">
      <w:pPr>
        <w:spacing w:after="0" w:line="240" w:lineRule="auto"/>
        <w:jc w:val="both"/>
        <w:rPr>
          <w:rFonts w:ascii="Lato" w:eastAsia="Times New Roman" w:hAnsi="Lato" w:cs="Calibri"/>
          <w:b/>
          <w:bCs/>
          <w:color w:val="000000"/>
          <w:sz w:val="20"/>
          <w:szCs w:val="20"/>
          <w:lang w:eastAsia="pl-PL"/>
        </w:rPr>
      </w:pPr>
    </w:p>
    <w:p w14:paraId="616AB75E" w14:textId="77777777"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 xml:space="preserve">Istotnym działaniem </w:t>
      </w:r>
      <w:proofErr w:type="spellStart"/>
      <w:r w:rsidRPr="003C730B">
        <w:rPr>
          <w:rFonts w:ascii="Lato" w:hAnsi="Lato"/>
          <w:sz w:val="20"/>
          <w:szCs w:val="20"/>
        </w:rPr>
        <w:t>MSiT</w:t>
      </w:r>
      <w:proofErr w:type="spellEnd"/>
      <w:r w:rsidRPr="003C730B">
        <w:rPr>
          <w:rFonts w:ascii="Lato" w:hAnsi="Lato"/>
          <w:sz w:val="20"/>
          <w:szCs w:val="20"/>
        </w:rPr>
        <w:t xml:space="preserve"> w omawianym zakresie jest również rekreacja ruchowa osób z niepełnosprawnościami w starszym wieku. Wychodząc naprzeciw zmianom demograficznym oraz zmieniającym się potrzebom osób starszych, jednym z priorytetów Programu Upowszechniania Sportu Osób Niepełnosprawnych w 2022 r. było włączanie społeczne starszych osób niepełnosprawnych (50+). </w:t>
      </w:r>
    </w:p>
    <w:p w14:paraId="5FE931D5" w14:textId="77777777" w:rsidR="00C611FD" w:rsidRPr="003C730B" w:rsidRDefault="00C611FD" w:rsidP="00370482">
      <w:pPr>
        <w:spacing w:after="0" w:line="240" w:lineRule="auto"/>
        <w:jc w:val="both"/>
        <w:rPr>
          <w:rFonts w:ascii="Lato" w:hAnsi="Lato"/>
          <w:sz w:val="20"/>
          <w:szCs w:val="20"/>
        </w:rPr>
      </w:pPr>
    </w:p>
    <w:p w14:paraId="442BE8A2" w14:textId="43B05CE9"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 xml:space="preserve">Program umożliwiał udział starszych osób niepełnosprawnych w zajęciach i imprezach sportowych z wykorzystaniem nowoczesnej infrastruktury sportowej. Ponadto organizowane były obozy sportowe dla starszych osób niepełnosprawnych, których programy przewidywały szeroki wachlarz aktywności ruchowych uwzględniających wiek i możliwości uczestników. </w:t>
      </w:r>
    </w:p>
    <w:p w14:paraId="262E9C44" w14:textId="77777777" w:rsidR="00C611FD" w:rsidRPr="003C730B" w:rsidRDefault="00C611FD" w:rsidP="00370482">
      <w:pPr>
        <w:spacing w:after="0" w:line="240" w:lineRule="auto"/>
        <w:jc w:val="both"/>
        <w:rPr>
          <w:rFonts w:ascii="Lato" w:hAnsi="Lato"/>
          <w:sz w:val="20"/>
          <w:szCs w:val="20"/>
        </w:rPr>
      </w:pPr>
    </w:p>
    <w:p w14:paraId="3D74D179" w14:textId="10299465"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W 2022 r. Ministerstwo Sportu i Turystyki w ramach Programu Upowszechniania Sportu Osób Niepełnosprawnych wsparło udział łącznie 5 950 osób niepełnosprawnych w starszym wieku (50+) w różnych formach aktywności fizycznej, co stanowi 16,0% ogółu uczestników zajęć, imprez i obozów sportowych, w tym:</w:t>
      </w:r>
    </w:p>
    <w:p w14:paraId="55E020C9" w14:textId="1EC0530F" w:rsidR="00830305" w:rsidRPr="003C730B" w:rsidRDefault="00830305" w:rsidP="00370482">
      <w:pPr>
        <w:pStyle w:val="Akapitzlist"/>
        <w:numPr>
          <w:ilvl w:val="0"/>
          <w:numId w:val="22"/>
        </w:numPr>
        <w:spacing w:after="0" w:line="240" w:lineRule="auto"/>
        <w:jc w:val="both"/>
        <w:rPr>
          <w:rFonts w:ascii="Lato" w:hAnsi="Lato"/>
          <w:sz w:val="20"/>
          <w:szCs w:val="20"/>
        </w:rPr>
      </w:pPr>
      <w:r w:rsidRPr="003C730B">
        <w:rPr>
          <w:rFonts w:ascii="Lato" w:hAnsi="Lato"/>
          <w:sz w:val="20"/>
          <w:szCs w:val="20"/>
        </w:rPr>
        <w:t>144 zawodników w zajęciach sekcji sportowych dla osób niepełnosprawnych,</w:t>
      </w:r>
    </w:p>
    <w:p w14:paraId="17A3438D" w14:textId="2C3A8125" w:rsidR="00830305" w:rsidRPr="003C730B" w:rsidRDefault="00830305" w:rsidP="00370482">
      <w:pPr>
        <w:pStyle w:val="Akapitzlist"/>
        <w:numPr>
          <w:ilvl w:val="0"/>
          <w:numId w:val="22"/>
        </w:numPr>
        <w:spacing w:after="0" w:line="240" w:lineRule="auto"/>
        <w:jc w:val="both"/>
        <w:rPr>
          <w:rFonts w:ascii="Lato" w:hAnsi="Lato"/>
          <w:sz w:val="20"/>
          <w:szCs w:val="20"/>
        </w:rPr>
      </w:pPr>
      <w:r w:rsidRPr="003C730B">
        <w:rPr>
          <w:rFonts w:ascii="Lato" w:hAnsi="Lato"/>
          <w:sz w:val="20"/>
          <w:szCs w:val="20"/>
        </w:rPr>
        <w:t>3 155 zawodników w imprezach sportowych dla osób niepełnosprawnych,</w:t>
      </w:r>
    </w:p>
    <w:p w14:paraId="533F216B" w14:textId="5B793C82" w:rsidR="00830305" w:rsidRPr="003C730B" w:rsidRDefault="00830305" w:rsidP="00370482">
      <w:pPr>
        <w:pStyle w:val="Akapitzlist"/>
        <w:numPr>
          <w:ilvl w:val="0"/>
          <w:numId w:val="22"/>
        </w:numPr>
        <w:spacing w:after="0" w:line="240" w:lineRule="auto"/>
        <w:jc w:val="both"/>
        <w:rPr>
          <w:rFonts w:ascii="Lato" w:hAnsi="Lato"/>
          <w:sz w:val="20"/>
          <w:szCs w:val="20"/>
        </w:rPr>
      </w:pPr>
      <w:r w:rsidRPr="003C730B">
        <w:rPr>
          <w:rFonts w:ascii="Lato" w:hAnsi="Lato"/>
          <w:sz w:val="20"/>
          <w:szCs w:val="20"/>
        </w:rPr>
        <w:t>651 zawodników w obozach sportowych dla osób niepełnosprawnych.</w:t>
      </w:r>
    </w:p>
    <w:p w14:paraId="2505EC93" w14:textId="77777777" w:rsidR="00C611FD" w:rsidRPr="003C730B" w:rsidRDefault="00C611FD" w:rsidP="00370482">
      <w:pPr>
        <w:spacing w:after="0" w:line="240" w:lineRule="auto"/>
        <w:jc w:val="both"/>
        <w:rPr>
          <w:rFonts w:ascii="Lato" w:hAnsi="Lato"/>
          <w:sz w:val="20"/>
          <w:szCs w:val="20"/>
        </w:rPr>
      </w:pPr>
    </w:p>
    <w:p w14:paraId="4386356D" w14:textId="652DB1AB"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Dzięki systematycznie rosnącej pomocy Państwa możliwe stało się dotarcie do tej części społeczeństwa, która z uwagi na zaawansowany wiek i wynikające z tego ograniczenia i bariery nie mogła dotąd w pełni korzystać z przestrzeni publicznej w obszarze sportu. W ostatnich latach wprowadzono szereg istotnych zmian, które skutecznie wpłynęły na poprawę sportu osób starszych 50+ w Polsce, uwzględniając tą problematykę w regulacjach prawnych. Wprowadzane są ułatwienia w dostępie do sportu dla osób starszych, zarówno w zakresie infrastruktury sportowej, jak również sukcesywnie poszerzanej oferty usług sportowych. Rozwój sportu osób starszych 50 + stał się jednym z priorytetów państwa, wpływając bezpośrednio na integrację i kształtowanie społeczeństwa obywatelskiego. Przedstawiając powyższe, Ministerstwo Sportu i Turystyki w zakresie upowszechniania sportu w środowisku osób starszych konsekwentnie doskonali i rozwija obszary wsparcia, które skutecznie wpływają na poprawę kondycji psychofizycznej seniorów i usprawnią proces ich włączenia społecznego.</w:t>
      </w:r>
    </w:p>
    <w:p w14:paraId="28DF0723" w14:textId="77777777" w:rsidR="00C611FD" w:rsidRPr="003C730B" w:rsidRDefault="00C611FD" w:rsidP="00370482">
      <w:pPr>
        <w:spacing w:after="0" w:line="240" w:lineRule="auto"/>
        <w:jc w:val="both"/>
        <w:rPr>
          <w:rFonts w:ascii="Lato" w:hAnsi="Lato"/>
          <w:sz w:val="20"/>
          <w:szCs w:val="20"/>
        </w:rPr>
      </w:pPr>
    </w:p>
    <w:p w14:paraId="0C6FB6D5" w14:textId="6F519C1D"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 xml:space="preserve">Oprócz zagadnień sportowych Ministerstwo Sportu i Turystyki podejmuje coroczne działania także na rzecz rozwoju turystyki dostępnej dla wszystkich, w tym na rzecz osób starszych. </w:t>
      </w:r>
    </w:p>
    <w:p w14:paraId="1641EAA5" w14:textId="77777777" w:rsidR="00C611FD" w:rsidRPr="003C730B" w:rsidRDefault="00C611FD" w:rsidP="00370482">
      <w:pPr>
        <w:spacing w:after="0" w:line="240" w:lineRule="auto"/>
        <w:jc w:val="both"/>
        <w:rPr>
          <w:rFonts w:ascii="Lato" w:hAnsi="Lato"/>
          <w:sz w:val="20"/>
          <w:szCs w:val="20"/>
        </w:rPr>
      </w:pPr>
    </w:p>
    <w:p w14:paraId="423834A5" w14:textId="0F219446"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Otwarty konkurs ofert na dofinansowanie realizacji zadań z zakresu turystyki w formie dotacji celowej jest ogłaszany co roku. Na każdy rok określone są priorytety objęte dofinansowaniem i rokrocznie znajdują się tam działania wspierające sytuację osób starszych, m.in. zgodnie z zapisami dotyczącymi turystyki zawartymi w strategii horyzontalnej: „Polityka społeczna wobec osób starszych 2030. BEZPIECZEŃSTWO-UCZESTNICTWO-SOLIDARNOŚĆ”, a więc wzmocnienie turystyki grupowej i indywidualnej osób starszych poprzez prowadzenie działań na rzecz zapewnienia warunków do bezpiecznego i aktywnego uprawiania turystyki.</w:t>
      </w:r>
    </w:p>
    <w:p w14:paraId="3ED67402" w14:textId="77777777" w:rsidR="00C611FD" w:rsidRPr="003C730B" w:rsidRDefault="00C611FD" w:rsidP="00370482">
      <w:pPr>
        <w:spacing w:after="0" w:line="240" w:lineRule="auto"/>
        <w:jc w:val="both"/>
        <w:rPr>
          <w:rFonts w:ascii="Lato" w:hAnsi="Lato"/>
          <w:sz w:val="20"/>
          <w:szCs w:val="20"/>
        </w:rPr>
      </w:pPr>
    </w:p>
    <w:p w14:paraId="25A9F13A" w14:textId="79D36BAB"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W 2022 r. w konkursie dotacyjnym sformułowano m.in. następujące priorytety:</w:t>
      </w:r>
    </w:p>
    <w:p w14:paraId="2E4921D0" w14:textId="77777777" w:rsidR="00830305" w:rsidRPr="003C730B" w:rsidRDefault="00830305" w:rsidP="00370482">
      <w:pPr>
        <w:pStyle w:val="Akapitzlist"/>
        <w:numPr>
          <w:ilvl w:val="0"/>
          <w:numId w:val="23"/>
        </w:numPr>
        <w:spacing w:after="0" w:line="240" w:lineRule="auto"/>
        <w:jc w:val="both"/>
        <w:rPr>
          <w:rFonts w:ascii="Lato" w:hAnsi="Lato"/>
          <w:sz w:val="20"/>
          <w:szCs w:val="20"/>
        </w:rPr>
      </w:pPr>
      <w:r w:rsidRPr="003C730B">
        <w:rPr>
          <w:rFonts w:ascii="Lato" w:hAnsi="Lato"/>
          <w:sz w:val="20"/>
          <w:szCs w:val="20"/>
        </w:rPr>
        <w:t>innowacyjne rozwiązania w turystyce zwiększające bezpieczeństwo turystów, w tym osób z niepełnosprawnościami oraz osób starszych, zwłaszcza podczas i po pandemii COVID-19,</w:t>
      </w:r>
    </w:p>
    <w:p w14:paraId="11AE3FDA" w14:textId="77777777" w:rsidR="00830305" w:rsidRPr="003C730B" w:rsidRDefault="00830305" w:rsidP="00370482">
      <w:pPr>
        <w:pStyle w:val="Akapitzlist"/>
        <w:numPr>
          <w:ilvl w:val="0"/>
          <w:numId w:val="23"/>
        </w:numPr>
        <w:spacing w:after="0" w:line="240" w:lineRule="auto"/>
        <w:jc w:val="both"/>
        <w:rPr>
          <w:rFonts w:ascii="Lato" w:hAnsi="Lato"/>
          <w:sz w:val="20"/>
          <w:szCs w:val="20"/>
        </w:rPr>
      </w:pPr>
      <w:r w:rsidRPr="003C730B">
        <w:rPr>
          <w:rFonts w:ascii="Lato" w:hAnsi="Lato"/>
          <w:sz w:val="20"/>
          <w:szCs w:val="20"/>
        </w:rPr>
        <w:t>renowacja istniejących i wytyczanie nowych szlaków turystycznych na terenie Polski, w tym w szczególności dostosowanie szlaków turystycznych do potrzeb osób z niepełnosprawnościami oraz osób starszych.</w:t>
      </w:r>
    </w:p>
    <w:p w14:paraId="073C419B" w14:textId="77777777" w:rsidR="00C611FD" w:rsidRPr="003C730B" w:rsidRDefault="00830305" w:rsidP="00370482">
      <w:pPr>
        <w:spacing w:after="0" w:line="240" w:lineRule="auto"/>
        <w:jc w:val="both"/>
        <w:rPr>
          <w:rFonts w:ascii="Lato" w:hAnsi="Lato"/>
          <w:sz w:val="20"/>
          <w:szCs w:val="20"/>
        </w:rPr>
      </w:pPr>
      <w:r w:rsidRPr="003C730B">
        <w:rPr>
          <w:rFonts w:ascii="Lato" w:hAnsi="Lato"/>
          <w:sz w:val="20"/>
          <w:szCs w:val="20"/>
        </w:rPr>
        <w:t>Ministerstwo w ramach zgłoszonych do konkursu ofert promowało te zadania, które przyczyniały się do likwidacji barier i zwiększenia bezpieczeństwa w podróżowaniu i wypoczynku przede wszystkim turystów seniorów i osób z niepełnosprawnościami.</w:t>
      </w:r>
    </w:p>
    <w:p w14:paraId="788951F8" w14:textId="77777777" w:rsidR="00C611FD" w:rsidRPr="003C730B" w:rsidRDefault="00C611FD" w:rsidP="00370482">
      <w:pPr>
        <w:spacing w:after="0" w:line="240" w:lineRule="auto"/>
        <w:jc w:val="both"/>
        <w:rPr>
          <w:rFonts w:ascii="Lato" w:hAnsi="Lato"/>
          <w:sz w:val="20"/>
          <w:szCs w:val="20"/>
        </w:rPr>
      </w:pPr>
    </w:p>
    <w:p w14:paraId="0A17D76C" w14:textId="2DAD9DBE"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W 2022 roku dofinansowanie uzyskały następujące zadania:</w:t>
      </w:r>
    </w:p>
    <w:p w14:paraId="2EDD8694" w14:textId="77777777" w:rsidR="00C611FD" w:rsidRPr="003C730B" w:rsidRDefault="00830305" w:rsidP="00370482">
      <w:pPr>
        <w:spacing w:after="0" w:line="240" w:lineRule="auto"/>
        <w:jc w:val="both"/>
        <w:rPr>
          <w:rFonts w:ascii="Lato" w:hAnsi="Lato"/>
          <w:sz w:val="20"/>
          <w:szCs w:val="20"/>
        </w:rPr>
      </w:pPr>
      <w:r w:rsidRPr="003C730B">
        <w:rPr>
          <w:rFonts w:ascii="Lato" w:hAnsi="Lato"/>
          <w:sz w:val="20"/>
          <w:szCs w:val="20"/>
        </w:rPr>
        <w:t>Priorytet 1. związany z dostosowaniem istniejących szlaków turystycznych do potrzeb osób z niepełnosprawnościami oraz osób starszych:</w:t>
      </w:r>
    </w:p>
    <w:p w14:paraId="1B7C8BFB" w14:textId="77777777" w:rsidR="00C611FD" w:rsidRPr="003C730B" w:rsidRDefault="00830305" w:rsidP="00370482">
      <w:pPr>
        <w:pStyle w:val="Akapitzlist"/>
        <w:numPr>
          <w:ilvl w:val="0"/>
          <w:numId w:val="38"/>
        </w:numPr>
        <w:spacing w:after="0" w:line="240" w:lineRule="auto"/>
        <w:jc w:val="both"/>
        <w:rPr>
          <w:rFonts w:ascii="Lato" w:hAnsi="Lato"/>
          <w:sz w:val="20"/>
          <w:szCs w:val="20"/>
        </w:rPr>
      </w:pPr>
      <w:r w:rsidRPr="003C730B">
        <w:rPr>
          <w:rFonts w:ascii="Lato" w:hAnsi="Lato"/>
          <w:sz w:val="20"/>
          <w:szCs w:val="20"/>
        </w:rPr>
        <w:t>Kompleksowa renowacja szlaków pieszych w gminie Prudnik oraz szkolenie kadr – PTTK Oddział Sudetów Wschodnich w Prudniku. W ramach zadania dokonano renowacji 51 km szlaków pieszych w okolicach Prudnika w Sudetach Wschodnich - wymiana i umieszczenie elementów małej infrastruktury i miejsc odpoczynku tj. drogowskazów, drewnianych słupów, tablic, mostków, drewnianych wiat, ław i stołów</w:t>
      </w:r>
    </w:p>
    <w:p w14:paraId="3F08007D" w14:textId="77777777" w:rsidR="00C611FD" w:rsidRPr="003C730B" w:rsidRDefault="00830305" w:rsidP="00370482">
      <w:pPr>
        <w:pStyle w:val="Akapitzlist"/>
        <w:numPr>
          <w:ilvl w:val="0"/>
          <w:numId w:val="38"/>
        </w:numPr>
        <w:spacing w:after="0" w:line="240" w:lineRule="auto"/>
        <w:jc w:val="both"/>
        <w:rPr>
          <w:rFonts w:ascii="Lato" w:hAnsi="Lato"/>
          <w:sz w:val="20"/>
          <w:szCs w:val="20"/>
        </w:rPr>
      </w:pPr>
      <w:r w:rsidRPr="003C730B">
        <w:rPr>
          <w:rFonts w:ascii="Lato" w:hAnsi="Lato"/>
          <w:sz w:val="20"/>
          <w:szCs w:val="20"/>
        </w:rPr>
        <w:t xml:space="preserve">Renowacja turystycznych szlaków </w:t>
      </w:r>
      <w:proofErr w:type="spellStart"/>
      <w:r w:rsidRPr="003C730B">
        <w:rPr>
          <w:rFonts w:ascii="Lato" w:hAnsi="Lato"/>
          <w:sz w:val="20"/>
          <w:szCs w:val="20"/>
        </w:rPr>
        <w:t>Nordic</w:t>
      </w:r>
      <w:proofErr w:type="spellEnd"/>
      <w:r w:rsidRPr="003C730B">
        <w:rPr>
          <w:rFonts w:ascii="Lato" w:hAnsi="Lato"/>
          <w:sz w:val="20"/>
          <w:szCs w:val="20"/>
        </w:rPr>
        <w:t xml:space="preserve"> </w:t>
      </w:r>
      <w:proofErr w:type="spellStart"/>
      <w:r w:rsidRPr="003C730B">
        <w:rPr>
          <w:rFonts w:ascii="Lato" w:hAnsi="Lato"/>
          <w:sz w:val="20"/>
          <w:szCs w:val="20"/>
        </w:rPr>
        <w:t>Walking</w:t>
      </w:r>
      <w:proofErr w:type="spellEnd"/>
      <w:r w:rsidRPr="003C730B">
        <w:rPr>
          <w:rFonts w:ascii="Lato" w:hAnsi="Lato"/>
          <w:sz w:val="20"/>
          <w:szCs w:val="20"/>
        </w:rPr>
        <w:t xml:space="preserve"> w województwie lubuskim – Lubuska Regionalna Organizacja Turystyczna LOTUR. Zadanie polegało na inwentaryzacji, renowacji, konserwacji i uzupełnieniu pieszych szlaków </w:t>
      </w:r>
      <w:proofErr w:type="spellStart"/>
      <w:r w:rsidRPr="003C730B">
        <w:rPr>
          <w:rFonts w:ascii="Lato" w:hAnsi="Lato"/>
          <w:sz w:val="20"/>
          <w:szCs w:val="20"/>
        </w:rPr>
        <w:t>Nordic</w:t>
      </w:r>
      <w:proofErr w:type="spellEnd"/>
      <w:r w:rsidRPr="003C730B">
        <w:rPr>
          <w:rFonts w:ascii="Lato" w:hAnsi="Lato"/>
          <w:sz w:val="20"/>
          <w:szCs w:val="20"/>
        </w:rPr>
        <w:t xml:space="preserve"> </w:t>
      </w:r>
      <w:proofErr w:type="spellStart"/>
      <w:r w:rsidRPr="003C730B">
        <w:rPr>
          <w:rFonts w:ascii="Lato" w:hAnsi="Lato"/>
          <w:sz w:val="20"/>
          <w:szCs w:val="20"/>
        </w:rPr>
        <w:t>Walking</w:t>
      </w:r>
      <w:proofErr w:type="spellEnd"/>
      <w:r w:rsidRPr="003C730B">
        <w:rPr>
          <w:rFonts w:ascii="Lato" w:hAnsi="Lato"/>
          <w:sz w:val="20"/>
          <w:szCs w:val="20"/>
        </w:rPr>
        <w:t xml:space="preserve"> o długości ok. 225 km na terenie województwa lubuskiego.</w:t>
      </w:r>
    </w:p>
    <w:p w14:paraId="7EC77BC0" w14:textId="77777777" w:rsidR="00C611FD" w:rsidRPr="003C730B" w:rsidRDefault="00830305" w:rsidP="00370482">
      <w:pPr>
        <w:pStyle w:val="Akapitzlist"/>
        <w:numPr>
          <w:ilvl w:val="0"/>
          <w:numId w:val="38"/>
        </w:numPr>
        <w:spacing w:after="0" w:line="240" w:lineRule="auto"/>
        <w:jc w:val="both"/>
        <w:rPr>
          <w:rFonts w:ascii="Lato" w:hAnsi="Lato"/>
          <w:sz w:val="20"/>
          <w:szCs w:val="20"/>
        </w:rPr>
      </w:pPr>
      <w:r w:rsidRPr="003C730B">
        <w:rPr>
          <w:rFonts w:ascii="Lato" w:hAnsi="Lato"/>
          <w:sz w:val="20"/>
          <w:szCs w:val="20"/>
        </w:rPr>
        <w:t>Renowacja oznakowania Szlaku Architektury Drewnianej w województwie świętokrzyskim – znaki drogowe oraz tablic opisowe – Regionalna Organizacja Turystyczna Województwa Świętokrzyskiego. Świętokrzyski Szlak Architektury Drewnianej powstał w 2009 r. i tworzy go 47 najcenniejszych i najciekawszych  obiektów zabytkowych (m.in. Skansen w Tokarni należący do Muzeum Wsi Kieleckiej). Zadanie dotyczyło renowacji oznakowania szlaku poprzez wymianę 37 tablic informacyjnych opisujących trasę oraz 120 znaków drogowych.</w:t>
      </w:r>
    </w:p>
    <w:p w14:paraId="7F3C60AA" w14:textId="59572230" w:rsidR="00830305" w:rsidRPr="003C730B" w:rsidRDefault="00830305" w:rsidP="00370482">
      <w:pPr>
        <w:pStyle w:val="Akapitzlist"/>
        <w:numPr>
          <w:ilvl w:val="0"/>
          <w:numId w:val="38"/>
        </w:numPr>
        <w:spacing w:after="0" w:line="240" w:lineRule="auto"/>
        <w:jc w:val="both"/>
        <w:rPr>
          <w:rFonts w:ascii="Lato" w:hAnsi="Lato"/>
          <w:sz w:val="20"/>
          <w:szCs w:val="20"/>
        </w:rPr>
      </w:pPr>
      <w:r w:rsidRPr="003C730B">
        <w:rPr>
          <w:rFonts w:ascii="Lato" w:hAnsi="Lato"/>
          <w:sz w:val="20"/>
          <w:szCs w:val="20"/>
        </w:rPr>
        <w:t>Oznakowanie szczytów Korony Gór Świętokrzyskich znajdujących się przy istniejących szlakach turystycznych w Górach Świętokrzyskich wraz z opracowaniem aplikacji z funkcjami ułatwiającymi ich zdobycie osobom z niepełnosprawnościami oraz osobom starszym – Stowarzyszenie Lokalna Organizacja Turystyczna „Góry Świętokrzyskie”. Powstanie jednolitego oznaczenia szczytów Korony Gór Świętokrzyskich może zwiększyć atrakcyjność Gór Świętokrzyskich wśród turystów i przyczynić się do zwiększenia dostępności informacji dla osób starszych i z  niepełnosprawnościami. W wyniku realizacji zadania zostały osiągnięte następujące rezultaty: na 25 szczytach Korony Gór Świętokrzyskich zostały zamontowane drewniane słupki z nazwą szczytu, wysokością n.p.m., tablicą edukacyjną dotyczącą atrakcji turystycznych danego obszaru. Do tego powstała aplikacja z możliwością „meldowania się” na szczytach za pomocą telefonów komórkowych oraz z oznaczeniem najdogodniejszych tras dotarcia na szczyt.</w:t>
      </w:r>
    </w:p>
    <w:p w14:paraId="61143CF9" w14:textId="77777777" w:rsidR="00C611FD" w:rsidRPr="003C730B" w:rsidRDefault="00C611FD" w:rsidP="00370482">
      <w:pPr>
        <w:spacing w:after="0" w:line="240" w:lineRule="auto"/>
        <w:jc w:val="both"/>
        <w:rPr>
          <w:rFonts w:ascii="Lato" w:hAnsi="Lato"/>
          <w:sz w:val="20"/>
          <w:szCs w:val="20"/>
        </w:rPr>
      </w:pPr>
    </w:p>
    <w:p w14:paraId="48579974" w14:textId="471A9007"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t>Priorytet 2. dotyczący innowacyjnych rozwiązań w turystyce zwiększających bezpieczeństwo turystów, w tym osób z niepełnosprawnościami oraz osób starszych, zwłaszcza podczas i po pandemii COVID-19:</w:t>
      </w:r>
    </w:p>
    <w:p w14:paraId="142D0205" w14:textId="339CE8D0" w:rsidR="00830305"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Promocja oferty turystyczno-uzdrowiskowej miast i gmin uzdrowiskowych przy pomocy innowacyjnych rozwiązań komunikacyjnych – Stowarzyszenie Gmin Uzdrowiskowych RP. Pandemia przyczyniła się do zwiększonego zainteresowania wielu Polaków swoim zdrowiem. Profilaktyka zdrowotna, zdrowy styl życia, aktywne spędzanie czasu na łonie natury nabierają coraz większego znaczenia dla społeczeństwa.</w:t>
      </w:r>
    </w:p>
    <w:p w14:paraId="33844FB0" w14:textId="77777777" w:rsidR="00C611FD" w:rsidRPr="003C730B" w:rsidRDefault="00830305" w:rsidP="00370482">
      <w:pPr>
        <w:spacing w:after="0" w:line="240" w:lineRule="auto"/>
        <w:jc w:val="both"/>
        <w:rPr>
          <w:rFonts w:ascii="Lato" w:hAnsi="Lato"/>
          <w:sz w:val="20"/>
          <w:szCs w:val="20"/>
        </w:rPr>
      </w:pPr>
      <w:r w:rsidRPr="003C730B">
        <w:rPr>
          <w:rFonts w:ascii="Lato" w:hAnsi="Lato"/>
          <w:sz w:val="20"/>
          <w:szCs w:val="20"/>
        </w:rPr>
        <w:t>Zadanie polegało na opracowaniu wspólnej oferty turystycznej  i uzdrowiskowej w formie strony internetowej i aplikacji mobilnej i objęło swoim zasięgiem 52 miasta i gminy uzdrowiskowe położone na obszarze 13 województw, w tym Wieliczkę z sanatorium uzdrowiskowym urządzonym w podziemnym wyrobisku górniczym. Strona internetowa jest kompatybilna z aplikacją mobilną. Mobilne i funkcjonalne aplikacje, łączące w sobie opcje komunikacyjne i informacyjne, przyczyniają się do poszerzenia dostępności oferty uzdrowiskowej, a także zaspokojenia oczekiwań osób starszych i osób z niepełnosprawnościami</w:t>
      </w:r>
      <w:r w:rsidR="00C611FD" w:rsidRPr="003C730B">
        <w:rPr>
          <w:rFonts w:ascii="Lato" w:hAnsi="Lato"/>
          <w:sz w:val="20"/>
          <w:szCs w:val="20"/>
        </w:rPr>
        <w:t>.</w:t>
      </w:r>
    </w:p>
    <w:p w14:paraId="0E3148FC" w14:textId="1D839CB9" w:rsidR="00830305"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 xml:space="preserve">Bezpieczeństwo turystów (w tym osób z niepełnosprawnościami i osób starszych) na campingach zwłaszcza podczas i po pandemii COVID-19 – ocena campingów pod hasłem „Bezpieczny </w:t>
      </w:r>
      <w:r w:rsidRPr="003C730B">
        <w:rPr>
          <w:rFonts w:ascii="Lato" w:hAnsi="Lato"/>
          <w:sz w:val="20"/>
          <w:szCs w:val="20"/>
        </w:rPr>
        <w:lastRenderedPageBreak/>
        <w:t xml:space="preserve">camping” – Polska Federacja Campingu i Caravaningu W ramach zadania osiągnięto m.in. następujące cele: </w:t>
      </w:r>
    </w:p>
    <w:p w14:paraId="50BDA1E9" w14:textId="77777777" w:rsidR="00152628" w:rsidRPr="003C730B" w:rsidRDefault="00830305" w:rsidP="00370482">
      <w:pPr>
        <w:pStyle w:val="Akapitzlist"/>
        <w:numPr>
          <w:ilvl w:val="0"/>
          <w:numId w:val="24"/>
        </w:numPr>
        <w:spacing w:after="0" w:line="240" w:lineRule="auto"/>
        <w:jc w:val="both"/>
        <w:rPr>
          <w:rFonts w:ascii="Lato" w:hAnsi="Lato"/>
          <w:sz w:val="20"/>
          <w:szCs w:val="20"/>
        </w:rPr>
      </w:pPr>
      <w:r w:rsidRPr="003C730B">
        <w:rPr>
          <w:rFonts w:ascii="Lato" w:hAnsi="Lato"/>
          <w:sz w:val="20"/>
          <w:szCs w:val="20"/>
        </w:rPr>
        <w:t>dokonanie przez społecznych inspektorów przeglądu i oceny ponad 200 obiektów campingowych ze szczególnym uwzględnieniem oceny przystosowania campingu do zapewnienia bezpiecznego pobytu różnym grupom turystów (w tym osobom starszym uprawiającym aktywną turystykę) i zastosowanych, innowacyjnych rozwiązań w tym zakresie,</w:t>
      </w:r>
    </w:p>
    <w:p w14:paraId="2B994F77" w14:textId="77777777" w:rsidR="00152628" w:rsidRPr="003C730B" w:rsidRDefault="00830305" w:rsidP="00370482">
      <w:pPr>
        <w:pStyle w:val="Akapitzlist"/>
        <w:numPr>
          <w:ilvl w:val="0"/>
          <w:numId w:val="24"/>
        </w:numPr>
        <w:spacing w:after="0" w:line="240" w:lineRule="auto"/>
        <w:jc w:val="both"/>
        <w:rPr>
          <w:rFonts w:ascii="Lato" w:hAnsi="Lato"/>
          <w:sz w:val="20"/>
          <w:szCs w:val="20"/>
        </w:rPr>
      </w:pPr>
      <w:r w:rsidRPr="003C730B">
        <w:rPr>
          <w:rFonts w:ascii="Lato" w:hAnsi="Lato"/>
          <w:sz w:val="20"/>
          <w:szCs w:val="20"/>
        </w:rPr>
        <w:t>sporządzenie raportu z przeprowadzonego przeglądu campingów pod tytułem „Baza campingowa</w:t>
      </w:r>
      <w:r w:rsidR="00152628" w:rsidRPr="003C730B">
        <w:rPr>
          <w:rFonts w:ascii="Lato" w:hAnsi="Lato"/>
          <w:sz w:val="20"/>
          <w:szCs w:val="20"/>
        </w:rPr>
        <w:t xml:space="preserve"> </w:t>
      </w:r>
      <w:r w:rsidRPr="003C730B">
        <w:rPr>
          <w:rFonts w:ascii="Lato" w:hAnsi="Lato"/>
          <w:sz w:val="20"/>
          <w:szCs w:val="20"/>
        </w:rPr>
        <w:t>w Polsce w 2022 r .”, zawierającego szczegółową ocenę stanu polskiej bazy campingowej, ruchu turystycznego, procesu kategoryzacji i bezpieczeństwa na campingach w 2022 r.</w:t>
      </w:r>
    </w:p>
    <w:p w14:paraId="22F607EC" w14:textId="6952E147" w:rsidR="00830305" w:rsidRPr="003C730B" w:rsidRDefault="00830305" w:rsidP="00370482">
      <w:pPr>
        <w:pStyle w:val="Akapitzlist"/>
        <w:numPr>
          <w:ilvl w:val="0"/>
          <w:numId w:val="24"/>
        </w:numPr>
        <w:spacing w:after="0" w:line="240" w:lineRule="auto"/>
        <w:jc w:val="both"/>
        <w:rPr>
          <w:rFonts w:ascii="Lato" w:hAnsi="Lato"/>
          <w:sz w:val="20"/>
          <w:szCs w:val="20"/>
        </w:rPr>
      </w:pPr>
      <w:r w:rsidRPr="003C730B">
        <w:rPr>
          <w:rFonts w:ascii="Lato" w:hAnsi="Lato"/>
          <w:sz w:val="20"/>
          <w:szCs w:val="20"/>
        </w:rPr>
        <w:t>wydanie informatora pt. „Campingi w Polsce” w ilości 2.000 sztuk w trzech wersjach językowych (polska, angielska i niemiecka), zawierającego mapę lokalizacyjną, dane teleadresowe campingów, informacje o ich zagospodarowaniu i wyposażeniu oraz zdjęcie każdego obiektu.</w:t>
      </w:r>
    </w:p>
    <w:p w14:paraId="017248BD" w14:textId="0C74D68B" w:rsidR="00830305"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Innowacyjne rozwiązania w turystyce zwiększające bezpieczeństwo turystów, w tym osób</w:t>
      </w:r>
      <w:r w:rsidR="00152628" w:rsidRPr="003C730B">
        <w:rPr>
          <w:rFonts w:ascii="Lato" w:hAnsi="Lato"/>
          <w:sz w:val="20"/>
          <w:szCs w:val="20"/>
        </w:rPr>
        <w:t xml:space="preserve"> </w:t>
      </w:r>
      <w:r w:rsidRPr="003C730B">
        <w:rPr>
          <w:rFonts w:ascii="Lato" w:hAnsi="Lato"/>
          <w:sz w:val="20"/>
          <w:szCs w:val="20"/>
        </w:rPr>
        <w:t>z niepełnosprawnościami oraz osób starszych, zwłaszcza podczas pandemii i po pandemii COVD-19 – Lokalna Organizacja Turystyczna „Zamość i Roztocze”</w:t>
      </w:r>
      <w:r w:rsidR="00152628" w:rsidRPr="003C730B">
        <w:rPr>
          <w:rFonts w:ascii="Lato" w:hAnsi="Lato"/>
          <w:sz w:val="20"/>
          <w:szCs w:val="20"/>
        </w:rPr>
        <w:t xml:space="preserve">. </w:t>
      </w:r>
      <w:r w:rsidRPr="003C730B">
        <w:rPr>
          <w:rFonts w:ascii="Lato" w:hAnsi="Lato"/>
          <w:sz w:val="20"/>
          <w:szCs w:val="20"/>
        </w:rPr>
        <w:t>Najważniejszym efektem społecznym realizacji zadania jest aktywizacja środowiska osób</w:t>
      </w:r>
      <w:r w:rsidR="00152628" w:rsidRPr="003C730B">
        <w:rPr>
          <w:rFonts w:ascii="Lato" w:hAnsi="Lato"/>
          <w:sz w:val="20"/>
          <w:szCs w:val="20"/>
        </w:rPr>
        <w:t xml:space="preserve"> </w:t>
      </w:r>
      <w:r w:rsidRPr="003C730B">
        <w:rPr>
          <w:rFonts w:ascii="Lato" w:hAnsi="Lato"/>
          <w:sz w:val="20"/>
          <w:szCs w:val="20"/>
        </w:rPr>
        <w:t>z niepełnosprawnością słuchową i osób starszych uprawiających turystykę w Zamościu i na Roztoczu.</w:t>
      </w:r>
      <w:r w:rsidR="00152628" w:rsidRPr="003C730B">
        <w:rPr>
          <w:rFonts w:ascii="Lato" w:hAnsi="Lato"/>
          <w:sz w:val="20"/>
          <w:szCs w:val="20"/>
        </w:rPr>
        <w:t xml:space="preserve"> </w:t>
      </w:r>
      <w:r w:rsidRPr="003C730B">
        <w:rPr>
          <w:rFonts w:ascii="Lato" w:hAnsi="Lato"/>
          <w:sz w:val="20"/>
          <w:szCs w:val="20"/>
        </w:rPr>
        <w:t xml:space="preserve">W ramach zadania wykonano m. in. następujące działania: </w:t>
      </w:r>
    </w:p>
    <w:p w14:paraId="239D34E5" w14:textId="77777777" w:rsidR="00152628" w:rsidRPr="003C730B" w:rsidRDefault="00830305" w:rsidP="00370482">
      <w:pPr>
        <w:pStyle w:val="Akapitzlist"/>
        <w:numPr>
          <w:ilvl w:val="0"/>
          <w:numId w:val="25"/>
        </w:numPr>
        <w:spacing w:after="0" w:line="240" w:lineRule="auto"/>
        <w:jc w:val="both"/>
        <w:rPr>
          <w:rFonts w:ascii="Lato" w:hAnsi="Lato"/>
          <w:sz w:val="20"/>
          <w:szCs w:val="20"/>
        </w:rPr>
      </w:pPr>
      <w:r w:rsidRPr="003C730B">
        <w:rPr>
          <w:rFonts w:ascii="Lato" w:hAnsi="Lato"/>
          <w:sz w:val="20"/>
          <w:szCs w:val="20"/>
        </w:rPr>
        <w:t>opracowanie i wydanie folderu dotyczącego możliwości zwiedzania obiektów muzealnych i atrakcji turystycznych regionu przez osoby starsze i z niepełnosprawnościami z zachowaniem bezpieczeństwa w nakładzie 2 000 egzemplarzy. Folder jest dystrybuowany wśród turystów odwiedzających punkty informacji turystycznej i atrakcje turystyczne oraz obiekty muzealne,</w:t>
      </w:r>
    </w:p>
    <w:p w14:paraId="23522683" w14:textId="77777777" w:rsidR="00C611FD" w:rsidRPr="003C730B" w:rsidRDefault="00830305" w:rsidP="00370482">
      <w:pPr>
        <w:pStyle w:val="Akapitzlist"/>
        <w:numPr>
          <w:ilvl w:val="0"/>
          <w:numId w:val="25"/>
        </w:numPr>
        <w:spacing w:after="0" w:line="240" w:lineRule="auto"/>
        <w:jc w:val="both"/>
        <w:rPr>
          <w:rFonts w:ascii="Lato" w:hAnsi="Lato"/>
          <w:sz w:val="20"/>
          <w:szCs w:val="20"/>
        </w:rPr>
      </w:pPr>
      <w:r w:rsidRPr="003C730B">
        <w:rPr>
          <w:rFonts w:ascii="Lato" w:hAnsi="Lato"/>
          <w:sz w:val="20"/>
          <w:szCs w:val="20"/>
        </w:rPr>
        <w:t>organizacja konferencji z zakresu innowacyjnych rozwiązań w turystyce zwiększających bezpieczeństwo turystów, w tym osób starszych i z niepełnosprawnościami podczas i po pandemii COID-19. Zrealizowanie wyjazdu studyjnego mającego na celu prezentację walorów turystyczno-krajoznawczych Zamościa i Roztocza przystosowanych do obsługi osób starszych</w:t>
      </w:r>
      <w:r w:rsidR="00152628" w:rsidRPr="003C730B">
        <w:rPr>
          <w:rFonts w:ascii="Lato" w:hAnsi="Lato"/>
          <w:sz w:val="20"/>
          <w:szCs w:val="20"/>
        </w:rPr>
        <w:t xml:space="preserve"> </w:t>
      </w:r>
      <w:r w:rsidRPr="003C730B">
        <w:rPr>
          <w:rFonts w:ascii="Lato" w:hAnsi="Lato"/>
          <w:sz w:val="20"/>
          <w:szCs w:val="20"/>
        </w:rPr>
        <w:t>i z niepełnosprawnością słuchową podczas i po pandemii COID-19. Liczba uczestników konferencji</w:t>
      </w:r>
      <w:r w:rsidR="00152628" w:rsidRPr="003C730B">
        <w:rPr>
          <w:rFonts w:ascii="Lato" w:hAnsi="Lato"/>
          <w:sz w:val="20"/>
          <w:szCs w:val="20"/>
        </w:rPr>
        <w:t xml:space="preserve"> </w:t>
      </w:r>
      <w:r w:rsidRPr="003C730B">
        <w:rPr>
          <w:rFonts w:ascii="Lato" w:hAnsi="Lato"/>
          <w:sz w:val="20"/>
          <w:szCs w:val="20"/>
        </w:rPr>
        <w:t xml:space="preserve">i wyjazdu studyjnego to 45 osób. </w:t>
      </w:r>
    </w:p>
    <w:p w14:paraId="3889F191" w14:textId="77777777" w:rsidR="00C611FD"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Poprawa dostępności turystycznej regionu Puszczy Białowieskiej – Lokalna Organizacja Turystyczna „region Puszczy Białowieskiej”</w:t>
      </w:r>
      <w:r w:rsidR="00152628" w:rsidRPr="003C730B">
        <w:rPr>
          <w:rFonts w:ascii="Lato" w:hAnsi="Lato"/>
          <w:sz w:val="20"/>
          <w:szCs w:val="20"/>
        </w:rPr>
        <w:t xml:space="preserve">. </w:t>
      </w:r>
      <w:r w:rsidRPr="003C730B">
        <w:rPr>
          <w:rFonts w:ascii="Lato" w:hAnsi="Lato"/>
          <w:sz w:val="20"/>
          <w:szCs w:val="20"/>
        </w:rPr>
        <w:t>Celem zadania była m.in. promocja turystyki aktywnej w rejonie Puszczy Białowieskiej dla osób</w:t>
      </w:r>
      <w:r w:rsidR="00152628" w:rsidRPr="003C730B">
        <w:rPr>
          <w:rFonts w:ascii="Lato" w:hAnsi="Lato"/>
          <w:sz w:val="20"/>
          <w:szCs w:val="20"/>
        </w:rPr>
        <w:t xml:space="preserve"> </w:t>
      </w:r>
      <w:r w:rsidRPr="003C730B">
        <w:rPr>
          <w:rFonts w:ascii="Lato" w:hAnsi="Lato"/>
          <w:sz w:val="20"/>
          <w:szCs w:val="20"/>
        </w:rPr>
        <w:t xml:space="preserve">o szczególnych potrzebach poprzez zorganizowanie 4 eventów w formie rajdów – rowerowego, </w:t>
      </w:r>
      <w:proofErr w:type="spellStart"/>
      <w:r w:rsidRPr="003C730B">
        <w:rPr>
          <w:rFonts w:ascii="Lato" w:hAnsi="Lato"/>
          <w:sz w:val="20"/>
          <w:szCs w:val="20"/>
        </w:rPr>
        <w:t>nordic</w:t>
      </w:r>
      <w:proofErr w:type="spellEnd"/>
      <w:r w:rsidRPr="003C730B">
        <w:rPr>
          <w:rFonts w:ascii="Lato" w:hAnsi="Lato"/>
          <w:sz w:val="20"/>
          <w:szCs w:val="20"/>
        </w:rPr>
        <w:t xml:space="preserve"> </w:t>
      </w:r>
      <w:proofErr w:type="spellStart"/>
      <w:r w:rsidRPr="003C730B">
        <w:rPr>
          <w:rFonts w:ascii="Lato" w:hAnsi="Lato"/>
          <w:sz w:val="20"/>
          <w:szCs w:val="20"/>
        </w:rPr>
        <w:t>walking</w:t>
      </w:r>
      <w:proofErr w:type="spellEnd"/>
      <w:r w:rsidRPr="003C730B">
        <w:rPr>
          <w:rFonts w:ascii="Lato" w:hAnsi="Lato"/>
          <w:sz w:val="20"/>
          <w:szCs w:val="20"/>
        </w:rPr>
        <w:t xml:space="preserve">, spływu kajakowego  oraz spaceru </w:t>
      </w:r>
      <w:proofErr w:type="spellStart"/>
      <w:r w:rsidRPr="003C730B">
        <w:rPr>
          <w:rFonts w:ascii="Lato" w:hAnsi="Lato"/>
          <w:sz w:val="20"/>
          <w:szCs w:val="20"/>
        </w:rPr>
        <w:t>Shinrin</w:t>
      </w:r>
      <w:proofErr w:type="spellEnd"/>
      <w:r w:rsidRPr="003C730B">
        <w:rPr>
          <w:rFonts w:ascii="Lato" w:hAnsi="Lato"/>
          <w:sz w:val="20"/>
          <w:szCs w:val="20"/>
        </w:rPr>
        <w:t xml:space="preserve"> </w:t>
      </w:r>
      <w:proofErr w:type="spellStart"/>
      <w:r w:rsidRPr="003C730B">
        <w:rPr>
          <w:rFonts w:ascii="Lato" w:hAnsi="Lato"/>
          <w:sz w:val="20"/>
          <w:szCs w:val="20"/>
        </w:rPr>
        <w:t>Yoku</w:t>
      </w:r>
      <w:proofErr w:type="spellEnd"/>
      <w:r w:rsidRPr="003C730B">
        <w:rPr>
          <w:rFonts w:ascii="Lato" w:hAnsi="Lato"/>
          <w:sz w:val="20"/>
          <w:szCs w:val="20"/>
        </w:rPr>
        <w:t xml:space="preserve"> (wolny, relaksacyjny spacer wśród drzew i odbiór naturalnego otoczenia wszystkimi zmysłami). Wyprodukowano 4 spoty promocyjne prezentujące aktywne formy turystyki  oraz 1 film promocyjny. Ponadto odpowiednio dostosowano  przestrzeń turystyczną poprzez oznakowania informacji turystycznej w Hajnówce. Opracowano i wykonano dwie publikacje promujące ofertę turystyczną regionu Puszczy Białowieskiej dostosowaną dla osób</w:t>
      </w:r>
      <w:r w:rsidR="00152628" w:rsidRPr="003C730B">
        <w:rPr>
          <w:rFonts w:ascii="Lato" w:hAnsi="Lato"/>
          <w:sz w:val="20"/>
          <w:szCs w:val="20"/>
        </w:rPr>
        <w:t xml:space="preserve"> </w:t>
      </w:r>
      <w:r w:rsidRPr="003C730B">
        <w:rPr>
          <w:rFonts w:ascii="Lato" w:hAnsi="Lato"/>
          <w:sz w:val="20"/>
          <w:szCs w:val="20"/>
        </w:rPr>
        <w:t>o specjalnych potrzebach  tj. folder z ofertą turystyczną skierowaną do osób dorosłych: 8000 szt. w wersji papierowej + 1 w wersji elektronicznej oraz folder z ofertą turystyczną skierowaną do dzieci: 8000 szt. w wersji papierowej + 1 w wersji elektronicznej.</w:t>
      </w:r>
    </w:p>
    <w:p w14:paraId="61FD9487" w14:textId="77777777" w:rsidR="00C611FD"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 xml:space="preserve">Podróżuj, odkrywaj Polskę bezpiecznie – aplikacja mobilna gier terenowych – Fundacja </w:t>
      </w:r>
      <w:proofErr w:type="spellStart"/>
      <w:r w:rsidRPr="003C730B">
        <w:rPr>
          <w:rFonts w:ascii="Lato" w:hAnsi="Lato"/>
          <w:sz w:val="20"/>
          <w:szCs w:val="20"/>
        </w:rPr>
        <w:t>Questingu</w:t>
      </w:r>
      <w:proofErr w:type="spellEnd"/>
      <w:r w:rsidR="00152628" w:rsidRPr="003C730B">
        <w:rPr>
          <w:rFonts w:ascii="Lato" w:hAnsi="Lato"/>
          <w:sz w:val="20"/>
          <w:szCs w:val="20"/>
        </w:rPr>
        <w:t xml:space="preserve">. </w:t>
      </w:r>
      <w:r w:rsidRPr="003C730B">
        <w:rPr>
          <w:rFonts w:ascii="Lato" w:hAnsi="Lato"/>
          <w:sz w:val="20"/>
          <w:szCs w:val="20"/>
        </w:rPr>
        <w:t xml:space="preserve">Celem zadania było stworzenie innowacyjnej aplikacji mobilnej umożliwiającej bezpieczne i angażujące zwiedzanie 200 lokalizacji w całej Polsce za pomocą interaktywnych gier terenowych (tzw. </w:t>
      </w:r>
      <w:proofErr w:type="spellStart"/>
      <w:r w:rsidRPr="003C730B">
        <w:rPr>
          <w:rFonts w:ascii="Lato" w:hAnsi="Lato"/>
          <w:sz w:val="20"/>
          <w:szCs w:val="20"/>
        </w:rPr>
        <w:t>Questów</w:t>
      </w:r>
      <w:proofErr w:type="spellEnd"/>
      <w:r w:rsidRPr="003C730B">
        <w:rPr>
          <w:rFonts w:ascii="Lato" w:hAnsi="Lato"/>
          <w:sz w:val="20"/>
          <w:szCs w:val="20"/>
        </w:rPr>
        <w:t xml:space="preserve">). Quest to nieoznakowana w terenie trasa, którą turysta przechodzi na podstawie zagadek i rebusów umieszczonych w opisie </w:t>
      </w:r>
      <w:proofErr w:type="spellStart"/>
      <w:r w:rsidRPr="003C730B">
        <w:rPr>
          <w:rFonts w:ascii="Lato" w:hAnsi="Lato"/>
          <w:sz w:val="20"/>
          <w:szCs w:val="20"/>
        </w:rPr>
        <w:t>questu</w:t>
      </w:r>
      <w:proofErr w:type="spellEnd"/>
      <w:r w:rsidRPr="003C730B">
        <w:rPr>
          <w:rFonts w:ascii="Lato" w:hAnsi="Lato"/>
          <w:sz w:val="20"/>
          <w:szCs w:val="20"/>
        </w:rPr>
        <w:t>. Aplikacja mobilna dostępna jest nieodpłatnie w sklepach internetowych dla dwóch wiodących systemów operacyjnych: Android i iOS. Korzystać z niej mogą wszyscy zainteresowani turyści, jednakże ze względu na dostępność pokonywanych tras oraz wykonanie aplikacji w standardzie WCAG 2.1 korzystać z niej mogą również osoby ze szczególnymi potrzebami, w tym seniorzy oraz osoby z różnego rodzaju niepełnosprawnościami</w:t>
      </w:r>
    </w:p>
    <w:p w14:paraId="610FABCE" w14:textId="63FFA8DA" w:rsidR="00830305" w:rsidRPr="003C730B" w:rsidRDefault="00830305" w:rsidP="00370482">
      <w:pPr>
        <w:pStyle w:val="Akapitzlist"/>
        <w:numPr>
          <w:ilvl w:val="0"/>
          <w:numId w:val="39"/>
        </w:numPr>
        <w:spacing w:after="0" w:line="240" w:lineRule="auto"/>
        <w:jc w:val="both"/>
        <w:rPr>
          <w:rFonts w:ascii="Lato" w:hAnsi="Lato"/>
          <w:sz w:val="20"/>
          <w:szCs w:val="20"/>
        </w:rPr>
      </w:pPr>
      <w:r w:rsidRPr="003C730B">
        <w:rPr>
          <w:rFonts w:ascii="Lato" w:hAnsi="Lato"/>
          <w:sz w:val="20"/>
          <w:szCs w:val="20"/>
        </w:rPr>
        <w:t>Budowa nowoczesnego narzędzia turystycznego Rowerowy Julinek – Stowarzyszenie Menedżerów firm działających w zakresie rozrywki, komunikacji i kultury</w:t>
      </w:r>
      <w:r w:rsidR="00152628" w:rsidRPr="003C730B">
        <w:rPr>
          <w:rFonts w:ascii="Lato" w:hAnsi="Lato"/>
          <w:sz w:val="20"/>
          <w:szCs w:val="20"/>
        </w:rPr>
        <w:t xml:space="preserve">. </w:t>
      </w:r>
      <w:r w:rsidRPr="003C730B">
        <w:rPr>
          <w:rFonts w:ascii="Lato" w:hAnsi="Lato"/>
          <w:sz w:val="20"/>
          <w:szCs w:val="20"/>
        </w:rPr>
        <w:t>Celem zadania było dostarczenie turystom, a w szczególności osobom starszym</w:t>
      </w:r>
      <w:r w:rsidR="00152628" w:rsidRPr="003C730B">
        <w:rPr>
          <w:rFonts w:ascii="Lato" w:hAnsi="Lato"/>
          <w:sz w:val="20"/>
          <w:szCs w:val="20"/>
        </w:rPr>
        <w:t xml:space="preserve"> </w:t>
      </w:r>
      <w:r w:rsidRPr="003C730B">
        <w:rPr>
          <w:rFonts w:ascii="Lato" w:hAnsi="Lato"/>
          <w:sz w:val="20"/>
          <w:szCs w:val="20"/>
        </w:rPr>
        <w:t xml:space="preserve">i z niepełnosprawnościami, uprawiającym turystykę rowerową w Kampinoskim Parku Narodowym, nowoczesnego narzędzia turystycznego w postaci aplikacji „Rowerowy Julinek” opartej na 8 trasach rowerowych o łącznej długości 356,1 km, o różnej długości i stopniu trudności z opisem walorów turystycznych i zaplecza technicznego. Aplikacja jest dostępna nieodpłatnie w sklepach internetowych. </w:t>
      </w:r>
    </w:p>
    <w:p w14:paraId="57994355" w14:textId="45F52D92" w:rsidR="00830305" w:rsidRPr="003C730B" w:rsidRDefault="00830305" w:rsidP="00370482">
      <w:pPr>
        <w:spacing w:after="0" w:line="240" w:lineRule="auto"/>
        <w:jc w:val="both"/>
        <w:rPr>
          <w:rFonts w:ascii="Lato" w:hAnsi="Lato"/>
          <w:sz w:val="20"/>
          <w:szCs w:val="20"/>
        </w:rPr>
      </w:pPr>
      <w:r w:rsidRPr="003C730B">
        <w:rPr>
          <w:rFonts w:ascii="Lato" w:hAnsi="Lato"/>
          <w:sz w:val="20"/>
          <w:szCs w:val="20"/>
        </w:rPr>
        <w:lastRenderedPageBreak/>
        <w:t>W 2022 r</w:t>
      </w:r>
      <w:r w:rsidR="00C611FD" w:rsidRPr="003C730B">
        <w:rPr>
          <w:rFonts w:ascii="Lato" w:hAnsi="Lato"/>
          <w:sz w:val="20"/>
          <w:szCs w:val="20"/>
        </w:rPr>
        <w:t xml:space="preserve">. </w:t>
      </w:r>
      <w:r w:rsidRPr="003C730B">
        <w:rPr>
          <w:rFonts w:ascii="Lato" w:hAnsi="Lato"/>
          <w:sz w:val="20"/>
          <w:szCs w:val="20"/>
        </w:rPr>
        <w:t>na zadania skierowane na potrzeby osób starszych i z niepełnosprawnościami, w ramach ogłoszonego konkursu dotacyjnego wydatkowano łącznie kwotę 825.973,09 zł</w:t>
      </w:r>
    </w:p>
    <w:p w14:paraId="54A23CD1" w14:textId="77777777" w:rsidR="00152628" w:rsidRPr="003C730B" w:rsidRDefault="00830305" w:rsidP="00370482">
      <w:pPr>
        <w:spacing w:after="0" w:line="240" w:lineRule="auto"/>
        <w:jc w:val="both"/>
        <w:rPr>
          <w:rFonts w:ascii="Lato" w:hAnsi="Lato"/>
          <w:sz w:val="20"/>
          <w:szCs w:val="20"/>
        </w:rPr>
      </w:pPr>
      <w:r w:rsidRPr="003C730B">
        <w:rPr>
          <w:rFonts w:ascii="Lato" w:hAnsi="Lato"/>
          <w:sz w:val="20"/>
          <w:szCs w:val="20"/>
        </w:rPr>
        <w:t>Inne działania Ministerstwa Sportu i Turystyki w 2022 r. na rzecz zapewnienia warunków do bezpiecznego i aktywnego uprawiania turystyki m.in. przez osoby starsze to:</w:t>
      </w:r>
    </w:p>
    <w:p w14:paraId="32010ACB" w14:textId="77777777" w:rsidR="00152628" w:rsidRPr="003C730B" w:rsidRDefault="00830305" w:rsidP="00370482">
      <w:pPr>
        <w:pStyle w:val="Akapitzlist"/>
        <w:numPr>
          <w:ilvl w:val="0"/>
          <w:numId w:val="26"/>
        </w:numPr>
        <w:spacing w:after="0" w:line="240" w:lineRule="auto"/>
        <w:jc w:val="both"/>
        <w:rPr>
          <w:rFonts w:ascii="Lato" w:hAnsi="Lato"/>
          <w:sz w:val="20"/>
          <w:szCs w:val="20"/>
        </w:rPr>
      </w:pPr>
      <w:r w:rsidRPr="003C730B">
        <w:rPr>
          <w:rFonts w:ascii="Lato" w:hAnsi="Lato"/>
          <w:sz w:val="20"/>
          <w:szCs w:val="20"/>
        </w:rPr>
        <w:t>w  projekcie „Polskie Marki Turystyczne”, w edycji 2022 r.,  jednym z kryteriów oceny jakości obszaru przedstawionego w zgłoszeniu było zapewnienie dostępności miejsc i usług turystycznych oferowanych przez pretendujący obszar turystyczny do tytułu „Polska Marka Turystyczna” dla osób starszych</w:t>
      </w:r>
      <w:r w:rsidR="00152628" w:rsidRPr="003C730B">
        <w:rPr>
          <w:rFonts w:ascii="Lato" w:hAnsi="Lato"/>
          <w:sz w:val="20"/>
          <w:szCs w:val="20"/>
        </w:rPr>
        <w:t xml:space="preserve"> </w:t>
      </w:r>
      <w:r w:rsidRPr="003C730B">
        <w:rPr>
          <w:rFonts w:ascii="Lato" w:hAnsi="Lato"/>
          <w:sz w:val="20"/>
          <w:szCs w:val="20"/>
        </w:rPr>
        <w:t>i z niepełnosprawnościami,</w:t>
      </w:r>
    </w:p>
    <w:p w14:paraId="3014738B" w14:textId="3EC9E7CF" w:rsidR="00830305" w:rsidRDefault="00830305" w:rsidP="00370482">
      <w:pPr>
        <w:pStyle w:val="Akapitzlist"/>
        <w:numPr>
          <w:ilvl w:val="0"/>
          <w:numId w:val="26"/>
        </w:numPr>
        <w:spacing w:after="0" w:line="240" w:lineRule="auto"/>
        <w:jc w:val="both"/>
        <w:rPr>
          <w:rFonts w:ascii="Lato" w:hAnsi="Lato"/>
          <w:sz w:val="20"/>
          <w:szCs w:val="20"/>
        </w:rPr>
      </w:pPr>
      <w:r w:rsidRPr="003C730B">
        <w:rPr>
          <w:rFonts w:ascii="Lato" w:hAnsi="Lato"/>
          <w:sz w:val="20"/>
          <w:szCs w:val="20"/>
        </w:rPr>
        <w:t>wdrożenie rządowego programu wsparcia gmin uzdrowiskowych. W ramach programu wsparciem finansowym w 2022 r. objęto ponad 50 gmin, które ucierpiały wskutek pandemii. Na rozwój infrastruktury uzdrowiskowej w ramach programu przeznaczono 250 mln zł. Środki z programu przeznaczone zostały na dofinasowanie realizacji inwestycji uzdrowiskowych i turystycznych. Według danych GUS z 2022 r. liczba osób korzystających stacjonarnie z lecznictwa uzdrowiskowego wyniosła 742 tys., w tym osoby w wieku 65 lat i więcej stanowiły 56 % kuracjuszy.</w:t>
      </w:r>
    </w:p>
    <w:p w14:paraId="62CEBC1A" w14:textId="77777777" w:rsidR="001E005B" w:rsidRPr="003C730B" w:rsidRDefault="001E005B" w:rsidP="00135D02">
      <w:pPr>
        <w:pStyle w:val="Akapitzlist"/>
        <w:spacing w:after="0" w:line="240" w:lineRule="auto"/>
        <w:rPr>
          <w:rFonts w:ascii="Lato" w:hAnsi="Lato"/>
          <w:sz w:val="20"/>
          <w:szCs w:val="20"/>
        </w:rPr>
      </w:pPr>
    </w:p>
    <w:p w14:paraId="333E81F1" w14:textId="584E265D" w:rsidR="003C730B" w:rsidRPr="00DB2792" w:rsidRDefault="00781EA1" w:rsidP="001E005B">
      <w:pPr>
        <w:pStyle w:val="Nagwek2"/>
        <w:rPr>
          <w:b/>
          <w:bCs/>
        </w:rPr>
      </w:pPr>
      <w:bookmarkStart w:id="62" w:name="_Toc142565942"/>
      <w:r w:rsidRPr="00DB2792">
        <w:rPr>
          <w:b/>
          <w:bCs/>
        </w:rPr>
        <w:t>Ministerstwo Sprawiedliwości</w:t>
      </w:r>
      <w:bookmarkEnd w:id="62"/>
    </w:p>
    <w:p w14:paraId="305FC835"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Ministerstwie Sprawiedliwości</w:t>
      </w:r>
      <w:r w:rsidRPr="00135D02">
        <w:rPr>
          <w:rFonts w:ascii="Lato" w:hAnsi="Lato"/>
          <w:b/>
          <w:bCs/>
          <w:color w:val="000000"/>
        </w:rPr>
        <w:t xml:space="preserve"> </w:t>
      </w:r>
      <w:r w:rsidRPr="00135D02">
        <w:rPr>
          <w:rFonts w:ascii="Lato" w:hAnsi="Lato"/>
          <w:color w:val="000000"/>
        </w:rPr>
        <w:t xml:space="preserve">były prowadzone prace zakresie projektu ustawy o zmianie ustawy - Kodeks cywilny oraz niektórych innych ustaw (UD395). W projekcie uwzględniono rozwiązania, przewidujące m.in. zmiany w zakresie przepisów regulujących umowę o dożywocie. Celem proponowanych zmian było dopełnienie rozwiązań służących ograniczeniu niepożądanych zjawisk w obrocie nieruchomościami, w tym wyłudzaniu nieruchomości od osób starszych. </w:t>
      </w:r>
    </w:p>
    <w:p w14:paraId="6E82D515"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p>
    <w:p w14:paraId="64358FEC" w14:textId="65905E69"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Wpis projektu pod pozycją UD395 został dokonany w dniu 1 czerwca 2022 r. (data publikacji). Projekt UD395 nie został jednak skierowany do uzgodnień międzyresortowych, konsultacji i opiniowania Następnie, Ministerstwo Sprawiedliwości skierowało do Kancelarii Prezesa Rady Ministrów wniosek o wpisanie projektu ustawy do wykazu prac legislacyjnych w IV kwartale 2022 r. Aktualnie projekt ustawy oczekuje na wpis do wykazu prac legislacyjnych. Zmiany proponowane projektem ustawy mają na celu dopełnienie rozwiązań służących ograniczeniu niepożądanych zjawisk w obrocie nieruchomościami i stanowią realizację zadań wynikających z ww. dokumentu PS 2030 - 2023.</w:t>
      </w:r>
    </w:p>
    <w:p w14:paraId="3468344F"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75DF2E04" w14:textId="2C3578E5"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Fundusz Pomocy Pokrzywdzonym oraz Pomocy Postpenitencjarnej - Funduszu Sprawiedliwości (dalej: Fundusz Sprawiedliwości) jest państwowym funduszem celowym ukierunkowanym na udzielanie pomocy osobom pokrzywdzonym przestępstwem, świadkom oraz osobom im najbliższym. osobom pozbawionym wolności, zwalnianym z zakładów karnych i aresztów śledczych oraz osobom im najbliższym, jak również przeciwdziałanie przyczynom przestępczości. Jego dysponentem jest Minister Sprawiedliwości. Zadania Funduszu Sprawiedliwości zostały określone w rozporządzeniu Ministra Sprawiedliwości z dnia 13 września 2017 r. w sprawie Funduszu Pomocy Pokrzywdzonym oraz Pomocy Postpenitencjarnej - Funduszu Sprawiedliwości (tj. Dz. U. 2019, poz. 683 z </w:t>
      </w:r>
      <w:proofErr w:type="spellStart"/>
      <w:r w:rsidRPr="00135D02">
        <w:rPr>
          <w:rFonts w:ascii="Lato" w:hAnsi="Lato"/>
          <w:color w:val="000000"/>
        </w:rPr>
        <w:t>późn</w:t>
      </w:r>
      <w:proofErr w:type="spellEnd"/>
      <w:r w:rsidRPr="00135D02">
        <w:rPr>
          <w:rFonts w:ascii="Lato" w:hAnsi="Lato"/>
          <w:color w:val="000000"/>
        </w:rPr>
        <w:t>. zm.).</w:t>
      </w:r>
    </w:p>
    <w:p w14:paraId="1A6BC32F"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0DF55521" w14:textId="2AF269F0"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Ze środków Funduszu Sprawiedliwości od wielu lat organizowana jest pomoc dla osób pokrzywdzonych przestępstwem, świadków oraz osób im najbliższych, w tym na rzecz osób starszych. Pomoc udzielana jest przez wyspecjalizowane podmioty niezaliczane do sektora finansów publicznych, w tym fundacje, stowarzyszenia i organizacje w ramach ogólnopolskiej Sieci Pomocy Osobom Pokrzywdzonym. Do pomocy udzielanej przez Fundusz Sprawiedliwości należy przede wszystkim pomoc prawna, psychologiczna, psychoterapeutyczna oraz materialna. Bezpłatne wsparcie udzielane ze środków Funduszu Sprawiedliwości skierowane jest do wszystkich osób pokrzywdzonych przestępstwem, świadków i osób im najbliższych. Wsparcie świadczone jest bez względu na wiek i rodzaj przestępstwa jakim została pokrzywdzona osoba zgłaszająca się do miejsca świadczenia pomocy. Obecnie w ramach ogólnopolskiej Sieci Pomocy Osobom Pokrzywdzonym funkcjonuje 305 miejsc świadczenia pomocy. </w:t>
      </w:r>
    </w:p>
    <w:p w14:paraId="30D6EB2A"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22E1FA3B" w14:textId="40086EF8"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Co do zasady, miejsca świadczenia pomocy zapewniają dogodny dojazd środkami transportu publicznego oraz lokalizację miejsca świadczenia pomocy na parterze bądź w budynku wyposażonym w windę. W każdym miejscu świadczenia pomocy osoba pokrzywdzona przestępstwem oraz świadek przestępstwa mają prawo do skorzystania z pomocy tłumacza języka migowego lub tłumacza/przewodnika odpowiednio w celu udzielenia pomocy prawnej lub psychologicznej. Jednocześnie w sytuacjach nadzwyczajnych, w których beneficjent nie ma możliwości przyjechania osobiście do miejsca świadczenia </w:t>
      </w:r>
      <w:r w:rsidRPr="00135D02">
        <w:rPr>
          <w:rFonts w:ascii="Lato" w:hAnsi="Lato"/>
          <w:color w:val="000000"/>
        </w:rPr>
        <w:lastRenderedPageBreak/>
        <w:t>pomocy (np. ze względu na wiek czy niepełnosprawność), możliwe są wizyty specjalistów (prawników i psychologów) w miejscu przebywania pokrzywdzonego. Z danych za 2022 rok wynika, że w miejscach świadczenia pomocy finansowanych ze środków Funduszu Sprawiedliwości udzielono wsparcia 2 098 osobom powyżej 65. roku życia (z czego 1902 stanowiły osoby pokrzywdzone, 101 osoby najbliższe oraz 95 świadkowie popełnionych przestępstw).</w:t>
      </w:r>
    </w:p>
    <w:p w14:paraId="1E95E93A"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52497051" w14:textId="3E10B08E" w:rsidR="003C730B"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ramach realizacji zadań ze środków Funduszu Sprawiedliwości funkcjonuje także ogólnokrajowa i całodobowa telefoniczna Linia Pomocy Pokrzywdzonym (numer telefonu: +48 222 309 900, adres e-mail:</w:t>
      </w:r>
      <w:r w:rsidR="00947895" w:rsidRPr="00947895">
        <w:rPr>
          <w:rStyle w:val="Hipercze"/>
          <w:rFonts w:ascii="Lato" w:hAnsi="Lato"/>
          <w:lang w:val="en-US"/>
        </w:rPr>
        <w:t xml:space="preserve"> </w:t>
      </w:r>
      <w:hyperlink r:id="rId19" w:history="1">
        <w:r w:rsidR="00947895" w:rsidRPr="009E4A08">
          <w:rPr>
            <w:rStyle w:val="Hipercze"/>
            <w:rFonts w:ascii="Lato" w:hAnsi="Lato"/>
          </w:rPr>
          <w:t>info@numersos.pl</w:t>
        </w:r>
      </w:hyperlink>
      <w:r w:rsidRPr="00135D02">
        <w:rPr>
          <w:rFonts w:ascii="Lato" w:hAnsi="Lato"/>
          <w:color w:val="000000"/>
          <w:lang w:val="en-US"/>
        </w:rPr>
        <w:t xml:space="preserve">). </w:t>
      </w:r>
      <w:r w:rsidRPr="00135D02">
        <w:rPr>
          <w:rFonts w:ascii="Lato" w:hAnsi="Lato"/>
          <w:color w:val="000000"/>
        </w:rPr>
        <w:t xml:space="preserve">Dzięki infolinii w szybki i anonimowy sposób można uzyskać poradę psychologiczną i prawną oraz umówić się na spotkanie ze specjalistami w dowolnym miejscu na terenie Polski. Porady prawne i psychologiczne są udzielane drogą mailową, w przypadku gdy udzielanie porad drogą telefoniczną byłoby utrudnione bądź niemożliwe (dla osób przebywających poza granicami kraju w tym w szczególności dla osób starszych, jak również osób z niepełnosprawnością, która może wpływać na utrudnioną komunikację telefoniczną). Prowadzenie poradnictwa odbywa się także w języku migowym z wykorzystaniem komunikatora internetowego umożliwiającego </w:t>
      </w:r>
      <w:proofErr w:type="spellStart"/>
      <w:r w:rsidRPr="00135D02">
        <w:rPr>
          <w:rFonts w:ascii="Lato" w:hAnsi="Lato"/>
          <w:color w:val="000000"/>
        </w:rPr>
        <w:t>wideorozmowę</w:t>
      </w:r>
      <w:proofErr w:type="spellEnd"/>
      <w:r w:rsidRPr="00135D02">
        <w:rPr>
          <w:rFonts w:ascii="Lato" w:hAnsi="Lato"/>
          <w:color w:val="000000"/>
        </w:rPr>
        <w:t>.</w:t>
      </w:r>
    </w:p>
    <w:p w14:paraId="2151FF4B" w14:textId="77777777" w:rsidR="00947895" w:rsidRPr="00135D02" w:rsidRDefault="00947895" w:rsidP="00135D02">
      <w:pPr>
        <w:pStyle w:val="Teksttreci0"/>
        <w:shd w:val="clear" w:color="auto" w:fill="auto"/>
        <w:spacing w:before="0" w:after="0" w:line="240" w:lineRule="auto"/>
        <w:ind w:left="20" w:right="20" w:firstLine="0"/>
        <w:jc w:val="both"/>
        <w:rPr>
          <w:rFonts w:ascii="Lato" w:hAnsi="Lato"/>
        </w:rPr>
      </w:pPr>
    </w:p>
    <w:p w14:paraId="6666A6D2" w14:textId="78211455"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Fundusz Sprawiedliwości swoje zadania realizuje również poprzez projekty z zakresu przeciwdziałania przyczynom przestępczości. W ramach projektów prowadzone są działania edukacyjno-informacyjne, skierowane m.in. do osób starszych, mające na celu zwiększenie świadomości wśród tych osób, w zakresie praw jakie im przysługują. Jeden z Wykonawców, w ramach realizowanego zadania powierzonego mu ze środków Funduszu Sprawiedliwości, organizuje i przeprowadza na terenie całej Polski cykl spotkań szkoleniowych adresowanych w szczególności do seniorów oraz społeczności wiejskich i małych miast. Główną grupą docelową są osoby, które ukończyły 60 rok życia. Przedmiotem każdego spotkania jest poszerzanie wiedzy osób starszych na temat popełnianych przestępstw na osobach starszych. Szkolenia realizowane w 2022 roku obejmowały zagadnienia związane z przestępstwami oszustwa (w tym tzw. oszustwa na wnuczka, na oficera Policji itd.), wyłudzenia, kradzieży z włamaniem i rozbojów. W ubiegłym roku zrealizowano łącznie 254 szkolenia, w których udział wzięło 3050 uczestników. Oferent planuje przeprowadzenie szkoleń w każdym powiecie na terenie całej Polski. Przez cały okres realizacji projektu tj. przez 5 lat na terenie każdego powiatu szkolenie odbędzie się trzykrotnie. Szkolenia są realizowane we współpracy z lokalnymi społecznościami m. in. parafiami, klubami seniora, lokalnymi samorządami, uniwersytetami trzeciego wieku, klubami wiejskimi. Każde spotkanie prowadzone jest przez specjalistę z danej dziedziny. W całym okresie realizacji projektu planowane jest przeprowadzenie 1140 szkoleń skierowanych do 11 400 uczestników.</w:t>
      </w:r>
    </w:p>
    <w:p w14:paraId="2815FEE9"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0B1AA680" w14:textId="6EE0F833"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kolejnych latach szkolenia mają objąć również tematykę praw konsumenckich oraz kwestę przeciwdziałania przestępczości przeciwko rodzinie i opiece.</w:t>
      </w:r>
    </w:p>
    <w:p w14:paraId="479EA846"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p>
    <w:p w14:paraId="187238AC" w14:textId="047E0228"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 xml:space="preserve">Ponadto od 2022 r. realizowany jest projekt pn. Stop Przemocy w ramach którego prowadzona jest kampania edukacyjno-informacyjna skierowana m.in. do osób starszych. Bezpośrednimi beneficjentami są seniorzy, ze względu na wykluczenie społeczne z którym się spotykają, przez co są bardziej narażeni na techniki manipulacyjne, świadczące o stosowaniu przemocy psychicznej wobec tej grupy społecznej. Celem prowadzonej kampanii jest podniesienie umiejętności i kompetencji z zakresu prawa i bezpieczeństwa ułatwiające obronę przed byciem oszukanym poprzez stosowanie przemocy psychicznej, cyberprzemocy, a w niektórych przypadkach przemocy fizycznej. Jednym z produktów kampanii informacyjnej jest film edukacyjny pt. Seniorzy potencjalnymi ofiarami przemocy dostępny na platformie </w:t>
      </w:r>
      <w:proofErr w:type="spellStart"/>
      <w:r w:rsidRPr="00135D02">
        <w:rPr>
          <w:rFonts w:ascii="Lato" w:hAnsi="Lato"/>
          <w:color w:val="000000"/>
        </w:rPr>
        <w:t>youtube</w:t>
      </w:r>
      <w:proofErr w:type="spellEnd"/>
      <w:r w:rsidRPr="00135D02">
        <w:rPr>
          <w:rFonts w:ascii="Lato" w:hAnsi="Lato"/>
          <w:color w:val="000000"/>
        </w:rPr>
        <w:t>. W okresie od października do grudnia 2022 roku zrealizowano szkolenia dla seniorów, na których podjęta została tematyka przemocy psychicznej, agresji słownej czy szykanowania ze względu na wiek. W szkoleniach wzięły udział 692 osoby podczas 25 szkoleń w 4 województwach (lubelskie, małopolskie, świętokrzyskie i podkarpackie). Dzięki realizacji projektu grupa docelowa odbiorców zwiększy poczucie bezpieczeństwa w państwie, w którym sprawnie i efektywnie wymiar sprawiedliwości działa na rzecz ich dobra i bezpieczeństwa.</w:t>
      </w:r>
    </w:p>
    <w:p w14:paraId="452E8912"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p>
    <w:p w14:paraId="70F4CC7D" w14:textId="4B8B2B44"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Dodatkowo w 2022 r. Ministerstwo Sprawiedliwości podjęło następujące działania na rzecz osób starszych:</w:t>
      </w:r>
    </w:p>
    <w:p w14:paraId="20540436" w14:textId="77777777" w:rsidR="003C730B" w:rsidRPr="00135D02" w:rsidRDefault="003C730B" w:rsidP="00135D02">
      <w:pPr>
        <w:pStyle w:val="Teksttreci0"/>
        <w:numPr>
          <w:ilvl w:val="0"/>
          <w:numId w:val="188"/>
        </w:numPr>
        <w:shd w:val="clear" w:color="auto" w:fill="auto"/>
        <w:tabs>
          <w:tab w:val="left" w:pos="279"/>
        </w:tabs>
        <w:spacing w:before="0" w:after="0" w:line="240" w:lineRule="auto"/>
        <w:ind w:right="20"/>
        <w:jc w:val="both"/>
        <w:rPr>
          <w:rFonts w:ascii="Lato" w:hAnsi="Lato"/>
        </w:rPr>
      </w:pPr>
      <w:r w:rsidRPr="00135D02">
        <w:rPr>
          <w:rFonts w:ascii="Lato" w:hAnsi="Lato"/>
          <w:color w:val="000000"/>
        </w:rPr>
        <w:t>sieć dyżurów specjalistycznych. Specjalizacje obejmują między innymi pomoc ofiarom przemocy wobec kobiet i dzieci, problemy osób z niepełnosprawnością czy prawo spadkowe. Od 2023 roku również zostały uruchomione dyżury dotyczące pomocy seniorom;</w:t>
      </w:r>
    </w:p>
    <w:p w14:paraId="4785D314" w14:textId="046E55EB" w:rsidR="003C730B" w:rsidRPr="00135D02" w:rsidRDefault="003C730B" w:rsidP="00135D02">
      <w:pPr>
        <w:pStyle w:val="Teksttreci0"/>
        <w:numPr>
          <w:ilvl w:val="0"/>
          <w:numId w:val="188"/>
        </w:numPr>
        <w:shd w:val="clear" w:color="auto" w:fill="auto"/>
        <w:tabs>
          <w:tab w:val="left" w:pos="279"/>
        </w:tabs>
        <w:spacing w:before="0" w:after="0" w:line="240" w:lineRule="auto"/>
        <w:ind w:right="20"/>
        <w:jc w:val="both"/>
        <w:rPr>
          <w:rFonts w:ascii="Lato" w:hAnsi="Lato"/>
        </w:rPr>
      </w:pPr>
      <w:r w:rsidRPr="00135D02">
        <w:rPr>
          <w:rFonts w:ascii="Lato" w:hAnsi="Lato"/>
          <w:color w:val="000000"/>
        </w:rPr>
        <w:t xml:space="preserve">w 2022 r. Ministerstwo Sprawiedliwości prowadziło intensywne prace nad nowelizacją ustawy z </w:t>
      </w:r>
      <w:r w:rsidRPr="00135D02">
        <w:rPr>
          <w:rFonts w:ascii="Lato" w:hAnsi="Lato"/>
          <w:color w:val="000000"/>
        </w:rPr>
        <w:lastRenderedPageBreak/>
        <w:t>dnia 5 sierpnia 2015 r. o nieodpłatnej pomocy prawnej, nieodpłatnym poradnictwie obywatelskim oraz edukacji prawnej (Dz. U. z 2021 r. poz. 945), które mają na celu ułatwienie dostępu do nieodpłatnej pomocy osobom starszym poprzez między innymi: utrzymanie porad zdalnych, wprowadzenie porad na piśmie dla osób starszych z niepełnosprawnością, rezygnacja z oświadczeń o braku możliwości poniesienia kosztów odpłatnej pomocy prawnej. Pozwoli to na łatwiejsze uzyskanie osobom starszym porad w formie przez nich oczekiwanej.</w:t>
      </w:r>
    </w:p>
    <w:p w14:paraId="17E2C4A8" w14:textId="77777777" w:rsidR="003C730B" w:rsidRPr="00135D02" w:rsidRDefault="003C730B" w:rsidP="00135D02">
      <w:pPr>
        <w:pStyle w:val="Teksttreci0"/>
        <w:shd w:val="clear" w:color="auto" w:fill="auto"/>
        <w:tabs>
          <w:tab w:val="left" w:pos="279"/>
        </w:tabs>
        <w:spacing w:before="0" w:after="0" w:line="240" w:lineRule="auto"/>
        <w:ind w:left="720" w:right="20" w:firstLine="0"/>
        <w:jc w:val="both"/>
        <w:rPr>
          <w:rFonts w:ascii="Lato" w:hAnsi="Lato"/>
        </w:rPr>
      </w:pPr>
    </w:p>
    <w:p w14:paraId="73FF868C"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W odniesieniu do działań podejmowanych przez Krajową Szkołę Sądownictwa i Prokuratury (jednostkę nadzorowaną przez Ministra Sprawiedliwości), w 2022 r. Krajowa Szkoła w zakresie szkolenia ustawicznego podejmowała tematykę dotyczącą osób starszych w obszarze przeciwdziałania przemocy w rodzinie poprzez zorganizowanie szkolenia pt. „Przeciwdziałanie przemocy w rodzinie", sygnatura K7/22 - jednym z zagadnień szczegółowych szkolenia była przemoc w rodzinie w ujęciu psychologicznym; podstawowe zasady postępowania z osobami doznającymi przemocy w rodzinie z uwzględnieniem zasad postępowania z osobami o szczególnych potrzebach (dzieci, osoby starsze, osoby z niepełnosprawnościami); w dwóch edycjach przeszkolono łącznie 164 osoby, w tym 2 sędziów, 20 asystentów sędziego, 2 asesorów prokuratury, 1 referendarza sądowego, 33 prokuratorów, 7 asesorów prokuratury, 74 asystentów prokuratora i 25 kuratorów zawodowych.</w:t>
      </w:r>
    </w:p>
    <w:p w14:paraId="029E27EA"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p>
    <w:p w14:paraId="2C23C591" w14:textId="719F2D6A"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Uzupełniająco należy wskazać, że w programie aplikacji sędziowskiej oraz w programie aplikacji uzupełniającej sędziowskiej nie wyszczególniono bezpośrednio zagadnień związanych z prowadzeniem działań edukacyjnych na temat przemocy wobec osób starszych (Obszar V str. 21 Załącznika do dokumentu Rady Ministrów pt. Polityka społeczna wobec osób starszych 2030. Bezpieczeństwo - Uczestnictwo - Solidarność). Niemniej jednak w ramach szkolenia wstępnego na aplikacji sędziowskiej oraz aplikacji uzupełniającej sędziowskiej, realizowanego przez Ośrodek Aplikacji Sędziowskiej Krajowej Szkoły Sądownictwa i Prokuratury, problematyka przemocy wobec osób starszych była pośrednio przedmiotem następujących zajęć:</w:t>
      </w:r>
    </w:p>
    <w:p w14:paraId="3635AC60" w14:textId="77777777" w:rsidR="003C730B" w:rsidRPr="00135D02" w:rsidRDefault="003C730B" w:rsidP="00135D02">
      <w:pPr>
        <w:pStyle w:val="Teksttreci0"/>
        <w:numPr>
          <w:ilvl w:val="0"/>
          <w:numId w:val="181"/>
        </w:numPr>
        <w:shd w:val="clear" w:color="auto" w:fill="auto"/>
        <w:tabs>
          <w:tab w:val="left" w:pos="726"/>
        </w:tabs>
        <w:spacing w:before="0" w:after="0" w:line="240" w:lineRule="auto"/>
        <w:ind w:left="360" w:right="20"/>
        <w:jc w:val="both"/>
        <w:rPr>
          <w:rFonts w:ascii="Lato" w:hAnsi="Lato"/>
        </w:rPr>
      </w:pPr>
      <w:r w:rsidRPr="00135D02">
        <w:rPr>
          <w:rFonts w:ascii="Lato" w:hAnsi="Lato"/>
          <w:color w:val="000000"/>
        </w:rPr>
        <w:t>podczas 12. zjazdu aplikantów XII rocznika aplikacji sędziowskiej: Konwencja o Ochronie Praw Człowieka i Podstawowych Wolności - Prawa Człowieka w Postępowaniu Karnym i ich ochrona, w tym antydyskryminacyjne standardy prawne. Orzecznictwo Europejskiego Trybunału Praw Człowieka; zajęcia typu A - 4 godziny; liczba przeszkolonych aplikantów: 200; zajęcia odbywały się w terminie: od 7 do 11 marca 2022 r.;</w:t>
      </w:r>
    </w:p>
    <w:p w14:paraId="22ADDBF5" w14:textId="1EC993BE" w:rsidR="003C730B" w:rsidRPr="00135D02" w:rsidRDefault="003C730B" w:rsidP="00135D02">
      <w:pPr>
        <w:pStyle w:val="Teksttreci0"/>
        <w:numPr>
          <w:ilvl w:val="0"/>
          <w:numId w:val="181"/>
        </w:numPr>
        <w:shd w:val="clear" w:color="auto" w:fill="auto"/>
        <w:tabs>
          <w:tab w:val="left" w:pos="726"/>
        </w:tabs>
        <w:spacing w:before="0" w:after="0" w:line="240" w:lineRule="auto"/>
        <w:ind w:left="360" w:right="20"/>
        <w:jc w:val="both"/>
        <w:rPr>
          <w:rFonts w:ascii="Lato" w:hAnsi="Lato"/>
        </w:rPr>
      </w:pPr>
      <w:r w:rsidRPr="00135D02">
        <w:rPr>
          <w:rFonts w:ascii="Lato" w:hAnsi="Lato"/>
          <w:color w:val="000000"/>
        </w:rPr>
        <w:t>podczas 27. zjazdu aplikantów XI rocznika aplikacji sędziowskiej:</w:t>
      </w:r>
    </w:p>
    <w:p w14:paraId="726F5D49" w14:textId="77777777" w:rsidR="003C730B" w:rsidRPr="00135D02" w:rsidRDefault="003C730B" w:rsidP="00135D02">
      <w:pPr>
        <w:pStyle w:val="Teksttreci0"/>
        <w:numPr>
          <w:ilvl w:val="0"/>
          <w:numId w:val="182"/>
        </w:numPr>
        <w:shd w:val="clear" w:color="auto" w:fill="auto"/>
        <w:tabs>
          <w:tab w:val="left" w:pos="735"/>
        </w:tabs>
        <w:spacing w:before="0" w:after="0" w:line="240" w:lineRule="auto"/>
        <w:ind w:left="723" w:right="20"/>
        <w:jc w:val="both"/>
        <w:rPr>
          <w:rFonts w:ascii="Lato" w:hAnsi="Lato"/>
        </w:rPr>
      </w:pPr>
      <w:r w:rsidRPr="00135D02">
        <w:rPr>
          <w:rFonts w:ascii="Lato" w:hAnsi="Lato"/>
          <w:color w:val="000000"/>
        </w:rPr>
        <w:t xml:space="preserve">podstawowe zagadnienia prawa materialnego występujące w sprawach z zakresu prawa pracy, w tym sprawy o odszkodowanie związane z dyskryminacją i </w:t>
      </w:r>
      <w:proofErr w:type="spellStart"/>
      <w:r w:rsidRPr="00135D02">
        <w:rPr>
          <w:rFonts w:ascii="Lato" w:hAnsi="Lato"/>
          <w:color w:val="000000"/>
        </w:rPr>
        <w:t>mobbingiem</w:t>
      </w:r>
      <w:proofErr w:type="spellEnd"/>
      <w:r w:rsidRPr="00135D02">
        <w:rPr>
          <w:rFonts w:ascii="Lato" w:hAnsi="Lato"/>
          <w:color w:val="000000"/>
        </w:rPr>
        <w:t xml:space="preserve"> - zajęcia typu G (kazusy) - 8 godzin;</w:t>
      </w:r>
    </w:p>
    <w:p w14:paraId="4E321C02" w14:textId="2DA6C8BA" w:rsidR="003C730B" w:rsidRPr="00135D02" w:rsidRDefault="003C730B" w:rsidP="00135D02">
      <w:pPr>
        <w:pStyle w:val="Teksttreci0"/>
        <w:numPr>
          <w:ilvl w:val="0"/>
          <w:numId w:val="182"/>
        </w:numPr>
        <w:shd w:val="clear" w:color="auto" w:fill="auto"/>
        <w:tabs>
          <w:tab w:val="left" w:pos="735"/>
        </w:tabs>
        <w:spacing w:before="0" w:after="0" w:line="240" w:lineRule="auto"/>
        <w:ind w:left="723" w:right="20"/>
        <w:jc w:val="both"/>
        <w:rPr>
          <w:rFonts w:ascii="Lato" w:hAnsi="Lato"/>
        </w:rPr>
      </w:pPr>
      <w:r w:rsidRPr="00135D02">
        <w:rPr>
          <w:rFonts w:ascii="Lato" w:hAnsi="Lato"/>
          <w:color w:val="000000"/>
        </w:rPr>
        <w:t>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w:t>
      </w:r>
      <w:proofErr w:type="spellStart"/>
      <w:r w:rsidRPr="00135D02">
        <w:rPr>
          <w:rFonts w:ascii="Lato" w:hAnsi="Lato"/>
          <w:color w:val="000000"/>
        </w:rPr>
        <w:t>case</w:t>
      </w:r>
      <w:proofErr w:type="spellEnd"/>
      <w:r w:rsidRPr="00135D02">
        <w:rPr>
          <w:rFonts w:ascii="Lato" w:hAnsi="Lato"/>
          <w:color w:val="000000"/>
        </w:rPr>
        <w:t xml:space="preserve"> </w:t>
      </w:r>
      <w:proofErr w:type="spellStart"/>
      <w:r w:rsidRPr="00135D02">
        <w:rPr>
          <w:rFonts w:ascii="Lato" w:hAnsi="Lato"/>
          <w:color w:val="000000"/>
        </w:rPr>
        <w:t>method</w:t>
      </w:r>
      <w:proofErr w:type="spellEnd"/>
      <w:r w:rsidRPr="00135D02">
        <w:rPr>
          <w:rFonts w:ascii="Lato" w:hAnsi="Lato"/>
          <w:color w:val="000000"/>
        </w:rPr>
        <w:t>) - 4 godziny; liczba przeszkolonych aplikantów: 108; zajęcia odbywały się w terminie od 18 do 22 lipca 2022 r.;</w:t>
      </w:r>
    </w:p>
    <w:p w14:paraId="73695004" w14:textId="18CC392B" w:rsidR="003C730B" w:rsidRPr="00135D02" w:rsidRDefault="003C730B" w:rsidP="00135D02">
      <w:pPr>
        <w:pStyle w:val="Teksttreci0"/>
        <w:numPr>
          <w:ilvl w:val="0"/>
          <w:numId w:val="181"/>
        </w:numPr>
        <w:shd w:val="clear" w:color="auto" w:fill="auto"/>
        <w:tabs>
          <w:tab w:val="left" w:pos="730"/>
        </w:tabs>
        <w:spacing w:before="0" w:after="0" w:line="240" w:lineRule="auto"/>
        <w:ind w:left="360"/>
        <w:jc w:val="both"/>
        <w:rPr>
          <w:rFonts w:ascii="Lato" w:hAnsi="Lato"/>
        </w:rPr>
      </w:pPr>
      <w:r w:rsidRPr="00135D02">
        <w:rPr>
          <w:rFonts w:ascii="Lato" w:hAnsi="Lato"/>
          <w:color w:val="000000"/>
        </w:rPr>
        <w:t>podczas 28. zjazdu aplikantów XI rocznika aplikacji sędziowskiej:</w:t>
      </w:r>
    </w:p>
    <w:p w14:paraId="02C2D5D1" w14:textId="22DDAE2D" w:rsidR="003C730B" w:rsidRPr="00135D02" w:rsidRDefault="003C730B" w:rsidP="00135D02">
      <w:pPr>
        <w:pStyle w:val="Teksttreci0"/>
        <w:numPr>
          <w:ilvl w:val="0"/>
          <w:numId w:val="189"/>
        </w:numPr>
        <w:shd w:val="clear" w:color="auto" w:fill="auto"/>
        <w:tabs>
          <w:tab w:val="left" w:pos="730"/>
        </w:tabs>
        <w:spacing w:before="0" w:after="0" w:line="240" w:lineRule="auto"/>
        <w:ind w:left="723" w:right="20"/>
        <w:jc w:val="both"/>
        <w:rPr>
          <w:rFonts w:ascii="Lato" w:hAnsi="Lato"/>
        </w:rPr>
      </w:pPr>
      <w:r w:rsidRPr="00135D02">
        <w:rPr>
          <w:rFonts w:ascii="Lato" w:hAnsi="Lato"/>
          <w:color w:val="000000"/>
        </w:rPr>
        <w:t>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w:t>
      </w:r>
      <w:r w:rsidR="009F58D4" w:rsidRPr="00135D02">
        <w:rPr>
          <w:rFonts w:ascii="Lato" w:hAnsi="Lato"/>
        </w:rPr>
        <w:t xml:space="preserve"> </w:t>
      </w:r>
      <w:r w:rsidRPr="00135D02">
        <w:rPr>
          <w:rFonts w:ascii="Lato" w:hAnsi="Lato"/>
          <w:color w:val="000000"/>
        </w:rPr>
        <w:t>o</w:t>
      </w:r>
      <w:r w:rsidR="009F58D4" w:rsidRPr="00135D02">
        <w:rPr>
          <w:rFonts w:ascii="Lato" w:hAnsi="Lato"/>
          <w:color w:val="000000"/>
        </w:rPr>
        <w:t xml:space="preserve"> </w:t>
      </w:r>
      <w:r w:rsidRPr="00135D02">
        <w:rPr>
          <w:rFonts w:ascii="Lato" w:hAnsi="Lato"/>
          <w:color w:val="000000"/>
        </w:rPr>
        <w:t>świadczenia z tytułu wypadków przy pracy przysługujące od organu rentowego (pojęcie wypadku przy pracy - analiza elementów definicji) - zajęcia typu G (kazusy) - 8 godzin lekcyjnych;</w:t>
      </w:r>
    </w:p>
    <w:p w14:paraId="74021AF6" w14:textId="77777777" w:rsidR="009F58D4" w:rsidRPr="00135D02" w:rsidRDefault="009F58D4" w:rsidP="00135D02">
      <w:pPr>
        <w:pStyle w:val="Teksttreci0"/>
        <w:numPr>
          <w:ilvl w:val="0"/>
          <w:numId w:val="189"/>
        </w:numPr>
        <w:shd w:val="clear" w:color="auto" w:fill="auto"/>
        <w:tabs>
          <w:tab w:val="left" w:pos="730"/>
        </w:tabs>
        <w:spacing w:before="0" w:after="0" w:line="240" w:lineRule="auto"/>
        <w:ind w:left="723" w:right="20"/>
        <w:jc w:val="both"/>
        <w:rPr>
          <w:rFonts w:ascii="Lato" w:hAnsi="Lato"/>
        </w:rPr>
      </w:pPr>
      <w:r w:rsidRPr="00135D02">
        <w:rPr>
          <w:rFonts w:ascii="Lato" w:hAnsi="Lato"/>
          <w:color w:val="000000"/>
        </w:rPr>
        <w:t xml:space="preserve"> </w:t>
      </w:r>
      <w:r w:rsidR="003C730B" w:rsidRPr="00135D02">
        <w:rPr>
          <w:rFonts w:ascii="Lato" w:hAnsi="Lato"/>
          <w:color w:val="000000"/>
        </w:rPr>
        <w:t>omówienie orzeczeń Trybunału Sprawiedliwości Unii Europejskiej dotyczących koordynacji systemów ubezpieczeń społecznych w ramach Unii Europejskiej, omówienie orzeczeń TK i SN dotyczących prawa ubezpieczeń społecznych - zajęcia typu A - 4 godziny;</w:t>
      </w:r>
    </w:p>
    <w:p w14:paraId="552B9829" w14:textId="77777777" w:rsidR="009F58D4" w:rsidRPr="00135D02" w:rsidRDefault="009F58D4" w:rsidP="00135D02">
      <w:pPr>
        <w:pStyle w:val="Teksttreci0"/>
        <w:numPr>
          <w:ilvl w:val="0"/>
          <w:numId w:val="189"/>
        </w:numPr>
        <w:shd w:val="clear" w:color="auto" w:fill="auto"/>
        <w:tabs>
          <w:tab w:val="left" w:pos="735"/>
        </w:tabs>
        <w:spacing w:before="0" w:after="0" w:line="240" w:lineRule="auto"/>
        <w:ind w:left="723" w:right="20"/>
        <w:jc w:val="both"/>
        <w:rPr>
          <w:rFonts w:ascii="Lato" w:hAnsi="Lato"/>
        </w:rPr>
      </w:pPr>
      <w:r w:rsidRPr="00135D02">
        <w:rPr>
          <w:rFonts w:ascii="Lato" w:hAnsi="Lato"/>
        </w:rPr>
        <w:t xml:space="preserve"> </w:t>
      </w:r>
      <w:r w:rsidR="003C730B" w:rsidRPr="00135D02">
        <w:rPr>
          <w:rFonts w:ascii="Lato" w:hAnsi="Lato"/>
          <w:color w:val="000000"/>
        </w:rPr>
        <w:t>istotne odrębności postępowania w sprawach z zakresu ubezpieczeń społecznych (specyfika postępowania toczącego się w wyniku odwołania</w:t>
      </w:r>
      <w:r w:rsidRPr="00135D02">
        <w:rPr>
          <w:rFonts w:ascii="Lato" w:hAnsi="Lato"/>
        </w:rPr>
        <w:t xml:space="preserve"> </w:t>
      </w:r>
      <w:r w:rsidR="003C730B" w:rsidRPr="00135D02">
        <w:rPr>
          <w:rFonts w:ascii="Lato" w:hAnsi="Lato"/>
          <w:color w:val="000000"/>
        </w:rPr>
        <w:t xml:space="preserve">od decyzji organu rentowego, zakres rozpoznania sprawy, zakres związania treścią decyzji zaskarżonej i ewentualnych wcześniejszych </w:t>
      </w:r>
      <w:r w:rsidR="003C730B" w:rsidRPr="00135D02">
        <w:rPr>
          <w:rFonts w:ascii="Lato" w:hAnsi="Lato"/>
          <w:color w:val="000000"/>
        </w:rPr>
        <w:lastRenderedPageBreak/>
        <w:t>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 zajęcia typu B (praca na aktach) - 16 godzin;</w:t>
      </w:r>
    </w:p>
    <w:p w14:paraId="797A9328" w14:textId="04793D8E" w:rsidR="003C730B" w:rsidRPr="00135D02" w:rsidRDefault="009F58D4" w:rsidP="00135D02">
      <w:pPr>
        <w:pStyle w:val="Teksttreci0"/>
        <w:numPr>
          <w:ilvl w:val="0"/>
          <w:numId w:val="189"/>
        </w:numPr>
        <w:shd w:val="clear" w:color="auto" w:fill="auto"/>
        <w:tabs>
          <w:tab w:val="left" w:pos="735"/>
        </w:tabs>
        <w:spacing w:before="0" w:after="0" w:line="240" w:lineRule="auto"/>
        <w:ind w:left="723" w:right="20"/>
        <w:jc w:val="both"/>
        <w:rPr>
          <w:rFonts w:ascii="Lato" w:hAnsi="Lato"/>
        </w:rPr>
      </w:pPr>
      <w:r w:rsidRPr="00135D02">
        <w:rPr>
          <w:rFonts w:ascii="Lato" w:hAnsi="Lato"/>
        </w:rPr>
        <w:t xml:space="preserve"> </w:t>
      </w:r>
      <w:r w:rsidR="003C730B" w:rsidRPr="00135D02">
        <w:rPr>
          <w:rFonts w:ascii="Lato" w:hAnsi="Lato"/>
          <w:color w:val="000000"/>
        </w:rPr>
        <w:t>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 zajęcia typu F (repetytorium) - 4 godziny lekcyjne; liczba przeszkolonych aplikantów: 108; zajęcia odbywały się w terminie od 5 do 9 września 2022 r.;</w:t>
      </w:r>
    </w:p>
    <w:p w14:paraId="2495FDB2" w14:textId="77777777" w:rsidR="009F58D4" w:rsidRPr="00135D02" w:rsidRDefault="003C730B" w:rsidP="00135D02">
      <w:pPr>
        <w:pStyle w:val="Teksttreci0"/>
        <w:numPr>
          <w:ilvl w:val="0"/>
          <w:numId w:val="181"/>
        </w:numPr>
        <w:shd w:val="clear" w:color="auto" w:fill="auto"/>
        <w:tabs>
          <w:tab w:val="left" w:pos="198"/>
          <w:tab w:val="left" w:pos="730"/>
        </w:tabs>
        <w:spacing w:before="0" w:after="0" w:line="240" w:lineRule="auto"/>
        <w:ind w:left="360" w:right="20"/>
        <w:jc w:val="both"/>
        <w:rPr>
          <w:rFonts w:ascii="Lato" w:hAnsi="Lato"/>
        </w:rPr>
      </w:pPr>
      <w:r w:rsidRPr="00135D02">
        <w:rPr>
          <w:rFonts w:ascii="Lato" w:hAnsi="Lato"/>
          <w:color w:val="000000"/>
        </w:rPr>
        <w:t>podczas 6. zjazdu aplikantów XIII rocznika aplikacji sędziowskiej: postępowanie przed sądem I instancji - prawo karne materialne - przestępstwa przeciwko życiu i zdrowiu, czci i nietykalności cielesnej, przeciwko rodzinie i opiece; zajęcia typu G (kazusy)</w:t>
      </w:r>
      <w:r w:rsidR="009F58D4" w:rsidRPr="00135D02">
        <w:rPr>
          <w:rFonts w:ascii="Lato" w:hAnsi="Lato"/>
        </w:rPr>
        <w:t xml:space="preserve"> - </w:t>
      </w:r>
      <w:r w:rsidRPr="00135D02">
        <w:rPr>
          <w:rFonts w:ascii="Lato" w:hAnsi="Lato"/>
          <w:color w:val="000000"/>
        </w:rPr>
        <w:t>10 godzin; liczba przeszkolonych aplikantów: 181; zajęcia odbywały się w terminie: od 27 czerwca do 1 lipca 2022 r.;</w:t>
      </w:r>
    </w:p>
    <w:p w14:paraId="7830EBB3" w14:textId="77777777" w:rsidR="009F58D4" w:rsidRPr="00135D02" w:rsidRDefault="003C730B" w:rsidP="00135D02">
      <w:pPr>
        <w:pStyle w:val="Teksttreci0"/>
        <w:numPr>
          <w:ilvl w:val="0"/>
          <w:numId w:val="181"/>
        </w:numPr>
        <w:shd w:val="clear" w:color="auto" w:fill="auto"/>
        <w:tabs>
          <w:tab w:val="left" w:pos="198"/>
          <w:tab w:val="left" w:pos="730"/>
        </w:tabs>
        <w:spacing w:before="0" w:after="0" w:line="240" w:lineRule="auto"/>
        <w:ind w:left="360" w:right="20"/>
        <w:jc w:val="both"/>
        <w:rPr>
          <w:rFonts w:ascii="Lato" w:hAnsi="Lato"/>
        </w:rPr>
      </w:pPr>
      <w:r w:rsidRPr="00135D02">
        <w:rPr>
          <w:rFonts w:ascii="Lato" w:hAnsi="Lato"/>
          <w:color w:val="000000"/>
        </w:rPr>
        <w:t>podczas 12. zjazdu aplikantów II rocznika aplikacji uzupełniającej sędziowskiej: Konwencja o Ochronie Praw Człowieka i Podstawowych Wolności — Prawa Człowieka w Postępowani</w:t>
      </w:r>
      <w:r w:rsidR="009F58D4" w:rsidRPr="00135D02">
        <w:rPr>
          <w:rFonts w:ascii="Lato" w:hAnsi="Lato"/>
          <w:color w:val="000000"/>
        </w:rPr>
        <w:t xml:space="preserve">u </w:t>
      </w:r>
      <w:r w:rsidRPr="00135D02">
        <w:rPr>
          <w:rFonts w:ascii="Lato" w:hAnsi="Lato"/>
          <w:color w:val="000000"/>
        </w:rPr>
        <w:t>Karnym i ich ochrona, w tym antydyskryminacyjne standardy prawne.</w:t>
      </w:r>
      <w:r w:rsidR="009F58D4" w:rsidRPr="00135D02">
        <w:rPr>
          <w:rFonts w:ascii="Lato" w:hAnsi="Lato"/>
        </w:rPr>
        <w:t xml:space="preserve"> </w:t>
      </w:r>
      <w:r w:rsidRPr="00135D02">
        <w:rPr>
          <w:rFonts w:ascii="Lato" w:hAnsi="Lato"/>
          <w:color w:val="000000"/>
        </w:rPr>
        <w:t>Orzecznictwo Europejskiego Trybunału Praw Człowieka; zajęcia typu A - 1 godzina; liczba przeszkolonych aplikantów: 73; zajęcia odbywały się w terminie od 12 do 13 lutego 2022 r.;</w:t>
      </w:r>
    </w:p>
    <w:p w14:paraId="761E7D64" w14:textId="5EEAFE76" w:rsidR="003C730B" w:rsidRPr="00135D02" w:rsidRDefault="003C730B" w:rsidP="00135D02">
      <w:pPr>
        <w:pStyle w:val="Teksttreci0"/>
        <w:numPr>
          <w:ilvl w:val="0"/>
          <w:numId w:val="181"/>
        </w:numPr>
        <w:shd w:val="clear" w:color="auto" w:fill="auto"/>
        <w:tabs>
          <w:tab w:val="left" w:pos="198"/>
          <w:tab w:val="left" w:pos="730"/>
        </w:tabs>
        <w:spacing w:before="0" w:after="0" w:line="240" w:lineRule="auto"/>
        <w:ind w:left="360" w:right="20"/>
        <w:jc w:val="both"/>
        <w:rPr>
          <w:rFonts w:ascii="Lato" w:hAnsi="Lato"/>
        </w:rPr>
      </w:pPr>
      <w:r w:rsidRPr="00135D02">
        <w:rPr>
          <w:rFonts w:ascii="Lato" w:hAnsi="Lato"/>
          <w:color w:val="000000"/>
        </w:rPr>
        <w:t>podczas 27. zjazdu aplikantów II rocznika aplikacji uzupełniającej sędziowskiej:</w:t>
      </w:r>
    </w:p>
    <w:p w14:paraId="4FE65B3F" w14:textId="77777777" w:rsidR="009F58D4" w:rsidRPr="00135D02" w:rsidRDefault="003C730B" w:rsidP="00135D02">
      <w:pPr>
        <w:pStyle w:val="Teksttreci0"/>
        <w:numPr>
          <w:ilvl w:val="0"/>
          <w:numId w:val="183"/>
        </w:numPr>
        <w:shd w:val="clear" w:color="auto" w:fill="auto"/>
        <w:tabs>
          <w:tab w:val="left" w:pos="735"/>
        </w:tabs>
        <w:spacing w:before="0" w:after="0" w:line="240" w:lineRule="auto"/>
        <w:ind w:left="723" w:right="20"/>
        <w:jc w:val="both"/>
        <w:rPr>
          <w:rFonts w:ascii="Lato" w:hAnsi="Lato"/>
        </w:rPr>
      </w:pPr>
      <w:r w:rsidRPr="00135D02">
        <w:rPr>
          <w:rFonts w:ascii="Lato" w:hAnsi="Lato"/>
          <w:color w:val="000000"/>
        </w:rPr>
        <w:t xml:space="preserve">podstawowe zagadnienia prawa materialnego występujące w sprawach z zakresu prawa pracy, w tym sprawy o odszkodowanie związane z dyskryminacją i </w:t>
      </w:r>
      <w:proofErr w:type="spellStart"/>
      <w:r w:rsidRPr="00135D02">
        <w:rPr>
          <w:rFonts w:ascii="Lato" w:hAnsi="Lato"/>
          <w:color w:val="000000"/>
        </w:rPr>
        <w:t>mobbingiem</w:t>
      </w:r>
      <w:proofErr w:type="spellEnd"/>
      <w:r w:rsidRPr="00135D02">
        <w:rPr>
          <w:rFonts w:ascii="Lato" w:hAnsi="Lato"/>
          <w:color w:val="000000"/>
        </w:rPr>
        <w:t>; zajęcia typu G (kazusy) - 3 godziny;</w:t>
      </w:r>
    </w:p>
    <w:p w14:paraId="1D015A32" w14:textId="5347723A" w:rsidR="003C730B" w:rsidRPr="00135D02" w:rsidRDefault="009F58D4" w:rsidP="00135D02">
      <w:pPr>
        <w:pStyle w:val="Teksttreci0"/>
        <w:numPr>
          <w:ilvl w:val="0"/>
          <w:numId w:val="183"/>
        </w:numPr>
        <w:shd w:val="clear" w:color="auto" w:fill="auto"/>
        <w:tabs>
          <w:tab w:val="left" w:pos="735"/>
        </w:tabs>
        <w:spacing w:before="0" w:after="0" w:line="240" w:lineRule="auto"/>
        <w:ind w:left="723" w:right="20"/>
        <w:jc w:val="both"/>
        <w:rPr>
          <w:rFonts w:ascii="Lato" w:hAnsi="Lato"/>
        </w:rPr>
      </w:pPr>
      <w:r w:rsidRPr="00135D02">
        <w:rPr>
          <w:rFonts w:ascii="Lato" w:hAnsi="Lato"/>
        </w:rPr>
        <w:t xml:space="preserve"> </w:t>
      </w:r>
      <w:r w:rsidR="003C730B" w:rsidRPr="00135D02">
        <w:rPr>
          <w:rFonts w:ascii="Lato" w:hAnsi="Lato"/>
          <w:color w:val="000000"/>
        </w:rPr>
        <w:t>omówienie orzeczeń TSUE dotyczących europejskiego prawa pracy, w szczególności: 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i SN dotyczących prawa pracy - zajęcia typu A (</w:t>
      </w:r>
      <w:proofErr w:type="spellStart"/>
      <w:r w:rsidR="003C730B" w:rsidRPr="00135D02">
        <w:rPr>
          <w:rFonts w:ascii="Lato" w:hAnsi="Lato"/>
          <w:color w:val="000000"/>
        </w:rPr>
        <w:t>case</w:t>
      </w:r>
      <w:proofErr w:type="spellEnd"/>
      <w:r w:rsidR="003C730B" w:rsidRPr="00135D02">
        <w:rPr>
          <w:rFonts w:ascii="Lato" w:hAnsi="Lato"/>
          <w:color w:val="000000"/>
        </w:rPr>
        <w:t xml:space="preserve"> </w:t>
      </w:r>
      <w:proofErr w:type="spellStart"/>
      <w:r w:rsidR="003C730B" w:rsidRPr="00135D02">
        <w:rPr>
          <w:rFonts w:ascii="Lato" w:hAnsi="Lato"/>
          <w:color w:val="000000"/>
        </w:rPr>
        <w:t>method</w:t>
      </w:r>
      <w:proofErr w:type="spellEnd"/>
      <w:r w:rsidR="003C730B" w:rsidRPr="00135D02">
        <w:rPr>
          <w:rFonts w:ascii="Lato" w:hAnsi="Lato"/>
          <w:color w:val="000000"/>
        </w:rPr>
        <w:t>) - 1 godzina; liczba przeszkolonych aplikantów: 72; zajęcia odbywały się w terminie od 15 do 16 października 2022 r.;</w:t>
      </w:r>
    </w:p>
    <w:p w14:paraId="57EDF15A" w14:textId="4E617F36" w:rsidR="003C730B" w:rsidRPr="00135D02" w:rsidRDefault="003C730B" w:rsidP="00135D02">
      <w:pPr>
        <w:pStyle w:val="Teksttreci0"/>
        <w:numPr>
          <w:ilvl w:val="0"/>
          <w:numId w:val="181"/>
        </w:numPr>
        <w:shd w:val="clear" w:color="auto" w:fill="auto"/>
        <w:tabs>
          <w:tab w:val="left" w:pos="730"/>
        </w:tabs>
        <w:spacing w:before="0" w:after="0" w:line="240" w:lineRule="auto"/>
        <w:ind w:left="360"/>
        <w:jc w:val="both"/>
        <w:rPr>
          <w:rFonts w:ascii="Lato" w:hAnsi="Lato"/>
        </w:rPr>
      </w:pPr>
      <w:r w:rsidRPr="00135D02">
        <w:rPr>
          <w:rFonts w:ascii="Lato" w:hAnsi="Lato"/>
          <w:color w:val="000000"/>
        </w:rPr>
        <w:t>podczas zjazdu 28. aplikantów II rocznika aplikacji uzupełniającej sędziowskiej:</w:t>
      </w:r>
    </w:p>
    <w:p w14:paraId="559BAC2A" w14:textId="77777777" w:rsidR="009F58D4" w:rsidRPr="00135D02" w:rsidRDefault="003C730B" w:rsidP="00135D02">
      <w:pPr>
        <w:pStyle w:val="Teksttreci0"/>
        <w:numPr>
          <w:ilvl w:val="0"/>
          <w:numId w:val="184"/>
        </w:numPr>
        <w:shd w:val="clear" w:color="auto" w:fill="auto"/>
        <w:tabs>
          <w:tab w:val="left" w:pos="726"/>
        </w:tabs>
        <w:spacing w:before="0" w:after="0" w:line="240" w:lineRule="auto"/>
        <w:ind w:left="723" w:right="20"/>
        <w:jc w:val="both"/>
        <w:rPr>
          <w:rFonts w:ascii="Lato" w:hAnsi="Lato"/>
        </w:rPr>
      </w:pPr>
      <w:r w:rsidRPr="00135D02">
        <w:rPr>
          <w:rFonts w:ascii="Lato" w:hAnsi="Lato"/>
          <w:color w:val="000000"/>
        </w:rPr>
        <w:t>podstawowe zagadnienia prawa materialnego w sprawach z zakresu ubezpieczeń społecznych: zasady podlegania ubezpieczeniom społecznym (w systemie powszechnym 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np. sprawy o zasiłki chorobowe i macierzyńskie, o świadczenia z tytułu wypadków przy pracy przysługujące od organu rentowego (pojęcie wypadku przy pracy - analiza elementów definicji) - zajęcia typu G (kazusy) - 3 godziny lekcyjne;</w:t>
      </w:r>
    </w:p>
    <w:p w14:paraId="265DCBBA" w14:textId="77777777" w:rsidR="009F58D4" w:rsidRPr="00135D02" w:rsidRDefault="009F58D4" w:rsidP="00135D02">
      <w:pPr>
        <w:pStyle w:val="Teksttreci0"/>
        <w:numPr>
          <w:ilvl w:val="0"/>
          <w:numId w:val="184"/>
        </w:numPr>
        <w:shd w:val="clear" w:color="auto" w:fill="auto"/>
        <w:tabs>
          <w:tab w:val="left" w:pos="730"/>
        </w:tabs>
        <w:spacing w:before="0" w:after="0" w:line="240" w:lineRule="auto"/>
        <w:ind w:left="723" w:right="20"/>
        <w:jc w:val="both"/>
        <w:rPr>
          <w:rFonts w:ascii="Lato" w:hAnsi="Lato"/>
        </w:rPr>
      </w:pPr>
      <w:r w:rsidRPr="00135D02">
        <w:rPr>
          <w:rFonts w:ascii="Lato" w:hAnsi="Lato"/>
        </w:rPr>
        <w:t xml:space="preserve"> </w:t>
      </w:r>
      <w:r w:rsidR="003C730B" w:rsidRPr="00135D02">
        <w:rPr>
          <w:rFonts w:ascii="Lato" w:hAnsi="Lato"/>
          <w:color w:val="000000"/>
        </w:rPr>
        <w:t>omówienie orzeczeń Trybunału Sprawiedliwości Unii Europejskiej dotyczących koordynacji systemów ubezpieczeń społecznych w ramach Unii Europejskiej, omówienie orzeczeń TK i SN dotyczących prawa ubezpieczeń społecznych; zajęcia typu A - 1 godzina;</w:t>
      </w:r>
    </w:p>
    <w:p w14:paraId="34B494A5" w14:textId="77777777" w:rsidR="009F58D4" w:rsidRPr="00135D02" w:rsidRDefault="003C730B" w:rsidP="00135D02">
      <w:pPr>
        <w:pStyle w:val="Teksttreci0"/>
        <w:numPr>
          <w:ilvl w:val="0"/>
          <w:numId w:val="184"/>
        </w:numPr>
        <w:shd w:val="clear" w:color="auto" w:fill="auto"/>
        <w:tabs>
          <w:tab w:val="left" w:pos="740"/>
        </w:tabs>
        <w:spacing w:before="0" w:after="0" w:line="240" w:lineRule="auto"/>
        <w:ind w:left="723" w:right="20"/>
        <w:jc w:val="both"/>
        <w:rPr>
          <w:rFonts w:ascii="Lato" w:hAnsi="Lato"/>
        </w:rPr>
      </w:pPr>
      <w:r w:rsidRPr="00135D02">
        <w:rPr>
          <w:rFonts w:ascii="Lato" w:hAnsi="Lato"/>
          <w:color w:val="000000"/>
        </w:rPr>
        <w:t>istotne odrębności postępowania 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 sprawach z zakresu ubezpieczeń społecznych - w tym zainteresowany; rodzaje orzeczeń, jakie może wydać sąd ubezpieczeń społecznych) - zajęcia typu B (praca na aktach) - 6 godzin;</w:t>
      </w:r>
    </w:p>
    <w:p w14:paraId="039C181E" w14:textId="0EB75D07" w:rsidR="003C730B" w:rsidRPr="00135D02" w:rsidRDefault="009F58D4" w:rsidP="00135D02">
      <w:pPr>
        <w:pStyle w:val="Teksttreci0"/>
        <w:numPr>
          <w:ilvl w:val="0"/>
          <w:numId w:val="184"/>
        </w:numPr>
        <w:shd w:val="clear" w:color="auto" w:fill="auto"/>
        <w:tabs>
          <w:tab w:val="left" w:pos="740"/>
        </w:tabs>
        <w:spacing w:before="0" w:after="0" w:line="240" w:lineRule="auto"/>
        <w:ind w:left="723" w:right="20"/>
        <w:jc w:val="both"/>
        <w:rPr>
          <w:rFonts w:ascii="Lato" w:hAnsi="Lato"/>
        </w:rPr>
      </w:pPr>
      <w:r w:rsidRPr="00135D02">
        <w:rPr>
          <w:rFonts w:ascii="Lato" w:hAnsi="Lato"/>
        </w:rPr>
        <w:t xml:space="preserve"> </w:t>
      </w:r>
      <w:r w:rsidR="003C730B" w:rsidRPr="00135D02">
        <w:rPr>
          <w:rFonts w:ascii="Lato" w:hAnsi="Lato"/>
          <w:color w:val="000000"/>
        </w:rPr>
        <w:t xml:space="preserve">prawo ubezpieczeń społecznych (ustawa o systemie ubezpieczeń społecznych, ustawa o emeryturach i rentach z Funduszu Ubezpieczeń Społecznych, ustawa o ubezpieczeniu społecznym rolników, ustawa o ubezpieczeniu społecznym z tytułu wypadków przy pracy i chorób zawodowych, ustawa o świadczeniach pieniężnych z ubezpieczenia społecznego w razie choroby i macierzyństwa) - zajęcia typu F (repetytorium) - 1 </w:t>
      </w:r>
      <w:proofErr w:type="spellStart"/>
      <w:r w:rsidR="003C730B" w:rsidRPr="00135D02">
        <w:rPr>
          <w:rFonts w:ascii="Lato" w:hAnsi="Lato"/>
          <w:color w:val="000000"/>
        </w:rPr>
        <w:t>godzina;liczba</w:t>
      </w:r>
      <w:proofErr w:type="spellEnd"/>
      <w:r w:rsidR="003C730B" w:rsidRPr="00135D02">
        <w:rPr>
          <w:rFonts w:ascii="Lato" w:hAnsi="Lato"/>
          <w:color w:val="000000"/>
        </w:rPr>
        <w:t xml:space="preserve"> przeszkolonych aplikantów: 71; zajęcia odbywały się w terminie od 21 do 22 października 2022 r.;</w:t>
      </w:r>
    </w:p>
    <w:p w14:paraId="1655F7B7" w14:textId="554F54CF" w:rsidR="003C730B" w:rsidRPr="00135D02" w:rsidRDefault="003C730B" w:rsidP="00135D02">
      <w:pPr>
        <w:pStyle w:val="Teksttreci0"/>
        <w:numPr>
          <w:ilvl w:val="0"/>
          <w:numId w:val="181"/>
        </w:numPr>
        <w:shd w:val="clear" w:color="auto" w:fill="auto"/>
        <w:tabs>
          <w:tab w:val="left" w:pos="730"/>
        </w:tabs>
        <w:spacing w:before="0" w:after="0" w:line="240" w:lineRule="auto"/>
        <w:ind w:left="360" w:right="20"/>
        <w:jc w:val="both"/>
        <w:rPr>
          <w:rFonts w:ascii="Lato" w:hAnsi="Lato"/>
        </w:rPr>
      </w:pPr>
      <w:r w:rsidRPr="00135D02">
        <w:rPr>
          <w:rFonts w:ascii="Lato" w:hAnsi="Lato"/>
          <w:color w:val="000000"/>
        </w:rPr>
        <w:t xml:space="preserve">podczas 5 zjazdu aplikantów III rocznika aplikacji uzupełniającej sędziowskiej: Postępowanie przed sądem I instancji - 4 godziny - Prawo karne materialne - przestępstwa przeciwko życiu i zdrowiu, czci </w:t>
      </w:r>
      <w:r w:rsidRPr="00135D02">
        <w:rPr>
          <w:rFonts w:ascii="Lato" w:hAnsi="Lato"/>
          <w:color w:val="000000"/>
        </w:rPr>
        <w:lastRenderedPageBreak/>
        <w:t>i nietykalności cielesnej, przeciwko rodzinie i opiece - zajęcia typu G (kazusy); liczba przeszkolonych aplikantów: 51; zajęcia odbywały się w terminie od 12 do 13 listopada 2022 r.</w:t>
      </w:r>
    </w:p>
    <w:p w14:paraId="35A48576" w14:textId="77777777" w:rsidR="009F58D4" w:rsidRPr="00135D02" w:rsidRDefault="009F58D4" w:rsidP="00135D02">
      <w:pPr>
        <w:pStyle w:val="Teksttreci0"/>
        <w:shd w:val="clear" w:color="auto" w:fill="auto"/>
        <w:spacing w:before="0" w:after="0" w:line="240" w:lineRule="auto"/>
        <w:ind w:left="20" w:right="20" w:firstLine="0"/>
        <w:jc w:val="both"/>
        <w:rPr>
          <w:rFonts w:ascii="Lato" w:hAnsi="Lato"/>
          <w:color w:val="000000"/>
        </w:rPr>
      </w:pPr>
    </w:p>
    <w:p w14:paraId="7B0CDF86" w14:textId="5F7564AF"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Tematyka dotycząca przestępstw, którymi pokrzywdzone są wyłącznie osoby starsze, nie jest również bezpośrednio tematem szkoleń aplikantów aplikacji prokuratorskiej i aplikacji uzupełniającej prokuratorskiej. Pośrednio ta tematyka była poruszana w zakresie omawiania problematyki poniżej wymienionych tematów w trakcie poszczególnych zjazdów bloku karnego w 2022 r.:</w:t>
      </w:r>
    </w:p>
    <w:p w14:paraId="37E812CA" w14:textId="0559BD35" w:rsidR="003C730B" w:rsidRPr="00135D02" w:rsidRDefault="003C730B" w:rsidP="00135D02">
      <w:pPr>
        <w:pStyle w:val="Teksttreci0"/>
        <w:numPr>
          <w:ilvl w:val="0"/>
          <w:numId w:val="190"/>
        </w:numPr>
        <w:shd w:val="clear" w:color="auto" w:fill="auto"/>
        <w:tabs>
          <w:tab w:val="left" w:pos="711"/>
        </w:tabs>
        <w:spacing w:before="0" w:after="0" w:line="240" w:lineRule="auto"/>
        <w:ind w:left="360"/>
        <w:jc w:val="both"/>
        <w:rPr>
          <w:rFonts w:ascii="Lato" w:hAnsi="Lato"/>
        </w:rPr>
      </w:pPr>
      <w:r w:rsidRPr="00135D02">
        <w:rPr>
          <w:rFonts w:ascii="Lato" w:hAnsi="Lato"/>
          <w:color w:val="000000"/>
        </w:rPr>
        <w:t>XII rocznik aplikacji prokuratorskiej - przeszkolono 82 osoby:</w:t>
      </w:r>
    </w:p>
    <w:p w14:paraId="13EFB143" w14:textId="77777777" w:rsidR="009F58D4" w:rsidRPr="00135D02" w:rsidRDefault="003C730B" w:rsidP="00135D02">
      <w:pPr>
        <w:pStyle w:val="Teksttreci0"/>
        <w:numPr>
          <w:ilvl w:val="0"/>
          <w:numId w:val="191"/>
        </w:numPr>
        <w:shd w:val="clear" w:color="auto" w:fill="auto"/>
        <w:tabs>
          <w:tab w:val="left" w:pos="730"/>
        </w:tabs>
        <w:spacing w:before="0" w:after="0" w:line="240" w:lineRule="auto"/>
        <w:ind w:left="723" w:right="20"/>
        <w:jc w:val="both"/>
        <w:rPr>
          <w:rFonts w:ascii="Lato" w:hAnsi="Lato"/>
        </w:rPr>
      </w:pPr>
      <w:r w:rsidRPr="00135D02">
        <w:rPr>
          <w:rFonts w:ascii="Lato" w:hAnsi="Lato"/>
          <w:color w:val="000000"/>
        </w:rPr>
        <w:t>w ramach zjazdu 11. (od 7 do 11 lutego 2022 r.): przestępstwa przeciwko rodzinie i opiece - wybrane zagadnienia ustawy z dnia 29 lipca 2005 r.</w:t>
      </w:r>
      <w:r w:rsidR="009F58D4" w:rsidRPr="00135D02">
        <w:rPr>
          <w:rFonts w:ascii="Lato" w:hAnsi="Lato"/>
        </w:rPr>
        <w:t xml:space="preserve"> </w:t>
      </w:r>
      <w:r w:rsidRPr="00135D02">
        <w:rPr>
          <w:rFonts w:ascii="Lato" w:hAnsi="Lato"/>
          <w:color w:val="000000"/>
        </w:rPr>
        <w:t>o</w:t>
      </w:r>
      <w:r w:rsidR="009F58D4" w:rsidRPr="00135D02">
        <w:rPr>
          <w:rFonts w:ascii="Lato" w:hAnsi="Lato"/>
          <w:color w:val="000000"/>
        </w:rPr>
        <w:t xml:space="preserve"> </w:t>
      </w:r>
      <w:r w:rsidRPr="00135D02">
        <w:rPr>
          <w:rFonts w:ascii="Lato" w:hAnsi="Lato"/>
          <w:color w:val="000000"/>
        </w:rPr>
        <w:t>przeciwdziałaniu przemocy w rodzinie - łącznie 3 godziny szkoleniowe;</w:t>
      </w:r>
    </w:p>
    <w:p w14:paraId="23ED2363" w14:textId="77777777" w:rsidR="009F58D4" w:rsidRPr="00135D02" w:rsidRDefault="003C730B" w:rsidP="00135D02">
      <w:pPr>
        <w:pStyle w:val="Teksttreci0"/>
        <w:numPr>
          <w:ilvl w:val="0"/>
          <w:numId w:val="191"/>
        </w:numPr>
        <w:shd w:val="clear" w:color="auto" w:fill="auto"/>
        <w:tabs>
          <w:tab w:val="left" w:pos="183"/>
          <w:tab w:val="left" w:pos="721"/>
        </w:tabs>
        <w:spacing w:before="0" w:after="0" w:line="240" w:lineRule="auto"/>
        <w:ind w:left="723" w:right="20"/>
        <w:jc w:val="both"/>
        <w:rPr>
          <w:rFonts w:ascii="Lato" w:hAnsi="Lato"/>
        </w:rPr>
      </w:pPr>
      <w:r w:rsidRPr="00135D02">
        <w:rPr>
          <w:rFonts w:ascii="Lato" w:hAnsi="Lato"/>
          <w:color w:val="000000"/>
        </w:rPr>
        <w:t>w ramach zjazdu 16. (od 11 do 15 lipca 2022 r.): przestępstwa przeciwko mieniu</w:t>
      </w:r>
      <w:r w:rsidR="009F58D4" w:rsidRPr="00135D02">
        <w:rPr>
          <w:rFonts w:ascii="Lato" w:hAnsi="Lato"/>
        </w:rPr>
        <w:t xml:space="preserve"> - </w:t>
      </w:r>
      <w:r w:rsidRPr="00135D02">
        <w:rPr>
          <w:rFonts w:ascii="Lato" w:hAnsi="Lato"/>
          <w:color w:val="000000"/>
        </w:rPr>
        <w:t>łącznie 3 godziny szkoleniowe;</w:t>
      </w:r>
    </w:p>
    <w:p w14:paraId="79D71AF6" w14:textId="45493117" w:rsidR="003C730B" w:rsidRPr="00135D02" w:rsidRDefault="003C730B" w:rsidP="00135D02">
      <w:pPr>
        <w:pStyle w:val="Teksttreci0"/>
        <w:numPr>
          <w:ilvl w:val="0"/>
          <w:numId w:val="191"/>
        </w:numPr>
        <w:shd w:val="clear" w:color="auto" w:fill="auto"/>
        <w:tabs>
          <w:tab w:val="left" w:pos="183"/>
          <w:tab w:val="left" w:pos="721"/>
        </w:tabs>
        <w:spacing w:before="0" w:after="0" w:line="240" w:lineRule="auto"/>
        <w:ind w:left="723" w:right="20"/>
        <w:jc w:val="both"/>
        <w:rPr>
          <w:rFonts w:ascii="Lato" w:hAnsi="Lato"/>
        </w:rPr>
      </w:pPr>
      <w:r w:rsidRPr="00135D02">
        <w:rPr>
          <w:rFonts w:ascii="Lato" w:hAnsi="Lato"/>
          <w:color w:val="000000"/>
        </w:rPr>
        <w:t>w ramach zjazdu 17. (od 29 sierpnia do 2 września 2022 r.): Przestępstwa przeciwko wolności, wolności sumienia i wyznania, wolności seksualnej - łącznie 6 godzin szkoleniowych;</w:t>
      </w:r>
    </w:p>
    <w:p w14:paraId="4C3235B8" w14:textId="4EBB68B3" w:rsidR="003C730B" w:rsidRPr="00135D02" w:rsidRDefault="003C730B" w:rsidP="00135D02">
      <w:pPr>
        <w:pStyle w:val="Teksttreci0"/>
        <w:numPr>
          <w:ilvl w:val="0"/>
          <w:numId w:val="190"/>
        </w:numPr>
        <w:shd w:val="clear" w:color="auto" w:fill="auto"/>
        <w:tabs>
          <w:tab w:val="left" w:pos="716"/>
        </w:tabs>
        <w:spacing w:before="0" w:after="0" w:line="240" w:lineRule="auto"/>
        <w:ind w:left="360"/>
        <w:jc w:val="both"/>
        <w:rPr>
          <w:rFonts w:ascii="Lato" w:hAnsi="Lato"/>
        </w:rPr>
      </w:pPr>
      <w:r w:rsidRPr="00135D02">
        <w:rPr>
          <w:rFonts w:ascii="Lato" w:hAnsi="Lato"/>
          <w:color w:val="000000"/>
        </w:rPr>
        <w:t>XIII rocznik aplikacji prokuratorskiej - przeszkolono 70 osób:</w:t>
      </w:r>
    </w:p>
    <w:p w14:paraId="55C54318" w14:textId="77777777" w:rsidR="009F58D4" w:rsidRPr="00135D02" w:rsidRDefault="003C730B" w:rsidP="00135D02">
      <w:pPr>
        <w:pStyle w:val="Teksttreci0"/>
        <w:numPr>
          <w:ilvl w:val="0"/>
          <w:numId w:val="185"/>
        </w:numPr>
        <w:shd w:val="clear" w:color="auto" w:fill="auto"/>
        <w:tabs>
          <w:tab w:val="left" w:pos="721"/>
        </w:tabs>
        <w:spacing w:before="0" w:after="0" w:line="240" w:lineRule="auto"/>
        <w:ind w:left="720" w:right="80"/>
        <w:jc w:val="both"/>
        <w:rPr>
          <w:rFonts w:ascii="Lato" w:hAnsi="Lato"/>
        </w:rPr>
      </w:pPr>
      <w:r w:rsidRPr="00135D02">
        <w:rPr>
          <w:rFonts w:ascii="Lato" w:hAnsi="Lato"/>
          <w:color w:val="000000"/>
        </w:rPr>
        <w:t>w ramach zjazdu 4. (od 25 do 29 kwietnia 2022 r.): prawa ofiary przestępstwa, kompensata państwowa, najważniejsze uprawnienia pokrzywdzonego (w tym wynikające z aktów prawa międzynarodowego i Unii Europejskiej) - 2 godziny szkoleniowe;</w:t>
      </w:r>
    </w:p>
    <w:p w14:paraId="6922DBF8" w14:textId="7B786B9C" w:rsidR="003C730B" w:rsidRPr="00135D02" w:rsidRDefault="003C730B" w:rsidP="00135D02">
      <w:pPr>
        <w:pStyle w:val="Teksttreci0"/>
        <w:numPr>
          <w:ilvl w:val="0"/>
          <w:numId w:val="185"/>
        </w:numPr>
        <w:shd w:val="clear" w:color="auto" w:fill="auto"/>
        <w:tabs>
          <w:tab w:val="left" w:pos="721"/>
        </w:tabs>
        <w:spacing w:before="0" w:after="0" w:line="240" w:lineRule="auto"/>
        <w:ind w:left="720" w:right="80"/>
        <w:jc w:val="both"/>
        <w:rPr>
          <w:rFonts w:ascii="Lato" w:hAnsi="Lato"/>
        </w:rPr>
      </w:pPr>
      <w:r w:rsidRPr="00135D02">
        <w:rPr>
          <w:rFonts w:ascii="Lato" w:hAnsi="Lato"/>
          <w:color w:val="000000"/>
        </w:rPr>
        <w:t>w ramach zjazdu 9. (17-21 październik 2022 r.): przestępstwa przeciwko życiu i zdrowiu - łącznie 4 godziny szkoleniowe;</w:t>
      </w:r>
    </w:p>
    <w:p w14:paraId="795D9747" w14:textId="12AD61D9" w:rsidR="003C730B" w:rsidRPr="00135D02" w:rsidRDefault="003C730B" w:rsidP="00135D02">
      <w:pPr>
        <w:pStyle w:val="Teksttreci0"/>
        <w:numPr>
          <w:ilvl w:val="0"/>
          <w:numId w:val="190"/>
        </w:numPr>
        <w:shd w:val="clear" w:color="auto" w:fill="auto"/>
        <w:tabs>
          <w:tab w:val="left" w:pos="735"/>
        </w:tabs>
        <w:spacing w:before="0" w:after="0" w:line="240" w:lineRule="auto"/>
        <w:ind w:left="360"/>
        <w:jc w:val="both"/>
        <w:rPr>
          <w:rFonts w:ascii="Lato" w:hAnsi="Lato"/>
        </w:rPr>
      </w:pPr>
      <w:r w:rsidRPr="00135D02">
        <w:rPr>
          <w:rFonts w:ascii="Lato" w:hAnsi="Lato"/>
          <w:color w:val="000000"/>
        </w:rPr>
        <w:t>II rocznik aplikacji uzupełniającej prokuratorskiej - przeszkolono 53 osoby:</w:t>
      </w:r>
    </w:p>
    <w:p w14:paraId="7B8E527A" w14:textId="77777777" w:rsidR="009F58D4" w:rsidRPr="00135D02" w:rsidRDefault="003C730B" w:rsidP="00135D02">
      <w:pPr>
        <w:pStyle w:val="Teksttreci0"/>
        <w:numPr>
          <w:ilvl w:val="0"/>
          <w:numId w:val="186"/>
        </w:numPr>
        <w:shd w:val="clear" w:color="auto" w:fill="auto"/>
        <w:tabs>
          <w:tab w:val="left" w:pos="726"/>
        </w:tabs>
        <w:spacing w:before="0" w:after="0" w:line="240" w:lineRule="auto"/>
        <w:ind w:left="720" w:right="80"/>
        <w:jc w:val="both"/>
        <w:rPr>
          <w:rFonts w:ascii="Lato" w:hAnsi="Lato"/>
        </w:rPr>
      </w:pPr>
      <w:r w:rsidRPr="00135D02">
        <w:rPr>
          <w:rFonts w:ascii="Lato" w:hAnsi="Lato"/>
          <w:color w:val="000000"/>
        </w:rPr>
        <w:t>w ramach zjazdu 12. (od 12 do 13 lutego 2022 r.): przestępstwa przeciwko mieniu, przestępstwa przeciwko prawom osób wykonujących pracę zarobkową, przestępstwa przeciwko porządkowi publicznemu, przestępstwa przeciwko rodzinie i opiece - wybrane zagadnienia ustawy o przeciwdziałaniu przemocy w rodzinie - łącznie 4 godziny szkoleniowe;</w:t>
      </w:r>
    </w:p>
    <w:p w14:paraId="58C45A89" w14:textId="77777777" w:rsidR="009F58D4" w:rsidRPr="00135D02" w:rsidRDefault="003C730B" w:rsidP="00135D02">
      <w:pPr>
        <w:pStyle w:val="Teksttreci0"/>
        <w:numPr>
          <w:ilvl w:val="0"/>
          <w:numId w:val="186"/>
        </w:numPr>
        <w:shd w:val="clear" w:color="auto" w:fill="auto"/>
        <w:tabs>
          <w:tab w:val="left" w:pos="726"/>
        </w:tabs>
        <w:spacing w:before="0" w:after="0" w:line="240" w:lineRule="auto"/>
        <w:ind w:left="720" w:right="80"/>
        <w:jc w:val="both"/>
        <w:rPr>
          <w:rFonts w:ascii="Lato" w:hAnsi="Lato"/>
        </w:rPr>
      </w:pPr>
      <w:r w:rsidRPr="00135D02">
        <w:rPr>
          <w:rFonts w:ascii="Lato" w:hAnsi="Lato"/>
          <w:color w:val="000000"/>
        </w:rPr>
        <w:t>w ramach zjazdu 17. (od 7 do 8 maja 2022 r.): przestępstwa przeciwko wolności, wolności sumienia i wyznania, wolności seksualnej - łącznie 2 godziny szkoleniowe.</w:t>
      </w:r>
      <w:bookmarkStart w:id="63" w:name="bookmark3"/>
    </w:p>
    <w:p w14:paraId="3B32A33B" w14:textId="77777777" w:rsidR="009F58D4" w:rsidRPr="00135D02" w:rsidRDefault="009F58D4" w:rsidP="00135D02">
      <w:pPr>
        <w:pStyle w:val="Teksttreci0"/>
        <w:shd w:val="clear" w:color="auto" w:fill="auto"/>
        <w:tabs>
          <w:tab w:val="left" w:pos="726"/>
        </w:tabs>
        <w:spacing w:before="0" w:after="0" w:line="240" w:lineRule="auto"/>
        <w:ind w:right="80" w:firstLine="0"/>
        <w:jc w:val="both"/>
        <w:rPr>
          <w:rFonts w:ascii="Lato" w:hAnsi="Lato"/>
          <w:color w:val="000000"/>
        </w:rPr>
      </w:pPr>
    </w:p>
    <w:p w14:paraId="5E12FE07" w14:textId="7FD2206B" w:rsidR="003C730B" w:rsidRPr="00135D02" w:rsidRDefault="003C730B" w:rsidP="00135D02">
      <w:pPr>
        <w:pStyle w:val="Teksttreci0"/>
        <w:shd w:val="clear" w:color="auto" w:fill="auto"/>
        <w:tabs>
          <w:tab w:val="left" w:pos="726"/>
        </w:tabs>
        <w:spacing w:before="0" w:after="0" w:line="240" w:lineRule="auto"/>
        <w:ind w:right="80" w:firstLine="0"/>
        <w:jc w:val="both"/>
        <w:rPr>
          <w:rFonts w:ascii="Lato" w:hAnsi="Lato"/>
          <w:b/>
          <w:bCs/>
        </w:rPr>
      </w:pPr>
      <w:r w:rsidRPr="00135D02">
        <w:rPr>
          <w:rFonts w:ascii="Lato" w:hAnsi="Lato"/>
          <w:b/>
          <w:bCs/>
          <w:color w:val="000000"/>
        </w:rPr>
        <w:t>Instytut Wymiaru Sprawiedliwości</w:t>
      </w:r>
      <w:bookmarkEnd w:id="63"/>
    </w:p>
    <w:p w14:paraId="65876894" w14:textId="20ACD9BD" w:rsidR="003C730B" w:rsidRPr="00135D02" w:rsidRDefault="003C730B" w:rsidP="00135D02">
      <w:pPr>
        <w:pStyle w:val="Teksttreci0"/>
        <w:shd w:val="clear" w:color="auto" w:fill="auto"/>
        <w:spacing w:before="0" w:after="0" w:line="240" w:lineRule="auto"/>
        <w:ind w:left="20" w:right="80" w:firstLine="0"/>
        <w:jc w:val="both"/>
        <w:rPr>
          <w:rFonts w:ascii="Lato" w:hAnsi="Lato"/>
          <w:color w:val="000000"/>
        </w:rPr>
      </w:pPr>
      <w:r w:rsidRPr="00135D02">
        <w:rPr>
          <w:rFonts w:ascii="Lato" w:hAnsi="Lato"/>
          <w:color w:val="000000"/>
        </w:rPr>
        <w:t>Instytut Wymiaru Sprawiedliwości w Warszawie zgodnie z § 3 Statutu IWS, prowadzi pogłębione badania między innymi w zakresie tworzenia, stosowania, aksjologii i społecznego funkcjonowania prawa. W ostatnich latach Instytut dynamicznie rozwija współpracę międzynarodową. Poza uczestnictwem w międzynarodowych programach, Instytut jest inicjatorem unikatowych, międzynarodowych projektów badawczych.</w:t>
      </w:r>
    </w:p>
    <w:p w14:paraId="2229F031" w14:textId="77777777" w:rsidR="009F58D4" w:rsidRPr="00135D02" w:rsidRDefault="009F58D4" w:rsidP="00135D02">
      <w:pPr>
        <w:pStyle w:val="Teksttreci0"/>
        <w:shd w:val="clear" w:color="auto" w:fill="auto"/>
        <w:spacing w:before="0" w:after="0" w:line="240" w:lineRule="auto"/>
        <w:ind w:left="20" w:right="80" w:firstLine="0"/>
        <w:jc w:val="both"/>
        <w:rPr>
          <w:rFonts w:ascii="Lato" w:hAnsi="Lato"/>
        </w:rPr>
      </w:pPr>
    </w:p>
    <w:p w14:paraId="22AF8E5C" w14:textId="77777777" w:rsidR="009F58D4" w:rsidRPr="00135D02" w:rsidRDefault="003C730B" w:rsidP="00135D02">
      <w:pPr>
        <w:pStyle w:val="Teksttreci0"/>
        <w:shd w:val="clear" w:color="auto" w:fill="auto"/>
        <w:spacing w:before="0" w:after="0" w:line="240" w:lineRule="auto"/>
        <w:ind w:left="20" w:right="80" w:firstLine="0"/>
        <w:jc w:val="both"/>
        <w:rPr>
          <w:rFonts w:ascii="Lato" w:hAnsi="Lato"/>
          <w:color w:val="000000"/>
        </w:rPr>
      </w:pPr>
      <w:r w:rsidRPr="00135D02">
        <w:rPr>
          <w:rFonts w:ascii="Lato" w:hAnsi="Lato"/>
          <w:color w:val="000000"/>
        </w:rPr>
        <w:t xml:space="preserve">W drugiej edycji projektu </w:t>
      </w:r>
      <w:proofErr w:type="spellStart"/>
      <w:r w:rsidRPr="00135D02">
        <w:rPr>
          <w:rFonts w:ascii="Lato" w:hAnsi="Lato"/>
          <w:color w:val="000000"/>
        </w:rPr>
        <w:t>Polish</w:t>
      </w:r>
      <w:proofErr w:type="spellEnd"/>
      <w:r w:rsidRPr="00135D02">
        <w:rPr>
          <w:rFonts w:ascii="Lato" w:hAnsi="Lato"/>
          <w:color w:val="000000"/>
        </w:rPr>
        <w:t xml:space="preserve"> - </w:t>
      </w:r>
      <w:proofErr w:type="spellStart"/>
      <w:r w:rsidRPr="00135D02">
        <w:rPr>
          <w:rFonts w:ascii="Lato" w:hAnsi="Lato"/>
          <w:color w:val="000000"/>
        </w:rPr>
        <w:t>Hungarian</w:t>
      </w:r>
      <w:proofErr w:type="spellEnd"/>
      <w:r w:rsidRPr="00135D02">
        <w:rPr>
          <w:rFonts w:ascii="Lato" w:hAnsi="Lato"/>
          <w:color w:val="000000"/>
        </w:rPr>
        <w:t xml:space="preserve"> </w:t>
      </w:r>
      <w:proofErr w:type="spellStart"/>
      <w:r w:rsidRPr="00135D02">
        <w:rPr>
          <w:rFonts w:ascii="Lato" w:hAnsi="Lato"/>
          <w:color w:val="000000"/>
        </w:rPr>
        <w:t>Research</w:t>
      </w:r>
      <w:proofErr w:type="spellEnd"/>
      <w:r w:rsidRPr="00135D02">
        <w:rPr>
          <w:rFonts w:ascii="Lato" w:hAnsi="Lato"/>
          <w:color w:val="000000"/>
        </w:rPr>
        <w:t xml:space="preserve"> Platform (Polsko — Węgierska Platforma Badawcza), prowadzonego w okresie maj — grudzień 2022, jednym z tematów badawczych było zagadnienie prawnej ochrony osób starszych. Celem badawczym naukowców było między innymi wypracowanie legalnej definicji osoby starszej, przygotowanie propozycji zabezpieczeń prawnych i socjalnych oraz ujednolicenia dostępu do świadczeń opieki zdrowotnej. Wyniki badań powinny dać możliwość weryfikacji adekwatności obowiązujących regulacji prawnych do zabezpieczenia obecnych i przyszłych potrzeb oraz oczekiwań osób starszych. Powyższe może być podstawą do ewentualnych zmian obowiązujących przepisów lub przyjęcia nowych zwiększających jakość i satysfakcję z życia osób starszych.</w:t>
      </w:r>
      <w:bookmarkStart w:id="64" w:name="bookmark4"/>
    </w:p>
    <w:p w14:paraId="2CA36A90" w14:textId="77777777" w:rsidR="009F58D4" w:rsidRPr="00135D02" w:rsidRDefault="009F58D4" w:rsidP="00135D02">
      <w:pPr>
        <w:pStyle w:val="Teksttreci0"/>
        <w:shd w:val="clear" w:color="auto" w:fill="auto"/>
        <w:spacing w:before="0" w:after="0" w:line="240" w:lineRule="auto"/>
        <w:ind w:left="20" w:right="80" w:firstLine="0"/>
        <w:jc w:val="both"/>
        <w:rPr>
          <w:rFonts w:ascii="Lato" w:hAnsi="Lato"/>
          <w:color w:val="000000"/>
        </w:rPr>
      </w:pPr>
    </w:p>
    <w:p w14:paraId="759AC9F4" w14:textId="43F517EB" w:rsidR="003C730B" w:rsidRPr="00135D02" w:rsidRDefault="003C730B" w:rsidP="00135D02">
      <w:pPr>
        <w:pStyle w:val="Teksttreci0"/>
        <w:shd w:val="clear" w:color="auto" w:fill="auto"/>
        <w:spacing w:before="0" w:after="0" w:line="240" w:lineRule="auto"/>
        <w:ind w:left="20" w:right="80" w:firstLine="0"/>
        <w:jc w:val="both"/>
        <w:rPr>
          <w:rFonts w:ascii="Lato" w:hAnsi="Lato"/>
          <w:b/>
          <w:bCs/>
          <w:color w:val="000000"/>
        </w:rPr>
      </w:pPr>
      <w:r w:rsidRPr="00135D02">
        <w:rPr>
          <w:rFonts w:ascii="Lato" w:hAnsi="Lato"/>
          <w:b/>
          <w:bCs/>
          <w:color w:val="000000"/>
        </w:rPr>
        <w:t>Centralny Zarząd Służby Więziennej</w:t>
      </w:r>
      <w:bookmarkEnd w:id="64"/>
    </w:p>
    <w:p w14:paraId="3F63DB87" w14:textId="77777777" w:rsidR="009F58D4" w:rsidRPr="00135D02" w:rsidRDefault="003C730B" w:rsidP="00135D02">
      <w:pPr>
        <w:pStyle w:val="Teksttreci0"/>
        <w:shd w:val="clear" w:color="auto" w:fill="auto"/>
        <w:spacing w:before="0" w:after="0" w:line="240" w:lineRule="auto"/>
        <w:ind w:left="20" w:right="320" w:firstLine="0"/>
        <w:jc w:val="both"/>
        <w:rPr>
          <w:rFonts w:ascii="Lato" w:hAnsi="Lato"/>
        </w:rPr>
      </w:pPr>
      <w:r w:rsidRPr="00135D02">
        <w:rPr>
          <w:rFonts w:ascii="Lato" w:hAnsi="Lato"/>
        </w:rPr>
        <w:t>Realizacja pozostałych działań na rzecz osób starszych - zgodnie z art. 5 ust. 2 Ustawy</w:t>
      </w:r>
      <w:r w:rsidRPr="00135D02">
        <w:rPr>
          <w:rFonts w:ascii="Lato" w:hAnsi="Lato"/>
          <w:color w:val="000000"/>
        </w:rPr>
        <w:t xml:space="preserve"> </w:t>
      </w:r>
      <w:r w:rsidRPr="00135D02">
        <w:rPr>
          <w:rFonts w:ascii="Lato" w:hAnsi="Lato"/>
        </w:rPr>
        <w:t>z dnia 11 września 2015 r. o osobach starszych (Dz.U. 2015, poz. 1705)</w:t>
      </w:r>
      <w:bookmarkStart w:id="65" w:name="bookmark5"/>
    </w:p>
    <w:p w14:paraId="421E6853" w14:textId="77777777" w:rsidR="009F58D4" w:rsidRPr="00135D02" w:rsidRDefault="009F58D4" w:rsidP="00135D02">
      <w:pPr>
        <w:pStyle w:val="Teksttreci0"/>
        <w:shd w:val="clear" w:color="auto" w:fill="auto"/>
        <w:spacing w:before="0" w:after="0" w:line="240" w:lineRule="auto"/>
        <w:ind w:left="20" w:right="320" w:firstLine="0"/>
        <w:jc w:val="both"/>
        <w:rPr>
          <w:rFonts w:ascii="Lato" w:hAnsi="Lato"/>
        </w:rPr>
      </w:pPr>
    </w:p>
    <w:p w14:paraId="6B2AD4D6" w14:textId="1D0A22D1" w:rsidR="003C730B" w:rsidRPr="00135D02" w:rsidRDefault="003C730B" w:rsidP="00135D02">
      <w:pPr>
        <w:pStyle w:val="Teksttreci0"/>
        <w:numPr>
          <w:ilvl w:val="0"/>
          <w:numId w:val="192"/>
        </w:numPr>
        <w:shd w:val="clear" w:color="auto" w:fill="auto"/>
        <w:spacing w:before="0" w:after="0" w:line="240" w:lineRule="auto"/>
        <w:ind w:right="320"/>
        <w:jc w:val="both"/>
        <w:rPr>
          <w:rFonts w:ascii="Lato" w:hAnsi="Lato"/>
          <w:b/>
          <w:bCs/>
        </w:rPr>
      </w:pPr>
      <w:r w:rsidRPr="00135D02">
        <w:rPr>
          <w:rFonts w:ascii="Lato" w:hAnsi="Lato"/>
          <w:b/>
          <w:bCs/>
          <w:color w:val="000000"/>
        </w:rPr>
        <w:t>Sytuacja demograficzna społeczeństwa i struktura demograficzna według wieku populacji osób starszych, prognozy na kolejne lata oraz implikacje zmian demograficznych dla polityki państwa.</w:t>
      </w:r>
      <w:bookmarkEnd w:id="65"/>
    </w:p>
    <w:p w14:paraId="40A24071" w14:textId="77777777" w:rsidR="009F58D4"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Wg stanu na dzień 31.12.2022 r. liczba osób tymczasowo aresztowanych i skazanych powyżej 60-ego roku życia (61 lat i więcej) wynosiła 3 395, co stanowi 4,77 % populacji wszystkich osadzonych (71 228 osób) oraz 4,82 % populacji tymczasowo aresztowanych i skazanych (70 488 osób).</w:t>
      </w:r>
      <w:bookmarkStart w:id="66" w:name="bookmark6"/>
    </w:p>
    <w:p w14:paraId="2A157BD6" w14:textId="77777777" w:rsidR="009F58D4" w:rsidRPr="00135D02" w:rsidRDefault="009F58D4" w:rsidP="00135D02">
      <w:pPr>
        <w:pStyle w:val="Teksttreci0"/>
        <w:shd w:val="clear" w:color="auto" w:fill="auto"/>
        <w:spacing w:before="0" w:after="0" w:line="240" w:lineRule="auto"/>
        <w:ind w:left="20" w:right="20" w:firstLine="0"/>
        <w:jc w:val="both"/>
        <w:rPr>
          <w:rFonts w:ascii="Lato" w:hAnsi="Lato"/>
          <w:color w:val="000000"/>
        </w:rPr>
      </w:pPr>
    </w:p>
    <w:p w14:paraId="15808D2F" w14:textId="450FF318"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rPr>
      </w:pPr>
      <w:r w:rsidRPr="00135D02">
        <w:rPr>
          <w:rFonts w:ascii="Lato" w:hAnsi="Lato"/>
          <w:b/>
          <w:bCs/>
          <w:color w:val="000000"/>
        </w:rPr>
        <w:t>Sytuacja dochodowa, warunki bytu, w tym warunki mieszkaniowe</w:t>
      </w:r>
      <w:bookmarkEnd w:id="66"/>
    </w:p>
    <w:p w14:paraId="7FB50DA6" w14:textId="31F14E2C"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Podstawowym aktem prawnym dopuszczającym stosowanie niezbędnej pomocy w formie: materialnej, </w:t>
      </w:r>
      <w:r w:rsidRPr="00135D02">
        <w:rPr>
          <w:rFonts w:ascii="Lato" w:hAnsi="Lato"/>
          <w:color w:val="000000"/>
        </w:rPr>
        <w:lastRenderedPageBreak/>
        <w:t>medycznej, edukacyjnej, znalezieniu pracy i zakwaterowania, a także porad prawnych, jest ustawa z dnia 6 czerwca 1997 r. Kodeks karny wykonawczy (KKW).</w:t>
      </w:r>
    </w:p>
    <w:p w14:paraId="1150B2D9" w14:textId="77777777" w:rsidR="009F58D4" w:rsidRPr="00135D02" w:rsidRDefault="009F58D4" w:rsidP="00135D02">
      <w:pPr>
        <w:pStyle w:val="Teksttreci0"/>
        <w:shd w:val="clear" w:color="auto" w:fill="auto"/>
        <w:spacing w:before="0" w:after="0" w:line="240" w:lineRule="auto"/>
        <w:ind w:left="20" w:right="20" w:firstLine="0"/>
        <w:jc w:val="both"/>
        <w:rPr>
          <w:rFonts w:ascii="Lato" w:hAnsi="Lato"/>
        </w:rPr>
      </w:pPr>
    </w:p>
    <w:p w14:paraId="5FD9A7BE" w14:textId="5FE9DF89"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Zgodnie z zapisem art. 67 KKW, wykonywanie kary pozbawienia wolności ma na celu wzbudzanie w skazanym woli współdziałania w kształtowaniu jego społecznie pożądanych postaw, w szczególności poczucia odpowiedzialności oraz potrzeby przestrzegania porządku prawnego i tym samym powstrzymania się od powrotu do przestępstwa. Dla osiągnięcia tego celu prowadzi się oddziaływania penitencjarne, których najistotniejszą cechą jest indywidualizacja kary pozbawienia wolności. Oznacza to, że wszyscy skazani przyjmowani do zakładów karnych, poddawani są przez kadrę penitencjarną diagnozie i obejmowani, w miarę potrzeb, różnymi formami oddziaływań takimi jak między innymi: praca, programy resocjalizacyjne, kursy i szkolenia zawodowe, nauczanie czy też oddziaływania terapeutyczne.</w:t>
      </w:r>
    </w:p>
    <w:p w14:paraId="2A316728" w14:textId="77777777" w:rsidR="009F58D4" w:rsidRPr="00135D02" w:rsidRDefault="009F58D4" w:rsidP="00135D02">
      <w:pPr>
        <w:pStyle w:val="Teksttreci0"/>
        <w:shd w:val="clear" w:color="auto" w:fill="auto"/>
        <w:spacing w:before="0" w:after="0" w:line="240" w:lineRule="auto"/>
        <w:ind w:left="20" w:right="20" w:firstLine="0"/>
        <w:jc w:val="both"/>
        <w:rPr>
          <w:rFonts w:ascii="Lato" w:hAnsi="Lato"/>
        </w:rPr>
      </w:pPr>
    </w:p>
    <w:p w14:paraId="2846850B" w14:textId="04779C9E" w:rsidR="003C730B" w:rsidRPr="00135D02" w:rsidRDefault="003C730B" w:rsidP="00135D02">
      <w:pPr>
        <w:pStyle w:val="Teksttreci0"/>
        <w:shd w:val="clear" w:color="auto" w:fill="auto"/>
        <w:tabs>
          <w:tab w:val="left" w:pos="1306"/>
          <w:tab w:val="left" w:pos="2794"/>
          <w:tab w:val="left" w:pos="4719"/>
          <w:tab w:val="left" w:pos="6860"/>
        </w:tabs>
        <w:spacing w:before="0" w:after="0" w:line="240" w:lineRule="auto"/>
        <w:ind w:left="20" w:right="20" w:firstLine="0"/>
        <w:jc w:val="both"/>
        <w:rPr>
          <w:rFonts w:ascii="Lato" w:hAnsi="Lato"/>
          <w:color w:val="000000"/>
        </w:rPr>
      </w:pPr>
      <w:r w:rsidRPr="00135D02">
        <w:rPr>
          <w:rFonts w:ascii="Lato" w:hAnsi="Lato"/>
          <w:color w:val="000000"/>
        </w:rPr>
        <w:t>Pierwsza wstępna weryfikacja sytuacji dochodowej, warunków bytowych, w tym warunków mieszkaniowych następuje już w chwili przyjęcia osadzonego do jednostki penitencjarnej w rozmowie wstępnej. W sytuacji, gdy wychowawca określa deficyty w tym obszarze, rozpoczyna się etap niwelowania stwierdzonych braków. W zakładach karnych i aresztach śledczych pełnią służbę funkcjonariusze zajmujący się obszarem pomocy postpenitencjarnej. Zgodnie z zapisami Kodeksu karnego wykonawczego pomocy udzielają osadzonym również organy administracji rządowej, samorządu terytorialnego i kuratorzy sądowi. Ustawa rozszerza krąg podmiotów uprawnionych do świadczenia takiej pomocy, wskazując na stowarzyszenia, fundacje, organizacje, a także kościoły i inne związki wyznaniowe, jak również osoby godne zaufania. Osadzeni mają więc możliwość uczestniczenia w spotkaniach z przedstawicielami instytucji specjalizujących się w pomocy osobom starszym, a w szczególności z pracownikami właściwych ośrodków pomocy społecznej, fundacji stowarzyszeń, instytucji oraz</w:t>
      </w:r>
      <w:r w:rsidR="009F58D4" w:rsidRPr="00135D02">
        <w:rPr>
          <w:rFonts w:ascii="Lato" w:hAnsi="Lato"/>
          <w:color w:val="000000"/>
        </w:rPr>
        <w:t xml:space="preserve"> </w:t>
      </w:r>
      <w:r w:rsidRPr="00135D02">
        <w:rPr>
          <w:rFonts w:ascii="Lato" w:hAnsi="Lato"/>
          <w:color w:val="000000"/>
        </w:rPr>
        <w:t>innych</w:t>
      </w:r>
      <w:r w:rsidR="009F58D4" w:rsidRPr="00135D02">
        <w:rPr>
          <w:rFonts w:ascii="Lato" w:hAnsi="Lato"/>
          <w:color w:val="000000"/>
        </w:rPr>
        <w:t xml:space="preserve"> </w:t>
      </w:r>
      <w:r w:rsidRPr="00135D02">
        <w:rPr>
          <w:rFonts w:ascii="Lato" w:hAnsi="Lato"/>
          <w:color w:val="000000"/>
        </w:rPr>
        <w:t>podmiotó</w:t>
      </w:r>
      <w:r w:rsidR="009F58D4" w:rsidRPr="00135D02">
        <w:rPr>
          <w:rFonts w:ascii="Lato" w:hAnsi="Lato"/>
          <w:color w:val="000000"/>
        </w:rPr>
        <w:t xml:space="preserve">w </w:t>
      </w:r>
      <w:r w:rsidRPr="00135D02">
        <w:rPr>
          <w:rFonts w:ascii="Lato" w:hAnsi="Lato"/>
          <w:color w:val="000000"/>
        </w:rPr>
        <w:t>zewnętrznych</w:t>
      </w:r>
      <w:r w:rsidR="009F58D4" w:rsidRPr="00135D02">
        <w:rPr>
          <w:rFonts w:ascii="Lato" w:hAnsi="Lato"/>
          <w:color w:val="000000"/>
        </w:rPr>
        <w:t xml:space="preserve"> </w:t>
      </w:r>
      <w:r w:rsidRPr="00135D02">
        <w:rPr>
          <w:rFonts w:ascii="Lato" w:hAnsi="Lato"/>
          <w:color w:val="000000"/>
        </w:rPr>
        <w:t>zajmujących</w:t>
      </w:r>
      <w:r w:rsidR="009F58D4" w:rsidRPr="00135D02">
        <w:rPr>
          <w:rFonts w:ascii="Lato" w:hAnsi="Lato"/>
        </w:rPr>
        <w:t xml:space="preserve"> </w:t>
      </w:r>
      <w:r w:rsidRPr="00135D02">
        <w:rPr>
          <w:rFonts w:ascii="Lato" w:hAnsi="Lato"/>
          <w:color w:val="000000"/>
        </w:rPr>
        <w:t xml:space="preserve">się problematyką osób powyżej 60 roku życia. Zakłady karne i areszty śledcze obejmują osadzonych znajdujących się w trudnej sytuacji życiowej pomocą, (m.in. z uwagi na stan zdrowia, ograniczenia wynikające z niepełnosprawności, bezdomności, trudności w znalezieniu zatrudnienia po zwolnieniu) okresem, o którym mowa w art. 164 § 1 </w:t>
      </w:r>
      <w:proofErr w:type="spellStart"/>
      <w:r w:rsidRPr="00135D02">
        <w:rPr>
          <w:rFonts w:ascii="Lato" w:hAnsi="Lato"/>
          <w:color w:val="000000"/>
        </w:rPr>
        <w:t>Kkw</w:t>
      </w:r>
      <w:proofErr w:type="spellEnd"/>
      <w:r w:rsidRPr="00135D02">
        <w:rPr>
          <w:rFonts w:ascii="Lato" w:hAnsi="Lato"/>
          <w:color w:val="000000"/>
        </w:rPr>
        <w:t xml:space="preserve"> tj. programem przygotowania do wolności. W ww. działaniach uczestniczy właściwy kurator zawodowy, a dodatkowo w tych przedsięwzięciach mogą współdziałać stowarzyszenia, fundacje, organizacje oraz instytucje, których celem działania jest realizacja zadań readaptacyjnych, jak również kościoły i inne związki wyznaniowe oraz osoby godne zaufania. W 2021 r. 128 skazanym seniorom udzielono pomocy w tej formie oddziaływań, a w 2022 r. ww. formą pomocy objęto 153 osoby.</w:t>
      </w:r>
    </w:p>
    <w:p w14:paraId="7BC00C0C" w14:textId="77777777" w:rsidR="009F58D4" w:rsidRPr="00135D02" w:rsidRDefault="009F58D4" w:rsidP="00135D02">
      <w:pPr>
        <w:pStyle w:val="Teksttreci0"/>
        <w:shd w:val="clear" w:color="auto" w:fill="auto"/>
        <w:tabs>
          <w:tab w:val="left" w:pos="1306"/>
          <w:tab w:val="left" w:pos="2794"/>
          <w:tab w:val="left" w:pos="4719"/>
          <w:tab w:val="left" w:pos="6860"/>
        </w:tabs>
        <w:spacing w:before="0" w:after="0" w:line="240" w:lineRule="auto"/>
        <w:ind w:left="20" w:right="20" w:firstLine="0"/>
        <w:jc w:val="both"/>
        <w:rPr>
          <w:rFonts w:ascii="Lato" w:hAnsi="Lato"/>
        </w:rPr>
      </w:pPr>
    </w:p>
    <w:p w14:paraId="016D09F4" w14:textId="040856A1"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Na mocy rozporządzenia Ministra Sprawiedliwości z dnia 13 września 2017 r. w sprawie Funduszu Pomocy Pokrzywdzonym oraz Pomocy Postpenitencjarnej</w:t>
      </w:r>
      <w:r w:rsidR="009F58D4" w:rsidRPr="00135D02">
        <w:rPr>
          <w:rFonts w:ascii="Lato" w:hAnsi="Lato"/>
          <w:color w:val="000000"/>
        </w:rPr>
        <w:t xml:space="preserve"> - </w:t>
      </w:r>
      <w:r w:rsidRPr="00135D02">
        <w:rPr>
          <w:rFonts w:ascii="Lato" w:hAnsi="Lato"/>
          <w:color w:val="000000"/>
        </w:rPr>
        <w:t>Funduszu Sprawiedliwości (Dz. U. 2019 r. poz. 683) osadzeni mogą korzystać ze środków finansowych Funduszu, w przypadku braku możliwości korzystania ze środków budżetowych, między innymi na pokrywanie kosztów związanych ze specjalistycznym leczeniem lub rehabilitacją leczniczą oraz uzyskiwaniem orzeczeń o niepełnosprawności, stopniu niepełnosprawności lub niezdolności do pracy (7 przypadków w 2022 r. na kwotę</w:t>
      </w:r>
      <w:r w:rsidR="00F653EB" w:rsidRPr="00135D02">
        <w:rPr>
          <w:rFonts w:ascii="Lato" w:hAnsi="Lato"/>
          <w:color w:val="000000"/>
        </w:rPr>
        <w:t xml:space="preserve"> 1 </w:t>
      </w:r>
      <w:r w:rsidRPr="00135D02">
        <w:rPr>
          <w:rFonts w:ascii="Lato" w:hAnsi="Lato"/>
          <w:color w:val="000000"/>
        </w:rPr>
        <w:t>170,00 zł), pokrywanie kosztów transportu specjalnego, zgodnie ze wskazaniami lekarskimi lub przejazdów do miejsca pobytu, nauki, terapii, pracy, zwłaszcza wykonywanej nieodpłatnie (w 2022 r. zrealizowano 161 takich transportów na kwotę 90 997,02 zł - w tym dla osób z niepełnosprawnościami), pokrywanie kosztów związanych z organizacją i udzielaniem pomocy rzeczowej w formie między innymi środków czystości i higieny osobistej, leków, środków opatrunkowych i sanitarnych, wyrobów medycznych, w tym protez, przedmiotów ortopedycznych i środków pomocniczych.</w:t>
      </w:r>
    </w:p>
    <w:p w14:paraId="4EF006F3"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4F238645" w14:textId="39AF72AC"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2022</w:t>
      </w:r>
      <w:r w:rsidR="00F653EB" w:rsidRPr="00135D02">
        <w:rPr>
          <w:rFonts w:ascii="Lato" w:hAnsi="Lato"/>
          <w:color w:val="000000"/>
        </w:rPr>
        <w:t xml:space="preserve"> r.</w:t>
      </w:r>
      <w:r w:rsidRPr="00135D02">
        <w:rPr>
          <w:rFonts w:ascii="Lato" w:hAnsi="Lato"/>
          <w:color w:val="000000"/>
        </w:rPr>
        <w:t xml:space="preserve"> kontynuowano realizację zadań z zakresu przygotowania osadzonych (w tym również seniorów) do readaptacji społecznej wynikających z Kodeksu karnego wykonawczego oraz przepisów wykonawczych. Przedsięwzięcia te dotyczyły m.in. udzielania pomocy w zapewnieniu miejsca zamieszkania lub zakwaterowania, interwencje w sprawie utrzymania dotychczasowego mieszkania lub uzyskania lokalu z zasobów gminy, umieszczenia w schroniskach dla bezdomnych czy skierowania do domów pomocy społecznej. W 2022 r. 234 osadzonych uzyskało orzeczenia o niepełnosprawności lub stopniu niepełnosprawności, 74 o niezdolności do zatrudniania (rentę chorobową) i 31 rentę socjalną. W przypadku 11 osób wszczęto ww. działania, a orzeczenia wpłyną w 2023 r. Ponadto 72 osadzonych zostało umieszczonych w Domach Pomocy Społecznej po zakończeniu odbywania kary pozbawienia wolności lub tymczasowego aresztowania.</w:t>
      </w:r>
    </w:p>
    <w:p w14:paraId="1ACF054E"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CD8419B"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 2022 r. Służba Więzienna odnotowała 269 interwencji w sprawie utrzymania dotychczasowego </w:t>
      </w:r>
      <w:r w:rsidRPr="00135D02">
        <w:rPr>
          <w:rFonts w:ascii="Lato" w:hAnsi="Lato"/>
          <w:color w:val="000000"/>
        </w:rPr>
        <w:lastRenderedPageBreak/>
        <w:t xml:space="preserve">mieszkania lub pozyskania nowego w przypadku seniorów. Skazani objęci programem wolnościowym w trybie art. 164 </w:t>
      </w:r>
      <w:proofErr w:type="spellStart"/>
      <w:r w:rsidRPr="00135D02">
        <w:rPr>
          <w:rFonts w:ascii="Lato" w:hAnsi="Lato"/>
          <w:color w:val="000000"/>
        </w:rPr>
        <w:t>Kkw</w:t>
      </w:r>
      <w:proofErr w:type="spellEnd"/>
      <w:r w:rsidRPr="00135D02">
        <w:rPr>
          <w:rFonts w:ascii="Lato" w:hAnsi="Lato"/>
          <w:color w:val="000000"/>
        </w:rPr>
        <w:t xml:space="preserve"> mogą ubiegać się również</w:t>
      </w:r>
      <w:r w:rsidR="00F653EB" w:rsidRPr="00135D02">
        <w:rPr>
          <w:rFonts w:ascii="Lato" w:hAnsi="Lato"/>
        </w:rPr>
        <w:t xml:space="preserve"> </w:t>
      </w:r>
      <w:r w:rsidRPr="00135D02">
        <w:rPr>
          <w:rFonts w:ascii="Lato" w:hAnsi="Lato"/>
          <w:color w:val="000000"/>
        </w:rPr>
        <w:t>o</w:t>
      </w:r>
      <w:r w:rsidR="00F653EB" w:rsidRPr="00135D02">
        <w:rPr>
          <w:rFonts w:ascii="Lato" w:hAnsi="Lato"/>
          <w:color w:val="000000"/>
        </w:rPr>
        <w:t xml:space="preserve"> </w:t>
      </w:r>
      <w:r w:rsidRPr="00135D02">
        <w:rPr>
          <w:rFonts w:ascii="Lato" w:hAnsi="Lato"/>
          <w:color w:val="000000"/>
        </w:rPr>
        <w:t>pokrywanie kosztów czasowego zakwaterowania - z tej formy pomocy skorzystało</w:t>
      </w:r>
      <w:r w:rsidR="00F653EB" w:rsidRPr="00135D02">
        <w:rPr>
          <w:rFonts w:ascii="Lato" w:hAnsi="Lato"/>
        </w:rPr>
        <w:t xml:space="preserve"> 11 </w:t>
      </w:r>
      <w:r w:rsidRPr="00135D02">
        <w:rPr>
          <w:rFonts w:ascii="Lato" w:hAnsi="Lato"/>
          <w:color w:val="000000"/>
        </w:rPr>
        <w:t>osadzonych i wydatkowano na ten cel ponad 20</w:t>
      </w:r>
      <w:r w:rsidR="00F653EB" w:rsidRPr="00135D02">
        <w:rPr>
          <w:rFonts w:ascii="Lato" w:hAnsi="Lato"/>
          <w:color w:val="000000"/>
        </w:rPr>
        <w:t xml:space="preserve"> </w:t>
      </w:r>
      <w:r w:rsidRPr="00135D02">
        <w:rPr>
          <w:rFonts w:ascii="Lato" w:hAnsi="Lato"/>
          <w:color w:val="000000"/>
        </w:rPr>
        <w:t>400 zł. Osadzeni, którzy spełniają określone przepisami wymogi, mogą również otrzymać pomoc w zakresie okresowych dopłat do bieżących zobowiązań wynikających z utrzymania lokalu mieszkalnego (m. in. za czynsz, energię, wodę, gaz, opał, odbiór nieczystości itp.) takiego wsparcia udzielono 71 razy na kwotę ok. 10.437,68 zł, w tym osadzonym seniorom.</w:t>
      </w:r>
      <w:bookmarkStart w:id="67" w:name="bookmark7"/>
    </w:p>
    <w:p w14:paraId="2DA8FF18"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7777A370" w14:textId="0FEDAEFF"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color w:val="000000"/>
        </w:rPr>
      </w:pPr>
      <w:r w:rsidRPr="00135D02">
        <w:rPr>
          <w:rFonts w:ascii="Lato" w:hAnsi="Lato"/>
          <w:b/>
          <w:bCs/>
          <w:color w:val="000000"/>
        </w:rPr>
        <w:t>Aktywność zawodowa</w:t>
      </w:r>
      <w:bookmarkEnd w:id="67"/>
    </w:p>
    <w:p w14:paraId="43C5EE5B" w14:textId="0AE32F95"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 odniesieniu do aktywności zawodowej seniorów należy stwierdzić, że o ile tylko są tym zainteresowani i pozwala im na to stan zdrowia, kierowani są do zatrudnienia oraz podlegają szkoleniom kursowym. W przypadku kierowania skazanych do pracy jedynym ograniczeniem jest zdolność skazanego do wykonywania pracy, którą określa lekarz zgodnie z art. 121 § 6 </w:t>
      </w:r>
      <w:proofErr w:type="spellStart"/>
      <w:r w:rsidRPr="00135D02">
        <w:rPr>
          <w:rFonts w:ascii="Lato" w:hAnsi="Lato"/>
          <w:color w:val="000000"/>
        </w:rPr>
        <w:t>Kkw</w:t>
      </w:r>
      <w:proofErr w:type="spellEnd"/>
      <w:r w:rsidRPr="00135D02">
        <w:rPr>
          <w:rFonts w:ascii="Lato" w:hAnsi="Lato"/>
          <w:color w:val="000000"/>
        </w:rPr>
        <w:t>. Zgodnie z potrzebami lekarz określa również rodzaj, warunki i czas pracy.</w:t>
      </w:r>
    </w:p>
    <w:p w14:paraId="48A52432"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0AF9D37E"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2022 r. 51 skazanych seniorów uczestniczyło w kursach i szkoleniach zawodowych realizowanych finansowanych z Funduszu Pomocy Pokrzywdzonym oraz Pomocy Postpenitencjarnej - Fundusz Sprawiedliwości. Natomiast 31 osadzonych z ww. grupy uczęszczało do Centrów Kształcenia Ustawicznego (stan na 31.12.2022 r.) podwyższając poziom wykształcenia i kwalifikacje zawodowe.</w:t>
      </w:r>
      <w:r w:rsidR="00F653EB" w:rsidRPr="00135D02">
        <w:rPr>
          <w:rFonts w:ascii="Lato" w:hAnsi="Lato"/>
        </w:rPr>
        <w:t xml:space="preserve"> </w:t>
      </w:r>
      <w:r w:rsidRPr="00135D02">
        <w:rPr>
          <w:rFonts w:ascii="Lato" w:hAnsi="Lato"/>
          <w:color w:val="000000"/>
        </w:rPr>
        <w:t>Skazani seniorzy podejmowali również aktywność zawodową. W zeszłym roku 566 osadzonych było zatrudnionych odpłatnie, a 1160 nieodpłatnie.</w:t>
      </w:r>
      <w:bookmarkStart w:id="68" w:name="bookmark8"/>
    </w:p>
    <w:p w14:paraId="230284C2"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5C66757F" w14:textId="2C5F26DC"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rPr>
      </w:pPr>
      <w:r w:rsidRPr="00135D02">
        <w:rPr>
          <w:rFonts w:ascii="Lato" w:hAnsi="Lato"/>
          <w:b/>
          <w:bCs/>
          <w:color w:val="000000"/>
        </w:rPr>
        <w:t>Sytuacja rodzinna i struktura gospodarstw domowych</w:t>
      </w:r>
      <w:bookmarkEnd w:id="68"/>
    </w:p>
    <w:p w14:paraId="61B667B2" w14:textId="34FB975A"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Długotrwała izolacja powoduje ciągłe i niekorzystne następstwa psychiczne i społeczne. Osadzenie w jednostkach penitencjarnych wywołuje u skazanych proces </w:t>
      </w:r>
      <w:proofErr w:type="spellStart"/>
      <w:r w:rsidRPr="00135D02">
        <w:rPr>
          <w:rFonts w:ascii="Lato" w:hAnsi="Lato"/>
          <w:color w:val="000000"/>
        </w:rPr>
        <w:t>prizonizacji</w:t>
      </w:r>
      <w:proofErr w:type="spellEnd"/>
      <w:r w:rsidRPr="00135D02">
        <w:rPr>
          <w:rFonts w:ascii="Lato" w:hAnsi="Lato"/>
          <w:color w:val="000000"/>
        </w:rPr>
        <w:t xml:space="preserve">, czyli </w:t>
      </w:r>
      <w:proofErr w:type="spellStart"/>
      <w:r w:rsidRPr="00135D02">
        <w:rPr>
          <w:rFonts w:ascii="Lato" w:hAnsi="Lato"/>
          <w:color w:val="000000"/>
        </w:rPr>
        <w:t>uwięziennienia</w:t>
      </w:r>
      <w:proofErr w:type="spellEnd"/>
      <w:r w:rsidRPr="00135D02">
        <w:rPr>
          <w:rFonts w:ascii="Lato" w:hAnsi="Lato"/>
          <w:color w:val="000000"/>
        </w:rPr>
        <w:t>, który definiuje się jako stan bardzo dobrego przystosowania do warunków panujących w zakładzie karnym, połączony z lękiem przed życiem na wolności. W związku z tym mają oni duże problemy w odnalezieniu się w społeczeństwie i powrotem do rodziny.</w:t>
      </w:r>
    </w:p>
    <w:p w14:paraId="32EA36D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DB4FA59" w14:textId="5E473D42"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Ważnym aspektem oddziaływań kierowanych do osób pozbawionych wolności jest możliwość poprawy lub nawet odbudowania kontaktów z osobami bliskimi. Skazani, u których zdiagnozowano taki deficyt mają możliwość uczestniczenia w profesjonalnych zajęciach niwelujących stwierdzone u nich dysfunkcje społeczne. Dzięki dobrowolności uczestnictwa jak i odpowiedniej pracy motywującej skazanych, kadra Służby Więziennej daje im szansę na zmianę dotychczasowego stylu życia. Dlatego tak ważne jest kontynuowanie podjętych już działań w jednostkach penitencjarnych przez instytucje zewnętrzne i przez środowisko otwarte. Skazani mogą skorzystać z pełnej oferty programów resocjalizacyjnych, zajęć kulturalno-oświatowych, w ramach których organizowane są spotkania z osobami najbliższymi. Służba Więzienna kładzie duży nacisk na pracę ze sprawcami przemocy domowej. Dedykowane są im rekomendowane programy: Stop przemocy - druga szansa i Duluth. W prowadzonych oddziaływaniach w ww. obszarze biorą udział na równych prawach wszyscy skazani, w tym seniorzy.</w:t>
      </w:r>
    </w:p>
    <w:p w14:paraId="6E05F4AD"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12F4E447" w14:textId="758879AB"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Służba Więzienna w ramach prowadzonych oddziaływań realizuje szereg programów readaptacyjnych, w tym programy korekcyjno-edukacyjne. W ramach tych zajęć, uczestnicy zapoznawani się m.in. ze zjawiskiem przemocy, w tym przemocy wobec różnych grup społecznych, np. osób starszych, oraz sposobami przeciwdziałania </w:t>
      </w:r>
      <w:proofErr w:type="spellStart"/>
      <w:r w:rsidRPr="00135D02">
        <w:rPr>
          <w:rFonts w:ascii="Lato" w:hAnsi="Lato"/>
          <w:color w:val="000000"/>
        </w:rPr>
        <w:t>zachowaniom</w:t>
      </w:r>
      <w:proofErr w:type="spellEnd"/>
      <w:r w:rsidRPr="00135D02">
        <w:rPr>
          <w:rFonts w:ascii="Lato" w:hAnsi="Lato"/>
          <w:color w:val="000000"/>
        </w:rPr>
        <w:t xml:space="preserve"> </w:t>
      </w:r>
      <w:proofErr w:type="spellStart"/>
      <w:r w:rsidRPr="00135D02">
        <w:rPr>
          <w:rFonts w:ascii="Lato" w:hAnsi="Lato"/>
          <w:color w:val="000000"/>
        </w:rPr>
        <w:t>przemocowym</w:t>
      </w:r>
      <w:proofErr w:type="spellEnd"/>
      <w:r w:rsidRPr="00135D02">
        <w:rPr>
          <w:rFonts w:ascii="Lato" w:hAnsi="Lato"/>
          <w:color w:val="000000"/>
        </w:rPr>
        <w:t>. Programy te są skierowane głównie do osadzonych odbywających karę pozbawienia wolności m.in. z art. 207 Kk. W ramach tych działań w 2022 r. zrealizowano łącznie 1581 edycji programów korekcyjno-edukacyjnych ukierunkowanych na przeciwdziałanie przemocy, a do udziału w programach przystąpiło łącznie: 14.208 osadzonych (głównie mężczyzn) .</w:t>
      </w:r>
    </w:p>
    <w:p w14:paraId="0FB099D3"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3BFAFBB9"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celu ułatwienia kontaktu z osobami najbliższymi skazani mogą korzystać z komunikatorów internetowych i rozmawiać przez Internet poza limitem widzeń wynikających z Kodeksu karnego wykonawczego, oraz wystąpić z wnioskiem do dyrektora jednostki penitencjarnej o udzielenie dodatkowego widzenia.</w:t>
      </w:r>
      <w:bookmarkStart w:id="69" w:name="bookmark9"/>
    </w:p>
    <w:p w14:paraId="2815CB5C"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35E2B30C" w14:textId="59627E91" w:rsidR="003C730B" w:rsidRPr="00135D02" w:rsidRDefault="00F653EB" w:rsidP="00135D02">
      <w:pPr>
        <w:pStyle w:val="Teksttreci0"/>
        <w:numPr>
          <w:ilvl w:val="0"/>
          <w:numId w:val="192"/>
        </w:numPr>
        <w:shd w:val="clear" w:color="auto" w:fill="auto"/>
        <w:spacing w:before="0" w:after="0" w:line="240" w:lineRule="auto"/>
        <w:ind w:right="20"/>
        <w:jc w:val="both"/>
        <w:rPr>
          <w:rFonts w:ascii="Lato" w:hAnsi="Lato"/>
          <w:b/>
          <w:bCs/>
          <w:color w:val="000000"/>
        </w:rPr>
      </w:pPr>
      <w:r w:rsidRPr="00135D02">
        <w:rPr>
          <w:rFonts w:ascii="Lato" w:hAnsi="Lato"/>
          <w:b/>
          <w:bCs/>
          <w:color w:val="000000"/>
        </w:rPr>
        <w:t>S</w:t>
      </w:r>
      <w:r w:rsidR="003C730B" w:rsidRPr="00135D02">
        <w:rPr>
          <w:rFonts w:ascii="Lato" w:hAnsi="Lato"/>
          <w:b/>
          <w:bCs/>
          <w:color w:val="000000"/>
        </w:rPr>
        <w:t>tan zdrowia i jego uwarunkowania oraz jakość życia związana ze zdrowiem, w tym dostępność do świadczeń opieki zdrowotnej finansowanych ze środków publicznych</w:t>
      </w:r>
      <w:bookmarkEnd w:id="69"/>
    </w:p>
    <w:p w14:paraId="54FBA58E" w14:textId="0ADB585D"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Więzienna służba zdrowia realizuje nałożony na Służbę Więzienną ustawowy obowiązek zapewnienia </w:t>
      </w:r>
      <w:r w:rsidRPr="00135D02">
        <w:rPr>
          <w:rFonts w:ascii="Lato" w:hAnsi="Lato"/>
          <w:color w:val="000000"/>
        </w:rPr>
        <w:lastRenderedPageBreak/>
        <w:t xml:space="preserve">opieki zdrowotnej osobom pozbawionym wolności, w tym osadzonym starszym. Opieka zdrowotna obejmuje świadczenia zdrowotne udzielane w podmiotach leczniczych jednostek penitencjarnych jak i organizację świadczeń udzielanych w podmiotach </w:t>
      </w:r>
      <w:proofErr w:type="spellStart"/>
      <w:r w:rsidRPr="00135D02">
        <w:rPr>
          <w:rFonts w:ascii="Lato" w:hAnsi="Lato"/>
          <w:color w:val="000000"/>
        </w:rPr>
        <w:t>pozawięziennych</w:t>
      </w:r>
      <w:proofErr w:type="spellEnd"/>
      <w:r w:rsidRPr="00135D02">
        <w:rPr>
          <w:rFonts w:ascii="Lato" w:hAnsi="Lato"/>
          <w:color w:val="000000"/>
        </w:rPr>
        <w:t>. Świadczenia opieki zdrowotnej udzielane osobom pozbawionym wolności finansowane są w całości z budżetu państwa, z części pozostającej w dyspozycji Ministra Sprawiedliwości. Wszelkie wydatki związane z utrzymaniem odpowiednich warunków, jakie winny spełniać pomieszczenia podmiotów leczniczych dla osób pozbawionych wolności, wyposażenie w sprzęt medyczny, zaopatrzenie w wyroby medyczne pokrywane są z budżetu więziennictwa.</w:t>
      </w:r>
    </w:p>
    <w:p w14:paraId="1BD9A42E"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550B1C64"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 xml:space="preserve">W każdej jednostce penitencjarnej funkcjonują podmioty lecznicze dla osób pozbawionych wolności. Są nimi ambulatoria z izbami chorych oraz szpitale więzienne. W ramach tych podmiotów działają oddziały szpitalne, gabinety lekarskie we wszystkich jednostkach, gabinety stomatologiczne, pracownie diagnostyczne, pracownie rehabilitacji i fizykoterapii oraz apteki zakładowe. Szczegółowe warunki jakie powinny spełniać te obiekty określa rozporządzenie Ministra Sprawiedliwości z dnia 5 lipca 2012 roku w sprawie szczegółowych wymagań, jakim powinny odpowiadać pomieszczenia i urządzenia podmiotu leczniczego dla osób pozbawionych wolności (Dz. U.2012, poz.808 z </w:t>
      </w:r>
      <w:proofErr w:type="spellStart"/>
      <w:r w:rsidRPr="00135D02">
        <w:rPr>
          <w:rFonts w:ascii="Lato" w:hAnsi="Lato"/>
          <w:color w:val="000000"/>
        </w:rPr>
        <w:t>późn</w:t>
      </w:r>
      <w:proofErr w:type="spellEnd"/>
      <w:r w:rsidRPr="00135D02">
        <w:rPr>
          <w:rFonts w:ascii="Lato" w:hAnsi="Lato"/>
          <w:color w:val="000000"/>
        </w:rPr>
        <w:t>. zm.) oraz pozostałe przepisy w tym zakresie. Jednostki, w których funkcjonują szpitale więzienne personel medyczny zapewnia całodobową opiekę medyczną. W pozostałych jednostkach kadra medyczna jest obecna w godzinach pracy administracji i zapewnia osadzonym ambulatoryjną opiekę medyczną. W czasie, kiedy w jednostce nie ma kadry medycznej więziennictwo korzysta ze świadczeń Zespołów Ratownictwa Medycznego.</w:t>
      </w:r>
    </w:p>
    <w:p w14:paraId="264D0012" w14:textId="077C3BA0"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Osoby pozbawione wolności, w tym osoby starsze, mają zagwarantowany dostęp do nieodpłatnych świadczeń zdrowotnych, leków, artykułów sanitarnych, wyrobów medycznych, w tym protez i środków pomocniczych.</w:t>
      </w:r>
    </w:p>
    <w:p w14:paraId="44082478"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730880E9" w14:textId="2FDED8D6"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2022 r</w:t>
      </w:r>
      <w:r w:rsidR="00F653EB" w:rsidRPr="00135D02">
        <w:rPr>
          <w:rFonts w:ascii="Lato" w:hAnsi="Lato"/>
          <w:color w:val="000000"/>
        </w:rPr>
        <w:t xml:space="preserve">. </w:t>
      </w:r>
      <w:r w:rsidRPr="00135D02">
        <w:rPr>
          <w:rFonts w:ascii="Lato" w:hAnsi="Lato"/>
          <w:color w:val="000000"/>
        </w:rPr>
        <w:t xml:space="preserve">w oddziałach szpitali więziennych przebywało 6 525 pacjentów, w </w:t>
      </w:r>
      <w:proofErr w:type="spellStart"/>
      <w:r w:rsidRPr="00135D02">
        <w:rPr>
          <w:rFonts w:ascii="Lato" w:hAnsi="Lato"/>
          <w:color w:val="000000"/>
        </w:rPr>
        <w:t>pozawięziennych</w:t>
      </w:r>
      <w:proofErr w:type="spellEnd"/>
      <w:r w:rsidRPr="00135D02">
        <w:rPr>
          <w:rFonts w:ascii="Lato" w:hAnsi="Lato"/>
          <w:color w:val="000000"/>
        </w:rPr>
        <w:t xml:space="preserve"> podmiotach leczniczych hospitalizowano 5 051 pacjentów. W podmiotach więziennych w trybie ambulatoryjnym miało miejsce 983 377 wizyt u lekarza podstawowej opieki zdrowotnej oraz konsultacji specjalistycznych, w </w:t>
      </w:r>
      <w:proofErr w:type="spellStart"/>
      <w:r w:rsidRPr="00135D02">
        <w:rPr>
          <w:rFonts w:ascii="Lato" w:hAnsi="Lato"/>
          <w:color w:val="000000"/>
        </w:rPr>
        <w:t>pozawięziennych</w:t>
      </w:r>
      <w:proofErr w:type="spellEnd"/>
      <w:r w:rsidRPr="00135D02">
        <w:rPr>
          <w:rFonts w:ascii="Lato" w:hAnsi="Lato"/>
          <w:color w:val="000000"/>
        </w:rPr>
        <w:t xml:space="preserve"> podmiotach leczniczych udzielono 28 569 takich świadczeń. Szczegółowa liczba świadczeń medycznych przekazywana jest corocznie do GUS drukiem MS ZK-7.</w:t>
      </w:r>
    </w:p>
    <w:p w14:paraId="13315C17"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8466AB3" w14:textId="67A6A9BB"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Więzienne podmioty lecznicze współdziałają z podmiotami </w:t>
      </w:r>
      <w:proofErr w:type="spellStart"/>
      <w:r w:rsidRPr="00135D02">
        <w:rPr>
          <w:rFonts w:ascii="Lato" w:hAnsi="Lato"/>
          <w:color w:val="000000"/>
        </w:rPr>
        <w:t>pozawięziennymi</w:t>
      </w:r>
      <w:proofErr w:type="spellEnd"/>
      <w:r w:rsidRPr="00135D02">
        <w:rPr>
          <w:rFonts w:ascii="Lato" w:hAnsi="Lato"/>
          <w:color w:val="000000"/>
        </w:rPr>
        <w:t xml:space="preserve"> w przypadkach wymienionych w § 2 rozporządzenia Ministra Sprawiedliwości z dnia 14 czerwca 2012 r. w sprawie udzielania świadczeń zdrowotnych przez podmioty lecznicze dla osób pozbawionych wolności, tj. w przypadkach konieczności natychmiastowego udzielania świadczeń w przypadkach zagrożenia życia lub zdrowia, konieczności przeprowadzania specjalistycznych badań, leczenia lub rehabilitacji, konieczności przeprowadzenia badań diagnostycznych z powodu braku specjalistycznego sprzętu (np. tomografia, MRI i inne) lub w czasie przepustki. Powyższe rozwiązania poza priorytetem ratowania zdrowia i życia pozwalają na zapewnienie osadzonemu wysokospecjalistycznych świadczeń, których realizacja w więziennych podmiotach leczniczych jest niemożliwa lub nieuzasadniona ekonomicznie ze względu na niewielką liczbę wysokospecjalistycznych świadczeń w ciągu roku, które nie uzasadniałyby ewentualnego utrzymania kadry, sprzętu czy placówek szpitalnych w penitencjarnej służbie zdrowia. W przypadku braku możliwości zapewnienia adekwatnej opieki zdrowotnej możliwe jest wystąpienia do sądu penitencjarnego o udzielenie osadzonemu przerwy w odbywaniu kary lub uchylenia środka zapobiegawczego (tymczasowego aresztowania).</w:t>
      </w:r>
    </w:p>
    <w:p w14:paraId="7FCA60C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307818D7" w14:textId="11F0413D"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 więziennych podmiotach leczniczych przestrzegane są prawa pacjenta określone w ustawie z dnia 6 listopada 2008 r. o prawach pacjenta i Rzeczniku Praw Pacjenta (Dz.U.2012.159 z </w:t>
      </w:r>
      <w:proofErr w:type="spellStart"/>
      <w:r w:rsidRPr="00135D02">
        <w:rPr>
          <w:rFonts w:ascii="Lato" w:hAnsi="Lato"/>
          <w:color w:val="000000"/>
        </w:rPr>
        <w:t>późn</w:t>
      </w:r>
      <w:proofErr w:type="spellEnd"/>
      <w:r w:rsidRPr="00135D02">
        <w:rPr>
          <w:rFonts w:ascii="Lato" w:hAnsi="Lato"/>
          <w:color w:val="000000"/>
        </w:rPr>
        <w:t>. zm.), z uwzględnieniem ograniczeń wynikających z przepisów Kodeksu karnego wykonawczego.</w:t>
      </w:r>
    </w:p>
    <w:p w14:paraId="49036D71"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0A5DB258" w14:textId="238A6F4E"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Kontakt z lekarzem podstawowej opieki zdrowotnej odbywa się z inicjatywy osadzonego, natomiast badania diagnostyczne, konsultacje specjalistyczne lub leczenie szpitalne wymagają skierowania lekarskiego.</w:t>
      </w:r>
    </w:p>
    <w:p w14:paraId="10DCC25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478FA353" w14:textId="1358FADC"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Zgodnie z obowiązującymi przepisami każdy osadzony przy przyjęciu do aresztu śledczego lub zakładu karnego jest badany przez lekarza, który wydaje zalecenia odnośnie dalszego postępowania, w tym umieszczenia w celi przystosowanej dla osób niepełnosprawnych, bezpłatnego zaopatrzenia w niezbędne protezy, przedmioty ortopedyczne i środki pomocnicze oraz wydaje inne zalecenia dotyczące np. odstępstw od rozporządzenia Ministra Sprawiedliwości w sprawie regulaminu organizacyjno-</w:t>
      </w:r>
      <w:r w:rsidRPr="00135D02">
        <w:rPr>
          <w:rFonts w:ascii="Lato" w:hAnsi="Lato"/>
          <w:color w:val="000000"/>
        </w:rPr>
        <w:lastRenderedPageBreak/>
        <w:t>porządkowego wykonywania tymczasowego aresztowania z dnia 23 grudnia 2022 r. (Dz.U. z 2022 r. poz.</w:t>
      </w:r>
      <w:r w:rsidRPr="00135D02">
        <w:rPr>
          <w:rFonts w:ascii="Lato" w:hAnsi="Lato"/>
        </w:rPr>
        <w:t xml:space="preserve"> 2848) </w:t>
      </w:r>
      <w:r w:rsidRPr="00135D02">
        <w:rPr>
          <w:rFonts w:ascii="Lato" w:hAnsi="Lato"/>
          <w:color w:val="000000"/>
        </w:rPr>
        <w:t>oraz rozporządzenie Ministra Sprawiedliwości w sprawie regulaminu organizacyjno- porządkowego wykonywania kary pozbawienia wolności z dnia 23 grudnia 2022 r. (Dz.U.</w:t>
      </w:r>
      <w:r w:rsidRPr="00135D02">
        <w:rPr>
          <w:rFonts w:ascii="Lato" w:hAnsi="Lato"/>
        </w:rPr>
        <w:t xml:space="preserve"> z 2022 r. Poz. 2847)</w:t>
      </w:r>
      <w:r w:rsidRPr="00135D02">
        <w:rPr>
          <w:rFonts w:ascii="Lato" w:hAnsi="Lato"/>
          <w:color w:val="000000"/>
        </w:rPr>
        <w:t>. W przypadkach uzasadnionych stanem zdrowia lekarz może ustalać adekwatne wyżywienie (diety lecznicze).</w:t>
      </w:r>
    </w:p>
    <w:p w14:paraId="51A35959"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6C797A52"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Ponadto, przy rozmieszczeniu osadzonych poza faktem, że osadzony jest osobą z niepełnosprawnościami, starsza lub niedołężną bierze się pod uwagę między innymi:</w:t>
      </w:r>
    </w:p>
    <w:p w14:paraId="2D4CAAB1" w14:textId="77777777" w:rsidR="00F653EB" w:rsidRPr="00135D02" w:rsidRDefault="003C730B" w:rsidP="00135D02">
      <w:pPr>
        <w:pStyle w:val="Teksttreci0"/>
        <w:numPr>
          <w:ilvl w:val="0"/>
          <w:numId w:val="193"/>
        </w:numPr>
        <w:shd w:val="clear" w:color="auto" w:fill="auto"/>
        <w:tabs>
          <w:tab w:val="left" w:pos="725"/>
        </w:tabs>
        <w:spacing w:before="0" w:after="0" w:line="240" w:lineRule="auto"/>
        <w:jc w:val="both"/>
        <w:rPr>
          <w:rFonts w:ascii="Lato" w:hAnsi="Lato"/>
        </w:rPr>
      </w:pPr>
      <w:r w:rsidRPr="00135D02">
        <w:rPr>
          <w:rFonts w:ascii="Lato" w:hAnsi="Lato"/>
          <w:color w:val="000000"/>
        </w:rPr>
        <w:t>decyzje klasyfikacyjną</w:t>
      </w:r>
    </w:p>
    <w:p w14:paraId="638681B1" w14:textId="77777777" w:rsidR="00F653EB" w:rsidRPr="00135D02" w:rsidRDefault="003C730B" w:rsidP="00135D02">
      <w:pPr>
        <w:pStyle w:val="Teksttreci0"/>
        <w:numPr>
          <w:ilvl w:val="0"/>
          <w:numId w:val="193"/>
        </w:numPr>
        <w:shd w:val="clear" w:color="auto" w:fill="auto"/>
        <w:tabs>
          <w:tab w:val="left" w:pos="745"/>
        </w:tabs>
        <w:spacing w:before="0" w:after="0" w:line="240" w:lineRule="auto"/>
        <w:jc w:val="both"/>
        <w:rPr>
          <w:rFonts w:ascii="Lato" w:hAnsi="Lato"/>
        </w:rPr>
      </w:pPr>
      <w:r w:rsidRPr="00135D02">
        <w:rPr>
          <w:rFonts w:ascii="Lato" w:hAnsi="Lato"/>
          <w:color w:val="000000"/>
        </w:rPr>
        <w:t>konieczność zapewnienia osadzonemu całodobowej opieki lekarskiej (zaplecze szpitalne) z przyczyn innych niż niepełnosprawność</w:t>
      </w:r>
    </w:p>
    <w:p w14:paraId="3EF9FC58" w14:textId="77777777" w:rsidR="00F653EB" w:rsidRPr="00135D02" w:rsidRDefault="003C730B" w:rsidP="00135D02">
      <w:pPr>
        <w:pStyle w:val="Teksttreci0"/>
        <w:numPr>
          <w:ilvl w:val="0"/>
          <w:numId w:val="193"/>
        </w:numPr>
        <w:shd w:val="clear" w:color="auto" w:fill="auto"/>
        <w:tabs>
          <w:tab w:val="left" w:pos="745"/>
        </w:tabs>
        <w:spacing w:before="0" w:after="0" w:line="240" w:lineRule="auto"/>
        <w:jc w:val="both"/>
        <w:rPr>
          <w:rFonts w:ascii="Lato" w:hAnsi="Lato"/>
        </w:rPr>
      </w:pPr>
      <w:r w:rsidRPr="00135D02">
        <w:rPr>
          <w:rFonts w:ascii="Lato" w:hAnsi="Lato"/>
          <w:color w:val="000000"/>
        </w:rPr>
        <w:t>umożliwienie kontaktu z rodziną</w:t>
      </w:r>
    </w:p>
    <w:p w14:paraId="383D6C15" w14:textId="77777777" w:rsidR="00F653EB" w:rsidRPr="00135D02" w:rsidRDefault="003C730B" w:rsidP="00135D02">
      <w:pPr>
        <w:pStyle w:val="Teksttreci0"/>
        <w:numPr>
          <w:ilvl w:val="0"/>
          <w:numId w:val="193"/>
        </w:numPr>
        <w:shd w:val="clear" w:color="auto" w:fill="auto"/>
        <w:tabs>
          <w:tab w:val="left" w:pos="735"/>
        </w:tabs>
        <w:spacing w:before="0" w:after="0" w:line="240" w:lineRule="auto"/>
        <w:jc w:val="both"/>
        <w:rPr>
          <w:rFonts w:ascii="Lato" w:hAnsi="Lato"/>
        </w:rPr>
      </w:pPr>
      <w:r w:rsidRPr="00135D02">
        <w:rPr>
          <w:rFonts w:ascii="Lato" w:hAnsi="Lato"/>
          <w:color w:val="000000"/>
        </w:rPr>
        <w:t>uwzględnienie miejsca zamieszkania osadzonego, co ma szczególne znaczenie w przypadku zbliżającego się końca kary i wiążącą się z tym koniecznością odwiezienia osadzonego transportem Służby Więziennej do miejsca zamieszkania po zwolnieniu z jednostki penitencjarnej</w:t>
      </w:r>
    </w:p>
    <w:p w14:paraId="32355641" w14:textId="77777777" w:rsidR="00F653EB" w:rsidRPr="00135D02" w:rsidRDefault="003C730B" w:rsidP="00135D02">
      <w:pPr>
        <w:pStyle w:val="Teksttreci0"/>
        <w:numPr>
          <w:ilvl w:val="0"/>
          <w:numId w:val="193"/>
        </w:numPr>
        <w:shd w:val="clear" w:color="auto" w:fill="auto"/>
        <w:tabs>
          <w:tab w:val="left" w:pos="735"/>
        </w:tabs>
        <w:spacing w:before="0" w:after="0" w:line="240" w:lineRule="auto"/>
        <w:jc w:val="both"/>
        <w:rPr>
          <w:rFonts w:ascii="Lato" w:hAnsi="Lato"/>
        </w:rPr>
      </w:pPr>
      <w:r w:rsidRPr="00135D02">
        <w:rPr>
          <w:rFonts w:ascii="Lato" w:hAnsi="Lato"/>
          <w:color w:val="000000"/>
        </w:rPr>
        <w:t>wykonanie poleceń organów dysponujących związanych z realizacją czynności procesowych</w:t>
      </w:r>
    </w:p>
    <w:p w14:paraId="56A31CED" w14:textId="77777777" w:rsidR="00F653EB" w:rsidRPr="00135D02" w:rsidRDefault="003C730B" w:rsidP="00135D02">
      <w:pPr>
        <w:pStyle w:val="Teksttreci0"/>
        <w:numPr>
          <w:ilvl w:val="0"/>
          <w:numId w:val="193"/>
        </w:numPr>
        <w:shd w:val="clear" w:color="auto" w:fill="auto"/>
        <w:tabs>
          <w:tab w:val="left" w:pos="740"/>
        </w:tabs>
        <w:spacing w:before="0" w:after="0" w:line="240" w:lineRule="auto"/>
        <w:jc w:val="both"/>
        <w:rPr>
          <w:rFonts w:ascii="Lato" w:hAnsi="Lato"/>
        </w:rPr>
      </w:pPr>
      <w:r w:rsidRPr="00135D02">
        <w:rPr>
          <w:rFonts w:ascii="Lato" w:hAnsi="Lato"/>
          <w:color w:val="000000"/>
        </w:rPr>
        <w:t>konieczność zapewnienia osadzonym bezpieczeństwa osobistego</w:t>
      </w:r>
    </w:p>
    <w:p w14:paraId="09EFB2E3" w14:textId="212D0199" w:rsidR="003C730B" w:rsidRPr="00135D02" w:rsidRDefault="003C730B" w:rsidP="00135D02">
      <w:pPr>
        <w:pStyle w:val="Teksttreci0"/>
        <w:numPr>
          <w:ilvl w:val="0"/>
          <w:numId w:val="193"/>
        </w:numPr>
        <w:shd w:val="clear" w:color="auto" w:fill="auto"/>
        <w:tabs>
          <w:tab w:val="left" w:pos="740"/>
        </w:tabs>
        <w:spacing w:before="0" w:after="0" w:line="240" w:lineRule="auto"/>
        <w:jc w:val="both"/>
        <w:rPr>
          <w:rFonts w:ascii="Lato" w:hAnsi="Lato"/>
        </w:rPr>
      </w:pPr>
      <w:r w:rsidRPr="00135D02">
        <w:rPr>
          <w:rFonts w:ascii="Lato" w:hAnsi="Lato"/>
          <w:color w:val="000000"/>
        </w:rPr>
        <w:t>konieczność zapewnienia bezpieczeństwa epidemiologicznego związanego ze stanem zagrożenia epidemicznego.</w:t>
      </w:r>
    </w:p>
    <w:p w14:paraId="02E2849C"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4BAE6084" w14:textId="4705FD6F"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Wśród osadzonych w aresztach śledczych i zakładach karnych są prowadzone działania z zakresu promocji zdrowia psychicznego i zapobiegania zaburzeniom psychicznym. Upowszechnia się wiedzę na temat zdrowia psychicznego, kształtowania </w:t>
      </w:r>
      <w:proofErr w:type="spellStart"/>
      <w:r w:rsidRPr="00135D02">
        <w:rPr>
          <w:rFonts w:ascii="Lato" w:hAnsi="Lato"/>
          <w:color w:val="000000"/>
        </w:rPr>
        <w:t>zachowań</w:t>
      </w:r>
      <w:proofErr w:type="spellEnd"/>
      <w:r w:rsidRPr="00135D02">
        <w:rPr>
          <w:rFonts w:ascii="Lato" w:hAnsi="Lato"/>
          <w:color w:val="000000"/>
        </w:rPr>
        <w:t xml:space="preserve"> i stylu życia korzystnych dla zachowania dobrej kondycji psychofizycznej. Podejmowane działania edukacyjne zmierzają do tego, aby każda osoba pozbawiona wolności rozumiała, że jest odpowiedzialna za swoje zdrowie, chciała i umiała je chronić oraz starała się utrzymywać w dobrym stanie. Szkolenia i zagadnienia uwrażliwiające funkcjonariuszy i pracowników cywilnych na aspekty związane z szeroko pojętym stanem zdrowia osób pozbawionych wolności, w tym osób z niepełnosprawnościami i starszych realizowane są systematycznie na różnych poziomach edukacyjnych (np. szkolenia wstępne, oficerskie i podoficerskie, kursokonferencje, odprawy penitencjarno-ochronne).</w:t>
      </w:r>
    </w:p>
    <w:p w14:paraId="4BD85DF9"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18A3842D" w14:textId="3811A42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Opieka zdrowotna nad osobami starszymi pozbawionymi wolności z zaburzeniami psychicznymi realizowana jest w ramach podstawowej i specjalistycznej opieki medycznej, zwłaszcza psychiatrycznej. Lekarze psychiatrzy zatrudnieni w podmiotach leczniczych</w:t>
      </w:r>
      <w:r w:rsidR="00F653EB" w:rsidRPr="00135D02">
        <w:rPr>
          <w:rFonts w:ascii="Lato" w:hAnsi="Lato"/>
          <w:color w:val="000000"/>
        </w:rPr>
        <w:t xml:space="preserve"> </w:t>
      </w:r>
      <w:r w:rsidRPr="00135D02">
        <w:rPr>
          <w:rFonts w:ascii="Lato" w:hAnsi="Lato"/>
          <w:color w:val="000000"/>
        </w:rPr>
        <w:t xml:space="preserve">dla osób pozbawionych wolności udzielają świadczeń zdrowotnych z zakresu pomocy doraźnej, ambulatoryjnej i szpitalnej. Całodobowa opieka psychiatryczna jest dostępna jedynie w jednostkach dysponujących szpitalnymi oddziałami psychiatrycznymi, które funkcjonują w: Areszcie Śledczym w Krakowie, Zakładzie Karnym nr 1 w Łodzi, Areszcie Śledczym w Poznaniu, Areszcie Śledczym w Szczecinie i Areszcie Śledczym w Radomiu. Bieżąca dostępność do lekarza psychiatry jest zapewniana także w aresztach śledczych i zakładach karnych, w których taki specjalista nie jest zatrudniony. Wówczas osoby pozbawione wolności są konsultowane przez lekarzy psychiatrów w ramach współpracy z innym więziennym podmiotem leczniczym lub </w:t>
      </w:r>
      <w:proofErr w:type="spellStart"/>
      <w:r w:rsidRPr="00135D02">
        <w:rPr>
          <w:rFonts w:ascii="Lato" w:hAnsi="Lato"/>
          <w:color w:val="000000"/>
        </w:rPr>
        <w:t>pozawięziennymi</w:t>
      </w:r>
      <w:proofErr w:type="spellEnd"/>
      <w:r w:rsidRPr="00135D02">
        <w:rPr>
          <w:rFonts w:ascii="Lato" w:hAnsi="Lato"/>
          <w:color w:val="000000"/>
        </w:rPr>
        <w:t xml:space="preserve"> placówkami ochrony zdrowia.</w:t>
      </w:r>
    </w:p>
    <w:p w14:paraId="17D336CD"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48238F25"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ramach więziennictwa funkcjonuje Oddział Rehabilitacji Narządu Ruchu w Zakładzie Karnym nr 1 w Łodzi i Oddział dla Przewlekłe Chorych w Zakładzie Karnym w Czarnem, do których są kierowani osadzeni wymagający zabiegów w trybie szpitalnym lub wymagający z powodu stanu ogólnego, wieku lub niepełnosprawności długotrwałej hospitalizacji.</w:t>
      </w:r>
      <w:bookmarkStart w:id="70" w:name="bookmark10"/>
    </w:p>
    <w:p w14:paraId="408A9C1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63CFFF2E" w14:textId="329E66CE"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color w:val="000000"/>
        </w:rPr>
      </w:pPr>
      <w:r w:rsidRPr="00135D02">
        <w:rPr>
          <w:rFonts w:ascii="Lato" w:hAnsi="Lato"/>
          <w:b/>
          <w:bCs/>
          <w:color w:val="000000"/>
        </w:rPr>
        <w:t>Dostępność i poziom usług socjalnych, w tym opiekuńczych</w:t>
      </w:r>
      <w:bookmarkEnd w:id="70"/>
    </w:p>
    <w:p w14:paraId="3D7D79AD"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W ostatniej fazie życia dla człowieka niezbędne jest zaspokojenie potrzeby bezpieczeństwa emocjonalnego, przynależności, życzliwości, afirmacji siebie i świata, a także uznania i bycia użytecznym. Część z tych potrzeb jest przeżywana intensywniej niż na wcześniejszych etapach życia. W tym wypadku ogromną rolę mogą odgrywać zindywidualizowane oddziaływania penitencjarne, np. odbywanie kary w systemie terapeutycznym lub programowanego oddziaływania, udział w programach readaptacyjnych.</w:t>
      </w:r>
    </w:p>
    <w:p w14:paraId="11B1C641" w14:textId="19C2E350"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Podczas wykonywania tymczasowego aresztowania oraz odbywania kary pozbawienia wolności osadzeni seniorzy mają zapewniony dostęp do usług socjalnych, w tym opiekuńczych. Realizowany jest on poprzez zapewnianie odpowiednich warunków socjalno-bytowych, zgodnych z regulacjami rozporządzenia Ministra Sprawiedliwości z dnia 19 grudnia 2016 r. w sprawie warunków bytowych osób osadzonych w </w:t>
      </w:r>
      <w:r w:rsidRPr="00135D02">
        <w:rPr>
          <w:rFonts w:ascii="Lato" w:hAnsi="Lato"/>
          <w:color w:val="000000"/>
        </w:rPr>
        <w:lastRenderedPageBreak/>
        <w:t>zakładach karnych i aresztach śledczych.</w:t>
      </w:r>
    </w:p>
    <w:p w14:paraId="64972AAF"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6C0F6E5F" w14:textId="164D6560"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Zapewnienie dostępu do stosownych usług socjalnych i opiekuńczych po opuszczeniu warunków izolacji penitencjarnej realizowane jest poprzez indywidualne ustalanie potrzeb postpenitencjarnych i ich zabezpieczanie w ramach indywidualnego programu readaptacji społecznej opracowywanego we współpracy z kuratorem sądowym w następstwie objęcia osadzonego okresem, o którym mowa w art. 164 §1 </w:t>
      </w:r>
      <w:proofErr w:type="spellStart"/>
      <w:r w:rsidRPr="00135D02">
        <w:rPr>
          <w:rFonts w:ascii="Lato" w:hAnsi="Lato"/>
          <w:color w:val="000000"/>
        </w:rPr>
        <w:t>Kkw</w:t>
      </w:r>
      <w:proofErr w:type="spellEnd"/>
      <w:r w:rsidRPr="00135D02">
        <w:rPr>
          <w:rFonts w:ascii="Lato" w:hAnsi="Lato"/>
          <w:color w:val="000000"/>
        </w:rPr>
        <w:t>. W jednostkach penitencjarnych corocznie organizowane są spotkania osadzonych z pracownikami socjalnymi gminnych i miejskich ośrodków pomocy społecznej mające na celu zaznajomienie osadzonych z przepisami dotyczącymi możliwości uzyskania pomocy w ośrodkach pomocy społecznej przez nich samych oraz członków ich rodzin.</w:t>
      </w:r>
    </w:p>
    <w:p w14:paraId="3236D9A2"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9AA9DD2" w14:textId="77777777" w:rsidR="00F653EB" w:rsidRPr="00135D02" w:rsidRDefault="003C730B" w:rsidP="00135D02">
      <w:pPr>
        <w:pStyle w:val="Teksttreci0"/>
        <w:shd w:val="clear" w:color="auto" w:fill="auto"/>
        <w:tabs>
          <w:tab w:val="left" w:pos="1503"/>
          <w:tab w:val="left" w:pos="2612"/>
          <w:tab w:val="left" w:pos="4215"/>
          <w:tab w:val="left" w:pos="6039"/>
          <w:tab w:val="left" w:pos="6874"/>
        </w:tabs>
        <w:spacing w:before="0" w:after="0" w:line="240" w:lineRule="auto"/>
        <w:ind w:left="20" w:right="20" w:firstLine="0"/>
        <w:jc w:val="both"/>
        <w:rPr>
          <w:rFonts w:ascii="Lato" w:hAnsi="Lato"/>
          <w:color w:val="000000"/>
        </w:rPr>
      </w:pPr>
      <w:r w:rsidRPr="00135D02">
        <w:rPr>
          <w:rFonts w:ascii="Lato" w:hAnsi="Lato"/>
          <w:color w:val="000000"/>
        </w:rPr>
        <w:t>Osoby starsze mogą korzystać z oferty realizowanej na terenie jednostek organizacyjnych. Osadzen</w:t>
      </w:r>
      <w:r w:rsidR="00F653EB" w:rsidRPr="00135D02">
        <w:rPr>
          <w:rFonts w:ascii="Lato" w:hAnsi="Lato"/>
          <w:color w:val="000000"/>
        </w:rPr>
        <w:t xml:space="preserve">i </w:t>
      </w:r>
      <w:r w:rsidRPr="00135D02">
        <w:rPr>
          <w:rFonts w:ascii="Lato" w:hAnsi="Lato"/>
          <w:color w:val="000000"/>
        </w:rPr>
        <w:t>mają</w:t>
      </w:r>
      <w:r w:rsidR="00F653EB" w:rsidRPr="00135D02">
        <w:rPr>
          <w:rFonts w:ascii="Lato" w:hAnsi="Lato"/>
          <w:color w:val="000000"/>
        </w:rPr>
        <w:t xml:space="preserve"> </w:t>
      </w:r>
      <w:r w:rsidRPr="00135D02">
        <w:rPr>
          <w:rFonts w:ascii="Lato" w:hAnsi="Lato"/>
          <w:color w:val="000000"/>
        </w:rPr>
        <w:t>możliwość</w:t>
      </w:r>
      <w:r w:rsidR="00F653EB" w:rsidRPr="00135D02">
        <w:rPr>
          <w:rFonts w:ascii="Lato" w:hAnsi="Lato"/>
          <w:color w:val="000000"/>
        </w:rPr>
        <w:t xml:space="preserve"> </w:t>
      </w:r>
      <w:r w:rsidRPr="00135D02">
        <w:rPr>
          <w:rFonts w:ascii="Lato" w:hAnsi="Lato"/>
          <w:color w:val="000000"/>
        </w:rPr>
        <w:t>uczestnictwa</w:t>
      </w:r>
      <w:r w:rsidR="00F653EB" w:rsidRPr="00135D02">
        <w:rPr>
          <w:rFonts w:ascii="Lato" w:hAnsi="Lato"/>
          <w:color w:val="000000"/>
        </w:rPr>
        <w:t xml:space="preserve"> </w:t>
      </w:r>
      <w:r w:rsidRPr="00135D02">
        <w:rPr>
          <w:rFonts w:ascii="Lato" w:hAnsi="Lato"/>
          <w:color w:val="000000"/>
        </w:rPr>
        <w:t>w</w:t>
      </w:r>
      <w:r w:rsidR="00F653EB" w:rsidRPr="00135D02">
        <w:rPr>
          <w:rFonts w:ascii="Lato" w:hAnsi="Lato"/>
          <w:color w:val="000000"/>
        </w:rPr>
        <w:t xml:space="preserve"> </w:t>
      </w:r>
      <w:r w:rsidRPr="00135D02">
        <w:rPr>
          <w:rFonts w:ascii="Lato" w:hAnsi="Lato"/>
          <w:color w:val="000000"/>
        </w:rPr>
        <w:t>spotkaniach</w:t>
      </w:r>
      <w:r w:rsidR="00F653EB" w:rsidRPr="00135D02">
        <w:rPr>
          <w:rFonts w:ascii="Lato" w:hAnsi="Lato"/>
        </w:rPr>
        <w:t xml:space="preserve"> </w:t>
      </w:r>
      <w:r w:rsidRPr="00135D02">
        <w:rPr>
          <w:rFonts w:ascii="Lato" w:hAnsi="Lato"/>
          <w:color w:val="000000"/>
        </w:rPr>
        <w:t>z przedstawicielami instytucji wyspecjalizowanych w pomocy osobom niepełnosprawnym i starszym, a w szczególności z pracownikami właściwych ośrodków pomocy społecznej, fundacji, stowarzyszeń, instytucji oraz innych podmiotów zewnętrznych zajmujących się problematyką osób niepełnosprawnych. W 2022 r. funkcjonowało 1107 porozumień zawartych przez dyrektorów zakładów karnych i aresztów śledczych z podmiotami zewnętrznymi w zakresie współpracy w obszarze resocjalizacji. Część z nich swoim zakresem działania obejmowała pomoc osadzonym starszym lub z niepełnosprawnościami.</w:t>
      </w:r>
      <w:bookmarkStart w:id="71" w:name="bookmark11"/>
    </w:p>
    <w:p w14:paraId="5AE2F8F0" w14:textId="77777777" w:rsidR="00F653EB" w:rsidRPr="00135D02" w:rsidRDefault="00F653EB" w:rsidP="00135D02">
      <w:pPr>
        <w:pStyle w:val="Teksttreci0"/>
        <w:shd w:val="clear" w:color="auto" w:fill="auto"/>
        <w:tabs>
          <w:tab w:val="left" w:pos="1503"/>
          <w:tab w:val="left" w:pos="2612"/>
          <w:tab w:val="left" w:pos="4215"/>
          <w:tab w:val="left" w:pos="6039"/>
          <w:tab w:val="left" w:pos="6874"/>
        </w:tabs>
        <w:spacing w:before="0" w:after="0" w:line="240" w:lineRule="auto"/>
        <w:ind w:left="20" w:right="20" w:firstLine="0"/>
        <w:jc w:val="both"/>
        <w:rPr>
          <w:rFonts w:ascii="Lato" w:hAnsi="Lato"/>
          <w:color w:val="000000"/>
        </w:rPr>
      </w:pPr>
    </w:p>
    <w:p w14:paraId="098EB829" w14:textId="01DAB66B" w:rsidR="003C730B" w:rsidRPr="00135D02" w:rsidRDefault="003C730B" w:rsidP="00135D02">
      <w:pPr>
        <w:pStyle w:val="Teksttreci0"/>
        <w:numPr>
          <w:ilvl w:val="0"/>
          <w:numId w:val="192"/>
        </w:numPr>
        <w:shd w:val="clear" w:color="auto" w:fill="auto"/>
        <w:tabs>
          <w:tab w:val="left" w:pos="1503"/>
          <w:tab w:val="left" w:pos="2612"/>
          <w:tab w:val="left" w:pos="4215"/>
          <w:tab w:val="left" w:pos="6039"/>
          <w:tab w:val="left" w:pos="6874"/>
        </w:tabs>
        <w:spacing w:before="0" w:after="0" w:line="240" w:lineRule="auto"/>
        <w:ind w:right="20"/>
        <w:jc w:val="both"/>
        <w:rPr>
          <w:rFonts w:ascii="Lato" w:hAnsi="Lato"/>
          <w:b/>
          <w:bCs/>
        </w:rPr>
      </w:pPr>
      <w:r w:rsidRPr="00135D02">
        <w:rPr>
          <w:rFonts w:ascii="Lato" w:hAnsi="Lato"/>
          <w:b/>
          <w:bCs/>
          <w:color w:val="000000"/>
        </w:rPr>
        <w:t>Sytuacja osób niepełnosprawnych i ich opiekunów</w:t>
      </w:r>
      <w:bookmarkEnd w:id="71"/>
    </w:p>
    <w:p w14:paraId="433BA488" w14:textId="0F269F7A"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celu nabycia podstawowej wiedzy dotyczącej komunikacji z osobą niepełnosprawną oraz wypracowania adekwatnych i skutecznych zasad postępowania z osobami niepełnosprawnymi na stronie intranetowej Służby Więziennej udostępniono do wykorzystania służbowego podręcznik Judy Cohen pt. „Praktyczny poradnik savoir- vivre wobec osób niepełnosprawnych" oraz przekazano przydatne linki do filmów instruktażowych w ww. obszarze. Korzystają z niego funkcjonariusze i pracownicy Służby Więziennej oraz są one również udostępniane osadzonym.</w:t>
      </w:r>
    </w:p>
    <w:p w14:paraId="57C0C34A"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17CC8AD0"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zrealizowano szkolenia zawodowe skazanych pod nazwą „Opiekun osoby starszej lub niepełnosprawnej". W ramach ww. działań uczestniczyło w 2022r. 284 osadzonych, a w 2021 odpowiednio 323. Były one realizowane w ramach szkoleń finansowanych z Funduszu Pomocy Pokrzywdzonym oraz Pomocy Postpenitencjarnej. W tym obszarze w 2022 r. na terenie jednostek penitencjarnych 37 skazanych zatrudnionych było odpłatnie i 12 nieodpłatnie na stanowisku opiekuna osób starszych lub niepełnosprawnych.</w:t>
      </w:r>
      <w:bookmarkStart w:id="72" w:name="bookmark12"/>
    </w:p>
    <w:p w14:paraId="265E999D"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1353CFBE" w14:textId="3E94E895"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color w:val="000000"/>
        </w:rPr>
      </w:pPr>
      <w:r w:rsidRPr="00135D02">
        <w:rPr>
          <w:rFonts w:ascii="Lato" w:hAnsi="Lato"/>
          <w:b/>
          <w:bCs/>
          <w:color w:val="000000"/>
        </w:rPr>
        <w:t>Aktywność społeczna i obywatelska</w:t>
      </w:r>
      <w:bookmarkEnd w:id="72"/>
    </w:p>
    <w:p w14:paraId="1155656C" w14:textId="54BB0A26"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Seniorzy na zasadach ogólnych, a więc właściwych dla wszystkich osadzonych, mogą uczestniczyć w różnego rodzaju przedsięwzięciach mających na celu kształtowanie aktywności społecznej i obywatelskiej.</w:t>
      </w:r>
    </w:p>
    <w:p w14:paraId="2681482C"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142098F5" w14:textId="48BA76D5"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Osadzeni mający czynne prawo wyborcze, w tym osoby powyżej 60 r.ż., mają zapewnione prawo przysługujące obywatelom, które gwarantuje im możliwość udziału w głosowaniu i oddania głosu na swojego kandydata do organów przedstawicielskich państwa, Parlamentu Europejskiego, organów samorządu terytorialnego, bądź w referendum.</w:t>
      </w:r>
    </w:p>
    <w:p w14:paraId="346DA1B8"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4198B5BD"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 xml:space="preserve">Skazani korzystają również z oferty resocjalizacyjnej kierowanej do nich przez podmioty zewnętrzne takie jak m. in. fundacje, stowarzyszenia, instytucje, kościoły, związki wyznaniowe czy też osoby godne zaufania. Zgodnie z obowiązującymi przepisami dyrektorzy jednostek penitencjarnych mają obowiązek podpisania porozumień z ww. podmiotami w celu ustalenia zasad współpracy. W 2022 r. funkcjonowało około 1 107 takich porozumień z podmiotami, o których mowa w art. 38 i 41 §2 </w:t>
      </w:r>
      <w:proofErr w:type="spellStart"/>
      <w:r w:rsidRPr="00135D02">
        <w:rPr>
          <w:rFonts w:ascii="Lato" w:hAnsi="Lato"/>
          <w:color w:val="000000"/>
        </w:rPr>
        <w:t>Kkw</w:t>
      </w:r>
      <w:proofErr w:type="spellEnd"/>
      <w:r w:rsidRPr="00135D02">
        <w:rPr>
          <w:rFonts w:ascii="Lato" w:hAnsi="Lato"/>
          <w:color w:val="000000"/>
        </w:rPr>
        <w:t>.</w:t>
      </w:r>
    </w:p>
    <w:p w14:paraId="32B1C608"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73E10DAA"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Skazani motywowani są do podejmowania inicjatyw na rzecz społeczności więziennej jak i skierowanych na zewnątrz. Biorą udział w zajęciach teatralnych, muzycznych, dyskusyjnych klubach książki, spotkaniach z ciekawymi ludźmi, </w:t>
      </w:r>
      <w:proofErr w:type="spellStart"/>
      <w:r w:rsidRPr="00135D02">
        <w:rPr>
          <w:rFonts w:ascii="Lato" w:hAnsi="Lato"/>
          <w:color w:val="000000"/>
        </w:rPr>
        <w:t>meetingach</w:t>
      </w:r>
      <w:proofErr w:type="spellEnd"/>
      <w:r w:rsidRPr="00135D02">
        <w:rPr>
          <w:rFonts w:ascii="Lato" w:hAnsi="Lato"/>
          <w:color w:val="000000"/>
        </w:rPr>
        <w:t xml:space="preserve"> AA i AN oraz inicjatywach i przedsięwzięciach charytatywnych. Ww. skazanym umożliwia się korzystanie ze stanowisk komputerowych z dostępem do </w:t>
      </w:r>
      <w:r w:rsidRPr="00135D02">
        <w:rPr>
          <w:rFonts w:ascii="Lato" w:hAnsi="Lato"/>
          <w:color w:val="000000"/>
        </w:rPr>
        <w:lastRenderedPageBreak/>
        <w:t>wybranych serwisów, w tym do Biuletynu Informacji Publicznej SW.</w:t>
      </w:r>
      <w:bookmarkStart w:id="73" w:name="bookmark13"/>
    </w:p>
    <w:p w14:paraId="003A9E0D"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5C163C59" w14:textId="71AB816E"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rPr>
      </w:pPr>
      <w:r w:rsidRPr="00135D02">
        <w:rPr>
          <w:rFonts w:ascii="Lato" w:hAnsi="Lato"/>
          <w:b/>
          <w:bCs/>
          <w:color w:val="000000"/>
        </w:rPr>
        <w:t>Aktywność edukacyjna i kulturalna</w:t>
      </w:r>
      <w:bookmarkEnd w:id="73"/>
    </w:p>
    <w:p w14:paraId="5C16041D" w14:textId="248A3161"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jednostkach penitencjarnych w 2022 r. prowadzono różnorodną działalność kulturalno- oświatową i sportową skierowaną do osadzonych przebywających w izolacji, w tym również osób w podeszłym wieku. Zajęcia prowadzone są między innymi w 1064 salach i świetlicach w całej Polsce.</w:t>
      </w:r>
    </w:p>
    <w:p w14:paraId="64951B65"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53A8A7F2" w14:textId="4748E4A2"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Skazani we wszystkich zakładach karnych i aresztach śledczych mogą korzystać z pełnej oferty dostosowanych do potrzeb zajęć dodatkowych takich jak między innymi przedstawień teatralnych, koncertów muzycznych czy organizowanych konkursów. Mieli także możliwość zwiedzania wystaw tematycznych realizowanych na terenie jednostek organizacyjnych jak i poza nimi. Prowadzone są również koła zainteresowań, w których osadzeni mogą poszerzać swoje horyzonty poznawcze. W jednostkach penitencjarnych organizowane są wykłady edukacyjne prowadzone m.in. przez: Instytut Pamięci Narodowej, muzea, biblioteki, itd. Organizowane są także spotkania z ciekawymi ludźmi, autorskie programy i zajęcia mające na celu poszerzanie horyzontów myślowych i zainteresowań własnych osadzonych. Za zgodą dyrektora jednostki penitencjarnej senior może także realizować swoje zainteresowania, pasje lub hobby na zasadach indywidualnych. W 2022 r. funkcjonowało około: 80 pracowni plastycznych, 35 pracowni muzycznych oraz 80 czytelni. W bibliotekach więziennych istnieje możliwość zamawiania książek na podstawie udostępnianego do celi mieszkalnej katalogu, co jest szczególnie istotne w przypadku osób z niepełnosprawnością ruchu. W 2022 r. 103 biblioteki oferowały możliwość dostępu do audiobooków, co jest istotne dla osób w podeszłym wieku mających niejednokrotnie problemy ze wzrokiem. Wielu seniorów korzysta z zasobów bibliotek więziennych. We wszystkich jednostkach penitencjarnych regułą jest emitowanie słuchowisk za pomocą radiowęzła. Ww. słuchowiska pełnią przede wszystkim funkcje edukacyjne, poznawcze i informacyjne.</w:t>
      </w:r>
    </w:p>
    <w:p w14:paraId="5277E6C1"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083FDFD6"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W 2022 r. zrealizowano 69 programów wprost dedykowanych do osadzonych starszych, w których wzięło udział 542 osoby. Ponadto skazani korzystają z pełnej oferty programowej w zakładach karnych i aresztach śledczych. W 2022 r. przeprowadzono 7165 programów dla 76 577 osadzonych z poniżej wymienionych obszarów:</w:t>
      </w:r>
    </w:p>
    <w:p w14:paraId="43DE5D14" w14:textId="77777777" w:rsidR="00F653EB" w:rsidRPr="00135D02" w:rsidRDefault="003C730B" w:rsidP="00135D02">
      <w:pPr>
        <w:pStyle w:val="Teksttreci0"/>
        <w:numPr>
          <w:ilvl w:val="0"/>
          <w:numId w:val="194"/>
        </w:numPr>
        <w:shd w:val="clear" w:color="auto" w:fill="auto"/>
        <w:tabs>
          <w:tab w:val="left" w:pos="1100"/>
        </w:tabs>
        <w:spacing w:before="0" w:after="0" w:line="240" w:lineRule="auto"/>
        <w:jc w:val="both"/>
        <w:rPr>
          <w:rFonts w:ascii="Lato" w:hAnsi="Lato"/>
        </w:rPr>
      </w:pPr>
      <w:r w:rsidRPr="00135D02">
        <w:rPr>
          <w:rFonts w:ascii="Lato" w:hAnsi="Lato"/>
          <w:color w:val="000000"/>
        </w:rPr>
        <w:t>przeciwdziałania agresji i przemocy,</w:t>
      </w:r>
    </w:p>
    <w:p w14:paraId="49905AAD" w14:textId="77777777" w:rsidR="00F653EB" w:rsidRPr="00135D02" w:rsidRDefault="003C730B" w:rsidP="00135D02">
      <w:pPr>
        <w:pStyle w:val="Teksttreci0"/>
        <w:numPr>
          <w:ilvl w:val="0"/>
          <w:numId w:val="194"/>
        </w:numPr>
        <w:shd w:val="clear" w:color="auto" w:fill="auto"/>
        <w:tabs>
          <w:tab w:val="left" w:pos="1105"/>
        </w:tabs>
        <w:spacing w:before="0" w:after="0" w:line="240" w:lineRule="auto"/>
        <w:jc w:val="both"/>
        <w:rPr>
          <w:rFonts w:ascii="Lato" w:hAnsi="Lato"/>
        </w:rPr>
      </w:pPr>
      <w:r w:rsidRPr="00135D02">
        <w:rPr>
          <w:rFonts w:ascii="Lato" w:hAnsi="Lato"/>
          <w:color w:val="000000"/>
        </w:rPr>
        <w:t>przeciwdziałania uzależnieniom oraz nadużywaniu alkoholu lub używaniu narkotyków,</w:t>
      </w:r>
    </w:p>
    <w:p w14:paraId="09A498D8" w14:textId="77777777" w:rsidR="00F653EB" w:rsidRPr="00135D02" w:rsidRDefault="003C730B" w:rsidP="00135D02">
      <w:pPr>
        <w:pStyle w:val="Teksttreci0"/>
        <w:numPr>
          <w:ilvl w:val="0"/>
          <w:numId w:val="194"/>
        </w:numPr>
        <w:shd w:val="clear" w:color="auto" w:fill="auto"/>
        <w:tabs>
          <w:tab w:val="left" w:pos="1100"/>
        </w:tabs>
        <w:spacing w:before="0" w:after="0" w:line="240" w:lineRule="auto"/>
        <w:jc w:val="both"/>
        <w:rPr>
          <w:rFonts w:ascii="Lato" w:hAnsi="Lato"/>
        </w:rPr>
      </w:pPr>
      <w:r w:rsidRPr="00135D02">
        <w:rPr>
          <w:rFonts w:ascii="Lato" w:hAnsi="Lato"/>
          <w:color w:val="000000"/>
        </w:rPr>
        <w:t xml:space="preserve">przeciwdziałania </w:t>
      </w:r>
      <w:proofErr w:type="spellStart"/>
      <w:r w:rsidRPr="00135D02">
        <w:rPr>
          <w:rFonts w:ascii="Lato" w:hAnsi="Lato"/>
          <w:color w:val="000000"/>
        </w:rPr>
        <w:t>prokryminalnym</w:t>
      </w:r>
      <w:proofErr w:type="spellEnd"/>
      <w:r w:rsidRPr="00135D02">
        <w:rPr>
          <w:rFonts w:ascii="Lato" w:hAnsi="Lato"/>
          <w:color w:val="000000"/>
        </w:rPr>
        <w:t xml:space="preserve"> postawom,</w:t>
      </w:r>
    </w:p>
    <w:p w14:paraId="36F9DBF8" w14:textId="77777777" w:rsidR="00F653EB" w:rsidRPr="00135D02" w:rsidRDefault="003C730B" w:rsidP="00135D02">
      <w:pPr>
        <w:pStyle w:val="Teksttreci0"/>
        <w:numPr>
          <w:ilvl w:val="0"/>
          <w:numId w:val="194"/>
        </w:numPr>
        <w:shd w:val="clear" w:color="auto" w:fill="auto"/>
        <w:tabs>
          <w:tab w:val="left" w:pos="1105"/>
        </w:tabs>
        <w:spacing w:before="0" w:after="0" w:line="240" w:lineRule="auto"/>
        <w:jc w:val="both"/>
        <w:rPr>
          <w:rFonts w:ascii="Lato" w:hAnsi="Lato"/>
        </w:rPr>
      </w:pPr>
      <w:r w:rsidRPr="00135D02">
        <w:rPr>
          <w:rFonts w:ascii="Lato" w:hAnsi="Lato"/>
          <w:color w:val="000000"/>
        </w:rPr>
        <w:t>aktywizacji zawodowej i promocji zatrudnienia,</w:t>
      </w:r>
    </w:p>
    <w:p w14:paraId="1B74CA1A" w14:textId="77777777" w:rsidR="00F653EB" w:rsidRPr="00135D02" w:rsidRDefault="003C730B" w:rsidP="00135D02">
      <w:pPr>
        <w:pStyle w:val="Teksttreci0"/>
        <w:numPr>
          <w:ilvl w:val="0"/>
          <w:numId w:val="194"/>
        </w:numPr>
        <w:shd w:val="clear" w:color="auto" w:fill="auto"/>
        <w:tabs>
          <w:tab w:val="left" w:pos="1114"/>
        </w:tabs>
        <w:spacing w:before="0" w:after="0" w:line="240" w:lineRule="auto"/>
        <w:jc w:val="both"/>
        <w:rPr>
          <w:rFonts w:ascii="Lato" w:hAnsi="Lato"/>
        </w:rPr>
      </w:pPr>
      <w:r w:rsidRPr="00135D02">
        <w:rPr>
          <w:rFonts w:ascii="Lato" w:hAnsi="Lato"/>
          <w:color w:val="000000"/>
        </w:rPr>
        <w:t>kształtowania umiejętności społecznych i poznawczych,</w:t>
      </w:r>
    </w:p>
    <w:p w14:paraId="40180267" w14:textId="77777777" w:rsidR="00F653EB" w:rsidRPr="00135D02" w:rsidRDefault="003C730B" w:rsidP="00135D02">
      <w:pPr>
        <w:pStyle w:val="Teksttreci0"/>
        <w:numPr>
          <w:ilvl w:val="0"/>
          <w:numId w:val="194"/>
        </w:numPr>
        <w:shd w:val="clear" w:color="auto" w:fill="auto"/>
        <w:tabs>
          <w:tab w:val="left" w:pos="1105"/>
        </w:tabs>
        <w:spacing w:before="0" w:after="0" w:line="240" w:lineRule="auto"/>
        <w:jc w:val="both"/>
        <w:rPr>
          <w:rFonts w:ascii="Lato" w:hAnsi="Lato"/>
        </w:rPr>
      </w:pPr>
      <w:r w:rsidRPr="00135D02">
        <w:rPr>
          <w:rFonts w:ascii="Lato" w:hAnsi="Lato"/>
          <w:color w:val="000000"/>
        </w:rPr>
        <w:t>integracji rodzin,</w:t>
      </w:r>
    </w:p>
    <w:p w14:paraId="4E7B408E" w14:textId="7420FEFC" w:rsidR="003C730B" w:rsidRPr="00135D02" w:rsidRDefault="003C730B" w:rsidP="00135D02">
      <w:pPr>
        <w:pStyle w:val="Teksttreci0"/>
        <w:numPr>
          <w:ilvl w:val="0"/>
          <w:numId w:val="194"/>
        </w:numPr>
        <w:shd w:val="clear" w:color="auto" w:fill="auto"/>
        <w:tabs>
          <w:tab w:val="left" w:pos="1105"/>
        </w:tabs>
        <w:spacing w:before="0" w:after="0" w:line="240" w:lineRule="auto"/>
        <w:jc w:val="both"/>
        <w:rPr>
          <w:rFonts w:ascii="Lato" w:hAnsi="Lato"/>
        </w:rPr>
      </w:pPr>
      <w:r w:rsidRPr="00135D02">
        <w:rPr>
          <w:rFonts w:ascii="Lato" w:hAnsi="Lato"/>
          <w:color w:val="000000"/>
        </w:rPr>
        <w:t>zapobiegania negatywnym skutkom izolacji, zwłaszcza wobec skazanych odbywających długoterminowe kary pozbawienia wolności.</w:t>
      </w:r>
    </w:p>
    <w:p w14:paraId="30E2F405" w14:textId="77777777" w:rsidR="00F653EB" w:rsidRPr="00135D02" w:rsidRDefault="00F653EB" w:rsidP="00135D02">
      <w:pPr>
        <w:pStyle w:val="Teksttreci0"/>
        <w:shd w:val="clear" w:color="auto" w:fill="auto"/>
        <w:tabs>
          <w:tab w:val="left" w:pos="1105"/>
        </w:tabs>
        <w:spacing w:before="0" w:after="0" w:line="240" w:lineRule="auto"/>
        <w:ind w:left="720" w:firstLine="0"/>
        <w:jc w:val="both"/>
        <w:rPr>
          <w:rFonts w:ascii="Lato" w:hAnsi="Lato"/>
        </w:rPr>
      </w:pPr>
    </w:p>
    <w:p w14:paraId="1E623EAC"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W ww. programach wzięło udział 1949 seniorów. W celu redukowania najczęstszych deficytów w populacji osób pozbawionych wolności, Biuro Penitencjarne implementowało trzy programy readaptacyjne ukierunkowane na przeciwdziałanie przemocy i agresji - Trening Zastępowania Agresji - ART, program dla sprawców przemocy wg modelu Duluth oraz Stop przemocy - druga szansa. Powyższe oferty programowe są kierowane do osadzonych, którzy są skazani m.in. z art. 207 Kodeksu karnego oraz takich, których zgromadzona dokumentacja </w:t>
      </w:r>
      <w:proofErr w:type="spellStart"/>
      <w:r w:rsidRPr="00135D02">
        <w:rPr>
          <w:rFonts w:ascii="Lato" w:hAnsi="Lato"/>
          <w:color w:val="000000"/>
        </w:rPr>
        <w:t>osobopoznawcza</w:t>
      </w:r>
      <w:proofErr w:type="spellEnd"/>
      <w:r w:rsidRPr="00135D02">
        <w:rPr>
          <w:rFonts w:ascii="Lato" w:hAnsi="Lato"/>
          <w:color w:val="000000"/>
        </w:rPr>
        <w:t xml:space="preserve"> wskazuje na możliwość stosowania </w:t>
      </w:r>
      <w:proofErr w:type="spellStart"/>
      <w:r w:rsidRPr="00135D02">
        <w:rPr>
          <w:rFonts w:ascii="Lato" w:hAnsi="Lato"/>
          <w:color w:val="000000"/>
        </w:rPr>
        <w:t>zachowań</w:t>
      </w:r>
      <w:proofErr w:type="spellEnd"/>
      <w:r w:rsidRPr="00135D02">
        <w:rPr>
          <w:rFonts w:ascii="Lato" w:hAnsi="Lato"/>
          <w:color w:val="000000"/>
        </w:rPr>
        <w:t xml:space="preserve"> agresywnych i </w:t>
      </w:r>
      <w:proofErr w:type="spellStart"/>
      <w:r w:rsidRPr="00135D02">
        <w:rPr>
          <w:rFonts w:ascii="Lato" w:hAnsi="Lato"/>
          <w:color w:val="000000"/>
        </w:rPr>
        <w:t>przemocowych</w:t>
      </w:r>
      <w:proofErr w:type="spellEnd"/>
      <w:r w:rsidRPr="00135D02">
        <w:rPr>
          <w:rFonts w:ascii="Lato" w:hAnsi="Lato"/>
          <w:color w:val="000000"/>
        </w:rPr>
        <w:t>. Poza ww. programami, więziennictwo w ramach wymiany z norweską służbą więzienną, adoptowało program „Motywator", który ukierunkowany jest na wzbudzanie w populacji osadzonych motywacji do konstruktywnej zmiany osobistej. Udział w tym programie wiąże się z wzmacnianiem motywacji i zaangażowania osadzonych do korzystania z więziennej oferty penitencjarnej i terapeutycznej.</w:t>
      </w:r>
      <w:bookmarkStart w:id="74" w:name="bookmark14"/>
    </w:p>
    <w:p w14:paraId="546EC200"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62F2F557" w14:textId="5B915FFB" w:rsidR="003C730B" w:rsidRPr="00135D02" w:rsidRDefault="003C730B" w:rsidP="00135D02">
      <w:pPr>
        <w:pStyle w:val="Teksttreci0"/>
        <w:numPr>
          <w:ilvl w:val="0"/>
          <w:numId w:val="192"/>
        </w:numPr>
        <w:shd w:val="clear" w:color="auto" w:fill="auto"/>
        <w:spacing w:before="0" w:after="0" w:line="240" w:lineRule="auto"/>
        <w:ind w:right="20"/>
        <w:jc w:val="both"/>
        <w:rPr>
          <w:rFonts w:ascii="Lato" w:hAnsi="Lato"/>
          <w:b/>
          <w:bCs/>
          <w:color w:val="000000"/>
        </w:rPr>
      </w:pPr>
      <w:r w:rsidRPr="00135D02">
        <w:rPr>
          <w:rFonts w:ascii="Lato" w:hAnsi="Lato"/>
          <w:b/>
          <w:bCs/>
          <w:color w:val="000000"/>
        </w:rPr>
        <w:t>Aktywność sportowa i rekreacyjna</w:t>
      </w:r>
      <w:bookmarkEnd w:id="74"/>
    </w:p>
    <w:p w14:paraId="75B5B035" w14:textId="6B0EA325"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Aktywność rekreacyjna i sportowa seniorów podczas pobytu w warunkach izolacji penitencjarnej nie jest w żaden sposób ograniczana, za wyjątkiem przeciwwskazań lekarskich. Poza ogólnodostępnymi zajęciami sportowymi, w jednostkach organizowane są zajęcia sportowe dedykowane seniorom, których celem jest ich aktywizacja ruchowa. Oprócz siłowni wewnętrznych w jednostkach penitencjarnych funkcjonują także tzw. zielone siłownie, czyli wyodrębnione na wolnym powietrzu place dostosowane do umiarkowanej aktywności rekreacyjno-ruchowej. Około 670 punktów z ww. urządzeniami zlokalizowane są na polach spacerowych, a ok. 60 w innych miejscach na terenie jednostek penitencjarnych, z czego </w:t>
      </w:r>
      <w:r w:rsidRPr="00135D02">
        <w:rPr>
          <w:rFonts w:ascii="Lato" w:hAnsi="Lato"/>
          <w:color w:val="000000"/>
        </w:rPr>
        <w:lastRenderedPageBreak/>
        <w:t xml:space="preserve">około 120 jest dostosowanych do potrzeb osób z obniżoną motoryką. Ponadto w ofercie znajdują się zajęcia dedykowane wprost do osób starszych uwzględniając ich potrzeby i potencjał, co często przekłada się na prowadzenie zajęć o niskim stopniu obciążenia fizycznego np. zajęcia </w:t>
      </w:r>
      <w:proofErr w:type="spellStart"/>
      <w:r w:rsidRPr="00135D02">
        <w:rPr>
          <w:rFonts w:ascii="Lato" w:hAnsi="Lato"/>
          <w:color w:val="000000"/>
        </w:rPr>
        <w:t>nordic</w:t>
      </w:r>
      <w:proofErr w:type="spellEnd"/>
      <w:r w:rsidRPr="00135D02">
        <w:rPr>
          <w:rFonts w:ascii="Lato" w:hAnsi="Lato"/>
          <w:color w:val="000000"/>
        </w:rPr>
        <w:t xml:space="preserve"> </w:t>
      </w:r>
      <w:proofErr w:type="spellStart"/>
      <w:r w:rsidRPr="00135D02">
        <w:rPr>
          <w:rFonts w:ascii="Lato" w:hAnsi="Lato"/>
          <w:color w:val="000000"/>
        </w:rPr>
        <w:t>walking</w:t>
      </w:r>
      <w:proofErr w:type="spellEnd"/>
      <w:r w:rsidRPr="00135D02">
        <w:rPr>
          <w:rFonts w:ascii="Lato" w:hAnsi="Lato"/>
          <w:color w:val="000000"/>
        </w:rPr>
        <w:t>, gimnastyka, joga</w:t>
      </w:r>
      <w:bookmarkStart w:id="75" w:name="bookmark15"/>
      <w:r w:rsidR="00F653EB" w:rsidRPr="00135D02">
        <w:rPr>
          <w:rFonts w:ascii="Lato" w:hAnsi="Lato"/>
          <w:color w:val="000000"/>
        </w:rPr>
        <w:t>.</w:t>
      </w:r>
    </w:p>
    <w:p w14:paraId="2B95C4A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26D1EFF7" w14:textId="731C064F" w:rsidR="003C730B" w:rsidRPr="00135D02" w:rsidRDefault="003C730B" w:rsidP="00135D02">
      <w:pPr>
        <w:pStyle w:val="Teksttreci0"/>
        <w:shd w:val="clear" w:color="auto" w:fill="auto"/>
        <w:spacing w:before="0" w:after="0" w:line="240" w:lineRule="auto"/>
        <w:ind w:left="20" w:right="20" w:firstLine="0"/>
        <w:jc w:val="both"/>
        <w:rPr>
          <w:rFonts w:ascii="Lato" w:hAnsi="Lato"/>
          <w:b/>
          <w:bCs/>
        </w:rPr>
      </w:pPr>
      <w:r w:rsidRPr="00135D02">
        <w:rPr>
          <w:rFonts w:ascii="Lato" w:hAnsi="Lato"/>
          <w:b/>
          <w:bCs/>
          <w:color w:val="000000"/>
        </w:rPr>
        <w:t>Równe traktowanie i przeciwdziałanie dyskryminacji ze względu na wiek</w:t>
      </w:r>
      <w:bookmarkEnd w:id="75"/>
    </w:p>
    <w:p w14:paraId="5EEFA6FA" w14:textId="4F97F1C6"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Służba Więzienna realizując oddziaływania penitencjarne przestrzega zasad równego traktowania i przeciwdziałania dyskryminacji ze względu na wiek. Osadzeni seniorzy są traktowani w sposób humanitarny, z poszanowaniem ich uprawnień oraz ograniczeń wynikających w wieku, stanu zdrowia psychofizycznego oraz kompetencji psychospołecznych. W ramach obowiązujących regulacji są integrowani z pozostałą populacją osadzonych.</w:t>
      </w:r>
    </w:p>
    <w:p w14:paraId="132310F9"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AE5B344" w14:textId="434EE458"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celu przeciwdziałania ewentualnej dyskryminacji bądź nierównemu traktowaniu seniorów, w jednostkach penitencjarnych funkcjonariusze i pracownicy (w szczególności pełniący służbę w bezpośrednim kontakcie z osadzonymi) stale poszerzają swoją wiedzę w trakcie różnorodnych szkoleń. Kursy te były realizowane z pomocą podmiotów zewnętrznych. W 2022 r. przeszkolono 7641 funkcjonariuszy wszystkich pionów Służby Więziennej, a w 2021 odpowiednio 8529 osób. Działania obejmujące walkę z dyskryminacją z uwagi na wiek i posiadaną niepełnosprawność prowadzone są również wśród osadzonych. W 2022 r. zorganizowano wiele spotkań i prelekcji o tej tematyce, w których udział wzięło około 1 800 osadzonych.</w:t>
      </w:r>
    </w:p>
    <w:p w14:paraId="449ACD2C"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CFBA480" w14:textId="5FA1122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Przedstawiona informacja pozwala stwierdzić, że grupa osadzonych w wieku senioralnym, tj. powyżej 60 roku życia, jest grupą, wobec której więziennictwo wypełnia swoje ustawowe podstawowe obowiązki. Co więcej, aktywność jednostek penitencjarnych wraz ze wzrostem populacji osadzonych seniorów, jest w tym zakresie intensyfikowana. Niemniej jednak niezwykle ważnym aspektem z punktu widzenia oddziaływań penitencjarnych jest zaspokojenie potrzeb skazanego i przygotowanie go do życia na wolności. Wiek senioralny jest źródłem utraty zdolności adaptacyjnych jednostki na płaszczyźnie biologicznej, psychicznej i społecznej, dlatego ważna jest indywidualizacja wykonywania kary pozbawienia wolności wobec tej grupy skazanych. Przez ten pryzmat w 2022 r. w podległych jednostkach penitencjarnych, dobierano środki i oddziaływania penitencjarne, terapeutyczne i rehabilitacyjne wobec tej grupy osób. Sytuacja panującej w Polsce pandemii spowodowała zintensyfikowanie działań pomocowych w formie indywidualnej lub w bardzo małych grupach z uwagi na konieczność zachowania reżimu sanitarnego.</w:t>
      </w:r>
    </w:p>
    <w:p w14:paraId="41423ABC"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4CE284A9" w14:textId="77777777" w:rsidR="003C730B" w:rsidRPr="00135D02" w:rsidRDefault="003C730B" w:rsidP="00135D02">
      <w:pPr>
        <w:pStyle w:val="Teksttreci0"/>
        <w:shd w:val="clear" w:color="auto" w:fill="auto"/>
        <w:spacing w:before="0" w:after="0" w:line="240" w:lineRule="auto"/>
        <w:ind w:left="20" w:right="20" w:firstLine="0"/>
        <w:jc w:val="both"/>
        <w:rPr>
          <w:rFonts w:ascii="Lato" w:hAnsi="Lato"/>
        </w:rPr>
      </w:pPr>
      <w:r w:rsidRPr="00135D02">
        <w:rPr>
          <w:rFonts w:ascii="Lato" w:hAnsi="Lato"/>
          <w:color w:val="000000"/>
        </w:rPr>
        <w:t>Wnioski i rekomendacje zawarte w „Informacji o sytuacji osób starszych w Polsce za rok 2020" opublikowanej przez Ministerstwo Rodziny, Pracy i Polityki Społecznej, które zalecają prowadzenie działań mających na celu m.in.:</w:t>
      </w:r>
    </w:p>
    <w:p w14:paraId="29083025" w14:textId="77777777" w:rsidR="003C730B" w:rsidRPr="00135D02" w:rsidRDefault="003C730B" w:rsidP="00135D02">
      <w:pPr>
        <w:pStyle w:val="Teksttreci0"/>
        <w:numPr>
          <w:ilvl w:val="0"/>
          <w:numId w:val="187"/>
        </w:numPr>
        <w:shd w:val="clear" w:color="auto" w:fill="auto"/>
        <w:tabs>
          <w:tab w:val="left" w:pos="346"/>
        </w:tabs>
        <w:spacing w:before="0" w:after="0" w:line="240" w:lineRule="auto"/>
        <w:ind w:left="720" w:right="20"/>
        <w:jc w:val="both"/>
        <w:rPr>
          <w:rFonts w:ascii="Lato" w:hAnsi="Lato"/>
        </w:rPr>
      </w:pPr>
      <w:r w:rsidRPr="00135D02">
        <w:rPr>
          <w:rFonts w:ascii="Lato" w:hAnsi="Lato"/>
          <w:color w:val="000000"/>
        </w:rPr>
        <w:t xml:space="preserve">Zapewnienie optymalnego dostępu do usług zdrowotnych, rehabilitacyjnych i opiekuńczo-pielęgnacyjnych, dostosowanych do potrzeb osób starszych, w tym </w:t>
      </w:r>
      <w:proofErr w:type="spellStart"/>
      <w:r w:rsidRPr="00135D02">
        <w:rPr>
          <w:rFonts w:ascii="Lato" w:hAnsi="Lato"/>
          <w:color w:val="000000"/>
        </w:rPr>
        <w:t>teleopieki</w:t>
      </w:r>
      <w:proofErr w:type="spellEnd"/>
      <w:r w:rsidRPr="00135D02">
        <w:rPr>
          <w:rFonts w:ascii="Lato" w:hAnsi="Lato"/>
          <w:color w:val="000000"/>
        </w:rPr>
        <w:t xml:space="preserve"> i telemedycyny,</w:t>
      </w:r>
    </w:p>
    <w:p w14:paraId="3A2BD2BC" w14:textId="77777777" w:rsidR="003C730B" w:rsidRPr="00135D02" w:rsidRDefault="003C730B" w:rsidP="00135D02">
      <w:pPr>
        <w:pStyle w:val="Teksttreci0"/>
        <w:numPr>
          <w:ilvl w:val="0"/>
          <w:numId w:val="187"/>
        </w:numPr>
        <w:shd w:val="clear" w:color="auto" w:fill="auto"/>
        <w:tabs>
          <w:tab w:val="left" w:pos="350"/>
        </w:tabs>
        <w:spacing w:before="0" w:after="0" w:line="240" w:lineRule="auto"/>
        <w:ind w:left="720" w:right="20"/>
        <w:jc w:val="both"/>
        <w:rPr>
          <w:rFonts w:ascii="Lato" w:hAnsi="Lato"/>
        </w:rPr>
      </w:pPr>
      <w:r w:rsidRPr="00135D02">
        <w:rPr>
          <w:rFonts w:ascii="Lato" w:hAnsi="Lato"/>
          <w:color w:val="000000"/>
        </w:rPr>
        <w:t>Wsparcie niesamodzielnych osób starszych i ich opiekunów w codziennym funkcjonowaniu, z wykorzystaniem nowych technologii,</w:t>
      </w:r>
    </w:p>
    <w:p w14:paraId="3E40413A" w14:textId="77777777" w:rsidR="003C730B" w:rsidRPr="00135D02" w:rsidRDefault="003C730B" w:rsidP="00135D02">
      <w:pPr>
        <w:pStyle w:val="Teksttreci0"/>
        <w:numPr>
          <w:ilvl w:val="0"/>
          <w:numId w:val="187"/>
        </w:numPr>
        <w:shd w:val="clear" w:color="auto" w:fill="auto"/>
        <w:tabs>
          <w:tab w:val="left" w:pos="370"/>
        </w:tabs>
        <w:spacing w:before="0" w:after="0" w:line="240" w:lineRule="auto"/>
        <w:ind w:left="720" w:right="20"/>
        <w:jc w:val="both"/>
        <w:rPr>
          <w:rFonts w:ascii="Lato" w:hAnsi="Lato"/>
        </w:rPr>
      </w:pPr>
      <w:r w:rsidRPr="00135D02">
        <w:rPr>
          <w:rFonts w:ascii="Lato" w:hAnsi="Lato"/>
          <w:color w:val="000000"/>
        </w:rPr>
        <w:t>Likwidowanie barier funkcjonalnych w pełnym udziale osób starszych w życiu społecznym i publicznym oraz wzbogacenie oferty spędzania czasu wolnego wśród osób starszych, w tym z wykorzystaniem e-produktów/usług,</w:t>
      </w:r>
    </w:p>
    <w:p w14:paraId="42131A1F" w14:textId="77777777" w:rsidR="003C730B" w:rsidRPr="00135D02" w:rsidRDefault="003C730B" w:rsidP="00135D02">
      <w:pPr>
        <w:pStyle w:val="Teksttreci0"/>
        <w:numPr>
          <w:ilvl w:val="0"/>
          <w:numId w:val="187"/>
        </w:numPr>
        <w:shd w:val="clear" w:color="auto" w:fill="auto"/>
        <w:tabs>
          <w:tab w:val="left" w:pos="365"/>
        </w:tabs>
        <w:spacing w:before="0" w:after="0" w:line="240" w:lineRule="auto"/>
        <w:ind w:left="720" w:right="20"/>
        <w:jc w:val="both"/>
        <w:rPr>
          <w:rFonts w:ascii="Lato" w:hAnsi="Lato"/>
        </w:rPr>
      </w:pPr>
      <w:r w:rsidRPr="00135D02">
        <w:rPr>
          <w:rFonts w:ascii="Lato" w:hAnsi="Lato"/>
          <w:color w:val="000000"/>
        </w:rPr>
        <w:t>Organizowanie zajęć, szkoleń, kursów itp. umożliwiających nabywanie nowych umiejętności i kompetencji wśród osób starszych oraz wzmacniających ich pozycję w środowisku lokalnym oraz na rynku pracy,</w:t>
      </w:r>
    </w:p>
    <w:p w14:paraId="71DDFF1C" w14:textId="77777777" w:rsidR="003C730B" w:rsidRPr="00135D02" w:rsidRDefault="003C730B" w:rsidP="00135D02">
      <w:pPr>
        <w:pStyle w:val="Teksttreci0"/>
        <w:numPr>
          <w:ilvl w:val="0"/>
          <w:numId w:val="187"/>
        </w:numPr>
        <w:shd w:val="clear" w:color="auto" w:fill="auto"/>
        <w:tabs>
          <w:tab w:val="left" w:pos="360"/>
        </w:tabs>
        <w:spacing w:before="0" w:after="0" w:line="240" w:lineRule="auto"/>
        <w:ind w:left="720" w:right="20"/>
        <w:jc w:val="both"/>
        <w:rPr>
          <w:rFonts w:ascii="Lato" w:hAnsi="Lato"/>
        </w:rPr>
      </w:pPr>
      <w:r w:rsidRPr="00135D02">
        <w:rPr>
          <w:rFonts w:ascii="Lato" w:hAnsi="Lato"/>
          <w:color w:val="000000"/>
        </w:rPr>
        <w:t>Organizowanie przedsięwzięć o charakterze kulturalnym, edukacyjnym, sportowym, rekreacyjnym w celu zagospodarowania czasu wolnego osób starszych oraz wzmacniania integracji wewnątrz - i międzypokoleniowej,</w:t>
      </w:r>
    </w:p>
    <w:p w14:paraId="6C90CBEE" w14:textId="77777777" w:rsidR="003C730B" w:rsidRPr="00135D02" w:rsidRDefault="003C730B" w:rsidP="00135D02">
      <w:pPr>
        <w:pStyle w:val="Teksttreci0"/>
        <w:numPr>
          <w:ilvl w:val="0"/>
          <w:numId w:val="187"/>
        </w:numPr>
        <w:shd w:val="clear" w:color="auto" w:fill="auto"/>
        <w:tabs>
          <w:tab w:val="left" w:pos="370"/>
        </w:tabs>
        <w:spacing w:before="0" w:after="0" w:line="240" w:lineRule="auto"/>
        <w:ind w:left="720" w:right="20"/>
        <w:jc w:val="both"/>
        <w:rPr>
          <w:rFonts w:ascii="Lato" w:hAnsi="Lato"/>
        </w:rPr>
      </w:pPr>
      <w:r w:rsidRPr="00135D02">
        <w:rPr>
          <w:rFonts w:ascii="Lato" w:hAnsi="Lato"/>
          <w:color w:val="000000"/>
        </w:rPr>
        <w:t>Kształtowanie pozytywnego wizerunku osób starszych w społeczeństwie oraz wykorzystanie ich potencjału, wiedzy i doświadczenia w ramach np. wolontariatu na rzecz społeczności lokalnej,</w:t>
      </w:r>
    </w:p>
    <w:p w14:paraId="09EC65EC" w14:textId="77777777" w:rsidR="003C730B" w:rsidRPr="00135D02" w:rsidRDefault="003C730B" w:rsidP="00135D02">
      <w:pPr>
        <w:pStyle w:val="Teksttreci0"/>
        <w:numPr>
          <w:ilvl w:val="0"/>
          <w:numId w:val="187"/>
        </w:numPr>
        <w:shd w:val="clear" w:color="auto" w:fill="auto"/>
        <w:tabs>
          <w:tab w:val="left" w:pos="390"/>
        </w:tabs>
        <w:spacing w:before="0" w:after="0" w:line="240" w:lineRule="auto"/>
        <w:ind w:left="720"/>
        <w:jc w:val="both"/>
        <w:rPr>
          <w:rFonts w:ascii="Lato" w:hAnsi="Lato"/>
        </w:rPr>
      </w:pPr>
      <w:r w:rsidRPr="00135D02">
        <w:rPr>
          <w:rFonts w:ascii="Lato" w:hAnsi="Lato"/>
          <w:color w:val="000000"/>
        </w:rPr>
        <w:t>Przeciwdziałanie przemocy i dyskryminacji wobec osób starszych.</w:t>
      </w:r>
    </w:p>
    <w:p w14:paraId="0E3ACA4F" w14:textId="77777777" w:rsidR="00F653E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są realizowane przez Służbę Więzienną. Analiza przedstawionych w niniejszym opracowaniu danych pozwala stwierdzić, że więziennictwo podejmuje szereg inicjatyw mających za zadanie wspieranie tej grupy osób pozbawionych wolności.</w:t>
      </w:r>
      <w:bookmarkStart w:id="76" w:name="bookmark17"/>
    </w:p>
    <w:p w14:paraId="5FCA3745"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color w:val="000000"/>
        </w:rPr>
      </w:pPr>
    </w:p>
    <w:p w14:paraId="488E36B0" w14:textId="152AF4A5" w:rsidR="003C730B" w:rsidRPr="00135D02" w:rsidRDefault="003C730B" w:rsidP="00135D02">
      <w:pPr>
        <w:pStyle w:val="Teksttreci0"/>
        <w:shd w:val="clear" w:color="auto" w:fill="auto"/>
        <w:spacing w:before="0" w:after="0" w:line="240" w:lineRule="auto"/>
        <w:ind w:left="20" w:right="20" w:firstLine="0"/>
        <w:jc w:val="both"/>
        <w:rPr>
          <w:rFonts w:ascii="Lato" w:hAnsi="Lato"/>
          <w:b/>
          <w:bCs/>
          <w:color w:val="000000"/>
        </w:rPr>
      </w:pPr>
      <w:r w:rsidRPr="00135D02">
        <w:rPr>
          <w:rFonts w:ascii="Lato" w:hAnsi="Lato"/>
          <w:b/>
          <w:bCs/>
          <w:color w:val="000000"/>
        </w:rPr>
        <w:t xml:space="preserve">Wnioski i rekomendacje dotyczące przyszłych zadań i inicjatyw, które należy podjąć w celu kształtowania </w:t>
      </w:r>
      <w:r w:rsidRPr="00135D02">
        <w:rPr>
          <w:rFonts w:ascii="Lato" w:hAnsi="Lato"/>
          <w:b/>
          <w:bCs/>
          <w:color w:val="000000"/>
        </w:rPr>
        <w:lastRenderedPageBreak/>
        <w:t>warunków godnego i zdrowego starzenia się</w:t>
      </w:r>
      <w:bookmarkEnd w:id="76"/>
    </w:p>
    <w:p w14:paraId="12D4DBAD" w14:textId="6BB738B8"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 xml:space="preserve">Aktualne pozostają wnioski zawarte w analizie za 2022 r. w zakresie dokładania dużej staranności w doborze innych osadzonych do wspólnego zakwaterowania w celi mieszkalnej z seniorami, gdzie liczebność tych cel nie powinna być zbyt znaczna. Ponadto konieczne jest także prowadzenie stałego rozpoznania nastrojów wśród osadzonych przebywających z osobami w wieku senioralnym, by zapobiegać </w:t>
      </w:r>
      <w:proofErr w:type="spellStart"/>
      <w:r w:rsidRPr="00135D02">
        <w:rPr>
          <w:rFonts w:ascii="Lato" w:hAnsi="Lato"/>
          <w:color w:val="000000"/>
        </w:rPr>
        <w:t>zachowaniom</w:t>
      </w:r>
      <w:proofErr w:type="spellEnd"/>
      <w:r w:rsidRPr="00135D02">
        <w:rPr>
          <w:rFonts w:ascii="Lato" w:hAnsi="Lato"/>
          <w:color w:val="000000"/>
        </w:rPr>
        <w:t xml:space="preserve"> dyskryminacyjnym, a nawet </w:t>
      </w:r>
      <w:proofErr w:type="spellStart"/>
      <w:r w:rsidRPr="00135D02">
        <w:rPr>
          <w:rFonts w:ascii="Lato" w:hAnsi="Lato"/>
          <w:color w:val="000000"/>
        </w:rPr>
        <w:t>przemocowym</w:t>
      </w:r>
      <w:proofErr w:type="spellEnd"/>
      <w:r w:rsidRPr="00135D02">
        <w:rPr>
          <w:rFonts w:ascii="Lato" w:hAnsi="Lato"/>
          <w:color w:val="000000"/>
        </w:rPr>
        <w:t xml:space="preserve"> czy agresywnym względem nich. Bardzo dobrym rozwiązaniem, jest możliwość kwaterowania seniorów lub zapewniania im pomocy przez innych osadzonych posiadających odpowiednie kwalifikacje z zakresu udzielania pomocy w codziennej egzystencji osobom starszym (postępowanie to ma już zastosowanie w § 55 ust. 3 zarządzenia nr 19/16 Dyrektora Generalnego Służby Więziennej z dnia 14 kwietnia 2016 r. w sprawie szczegółowych zasad prowadzenia i organizacji pracy penitencjarnej oraz zakresów czynności funkcjonariuszy i pracowników działów penitencjarnych i terapeutycznych oraz oddziałów penitencjarnych).</w:t>
      </w:r>
    </w:p>
    <w:p w14:paraId="6F07CA4D"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0AFC383E" w14:textId="18E8D5B3"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Należy podkreślić, że znacząco wzrosła liczba funkcjonariuszy i pracowników cywilnych Służby Więziennej, która została poddana wszechstronnym szkoleniom z zakresu m.in. gerontologii resocjalizacyjnej. Istotnym jest aby, w przypadku utrzymującego się wzrostu populacji seniorów przebywających w więzieniach, stale monitorować stan opieki medycznej nad tą grupa osadzonych. Skazani w wieku powyżej 60 lat generują konieczność zapewnienia wyższych nakładów finansowych na opiekę medyczną oraz większe zapotrzebowanie na specjalistyczne porady lekarskie, długotrwałe leczenie farmakologiczne, zapewnienie im opieki pielęgnacyjnej, a także zaopatrzenie w przedmioty ortopedyczne oraz środki pomocnicze.</w:t>
      </w:r>
    </w:p>
    <w:p w14:paraId="375AF2E5"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09066570" w14:textId="3724FDE1"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Z uwagi na to, że postawa wycofania i bierności osadzonych seniorów wzmaga u nich brak poczucia wartości, umacnia negatywny bilans życia, co w konsekwencji może negatywnie rzutować na ich stan zdrowia psychofizycznego, kadra penitencjarna winna zwracać większą uwagę na to, jak ta grupa osadzonych funkcjonuje w warunkach izolacji penitencjarnej. Należy też obejmować ich w miarę potrzeby pełnym wachlarzem oddziaływań penitencjarnych (terapia, programy, zajęcia kulturalno-oświatowe, sportowe i inne). To, co wydaje się ważne w perspektywicznym myśleniu w zakresie doskonalenia podejmowanych oddziaływań, to stworzenie indywidualnego podejścia dla konkretnej grupy więźniów, ze szczególnym uwzględnieniem skazanych w wieku senioralnym. Starości nie da się uniknąć, gdyż jest kolejnym etapem rozwoju człowieka, nie można także wykluczyć czynników ryzyka zaburzeń pojawiających się częściej w tym okresie życia. Należy jednak podejmować wszelkie działania profilaktyczne i diagnostyczne, mające na celu podtrzymanie lub poprawienie jakości - standardu życia osób starszych. Ważne jest także zabezpieczenie ich przed poczuciem osamotnienia, wykluczenia społecznego i marginalizacji.</w:t>
      </w:r>
    </w:p>
    <w:p w14:paraId="212C6D8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556E3508" w14:textId="407327F1"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Praca ze skazanym seniorem w celu przygotowania go do poprawnego funkcjonowania w społeczeństwie po zwolnieniu z zakładu karnego winna uwzględniać utrzymanie, usprawnienie, a niekiedy nawiązanie więzi społecznych. Będzie to możliwe tylko w przypadku włączenia w ich realizację, jeszcze w trakcie wykonywania kary, organizacji pozarządowych, kuratorów sądowych, lokalnych placówek pomocowych, a także, jeśli to możliwe i bliskich osadzonego.</w:t>
      </w:r>
    </w:p>
    <w:p w14:paraId="1CD0161B"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7FF54859" w14:textId="75ECBD35"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przypadku seniorów, silniej niż w stosunku do innych grup więźniów, odczuwalny jest brak instytucjonalnego powiązania i wsparcia w procesie readaptacyjnym ze strony podmiotów funkcjonujących na wolności. Dlatego wskazane jest nawiązanie współpracy pomiędzy jednostkami penitencjarnymi, a organizacjami zewnętrznymi w celu przygotowania skazanym seniorom łatwiejszego powrotu do społeczeństwa. Szczególną troską powinno się obejmować grupę osób w wieku zaawansowanej starości, tj. po 75. roku życia, które są niejednokrotnie bez wsparcia rodziny, miejsca zamieszkania, z potrzebami leczenia specjalistycznego na wolności.</w:t>
      </w:r>
    </w:p>
    <w:p w14:paraId="16238B53"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7FE5735E" w14:textId="6CA4A65F"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Analizując przedstawione dane należy stwierdzić, że Służba Więzienna stwarza warunki do zapewnienia osobom starszym szerokiej partycypacji społecznej, profilaktyki zdrowotnej, aktywnej polityki emerytalnej oraz organizowania sieci dostępnych usług zdrowotnych, opiekuńczych, edukacyjnych i integracyjnych.</w:t>
      </w:r>
    </w:p>
    <w:p w14:paraId="679BD160" w14:textId="77777777" w:rsidR="00F653EB" w:rsidRPr="00135D02" w:rsidRDefault="00F653EB" w:rsidP="00135D02">
      <w:pPr>
        <w:pStyle w:val="Teksttreci0"/>
        <w:shd w:val="clear" w:color="auto" w:fill="auto"/>
        <w:spacing w:before="0" w:after="0" w:line="240" w:lineRule="auto"/>
        <w:ind w:left="20" w:right="20" w:firstLine="0"/>
        <w:jc w:val="both"/>
        <w:rPr>
          <w:rFonts w:ascii="Lato" w:hAnsi="Lato"/>
        </w:rPr>
      </w:pPr>
    </w:p>
    <w:p w14:paraId="2087D2DD" w14:textId="1835EB97"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W dalszym ciągu należy prowadzić działania zmierzające do poprawy jakości, warunków i bezpieczeństwa życia osób starszych, szkolenia zarówno funkcjonariuszy jak i osadzonych w zakresie poprawy wizerunku osoby starszej i akceptacji zjawiska starości.</w:t>
      </w:r>
    </w:p>
    <w:p w14:paraId="500CDAE2" w14:textId="77777777" w:rsidR="00F653EB" w:rsidRPr="00135D02" w:rsidRDefault="00F653EB" w:rsidP="00135D02">
      <w:pPr>
        <w:pStyle w:val="Teksttreci0"/>
        <w:shd w:val="clear" w:color="auto" w:fill="auto"/>
        <w:spacing w:before="0" w:after="0" w:line="240" w:lineRule="auto"/>
        <w:ind w:left="20" w:right="20" w:firstLine="700"/>
        <w:jc w:val="both"/>
        <w:rPr>
          <w:rFonts w:ascii="Lato" w:hAnsi="Lato"/>
        </w:rPr>
      </w:pPr>
    </w:p>
    <w:p w14:paraId="15B1298D" w14:textId="1C3D8150" w:rsidR="003C730B" w:rsidRPr="00135D02" w:rsidRDefault="003C730B" w:rsidP="00135D02">
      <w:pPr>
        <w:pStyle w:val="Teksttreci0"/>
        <w:shd w:val="clear" w:color="auto" w:fill="auto"/>
        <w:spacing w:before="0" w:after="0" w:line="240" w:lineRule="auto"/>
        <w:ind w:left="20" w:right="20" w:firstLine="0"/>
        <w:jc w:val="both"/>
        <w:rPr>
          <w:rFonts w:ascii="Lato" w:hAnsi="Lato"/>
          <w:color w:val="000000"/>
        </w:rPr>
      </w:pPr>
      <w:r w:rsidRPr="00135D02">
        <w:rPr>
          <w:rFonts w:ascii="Lato" w:hAnsi="Lato"/>
          <w:color w:val="000000"/>
        </w:rPr>
        <w:t>Istotnym jest również dalsze zaangażowanie Służby Więziennej w realizację kolejnych działań polityki społecznej wobec osób starszych we współpracy ze wszystkimi instytucjami oraz partnerami społecznymi oraz zapewnienie w dalszym ciągu uczestnictwa w życiu społecznym oraz wspieranie wszelkich form aktywności obywatelskiej, społecznej, kulturalnej, artystycznej, sportowej i religijnej w oparciu o podpisane porozumienia. Przełoży się to niewątpliwie na tworzenie warunków do solidarności i integracji międzypokoleniowej, prowadzenia działań edukacyjnych i co najważniejsze do zwiększenia bezpieczeństwa fizycznego - przeciwdziałanie przemocy i zaniedbaniom wobec osób starszych.</w:t>
      </w:r>
    </w:p>
    <w:p w14:paraId="7E968B10" w14:textId="77777777" w:rsidR="00F653EB" w:rsidRPr="003C730B" w:rsidRDefault="00F653EB" w:rsidP="003C730B">
      <w:pPr>
        <w:pStyle w:val="Teksttreci0"/>
        <w:shd w:val="clear" w:color="auto" w:fill="auto"/>
        <w:spacing w:before="0" w:after="0" w:line="240" w:lineRule="auto"/>
        <w:ind w:left="20" w:right="20" w:firstLine="0"/>
        <w:jc w:val="both"/>
        <w:rPr>
          <w:rFonts w:ascii="Lato" w:hAnsi="Lato"/>
        </w:rPr>
      </w:pPr>
    </w:p>
    <w:p w14:paraId="0F91626A" w14:textId="430B9527" w:rsidR="000B7295" w:rsidRPr="00DB2792" w:rsidRDefault="00781EA1" w:rsidP="000B7295">
      <w:pPr>
        <w:pStyle w:val="Nagwek2"/>
        <w:rPr>
          <w:b/>
          <w:bCs/>
        </w:rPr>
      </w:pPr>
      <w:bookmarkStart w:id="77" w:name="_Toc142565943"/>
      <w:r w:rsidRPr="00DB2792">
        <w:rPr>
          <w:b/>
          <w:bCs/>
        </w:rPr>
        <w:t>Ministerstwo Zdrowia</w:t>
      </w:r>
      <w:bookmarkEnd w:id="77"/>
    </w:p>
    <w:p w14:paraId="41D90DA4" w14:textId="00175F3E" w:rsidR="00F876CF" w:rsidRPr="00B04E39" w:rsidRDefault="00F876CF" w:rsidP="0059185B">
      <w:pPr>
        <w:pStyle w:val="Akapitzlist"/>
        <w:numPr>
          <w:ilvl w:val="0"/>
          <w:numId w:val="210"/>
        </w:numPr>
        <w:spacing w:after="0" w:line="240" w:lineRule="auto"/>
        <w:ind w:left="720"/>
        <w:jc w:val="both"/>
        <w:rPr>
          <w:rFonts w:ascii="Lato" w:hAnsi="Lato"/>
          <w:b/>
          <w:bCs/>
          <w:sz w:val="20"/>
          <w:szCs w:val="20"/>
          <w:lang w:eastAsia="pl-PL"/>
        </w:rPr>
      </w:pPr>
      <w:r w:rsidRPr="00B04E39">
        <w:rPr>
          <w:rFonts w:ascii="Lato" w:hAnsi="Lato"/>
          <w:b/>
          <w:bCs/>
          <w:sz w:val="20"/>
          <w:szCs w:val="20"/>
          <w:lang w:eastAsia="pl-PL"/>
        </w:rPr>
        <w:t xml:space="preserve">Stan opieki zdrowotnej dedykowanej osobom starszym </w:t>
      </w:r>
    </w:p>
    <w:p w14:paraId="41111D67" w14:textId="77777777" w:rsidR="000B7295" w:rsidRPr="00B04E39" w:rsidRDefault="000B7295" w:rsidP="00B04E39">
      <w:pPr>
        <w:tabs>
          <w:tab w:val="left" w:pos="5400"/>
        </w:tabs>
        <w:spacing w:after="0" w:line="240" w:lineRule="auto"/>
        <w:jc w:val="both"/>
        <w:rPr>
          <w:rFonts w:ascii="Lato" w:eastAsia="Times New Roman" w:hAnsi="Lato" w:cs="Arial"/>
          <w:sz w:val="20"/>
          <w:szCs w:val="20"/>
          <w:lang w:eastAsia="pl-PL"/>
        </w:rPr>
      </w:pPr>
      <w:r w:rsidRPr="00B04E39">
        <w:rPr>
          <w:rFonts w:ascii="Lato" w:eastAsia="Times New Roman" w:hAnsi="Lato" w:cs="Arial"/>
          <w:sz w:val="20"/>
          <w:szCs w:val="20"/>
          <w:lang w:eastAsia="pl-PL"/>
        </w:rPr>
        <w:t>Osoby starsze należą do grupy pacjentów, która ze względu na częste występowanie kilku chorób przewlekłych jednocześnie, wymaga w wielu przypadkach świadczeń opieki zdrowotnej z różnych zakresów.</w:t>
      </w:r>
      <w:r w:rsidRPr="00B04E39">
        <w:rPr>
          <w:rFonts w:ascii="Lato" w:eastAsia="Times New Roman" w:hAnsi="Lato" w:cs="Arial"/>
          <w:b/>
          <w:bCs/>
          <w:sz w:val="20"/>
          <w:szCs w:val="20"/>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B04E39">
        <w:rPr>
          <w:rFonts w:ascii="Lato" w:eastAsia="Times New Roman" w:hAnsi="Lato" w:cs="Arial"/>
          <w:sz w:val="20"/>
          <w:szCs w:val="20"/>
          <w:lang w:eastAsia="pl-PL"/>
        </w:rPr>
        <w:t>Niezwykle istotne jest zapewnienie tym osobom dostępu do kompleksowej i skoordynowanej opieki, która odpowiadałaby na ich potrzeby, kładąc nacisk na działania zapobiegawcze.</w:t>
      </w:r>
    </w:p>
    <w:p w14:paraId="1246FE40" w14:textId="77777777" w:rsidR="000B7295" w:rsidRPr="00B04E39" w:rsidRDefault="000B7295" w:rsidP="00B04E39">
      <w:pPr>
        <w:spacing w:after="0" w:line="240" w:lineRule="auto"/>
        <w:jc w:val="both"/>
        <w:rPr>
          <w:rFonts w:ascii="Lato" w:hAnsi="Lato"/>
          <w:b/>
          <w:bCs/>
          <w:sz w:val="20"/>
          <w:szCs w:val="20"/>
          <w:lang w:eastAsia="pl-PL"/>
        </w:rPr>
      </w:pPr>
    </w:p>
    <w:p w14:paraId="2D1606D6" w14:textId="23A88019" w:rsidR="000B7295" w:rsidRPr="00B04E39" w:rsidRDefault="000B7295" w:rsidP="00B04E39">
      <w:pPr>
        <w:spacing w:after="0" w:line="240" w:lineRule="auto"/>
        <w:jc w:val="both"/>
        <w:rPr>
          <w:rFonts w:ascii="Lato" w:hAnsi="Lato"/>
          <w:b/>
          <w:bCs/>
          <w:sz w:val="20"/>
          <w:szCs w:val="20"/>
          <w:lang w:eastAsia="pl-PL"/>
        </w:rPr>
      </w:pPr>
      <w:r w:rsidRPr="00B04E39">
        <w:rPr>
          <w:rFonts w:ascii="Lato" w:hAnsi="Lato"/>
          <w:b/>
          <w:bCs/>
          <w:sz w:val="20"/>
          <w:szCs w:val="20"/>
          <w:lang w:eastAsia="pl-PL"/>
        </w:rPr>
        <w:t>ŚWIADCZENIA UDZIELANE OSOBOM STARSZYM W 2022 R.</w:t>
      </w:r>
    </w:p>
    <w:p w14:paraId="0E1FC9A5" w14:textId="7EE4B63B" w:rsidR="008107B4" w:rsidRPr="00B04E39" w:rsidRDefault="000B7295" w:rsidP="00B04E39">
      <w:pPr>
        <w:spacing w:after="0" w:line="240" w:lineRule="auto"/>
        <w:jc w:val="both"/>
        <w:rPr>
          <w:rFonts w:ascii="Lato" w:hAnsi="Lato"/>
          <w:b/>
          <w:bCs/>
          <w:sz w:val="20"/>
          <w:szCs w:val="20"/>
        </w:rPr>
      </w:pPr>
      <w:r w:rsidRPr="00B04E39">
        <w:rPr>
          <w:rFonts w:ascii="Lato" w:hAnsi="Lato"/>
          <w:b/>
          <w:bCs/>
          <w:sz w:val="20"/>
          <w:szCs w:val="20"/>
        </w:rPr>
        <w:t>Podstawowa opieka zdrowotna (POZ)</w:t>
      </w:r>
    </w:p>
    <w:p w14:paraId="1385EEED" w14:textId="77777777" w:rsidR="000B7295" w:rsidRPr="00B04E39" w:rsidRDefault="000B7295" w:rsidP="00B04E39">
      <w:pPr>
        <w:spacing w:after="0" w:line="240" w:lineRule="auto"/>
        <w:jc w:val="both"/>
        <w:rPr>
          <w:rFonts w:ascii="Lato" w:hAnsi="Lato" w:cs="Arial"/>
          <w:sz w:val="20"/>
          <w:szCs w:val="20"/>
        </w:rPr>
      </w:pPr>
      <w:bookmarkStart w:id="78" w:name="_Hlk137621976"/>
      <w:r w:rsidRPr="00B04E39">
        <w:rPr>
          <w:rFonts w:ascii="Lato" w:eastAsia="Times New Roman" w:hAnsi="Lato" w:cs="Arial"/>
          <w:sz w:val="20"/>
          <w:szCs w:val="20"/>
          <w:lang w:eastAsia="pl-PL"/>
        </w:rPr>
        <w:t xml:space="preserve">W 2022 r. w </w:t>
      </w:r>
      <w:r w:rsidRPr="00B04E39">
        <w:rPr>
          <w:rFonts w:ascii="Lato" w:eastAsia="Times New Roman" w:hAnsi="Lato" w:cs="Arial"/>
          <w:i/>
          <w:iCs/>
          <w:sz w:val="20"/>
          <w:szCs w:val="20"/>
          <w:lang w:eastAsia="pl-PL"/>
        </w:rPr>
        <w:t xml:space="preserve">rozporządzeniu </w:t>
      </w:r>
      <w:r w:rsidRPr="00B04E39">
        <w:rPr>
          <w:rFonts w:ascii="Lato" w:hAnsi="Lato" w:cs="Arial"/>
          <w:i/>
          <w:iCs/>
          <w:sz w:val="20"/>
          <w:szCs w:val="20"/>
        </w:rPr>
        <w:t>Ministra Zdrowia z dnia 24 wrześnie 2013 r. w sprawie świadczeń gwarantowanych z zakresu podstawowej opieki zdrowotnej</w:t>
      </w:r>
      <w:r w:rsidRPr="00B04E39">
        <w:rPr>
          <w:rFonts w:ascii="Lato" w:hAnsi="Lato" w:cs="Arial"/>
          <w:sz w:val="20"/>
          <w:szCs w:val="20"/>
        </w:rPr>
        <w:t xml:space="preserve"> wprowadzone zostały rozwiązania, które zwiększyły dostęp do tychże świadczeń.</w:t>
      </w:r>
    </w:p>
    <w:p w14:paraId="142BB4FF" w14:textId="77777777" w:rsidR="000B7295" w:rsidRPr="00B04E39" w:rsidRDefault="000B7295" w:rsidP="00B04E39">
      <w:pPr>
        <w:spacing w:after="0" w:line="240" w:lineRule="auto"/>
        <w:jc w:val="both"/>
        <w:rPr>
          <w:rFonts w:ascii="Lato" w:hAnsi="Lato" w:cs="Arial"/>
          <w:sz w:val="20"/>
          <w:szCs w:val="20"/>
          <w:u w:val="single"/>
        </w:rPr>
      </w:pPr>
      <w:r w:rsidRPr="00B04E39">
        <w:rPr>
          <w:rFonts w:ascii="Lato" w:hAnsi="Lato" w:cs="Arial"/>
          <w:sz w:val="20"/>
          <w:szCs w:val="20"/>
          <w:u w:val="single"/>
        </w:rPr>
        <w:t>Umożliwiły one:</w:t>
      </w:r>
    </w:p>
    <w:p w14:paraId="6BCB4545" w14:textId="272B0C49" w:rsidR="000B7295" w:rsidRPr="00B04E39" w:rsidRDefault="000B7295" w:rsidP="0059185B">
      <w:pPr>
        <w:pStyle w:val="Akapitzlist"/>
        <w:numPr>
          <w:ilvl w:val="0"/>
          <w:numId w:val="203"/>
        </w:numPr>
        <w:spacing w:after="0" w:line="240" w:lineRule="auto"/>
        <w:jc w:val="both"/>
        <w:rPr>
          <w:rFonts w:ascii="Lato" w:hAnsi="Lato" w:cs="Arial"/>
          <w:sz w:val="20"/>
          <w:szCs w:val="20"/>
        </w:rPr>
      </w:pPr>
      <w:r w:rsidRPr="00B04E39">
        <w:rPr>
          <w:rFonts w:ascii="Lato" w:hAnsi="Lato" w:cs="Arial"/>
          <w:b/>
          <w:bCs/>
          <w:sz w:val="20"/>
          <w:szCs w:val="20"/>
        </w:rPr>
        <w:t>wykonanie badań w ramach profilaktyki chorób układu krążenia</w:t>
      </w:r>
      <w:r w:rsidRPr="00B04E39">
        <w:rPr>
          <w:rFonts w:ascii="Lato" w:hAnsi="Lato" w:cs="Arial"/>
          <w:sz w:val="20"/>
          <w:szCs w:val="20"/>
        </w:rPr>
        <w:t xml:space="preserve"> dla osób znajdujących się na liście świadczeniobiorców lekarza podstawowej opieki zdrowotnej u świadczeniodawcy objętego umową o udzielanie świadczeń opieki zdrowotnej, </w:t>
      </w:r>
      <w:r w:rsidRPr="00B04E39">
        <w:rPr>
          <w:rFonts w:ascii="Lato" w:hAnsi="Lato" w:cs="Arial"/>
          <w:b/>
          <w:bCs/>
          <w:sz w:val="20"/>
          <w:szCs w:val="20"/>
        </w:rPr>
        <w:t>będących w wieku od 35 do 65 roku życia</w:t>
      </w:r>
      <w:r w:rsidRPr="00B04E39">
        <w:rPr>
          <w:rFonts w:ascii="Lato" w:hAnsi="Lato" w:cs="Arial"/>
          <w:sz w:val="20"/>
          <w:szCs w:val="20"/>
        </w:rPr>
        <w:t>, u których nie została dotychczas rozpoznana choroba układu krążenia, cukrzyca, przewlekła choroba nerek lub rodzinna hipercholesterolemia i które w okresie ostatnich 5 lat nie korzystały ze świadczeń udzielanych w ramach profilaktyki chorób układu krążenia;</w:t>
      </w:r>
    </w:p>
    <w:p w14:paraId="3193F847" w14:textId="38F9EC10" w:rsidR="00FF7373" w:rsidRPr="00FF7373" w:rsidRDefault="000B7295" w:rsidP="0059185B">
      <w:pPr>
        <w:pStyle w:val="Akapitzlist"/>
        <w:numPr>
          <w:ilvl w:val="0"/>
          <w:numId w:val="203"/>
        </w:numPr>
        <w:spacing w:after="0" w:line="240" w:lineRule="auto"/>
        <w:jc w:val="both"/>
        <w:rPr>
          <w:rFonts w:ascii="Lato" w:hAnsi="Lato" w:cs="Arial"/>
          <w:sz w:val="20"/>
          <w:szCs w:val="20"/>
        </w:rPr>
      </w:pPr>
      <w:r w:rsidRPr="00B04E39">
        <w:rPr>
          <w:rFonts w:ascii="Lato" w:hAnsi="Lato" w:cs="Arial"/>
          <w:b/>
          <w:bCs/>
          <w:sz w:val="20"/>
          <w:szCs w:val="20"/>
        </w:rPr>
        <w:t>uzyskanie porady kompleksowej</w:t>
      </w:r>
      <w:r w:rsidRPr="00B04E39">
        <w:rPr>
          <w:rFonts w:ascii="Lato" w:hAnsi="Lato" w:cs="Arial"/>
          <w:sz w:val="20"/>
          <w:szCs w:val="20"/>
        </w:rPr>
        <w:t xml:space="preserve">, badań diagnostycznych dotychczas zarezerwowanych dla ambulatoryjnej opieki specjalistycznej, konsultacji specjalistycznych, </w:t>
      </w:r>
      <w:r w:rsidRPr="00B04E39">
        <w:rPr>
          <w:rFonts w:ascii="Lato" w:hAnsi="Lato" w:cs="Arial"/>
          <w:b/>
          <w:bCs/>
          <w:sz w:val="20"/>
          <w:szCs w:val="20"/>
        </w:rPr>
        <w:t>w ramach koordynowanej opieki zdrowotnej</w:t>
      </w:r>
      <w:r w:rsidRPr="00B04E39">
        <w:rPr>
          <w:rFonts w:ascii="Lato" w:hAnsi="Lato" w:cs="Arial"/>
          <w:sz w:val="20"/>
          <w:szCs w:val="20"/>
        </w:rPr>
        <w:t xml:space="preserve"> w podstawowej opiece zdrowotnej </w:t>
      </w:r>
      <w:r w:rsidRPr="00B04E39">
        <w:rPr>
          <w:rFonts w:ascii="Lato" w:hAnsi="Lato" w:cs="Arial"/>
          <w:b/>
          <w:bCs/>
          <w:sz w:val="20"/>
          <w:szCs w:val="20"/>
        </w:rPr>
        <w:t>w czterech zakresach: kardiologii, diabetologii, endokrynologii, pulmonologii</w:t>
      </w:r>
      <w:r w:rsidRPr="00B04E39">
        <w:rPr>
          <w:rFonts w:ascii="Lato" w:hAnsi="Lato" w:cs="Arial"/>
          <w:sz w:val="20"/>
          <w:szCs w:val="20"/>
        </w:rPr>
        <w:t>.</w:t>
      </w:r>
    </w:p>
    <w:p w14:paraId="79CA24EE" w14:textId="3D453ECC" w:rsidR="000B7295" w:rsidRPr="00B04E39" w:rsidRDefault="000B7295" w:rsidP="00B04E39">
      <w:pPr>
        <w:spacing w:after="0" w:line="240" w:lineRule="auto"/>
        <w:jc w:val="both"/>
        <w:rPr>
          <w:rFonts w:ascii="Lato" w:eastAsia="Times New Roman" w:hAnsi="Lato" w:cs="Arial"/>
          <w:sz w:val="20"/>
          <w:szCs w:val="20"/>
          <w:lang w:eastAsia="pl-PL"/>
        </w:rPr>
      </w:pPr>
      <w:r w:rsidRPr="00B04E39">
        <w:rPr>
          <w:rFonts w:ascii="Lato" w:eastAsia="Times New Roman" w:hAnsi="Lato" w:cs="Arial"/>
          <w:sz w:val="20"/>
          <w:szCs w:val="20"/>
          <w:lang w:eastAsia="pl-PL"/>
        </w:rPr>
        <w:t xml:space="preserve">Poniższa tabela przedstawia liczbę pacjentów powyżej 60 roku życia korzystających w 2022 r. ze świadczeń podstawowej opieki zdrowotnej oraz liczbę udzielonych porad. </w:t>
      </w:r>
      <w:bookmarkStart w:id="79" w:name="_Hlk137622038"/>
      <w:bookmarkEnd w:id="78"/>
    </w:p>
    <w:p w14:paraId="2486F8D8" w14:textId="77777777" w:rsidR="000B7295" w:rsidRPr="000B7295" w:rsidRDefault="000B7295" w:rsidP="000B7295">
      <w:pPr>
        <w:spacing w:after="0" w:line="240" w:lineRule="auto"/>
        <w:jc w:val="both"/>
        <w:rPr>
          <w:rFonts w:ascii="Lato" w:eastAsia="Times New Roman" w:hAnsi="Lato" w:cs="Arial"/>
          <w:sz w:val="20"/>
          <w:szCs w:val="20"/>
          <w:lang w:eastAsia="pl-PL"/>
        </w:rPr>
      </w:pPr>
    </w:p>
    <w:p w14:paraId="20A0E24A" w14:textId="21125EF1" w:rsidR="000B7295" w:rsidRDefault="000B7295" w:rsidP="000B7295">
      <w:pPr>
        <w:pStyle w:val="Legenda"/>
        <w:keepNext/>
      </w:pPr>
      <w:bookmarkStart w:id="80" w:name="_Toc142566007"/>
      <w:r>
        <w:t xml:space="preserve">Tabela </w:t>
      </w:r>
      <w:fldSimple w:instr=" SEQ Tabela \* ARABIC ">
        <w:r w:rsidR="00AA385B">
          <w:rPr>
            <w:noProof/>
          </w:rPr>
          <w:t>44</w:t>
        </w:r>
      </w:fldSimple>
      <w:r>
        <w:t xml:space="preserve"> </w:t>
      </w:r>
      <w:r w:rsidRPr="00117927">
        <w:t>Liczba pacjentów w wieku 60+ korzystających ze świadczeń podstawowej opieki zdrowotnej oraz liczba porad lekarskich i pielęgniarskich w 2022 r. (stan na dzień 30.05.2023 r.)</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4"/>
        <w:gridCol w:w="1646"/>
        <w:gridCol w:w="2227"/>
        <w:gridCol w:w="2365"/>
      </w:tblGrid>
      <w:tr w:rsidR="002818F9" w:rsidRPr="00BF1DF1" w14:paraId="4CAF507F" w14:textId="77777777" w:rsidTr="002818F9">
        <w:trPr>
          <w:trHeight w:val="300"/>
        </w:trPr>
        <w:tc>
          <w:tcPr>
            <w:tcW w:w="1558" w:type="pct"/>
            <w:shd w:val="clear" w:color="auto" w:fill="8EAADB" w:themeFill="accent1" w:themeFillTint="99"/>
            <w:noWrap/>
          </w:tcPr>
          <w:p w14:paraId="3457E9D0" w14:textId="05728F08" w:rsidR="002818F9" w:rsidRPr="00BF1DF1" w:rsidRDefault="002818F9" w:rsidP="002818F9">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OW NFZ</w:t>
            </w:r>
          </w:p>
        </w:tc>
        <w:tc>
          <w:tcPr>
            <w:tcW w:w="908" w:type="pct"/>
            <w:shd w:val="clear" w:color="auto" w:fill="8EAADB" w:themeFill="accent1" w:themeFillTint="99"/>
            <w:noWrap/>
          </w:tcPr>
          <w:p w14:paraId="2BB1A1DC" w14:textId="2DFE8240" w:rsidR="002818F9" w:rsidRPr="00BF1DF1" w:rsidRDefault="002818F9" w:rsidP="002818F9">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Liczba pacjentów</w:t>
            </w:r>
          </w:p>
        </w:tc>
        <w:tc>
          <w:tcPr>
            <w:tcW w:w="1229" w:type="pct"/>
            <w:shd w:val="clear" w:color="auto" w:fill="8EAADB" w:themeFill="accent1" w:themeFillTint="99"/>
            <w:noWrap/>
          </w:tcPr>
          <w:p w14:paraId="589B51D5" w14:textId="101AF312" w:rsidR="002818F9" w:rsidRPr="00BF1DF1" w:rsidRDefault="002818F9" w:rsidP="002818F9">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Porady lekarskie</w:t>
            </w:r>
          </w:p>
        </w:tc>
        <w:tc>
          <w:tcPr>
            <w:tcW w:w="1305" w:type="pct"/>
            <w:shd w:val="clear" w:color="auto" w:fill="8EAADB" w:themeFill="accent1" w:themeFillTint="99"/>
            <w:noWrap/>
          </w:tcPr>
          <w:p w14:paraId="599F3B35" w14:textId="0DF53AB0" w:rsidR="002818F9" w:rsidRPr="00BF1DF1" w:rsidRDefault="002818F9" w:rsidP="002818F9">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Porady pielęgniarskie</w:t>
            </w:r>
          </w:p>
        </w:tc>
      </w:tr>
      <w:tr w:rsidR="000B7295" w:rsidRPr="00BF1DF1" w14:paraId="597DA4DF" w14:textId="77777777" w:rsidTr="00BF1DF1">
        <w:trPr>
          <w:trHeight w:val="130"/>
        </w:trPr>
        <w:tc>
          <w:tcPr>
            <w:tcW w:w="1558" w:type="pct"/>
            <w:shd w:val="clear" w:color="auto" w:fill="auto"/>
            <w:noWrap/>
            <w:hideMark/>
          </w:tcPr>
          <w:p w14:paraId="357E1ED2"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Dolnośląski</w:t>
            </w:r>
          </w:p>
        </w:tc>
        <w:tc>
          <w:tcPr>
            <w:tcW w:w="908" w:type="pct"/>
            <w:shd w:val="clear" w:color="auto" w:fill="auto"/>
            <w:noWrap/>
            <w:hideMark/>
          </w:tcPr>
          <w:p w14:paraId="4271277F"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656 562</w:t>
            </w:r>
          </w:p>
        </w:tc>
        <w:tc>
          <w:tcPr>
            <w:tcW w:w="1229" w:type="pct"/>
            <w:shd w:val="clear" w:color="auto" w:fill="auto"/>
            <w:noWrap/>
            <w:hideMark/>
          </w:tcPr>
          <w:p w14:paraId="0A04F860"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4 760 417</w:t>
            </w:r>
          </w:p>
        </w:tc>
        <w:tc>
          <w:tcPr>
            <w:tcW w:w="1305" w:type="pct"/>
            <w:shd w:val="clear" w:color="auto" w:fill="auto"/>
            <w:noWrap/>
            <w:hideMark/>
          </w:tcPr>
          <w:p w14:paraId="7BB9280E"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61 472</w:t>
            </w:r>
          </w:p>
        </w:tc>
      </w:tr>
      <w:tr w:rsidR="000B7295" w:rsidRPr="00BF1DF1" w14:paraId="7794F450" w14:textId="77777777" w:rsidTr="00BF1DF1">
        <w:trPr>
          <w:trHeight w:val="190"/>
        </w:trPr>
        <w:tc>
          <w:tcPr>
            <w:tcW w:w="1558" w:type="pct"/>
            <w:shd w:val="clear" w:color="auto" w:fill="auto"/>
            <w:noWrap/>
            <w:hideMark/>
          </w:tcPr>
          <w:p w14:paraId="442AE211"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Kujawsko-Pomorski</w:t>
            </w:r>
          </w:p>
        </w:tc>
        <w:tc>
          <w:tcPr>
            <w:tcW w:w="908" w:type="pct"/>
            <w:shd w:val="clear" w:color="auto" w:fill="auto"/>
            <w:noWrap/>
            <w:hideMark/>
          </w:tcPr>
          <w:p w14:paraId="3C2F84F6"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451 188</w:t>
            </w:r>
          </w:p>
        </w:tc>
        <w:tc>
          <w:tcPr>
            <w:tcW w:w="1229" w:type="pct"/>
            <w:shd w:val="clear" w:color="auto" w:fill="auto"/>
            <w:noWrap/>
            <w:hideMark/>
          </w:tcPr>
          <w:p w14:paraId="060CA298"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3 298 016</w:t>
            </w:r>
          </w:p>
        </w:tc>
        <w:tc>
          <w:tcPr>
            <w:tcW w:w="1305" w:type="pct"/>
            <w:shd w:val="clear" w:color="auto" w:fill="auto"/>
            <w:noWrap/>
            <w:hideMark/>
          </w:tcPr>
          <w:p w14:paraId="2DC650CD"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79 148</w:t>
            </w:r>
          </w:p>
        </w:tc>
      </w:tr>
      <w:tr w:rsidR="000B7295" w:rsidRPr="00BF1DF1" w14:paraId="1C426AC1" w14:textId="77777777" w:rsidTr="00BF1DF1">
        <w:trPr>
          <w:trHeight w:val="95"/>
        </w:trPr>
        <w:tc>
          <w:tcPr>
            <w:tcW w:w="1558" w:type="pct"/>
            <w:shd w:val="clear" w:color="auto" w:fill="auto"/>
            <w:noWrap/>
            <w:hideMark/>
          </w:tcPr>
          <w:p w14:paraId="286DA889"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Lubelski</w:t>
            </w:r>
          </w:p>
        </w:tc>
        <w:tc>
          <w:tcPr>
            <w:tcW w:w="908" w:type="pct"/>
            <w:shd w:val="clear" w:color="auto" w:fill="auto"/>
            <w:noWrap/>
            <w:hideMark/>
          </w:tcPr>
          <w:p w14:paraId="11E752D5"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477 605</w:t>
            </w:r>
          </w:p>
        </w:tc>
        <w:tc>
          <w:tcPr>
            <w:tcW w:w="1229" w:type="pct"/>
            <w:shd w:val="clear" w:color="auto" w:fill="auto"/>
            <w:noWrap/>
            <w:hideMark/>
          </w:tcPr>
          <w:p w14:paraId="72617EA8"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3 582 308</w:t>
            </w:r>
          </w:p>
        </w:tc>
        <w:tc>
          <w:tcPr>
            <w:tcW w:w="1305" w:type="pct"/>
            <w:shd w:val="clear" w:color="auto" w:fill="auto"/>
            <w:noWrap/>
            <w:hideMark/>
          </w:tcPr>
          <w:p w14:paraId="2144E599"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58 924</w:t>
            </w:r>
          </w:p>
        </w:tc>
      </w:tr>
      <w:tr w:rsidR="000B7295" w:rsidRPr="00BF1DF1" w14:paraId="42C914C5" w14:textId="77777777" w:rsidTr="00BF1DF1">
        <w:trPr>
          <w:trHeight w:val="168"/>
        </w:trPr>
        <w:tc>
          <w:tcPr>
            <w:tcW w:w="1558" w:type="pct"/>
            <w:shd w:val="clear" w:color="auto" w:fill="auto"/>
            <w:noWrap/>
            <w:hideMark/>
          </w:tcPr>
          <w:p w14:paraId="3B0640C3"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Lubuski</w:t>
            </w:r>
          </w:p>
        </w:tc>
        <w:tc>
          <w:tcPr>
            <w:tcW w:w="908" w:type="pct"/>
            <w:shd w:val="clear" w:color="auto" w:fill="auto"/>
            <w:noWrap/>
            <w:hideMark/>
          </w:tcPr>
          <w:p w14:paraId="79EF39B9"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223 187</w:t>
            </w:r>
          </w:p>
        </w:tc>
        <w:tc>
          <w:tcPr>
            <w:tcW w:w="1229" w:type="pct"/>
            <w:shd w:val="clear" w:color="auto" w:fill="auto"/>
            <w:noWrap/>
            <w:hideMark/>
          </w:tcPr>
          <w:p w14:paraId="698679F2"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1 627 849</w:t>
            </w:r>
          </w:p>
        </w:tc>
        <w:tc>
          <w:tcPr>
            <w:tcW w:w="1305" w:type="pct"/>
            <w:shd w:val="clear" w:color="auto" w:fill="auto"/>
            <w:noWrap/>
            <w:hideMark/>
          </w:tcPr>
          <w:p w14:paraId="67012FF9"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21 848</w:t>
            </w:r>
          </w:p>
        </w:tc>
      </w:tr>
      <w:tr w:rsidR="000B7295" w:rsidRPr="00BF1DF1" w14:paraId="1F297CF5" w14:textId="77777777" w:rsidTr="00BF1DF1">
        <w:trPr>
          <w:trHeight w:val="87"/>
        </w:trPr>
        <w:tc>
          <w:tcPr>
            <w:tcW w:w="1558" w:type="pct"/>
            <w:shd w:val="clear" w:color="auto" w:fill="auto"/>
            <w:noWrap/>
            <w:hideMark/>
          </w:tcPr>
          <w:p w14:paraId="372E9073"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Łódzki</w:t>
            </w:r>
          </w:p>
        </w:tc>
        <w:tc>
          <w:tcPr>
            <w:tcW w:w="908" w:type="pct"/>
            <w:shd w:val="clear" w:color="auto" w:fill="auto"/>
            <w:noWrap/>
            <w:hideMark/>
          </w:tcPr>
          <w:p w14:paraId="10685F2D"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597 829</w:t>
            </w:r>
          </w:p>
        </w:tc>
        <w:tc>
          <w:tcPr>
            <w:tcW w:w="1229" w:type="pct"/>
            <w:shd w:val="clear" w:color="auto" w:fill="auto"/>
            <w:noWrap/>
            <w:hideMark/>
          </w:tcPr>
          <w:p w14:paraId="0F17FB32"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4 421 065</w:t>
            </w:r>
          </w:p>
        </w:tc>
        <w:tc>
          <w:tcPr>
            <w:tcW w:w="1305" w:type="pct"/>
            <w:shd w:val="clear" w:color="auto" w:fill="auto"/>
            <w:noWrap/>
            <w:hideMark/>
          </w:tcPr>
          <w:p w14:paraId="260C6955"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52 276</w:t>
            </w:r>
          </w:p>
        </w:tc>
      </w:tr>
      <w:tr w:rsidR="000B7295" w:rsidRPr="00BF1DF1" w14:paraId="2906DFE5" w14:textId="77777777" w:rsidTr="00BF1DF1">
        <w:trPr>
          <w:trHeight w:val="132"/>
        </w:trPr>
        <w:tc>
          <w:tcPr>
            <w:tcW w:w="1558" w:type="pct"/>
            <w:shd w:val="clear" w:color="auto" w:fill="auto"/>
            <w:noWrap/>
            <w:hideMark/>
          </w:tcPr>
          <w:p w14:paraId="15AB9654"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Małopolski</w:t>
            </w:r>
          </w:p>
        </w:tc>
        <w:tc>
          <w:tcPr>
            <w:tcW w:w="908" w:type="pct"/>
            <w:shd w:val="clear" w:color="auto" w:fill="auto"/>
            <w:noWrap/>
            <w:hideMark/>
          </w:tcPr>
          <w:p w14:paraId="72B2C764"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694 774</w:t>
            </w:r>
          </w:p>
        </w:tc>
        <w:tc>
          <w:tcPr>
            <w:tcW w:w="1229" w:type="pct"/>
            <w:shd w:val="clear" w:color="auto" w:fill="auto"/>
            <w:noWrap/>
            <w:hideMark/>
          </w:tcPr>
          <w:p w14:paraId="4F982DFB"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4 646 826</w:t>
            </w:r>
          </w:p>
        </w:tc>
        <w:tc>
          <w:tcPr>
            <w:tcW w:w="1305" w:type="pct"/>
            <w:shd w:val="clear" w:color="auto" w:fill="auto"/>
            <w:noWrap/>
            <w:hideMark/>
          </w:tcPr>
          <w:p w14:paraId="1C28CA55"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84 550</w:t>
            </w:r>
          </w:p>
        </w:tc>
      </w:tr>
      <w:tr w:rsidR="000B7295" w:rsidRPr="00BF1DF1" w14:paraId="63BC6F90" w14:textId="77777777" w:rsidTr="00BF1DF1">
        <w:trPr>
          <w:trHeight w:val="192"/>
        </w:trPr>
        <w:tc>
          <w:tcPr>
            <w:tcW w:w="1558" w:type="pct"/>
            <w:shd w:val="clear" w:color="auto" w:fill="auto"/>
            <w:noWrap/>
            <w:hideMark/>
          </w:tcPr>
          <w:p w14:paraId="07C82C50"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Mazowiecki</w:t>
            </w:r>
          </w:p>
        </w:tc>
        <w:tc>
          <w:tcPr>
            <w:tcW w:w="908" w:type="pct"/>
            <w:shd w:val="clear" w:color="auto" w:fill="auto"/>
            <w:noWrap/>
            <w:hideMark/>
          </w:tcPr>
          <w:p w14:paraId="25589D8E"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1 133 921</w:t>
            </w:r>
          </w:p>
        </w:tc>
        <w:tc>
          <w:tcPr>
            <w:tcW w:w="1229" w:type="pct"/>
            <w:shd w:val="clear" w:color="auto" w:fill="auto"/>
            <w:noWrap/>
            <w:hideMark/>
          </w:tcPr>
          <w:p w14:paraId="53A115AB"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7 190 159</w:t>
            </w:r>
          </w:p>
        </w:tc>
        <w:tc>
          <w:tcPr>
            <w:tcW w:w="1305" w:type="pct"/>
            <w:shd w:val="clear" w:color="auto" w:fill="auto"/>
            <w:noWrap/>
            <w:hideMark/>
          </w:tcPr>
          <w:p w14:paraId="65C92D17"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158 775</w:t>
            </w:r>
          </w:p>
        </w:tc>
      </w:tr>
      <w:tr w:rsidR="000B7295" w:rsidRPr="00BF1DF1" w14:paraId="1A01C71E" w14:textId="77777777" w:rsidTr="00BF1DF1">
        <w:trPr>
          <w:trHeight w:val="110"/>
        </w:trPr>
        <w:tc>
          <w:tcPr>
            <w:tcW w:w="1558" w:type="pct"/>
            <w:shd w:val="clear" w:color="auto" w:fill="auto"/>
            <w:noWrap/>
            <w:hideMark/>
          </w:tcPr>
          <w:p w14:paraId="4F10C38C"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Opolski</w:t>
            </w:r>
          </w:p>
        </w:tc>
        <w:tc>
          <w:tcPr>
            <w:tcW w:w="908" w:type="pct"/>
            <w:shd w:val="clear" w:color="auto" w:fill="auto"/>
            <w:noWrap/>
            <w:hideMark/>
          </w:tcPr>
          <w:p w14:paraId="512AC2B3"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212 743</w:t>
            </w:r>
          </w:p>
        </w:tc>
        <w:tc>
          <w:tcPr>
            <w:tcW w:w="1229" w:type="pct"/>
            <w:shd w:val="clear" w:color="auto" w:fill="auto"/>
            <w:noWrap/>
            <w:hideMark/>
          </w:tcPr>
          <w:p w14:paraId="707C3BFE"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1 508 364</w:t>
            </w:r>
          </w:p>
        </w:tc>
        <w:tc>
          <w:tcPr>
            <w:tcW w:w="1305" w:type="pct"/>
            <w:shd w:val="clear" w:color="auto" w:fill="auto"/>
            <w:noWrap/>
            <w:hideMark/>
          </w:tcPr>
          <w:p w14:paraId="69167FD9"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50 880</w:t>
            </w:r>
          </w:p>
        </w:tc>
      </w:tr>
      <w:tr w:rsidR="000B7295" w:rsidRPr="00BF1DF1" w14:paraId="11FA5D25" w14:textId="77777777" w:rsidTr="00BF1DF1">
        <w:trPr>
          <w:trHeight w:val="156"/>
        </w:trPr>
        <w:tc>
          <w:tcPr>
            <w:tcW w:w="1558" w:type="pct"/>
            <w:shd w:val="clear" w:color="auto" w:fill="auto"/>
            <w:noWrap/>
            <w:hideMark/>
          </w:tcPr>
          <w:p w14:paraId="514099FF"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Podkarpacki</w:t>
            </w:r>
          </w:p>
        </w:tc>
        <w:tc>
          <w:tcPr>
            <w:tcW w:w="908" w:type="pct"/>
            <w:shd w:val="clear" w:color="auto" w:fill="auto"/>
            <w:noWrap/>
            <w:hideMark/>
          </w:tcPr>
          <w:p w14:paraId="3660AC25"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437 967</w:t>
            </w:r>
          </w:p>
        </w:tc>
        <w:tc>
          <w:tcPr>
            <w:tcW w:w="1229" w:type="pct"/>
            <w:shd w:val="clear" w:color="auto" w:fill="auto"/>
            <w:noWrap/>
            <w:hideMark/>
          </w:tcPr>
          <w:p w14:paraId="35B8DF7C"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3 074 148</w:t>
            </w:r>
          </w:p>
        </w:tc>
        <w:tc>
          <w:tcPr>
            <w:tcW w:w="1305" w:type="pct"/>
            <w:shd w:val="clear" w:color="auto" w:fill="auto"/>
            <w:noWrap/>
            <w:hideMark/>
          </w:tcPr>
          <w:p w14:paraId="10625BEF"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67 921</w:t>
            </w:r>
          </w:p>
        </w:tc>
      </w:tr>
      <w:tr w:rsidR="000B7295" w:rsidRPr="00BF1DF1" w14:paraId="6CEA6A63" w14:textId="77777777" w:rsidTr="00BF1DF1">
        <w:trPr>
          <w:trHeight w:val="231"/>
        </w:trPr>
        <w:tc>
          <w:tcPr>
            <w:tcW w:w="1558" w:type="pct"/>
            <w:shd w:val="clear" w:color="auto" w:fill="auto"/>
            <w:noWrap/>
            <w:hideMark/>
          </w:tcPr>
          <w:p w14:paraId="4CD4019F"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Podlaski</w:t>
            </w:r>
          </w:p>
        </w:tc>
        <w:tc>
          <w:tcPr>
            <w:tcW w:w="908" w:type="pct"/>
            <w:shd w:val="clear" w:color="auto" w:fill="auto"/>
            <w:noWrap/>
            <w:hideMark/>
          </w:tcPr>
          <w:p w14:paraId="7C4F1EE7"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254 647</w:t>
            </w:r>
          </w:p>
        </w:tc>
        <w:tc>
          <w:tcPr>
            <w:tcW w:w="1229" w:type="pct"/>
            <w:shd w:val="clear" w:color="auto" w:fill="auto"/>
            <w:noWrap/>
            <w:hideMark/>
          </w:tcPr>
          <w:p w14:paraId="02618493"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1 814 576</w:t>
            </w:r>
          </w:p>
        </w:tc>
        <w:tc>
          <w:tcPr>
            <w:tcW w:w="1305" w:type="pct"/>
            <w:shd w:val="clear" w:color="auto" w:fill="auto"/>
            <w:noWrap/>
            <w:hideMark/>
          </w:tcPr>
          <w:p w14:paraId="7227AA3B"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38 069</w:t>
            </w:r>
          </w:p>
        </w:tc>
      </w:tr>
      <w:tr w:rsidR="000B7295" w:rsidRPr="00BF1DF1" w14:paraId="40918A84" w14:textId="77777777" w:rsidTr="00BF1DF1">
        <w:trPr>
          <w:trHeight w:val="134"/>
        </w:trPr>
        <w:tc>
          <w:tcPr>
            <w:tcW w:w="1558" w:type="pct"/>
            <w:shd w:val="clear" w:color="auto" w:fill="auto"/>
            <w:noWrap/>
            <w:hideMark/>
          </w:tcPr>
          <w:p w14:paraId="780059AA"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Pomorski</w:t>
            </w:r>
          </w:p>
        </w:tc>
        <w:tc>
          <w:tcPr>
            <w:tcW w:w="908" w:type="pct"/>
            <w:shd w:val="clear" w:color="auto" w:fill="auto"/>
            <w:noWrap/>
            <w:hideMark/>
          </w:tcPr>
          <w:p w14:paraId="407CB8C8"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483 987</w:t>
            </w:r>
          </w:p>
        </w:tc>
        <w:tc>
          <w:tcPr>
            <w:tcW w:w="1229" w:type="pct"/>
            <w:shd w:val="clear" w:color="auto" w:fill="auto"/>
            <w:noWrap/>
            <w:hideMark/>
          </w:tcPr>
          <w:p w14:paraId="0BC9AB66"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3 372 185</w:t>
            </w:r>
          </w:p>
        </w:tc>
        <w:tc>
          <w:tcPr>
            <w:tcW w:w="1305" w:type="pct"/>
            <w:shd w:val="clear" w:color="auto" w:fill="auto"/>
            <w:noWrap/>
            <w:hideMark/>
          </w:tcPr>
          <w:p w14:paraId="52C11A41"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53 965</w:t>
            </w:r>
          </w:p>
        </w:tc>
      </w:tr>
      <w:tr w:rsidR="000B7295" w:rsidRPr="00BF1DF1" w14:paraId="54D49264" w14:textId="77777777" w:rsidTr="00BF1DF1">
        <w:trPr>
          <w:trHeight w:val="180"/>
        </w:trPr>
        <w:tc>
          <w:tcPr>
            <w:tcW w:w="1558" w:type="pct"/>
            <w:shd w:val="clear" w:color="auto" w:fill="auto"/>
            <w:noWrap/>
            <w:hideMark/>
          </w:tcPr>
          <w:p w14:paraId="2A7BB1D0"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Śląski</w:t>
            </w:r>
          </w:p>
        </w:tc>
        <w:tc>
          <w:tcPr>
            <w:tcW w:w="908" w:type="pct"/>
            <w:shd w:val="clear" w:color="auto" w:fill="auto"/>
            <w:noWrap/>
            <w:hideMark/>
          </w:tcPr>
          <w:p w14:paraId="66613374"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1 019 945</w:t>
            </w:r>
          </w:p>
        </w:tc>
        <w:tc>
          <w:tcPr>
            <w:tcW w:w="1229" w:type="pct"/>
            <w:shd w:val="clear" w:color="auto" w:fill="auto"/>
            <w:noWrap/>
            <w:hideMark/>
          </w:tcPr>
          <w:p w14:paraId="39FFE081"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7 252 433</w:t>
            </w:r>
          </w:p>
        </w:tc>
        <w:tc>
          <w:tcPr>
            <w:tcW w:w="1305" w:type="pct"/>
            <w:shd w:val="clear" w:color="auto" w:fill="auto"/>
            <w:noWrap/>
            <w:hideMark/>
          </w:tcPr>
          <w:p w14:paraId="285475E7"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128 839</w:t>
            </w:r>
          </w:p>
        </w:tc>
      </w:tr>
      <w:tr w:rsidR="000B7295" w:rsidRPr="00BF1DF1" w14:paraId="0C17448D" w14:textId="77777777" w:rsidTr="00BF1DF1">
        <w:trPr>
          <w:trHeight w:val="240"/>
        </w:trPr>
        <w:tc>
          <w:tcPr>
            <w:tcW w:w="1558" w:type="pct"/>
            <w:shd w:val="clear" w:color="auto" w:fill="auto"/>
            <w:noWrap/>
            <w:hideMark/>
          </w:tcPr>
          <w:p w14:paraId="7A00F1FF"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Świętokrzyski</w:t>
            </w:r>
          </w:p>
        </w:tc>
        <w:tc>
          <w:tcPr>
            <w:tcW w:w="908" w:type="pct"/>
            <w:shd w:val="clear" w:color="auto" w:fill="auto"/>
            <w:noWrap/>
            <w:hideMark/>
          </w:tcPr>
          <w:p w14:paraId="1150C484"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291 332</w:t>
            </w:r>
          </w:p>
        </w:tc>
        <w:tc>
          <w:tcPr>
            <w:tcW w:w="1229" w:type="pct"/>
            <w:shd w:val="clear" w:color="auto" w:fill="auto"/>
            <w:noWrap/>
            <w:hideMark/>
          </w:tcPr>
          <w:p w14:paraId="628FBF9D"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2 115 381</w:t>
            </w:r>
          </w:p>
        </w:tc>
        <w:tc>
          <w:tcPr>
            <w:tcW w:w="1305" w:type="pct"/>
            <w:shd w:val="clear" w:color="auto" w:fill="auto"/>
            <w:noWrap/>
            <w:hideMark/>
          </w:tcPr>
          <w:p w14:paraId="3FB6C4B3"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59 026</w:t>
            </w:r>
          </w:p>
        </w:tc>
      </w:tr>
      <w:tr w:rsidR="000B7295" w:rsidRPr="00BF1DF1" w14:paraId="00B7748F" w14:textId="77777777" w:rsidTr="00BF1DF1">
        <w:trPr>
          <w:trHeight w:val="130"/>
        </w:trPr>
        <w:tc>
          <w:tcPr>
            <w:tcW w:w="1558" w:type="pct"/>
            <w:shd w:val="clear" w:color="auto" w:fill="auto"/>
            <w:noWrap/>
            <w:hideMark/>
          </w:tcPr>
          <w:p w14:paraId="73AD8134"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Warmińsko-Mazurski</w:t>
            </w:r>
          </w:p>
        </w:tc>
        <w:tc>
          <w:tcPr>
            <w:tcW w:w="908" w:type="pct"/>
            <w:shd w:val="clear" w:color="auto" w:fill="auto"/>
            <w:noWrap/>
            <w:hideMark/>
          </w:tcPr>
          <w:p w14:paraId="624299A1"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305 002</w:t>
            </w:r>
          </w:p>
        </w:tc>
        <w:tc>
          <w:tcPr>
            <w:tcW w:w="1229" w:type="pct"/>
            <w:shd w:val="clear" w:color="auto" w:fill="auto"/>
            <w:noWrap/>
            <w:hideMark/>
          </w:tcPr>
          <w:p w14:paraId="300CAB80"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2 351 096</w:t>
            </w:r>
          </w:p>
        </w:tc>
        <w:tc>
          <w:tcPr>
            <w:tcW w:w="1305" w:type="pct"/>
            <w:shd w:val="clear" w:color="auto" w:fill="auto"/>
            <w:noWrap/>
            <w:hideMark/>
          </w:tcPr>
          <w:p w14:paraId="711C2A8F"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40 032</w:t>
            </w:r>
          </w:p>
        </w:tc>
      </w:tr>
      <w:tr w:rsidR="000B7295" w:rsidRPr="00BF1DF1" w14:paraId="5522CAA9" w14:textId="77777777" w:rsidTr="00BF1DF1">
        <w:trPr>
          <w:trHeight w:val="191"/>
        </w:trPr>
        <w:tc>
          <w:tcPr>
            <w:tcW w:w="1558" w:type="pct"/>
            <w:shd w:val="clear" w:color="auto" w:fill="auto"/>
            <w:noWrap/>
            <w:hideMark/>
          </w:tcPr>
          <w:p w14:paraId="18FF50E4"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Wielkopolski</w:t>
            </w:r>
          </w:p>
        </w:tc>
        <w:tc>
          <w:tcPr>
            <w:tcW w:w="908" w:type="pct"/>
            <w:shd w:val="clear" w:color="auto" w:fill="auto"/>
            <w:noWrap/>
            <w:hideMark/>
          </w:tcPr>
          <w:p w14:paraId="15CF047D"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745 311</w:t>
            </w:r>
          </w:p>
        </w:tc>
        <w:tc>
          <w:tcPr>
            <w:tcW w:w="1229" w:type="pct"/>
            <w:shd w:val="clear" w:color="auto" w:fill="auto"/>
            <w:noWrap/>
            <w:hideMark/>
          </w:tcPr>
          <w:p w14:paraId="41EBDD3B"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6 002 671</w:t>
            </w:r>
          </w:p>
        </w:tc>
        <w:tc>
          <w:tcPr>
            <w:tcW w:w="1305" w:type="pct"/>
            <w:shd w:val="clear" w:color="auto" w:fill="auto"/>
            <w:noWrap/>
            <w:hideMark/>
          </w:tcPr>
          <w:p w14:paraId="1092E9E7"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72 617</w:t>
            </w:r>
          </w:p>
        </w:tc>
      </w:tr>
      <w:tr w:rsidR="000B7295" w:rsidRPr="00BF1DF1" w14:paraId="3C9F30FE" w14:textId="77777777" w:rsidTr="00BF1DF1">
        <w:trPr>
          <w:trHeight w:val="236"/>
        </w:trPr>
        <w:tc>
          <w:tcPr>
            <w:tcW w:w="1558" w:type="pct"/>
            <w:shd w:val="clear" w:color="auto" w:fill="auto"/>
            <w:noWrap/>
            <w:hideMark/>
          </w:tcPr>
          <w:p w14:paraId="32C58FAF" w14:textId="77777777" w:rsidR="000B7295" w:rsidRPr="00BF1DF1" w:rsidRDefault="000B7295" w:rsidP="00706C37">
            <w:pPr>
              <w:spacing w:after="0" w:line="240" w:lineRule="auto"/>
              <w:rPr>
                <w:rFonts w:ascii="Lato" w:eastAsia="Times New Roman" w:hAnsi="Lato" w:cs="Arial"/>
                <w:sz w:val="18"/>
                <w:szCs w:val="18"/>
                <w:lang w:eastAsia="pl-PL"/>
              </w:rPr>
            </w:pPr>
            <w:r w:rsidRPr="00BF1DF1">
              <w:rPr>
                <w:rFonts w:ascii="Lato" w:eastAsia="Times New Roman" w:hAnsi="Lato" w:cs="Arial"/>
                <w:sz w:val="18"/>
                <w:szCs w:val="18"/>
                <w:lang w:eastAsia="pl-PL"/>
              </w:rPr>
              <w:t>Zachodniopomorski</w:t>
            </w:r>
          </w:p>
        </w:tc>
        <w:tc>
          <w:tcPr>
            <w:tcW w:w="908" w:type="pct"/>
            <w:shd w:val="clear" w:color="auto" w:fill="auto"/>
            <w:noWrap/>
            <w:hideMark/>
          </w:tcPr>
          <w:p w14:paraId="602601B1"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393 710</w:t>
            </w:r>
          </w:p>
        </w:tc>
        <w:tc>
          <w:tcPr>
            <w:tcW w:w="1229" w:type="pct"/>
            <w:shd w:val="clear" w:color="auto" w:fill="auto"/>
            <w:noWrap/>
            <w:hideMark/>
          </w:tcPr>
          <w:p w14:paraId="2D1BCA54"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3 094 029</w:t>
            </w:r>
          </w:p>
        </w:tc>
        <w:tc>
          <w:tcPr>
            <w:tcW w:w="1305" w:type="pct"/>
            <w:shd w:val="clear" w:color="auto" w:fill="auto"/>
            <w:noWrap/>
            <w:hideMark/>
          </w:tcPr>
          <w:p w14:paraId="1E2DC8FE" w14:textId="77777777" w:rsidR="000B7295" w:rsidRPr="00BF1DF1" w:rsidRDefault="000B7295" w:rsidP="00706C37">
            <w:pPr>
              <w:spacing w:after="0" w:line="240" w:lineRule="auto"/>
              <w:jc w:val="right"/>
              <w:rPr>
                <w:rFonts w:ascii="Lato" w:eastAsia="Times New Roman" w:hAnsi="Lato" w:cs="Arial"/>
                <w:sz w:val="18"/>
                <w:szCs w:val="18"/>
                <w:lang w:eastAsia="pl-PL"/>
              </w:rPr>
            </w:pPr>
            <w:r w:rsidRPr="00BF1DF1">
              <w:rPr>
                <w:rFonts w:ascii="Lato" w:eastAsia="Times New Roman" w:hAnsi="Lato" w:cs="Arial"/>
                <w:sz w:val="18"/>
                <w:szCs w:val="18"/>
                <w:lang w:eastAsia="pl-PL"/>
              </w:rPr>
              <w:t>29 758</w:t>
            </w:r>
          </w:p>
        </w:tc>
      </w:tr>
      <w:tr w:rsidR="000B7295" w:rsidRPr="00BF1DF1" w14:paraId="41E60CD1" w14:textId="77777777" w:rsidTr="00BF1DF1">
        <w:trPr>
          <w:trHeight w:val="140"/>
        </w:trPr>
        <w:tc>
          <w:tcPr>
            <w:tcW w:w="1558" w:type="pct"/>
            <w:shd w:val="clear" w:color="auto" w:fill="auto"/>
            <w:noWrap/>
            <w:hideMark/>
          </w:tcPr>
          <w:p w14:paraId="42274608" w14:textId="77777777" w:rsidR="000B7295" w:rsidRPr="00BF1DF1" w:rsidRDefault="000B7295" w:rsidP="00706C37">
            <w:pPr>
              <w:spacing w:after="0" w:line="240" w:lineRule="auto"/>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SUMA</w:t>
            </w:r>
          </w:p>
        </w:tc>
        <w:tc>
          <w:tcPr>
            <w:tcW w:w="908" w:type="pct"/>
            <w:shd w:val="clear" w:color="auto" w:fill="auto"/>
            <w:noWrap/>
            <w:hideMark/>
          </w:tcPr>
          <w:p w14:paraId="77B67EDD" w14:textId="77777777" w:rsidR="000B7295" w:rsidRPr="00BF1DF1" w:rsidRDefault="000B7295" w:rsidP="00706C37">
            <w:pPr>
              <w:spacing w:after="0" w:line="240" w:lineRule="auto"/>
              <w:jc w:val="right"/>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8 379 710</w:t>
            </w:r>
          </w:p>
        </w:tc>
        <w:tc>
          <w:tcPr>
            <w:tcW w:w="1229" w:type="pct"/>
            <w:shd w:val="clear" w:color="auto" w:fill="auto"/>
            <w:noWrap/>
            <w:hideMark/>
          </w:tcPr>
          <w:p w14:paraId="2F2DDBF2" w14:textId="77777777" w:rsidR="000B7295" w:rsidRPr="00BF1DF1" w:rsidRDefault="000B7295" w:rsidP="00706C37">
            <w:pPr>
              <w:spacing w:after="0" w:line="240" w:lineRule="auto"/>
              <w:jc w:val="right"/>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60 111 523</w:t>
            </w:r>
          </w:p>
        </w:tc>
        <w:tc>
          <w:tcPr>
            <w:tcW w:w="1305" w:type="pct"/>
            <w:shd w:val="clear" w:color="auto" w:fill="auto"/>
            <w:noWrap/>
            <w:hideMark/>
          </w:tcPr>
          <w:p w14:paraId="0D5BAFE7" w14:textId="77777777" w:rsidR="000B7295" w:rsidRPr="00BF1DF1" w:rsidRDefault="000B7295" w:rsidP="00706C37">
            <w:pPr>
              <w:spacing w:after="0" w:line="240" w:lineRule="auto"/>
              <w:jc w:val="right"/>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1 058 100</w:t>
            </w:r>
          </w:p>
        </w:tc>
      </w:tr>
    </w:tbl>
    <w:p w14:paraId="3B40741B" w14:textId="5CCA8DCD" w:rsidR="007A0B6A" w:rsidRDefault="000B7295" w:rsidP="00BF1DF1">
      <w:pPr>
        <w:tabs>
          <w:tab w:val="left" w:pos="5400"/>
        </w:tabs>
        <w:spacing w:after="0" w:line="240" w:lineRule="auto"/>
        <w:jc w:val="both"/>
        <w:rPr>
          <w:rFonts w:ascii="Lato" w:eastAsia="Times New Roman" w:hAnsi="Lato" w:cs="Arial"/>
          <w:sz w:val="16"/>
          <w:szCs w:val="16"/>
          <w:lang w:eastAsia="pl-PL"/>
        </w:rPr>
      </w:pPr>
      <w:r w:rsidRPr="00086523">
        <w:rPr>
          <w:rFonts w:ascii="Lato" w:eastAsia="Times New Roman" w:hAnsi="Lato" w:cs="Arial"/>
          <w:sz w:val="16"/>
          <w:szCs w:val="16"/>
          <w:lang w:eastAsia="pl-PL"/>
        </w:rPr>
        <w:t xml:space="preserve">Źródło: Narodowy Fundusz Zdrowia </w:t>
      </w:r>
      <w:bookmarkEnd w:id="79"/>
    </w:p>
    <w:p w14:paraId="61AEC82A" w14:textId="77777777" w:rsidR="00BF1DF1" w:rsidRPr="00BF1DF1" w:rsidRDefault="00BF1DF1" w:rsidP="00BF1DF1">
      <w:pPr>
        <w:tabs>
          <w:tab w:val="left" w:pos="5400"/>
        </w:tabs>
        <w:spacing w:after="0" w:line="240" w:lineRule="auto"/>
        <w:jc w:val="both"/>
        <w:rPr>
          <w:rFonts w:ascii="Lato" w:eastAsia="Times New Roman" w:hAnsi="Lato" w:cs="Arial"/>
          <w:sz w:val="16"/>
          <w:szCs w:val="16"/>
          <w:lang w:eastAsia="pl-PL"/>
        </w:rPr>
      </w:pPr>
    </w:p>
    <w:p w14:paraId="11B154C4" w14:textId="5533B1FF" w:rsidR="000B7295" w:rsidRPr="007A0B6A" w:rsidRDefault="000B7295" w:rsidP="007A0B6A">
      <w:pPr>
        <w:tabs>
          <w:tab w:val="left" w:pos="5400"/>
        </w:tabs>
        <w:spacing w:after="0" w:line="240" w:lineRule="auto"/>
        <w:jc w:val="both"/>
        <w:rPr>
          <w:rFonts w:ascii="Lato" w:eastAsia="Times New Roman" w:hAnsi="Lato" w:cs="Arial"/>
          <w:sz w:val="20"/>
          <w:szCs w:val="20"/>
          <w:lang w:eastAsia="pl-PL"/>
        </w:rPr>
      </w:pPr>
      <w:r w:rsidRPr="007A0B6A">
        <w:rPr>
          <w:rFonts w:ascii="Lato" w:eastAsia="Times New Roman" w:hAnsi="Lato" w:cs="Arial"/>
          <w:sz w:val="20"/>
          <w:szCs w:val="20"/>
          <w:lang w:eastAsia="pl-PL"/>
        </w:rPr>
        <w:lastRenderedPageBreak/>
        <w:t xml:space="preserve">Według danych podanych powyżej, w 2022r. całkowita liczba pacjentów 60+ korzystających ze świadczeń podstawowej opieki zdrowotnej wyniosła ponad 8,3 mln osób. Z porad lekarskich skorzystało ponad 60 mln  pacjentów, a z porad pielęgniarskich ponad 1 mln. </w:t>
      </w:r>
    </w:p>
    <w:p w14:paraId="04160326" w14:textId="77777777" w:rsidR="00FF7373" w:rsidRDefault="00FF7373" w:rsidP="007A0B6A">
      <w:pPr>
        <w:spacing w:after="0" w:line="240" w:lineRule="auto"/>
        <w:rPr>
          <w:rFonts w:ascii="Lato" w:hAnsi="Lato"/>
          <w:b/>
          <w:bCs/>
          <w:sz w:val="20"/>
          <w:szCs w:val="20"/>
        </w:rPr>
      </w:pPr>
    </w:p>
    <w:p w14:paraId="1777EEA5" w14:textId="5B837F80" w:rsidR="007A0B6A" w:rsidRPr="00FF7373" w:rsidRDefault="000B7295" w:rsidP="00FF7373">
      <w:pPr>
        <w:spacing w:after="0" w:line="240" w:lineRule="auto"/>
        <w:rPr>
          <w:rFonts w:ascii="Lato" w:hAnsi="Lato"/>
          <w:b/>
          <w:bCs/>
          <w:sz w:val="20"/>
          <w:szCs w:val="20"/>
        </w:rPr>
      </w:pPr>
      <w:r w:rsidRPr="007A0B6A">
        <w:rPr>
          <w:rFonts w:ascii="Lato" w:hAnsi="Lato"/>
          <w:b/>
          <w:bCs/>
          <w:sz w:val="20"/>
          <w:szCs w:val="20"/>
        </w:rPr>
        <w:t xml:space="preserve">Opieka geriatryczna </w:t>
      </w:r>
    </w:p>
    <w:p w14:paraId="19B928BE" w14:textId="6A5E12B4" w:rsidR="00086523" w:rsidRDefault="000B7295" w:rsidP="00FF7373">
      <w:pPr>
        <w:tabs>
          <w:tab w:val="left" w:pos="5400"/>
        </w:tabs>
        <w:spacing w:after="0" w:line="240" w:lineRule="auto"/>
        <w:jc w:val="both"/>
        <w:rPr>
          <w:rFonts w:ascii="Lato" w:eastAsia="Times New Roman" w:hAnsi="Lato" w:cs="Arial"/>
          <w:sz w:val="20"/>
          <w:szCs w:val="20"/>
          <w:lang w:eastAsia="pl-PL"/>
        </w:rPr>
      </w:pPr>
      <w:r w:rsidRPr="007A0B6A">
        <w:rPr>
          <w:rFonts w:ascii="Lato" w:eastAsia="Times New Roman" w:hAnsi="Lato" w:cs="Arial"/>
          <w:sz w:val="20"/>
          <w:szCs w:val="20"/>
          <w:lang w:eastAsia="pl-PL"/>
        </w:rPr>
        <w:t>Geriatria to specjalistyczna dziedzina medycyny, która zajmuje się zdrowiem i chorobami oraz opieką i pomocą osobom w podeszłym wieku</w:t>
      </w:r>
      <w:r w:rsidRPr="007A0B6A">
        <w:rPr>
          <w:rStyle w:val="Odwoanieprzypisudolnego"/>
          <w:rFonts w:ascii="Lato" w:eastAsia="Times New Roman" w:hAnsi="Lato" w:cs="Arial"/>
          <w:sz w:val="20"/>
          <w:szCs w:val="20"/>
          <w:lang w:eastAsia="pl-PL"/>
        </w:rPr>
        <w:footnoteReference w:id="4"/>
      </w:r>
      <w:r w:rsidRPr="007A0B6A">
        <w:rPr>
          <w:rFonts w:ascii="Lato" w:eastAsia="Times New Roman" w:hAnsi="Lato" w:cs="Arial"/>
          <w:sz w:val="20"/>
          <w:szCs w:val="20"/>
          <w:lang w:eastAsia="pl-PL"/>
        </w:rPr>
        <w:t xml:space="preserve">. Opieka geriatryczna sprawowana jest m.in. </w:t>
      </w:r>
      <w:r w:rsidRPr="007A0B6A">
        <w:rPr>
          <w:rFonts w:ascii="Lato" w:eastAsia="Times New Roman" w:hAnsi="Lato" w:cs="Arial"/>
          <w:b/>
          <w:bCs/>
          <w:sz w:val="20"/>
          <w:szCs w:val="20"/>
          <w:u w:val="single"/>
          <w:lang w:eastAsia="pl-PL"/>
        </w:rPr>
        <w:t>na oddziałach geriatrycznych</w:t>
      </w:r>
      <w:r w:rsidRPr="007A0B6A">
        <w:rPr>
          <w:rFonts w:ascii="Lato" w:eastAsia="Times New Roman" w:hAnsi="Lato" w:cs="Arial"/>
          <w:sz w:val="20"/>
          <w:szCs w:val="20"/>
          <w:lang w:eastAsia="pl-PL"/>
        </w:rPr>
        <w:t xml:space="preserve">, które realizują całościową, całodobową opiekę medyczną nad chorymi w wieku starszym. W przedmiotowych oddziałach hospitalizowani są pacjenci w ostrych stanach chorobowych, </w:t>
      </w:r>
      <w:r w:rsidR="00B04E39" w:rsidRPr="007A0B6A">
        <w:rPr>
          <w:rFonts w:ascii="Lato" w:eastAsia="Times New Roman" w:hAnsi="Lato" w:cs="Arial"/>
          <w:sz w:val="20"/>
          <w:szCs w:val="20"/>
          <w:lang w:eastAsia="pl-PL"/>
        </w:rPr>
        <w:t xml:space="preserve"> </w:t>
      </w:r>
      <w:r w:rsidRPr="007A0B6A">
        <w:rPr>
          <w:rFonts w:ascii="Lato" w:eastAsia="Times New Roman" w:hAnsi="Lato" w:cs="Arial"/>
          <w:sz w:val="20"/>
          <w:szCs w:val="20"/>
          <w:lang w:eastAsia="pl-PL"/>
        </w:rPr>
        <w:t xml:space="preserve">chorobami przewlekłymi bądź też w celach diagnostycznych. </w:t>
      </w:r>
    </w:p>
    <w:p w14:paraId="360061BA" w14:textId="77777777" w:rsidR="00FF7373" w:rsidRPr="00FF7373" w:rsidRDefault="00FF7373" w:rsidP="00FF7373">
      <w:pPr>
        <w:tabs>
          <w:tab w:val="left" w:pos="5400"/>
        </w:tabs>
        <w:spacing w:after="0" w:line="240" w:lineRule="auto"/>
        <w:jc w:val="both"/>
        <w:rPr>
          <w:rFonts w:ascii="Lato" w:eastAsia="Times New Roman" w:hAnsi="Lato" w:cs="Arial"/>
          <w:sz w:val="20"/>
          <w:szCs w:val="20"/>
          <w:lang w:eastAsia="pl-PL"/>
        </w:rPr>
      </w:pPr>
    </w:p>
    <w:p w14:paraId="3733CD7E" w14:textId="4CFEAE7F" w:rsidR="00086523" w:rsidRDefault="00086523" w:rsidP="00086523">
      <w:pPr>
        <w:pStyle w:val="Legenda"/>
        <w:keepNext/>
      </w:pPr>
      <w:bookmarkStart w:id="81" w:name="_Toc142566008"/>
      <w:r>
        <w:t xml:space="preserve">Tabela </w:t>
      </w:r>
      <w:fldSimple w:instr=" SEQ Tabela \* ARABIC ">
        <w:r w:rsidR="00AA385B">
          <w:rPr>
            <w:noProof/>
          </w:rPr>
          <w:t>45</w:t>
        </w:r>
      </w:fldSimple>
      <w:r>
        <w:t xml:space="preserve"> </w:t>
      </w:r>
      <w:r w:rsidRPr="007A1ADA">
        <w:t>Liczba pacjentów w wieku 60+ korzystających ze świadczeń podstawowej opieki zdrowotnej oraz liczba porad lekarskich i pielęgniarskich w 2022 r. (stan na dzień 30.05.2023 r.)</w:t>
      </w:r>
      <w:bookmarkEnd w:id="81"/>
    </w:p>
    <w:tbl>
      <w:tblPr>
        <w:tblStyle w:val="Tabela-Siatka"/>
        <w:tblW w:w="5000" w:type="pct"/>
        <w:tblLook w:val="04A0" w:firstRow="1" w:lastRow="0" w:firstColumn="1" w:lastColumn="0" w:noHBand="0" w:noVBand="1"/>
      </w:tblPr>
      <w:tblGrid>
        <w:gridCol w:w="2231"/>
        <w:gridCol w:w="1679"/>
        <w:gridCol w:w="1832"/>
        <w:gridCol w:w="1660"/>
        <w:gridCol w:w="1660"/>
      </w:tblGrid>
      <w:tr w:rsidR="00086523" w14:paraId="1B7E6BA6" w14:textId="77777777" w:rsidTr="00BF1DF1">
        <w:tc>
          <w:tcPr>
            <w:tcW w:w="1235" w:type="pct"/>
            <w:shd w:val="clear" w:color="auto" w:fill="8EAADB" w:themeFill="accent1" w:themeFillTint="99"/>
            <w:vAlign w:val="center"/>
          </w:tcPr>
          <w:p w14:paraId="0B4A63B9" w14:textId="77777777" w:rsidR="00086523" w:rsidRDefault="00086523" w:rsidP="00BF1DF1">
            <w:pPr>
              <w:jc w:val="center"/>
            </w:pPr>
            <w:r w:rsidRPr="000B7295">
              <w:rPr>
                <w:rFonts w:ascii="Lato" w:eastAsia="Times New Roman" w:hAnsi="Lato" w:cs="Tahoma"/>
                <w:b/>
                <w:bCs/>
                <w:sz w:val="18"/>
                <w:szCs w:val="18"/>
                <w:lang w:eastAsia="pl-PL"/>
              </w:rPr>
              <w:t>Rozliczający OW NFZ</w:t>
            </w:r>
          </w:p>
        </w:tc>
        <w:tc>
          <w:tcPr>
            <w:tcW w:w="930" w:type="pct"/>
            <w:shd w:val="clear" w:color="auto" w:fill="8EAADB" w:themeFill="accent1" w:themeFillTint="99"/>
            <w:vAlign w:val="center"/>
          </w:tcPr>
          <w:p w14:paraId="3FE071B2" w14:textId="5493D075" w:rsidR="00086523" w:rsidRDefault="00BF1DF1" w:rsidP="00BF1DF1">
            <w:pPr>
              <w:jc w:val="center"/>
            </w:pPr>
            <w:r>
              <w:rPr>
                <w:rFonts w:ascii="Lato" w:eastAsia="Times New Roman" w:hAnsi="Lato" w:cs="Tahoma"/>
                <w:b/>
                <w:bCs/>
                <w:sz w:val="18"/>
                <w:szCs w:val="18"/>
                <w:lang w:eastAsia="pl-PL"/>
              </w:rPr>
              <w:t>K</w:t>
            </w:r>
            <w:r w:rsidR="00086523" w:rsidRPr="000B7295">
              <w:rPr>
                <w:rFonts w:ascii="Lato" w:eastAsia="Times New Roman" w:hAnsi="Lato" w:cs="Tahoma"/>
                <w:b/>
                <w:bCs/>
                <w:sz w:val="18"/>
                <w:szCs w:val="18"/>
                <w:lang w:eastAsia="pl-PL"/>
              </w:rPr>
              <w:t>od zakresu świadczeń</w:t>
            </w:r>
          </w:p>
        </w:tc>
        <w:tc>
          <w:tcPr>
            <w:tcW w:w="994" w:type="pct"/>
            <w:shd w:val="clear" w:color="auto" w:fill="8EAADB" w:themeFill="accent1" w:themeFillTint="99"/>
            <w:vAlign w:val="center"/>
          </w:tcPr>
          <w:p w14:paraId="20768A10" w14:textId="77777777" w:rsidR="00086523" w:rsidRDefault="00086523" w:rsidP="00BF1DF1">
            <w:pPr>
              <w:jc w:val="center"/>
            </w:pPr>
            <w:r w:rsidRPr="000B7295">
              <w:rPr>
                <w:rFonts w:ascii="Lato" w:eastAsia="Times New Roman" w:hAnsi="Lato" w:cs="Tahoma"/>
                <w:b/>
                <w:bCs/>
                <w:sz w:val="18"/>
                <w:szCs w:val="18"/>
                <w:lang w:eastAsia="pl-PL"/>
              </w:rPr>
              <w:t>Liczba świadczeniodawców</w:t>
            </w:r>
          </w:p>
        </w:tc>
        <w:tc>
          <w:tcPr>
            <w:tcW w:w="920" w:type="pct"/>
            <w:shd w:val="clear" w:color="auto" w:fill="8EAADB" w:themeFill="accent1" w:themeFillTint="99"/>
            <w:vAlign w:val="center"/>
          </w:tcPr>
          <w:p w14:paraId="7E9B5DD4" w14:textId="77777777" w:rsidR="00086523" w:rsidRDefault="00086523" w:rsidP="00BF1DF1">
            <w:pPr>
              <w:jc w:val="center"/>
            </w:pPr>
            <w:r w:rsidRPr="000B7295">
              <w:rPr>
                <w:rFonts w:ascii="Lato" w:eastAsia="Times New Roman" w:hAnsi="Lato" w:cs="Tahoma"/>
                <w:b/>
                <w:bCs/>
                <w:sz w:val="18"/>
                <w:szCs w:val="18"/>
                <w:lang w:eastAsia="pl-PL"/>
              </w:rPr>
              <w:t>Liczba świadczeń</w:t>
            </w:r>
          </w:p>
        </w:tc>
        <w:tc>
          <w:tcPr>
            <w:tcW w:w="920" w:type="pct"/>
            <w:shd w:val="clear" w:color="auto" w:fill="8EAADB" w:themeFill="accent1" w:themeFillTint="99"/>
            <w:vAlign w:val="center"/>
          </w:tcPr>
          <w:p w14:paraId="296B7BF0" w14:textId="77777777" w:rsidR="00086523" w:rsidRDefault="00086523" w:rsidP="00BF1DF1">
            <w:pPr>
              <w:jc w:val="center"/>
            </w:pPr>
            <w:r w:rsidRPr="000B7295">
              <w:rPr>
                <w:rFonts w:ascii="Lato" w:eastAsia="Times New Roman" w:hAnsi="Lato" w:cs="Tahoma"/>
                <w:b/>
                <w:bCs/>
                <w:sz w:val="18"/>
                <w:szCs w:val="18"/>
                <w:lang w:eastAsia="pl-PL"/>
              </w:rPr>
              <w:t>Wartość świadczeń</w:t>
            </w:r>
          </w:p>
        </w:tc>
      </w:tr>
      <w:tr w:rsidR="00086523" w14:paraId="74CA0EEA" w14:textId="77777777" w:rsidTr="00086523">
        <w:tc>
          <w:tcPr>
            <w:tcW w:w="1235" w:type="pct"/>
            <w:vAlign w:val="center"/>
          </w:tcPr>
          <w:p w14:paraId="5BF48164" w14:textId="31E33968" w:rsidR="00086523" w:rsidRDefault="00BF1DF1" w:rsidP="00706C37">
            <w:r w:rsidRPr="000B7295">
              <w:rPr>
                <w:rFonts w:ascii="Lato" w:eastAsia="Times New Roman" w:hAnsi="Lato" w:cs="Tahoma"/>
                <w:sz w:val="18"/>
                <w:szCs w:val="18"/>
                <w:lang w:eastAsia="pl-PL"/>
              </w:rPr>
              <w:t>Dolnośląski</w:t>
            </w:r>
          </w:p>
        </w:tc>
        <w:tc>
          <w:tcPr>
            <w:tcW w:w="930" w:type="pct"/>
            <w:vAlign w:val="center"/>
          </w:tcPr>
          <w:p w14:paraId="4E14BB1C"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0C5AFC96" w14:textId="77777777" w:rsidR="00086523" w:rsidRDefault="00086523" w:rsidP="00706C37">
            <w:r w:rsidRPr="000B7295">
              <w:rPr>
                <w:rFonts w:ascii="Lato" w:eastAsia="Times New Roman" w:hAnsi="Lato" w:cs="Tahoma"/>
                <w:sz w:val="18"/>
                <w:szCs w:val="18"/>
                <w:lang w:eastAsia="pl-PL"/>
              </w:rPr>
              <w:t>5</w:t>
            </w:r>
          </w:p>
        </w:tc>
        <w:tc>
          <w:tcPr>
            <w:tcW w:w="920" w:type="pct"/>
            <w:vAlign w:val="center"/>
          </w:tcPr>
          <w:p w14:paraId="1998D10C" w14:textId="77777777" w:rsidR="00086523" w:rsidRDefault="00086523" w:rsidP="00706C37">
            <w:r w:rsidRPr="000B7295">
              <w:rPr>
                <w:rFonts w:ascii="Lato" w:eastAsia="Times New Roman" w:hAnsi="Lato" w:cs="Tahoma"/>
                <w:sz w:val="18"/>
                <w:szCs w:val="18"/>
                <w:lang w:eastAsia="pl-PL"/>
              </w:rPr>
              <w:t>1 382</w:t>
            </w:r>
          </w:p>
        </w:tc>
        <w:tc>
          <w:tcPr>
            <w:tcW w:w="920" w:type="pct"/>
            <w:vAlign w:val="center"/>
          </w:tcPr>
          <w:p w14:paraId="169888F0" w14:textId="77777777" w:rsidR="00086523" w:rsidRDefault="00086523" w:rsidP="00706C37">
            <w:r w:rsidRPr="000B7295">
              <w:rPr>
                <w:rFonts w:ascii="Lato" w:eastAsia="Times New Roman" w:hAnsi="Lato" w:cs="Tahoma"/>
                <w:sz w:val="18"/>
                <w:szCs w:val="18"/>
                <w:lang w:eastAsia="pl-PL"/>
              </w:rPr>
              <w:t>8 360 662,52 zł</w:t>
            </w:r>
          </w:p>
        </w:tc>
      </w:tr>
      <w:tr w:rsidR="00086523" w14:paraId="3F8A46E8" w14:textId="77777777" w:rsidTr="00086523">
        <w:tc>
          <w:tcPr>
            <w:tcW w:w="1235" w:type="pct"/>
            <w:vAlign w:val="center"/>
          </w:tcPr>
          <w:p w14:paraId="06AB1BE6" w14:textId="1F86E3E9" w:rsidR="00086523" w:rsidRDefault="00BF1DF1" w:rsidP="00706C37">
            <w:r w:rsidRPr="000B7295">
              <w:rPr>
                <w:rFonts w:ascii="Lato" w:eastAsia="Times New Roman" w:hAnsi="Lato" w:cs="Tahoma"/>
                <w:sz w:val="18"/>
                <w:szCs w:val="18"/>
                <w:lang w:eastAsia="pl-PL"/>
              </w:rPr>
              <w:t>Kujawsko-pomorski</w:t>
            </w:r>
          </w:p>
        </w:tc>
        <w:tc>
          <w:tcPr>
            <w:tcW w:w="930" w:type="pct"/>
            <w:vAlign w:val="center"/>
          </w:tcPr>
          <w:p w14:paraId="6D5A07D1"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31EABEC9"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15A5E131" w14:textId="77777777" w:rsidR="00086523" w:rsidRDefault="00086523" w:rsidP="00706C37">
            <w:r w:rsidRPr="000B7295">
              <w:rPr>
                <w:rFonts w:ascii="Lato" w:eastAsia="Times New Roman" w:hAnsi="Lato" w:cs="Tahoma"/>
                <w:sz w:val="18"/>
                <w:szCs w:val="18"/>
                <w:lang w:eastAsia="pl-PL"/>
              </w:rPr>
              <w:t>1 038</w:t>
            </w:r>
          </w:p>
        </w:tc>
        <w:tc>
          <w:tcPr>
            <w:tcW w:w="920" w:type="pct"/>
            <w:vAlign w:val="center"/>
          </w:tcPr>
          <w:p w14:paraId="17BCC2CF" w14:textId="77777777" w:rsidR="00086523" w:rsidRDefault="00086523" w:rsidP="00706C37">
            <w:r w:rsidRPr="000B7295">
              <w:rPr>
                <w:rFonts w:ascii="Lato" w:eastAsia="Times New Roman" w:hAnsi="Lato" w:cs="Tahoma"/>
                <w:sz w:val="18"/>
                <w:szCs w:val="18"/>
                <w:lang w:eastAsia="pl-PL"/>
              </w:rPr>
              <w:t>5 457 841,19 zł</w:t>
            </w:r>
          </w:p>
        </w:tc>
      </w:tr>
      <w:tr w:rsidR="00086523" w14:paraId="294234D8" w14:textId="77777777" w:rsidTr="00086523">
        <w:tc>
          <w:tcPr>
            <w:tcW w:w="1235" w:type="pct"/>
            <w:vAlign w:val="center"/>
          </w:tcPr>
          <w:p w14:paraId="36CF059A" w14:textId="444AAA27" w:rsidR="00086523" w:rsidRDefault="00BF1DF1" w:rsidP="00706C37">
            <w:r w:rsidRPr="000B7295">
              <w:rPr>
                <w:rFonts w:ascii="Lato" w:eastAsia="Times New Roman" w:hAnsi="Lato" w:cs="Tahoma"/>
                <w:sz w:val="18"/>
                <w:szCs w:val="18"/>
                <w:lang w:eastAsia="pl-PL"/>
              </w:rPr>
              <w:t>Lubelski</w:t>
            </w:r>
          </w:p>
        </w:tc>
        <w:tc>
          <w:tcPr>
            <w:tcW w:w="930" w:type="pct"/>
            <w:vAlign w:val="center"/>
          </w:tcPr>
          <w:p w14:paraId="3F16BE2F"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668AF7B9" w14:textId="77777777" w:rsidR="00086523" w:rsidRDefault="00086523" w:rsidP="00706C37">
            <w:r w:rsidRPr="000B7295">
              <w:rPr>
                <w:rFonts w:ascii="Lato" w:eastAsia="Times New Roman" w:hAnsi="Lato" w:cs="Tahoma"/>
                <w:sz w:val="18"/>
                <w:szCs w:val="18"/>
                <w:lang w:eastAsia="pl-PL"/>
              </w:rPr>
              <w:t>8</w:t>
            </w:r>
          </w:p>
        </w:tc>
        <w:tc>
          <w:tcPr>
            <w:tcW w:w="920" w:type="pct"/>
            <w:vAlign w:val="center"/>
          </w:tcPr>
          <w:p w14:paraId="7C4E6E90" w14:textId="77777777" w:rsidR="00086523" w:rsidRDefault="00086523" w:rsidP="00706C37">
            <w:r w:rsidRPr="000B7295">
              <w:rPr>
                <w:rFonts w:ascii="Lato" w:eastAsia="Times New Roman" w:hAnsi="Lato" w:cs="Tahoma"/>
                <w:sz w:val="18"/>
                <w:szCs w:val="18"/>
                <w:lang w:eastAsia="pl-PL"/>
              </w:rPr>
              <w:t>2 529</w:t>
            </w:r>
          </w:p>
        </w:tc>
        <w:tc>
          <w:tcPr>
            <w:tcW w:w="920" w:type="pct"/>
            <w:vAlign w:val="center"/>
          </w:tcPr>
          <w:p w14:paraId="67F47BE7" w14:textId="77777777" w:rsidR="00086523" w:rsidRDefault="00086523" w:rsidP="00706C37">
            <w:r w:rsidRPr="000B7295">
              <w:rPr>
                <w:rFonts w:ascii="Lato" w:eastAsia="Times New Roman" w:hAnsi="Lato" w:cs="Tahoma"/>
                <w:sz w:val="18"/>
                <w:szCs w:val="18"/>
                <w:lang w:eastAsia="pl-PL"/>
              </w:rPr>
              <w:t>17 816 538,68 zł</w:t>
            </w:r>
          </w:p>
        </w:tc>
      </w:tr>
      <w:tr w:rsidR="00086523" w14:paraId="1419DE6F" w14:textId="77777777" w:rsidTr="00086523">
        <w:tc>
          <w:tcPr>
            <w:tcW w:w="1235" w:type="pct"/>
            <w:vAlign w:val="center"/>
          </w:tcPr>
          <w:p w14:paraId="6BF219D5" w14:textId="4B2BC4FC" w:rsidR="00086523" w:rsidRDefault="00BF1DF1" w:rsidP="00706C37">
            <w:r w:rsidRPr="000B7295">
              <w:rPr>
                <w:rFonts w:ascii="Lato" w:eastAsia="Times New Roman" w:hAnsi="Lato" w:cs="Tahoma"/>
                <w:sz w:val="18"/>
                <w:szCs w:val="18"/>
                <w:lang w:eastAsia="pl-PL"/>
              </w:rPr>
              <w:t>Lubuski</w:t>
            </w:r>
          </w:p>
        </w:tc>
        <w:tc>
          <w:tcPr>
            <w:tcW w:w="930" w:type="pct"/>
            <w:vAlign w:val="center"/>
          </w:tcPr>
          <w:p w14:paraId="41D5F8A4"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48B07396"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344F0A53" w14:textId="77777777" w:rsidR="00086523" w:rsidRDefault="00086523" w:rsidP="00706C37">
            <w:r w:rsidRPr="000B7295">
              <w:rPr>
                <w:rFonts w:ascii="Lato" w:eastAsia="Times New Roman" w:hAnsi="Lato" w:cs="Tahoma"/>
                <w:sz w:val="18"/>
                <w:szCs w:val="18"/>
                <w:lang w:eastAsia="pl-PL"/>
              </w:rPr>
              <w:t>1 037</w:t>
            </w:r>
          </w:p>
        </w:tc>
        <w:tc>
          <w:tcPr>
            <w:tcW w:w="920" w:type="pct"/>
            <w:vAlign w:val="center"/>
          </w:tcPr>
          <w:p w14:paraId="574BDAE8" w14:textId="77777777" w:rsidR="00086523" w:rsidRDefault="00086523" w:rsidP="00706C37">
            <w:r w:rsidRPr="000B7295">
              <w:rPr>
                <w:rFonts w:ascii="Lato" w:eastAsia="Times New Roman" w:hAnsi="Lato" w:cs="Tahoma"/>
                <w:sz w:val="18"/>
                <w:szCs w:val="18"/>
                <w:lang w:eastAsia="pl-PL"/>
              </w:rPr>
              <w:t>5 179 858,75 zł</w:t>
            </w:r>
          </w:p>
        </w:tc>
      </w:tr>
      <w:tr w:rsidR="00086523" w14:paraId="4407E8C6" w14:textId="77777777" w:rsidTr="00086523">
        <w:tc>
          <w:tcPr>
            <w:tcW w:w="1235" w:type="pct"/>
            <w:vAlign w:val="center"/>
          </w:tcPr>
          <w:p w14:paraId="3F770E3C" w14:textId="11AC8B54" w:rsidR="00086523" w:rsidRDefault="00BF1DF1" w:rsidP="00706C37">
            <w:r w:rsidRPr="000B7295">
              <w:rPr>
                <w:rFonts w:ascii="Lato" w:eastAsia="Times New Roman" w:hAnsi="Lato" w:cs="Tahoma"/>
                <w:sz w:val="18"/>
                <w:szCs w:val="18"/>
                <w:lang w:eastAsia="pl-PL"/>
              </w:rPr>
              <w:t>Łódzki</w:t>
            </w:r>
          </w:p>
        </w:tc>
        <w:tc>
          <w:tcPr>
            <w:tcW w:w="930" w:type="pct"/>
            <w:vAlign w:val="center"/>
          </w:tcPr>
          <w:p w14:paraId="5569D954"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58C35AEF"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5984607C" w14:textId="77777777" w:rsidR="00086523" w:rsidRDefault="00086523" w:rsidP="00706C37">
            <w:r w:rsidRPr="000B7295">
              <w:rPr>
                <w:rFonts w:ascii="Lato" w:eastAsia="Times New Roman" w:hAnsi="Lato" w:cs="Tahoma"/>
                <w:sz w:val="18"/>
                <w:szCs w:val="18"/>
                <w:lang w:eastAsia="pl-PL"/>
              </w:rPr>
              <w:t>646</w:t>
            </w:r>
          </w:p>
        </w:tc>
        <w:tc>
          <w:tcPr>
            <w:tcW w:w="920" w:type="pct"/>
            <w:vAlign w:val="center"/>
          </w:tcPr>
          <w:p w14:paraId="467650D5" w14:textId="77777777" w:rsidR="00086523" w:rsidRDefault="00086523" w:rsidP="00706C37">
            <w:r w:rsidRPr="000B7295">
              <w:rPr>
                <w:rFonts w:ascii="Lato" w:eastAsia="Times New Roman" w:hAnsi="Lato" w:cs="Tahoma"/>
                <w:sz w:val="18"/>
                <w:szCs w:val="18"/>
                <w:lang w:eastAsia="pl-PL"/>
              </w:rPr>
              <w:t>3 687 946,21 zł</w:t>
            </w:r>
          </w:p>
        </w:tc>
      </w:tr>
      <w:tr w:rsidR="00086523" w14:paraId="16ACFA70" w14:textId="77777777" w:rsidTr="00086523">
        <w:tc>
          <w:tcPr>
            <w:tcW w:w="1235" w:type="pct"/>
            <w:vAlign w:val="center"/>
          </w:tcPr>
          <w:p w14:paraId="7E79D542" w14:textId="2DC63922" w:rsidR="00086523" w:rsidRDefault="00BF1DF1" w:rsidP="00706C37">
            <w:r w:rsidRPr="000B7295">
              <w:rPr>
                <w:rFonts w:ascii="Lato" w:eastAsia="Times New Roman" w:hAnsi="Lato" w:cs="Tahoma"/>
                <w:sz w:val="18"/>
                <w:szCs w:val="18"/>
                <w:lang w:eastAsia="pl-PL"/>
              </w:rPr>
              <w:t>Małopolski</w:t>
            </w:r>
          </w:p>
        </w:tc>
        <w:tc>
          <w:tcPr>
            <w:tcW w:w="930" w:type="pct"/>
            <w:vAlign w:val="center"/>
          </w:tcPr>
          <w:p w14:paraId="22F7434F"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02DDEAC5" w14:textId="77777777" w:rsidR="00086523" w:rsidRDefault="00086523" w:rsidP="00706C37">
            <w:r w:rsidRPr="000B7295">
              <w:rPr>
                <w:rFonts w:ascii="Lato" w:eastAsia="Times New Roman" w:hAnsi="Lato" w:cs="Tahoma"/>
                <w:sz w:val="18"/>
                <w:szCs w:val="18"/>
                <w:lang w:eastAsia="pl-PL"/>
              </w:rPr>
              <w:t>9</w:t>
            </w:r>
          </w:p>
        </w:tc>
        <w:tc>
          <w:tcPr>
            <w:tcW w:w="920" w:type="pct"/>
            <w:vAlign w:val="center"/>
          </w:tcPr>
          <w:p w14:paraId="16843C78" w14:textId="77777777" w:rsidR="00086523" w:rsidRDefault="00086523" w:rsidP="00706C37">
            <w:r w:rsidRPr="000B7295">
              <w:rPr>
                <w:rFonts w:ascii="Lato" w:eastAsia="Times New Roman" w:hAnsi="Lato" w:cs="Tahoma"/>
                <w:sz w:val="18"/>
                <w:szCs w:val="18"/>
                <w:lang w:eastAsia="pl-PL"/>
              </w:rPr>
              <w:t>5 684</w:t>
            </w:r>
          </w:p>
        </w:tc>
        <w:tc>
          <w:tcPr>
            <w:tcW w:w="920" w:type="pct"/>
            <w:vAlign w:val="center"/>
          </w:tcPr>
          <w:p w14:paraId="6A108436" w14:textId="77777777" w:rsidR="00086523" w:rsidRDefault="00086523" w:rsidP="00706C37">
            <w:r w:rsidRPr="000B7295">
              <w:rPr>
                <w:rFonts w:ascii="Lato" w:eastAsia="Times New Roman" w:hAnsi="Lato" w:cs="Tahoma"/>
                <w:sz w:val="18"/>
                <w:szCs w:val="18"/>
                <w:lang w:eastAsia="pl-PL"/>
              </w:rPr>
              <w:t>44 248 068,38 zł</w:t>
            </w:r>
          </w:p>
        </w:tc>
      </w:tr>
      <w:tr w:rsidR="00086523" w14:paraId="6D9FABEB" w14:textId="77777777" w:rsidTr="00086523">
        <w:tc>
          <w:tcPr>
            <w:tcW w:w="1235" w:type="pct"/>
            <w:vAlign w:val="center"/>
          </w:tcPr>
          <w:p w14:paraId="051066F8" w14:textId="6A5F52EB" w:rsidR="00086523" w:rsidRDefault="00BF1DF1" w:rsidP="00706C37">
            <w:r w:rsidRPr="000B7295">
              <w:rPr>
                <w:rFonts w:ascii="Lato" w:eastAsia="Times New Roman" w:hAnsi="Lato" w:cs="Tahoma"/>
                <w:sz w:val="18"/>
                <w:szCs w:val="18"/>
                <w:lang w:eastAsia="pl-PL"/>
              </w:rPr>
              <w:t>Mazowiecki</w:t>
            </w:r>
          </w:p>
        </w:tc>
        <w:tc>
          <w:tcPr>
            <w:tcW w:w="930" w:type="pct"/>
            <w:vAlign w:val="center"/>
          </w:tcPr>
          <w:p w14:paraId="614AE81F"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11B7D7AA" w14:textId="77777777" w:rsidR="00086523" w:rsidRDefault="00086523" w:rsidP="00706C37">
            <w:r w:rsidRPr="000B7295">
              <w:rPr>
                <w:rFonts w:ascii="Lato" w:eastAsia="Times New Roman" w:hAnsi="Lato" w:cs="Tahoma"/>
                <w:sz w:val="18"/>
                <w:szCs w:val="18"/>
                <w:lang w:eastAsia="pl-PL"/>
              </w:rPr>
              <w:t>8</w:t>
            </w:r>
          </w:p>
        </w:tc>
        <w:tc>
          <w:tcPr>
            <w:tcW w:w="920" w:type="pct"/>
            <w:vAlign w:val="center"/>
          </w:tcPr>
          <w:p w14:paraId="54D94589" w14:textId="77777777" w:rsidR="00086523" w:rsidRDefault="00086523" w:rsidP="00706C37">
            <w:r w:rsidRPr="000B7295">
              <w:rPr>
                <w:rFonts w:ascii="Lato" w:eastAsia="Times New Roman" w:hAnsi="Lato" w:cs="Tahoma"/>
                <w:sz w:val="18"/>
                <w:szCs w:val="18"/>
                <w:lang w:eastAsia="pl-PL"/>
              </w:rPr>
              <w:t>2 553</w:t>
            </w:r>
          </w:p>
        </w:tc>
        <w:tc>
          <w:tcPr>
            <w:tcW w:w="920" w:type="pct"/>
            <w:vAlign w:val="center"/>
          </w:tcPr>
          <w:p w14:paraId="2E4D7C20" w14:textId="77777777" w:rsidR="00086523" w:rsidRDefault="00086523" w:rsidP="00706C37">
            <w:r w:rsidRPr="000B7295">
              <w:rPr>
                <w:rFonts w:ascii="Lato" w:eastAsia="Times New Roman" w:hAnsi="Lato" w:cs="Tahoma"/>
                <w:sz w:val="18"/>
                <w:szCs w:val="18"/>
                <w:lang w:eastAsia="pl-PL"/>
              </w:rPr>
              <w:t>16 603 141,96 zł</w:t>
            </w:r>
          </w:p>
        </w:tc>
      </w:tr>
      <w:tr w:rsidR="00086523" w14:paraId="136F8171" w14:textId="77777777" w:rsidTr="00086523">
        <w:tc>
          <w:tcPr>
            <w:tcW w:w="1235" w:type="pct"/>
            <w:vAlign w:val="center"/>
          </w:tcPr>
          <w:p w14:paraId="21933D79" w14:textId="347789FE" w:rsidR="00086523" w:rsidRDefault="00BF1DF1" w:rsidP="00706C37">
            <w:r w:rsidRPr="000B7295">
              <w:rPr>
                <w:rFonts w:ascii="Lato" w:eastAsia="Times New Roman" w:hAnsi="Lato" w:cs="Tahoma"/>
                <w:sz w:val="18"/>
                <w:szCs w:val="18"/>
                <w:lang w:eastAsia="pl-PL"/>
              </w:rPr>
              <w:t>Opolski</w:t>
            </w:r>
          </w:p>
        </w:tc>
        <w:tc>
          <w:tcPr>
            <w:tcW w:w="930" w:type="pct"/>
            <w:vAlign w:val="center"/>
          </w:tcPr>
          <w:p w14:paraId="28AA2266"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21F67BEC"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07FCD08C" w14:textId="77777777" w:rsidR="00086523" w:rsidRDefault="00086523" w:rsidP="00706C37">
            <w:r w:rsidRPr="000B7295">
              <w:rPr>
                <w:rFonts w:ascii="Lato" w:eastAsia="Times New Roman" w:hAnsi="Lato" w:cs="Tahoma"/>
                <w:sz w:val="18"/>
                <w:szCs w:val="18"/>
                <w:lang w:eastAsia="pl-PL"/>
              </w:rPr>
              <w:t>1 196</w:t>
            </w:r>
          </w:p>
        </w:tc>
        <w:tc>
          <w:tcPr>
            <w:tcW w:w="920" w:type="pct"/>
            <w:vAlign w:val="center"/>
          </w:tcPr>
          <w:p w14:paraId="08D94D1A" w14:textId="77777777" w:rsidR="00086523" w:rsidRDefault="00086523" w:rsidP="00706C37">
            <w:r w:rsidRPr="000B7295">
              <w:rPr>
                <w:rFonts w:ascii="Lato" w:eastAsia="Times New Roman" w:hAnsi="Lato" w:cs="Tahoma"/>
                <w:sz w:val="18"/>
                <w:szCs w:val="18"/>
                <w:lang w:eastAsia="pl-PL"/>
              </w:rPr>
              <w:t>7 570 935,84 zł</w:t>
            </w:r>
          </w:p>
        </w:tc>
      </w:tr>
      <w:tr w:rsidR="00086523" w14:paraId="520EE650" w14:textId="77777777" w:rsidTr="00086523">
        <w:tc>
          <w:tcPr>
            <w:tcW w:w="1235" w:type="pct"/>
            <w:vAlign w:val="center"/>
          </w:tcPr>
          <w:p w14:paraId="37C578DC" w14:textId="3199DC3F" w:rsidR="00086523" w:rsidRDefault="00BF1DF1" w:rsidP="00706C37">
            <w:r w:rsidRPr="000B7295">
              <w:rPr>
                <w:rFonts w:ascii="Lato" w:eastAsia="Times New Roman" w:hAnsi="Lato" w:cs="Tahoma"/>
                <w:sz w:val="18"/>
                <w:szCs w:val="18"/>
                <w:lang w:eastAsia="pl-PL"/>
              </w:rPr>
              <w:t>Podkarpacki</w:t>
            </w:r>
          </w:p>
        </w:tc>
        <w:tc>
          <w:tcPr>
            <w:tcW w:w="930" w:type="pct"/>
            <w:vAlign w:val="center"/>
          </w:tcPr>
          <w:p w14:paraId="2DBA5B3A"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614A8899" w14:textId="77777777" w:rsidR="00086523" w:rsidRDefault="00086523" w:rsidP="00706C37">
            <w:r w:rsidRPr="000B7295">
              <w:rPr>
                <w:rFonts w:ascii="Lato" w:eastAsia="Times New Roman" w:hAnsi="Lato" w:cs="Tahoma"/>
                <w:sz w:val="18"/>
                <w:szCs w:val="18"/>
                <w:lang w:eastAsia="pl-PL"/>
              </w:rPr>
              <w:t>3</w:t>
            </w:r>
          </w:p>
        </w:tc>
        <w:tc>
          <w:tcPr>
            <w:tcW w:w="920" w:type="pct"/>
            <w:vAlign w:val="center"/>
          </w:tcPr>
          <w:p w14:paraId="03674F32" w14:textId="77777777" w:rsidR="00086523" w:rsidRDefault="00086523" w:rsidP="00706C37">
            <w:r w:rsidRPr="000B7295">
              <w:rPr>
                <w:rFonts w:ascii="Lato" w:eastAsia="Times New Roman" w:hAnsi="Lato" w:cs="Tahoma"/>
                <w:sz w:val="18"/>
                <w:szCs w:val="18"/>
                <w:lang w:eastAsia="pl-PL"/>
              </w:rPr>
              <w:t>1 581</w:t>
            </w:r>
          </w:p>
        </w:tc>
        <w:tc>
          <w:tcPr>
            <w:tcW w:w="920" w:type="pct"/>
            <w:vAlign w:val="center"/>
          </w:tcPr>
          <w:p w14:paraId="2D55DD13" w14:textId="77777777" w:rsidR="00086523" w:rsidRDefault="00086523" w:rsidP="00706C37">
            <w:r w:rsidRPr="000B7295">
              <w:rPr>
                <w:rFonts w:ascii="Lato" w:eastAsia="Times New Roman" w:hAnsi="Lato" w:cs="Tahoma"/>
                <w:sz w:val="18"/>
                <w:szCs w:val="18"/>
                <w:lang w:eastAsia="pl-PL"/>
              </w:rPr>
              <w:t>10 843 642,96 zł</w:t>
            </w:r>
          </w:p>
        </w:tc>
      </w:tr>
      <w:tr w:rsidR="00086523" w14:paraId="0C5B51A1" w14:textId="77777777" w:rsidTr="00086523">
        <w:tc>
          <w:tcPr>
            <w:tcW w:w="1235" w:type="pct"/>
            <w:vAlign w:val="center"/>
          </w:tcPr>
          <w:p w14:paraId="20A65EAF" w14:textId="6D241E80" w:rsidR="00086523" w:rsidRDefault="00BF1DF1" w:rsidP="00706C37">
            <w:r w:rsidRPr="000B7295">
              <w:rPr>
                <w:rFonts w:ascii="Lato" w:eastAsia="Times New Roman" w:hAnsi="Lato" w:cs="Tahoma"/>
                <w:sz w:val="18"/>
                <w:szCs w:val="18"/>
                <w:lang w:eastAsia="pl-PL"/>
              </w:rPr>
              <w:t>Podlaski</w:t>
            </w:r>
          </w:p>
        </w:tc>
        <w:tc>
          <w:tcPr>
            <w:tcW w:w="930" w:type="pct"/>
            <w:vAlign w:val="center"/>
          </w:tcPr>
          <w:p w14:paraId="298B2E53"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5B7CFC52" w14:textId="77777777" w:rsidR="00086523" w:rsidRDefault="00086523" w:rsidP="00706C37">
            <w:r w:rsidRPr="000B7295">
              <w:rPr>
                <w:rFonts w:ascii="Lato" w:eastAsia="Times New Roman" w:hAnsi="Lato" w:cs="Tahoma"/>
                <w:sz w:val="18"/>
                <w:szCs w:val="18"/>
                <w:lang w:eastAsia="pl-PL"/>
              </w:rPr>
              <w:t>4</w:t>
            </w:r>
          </w:p>
        </w:tc>
        <w:tc>
          <w:tcPr>
            <w:tcW w:w="920" w:type="pct"/>
            <w:vAlign w:val="center"/>
          </w:tcPr>
          <w:p w14:paraId="64E8AB48" w14:textId="77777777" w:rsidR="00086523" w:rsidRDefault="00086523" w:rsidP="00706C37">
            <w:r w:rsidRPr="000B7295">
              <w:rPr>
                <w:rFonts w:ascii="Lato" w:eastAsia="Times New Roman" w:hAnsi="Lato" w:cs="Tahoma"/>
                <w:sz w:val="18"/>
                <w:szCs w:val="18"/>
                <w:lang w:eastAsia="pl-PL"/>
              </w:rPr>
              <w:t>910</w:t>
            </w:r>
          </w:p>
        </w:tc>
        <w:tc>
          <w:tcPr>
            <w:tcW w:w="920" w:type="pct"/>
            <w:vAlign w:val="center"/>
          </w:tcPr>
          <w:p w14:paraId="4CFFCCA9" w14:textId="77777777" w:rsidR="00086523" w:rsidRDefault="00086523" w:rsidP="00706C37">
            <w:r w:rsidRPr="000B7295">
              <w:rPr>
                <w:rFonts w:ascii="Lato" w:eastAsia="Times New Roman" w:hAnsi="Lato" w:cs="Tahoma"/>
                <w:sz w:val="18"/>
                <w:szCs w:val="18"/>
                <w:lang w:eastAsia="pl-PL"/>
              </w:rPr>
              <w:t>6 790 170,69 zł</w:t>
            </w:r>
          </w:p>
        </w:tc>
      </w:tr>
      <w:tr w:rsidR="00086523" w14:paraId="417E1768" w14:textId="77777777" w:rsidTr="00086523">
        <w:tc>
          <w:tcPr>
            <w:tcW w:w="1235" w:type="pct"/>
            <w:vAlign w:val="center"/>
          </w:tcPr>
          <w:p w14:paraId="265745FC" w14:textId="783FA561" w:rsidR="00086523" w:rsidRDefault="00BF1DF1" w:rsidP="00706C37">
            <w:r w:rsidRPr="000B7295">
              <w:rPr>
                <w:rFonts w:ascii="Lato" w:eastAsia="Times New Roman" w:hAnsi="Lato" w:cs="Tahoma"/>
                <w:sz w:val="18"/>
                <w:szCs w:val="18"/>
                <w:lang w:eastAsia="pl-PL"/>
              </w:rPr>
              <w:t>Pomorski</w:t>
            </w:r>
          </w:p>
        </w:tc>
        <w:tc>
          <w:tcPr>
            <w:tcW w:w="930" w:type="pct"/>
            <w:vAlign w:val="center"/>
          </w:tcPr>
          <w:p w14:paraId="7D24ACBC"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0303A07C" w14:textId="77777777" w:rsidR="00086523" w:rsidRDefault="00086523" w:rsidP="00706C37">
            <w:r w:rsidRPr="000B7295">
              <w:rPr>
                <w:rFonts w:ascii="Lato" w:eastAsia="Times New Roman" w:hAnsi="Lato" w:cs="Tahoma"/>
                <w:sz w:val="18"/>
                <w:szCs w:val="18"/>
                <w:lang w:eastAsia="pl-PL"/>
              </w:rPr>
              <w:t>3</w:t>
            </w:r>
          </w:p>
        </w:tc>
        <w:tc>
          <w:tcPr>
            <w:tcW w:w="920" w:type="pct"/>
            <w:vAlign w:val="center"/>
          </w:tcPr>
          <w:p w14:paraId="3D307603" w14:textId="77777777" w:rsidR="00086523" w:rsidRDefault="00086523" w:rsidP="00706C37">
            <w:r w:rsidRPr="000B7295">
              <w:rPr>
                <w:rFonts w:ascii="Lato" w:eastAsia="Times New Roman" w:hAnsi="Lato" w:cs="Tahoma"/>
                <w:sz w:val="18"/>
                <w:szCs w:val="18"/>
                <w:lang w:eastAsia="pl-PL"/>
              </w:rPr>
              <w:t>1 180</w:t>
            </w:r>
          </w:p>
        </w:tc>
        <w:tc>
          <w:tcPr>
            <w:tcW w:w="920" w:type="pct"/>
            <w:vAlign w:val="center"/>
          </w:tcPr>
          <w:p w14:paraId="072C1714" w14:textId="77777777" w:rsidR="00086523" w:rsidRDefault="00086523" w:rsidP="00706C37">
            <w:r w:rsidRPr="000B7295">
              <w:rPr>
                <w:rFonts w:ascii="Lato" w:eastAsia="Times New Roman" w:hAnsi="Lato" w:cs="Tahoma"/>
                <w:sz w:val="18"/>
                <w:szCs w:val="18"/>
                <w:lang w:eastAsia="pl-PL"/>
              </w:rPr>
              <w:t>8 670 695,12 zł</w:t>
            </w:r>
          </w:p>
        </w:tc>
      </w:tr>
      <w:tr w:rsidR="00086523" w14:paraId="0D7793BB" w14:textId="77777777" w:rsidTr="00086523">
        <w:tc>
          <w:tcPr>
            <w:tcW w:w="1235" w:type="pct"/>
            <w:vAlign w:val="center"/>
          </w:tcPr>
          <w:p w14:paraId="1D54D304" w14:textId="0A35CA49" w:rsidR="00086523" w:rsidRDefault="00BF1DF1" w:rsidP="00706C37">
            <w:r w:rsidRPr="000B7295">
              <w:rPr>
                <w:rFonts w:ascii="Lato" w:eastAsia="Times New Roman" w:hAnsi="Lato" w:cs="Tahoma"/>
                <w:sz w:val="18"/>
                <w:szCs w:val="18"/>
                <w:lang w:eastAsia="pl-PL"/>
              </w:rPr>
              <w:t>Śląski</w:t>
            </w:r>
          </w:p>
        </w:tc>
        <w:tc>
          <w:tcPr>
            <w:tcW w:w="930" w:type="pct"/>
            <w:vAlign w:val="center"/>
          </w:tcPr>
          <w:p w14:paraId="5A2FF8F3"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7D6E5A77" w14:textId="77777777" w:rsidR="00086523" w:rsidRDefault="00086523" w:rsidP="00706C37">
            <w:r w:rsidRPr="000B7295">
              <w:rPr>
                <w:rFonts w:ascii="Lato" w:eastAsia="Times New Roman" w:hAnsi="Lato" w:cs="Tahoma"/>
                <w:sz w:val="18"/>
                <w:szCs w:val="18"/>
                <w:lang w:eastAsia="pl-PL"/>
              </w:rPr>
              <w:t>12</w:t>
            </w:r>
          </w:p>
        </w:tc>
        <w:tc>
          <w:tcPr>
            <w:tcW w:w="920" w:type="pct"/>
            <w:vAlign w:val="center"/>
          </w:tcPr>
          <w:p w14:paraId="0D917F6B" w14:textId="77777777" w:rsidR="00086523" w:rsidRDefault="00086523" w:rsidP="00706C37">
            <w:r w:rsidRPr="000B7295">
              <w:rPr>
                <w:rFonts w:ascii="Lato" w:eastAsia="Times New Roman" w:hAnsi="Lato" w:cs="Tahoma"/>
                <w:sz w:val="18"/>
                <w:szCs w:val="18"/>
                <w:lang w:eastAsia="pl-PL"/>
              </w:rPr>
              <w:t>6 263</w:t>
            </w:r>
          </w:p>
        </w:tc>
        <w:tc>
          <w:tcPr>
            <w:tcW w:w="920" w:type="pct"/>
            <w:vAlign w:val="center"/>
          </w:tcPr>
          <w:p w14:paraId="21D1ECD6" w14:textId="77777777" w:rsidR="00086523" w:rsidRDefault="00086523" w:rsidP="00706C37">
            <w:r w:rsidRPr="000B7295">
              <w:rPr>
                <w:rFonts w:ascii="Lato" w:eastAsia="Times New Roman" w:hAnsi="Lato" w:cs="Tahoma"/>
                <w:sz w:val="18"/>
                <w:szCs w:val="18"/>
                <w:lang w:eastAsia="pl-PL"/>
              </w:rPr>
              <w:t>39 962 545,99 zł</w:t>
            </w:r>
          </w:p>
        </w:tc>
      </w:tr>
      <w:tr w:rsidR="00086523" w14:paraId="18998CDE" w14:textId="77777777" w:rsidTr="00086523">
        <w:tc>
          <w:tcPr>
            <w:tcW w:w="1235" w:type="pct"/>
            <w:vAlign w:val="center"/>
          </w:tcPr>
          <w:p w14:paraId="3F6B1313" w14:textId="642B06E3" w:rsidR="00086523" w:rsidRDefault="00BF1DF1" w:rsidP="00706C37">
            <w:r w:rsidRPr="000B7295">
              <w:rPr>
                <w:rFonts w:ascii="Lato" w:eastAsia="Times New Roman" w:hAnsi="Lato" w:cs="Tahoma"/>
                <w:sz w:val="18"/>
                <w:szCs w:val="18"/>
                <w:lang w:eastAsia="pl-PL"/>
              </w:rPr>
              <w:t>Świętokrzyski</w:t>
            </w:r>
          </w:p>
        </w:tc>
        <w:tc>
          <w:tcPr>
            <w:tcW w:w="930" w:type="pct"/>
            <w:vAlign w:val="center"/>
          </w:tcPr>
          <w:p w14:paraId="09C784D7"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463FE3C7"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1C122190" w14:textId="77777777" w:rsidR="00086523" w:rsidRDefault="00086523" w:rsidP="00706C37">
            <w:r w:rsidRPr="000B7295">
              <w:rPr>
                <w:rFonts w:ascii="Lato" w:eastAsia="Times New Roman" w:hAnsi="Lato" w:cs="Tahoma"/>
                <w:sz w:val="18"/>
                <w:szCs w:val="18"/>
                <w:lang w:eastAsia="pl-PL"/>
              </w:rPr>
              <w:t>1 656</w:t>
            </w:r>
          </w:p>
        </w:tc>
        <w:tc>
          <w:tcPr>
            <w:tcW w:w="920" w:type="pct"/>
            <w:vAlign w:val="center"/>
          </w:tcPr>
          <w:p w14:paraId="7E9E43BC" w14:textId="77777777" w:rsidR="00086523" w:rsidRDefault="00086523" w:rsidP="00706C37">
            <w:r w:rsidRPr="000B7295">
              <w:rPr>
                <w:rFonts w:ascii="Lato" w:eastAsia="Times New Roman" w:hAnsi="Lato" w:cs="Tahoma"/>
                <w:sz w:val="18"/>
                <w:szCs w:val="18"/>
                <w:lang w:eastAsia="pl-PL"/>
              </w:rPr>
              <w:t>10 241 767,57 zł</w:t>
            </w:r>
          </w:p>
        </w:tc>
      </w:tr>
      <w:tr w:rsidR="00086523" w14:paraId="26911CF2" w14:textId="77777777" w:rsidTr="00086523">
        <w:tc>
          <w:tcPr>
            <w:tcW w:w="1235" w:type="pct"/>
            <w:vAlign w:val="center"/>
          </w:tcPr>
          <w:p w14:paraId="55BDE701" w14:textId="54D2AC4A" w:rsidR="00086523" w:rsidRDefault="00BF1DF1" w:rsidP="00706C37">
            <w:r w:rsidRPr="000B7295">
              <w:rPr>
                <w:rFonts w:ascii="Lato" w:eastAsia="Times New Roman" w:hAnsi="Lato" w:cs="Tahoma"/>
                <w:sz w:val="18"/>
                <w:szCs w:val="18"/>
                <w:lang w:eastAsia="pl-PL"/>
              </w:rPr>
              <w:t>Warmińsko-mazurski</w:t>
            </w:r>
          </w:p>
        </w:tc>
        <w:tc>
          <w:tcPr>
            <w:tcW w:w="930" w:type="pct"/>
            <w:vAlign w:val="center"/>
          </w:tcPr>
          <w:p w14:paraId="715400B4"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3EABF672" w14:textId="77777777" w:rsidR="00086523" w:rsidRDefault="00086523" w:rsidP="00706C37">
            <w:r w:rsidRPr="000B7295">
              <w:rPr>
                <w:rFonts w:ascii="Lato" w:eastAsia="Times New Roman" w:hAnsi="Lato" w:cs="Tahoma"/>
                <w:sz w:val="18"/>
                <w:szCs w:val="18"/>
                <w:lang w:eastAsia="pl-PL"/>
              </w:rPr>
              <w:t>1</w:t>
            </w:r>
          </w:p>
        </w:tc>
        <w:tc>
          <w:tcPr>
            <w:tcW w:w="920" w:type="pct"/>
            <w:vAlign w:val="center"/>
          </w:tcPr>
          <w:p w14:paraId="661A5365" w14:textId="77777777" w:rsidR="00086523" w:rsidRDefault="00086523" w:rsidP="00706C37">
            <w:r w:rsidRPr="000B7295">
              <w:rPr>
                <w:rFonts w:ascii="Lato" w:eastAsia="Times New Roman" w:hAnsi="Lato" w:cs="Tahoma"/>
                <w:sz w:val="18"/>
                <w:szCs w:val="18"/>
                <w:lang w:eastAsia="pl-PL"/>
              </w:rPr>
              <w:t>101</w:t>
            </w:r>
          </w:p>
        </w:tc>
        <w:tc>
          <w:tcPr>
            <w:tcW w:w="920" w:type="pct"/>
            <w:vAlign w:val="center"/>
          </w:tcPr>
          <w:p w14:paraId="1AFE3DAF" w14:textId="77777777" w:rsidR="00086523" w:rsidRDefault="00086523" w:rsidP="00706C37">
            <w:r w:rsidRPr="000B7295">
              <w:rPr>
                <w:rFonts w:ascii="Lato" w:eastAsia="Times New Roman" w:hAnsi="Lato" w:cs="Tahoma"/>
                <w:sz w:val="18"/>
                <w:szCs w:val="18"/>
                <w:lang w:eastAsia="pl-PL"/>
              </w:rPr>
              <w:t>991 766,63 zł</w:t>
            </w:r>
          </w:p>
        </w:tc>
      </w:tr>
      <w:tr w:rsidR="00086523" w14:paraId="5E1ECDB9" w14:textId="77777777" w:rsidTr="00086523">
        <w:tc>
          <w:tcPr>
            <w:tcW w:w="1235" w:type="pct"/>
            <w:vAlign w:val="center"/>
          </w:tcPr>
          <w:p w14:paraId="28103680" w14:textId="786F54E6" w:rsidR="00086523" w:rsidRDefault="00BF1DF1" w:rsidP="00706C37">
            <w:r w:rsidRPr="000B7295">
              <w:rPr>
                <w:rFonts w:ascii="Lato" w:eastAsia="Times New Roman" w:hAnsi="Lato" w:cs="Tahoma"/>
                <w:sz w:val="18"/>
                <w:szCs w:val="18"/>
                <w:lang w:eastAsia="pl-PL"/>
              </w:rPr>
              <w:t>Wielkopolski</w:t>
            </w:r>
          </w:p>
        </w:tc>
        <w:tc>
          <w:tcPr>
            <w:tcW w:w="930" w:type="pct"/>
            <w:vAlign w:val="center"/>
          </w:tcPr>
          <w:p w14:paraId="11078406"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6860A482" w14:textId="77777777" w:rsidR="00086523" w:rsidRDefault="00086523" w:rsidP="00706C37">
            <w:r w:rsidRPr="000B7295">
              <w:rPr>
                <w:rFonts w:ascii="Lato" w:eastAsia="Times New Roman" w:hAnsi="Lato" w:cs="Tahoma"/>
                <w:sz w:val="18"/>
                <w:szCs w:val="18"/>
                <w:lang w:eastAsia="pl-PL"/>
              </w:rPr>
              <w:t>2</w:t>
            </w:r>
          </w:p>
        </w:tc>
        <w:tc>
          <w:tcPr>
            <w:tcW w:w="920" w:type="pct"/>
            <w:vAlign w:val="center"/>
          </w:tcPr>
          <w:p w14:paraId="5E93F042" w14:textId="77777777" w:rsidR="00086523" w:rsidRDefault="00086523" w:rsidP="00706C37">
            <w:r w:rsidRPr="000B7295">
              <w:rPr>
                <w:rFonts w:ascii="Lato" w:eastAsia="Times New Roman" w:hAnsi="Lato" w:cs="Tahoma"/>
                <w:sz w:val="18"/>
                <w:szCs w:val="18"/>
                <w:lang w:eastAsia="pl-PL"/>
              </w:rPr>
              <w:t>932</w:t>
            </w:r>
          </w:p>
        </w:tc>
        <w:tc>
          <w:tcPr>
            <w:tcW w:w="920" w:type="pct"/>
            <w:vAlign w:val="center"/>
          </w:tcPr>
          <w:p w14:paraId="6C74F66E" w14:textId="77777777" w:rsidR="00086523" w:rsidRDefault="00086523" w:rsidP="00706C37">
            <w:r w:rsidRPr="000B7295">
              <w:rPr>
                <w:rFonts w:ascii="Lato" w:eastAsia="Times New Roman" w:hAnsi="Lato" w:cs="Tahoma"/>
                <w:sz w:val="18"/>
                <w:szCs w:val="18"/>
                <w:lang w:eastAsia="pl-PL"/>
              </w:rPr>
              <w:t>5 842 611,33 zł</w:t>
            </w:r>
          </w:p>
        </w:tc>
      </w:tr>
      <w:tr w:rsidR="00086523" w14:paraId="36DC1F9D" w14:textId="77777777" w:rsidTr="00086523">
        <w:tc>
          <w:tcPr>
            <w:tcW w:w="1235" w:type="pct"/>
            <w:vAlign w:val="center"/>
          </w:tcPr>
          <w:p w14:paraId="5EC72479" w14:textId="73D26F65" w:rsidR="00086523" w:rsidRDefault="00BF1DF1" w:rsidP="00706C37">
            <w:r w:rsidRPr="000B7295">
              <w:rPr>
                <w:rFonts w:ascii="Lato" w:eastAsia="Times New Roman" w:hAnsi="Lato" w:cs="Tahoma"/>
                <w:sz w:val="18"/>
                <w:szCs w:val="18"/>
                <w:lang w:eastAsia="pl-PL"/>
              </w:rPr>
              <w:t>Zachodniopomorski</w:t>
            </w:r>
          </w:p>
        </w:tc>
        <w:tc>
          <w:tcPr>
            <w:tcW w:w="930" w:type="pct"/>
            <w:vAlign w:val="center"/>
          </w:tcPr>
          <w:p w14:paraId="18CF0FE0" w14:textId="77777777" w:rsidR="00086523" w:rsidRDefault="00086523" w:rsidP="00706C37">
            <w:r w:rsidRPr="000B7295">
              <w:rPr>
                <w:rFonts w:ascii="Lato" w:eastAsia="Times New Roman" w:hAnsi="Lato" w:cs="Tahoma"/>
                <w:sz w:val="18"/>
                <w:szCs w:val="18"/>
                <w:lang w:eastAsia="pl-PL"/>
              </w:rPr>
              <w:t>03.4060.030.02</w:t>
            </w:r>
          </w:p>
        </w:tc>
        <w:tc>
          <w:tcPr>
            <w:tcW w:w="994" w:type="pct"/>
            <w:vAlign w:val="center"/>
          </w:tcPr>
          <w:p w14:paraId="5AA0B6A7" w14:textId="77777777" w:rsidR="00086523" w:rsidRDefault="00086523" w:rsidP="00706C37">
            <w:r w:rsidRPr="000B7295">
              <w:rPr>
                <w:rFonts w:ascii="Lato" w:eastAsia="Times New Roman" w:hAnsi="Lato" w:cs="Tahoma"/>
                <w:sz w:val="18"/>
                <w:szCs w:val="18"/>
                <w:lang w:eastAsia="pl-PL"/>
              </w:rPr>
              <w:t>1</w:t>
            </w:r>
          </w:p>
        </w:tc>
        <w:tc>
          <w:tcPr>
            <w:tcW w:w="920" w:type="pct"/>
            <w:vAlign w:val="center"/>
          </w:tcPr>
          <w:p w14:paraId="628BF9EF" w14:textId="77777777" w:rsidR="00086523" w:rsidRDefault="00086523" w:rsidP="00706C37">
            <w:r w:rsidRPr="000B7295">
              <w:rPr>
                <w:rFonts w:ascii="Lato" w:eastAsia="Times New Roman" w:hAnsi="Lato" w:cs="Tahoma"/>
                <w:sz w:val="18"/>
                <w:szCs w:val="18"/>
                <w:lang w:eastAsia="pl-PL"/>
              </w:rPr>
              <w:t>316</w:t>
            </w:r>
          </w:p>
        </w:tc>
        <w:tc>
          <w:tcPr>
            <w:tcW w:w="920" w:type="pct"/>
            <w:vAlign w:val="center"/>
          </w:tcPr>
          <w:p w14:paraId="2F003ACA" w14:textId="77777777" w:rsidR="00086523" w:rsidRDefault="00086523" w:rsidP="00706C37">
            <w:r w:rsidRPr="000B7295">
              <w:rPr>
                <w:rFonts w:ascii="Lato" w:eastAsia="Times New Roman" w:hAnsi="Lato" w:cs="Tahoma"/>
                <w:sz w:val="18"/>
                <w:szCs w:val="18"/>
                <w:lang w:eastAsia="pl-PL"/>
              </w:rPr>
              <w:t>2 453 316,31 zł</w:t>
            </w:r>
          </w:p>
        </w:tc>
      </w:tr>
      <w:tr w:rsidR="00086523" w14:paraId="71E2C283" w14:textId="77777777" w:rsidTr="00086523">
        <w:tc>
          <w:tcPr>
            <w:tcW w:w="1235" w:type="pct"/>
            <w:vAlign w:val="center"/>
          </w:tcPr>
          <w:p w14:paraId="35B5A7C5" w14:textId="77777777" w:rsidR="00086523" w:rsidRDefault="00086523" w:rsidP="00706C37">
            <w:r w:rsidRPr="000B7295">
              <w:rPr>
                <w:rFonts w:ascii="Lato" w:eastAsia="Times New Roman" w:hAnsi="Lato" w:cs="Tahoma"/>
                <w:b/>
                <w:bCs/>
                <w:sz w:val="18"/>
                <w:szCs w:val="18"/>
                <w:lang w:eastAsia="pl-PL"/>
              </w:rPr>
              <w:t xml:space="preserve"> Razem </w:t>
            </w:r>
          </w:p>
        </w:tc>
        <w:tc>
          <w:tcPr>
            <w:tcW w:w="930" w:type="pct"/>
            <w:vAlign w:val="center"/>
          </w:tcPr>
          <w:p w14:paraId="14F21353" w14:textId="77777777" w:rsidR="00086523" w:rsidRDefault="00086523" w:rsidP="00706C37"/>
        </w:tc>
        <w:tc>
          <w:tcPr>
            <w:tcW w:w="994" w:type="pct"/>
            <w:vAlign w:val="center"/>
          </w:tcPr>
          <w:p w14:paraId="25DC1A11" w14:textId="77777777" w:rsidR="00086523" w:rsidRDefault="00086523" w:rsidP="00706C37">
            <w:r w:rsidRPr="000B7295">
              <w:rPr>
                <w:rFonts w:ascii="Lato" w:eastAsia="Times New Roman" w:hAnsi="Lato" w:cs="Tahoma"/>
                <w:b/>
                <w:bCs/>
                <w:sz w:val="18"/>
                <w:szCs w:val="18"/>
                <w:lang w:eastAsia="pl-PL"/>
              </w:rPr>
              <w:t>66</w:t>
            </w:r>
          </w:p>
        </w:tc>
        <w:tc>
          <w:tcPr>
            <w:tcW w:w="920" w:type="pct"/>
            <w:vAlign w:val="center"/>
          </w:tcPr>
          <w:p w14:paraId="07E0B986" w14:textId="77777777" w:rsidR="00086523" w:rsidRDefault="00086523" w:rsidP="00706C37">
            <w:r w:rsidRPr="000B7295">
              <w:rPr>
                <w:rFonts w:ascii="Lato" w:eastAsia="Times New Roman" w:hAnsi="Lato" w:cs="Tahoma"/>
                <w:b/>
                <w:bCs/>
                <w:sz w:val="18"/>
                <w:szCs w:val="18"/>
                <w:lang w:eastAsia="pl-PL"/>
              </w:rPr>
              <w:t>29 004</w:t>
            </w:r>
          </w:p>
        </w:tc>
        <w:tc>
          <w:tcPr>
            <w:tcW w:w="920" w:type="pct"/>
            <w:vAlign w:val="center"/>
          </w:tcPr>
          <w:p w14:paraId="5339F7C2" w14:textId="77777777" w:rsidR="00086523" w:rsidRDefault="00086523" w:rsidP="00706C37">
            <w:r w:rsidRPr="000B7295">
              <w:rPr>
                <w:rFonts w:ascii="Lato" w:eastAsia="Times New Roman" w:hAnsi="Lato" w:cs="Tahoma"/>
                <w:b/>
                <w:bCs/>
                <w:sz w:val="18"/>
                <w:szCs w:val="18"/>
                <w:lang w:eastAsia="pl-PL"/>
              </w:rPr>
              <w:t>194 721 510,14 zł</w:t>
            </w:r>
          </w:p>
        </w:tc>
      </w:tr>
    </w:tbl>
    <w:p w14:paraId="3B086A8F" w14:textId="6BD81198" w:rsidR="00B73CC2" w:rsidRPr="007A0B6A" w:rsidRDefault="00B73CC2" w:rsidP="007A0B6A">
      <w:pPr>
        <w:tabs>
          <w:tab w:val="left" w:pos="5400"/>
        </w:tabs>
        <w:spacing w:after="0" w:line="240" w:lineRule="auto"/>
        <w:jc w:val="both"/>
        <w:rPr>
          <w:rFonts w:ascii="Lato" w:eastAsia="Times New Roman" w:hAnsi="Lato" w:cs="Arial"/>
          <w:sz w:val="16"/>
          <w:szCs w:val="16"/>
          <w:lang w:eastAsia="pl-PL"/>
        </w:rPr>
      </w:pPr>
      <w:r w:rsidRPr="007A0B6A">
        <w:rPr>
          <w:rFonts w:ascii="Lato" w:eastAsia="Times New Roman" w:hAnsi="Lato" w:cs="Arial"/>
          <w:sz w:val="16"/>
          <w:szCs w:val="16"/>
          <w:lang w:eastAsia="pl-PL"/>
        </w:rPr>
        <w:t xml:space="preserve">Źródło: Narodowy Fundusz Zdrowia </w:t>
      </w:r>
    </w:p>
    <w:p w14:paraId="06B1E54D" w14:textId="77777777" w:rsidR="007A0B6A" w:rsidRDefault="007A0B6A" w:rsidP="007A0B6A">
      <w:pPr>
        <w:tabs>
          <w:tab w:val="left" w:pos="5400"/>
        </w:tabs>
        <w:spacing w:after="0" w:line="240" w:lineRule="auto"/>
        <w:jc w:val="both"/>
        <w:rPr>
          <w:rFonts w:ascii="Lato" w:eastAsia="Times New Roman" w:hAnsi="Lato" w:cs="Arial"/>
          <w:sz w:val="20"/>
          <w:szCs w:val="20"/>
          <w:lang w:eastAsia="pl-PL"/>
        </w:rPr>
      </w:pPr>
    </w:p>
    <w:p w14:paraId="08BA98A1" w14:textId="54D4E715" w:rsidR="000B7295" w:rsidRPr="007A0B6A" w:rsidRDefault="000B7295" w:rsidP="007A0B6A">
      <w:pPr>
        <w:tabs>
          <w:tab w:val="left" w:pos="5400"/>
        </w:tabs>
        <w:spacing w:after="0" w:line="240" w:lineRule="auto"/>
        <w:jc w:val="both"/>
        <w:rPr>
          <w:rFonts w:ascii="Lato" w:eastAsia="Times New Roman" w:hAnsi="Lato" w:cs="Arial"/>
          <w:sz w:val="20"/>
          <w:szCs w:val="20"/>
          <w:lang w:eastAsia="pl-PL"/>
        </w:rPr>
      </w:pPr>
      <w:r w:rsidRPr="007A0B6A">
        <w:rPr>
          <w:rFonts w:ascii="Lato" w:eastAsia="Times New Roman" w:hAnsi="Lato" w:cs="Arial"/>
          <w:sz w:val="20"/>
          <w:szCs w:val="20"/>
          <w:lang w:eastAsia="pl-PL"/>
        </w:rPr>
        <w:t xml:space="preserve">W 2022 r. liczba oddziałów geriatrycznych wynosiła </w:t>
      </w:r>
      <w:r w:rsidRPr="007A0B6A">
        <w:rPr>
          <w:rFonts w:ascii="Lato" w:eastAsia="Times New Roman" w:hAnsi="Lato" w:cs="Arial"/>
          <w:b/>
          <w:bCs/>
          <w:sz w:val="20"/>
          <w:szCs w:val="20"/>
          <w:lang w:eastAsia="pl-PL"/>
        </w:rPr>
        <w:t>66</w:t>
      </w:r>
      <w:r w:rsidRPr="007A0B6A">
        <w:rPr>
          <w:rFonts w:ascii="Lato" w:eastAsia="Times New Roman" w:hAnsi="Lato" w:cs="Arial"/>
          <w:sz w:val="20"/>
          <w:szCs w:val="20"/>
          <w:lang w:eastAsia="pl-PL"/>
        </w:rPr>
        <w:t xml:space="preserve">. Liczba świadczeń udzielonych w zakresie geriatrii - hospitalizacji wyniosła ponad </w:t>
      </w:r>
      <w:r w:rsidRPr="007A0B6A">
        <w:rPr>
          <w:rFonts w:ascii="Lato" w:eastAsia="Times New Roman" w:hAnsi="Lato" w:cs="Arial"/>
          <w:b/>
          <w:bCs/>
          <w:sz w:val="20"/>
          <w:szCs w:val="20"/>
          <w:lang w:eastAsia="pl-PL"/>
        </w:rPr>
        <w:t>29 tys.</w:t>
      </w:r>
      <w:r w:rsidRPr="007A0B6A">
        <w:rPr>
          <w:rFonts w:ascii="Lato" w:eastAsia="Times New Roman" w:hAnsi="Lato" w:cs="Arial"/>
          <w:sz w:val="20"/>
          <w:szCs w:val="20"/>
          <w:lang w:eastAsia="pl-PL"/>
        </w:rPr>
        <w:t xml:space="preserve"> o łącznej wartości prawie </w:t>
      </w:r>
      <w:r w:rsidRPr="007A0B6A">
        <w:rPr>
          <w:rFonts w:ascii="Lato" w:eastAsia="Times New Roman" w:hAnsi="Lato" w:cs="Arial"/>
          <w:b/>
          <w:bCs/>
          <w:sz w:val="20"/>
          <w:szCs w:val="20"/>
          <w:lang w:eastAsia="pl-PL"/>
        </w:rPr>
        <w:t>195 mln zł.</w:t>
      </w:r>
    </w:p>
    <w:p w14:paraId="0F7820A4" w14:textId="77777777" w:rsidR="00FF7373" w:rsidRDefault="00FF7373" w:rsidP="007A0B6A">
      <w:pPr>
        <w:spacing w:after="0" w:line="240" w:lineRule="auto"/>
        <w:jc w:val="both"/>
        <w:rPr>
          <w:rFonts w:ascii="Lato" w:hAnsi="Lato" w:cs="Arial"/>
          <w:sz w:val="20"/>
          <w:szCs w:val="20"/>
        </w:rPr>
      </w:pPr>
    </w:p>
    <w:p w14:paraId="73C8F276" w14:textId="47B1EA59" w:rsidR="000B7295" w:rsidRDefault="000B7295" w:rsidP="007A0B6A">
      <w:pPr>
        <w:spacing w:after="0" w:line="240" w:lineRule="auto"/>
        <w:jc w:val="both"/>
        <w:rPr>
          <w:rFonts w:ascii="Lato" w:hAnsi="Lato" w:cs="Arial"/>
          <w:sz w:val="20"/>
          <w:szCs w:val="20"/>
        </w:rPr>
      </w:pPr>
      <w:r w:rsidRPr="007A0B6A">
        <w:rPr>
          <w:rFonts w:ascii="Lato" w:hAnsi="Lato" w:cs="Arial"/>
          <w:sz w:val="20"/>
          <w:szCs w:val="20"/>
        </w:rPr>
        <w:t xml:space="preserve">Należy jednocześnie podkreślić, iż - zgodnie z § 6a rozporządzenia Ministra Zdrowia z dnia 22 listopada 2013 r. </w:t>
      </w:r>
      <w:r w:rsidRPr="007A0B6A">
        <w:rPr>
          <w:rFonts w:ascii="Lato" w:hAnsi="Lato" w:cs="Arial"/>
          <w:i/>
          <w:iCs/>
          <w:sz w:val="20"/>
          <w:szCs w:val="20"/>
        </w:rPr>
        <w:t xml:space="preserve">w sprawie świadczeń gwarantowanych z zakresu leczenia szpitalnego (Dz. U. z 2021 r. poz. 290 z </w:t>
      </w:r>
      <w:proofErr w:type="spellStart"/>
      <w:r w:rsidRPr="007A0B6A">
        <w:rPr>
          <w:rFonts w:ascii="Lato" w:hAnsi="Lato" w:cs="Arial"/>
          <w:i/>
          <w:iCs/>
          <w:sz w:val="20"/>
          <w:szCs w:val="20"/>
        </w:rPr>
        <w:t>późn</w:t>
      </w:r>
      <w:proofErr w:type="spellEnd"/>
      <w:r w:rsidRPr="007A0B6A">
        <w:rPr>
          <w:rFonts w:ascii="Lato" w:hAnsi="Lato" w:cs="Arial"/>
          <w:i/>
          <w:iCs/>
          <w:sz w:val="20"/>
          <w:szCs w:val="20"/>
        </w:rPr>
        <w:t>. zm.)</w:t>
      </w:r>
      <w:r w:rsidRPr="007A0B6A">
        <w:rPr>
          <w:rFonts w:ascii="Lato" w:hAnsi="Lato" w:cs="Arial"/>
          <w:sz w:val="20"/>
          <w:szCs w:val="20"/>
        </w:rPr>
        <w:t xml:space="preserve"> - zobowiązano świadczeniodawców udzielających świadczeń w trybie hospitalizacji i hospitalizacji planowej do opracowania i wdrożenia procedury </w:t>
      </w:r>
      <w:r w:rsidRPr="007A0B6A">
        <w:rPr>
          <w:rFonts w:ascii="Lato" w:hAnsi="Lato" w:cs="Arial"/>
          <w:b/>
          <w:bCs/>
          <w:sz w:val="20"/>
          <w:szCs w:val="20"/>
        </w:rPr>
        <w:t>oceny geriatrycznej</w:t>
      </w:r>
      <w:r w:rsidRPr="007A0B6A">
        <w:rPr>
          <w:rFonts w:ascii="Lato" w:hAnsi="Lato" w:cs="Arial"/>
          <w:sz w:val="20"/>
          <w:szCs w:val="20"/>
        </w:rPr>
        <w:t xml:space="preserve"> pacjenta (z wyjątkiem oddziałów szpitalnych o profilu pediatrycznym, neonatologicznym oraz położniczo-ginekologicznym). W związku z tym, zgodnie z zarządzeniem Prezesa Narodowego Funduszu Zdrowia w sprawie określenia warunków zawierania i realizacji umów w rodzaju leczenie szpitalne oraz leczenie szpitalne – świadczenia wysokospecjalistyczne (obecnie obowiązujące zarządzenie nr 1/2022/DSOZ z dnia 3 stycznia 2022 r. ze zm.), świadczeniodawcy mogą rozliczać świadczenie: </w:t>
      </w:r>
      <w:r w:rsidRPr="007A0B6A">
        <w:rPr>
          <w:rFonts w:ascii="Lato" w:hAnsi="Lato" w:cs="Arial"/>
          <w:i/>
          <w:iCs/>
          <w:sz w:val="20"/>
          <w:szCs w:val="20"/>
        </w:rPr>
        <w:t>Całościowa ocena geriatryczna</w:t>
      </w:r>
      <w:r w:rsidRPr="007A0B6A">
        <w:rPr>
          <w:rFonts w:ascii="Lato" w:hAnsi="Lato" w:cs="Arial"/>
          <w:sz w:val="20"/>
          <w:szCs w:val="20"/>
        </w:rPr>
        <w:t xml:space="preserve">, finansowane w ramach produktu nr 5.53.01.0001499 z katalogu produktów do sumowania, określonego w załączniku nr 1c do zarządzenia. Warunkiem rozliczenia świadczenia jest udokumentowanie przeprowadzenia oceny geriatrycznej przez lekarza geriatrę lub konsultacyjny zespół geriatryczny, udokumentowanie kwalifikacji do świadczenia na podstawie skali VES-13 (wzór stanowi załącznik nr 11a do zarządzenia) oraz prowadzenie dokumentacji dodatkowej – karty całościowej oceny geriatrycznej (wzór określa załącznik nr 11b do zarządzenia). </w:t>
      </w:r>
      <w:bookmarkStart w:id="82" w:name="_Hlk137622193"/>
    </w:p>
    <w:p w14:paraId="3B794090" w14:textId="77777777" w:rsidR="007A0B6A" w:rsidRPr="007A0B6A" w:rsidRDefault="007A0B6A" w:rsidP="007A0B6A">
      <w:pPr>
        <w:spacing w:after="0" w:line="240" w:lineRule="auto"/>
        <w:jc w:val="both"/>
        <w:rPr>
          <w:rFonts w:ascii="Lato" w:hAnsi="Lato" w:cs="Arial"/>
          <w:sz w:val="20"/>
          <w:szCs w:val="20"/>
        </w:rPr>
      </w:pPr>
    </w:p>
    <w:p w14:paraId="45B65A05" w14:textId="63A65BD5" w:rsidR="000B7295" w:rsidRDefault="000B7295" w:rsidP="000B7295">
      <w:pPr>
        <w:pStyle w:val="Legenda"/>
        <w:keepNext/>
      </w:pPr>
      <w:bookmarkStart w:id="83" w:name="_Toc142566009"/>
      <w:r>
        <w:lastRenderedPageBreak/>
        <w:t xml:space="preserve">Tabela </w:t>
      </w:r>
      <w:fldSimple w:instr=" SEQ Tabela \* ARABIC ">
        <w:r w:rsidR="00AA385B">
          <w:rPr>
            <w:noProof/>
          </w:rPr>
          <w:t>46</w:t>
        </w:r>
      </w:fldSimple>
      <w:r>
        <w:t xml:space="preserve"> </w:t>
      </w:r>
      <w:r w:rsidRPr="005E7BA4">
        <w:t>Liczba pacjentów i wartość rozliczonych jednostek rozliczeniowych w zakresie świadczenia: Całościowa ocena geriatryczna</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3"/>
        <w:gridCol w:w="1421"/>
        <w:gridCol w:w="1794"/>
        <w:gridCol w:w="3074"/>
      </w:tblGrid>
      <w:tr w:rsidR="000B7295" w:rsidRPr="00BF1DF1" w14:paraId="2C98B726" w14:textId="77777777" w:rsidTr="00BF1DF1">
        <w:trPr>
          <w:trHeight w:val="496"/>
        </w:trPr>
        <w:tc>
          <w:tcPr>
            <w:tcW w:w="1530" w:type="pct"/>
            <w:shd w:val="clear" w:color="auto" w:fill="8EAADB" w:themeFill="accent1" w:themeFillTint="99"/>
            <w:vAlign w:val="center"/>
            <w:hideMark/>
          </w:tcPr>
          <w:p w14:paraId="7F0A813D" w14:textId="77777777" w:rsidR="000B7295" w:rsidRPr="00BF1DF1" w:rsidRDefault="000B7295" w:rsidP="00706C37">
            <w:pPr>
              <w:spacing w:after="0" w:line="240" w:lineRule="auto"/>
              <w:jc w:val="center"/>
              <w:rPr>
                <w:rFonts w:ascii="Lato" w:eastAsia="Times New Roman" w:hAnsi="Lato" w:cs="Arial"/>
                <w:b/>
                <w:bCs/>
                <w:sz w:val="18"/>
                <w:szCs w:val="18"/>
                <w:lang w:eastAsia="pl-PL"/>
              </w:rPr>
            </w:pPr>
            <w:bookmarkStart w:id="84" w:name="_Hlk137556456"/>
            <w:bookmarkEnd w:id="82"/>
            <w:r w:rsidRPr="00BF1DF1">
              <w:rPr>
                <w:rFonts w:ascii="Lato" w:eastAsia="Times New Roman" w:hAnsi="Lato" w:cs="Arial"/>
                <w:b/>
                <w:bCs/>
                <w:sz w:val="18"/>
                <w:szCs w:val="18"/>
                <w:lang w:eastAsia="pl-PL"/>
              </w:rPr>
              <w:t>Nazwa produktu rozliczeniowego</w:t>
            </w:r>
          </w:p>
        </w:tc>
        <w:tc>
          <w:tcPr>
            <w:tcW w:w="784" w:type="pct"/>
            <w:shd w:val="clear" w:color="auto" w:fill="8EAADB" w:themeFill="accent1" w:themeFillTint="99"/>
            <w:noWrap/>
            <w:vAlign w:val="center"/>
            <w:hideMark/>
          </w:tcPr>
          <w:p w14:paraId="510D0269" w14:textId="77777777" w:rsidR="000B7295" w:rsidRPr="00BF1DF1" w:rsidRDefault="000B7295" w:rsidP="00706C37">
            <w:pPr>
              <w:spacing w:after="0" w:line="240" w:lineRule="auto"/>
              <w:jc w:val="center"/>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Rok realizacji</w:t>
            </w:r>
          </w:p>
        </w:tc>
        <w:tc>
          <w:tcPr>
            <w:tcW w:w="990" w:type="pct"/>
            <w:shd w:val="clear" w:color="auto" w:fill="8EAADB" w:themeFill="accent1" w:themeFillTint="99"/>
            <w:noWrap/>
            <w:vAlign w:val="center"/>
            <w:hideMark/>
          </w:tcPr>
          <w:p w14:paraId="7B225CB8" w14:textId="77777777" w:rsidR="000B7295" w:rsidRPr="00BF1DF1" w:rsidRDefault="000B7295" w:rsidP="00706C37">
            <w:pPr>
              <w:spacing w:after="0" w:line="240" w:lineRule="auto"/>
              <w:jc w:val="center"/>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Liczba pacjentów</w:t>
            </w:r>
          </w:p>
        </w:tc>
        <w:tc>
          <w:tcPr>
            <w:tcW w:w="1696" w:type="pct"/>
            <w:shd w:val="clear" w:color="auto" w:fill="8EAADB" w:themeFill="accent1" w:themeFillTint="99"/>
            <w:vAlign w:val="center"/>
            <w:hideMark/>
          </w:tcPr>
          <w:p w14:paraId="704BF23B" w14:textId="77777777" w:rsidR="000B7295" w:rsidRPr="00BF1DF1" w:rsidRDefault="000B7295" w:rsidP="00706C37">
            <w:pPr>
              <w:spacing w:after="0" w:line="240" w:lineRule="auto"/>
              <w:jc w:val="center"/>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Wartość rozliczonych jednostek rozliczeniowych</w:t>
            </w:r>
          </w:p>
        </w:tc>
      </w:tr>
      <w:tr w:rsidR="000B7295" w:rsidRPr="00BF1DF1" w14:paraId="2008E107" w14:textId="77777777" w:rsidTr="00BF1DF1">
        <w:trPr>
          <w:trHeight w:val="201"/>
        </w:trPr>
        <w:tc>
          <w:tcPr>
            <w:tcW w:w="1530" w:type="pct"/>
            <w:vMerge w:val="restart"/>
            <w:shd w:val="clear" w:color="auto" w:fill="auto"/>
            <w:vAlign w:val="center"/>
            <w:hideMark/>
          </w:tcPr>
          <w:p w14:paraId="79B6EE10" w14:textId="77777777" w:rsidR="000B7295" w:rsidRPr="00BF1DF1" w:rsidRDefault="000B7295" w:rsidP="00706C37">
            <w:pPr>
              <w:spacing w:after="0" w:line="240" w:lineRule="auto"/>
              <w:rPr>
                <w:rFonts w:ascii="Lato" w:eastAsia="Times New Roman" w:hAnsi="Lato" w:cs="Arial"/>
                <w:b/>
                <w:bCs/>
                <w:sz w:val="18"/>
                <w:szCs w:val="18"/>
                <w:lang w:eastAsia="pl-PL"/>
              </w:rPr>
            </w:pPr>
            <w:r w:rsidRPr="00BF1DF1">
              <w:rPr>
                <w:rFonts w:ascii="Lato" w:eastAsia="Times New Roman" w:hAnsi="Lato" w:cs="Arial"/>
                <w:b/>
                <w:bCs/>
                <w:sz w:val="18"/>
                <w:szCs w:val="18"/>
                <w:lang w:eastAsia="pl-PL"/>
              </w:rPr>
              <w:t>Całościowa ocena geriatryczna</w:t>
            </w:r>
          </w:p>
        </w:tc>
        <w:tc>
          <w:tcPr>
            <w:tcW w:w="784" w:type="pct"/>
            <w:shd w:val="clear" w:color="auto" w:fill="auto"/>
            <w:noWrap/>
            <w:vAlign w:val="center"/>
            <w:hideMark/>
          </w:tcPr>
          <w:p w14:paraId="79D7E407"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2017</w:t>
            </w:r>
          </w:p>
        </w:tc>
        <w:tc>
          <w:tcPr>
            <w:tcW w:w="990" w:type="pct"/>
            <w:shd w:val="clear" w:color="auto" w:fill="auto"/>
            <w:noWrap/>
            <w:vAlign w:val="center"/>
            <w:hideMark/>
          </w:tcPr>
          <w:p w14:paraId="6A53E96F"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11 716</w:t>
            </w:r>
          </w:p>
        </w:tc>
        <w:tc>
          <w:tcPr>
            <w:tcW w:w="1696" w:type="pct"/>
            <w:shd w:val="clear" w:color="auto" w:fill="auto"/>
            <w:noWrap/>
            <w:vAlign w:val="center"/>
            <w:hideMark/>
          </w:tcPr>
          <w:p w14:paraId="302F4222"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1 733 448 zł</w:t>
            </w:r>
          </w:p>
        </w:tc>
      </w:tr>
      <w:tr w:rsidR="000B7295" w:rsidRPr="00BF1DF1" w14:paraId="69DBA975" w14:textId="77777777" w:rsidTr="00BF1DF1">
        <w:trPr>
          <w:trHeight w:val="118"/>
        </w:trPr>
        <w:tc>
          <w:tcPr>
            <w:tcW w:w="1530" w:type="pct"/>
            <w:vMerge/>
            <w:shd w:val="clear" w:color="auto" w:fill="auto"/>
            <w:vAlign w:val="center"/>
            <w:hideMark/>
          </w:tcPr>
          <w:p w14:paraId="0FAD98BF" w14:textId="77777777" w:rsidR="000B7295" w:rsidRPr="00BF1DF1" w:rsidRDefault="000B7295" w:rsidP="00706C37">
            <w:pPr>
              <w:spacing w:after="0" w:line="240" w:lineRule="auto"/>
              <w:rPr>
                <w:rFonts w:ascii="Lato" w:eastAsia="Times New Roman" w:hAnsi="Lato" w:cs="Arial"/>
                <w:b/>
                <w:bCs/>
                <w:sz w:val="18"/>
                <w:szCs w:val="18"/>
                <w:lang w:eastAsia="pl-PL"/>
              </w:rPr>
            </w:pPr>
          </w:p>
        </w:tc>
        <w:tc>
          <w:tcPr>
            <w:tcW w:w="784" w:type="pct"/>
            <w:shd w:val="clear" w:color="auto" w:fill="auto"/>
            <w:noWrap/>
            <w:vAlign w:val="center"/>
            <w:hideMark/>
          </w:tcPr>
          <w:p w14:paraId="11C98AA4"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2018</w:t>
            </w:r>
          </w:p>
        </w:tc>
        <w:tc>
          <w:tcPr>
            <w:tcW w:w="990" w:type="pct"/>
            <w:shd w:val="clear" w:color="auto" w:fill="auto"/>
            <w:noWrap/>
            <w:vAlign w:val="center"/>
            <w:hideMark/>
          </w:tcPr>
          <w:p w14:paraId="7BD87257"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13 329</w:t>
            </w:r>
          </w:p>
        </w:tc>
        <w:tc>
          <w:tcPr>
            <w:tcW w:w="1696" w:type="pct"/>
            <w:shd w:val="clear" w:color="auto" w:fill="auto"/>
            <w:noWrap/>
            <w:vAlign w:val="center"/>
            <w:hideMark/>
          </w:tcPr>
          <w:p w14:paraId="39A77FB9"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2 154 297 zł</w:t>
            </w:r>
          </w:p>
        </w:tc>
      </w:tr>
      <w:tr w:rsidR="000B7295" w:rsidRPr="00BF1DF1" w14:paraId="7C8065E7" w14:textId="77777777" w:rsidTr="00BF1DF1">
        <w:trPr>
          <w:trHeight w:val="178"/>
        </w:trPr>
        <w:tc>
          <w:tcPr>
            <w:tcW w:w="1530" w:type="pct"/>
            <w:vMerge/>
            <w:shd w:val="clear" w:color="auto" w:fill="auto"/>
            <w:vAlign w:val="center"/>
            <w:hideMark/>
          </w:tcPr>
          <w:p w14:paraId="2B00D1C2" w14:textId="77777777" w:rsidR="000B7295" w:rsidRPr="00BF1DF1" w:rsidRDefault="000B7295" w:rsidP="00706C37">
            <w:pPr>
              <w:spacing w:after="0" w:line="240" w:lineRule="auto"/>
              <w:rPr>
                <w:rFonts w:ascii="Lato" w:eastAsia="Times New Roman" w:hAnsi="Lato" w:cs="Arial"/>
                <w:b/>
                <w:bCs/>
                <w:sz w:val="18"/>
                <w:szCs w:val="18"/>
                <w:lang w:eastAsia="pl-PL"/>
              </w:rPr>
            </w:pPr>
          </w:p>
        </w:tc>
        <w:tc>
          <w:tcPr>
            <w:tcW w:w="784" w:type="pct"/>
            <w:shd w:val="clear" w:color="auto" w:fill="auto"/>
            <w:noWrap/>
            <w:vAlign w:val="center"/>
            <w:hideMark/>
          </w:tcPr>
          <w:p w14:paraId="597BDAAA"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2019</w:t>
            </w:r>
          </w:p>
        </w:tc>
        <w:tc>
          <w:tcPr>
            <w:tcW w:w="990" w:type="pct"/>
            <w:shd w:val="clear" w:color="auto" w:fill="auto"/>
            <w:noWrap/>
            <w:vAlign w:val="center"/>
            <w:hideMark/>
          </w:tcPr>
          <w:p w14:paraId="7F8087C4"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14 522</w:t>
            </w:r>
          </w:p>
        </w:tc>
        <w:tc>
          <w:tcPr>
            <w:tcW w:w="1696" w:type="pct"/>
            <w:shd w:val="clear" w:color="auto" w:fill="auto"/>
            <w:noWrap/>
            <w:vAlign w:val="center"/>
            <w:hideMark/>
          </w:tcPr>
          <w:p w14:paraId="00E56C82"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2 384 361 zł</w:t>
            </w:r>
          </w:p>
        </w:tc>
      </w:tr>
      <w:tr w:rsidR="000B7295" w:rsidRPr="00BF1DF1" w14:paraId="0B50329B" w14:textId="77777777" w:rsidTr="00BF1DF1">
        <w:trPr>
          <w:trHeight w:val="238"/>
        </w:trPr>
        <w:tc>
          <w:tcPr>
            <w:tcW w:w="1530" w:type="pct"/>
            <w:vMerge/>
            <w:shd w:val="clear" w:color="auto" w:fill="auto"/>
            <w:vAlign w:val="center"/>
            <w:hideMark/>
          </w:tcPr>
          <w:p w14:paraId="64D25557" w14:textId="77777777" w:rsidR="000B7295" w:rsidRPr="00BF1DF1" w:rsidRDefault="000B7295" w:rsidP="00706C37">
            <w:pPr>
              <w:spacing w:after="0" w:line="240" w:lineRule="auto"/>
              <w:rPr>
                <w:rFonts w:ascii="Lato" w:eastAsia="Times New Roman" w:hAnsi="Lato" w:cs="Arial"/>
                <w:b/>
                <w:bCs/>
                <w:sz w:val="18"/>
                <w:szCs w:val="18"/>
                <w:lang w:eastAsia="pl-PL"/>
              </w:rPr>
            </w:pPr>
          </w:p>
        </w:tc>
        <w:tc>
          <w:tcPr>
            <w:tcW w:w="784" w:type="pct"/>
            <w:shd w:val="clear" w:color="auto" w:fill="auto"/>
            <w:noWrap/>
            <w:vAlign w:val="center"/>
            <w:hideMark/>
          </w:tcPr>
          <w:p w14:paraId="7420CABC"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2020</w:t>
            </w:r>
          </w:p>
        </w:tc>
        <w:tc>
          <w:tcPr>
            <w:tcW w:w="990" w:type="pct"/>
            <w:shd w:val="clear" w:color="auto" w:fill="auto"/>
            <w:noWrap/>
            <w:vAlign w:val="center"/>
            <w:hideMark/>
          </w:tcPr>
          <w:p w14:paraId="290E9039"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8 540</w:t>
            </w:r>
          </w:p>
        </w:tc>
        <w:tc>
          <w:tcPr>
            <w:tcW w:w="1696" w:type="pct"/>
            <w:shd w:val="clear" w:color="auto" w:fill="auto"/>
            <w:noWrap/>
            <w:vAlign w:val="center"/>
            <w:hideMark/>
          </w:tcPr>
          <w:p w14:paraId="2EBFB359"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1 465 857 zł</w:t>
            </w:r>
          </w:p>
        </w:tc>
      </w:tr>
      <w:tr w:rsidR="000B7295" w:rsidRPr="00BF1DF1" w14:paraId="2AAD6799" w14:textId="77777777" w:rsidTr="00BF1DF1">
        <w:trPr>
          <w:trHeight w:val="128"/>
        </w:trPr>
        <w:tc>
          <w:tcPr>
            <w:tcW w:w="1530" w:type="pct"/>
            <w:vMerge/>
            <w:shd w:val="clear" w:color="auto" w:fill="auto"/>
            <w:vAlign w:val="center"/>
            <w:hideMark/>
          </w:tcPr>
          <w:p w14:paraId="1EB20C8C" w14:textId="77777777" w:rsidR="000B7295" w:rsidRPr="00BF1DF1" w:rsidRDefault="000B7295" w:rsidP="00706C37">
            <w:pPr>
              <w:spacing w:after="0" w:line="240" w:lineRule="auto"/>
              <w:rPr>
                <w:rFonts w:ascii="Lato" w:eastAsia="Times New Roman" w:hAnsi="Lato" w:cs="Arial"/>
                <w:b/>
                <w:bCs/>
                <w:sz w:val="18"/>
                <w:szCs w:val="18"/>
                <w:lang w:eastAsia="pl-PL"/>
              </w:rPr>
            </w:pPr>
          </w:p>
        </w:tc>
        <w:tc>
          <w:tcPr>
            <w:tcW w:w="784" w:type="pct"/>
            <w:shd w:val="clear" w:color="auto" w:fill="auto"/>
            <w:noWrap/>
            <w:vAlign w:val="center"/>
            <w:hideMark/>
          </w:tcPr>
          <w:p w14:paraId="2F981F17"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2021</w:t>
            </w:r>
          </w:p>
        </w:tc>
        <w:tc>
          <w:tcPr>
            <w:tcW w:w="990" w:type="pct"/>
            <w:shd w:val="clear" w:color="auto" w:fill="auto"/>
            <w:noWrap/>
            <w:vAlign w:val="center"/>
            <w:hideMark/>
          </w:tcPr>
          <w:p w14:paraId="79ED9316"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9 197</w:t>
            </w:r>
          </w:p>
        </w:tc>
        <w:tc>
          <w:tcPr>
            <w:tcW w:w="1696" w:type="pct"/>
            <w:shd w:val="clear" w:color="auto" w:fill="auto"/>
            <w:noWrap/>
            <w:vAlign w:val="center"/>
            <w:hideMark/>
          </w:tcPr>
          <w:p w14:paraId="2A30BC1D"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1 656 402 zł</w:t>
            </w:r>
          </w:p>
        </w:tc>
      </w:tr>
      <w:tr w:rsidR="000B7295" w:rsidRPr="00BF1DF1" w14:paraId="14990066" w14:textId="77777777" w:rsidTr="00BF1DF1">
        <w:trPr>
          <w:trHeight w:val="58"/>
        </w:trPr>
        <w:tc>
          <w:tcPr>
            <w:tcW w:w="1530" w:type="pct"/>
            <w:vMerge/>
            <w:shd w:val="clear" w:color="auto" w:fill="auto"/>
            <w:vAlign w:val="center"/>
            <w:hideMark/>
          </w:tcPr>
          <w:p w14:paraId="596C21DC" w14:textId="77777777" w:rsidR="000B7295" w:rsidRPr="00BF1DF1" w:rsidRDefault="000B7295" w:rsidP="00706C37">
            <w:pPr>
              <w:spacing w:after="0" w:line="240" w:lineRule="auto"/>
              <w:rPr>
                <w:rFonts w:ascii="Lato" w:eastAsia="Times New Roman" w:hAnsi="Lato" w:cs="Arial"/>
                <w:b/>
                <w:bCs/>
                <w:sz w:val="18"/>
                <w:szCs w:val="18"/>
                <w:lang w:eastAsia="pl-PL"/>
              </w:rPr>
            </w:pPr>
          </w:p>
        </w:tc>
        <w:tc>
          <w:tcPr>
            <w:tcW w:w="784" w:type="pct"/>
            <w:shd w:val="clear" w:color="auto" w:fill="auto"/>
            <w:noWrap/>
            <w:vAlign w:val="center"/>
            <w:hideMark/>
          </w:tcPr>
          <w:p w14:paraId="245BE77D"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2022</w:t>
            </w:r>
          </w:p>
        </w:tc>
        <w:tc>
          <w:tcPr>
            <w:tcW w:w="990" w:type="pct"/>
            <w:shd w:val="clear" w:color="auto" w:fill="auto"/>
            <w:noWrap/>
            <w:vAlign w:val="center"/>
            <w:hideMark/>
          </w:tcPr>
          <w:p w14:paraId="74CC75D5"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23 930</w:t>
            </w:r>
          </w:p>
        </w:tc>
        <w:tc>
          <w:tcPr>
            <w:tcW w:w="1696" w:type="pct"/>
            <w:shd w:val="clear" w:color="auto" w:fill="auto"/>
            <w:noWrap/>
            <w:vAlign w:val="center"/>
            <w:hideMark/>
          </w:tcPr>
          <w:p w14:paraId="62D15AE5" w14:textId="77777777" w:rsidR="000B7295" w:rsidRPr="00BF1DF1" w:rsidRDefault="000B7295" w:rsidP="00706C37">
            <w:pPr>
              <w:spacing w:after="0" w:line="240" w:lineRule="auto"/>
              <w:jc w:val="center"/>
              <w:rPr>
                <w:rFonts w:ascii="Lato" w:eastAsia="Times New Roman" w:hAnsi="Lato" w:cs="Arial"/>
                <w:sz w:val="18"/>
                <w:szCs w:val="18"/>
                <w:lang w:eastAsia="pl-PL"/>
              </w:rPr>
            </w:pPr>
            <w:r w:rsidRPr="00BF1DF1">
              <w:rPr>
                <w:rFonts w:ascii="Lato" w:eastAsia="Times New Roman" w:hAnsi="Lato" w:cs="Arial"/>
                <w:sz w:val="18"/>
                <w:szCs w:val="18"/>
                <w:lang w:eastAsia="pl-PL"/>
              </w:rPr>
              <w:t>5 515 825 zł</w:t>
            </w:r>
          </w:p>
        </w:tc>
      </w:tr>
    </w:tbl>
    <w:p w14:paraId="6A7B3480" w14:textId="1969BCD8" w:rsidR="00B73CC2" w:rsidRDefault="00B73CC2" w:rsidP="007A0B6A">
      <w:pPr>
        <w:tabs>
          <w:tab w:val="left" w:pos="5400"/>
        </w:tabs>
        <w:spacing w:after="0" w:line="240" w:lineRule="auto"/>
        <w:jc w:val="both"/>
        <w:rPr>
          <w:rFonts w:ascii="Lato" w:eastAsia="Times New Roman" w:hAnsi="Lato" w:cs="Arial"/>
          <w:sz w:val="16"/>
          <w:szCs w:val="16"/>
          <w:lang w:eastAsia="pl-PL"/>
        </w:rPr>
      </w:pPr>
      <w:bookmarkStart w:id="85" w:name="_Hlk74567810"/>
      <w:bookmarkEnd w:id="84"/>
      <w:r w:rsidRPr="007A0B6A">
        <w:rPr>
          <w:rFonts w:ascii="Lato" w:eastAsia="Times New Roman" w:hAnsi="Lato" w:cs="Arial"/>
          <w:sz w:val="16"/>
          <w:szCs w:val="16"/>
          <w:lang w:eastAsia="pl-PL"/>
        </w:rPr>
        <w:t xml:space="preserve">Źródło: Narodowy Fundusz Zdrowia </w:t>
      </w:r>
    </w:p>
    <w:p w14:paraId="087E7B78" w14:textId="77777777" w:rsidR="007A0B6A" w:rsidRPr="007A0B6A" w:rsidRDefault="007A0B6A" w:rsidP="007A0B6A">
      <w:pPr>
        <w:tabs>
          <w:tab w:val="left" w:pos="5400"/>
        </w:tabs>
        <w:spacing w:after="0" w:line="240" w:lineRule="auto"/>
        <w:jc w:val="both"/>
        <w:rPr>
          <w:rFonts w:ascii="Lato" w:eastAsia="Times New Roman" w:hAnsi="Lato" w:cs="Arial"/>
          <w:sz w:val="16"/>
          <w:szCs w:val="16"/>
          <w:lang w:eastAsia="pl-PL"/>
        </w:rPr>
      </w:pPr>
    </w:p>
    <w:p w14:paraId="0F9C1066" w14:textId="16A5B5AF" w:rsidR="000B7295" w:rsidRPr="00FF7373" w:rsidRDefault="000B7295" w:rsidP="00FF7373">
      <w:pPr>
        <w:tabs>
          <w:tab w:val="left" w:pos="5400"/>
        </w:tabs>
        <w:spacing w:after="0" w:line="240" w:lineRule="auto"/>
        <w:jc w:val="both"/>
        <w:rPr>
          <w:rFonts w:ascii="Lato" w:eastAsia="Times New Roman" w:hAnsi="Lato" w:cs="Arial"/>
          <w:sz w:val="20"/>
          <w:szCs w:val="20"/>
          <w:lang w:eastAsia="pl-PL"/>
        </w:rPr>
      </w:pPr>
      <w:r w:rsidRPr="007A0B6A">
        <w:rPr>
          <w:rFonts w:ascii="Lato" w:eastAsia="Times New Roman" w:hAnsi="Lato" w:cs="Arial"/>
          <w:sz w:val="20"/>
          <w:szCs w:val="20"/>
          <w:lang w:eastAsia="pl-PL"/>
        </w:rPr>
        <w:t xml:space="preserve">Świadczenie „Całościowa opieka geriatryczna” rozliczono  w 2022 r. dla prawie 24 tys. pacjentów, </w:t>
      </w:r>
      <w:r w:rsidRPr="007A0B6A">
        <w:rPr>
          <w:rFonts w:ascii="Lato" w:eastAsia="Times New Roman" w:hAnsi="Lato" w:cs="Arial"/>
          <w:sz w:val="20"/>
          <w:szCs w:val="20"/>
          <w:lang w:eastAsia="pl-PL"/>
        </w:rPr>
        <w:br/>
        <w:t xml:space="preserve">a wartość rozliczonych jednostek rozliczeniowych wyniosła ponad 5,5 mln zł (są to największe wartości od 2017 r. </w:t>
      </w:r>
      <w:bookmarkEnd w:id="85"/>
      <w:r w:rsidRPr="007A0B6A">
        <w:rPr>
          <w:rFonts w:ascii="Lato" w:eastAsia="Times New Roman" w:hAnsi="Lato" w:cs="Arial"/>
          <w:sz w:val="20"/>
          <w:szCs w:val="20"/>
          <w:lang w:eastAsia="pl-PL"/>
        </w:rPr>
        <w:t>).</w:t>
      </w:r>
      <w:r w:rsidR="00FF7373">
        <w:rPr>
          <w:rFonts w:ascii="Lato" w:eastAsia="Times New Roman" w:hAnsi="Lato" w:cs="Arial"/>
          <w:sz w:val="20"/>
          <w:szCs w:val="20"/>
          <w:lang w:eastAsia="pl-PL"/>
        </w:rPr>
        <w:t xml:space="preserve"> </w:t>
      </w:r>
      <w:r w:rsidRPr="007A0B6A">
        <w:rPr>
          <w:rFonts w:ascii="Lato" w:eastAsia="Times New Roman" w:hAnsi="Lato" w:cs="Arial"/>
          <w:sz w:val="20"/>
          <w:szCs w:val="20"/>
          <w:lang w:eastAsia="pl-PL"/>
        </w:rPr>
        <w:t xml:space="preserve">Świadczenia z zakresu geriatrii realizowane są również w ramach </w:t>
      </w:r>
      <w:r w:rsidRPr="007A0B6A">
        <w:rPr>
          <w:rFonts w:ascii="Lato" w:eastAsia="Times New Roman" w:hAnsi="Lato" w:cs="Arial"/>
          <w:b/>
          <w:bCs/>
          <w:sz w:val="20"/>
          <w:szCs w:val="20"/>
          <w:u w:val="single"/>
          <w:lang w:eastAsia="pl-PL"/>
        </w:rPr>
        <w:t>ambulatoryjnej opieki specjalistycznej (AOS)</w:t>
      </w:r>
      <w:r w:rsidRPr="007A0B6A">
        <w:rPr>
          <w:rFonts w:ascii="Lato" w:eastAsia="Times New Roman" w:hAnsi="Lato" w:cs="Arial"/>
          <w:sz w:val="20"/>
          <w:szCs w:val="20"/>
          <w:lang w:eastAsia="pl-PL"/>
        </w:rPr>
        <w:t>.</w:t>
      </w:r>
      <w:bookmarkStart w:id="86" w:name="_Hlk137622279"/>
      <w:r w:rsidR="00FF7373">
        <w:rPr>
          <w:rFonts w:ascii="Lato" w:eastAsia="Times New Roman" w:hAnsi="Lato" w:cs="Arial"/>
          <w:sz w:val="20"/>
          <w:szCs w:val="20"/>
          <w:lang w:eastAsia="pl-PL"/>
        </w:rPr>
        <w:t xml:space="preserve"> </w:t>
      </w:r>
      <w:r w:rsidRPr="007A0B6A">
        <w:rPr>
          <w:rFonts w:ascii="Lato" w:hAnsi="Lato" w:cs="Arial"/>
          <w:sz w:val="20"/>
          <w:szCs w:val="20"/>
        </w:rPr>
        <w:t>W ramach AOS osoby w wieku senioralnym mają prawo do świadczeń opieki zdrowotnej we wszystkich poradniach specjalistycznych dedykowanych pacjentom dorosłym, zgodnie z aktualnymi potrzebami wynikającymi ze stanu zdrowia.</w:t>
      </w:r>
      <w:bookmarkEnd w:id="86"/>
    </w:p>
    <w:p w14:paraId="25EF60B0" w14:textId="77777777" w:rsidR="00F30219" w:rsidRPr="00F30219" w:rsidRDefault="00F30219" w:rsidP="00F30219">
      <w:pPr>
        <w:pStyle w:val="Bezodstpw"/>
        <w:jc w:val="both"/>
        <w:rPr>
          <w:rFonts w:ascii="Lato" w:hAnsi="Lato" w:cs="Arial"/>
          <w:sz w:val="20"/>
          <w:szCs w:val="20"/>
        </w:rPr>
      </w:pPr>
    </w:p>
    <w:p w14:paraId="1DCC0FB4" w14:textId="1774C4FB" w:rsidR="000B7295" w:rsidRDefault="000B7295" w:rsidP="000B7295">
      <w:pPr>
        <w:pStyle w:val="Legenda"/>
        <w:keepNext/>
      </w:pPr>
      <w:bookmarkStart w:id="87" w:name="_Toc142566010"/>
      <w:r>
        <w:t xml:space="preserve">Tabela </w:t>
      </w:r>
      <w:fldSimple w:instr=" SEQ Tabela \* ARABIC ">
        <w:r w:rsidR="00AA385B">
          <w:rPr>
            <w:noProof/>
          </w:rPr>
          <w:t>47</w:t>
        </w:r>
      </w:fldSimple>
      <w:r>
        <w:t xml:space="preserve"> </w:t>
      </w:r>
      <w:r w:rsidRPr="007820C9">
        <w:t>Liczba i wartość udzielonych porad ambulatoryjnych w zakresie geriatrii w 2022 r.  (dotyczą pacjentów powyżej 65 r.ż.)</w:t>
      </w:r>
      <w:bookmarkEnd w:id="8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2468"/>
        <w:gridCol w:w="2594"/>
      </w:tblGrid>
      <w:tr w:rsidR="000B7295" w:rsidRPr="00BF1DF1" w14:paraId="67969AD7" w14:textId="77777777" w:rsidTr="00BF1DF1">
        <w:trPr>
          <w:cnfStyle w:val="100000000000" w:firstRow="1" w:lastRow="0" w:firstColumn="0" w:lastColumn="0" w:oddVBand="0" w:evenVBand="0" w:oddHBand="0"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207" w:type="pct"/>
            <w:vMerge w:val="restart"/>
            <w:tcBorders>
              <w:top w:val="none" w:sz="0" w:space="0" w:color="auto"/>
              <w:left w:val="none" w:sz="0" w:space="0" w:color="auto"/>
              <w:right w:val="none" w:sz="0" w:space="0" w:color="auto"/>
            </w:tcBorders>
            <w:shd w:val="clear" w:color="auto" w:fill="8EAADB" w:themeFill="accent1" w:themeFillTint="99"/>
            <w:hideMark/>
          </w:tcPr>
          <w:p w14:paraId="712DD140" w14:textId="77777777" w:rsidR="000B7295" w:rsidRPr="00BF1DF1" w:rsidRDefault="000B7295" w:rsidP="00BF1DF1">
            <w:pPr>
              <w:spacing w:before="0"/>
              <w:jc w:val="center"/>
              <w:rPr>
                <w:rFonts w:ascii="Lato" w:hAnsi="Lato" w:cs="Arial"/>
                <w:b w:val="0"/>
                <w:bCs w:val="0"/>
                <w:color w:val="auto"/>
                <w:sz w:val="18"/>
                <w:szCs w:val="18"/>
              </w:rPr>
            </w:pPr>
            <w:bookmarkStart w:id="88" w:name="_Hlk137556762"/>
            <w:r w:rsidRPr="00BF1DF1">
              <w:rPr>
                <w:rFonts w:ascii="Lato" w:hAnsi="Lato" w:cs="Arial"/>
                <w:color w:val="auto"/>
                <w:sz w:val="18"/>
                <w:szCs w:val="18"/>
              </w:rPr>
              <w:t>Nazwa zakresu świadczeń</w:t>
            </w:r>
          </w:p>
        </w:tc>
        <w:tc>
          <w:tcPr>
            <w:tcW w:w="2793" w:type="pct"/>
            <w:gridSpan w:val="2"/>
            <w:tcBorders>
              <w:top w:val="none" w:sz="0" w:space="0" w:color="auto"/>
              <w:left w:val="none" w:sz="0" w:space="0" w:color="auto"/>
              <w:right w:val="none" w:sz="0" w:space="0" w:color="auto"/>
            </w:tcBorders>
            <w:shd w:val="clear" w:color="auto" w:fill="8EAADB" w:themeFill="accent1" w:themeFillTint="99"/>
            <w:noWrap/>
            <w:hideMark/>
          </w:tcPr>
          <w:p w14:paraId="05C166EF" w14:textId="77777777" w:rsidR="000B7295" w:rsidRPr="00BF1DF1" w:rsidRDefault="000B7295"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hAnsi="Lato" w:cs="Arial"/>
                <w:b w:val="0"/>
                <w:bCs w:val="0"/>
                <w:color w:val="auto"/>
                <w:sz w:val="18"/>
                <w:szCs w:val="18"/>
              </w:rPr>
            </w:pPr>
            <w:r w:rsidRPr="00BF1DF1">
              <w:rPr>
                <w:rFonts w:ascii="Lato" w:hAnsi="Lato" w:cs="Arial"/>
                <w:color w:val="auto"/>
                <w:sz w:val="18"/>
                <w:szCs w:val="18"/>
              </w:rPr>
              <w:t xml:space="preserve">2022 r. </w:t>
            </w:r>
          </w:p>
        </w:tc>
      </w:tr>
      <w:tr w:rsidR="000B7295" w:rsidRPr="00BF1DF1" w14:paraId="62DEA2A0" w14:textId="77777777" w:rsidTr="00BF1DF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07" w:type="pct"/>
            <w:vMerge/>
            <w:tcBorders>
              <w:left w:val="none" w:sz="0" w:space="0" w:color="auto"/>
            </w:tcBorders>
            <w:shd w:val="clear" w:color="auto" w:fill="8EAADB" w:themeFill="accent1" w:themeFillTint="99"/>
            <w:hideMark/>
          </w:tcPr>
          <w:p w14:paraId="17BF16E7" w14:textId="77777777" w:rsidR="000B7295" w:rsidRPr="00BF1DF1" w:rsidRDefault="000B7295" w:rsidP="00BF1DF1">
            <w:pPr>
              <w:spacing w:before="0"/>
              <w:rPr>
                <w:rFonts w:ascii="Lato" w:eastAsiaTheme="minorHAnsi" w:hAnsi="Lato" w:cs="Arial"/>
                <w:b w:val="0"/>
                <w:bCs w:val="0"/>
                <w:color w:val="auto"/>
                <w:sz w:val="18"/>
                <w:szCs w:val="18"/>
              </w:rPr>
            </w:pPr>
          </w:p>
        </w:tc>
        <w:tc>
          <w:tcPr>
            <w:tcW w:w="1362" w:type="pct"/>
            <w:shd w:val="clear" w:color="auto" w:fill="8EAADB" w:themeFill="accent1" w:themeFillTint="99"/>
            <w:hideMark/>
          </w:tcPr>
          <w:p w14:paraId="18DE6BDF" w14:textId="77777777" w:rsidR="000B7295" w:rsidRPr="00BF1DF1" w:rsidRDefault="000B7295"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b/>
                <w:bCs/>
                <w:sz w:val="18"/>
                <w:szCs w:val="18"/>
              </w:rPr>
            </w:pPr>
            <w:r w:rsidRPr="00BF1DF1">
              <w:rPr>
                <w:rFonts w:ascii="Lato" w:hAnsi="Lato" w:cs="Arial"/>
                <w:b/>
                <w:bCs/>
                <w:sz w:val="18"/>
                <w:szCs w:val="18"/>
              </w:rPr>
              <w:t>Liczba zrealizowanych świadczeń</w:t>
            </w:r>
          </w:p>
        </w:tc>
        <w:tc>
          <w:tcPr>
            <w:tcW w:w="1431" w:type="pct"/>
            <w:shd w:val="clear" w:color="auto" w:fill="8EAADB" w:themeFill="accent1" w:themeFillTint="99"/>
            <w:hideMark/>
          </w:tcPr>
          <w:p w14:paraId="27DCF639" w14:textId="77777777" w:rsidR="000B7295" w:rsidRPr="00BF1DF1" w:rsidRDefault="000B7295"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b/>
                <w:bCs/>
                <w:sz w:val="18"/>
                <w:szCs w:val="18"/>
              </w:rPr>
            </w:pPr>
            <w:r w:rsidRPr="00BF1DF1">
              <w:rPr>
                <w:rFonts w:ascii="Lato" w:hAnsi="Lato" w:cs="Arial"/>
                <w:b/>
                <w:bCs/>
                <w:sz w:val="18"/>
                <w:szCs w:val="18"/>
              </w:rPr>
              <w:t>Wartość rozliczonych świadczeń</w:t>
            </w:r>
          </w:p>
        </w:tc>
      </w:tr>
      <w:tr w:rsidR="000B7295" w:rsidRPr="00BF1DF1" w14:paraId="285113CE" w14:textId="77777777" w:rsidTr="00BF1DF1">
        <w:trPr>
          <w:trHeight w:val="227"/>
        </w:trPr>
        <w:tc>
          <w:tcPr>
            <w:cnfStyle w:val="001000000000" w:firstRow="0" w:lastRow="0" w:firstColumn="1" w:lastColumn="0" w:oddVBand="0" w:evenVBand="0" w:oddHBand="0" w:evenHBand="0" w:firstRowFirstColumn="0" w:firstRowLastColumn="0" w:lastRowFirstColumn="0" w:lastRowLastColumn="0"/>
            <w:tcW w:w="2207" w:type="pct"/>
            <w:tcBorders>
              <w:left w:val="none" w:sz="0" w:space="0" w:color="auto"/>
              <w:bottom w:val="none" w:sz="0" w:space="0" w:color="auto"/>
            </w:tcBorders>
            <w:shd w:val="clear" w:color="auto" w:fill="auto"/>
            <w:hideMark/>
          </w:tcPr>
          <w:p w14:paraId="1211BDA1" w14:textId="06D2891E" w:rsidR="000B7295" w:rsidRPr="00BF1DF1" w:rsidRDefault="00BF1DF1" w:rsidP="00BF1DF1">
            <w:pPr>
              <w:spacing w:before="0"/>
              <w:jc w:val="center"/>
              <w:rPr>
                <w:rFonts w:ascii="Lato" w:hAnsi="Lato" w:cs="Arial"/>
                <w:color w:val="auto"/>
                <w:sz w:val="18"/>
                <w:szCs w:val="18"/>
              </w:rPr>
            </w:pPr>
            <w:r w:rsidRPr="00BF1DF1">
              <w:rPr>
                <w:rFonts w:ascii="Lato" w:hAnsi="Lato" w:cs="Arial"/>
                <w:color w:val="auto"/>
                <w:sz w:val="18"/>
                <w:szCs w:val="18"/>
              </w:rPr>
              <w:t xml:space="preserve">Świadczenia </w:t>
            </w:r>
            <w:r>
              <w:rPr>
                <w:rFonts w:ascii="Lato" w:hAnsi="Lato" w:cs="Arial"/>
                <w:color w:val="auto"/>
                <w:sz w:val="18"/>
                <w:szCs w:val="18"/>
              </w:rPr>
              <w:t>AOS</w:t>
            </w:r>
            <w:r w:rsidRPr="00BF1DF1">
              <w:rPr>
                <w:rFonts w:ascii="Lato" w:hAnsi="Lato" w:cs="Arial"/>
                <w:color w:val="auto"/>
                <w:sz w:val="18"/>
                <w:szCs w:val="18"/>
              </w:rPr>
              <w:t xml:space="preserve"> w zakresie geriatrii</w:t>
            </w:r>
          </w:p>
        </w:tc>
        <w:tc>
          <w:tcPr>
            <w:tcW w:w="1362" w:type="pct"/>
            <w:shd w:val="clear" w:color="auto" w:fill="auto"/>
            <w:noWrap/>
            <w:hideMark/>
          </w:tcPr>
          <w:p w14:paraId="4DA4735F" w14:textId="77777777" w:rsidR="000B7295" w:rsidRPr="00BF1DF1" w:rsidRDefault="000B7295"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r w:rsidRPr="00BF1DF1">
              <w:rPr>
                <w:rFonts w:ascii="Lato" w:hAnsi="Lato" w:cs="Arial"/>
                <w:sz w:val="18"/>
                <w:szCs w:val="18"/>
              </w:rPr>
              <w:t>67 558</w:t>
            </w:r>
          </w:p>
        </w:tc>
        <w:tc>
          <w:tcPr>
            <w:tcW w:w="1431" w:type="pct"/>
            <w:shd w:val="clear" w:color="auto" w:fill="auto"/>
            <w:noWrap/>
            <w:hideMark/>
          </w:tcPr>
          <w:p w14:paraId="38EAF1F5" w14:textId="77777777" w:rsidR="000B7295" w:rsidRPr="00BF1DF1" w:rsidRDefault="000B7295"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r w:rsidRPr="00BF1DF1">
              <w:rPr>
                <w:rFonts w:ascii="Lato" w:hAnsi="Lato" w:cs="Arial"/>
                <w:sz w:val="18"/>
                <w:szCs w:val="18"/>
              </w:rPr>
              <w:t>6 334 802 zł</w:t>
            </w:r>
          </w:p>
        </w:tc>
      </w:tr>
    </w:tbl>
    <w:p w14:paraId="7573F75E" w14:textId="77D90199" w:rsidR="00B73CC2" w:rsidRPr="00135D02" w:rsidRDefault="00B73CC2" w:rsidP="00F30219">
      <w:pPr>
        <w:tabs>
          <w:tab w:val="left" w:pos="5400"/>
        </w:tabs>
        <w:spacing w:after="0" w:line="240" w:lineRule="auto"/>
        <w:jc w:val="both"/>
        <w:rPr>
          <w:rFonts w:ascii="Lato" w:eastAsia="Times New Roman" w:hAnsi="Lato" w:cs="Arial"/>
          <w:sz w:val="16"/>
          <w:szCs w:val="16"/>
          <w:lang w:eastAsia="pl-PL"/>
        </w:rPr>
      </w:pPr>
      <w:bookmarkStart w:id="89" w:name="_Hlk137556680"/>
      <w:bookmarkEnd w:id="88"/>
      <w:r w:rsidRPr="00135D02">
        <w:rPr>
          <w:rFonts w:ascii="Lato" w:eastAsia="Times New Roman" w:hAnsi="Lato" w:cs="Arial"/>
          <w:sz w:val="16"/>
          <w:szCs w:val="16"/>
          <w:lang w:eastAsia="pl-PL"/>
        </w:rPr>
        <w:t xml:space="preserve">Źródło: Narodowy Fundusz Zdrowia </w:t>
      </w:r>
    </w:p>
    <w:p w14:paraId="5B1F4C35" w14:textId="77777777" w:rsidR="00F30219" w:rsidRPr="00F30219" w:rsidRDefault="00F30219" w:rsidP="00F30219">
      <w:pPr>
        <w:tabs>
          <w:tab w:val="left" w:pos="5400"/>
        </w:tabs>
        <w:spacing w:after="0" w:line="240" w:lineRule="auto"/>
        <w:jc w:val="both"/>
        <w:rPr>
          <w:rFonts w:ascii="Lato" w:eastAsia="Times New Roman" w:hAnsi="Lato" w:cs="Arial"/>
          <w:sz w:val="20"/>
          <w:szCs w:val="20"/>
          <w:lang w:eastAsia="pl-PL"/>
        </w:rPr>
      </w:pPr>
    </w:p>
    <w:p w14:paraId="49718A78" w14:textId="6DF0E868" w:rsidR="000B7295" w:rsidRPr="00F30219" w:rsidRDefault="000B7295" w:rsidP="00F30219">
      <w:pPr>
        <w:pStyle w:val="Bezodstpw"/>
        <w:jc w:val="both"/>
        <w:rPr>
          <w:rFonts w:ascii="Lato" w:hAnsi="Lato" w:cs="Arial"/>
          <w:sz w:val="20"/>
          <w:szCs w:val="20"/>
        </w:rPr>
      </w:pPr>
      <w:r w:rsidRPr="00F30219">
        <w:rPr>
          <w:rFonts w:ascii="Lato" w:hAnsi="Lato" w:cs="Arial"/>
          <w:sz w:val="20"/>
          <w:szCs w:val="20"/>
        </w:rPr>
        <w:t xml:space="preserve">W 2022 r. udzielono ponad </w:t>
      </w:r>
      <w:r w:rsidRPr="00F30219">
        <w:rPr>
          <w:rFonts w:ascii="Lato" w:hAnsi="Lato" w:cs="Arial"/>
          <w:b/>
          <w:bCs/>
          <w:sz w:val="20"/>
          <w:szCs w:val="20"/>
        </w:rPr>
        <w:t xml:space="preserve">67,5 tys. </w:t>
      </w:r>
      <w:r w:rsidRPr="00F30219">
        <w:rPr>
          <w:rFonts w:ascii="Lato" w:hAnsi="Lato" w:cs="Arial"/>
          <w:sz w:val="20"/>
          <w:szCs w:val="20"/>
        </w:rPr>
        <w:t xml:space="preserve"> porad geriatrycznych o łącznej wartości ponad </w:t>
      </w:r>
      <w:r w:rsidRPr="00F30219">
        <w:rPr>
          <w:rFonts w:ascii="Lato" w:hAnsi="Lato" w:cs="Arial"/>
          <w:b/>
          <w:bCs/>
          <w:sz w:val="20"/>
          <w:szCs w:val="20"/>
        </w:rPr>
        <w:t>6 mln zł</w:t>
      </w:r>
      <w:r w:rsidRPr="00F30219">
        <w:rPr>
          <w:rFonts w:ascii="Lato" w:hAnsi="Lato" w:cs="Arial"/>
          <w:sz w:val="20"/>
          <w:szCs w:val="20"/>
        </w:rPr>
        <w:t xml:space="preserve">. Umowę na udzielanie świadczeń opieki zdrowotnej w zakresie poradni geriatrycznej miało podpisaną </w:t>
      </w:r>
      <w:r w:rsidRPr="00F30219">
        <w:rPr>
          <w:rFonts w:ascii="Lato" w:hAnsi="Lato" w:cs="Arial"/>
          <w:b/>
          <w:bCs/>
          <w:sz w:val="20"/>
          <w:szCs w:val="20"/>
        </w:rPr>
        <w:t>114 świadczeniodawców</w:t>
      </w:r>
      <w:r w:rsidRPr="00F30219">
        <w:rPr>
          <w:rFonts w:ascii="Lato" w:hAnsi="Lato" w:cs="Arial"/>
          <w:sz w:val="20"/>
          <w:szCs w:val="20"/>
        </w:rPr>
        <w:t>.</w:t>
      </w:r>
    </w:p>
    <w:bookmarkEnd w:id="89"/>
    <w:p w14:paraId="70ED83ED" w14:textId="77777777" w:rsidR="00F30219" w:rsidRDefault="00F30219" w:rsidP="00F30219">
      <w:pPr>
        <w:spacing w:after="0" w:line="240" w:lineRule="auto"/>
        <w:rPr>
          <w:rFonts w:ascii="Lato" w:hAnsi="Lato"/>
          <w:b/>
          <w:bCs/>
          <w:sz w:val="20"/>
          <w:szCs w:val="20"/>
        </w:rPr>
      </w:pPr>
    </w:p>
    <w:p w14:paraId="744D118E" w14:textId="62EB0A24" w:rsidR="00B73CC2" w:rsidRPr="00F30219" w:rsidRDefault="00B73CC2" w:rsidP="00F30219">
      <w:pPr>
        <w:spacing w:after="0" w:line="240" w:lineRule="auto"/>
        <w:rPr>
          <w:rFonts w:ascii="Lato" w:hAnsi="Lato"/>
          <w:b/>
          <w:bCs/>
          <w:sz w:val="20"/>
          <w:szCs w:val="20"/>
        </w:rPr>
      </w:pPr>
      <w:r w:rsidRPr="00F30219">
        <w:rPr>
          <w:rFonts w:ascii="Lato" w:hAnsi="Lato"/>
          <w:b/>
          <w:bCs/>
          <w:sz w:val="20"/>
          <w:szCs w:val="20"/>
        </w:rPr>
        <w:t>Opieka długoterminowa</w:t>
      </w:r>
    </w:p>
    <w:p w14:paraId="3EC5E14B" w14:textId="6E37C427" w:rsidR="00B73CC2" w:rsidRDefault="00B73CC2" w:rsidP="00F30219">
      <w:pPr>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Opiekę długoterminow</w:t>
      </w:r>
      <w:r w:rsidR="00F30219" w:rsidRPr="00F30219">
        <w:rPr>
          <w:rFonts w:ascii="Lato" w:eastAsia="Times New Roman" w:hAnsi="Lato" w:cs="Arial"/>
          <w:sz w:val="20"/>
          <w:szCs w:val="20"/>
          <w:lang w:eastAsia="pl-PL"/>
        </w:rPr>
        <w:t>ą</w:t>
      </w:r>
      <w:r w:rsidRPr="00F30219">
        <w:rPr>
          <w:rFonts w:ascii="Lato" w:eastAsia="Times New Roman" w:hAnsi="Lato" w:cs="Arial"/>
          <w:sz w:val="20"/>
          <w:szCs w:val="20"/>
          <w:lang w:eastAsia="pl-PL"/>
        </w:rPr>
        <w:t xml:space="preserve"> definiuje się jako zakres usług udzielanych osobom z ograniczoną fizyczną, psychiczną lub poznawczą zdolnością funkcjonowania, które na skutek tych ograniczeń przez dłuższy czas stają się zależne od pomocy w podstawowych aktywnościach życia codziennego. Opiekę tę można traktować jako całokształt działań medycznych i społecznych polegających na świadczeniu długotrwałej opieki pielęgniarskiej, rehabilitacji, świadczeń terapeutycznych i usług pielęgnacyjno-opiekuńczych oraz kontynuacji leczenia farmakologicznego i dietetycznego osobom przewlekle chorym i niesamodzielnym, które nie wymagają hospitalizacji w warunkach oddziału szpitalnego. Opieka ta może być udzielana przez opiekunów formalnych (personel medyczny i pracowników pomocy społecznej) lub opiekunów nieformalnych (rodzinę, bliskich, wolontariuszy).</w:t>
      </w:r>
      <w:r w:rsidRPr="00F30219">
        <w:rPr>
          <w:rStyle w:val="Odwoanieprzypisudolnego"/>
          <w:rFonts w:ascii="Lato" w:eastAsia="Times New Roman" w:hAnsi="Lato" w:cs="Arial"/>
          <w:sz w:val="20"/>
          <w:szCs w:val="20"/>
          <w:lang w:eastAsia="pl-PL"/>
        </w:rPr>
        <w:footnoteReference w:id="5"/>
      </w:r>
    </w:p>
    <w:p w14:paraId="6C6CF43E" w14:textId="77777777" w:rsidR="00FF7373" w:rsidRPr="00F30219" w:rsidRDefault="00FF7373" w:rsidP="00F30219">
      <w:pPr>
        <w:spacing w:after="0" w:line="240" w:lineRule="auto"/>
        <w:jc w:val="both"/>
        <w:rPr>
          <w:rFonts w:ascii="Lato" w:eastAsia="Times New Roman" w:hAnsi="Lato" w:cs="Arial"/>
          <w:sz w:val="20"/>
          <w:szCs w:val="20"/>
          <w:lang w:eastAsia="pl-PL"/>
        </w:rPr>
      </w:pPr>
    </w:p>
    <w:p w14:paraId="4860D06A" w14:textId="77777777" w:rsidR="00B73CC2" w:rsidRPr="00F30219" w:rsidRDefault="00B73CC2" w:rsidP="00F30219">
      <w:pPr>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W Polsce pod pojęciem opieki długoterminowej zwykło się rozumieć korzystanie z systemu opieki zdrowotnej (co odzwierciedla również formalne nazewnictwo systemu świadczeń gwarantowanych, gdyż jedynie świadczenia pielęgnacyjne i opiekuńcze w systemie ochrony zdrowia są udzielane jako „świadczenia opieki długoterminowej”, natomiast świadczenia opiekuńcze udzielane w ramach systemu pomocy społecznej przyjmują formalnie inną nazwę, stosownie do ich rodzaju i zakresu).</w:t>
      </w:r>
    </w:p>
    <w:p w14:paraId="45284800" w14:textId="77777777" w:rsidR="00B73CC2" w:rsidRPr="00F30219" w:rsidRDefault="00B73CC2" w:rsidP="00F30219">
      <w:pPr>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u w:val="single"/>
          <w:lang w:eastAsia="pl-PL"/>
        </w:rPr>
        <w:t>Opieka długoterminowa w ramach systemu ochrony zdrowia</w:t>
      </w:r>
      <w:r w:rsidRPr="00F30219">
        <w:rPr>
          <w:rFonts w:ascii="Lato" w:eastAsia="Times New Roman" w:hAnsi="Lato" w:cs="Arial"/>
          <w:sz w:val="20"/>
          <w:szCs w:val="20"/>
          <w:lang w:eastAsia="pl-PL"/>
        </w:rPr>
        <w:t xml:space="preserve"> dedykowana jest osobom przewlekle chorym, których stan zdrowia nie wymaga leczenia w warunkach ostrego oddziału szpitalnego, natomiast powoduje występowanie poważnych deficytów w samoopiece i </w:t>
      </w:r>
      <w:proofErr w:type="spellStart"/>
      <w:r w:rsidRPr="00F30219">
        <w:rPr>
          <w:rFonts w:ascii="Lato" w:eastAsia="Times New Roman" w:hAnsi="Lato" w:cs="Arial"/>
          <w:sz w:val="20"/>
          <w:szCs w:val="20"/>
          <w:lang w:eastAsia="pl-PL"/>
        </w:rPr>
        <w:t>samopielęgnacji</w:t>
      </w:r>
      <w:proofErr w:type="spellEnd"/>
      <w:r w:rsidRPr="00F30219">
        <w:rPr>
          <w:rFonts w:ascii="Lato" w:eastAsia="Times New Roman" w:hAnsi="Lato" w:cs="Arial"/>
          <w:sz w:val="20"/>
          <w:szCs w:val="20"/>
          <w:lang w:eastAsia="pl-PL"/>
        </w:rPr>
        <w:t>, uniemożliwiając niezależne, samodzielne funkcjonowanie.</w:t>
      </w:r>
      <w:r w:rsidRPr="00F30219">
        <w:rPr>
          <w:rStyle w:val="Odwoanieprzypisudolnego"/>
          <w:rFonts w:ascii="Lato" w:eastAsia="Times New Roman" w:hAnsi="Lato" w:cs="Arial"/>
          <w:sz w:val="20"/>
          <w:szCs w:val="20"/>
          <w:lang w:eastAsia="pl-PL"/>
        </w:rPr>
        <w:footnoteReference w:id="6"/>
      </w:r>
    </w:p>
    <w:p w14:paraId="63D3455A" w14:textId="77777777" w:rsidR="00F30219" w:rsidRDefault="00F30219" w:rsidP="00F30219">
      <w:pPr>
        <w:spacing w:after="0" w:line="240" w:lineRule="auto"/>
        <w:jc w:val="both"/>
        <w:rPr>
          <w:rFonts w:ascii="Lato" w:eastAsia="Times New Roman" w:hAnsi="Lato" w:cs="Arial"/>
          <w:sz w:val="20"/>
          <w:szCs w:val="20"/>
          <w:lang w:eastAsia="pl-PL"/>
        </w:rPr>
      </w:pPr>
    </w:p>
    <w:p w14:paraId="355F0B81" w14:textId="5ABB7062" w:rsidR="00B73CC2" w:rsidRPr="00F30219" w:rsidRDefault="00B73CC2" w:rsidP="00F30219">
      <w:pPr>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lastRenderedPageBreak/>
        <w:t>Świadczenia pielęgnacyjne i opiekuńcze w ramach opieki długoterminowej są udzielane w warunkach:</w:t>
      </w:r>
    </w:p>
    <w:p w14:paraId="1A493619" w14:textId="77777777" w:rsidR="00B73CC2" w:rsidRPr="00F30219" w:rsidRDefault="00B73CC2" w:rsidP="0059185B">
      <w:pPr>
        <w:pStyle w:val="Akapitzlist"/>
        <w:numPr>
          <w:ilvl w:val="0"/>
          <w:numId w:val="204"/>
        </w:numPr>
        <w:spacing w:after="0" w:line="240" w:lineRule="auto"/>
        <w:ind w:left="567" w:hanging="283"/>
        <w:jc w:val="both"/>
        <w:rPr>
          <w:rFonts w:ascii="Lato" w:eastAsia="Times New Roman" w:hAnsi="Lato" w:cs="Arial"/>
          <w:sz w:val="20"/>
          <w:szCs w:val="20"/>
          <w:lang w:eastAsia="pl-PL"/>
        </w:rPr>
      </w:pPr>
      <w:r w:rsidRPr="00F30219">
        <w:rPr>
          <w:rFonts w:ascii="Lato" w:eastAsia="Times New Roman" w:hAnsi="Lato" w:cs="Arial"/>
          <w:b/>
          <w:bCs/>
          <w:color w:val="1F3864" w:themeColor="accent1" w:themeShade="80"/>
          <w:sz w:val="20"/>
          <w:szCs w:val="20"/>
          <w:lang w:eastAsia="pl-PL"/>
        </w:rPr>
        <w:t xml:space="preserve">stacjonarnych </w:t>
      </w:r>
      <w:r w:rsidRPr="00F30219">
        <w:rPr>
          <w:rFonts w:ascii="Lato" w:eastAsia="Times New Roman" w:hAnsi="Lato" w:cs="Arial"/>
          <w:sz w:val="20"/>
          <w:szCs w:val="20"/>
          <w:lang w:eastAsia="pl-PL"/>
        </w:rPr>
        <w:t xml:space="preserve">– w </w:t>
      </w:r>
      <w:r w:rsidRPr="00F30219">
        <w:rPr>
          <w:rFonts w:ascii="Lato" w:eastAsia="Times New Roman" w:hAnsi="Lato" w:cs="Arial"/>
          <w:b/>
          <w:bCs/>
          <w:sz w:val="20"/>
          <w:szCs w:val="20"/>
          <w:lang w:eastAsia="pl-PL"/>
        </w:rPr>
        <w:t>zakładach opiekuńczo-leczniczych</w:t>
      </w:r>
      <w:r w:rsidRPr="00F30219">
        <w:rPr>
          <w:rFonts w:ascii="Lato" w:eastAsia="Times New Roman" w:hAnsi="Lato" w:cs="Arial"/>
          <w:sz w:val="20"/>
          <w:szCs w:val="20"/>
          <w:lang w:eastAsia="pl-PL"/>
        </w:rPr>
        <w:t xml:space="preserve"> (ZOL) i </w:t>
      </w:r>
      <w:r w:rsidRPr="00F30219">
        <w:rPr>
          <w:rFonts w:ascii="Lato" w:eastAsia="Times New Roman" w:hAnsi="Lato" w:cs="Arial"/>
          <w:b/>
          <w:bCs/>
          <w:sz w:val="20"/>
          <w:szCs w:val="20"/>
          <w:lang w:eastAsia="pl-PL"/>
        </w:rPr>
        <w:t>zakładach pielęgnacyjno-opiekuńczych</w:t>
      </w:r>
      <w:r w:rsidRPr="00F30219">
        <w:rPr>
          <w:rFonts w:ascii="Lato" w:eastAsia="Times New Roman" w:hAnsi="Lato" w:cs="Arial"/>
          <w:sz w:val="20"/>
          <w:szCs w:val="20"/>
          <w:lang w:eastAsia="pl-PL"/>
        </w:rPr>
        <w:t xml:space="preserve"> (ZPO);</w:t>
      </w:r>
    </w:p>
    <w:p w14:paraId="05AD1595" w14:textId="77777777" w:rsidR="00B73CC2" w:rsidRPr="00F30219" w:rsidRDefault="00B73CC2" w:rsidP="0059185B">
      <w:pPr>
        <w:pStyle w:val="Akapitzlist"/>
        <w:numPr>
          <w:ilvl w:val="0"/>
          <w:numId w:val="204"/>
        </w:numPr>
        <w:spacing w:after="0" w:line="240" w:lineRule="auto"/>
        <w:ind w:left="568" w:hanging="284"/>
        <w:contextualSpacing w:val="0"/>
        <w:jc w:val="both"/>
        <w:rPr>
          <w:rFonts w:ascii="Lato" w:eastAsia="Times New Roman" w:hAnsi="Lato" w:cs="Arial"/>
          <w:sz w:val="20"/>
          <w:szCs w:val="20"/>
          <w:lang w:eastAsia="pl-PL"/>
        </w:rPr>
      </w:pPr>
      <w:r w:rsidRPr="00F30219">
        <w:rPr>
          <w:rFonts w:ascii="Lato" w:eastAsia="Times New Roman" w:hAnsi="Lato" w:cs="Arial"/>
          <w:b/>
          <w:bCs/>
          <w:color w:val="1F3864" w:themeColor="accent1" w:themeShade="80"/>
          <w:sz w:val="20"/>
          <w:szCs w:val="20"/>
          <w:lang w:eastAsia="pl-PL"/>
        </w:rPr>
        <w:t>domowych</w:t>
      </w:r>
      <w:r w:rsidRPr="00F30219">
        <w:rPr>
          <w:rFonts w:ascii="Lato" w:eastAsia="Times New Roman" w:hAnsi="Lato" w:cs="Arial"/>
          <w:sz w:val="20"/>
          <w:szCs w:val="20"/>
          <w:lang w:eastAsia="pl-PL"/>
        </w:rPr>
        <w:t xml:space="preserve"> – przez </w:t>
      </w:r>
      <w:r w:rsidRPr="00F30219">
        <w:rPr>
          <w:rFonts w:ascii="Lato" w:eastAsia="Times New Roman" w:hAnsi="Lato" w:cs="Arial"/>
          <w:b/>
          <w:bCs/>
          <w:sz w:val="20"/>
          <w:szCs w:val="20"/>
          <w:lang w:eastAsia="pl-PL"/>
        </w:rPr>
        <w:t>pielęgniarki opieki długoterminowej</w:t>
      </w:r>
      <w:r w:rsidRPr="00F30219">
        <w:rPr>
          <w:rFonts w:ascii="Lato" w:eastAsia="Times New Roman" w:hAnsi="Lato" w:cs="Arial"/>
          <w:sz w:val="20"/>
          <w:szCs w:val="20"/>
          <w:lang w:eastAsia="pl-PL"/>
        </w:rPr>
        <w:t xml:space="preserve"> i </w:t>
      </w:r>
      <w:r w:rsidRPr="00F30219">
        <w:rPr>
          <w:rFonts w:ascii="Lato" w:eastAsia="Times New Roman" w:hAnsi="Lato" w:cs="Arial"/>
          <w:b/>
          <w:bCs/>
          <w:sz w:val="20"/>
          <w:szCs w:val="20"/>
          <w:lang w:eastAsia="pl-PL"/>
        </w:rPr>
        <w:t>zespół długoterminowej opieki domowej</w:t>
      </w:r>
      <w:r w:rsidRPr="00F30219">
        <w:rPr>
          <w:rFonts w:ascii="Lato" w:eastAsia="Times New Roman" w:hAnsi="Lato" w:cs="Arial"/>
          <w:sz w:val="20"/>
          <w:szCs w:val="20"/>
          <w:lang w:eastAsia="pl-PL"/>
        </w:rPr>
        <w:t>.</w:t>
      </w:r>
      <w:r w:rsidRPr="00F30219">
        <w:rPr>
          <w:rStyle w:val="Odwoanieprzypisudolnego"/>
          <w:rFonts w:ascii="Lato" w:eastAsia="Times New Roman" w:hAnsi="Lato" w:cs="Arial"/>
          <w:sz w:val="20"/>
          <w:szCs w:val="20"/>
          <w:lang w:eastAsia="pl-PL"/>
        </w:rPr>
        <w:footnoteReference w:id="7"/>
      </w:r>
    </w:p>
    <w:p w14:paraId="361FD836" w14:textId="77777777" w:rsidR="00F30219" w:rsidRDefault="00F30219" w:rsidP="00F30219">
      <w:pPr>
        <w:tabs>
          <w:tab w:val="left" w:pos="5400"/>
        </w:tabs>
        <w:spacing w:after="0" w:line="240" w:lineRule="auto"/>
        <w:jc w:val="both"/>
        <w:rPr>
          <w:rFonts w:ascii="Lato" w:eastAsia="Times New Roman" w:hAnsi="Lato" w:cs="Arial"/>
          <w:sz w:val="20"/>
          <w:szCs w:val="20"/>
          <w:lang w:eastAsia="pl-PL"/>
        </w:rPr>
      </w:pPr>
      <w:bookmarkStart w:id="90" w:name="_Hlk137622446"/>
    </w:p>
    <w:p w14:paraId="38686E9F" w14:textId="5D379A8F" w:rsidR="00F30219" w:rsidRDefault="00B73CC2" w:rsidP="00F30219">
      <w:p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Zgodnie z danymi z Rejestru Podmiotów Wykonujących Działalność Leczniczą, według stanu</w:t>
      </w:r>
      <w:r w:rsidR="00FF7373">
        <w:rPr>
          <w:rFonts w:ascii="Lato" w:eastAsia="Times New Roman" w:hAnsi="Lato" w:cs="Arial"/>
          <w:sz w:val="20"/>
          <w:szCs w:val="20"/>
          <w:lang w:eastAsia="pl-PL"/>
        </w:rPr>
        <w:t xml:space="preserve"> </w:t>
      </w:r>
      <w:r w:rsidRPr="00F30219">
        <w:rPr>
          <w:rFonts w:ascii="Lato" w:eastAsia="Times New Roman" w:hAnsi="Lato" w:cs="Arial"/>
          <w:sz w:val="20"/>
          <w:szCs w:val="20"/>
          <w:lang w:eastAsia="pl-PL"/>
        </w:rPr>
        <w:t>na  31.12.2022 r. w Polsce funkcjonowało</w:t>
      </w:r>
      <w:r w:rsidRPr="00F30219">
        <w:rPr>
          <w:rFonts w:ascii="Lato" w:eastAsia="Times New Roman" w:hAnsi="Lato" w:cs="Arial"/>
          <w:b/>
          <w:bCs/>
          <w:sz w:val="20"/>
          <w:szCs w:val="20"/>
          <w:lang w:eastAsia="pl-PL"/>
        </w:rPr>
        <w:t xml:space="preserve"> 461 zakładów opiekuńczo-leczniczych i 211 pielęgnacyjno-opiekuńczych (ZOL/ZPO)</w:t>
      </w:r>
      <w:r w:rsidRPr="00F30219">
        <w:rPr>
          <w:rStyle w:val="Odwoanieprzypisudolnego"/>
          <w:rFonts w:ascii="Lato" w:eastAsia="Times New Roman" w:hAnsi="Lato" w:cs="Arial"/>
          <w:b/>
          <w:bCs/>
          <w:sz w:val="20"/>
          <w:szCs w:val="20"/>
          <w:lang w:eastAsia="pl-PL"/>
        </w:rPr>
        <w:footnoteReference w:id="8"/>
      </w:r>
      <w:r w:rsidRPr="00F30219">
        <w:rPr>
          <w:rFonts w:ascii="Lato" w:eastAsia="Times New Roman" w:hAnsi="Lato" w:cs="Arial"/>
          <w:sz w:val="20"/>
          <w:szCs w:val="20"/>
          <w:lang w:eastAsia="pl-PL"/>
        </w:rPr>
        <w:t xml:space="preserve">, dysponujących </w:t>
      </w:r>
      <w:r w:rsidRPr="00F30219">
        <w:rPr>
          <w:rFonts w:ascii="Lato" w:eastAsia="Times New Roman" w:hAnsi="Lato" w:cs="Arial"/>
          <w:b/>
          <w:bCs/>
          <w:sz w:val="20"/>
          <w:szCs w:val="20"/>
          <w:lang w:eastAsia="pl-PL"/>
        </w:rPr>
        <w:t>34 434 łóżkami</w:t>
      </w:r>
      <w:r w:rsidRPr="00F30219">
        <w:rPr>
          <w:rFonts w:ascii="Lato" w:eastAsia="Times New Roman" w:hAnsi="Lato" w:cs="Arial"/>
          <w:sz w:val="20"/>
          <w:szCs w:val="20"/>
          <w:lang w:eastAsia="pl-PL"/>
        </w:rPr>
        <w:t>.</w:t>
      </w:r>
      <w:bookmarkEnd w:id="90"/>
    </w:p>
    <w:p w14:paraId="39314D92" w14:textId="77777777" w:rsidR="00BF1DF1" w:rsidRPr="00F30219" w:rsidRDefault="00BF1DF1" w:rsidP="00F30219">
      <w:pPr>
        <w:tabs>
          <w:tab w:val="left" w:pos="5400"/>
        </w:tabs>
        <w:spacing w:after="0" w:line="240" w:lineRule="auto"/>
        <w:jc w:val="both"/>
        <w:rPr>
          <w:rFonts w:ascii="Lato" w:eastAsia="Times New Roman" w:hAnsi="Lato" w:cs="Arial"/>
          <w:sz w:val="20"/>
          <w:szCs w:val="20"/>
          <w:lang w:eastAsia="pl-PL"/>
        </w:rPr>
      </w:pPr>
    </w:p>
    <w:p w14:paraId="08CF1622" w14:textId="5125536B" w:rsidR="00B73CC2" w:rsidRDefault="00B73CC2" w:rsidP="00B73CC2">
      <w:pPr>
        <w:pStyle w:val="Legenda"/>
        <w:keepNext/>
      </w:pPr>
      <w:bookmarkStart w:id="91" w:name="_Toc142566011"/>
      <w:r>
        <w:t xml:space="preserve">Tabela </w:t>
      </w:r>
      <w:fldSimple w:instr=" SEQ Tabela \* ARABIC ">
        <w:r w:rsidR="00AA385B">
          <w:rPr>
            <w:noProof/>
          </w:rPr>
          <w:t>48</w:t>
        </w:r>
      </w:fldSimple>
      <w:r>
        <w:t xml:space="preserve"> </w:t>
      </w:r>
      <w:r w:rsidRPr="00F733A4">
        <w:t>Liczba i wartość świadczeń udzielonych w ramach opieki długoterminowej na rzecz pacjentów powyżej 60 roku życia</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4"/>
        <w:gridCol w:w="2114"/>
        <w:gridCol w:w="1231"/>
        <w:gridCol w:w="2073"/>
      </w:tblGrid>
      <w:tr w:rsidR="00B73CC2" w:rsidRPr="00BF1DF1" w14:paraId="0CD8EBFD" w14:textId="77777777" w:rsidTr="00BF1DF1">
        <w:trPr>
          <w:trHeight w:val="562"/>
        </w:trPr>
        <w:tc>
          <w:tcPr>
            <w:tcW w:w="2010" w:type="pct"/>
            <w:shd w:val="clear" w:color="auto" w:fill="8EAADB" w:themeFill="accent1" w:themeFillTint="99"/>
            <w:noWrap/>
            <w:vAlign w:val="center"/>
            <w:hideMark/>
          </w:tcPr>
          <w:p w14:paraId="5E5443FA" w14:textId="77777777" w:rsidR="00B73CC2" w:rsidRPr="00BF1DF1" w:rsidRDefault="00B73CC2" w:rsidP="00706C37">
            <w:pPr>
              <w:spacing w:after="0" w:line="240" w:lineRule="auto"/>
              <w:rPr>
                <w:rFonts w:ascii="Lato" w:eastAsia="Times New Roman" w:hAnsi="Lato" w:cs="Tahoma"/>
                <w:b/>
                <w:bCs/>
                <w:sz w:val="18"/>
                <w:szCs w:val="18"/>
                <w:lang w:eastAsia="pl-PL"/>
              </w:rPr>
            </w:pPr>
            <w:r w:rsidRPr="00BF1DF1">
              <w:rPr>
                <w:rFonts w:ascii="Lato" w:eastAsia="Times New Roman" w:hAnsi="Lato" w:cs="Tahoma"/>
                <w:b/>
                <w:bCs/>
                <w:sz w:val="18"/>
                <w:szCs w:val="18"/>
                <w:lang w:eastAsia="pl-PL"/>
              </w:rPr>
              <w:t>Tryb udzielania świadczeń</w:t>
            </w:r>
          </w:p>
        </w:tc>
        <w:tc>
          <w:tcPr>
            <w:tcW w:w="1166" w:type="pct"/>
            <w:shd w:val="clear" w:color="auto" w:fill="8EAADB" w:themeFill="accent1" w:themeFillTint="99"/>
            <w:vAlign w:val="center"/>
            <w:hideMark/>
          </w:tcPr>
          <w:p w14:paraId="61C0BA2A" w14:textId="77777777" w:rsidR="00B73CC2" w:rsidRPr="00BF1DF1" w:rsidRDefault="00B73CC2" w:rsidP="00706C37">
            <w:pPr>
              <w:spacing w:after="0" w:line="240" w:lineRule="auto"/>
              <w:jc w:val="center"/>
              <w:rPr>
                <w:rFonts w:ascii="Lato" w:eastAsia="Times New Roman" w:hAnsi="Lato" w:cs="Tahoma"/>
                <w:b/>
                <w:bCs/>
                <w:sz w:val="18"/>
                <w:szCs w:val="18"/>
                <w:lang w:eastAsia="pl-PL"/>
              </w:rPr>
            </w:pPr>
            <w:r w:rsidRPr="00BF1DF1">
              <w:rPr>
                <w:rFonts w:ascii="Lato" w:eastAsia="Times New Roman" w:hAnsi="Lato" w:cs="Tahoma"/>
                <w:b/>
                <w:bCs/>
                <w:sz w:val="18"/>
                <w:szCs w:val="18"/>
                <w:lang w:eastAsia="pl-PL"/>
              </w:rPr>
              <w:t>Liczba świadczeniodawców</w:t>
            </w:r>
          </w:p>
        </w:tc>
        <w:tc>
          <w:tcPr>
            <w:tcW w:w="679" w:type="pct"/>
            <w:shd w:val="clear" w:color="auto" w:fill="8EAADB" w:themeFill="accent1" w:themeFillTint="99"/>
            <w:vAlign w:val="center"/>
            <w:hideMark/>
          </w:tcPr>
          <w:p w14:paraId="39B2D020" w14:textId="77777777" w:rsidR="00B73CC2" w:rsidRPr="00BF1DF1" w:rsidRDefault="00B73CC2" w:rsidP="00706C37">
            <w:pPr>
              <w:spacing w:after="0" w:line="240" w:lineRule="auto"/>
              <w:jc w:val="center"/>
              <w:rPr>
                <w:rFonts w:ascii="Lato" w:eastAsia="Times New Roman" w:hAnsi="Lato" w:cs="Tahoma"/>
                <w:b/>
                <w:bCs/>
                <w:sz w:val="18"/>
                <w:szCs w:val="18"/>
                <w:lang w:eastAsia="pl-PL"/>
              </w:rPr>
            </w:pPr>
            <w:r w:rsidRPr="00BF1DF1">
              <w:rPr>
                <w:rFonts w:ascii="Lato" w:eastAsia="Times New Roman" w:hAnsi="Lato" w:cs="Tahoma"/>
                <w:b/>
                <w:bCs/>
                <w:sz w:val="18"/>
                <w:szCs w:val="18"/>
                <w:lang w:eastAsia="pl-PL"/>
              </w:rPr>
              <w:t>Liczba świadczeń</w:t>
            </w:r>
          </w:p>
        </w:tc>
        <w:tc>
          <w:tcPr>
            <w:tcW w:w="1144" w:type="pct"/>
            <w:shd w:val="clear" w:color="auto" w:fill="8EAADB" w:themeFill="accent1" w:themeFillTint="99"/>
            <w:vAlign w:val="center"/>
            <w:hideMark/>
          </w:tcPr>
          <w:p w14:paraId="1BE72090" w14:textId="77777777" w:rsidR="00B73CC2" w:rsidRPr="00BF1DF1" w:rsidRDefault="00B73CC2" w:rsidP="00706C37">
            <w:pPr>
              <w:spacing w:after="0" w:line="240" w:lineRule="auto"/>
              <w:jc w:val="center"/>
              <w:rPr>
                <w:rFonts w:ascii="Lato" w:eastAsia="Times New Roman" w:hAnsi="Lato" w:cs="Tahoma"/>
                <w:b/>
                <w:bCs/>
                <w:sz w:val="18"/>
                <w:szCs w:val="18"/>
                <w:lang w:eastAsia="pl-PL"/>
              </w:rPr>
            </w:pPr>
            <w:r w:rsidRPr="00BF1DF1">
              <w:rPr>
                <w:rFonts w:ascii="Lato" w:eastAsia="Times New Roman" w:hAnsi="Lato" w:cs="Tahoma"/>
                <w:b/>
                <w:bCs/>
                <w:sz w:val="18"/>
                <w:szCs w:val="18"/>
                <w:lang w:eastAsia="pl-PL"/>
              </w:rPr>
              <w:t>Wartość świadczeń</w:t>
            </w:r>
          </w:p>
        </w:tc>
      </w:tr>
      <w:tr w:rsidR="00B73CC2" w:rsidRPr="00BF1DF1" w14:paraId="2653EFAA" w14:textId="77777777" w:rsidTr="00BF1DF1">
        <w:trPr>
          <w:trHeight w:val="127"/>
        </w:trPr>
        <w:tc>
          <w:tcPr>
            <w:tcW w:w="2010" w:type="pct"/>
            <w:shd w:val="clear" w:color="auto" w:fill="auto"/>
            <w:noWrap/>
            <w:vAlign w:val="center"/>
            <w:hideMark/>
          </w:tcPr>
          <w:p w14:paraId="78E1FACF" w14:textId="77777777" w:rsidR="00B73CC2" w:rsidRPr="00BF1DF1" w:rsidRDefault="00B73CC2" w:rsidP="00706C37">
            <w:pPr>
              <w:spacing w:after="0" w:line="240" w:lineRule="auto"/>
              <w:rPr>
                <w:rFonts w:ascii="Lato" w:eastAsia="Times New Roman" w:hAnsi="Lato" w:cs="Tahoma"/>
                <w:sz w:val="18"/>
                <w:szCs w:val="18"/>
                <w:lang w:eastAsia="pl-PL"/>
              </w:rPr>
            </w:pPr>
            <w:r w:rsidRPr="00BF1DF1">
              <w:rPr>
                <w:rFonts w:ascii="Lato" w:eastAsia="Times New Roman" w:hAnsi="Lato" w:cs="Tahoma"/>
                <w:sz w:val="18"/>
                <w:szCs w:val="18"/>
                <w:lang w:eastAsia="pl-PL"/>
              </w:rPr>
              <w:t>Opieka długoterminowa domowa</w:t>
            </w:r>
          </w:p>
        </w:tc>
        <w:tc>
          <w:tcPr>
            <w:tcW w:w="1166" w:type="pct"/>
            <w:shd w:val="clear" w:color="auto" w:fill="auto"/>
            <w:noWrap/>
            <w:vAlign w:val="center"/>
            <w:hideMark/>
          </w:tcPr>
          <w:p w14:paraId="105FD65B"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1 073</w:t>
            </w:r>
          </w:p>
        </w:tc>
        <w:tc>
          <w:tcPr>
            <w:tcW w:w="679" w:type="pct"/>
            <w:shd w:val="clear" w:color="auto" w:fill="auto"/>
            <w:noWrap/>
            <w:vAlign w:val="center"/>
            <w:hideMark/>
          </w:tcPr>
          <w:p w14:paraId="47AF1DFA"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2 350 821</w:t>
            </w:r>
          </w:p>
        </w:tc>
        <w:tc>
          <w:tcPr>
            <w:tcW w:w="1144" w:type="pct"/>
            <w:shd w:val="clear" w:color="auto" w:fill="auto"/>
            <w:noWrap/>
            <w:vAlign w:val="center"/>
            <w:hideMark/>
          </w:tcPr>
          <w:p w14:paraId="241DCD26"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653 113 134 zł</w:t>
            </w:r>
          </w:p>
        </w:tc>
      </w:tr>
      <w:tr w:rsidR="00B73CC2" w:rsidRPr="00BF1DF1" w14:paraId="5820A9D8" w14:textId="77777777" w:rsidTr="00BF1DF1">
        <w:trPr>
          <w:trHeight w:val="58"/>
        </w:trPr>
        <w:tc>
          <w:tcPr>
            <w:tcW w:w="2010" w:type="pct"/>
            <w:shd w:val="clear" w:color="auto" w:fill="auto"/>
            <w:noWrap/>
            <w:vAlign w:val="center"/>
            <w:hideMark/>
          </w:tcPr>
          <w:p w14:paraId="7D1E23D2" w14:textId="77777777" w:rsidR="00B73CC2" w:rsidRPr="00BF1DF1" w:rsidRDefault="00B73CC2" w:rsidP="00706C37">
            <w:pPr>
              <w:spacing w:after="0" w:line="240" w:lineRule="auto"/>
              <w:rPr>
                <w:rFonts w:ascii="Lato" w:eastAsia="Times New Roman" w:hAnsi="Lato" w:cs="Tahoma"/>
                <w:sz w:val="18"/>
                <w:szCs w:val="18"/>
                <w:lang w:eastAsia="pl-PL"/>
              </w:rPr>
            </w:pPr>
            <w:r w:rsidRPr="00BF1DF1">
              <w:rPr>
                <w:rFonts w:ascii="Lato" w:eastAsia="Times New Roman" w:hAnsi="Lato" w:cs="Tahoma"/>
                <w:sz w:val="18"/>
                <w:szCs w:val="18"/>
                <w:lang w:eastAsia="pl-PL"/>
              </w:rPr>
              <w:t>Opieka długoterminowa stacjonarna</w:t>
            </w:r>
          </w:p>
        </w:tc>
        <w:tc>
          <w:tcPr>
            <w:tcW w:w="1166" w:type="pct"/>
            <w:shd w:val="clear" w:color="auto" w:fill="auto"/>
            <w:noWrap/>
            <w:vAlign w:val="center"/>
            <w:hideMark/>
          </w:tcPr>
          <w:p w14:paraId="0851320B"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441</w:t>
            </w:r>
          </w:p>
        </w:tc>
        <w:tc>
          <w:tcPr>
            <w:tcW w:w="679" w:type="pct"/>
            <w:shd w:val="clear" w:color="auto" w:fill="auto"/>
            <w:noWrap/>
            <w:vAlign w:val="center"/>
            <w:hideMark/>
          </w:tcPr>
          <w:p w14:paraId="2DF98220"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47 932</w:t>
            </w:r>
          </w:p>
        </w:tc>
        <w:tc>
          <w:tcPr>
            <w:tcW w:w="1144" w:type="pct"/>
            <w:shd w:val="clear" w:color="auto" w:fill="auto"/>
            <w:noWrap/>
            <w:vAlign w:val="center"/>
            <w:hideMark/>
          </w:tcPr>
          <w:p w14:paraId="5801CCF5" w14:textId="77777777" w:rsidR="00B73CC2" w:rsidRPr="00BF1DF1" w:rsidRDefault="00B73CC2" w:rsidP="00706C37">
            <w:pPr>
              <w:spacing w:after="0" w:line="240" w:lineRule="auto"/>
              <w:jc w:val="right"/>
              <w:rPr>
                <w:rFonts w:ascii="Lato" w:eastAsia="Times New Roman" w:hAnsi="Lato" w:cs="Tahoma"/>
                <w:sz w:val="18"/>
                <w:szCs w:val="18"/>
                <w:lang w:eastAsia="pl-PL"/>
              </w:rPr>
            </w:pPr>
            <w:r w:rsidRPr="00BF1DF1">
              <w:rPr>
                <w:rFonts w:ascii="Lato" w:eastAsia="Times New Roman" w:hAnsi="Lato" w:cs="Tahoma"/>
                <w:sz w:val="18"/>
                <w:szCs w:val="18"/>
                <w:lang w:eastAsia="pl-PL"/>
              </w:rPr>
              <w:t>1 490 387 072 zł</w:t>
            </w:r>
          </w:p>
        </w:tc>
      </w:tr>
    </w:tbl>
    <w:p w14:paraId="7820B14F" w14:textId="43F97689" w:rsidR="00B73CC2" w:rsidRDefault="00B73CC2" w:rsidP="00FF7373">
      <w:pPr>
        <w:tabs>
          <w:tab w:val="left" w:pos="5400"/>
        </w:tabs>
        <w:spacing w:after="0" w:line="240" w:lineRule="auto"/>
        <w:jc w:val="both"/>
        <w:rPr>
          <w:rFonts w:ascii="Lato" w:eastAsia="Times New Roman" w:hAnsi="Lato" w:cs="Arial"/>
          <w:sz w:val="16"/>
          <w:szCs w:val="16"/>
          <w:lang w:eastAsia="pl-PL"/>
        </w:rPr>
      </w:pPr>
      <w:r w:rsidRPr="00F30219">
        <w:rPr>
          <w:rFonts w:ascii="Lato" w:eastAsia="Times New Roman" w:hAnsi="Lato" w:cs="Arial"/>
          <w:sz w:val="16"/>
          <w:szCs w:val="16"/>
          <w:lang w:eastAsia="pl-PL"/>
        </w:rPr>
        <w:t xml:space="preserve">Źródło: Narodowy Fundusz Zdrowia </w:t>
      </w:r>
    </w:p>
    <w:p w14:paraId="54452CA7" w14:textId="77777777" w:rsidR="00FF7373" w:rsidRPr="00FF7373" w:rsidRDefault="00FF7373" w:rsidP="00FF7373">
      <w:pPr>
        <w:tabs>
          <w:tab w:val="left" w:pos="5400"/>
        </w:tabs>
        <w:spacing w:after="0" w:line="240" w:lineRule="auto"/>
        <w:jc w:val="both"/>
        <w:rPr>
          <w:rFonts w:ascii="Lato" w:eastAsia="Times New Roman" w:hAnsi="Lato" w:cs="Arial"/>
          <w:sz w:val="16"/>
          <w:szCs w:val="16"/>
          <w:lang w:eastAsia="pl-PL"/>
        </w:rPr>
      </w:pPr>
    </w:p>
    <w:p w14:paraId="193F2ED8" w14:textId="49EF0058" w:rsidR="00B73CC2" w:rsidRDefault="00B73CC2" w:rsidP="00F30219">
      <w:pPr>
        <w:spacing w:after="0" w:line="240" w:lineRule="auto"/>
        <w:jc w:val="both"/>
        <w:rPr>
          <w:rFonts w:ascii="Lato" w:hAnsi="Lato"/>
          <w:sz w:val="20"/>
          <w:szCs w:val="20"/>
        </w:rPr>
      </w:pPr>
      <w:r w:rsidRPr="00F30219">
        <w:rPr>
          <w:rFonts w:ascii="Lato" w:hAnsi="Lato"/>
          <w:sz w:val="20"/>
          <w:szCs w:val="20"/>
        </w:rPr>
        <w:t xml:space="preserve">Wartość </w:t>
      </w:r>
      <w:r w:rsidRPr="00F30219">
        <w:rPr>
          <w:rFonts w:ascii="Lato" w:hAnsi="Lato"/>
          <w:b/>
          <w:bCs/>
          <w:sz w:val="20"/>
          <w:szCs w:val="20"/>
        </w:rPr>
        <w:t>świadczeń pielęgnacyjnych i opiekuńczych w ramach opieki długoterminowej</w:t>
      </w:r>
      <w:r w:rsidRPr="00F30219">
        <w:rPr>
          <w:rFonts w:ascii="Lato" w:hAnsi="Lato"/>
          <w:sz w:val="20"/>
          <w:szCs w:val="20"/>
        </w:rPr>
        <w:t xml:space="preserve"> udzielonych w 2022 r. dla osób 60+ wyniosła w obu trybach ponad 2,1 mln zł, natomiast nakładów na koszty tych świadczeń dla całej</w:t>
      </w:r>
      <w:r w:rsidR="00F30219">
        <w:rPr>
          <w:rFonts w:ascii="Lato" w:hAnsi="Lato"/>
          <w:sz w:val="20"/>
          <w:szCs w:val="20"/>
        </w:rPr>
        <w:t xml:space="preserve"> </w:t>
      </w:r>
      <w:r w:rsidRPr="00F30219">
        <w:rPr>
          <w:rFonts w:ascii="Lato" w:hAnsi="Lato"/>
          <w:sz w:val="20"/>
          <w:szCs w:val="20"/>
        </w:rPr>
        <w:t xml:space="preserve">populacji wyniosły </w:t>
      </w:r>
      <w:r w:rsidRPr="00F30219">
        <w:rPr>
          <w:rFonts w:ascii="Lato" w:hAnsi="Lato"/>
          <w:b/>
          <w:bCs/>
          <w:sz w:val="20"/>
          <w:szCs w:val="20"/>
        </w:rPr>
        <w:t>2,8 mld</w:t>
      </w:r>
      <w:r w:rsidRPr="00F30219">
        <w:rPr>
          <w:rFonts w:ascii="Lato" w:hAnsi="Lato"/>
          <w:sz w:val="20"/>
          <w:szCs w:val="20"/>
        </w:rPr>
        <w:t xml:space="preserve"> zł (zgodnie ze wstępnym sprawozdaniem rocznym z wykonania planu finansowego NFZ na 2022 r.) </w:t>
      </w:r>
    </w:p>
    <w:p w14:paraId="4EFC8E61" w14:textId="77777777" w:rsidR="00F30219" w:rsidRPr="00F30219" w:rsidRDefault="00F30219" w:rsidP="00F30219">
      <w:pPr>
        <w:spacing w:after="0" w:line="240" w:lineRule="auto"/>
        <w:jc w:val="both"/>
        <w:rPr>
          <w:rFonts w:ascii="Lato" w:hAnsi="Lato"/>
          <w:sz w:val="20"/>
          <w:szCs w:val="20"/>
        </w:rPr>
      </w:pPr>
    </w:p>
    <w:p w14:paraId="26FB6F36" w14:textId="073BBC04" w:rsidR="00B73CC2" w:rsidRPr="00F30219" w:rsidRDefault="00B73CC2" w:rsidP="00F30219">
      <w:pPr>
        <w:spacing w:after="0" w:line="240" w:lineRule="auto"/>
        <w:jc w:val="both"/>
        <w:rPr>
          <w:rFonts w:ascii="Lato" w:hAnsi="Lato"/>
          <w:b/>
          <w:bCs/>
          <w:sz w:val="20"/>
          <w:szCs w:val="20"/>
        </w:rPr>
      </w:pPr>
      <w:r w:rsidRPr="00F30219">
        <w:rPr>
          <w:rFonts w:ascii="Lato" w:hAnsi="Lato"/>
          <w:b/>
          <w:bCs/>
          <w:sz w:val="20"/>
          <w:szCs w:val="20"/>
        </w:rPr>
        <w:t>Realizacja KPO</w:t>
      </w:r>
    </w:p>
    <w:p w14:paraId="52A25B95" w14:textId="79676A5F" w:rsidR="00B73CC2" w:rsidRDefault="00B73CC2" w:rsidP="00F30219">
      <w:pPr>
        <w:spacing w:after="0" w:line="240" w:lineRule="auto"/>
        <w:jc w:val="both"/>
        <w:rPr>
          <w:rFonts w:ascii="Lato" w:hAnsi="Lato"/>
          <w:sz w:val="20"/>
          <w:szCs w:val="20"/>
        </w:rPr>
      </w:pPr>
      <w:r w:rsidRPr="00F30219">
        <w:rPr>
          <w:rFonts w:ascii="Lato" w:hAnsi="Lato"/>
          <w:sz w:val="20"/>
          <w:szCs w:val="20"/>
        </w:rPr>
        <w:t xml:space="preserve">W 2022 r. realizowano dwa kamienie milowe (D1L oraz D2L) w ramach reformy D1.2 Krajowego Planu Odbudowy i Zwiększania Odporności: Zwiększenie efektywności, dostępności i jakości usług opieki długoterminowej świadczeniodawców opieki zdrowotnej na poziomie powiatowym. Celem tej reformy jest wspieranie przekształcenia szpitali powiatowych w jednostki lub ośrodki opieki długoterminowej i geriatrycznej. </w:t>
      </w:r>
    </w:p>
    <w:p w14:paraId="321C0E90" w14:textId="77777777" w:rsidR="00F30219" w:rsidRPr="00F30219" w:rsidRDefault="00F30219" w:rsidP="00F30219">
      <w:pPr>
        <w:spacing w:after="0" w:line="240" w:lineRule="auto"/>
        <w:jc w:val="both"/>
        <w:rPr>
          <w:rFonts w:ascii="Lato" w:hAnsi="Lato"/>
          <w:sz w:val="20"/>
          <w:szCs w:val="20"/>
        </w:rPr>
      </w:pPr>
    </w:p>
    <w:p w14:paraId="39A05638" w14:textId="0F68CA55" w:rsidR="00B73CC2" w:rsidRDefault="00B73CC2" w:rsidP="00F30219">
      <w:pPr>
        <w:spacing w:after="0" w:line="240" w:lineRule="auto"/>
        <w:jc w:val="both"/>
        <w:rPr>
          <w:rFonts w:ascii="Lato" w:hAnsi="Lato"/>
          <w:sz w:val="20"/>
          <w:szCs w:val="20"/>
        </w:rPr>
      </w:pPr>
      <w:r w:rsidRPr="00F30219">
        <w:rPr>
          <w:rFonts w:ascii="Lato" w:hAnsi="Lato"/>
          <w:sz w:val="20"/>
          <w:szCs w:val="20"/>
        </w:rPr>
        <w:t xml:space="preserve">W pierwszej kolejności opracowano przegląd w formie raportu pn. „Kompleksowy przegląd możliwości tworzenia w szpitalach powiatowych ośrodków opieki długoterminowej oraz oddziałów geriatrycznych w Polsce’, który opublikowano w Biuletynie Informacji Publicznej MZ w dn. 30 czerwca 2022 r. W dokumencie zidentyfikowano obszary funkcjonowania placówek ochrony zdrowia, które pozwalają na przekształcenie istniejących zasobów w ośrodki opieki długoterminowej lub oddziały geriatryczne. </w:t>
      </w:r>
    </w:p>
    <w:p w14:paraId="4226D042" w14:textId="77777777" w:rsidR="00F30219" w:rsidRPr="00F30219" w:rsidRDefault="00F30219" w:rsidP="00F30219">
      <w:pPr>
        <w:spacing w:after="0" w:line="240" w:lineRule="auto"/>
        <w:jc w:val="both"/>
        <w:rPr>
          <w:rFonts w:ascii="Lato" w:hAnsi="Lato"/>
          <w:sz w:val="20"/>
          <w:szCs w:val="20"/>
        </w:rPr>
      </w:pPr>
    </w:p>
    <w:p w14:paraId="6160E8BF" w14:textId="7CCED60F" w:rsidR="00B73CC2" w:rsidRDefault="00B73CC2" w:rsidP="00F30219">
      <w:pPr>
        <w:spacing w:after="0" w:line="240" w:lineRule="auto"/>
        <w:jc w:val="both"/>
        <w:rPr>
          <w:rFonts w:ascii="Lato" w:hAnsi="Lato"/>
          <w:sz w:val="20"/>
          <w:szCs w:val="20"/>
        </w:rPr>
      </w:pPr>
      <w:r w:rsidRPr="00F30219">
        <w:rPr>
          <w:rFonts w:ascii="Lato" w:hAnsi="Lato"/>
          <w:sz w:val="20"/>
          <w:szCs w:val="20"/>
        </w:rPr>
        <w:t>Problematyka, która była przedmiotem analizy podjętej w ramach realizacji kamienia milowego D1L, znalazła swoje umocowanie w akcie rangi ustawodawczej. Ustawa z dnia 16 listopada 2022 r. o zmianie ustawy o zawodach lekarza i lekarza dentysty oraz niektórych innych ustaw (Dz. U. z 2022 r. poz. 2770) weszła w życie w dniu 1 stycznia 2023 r. Przepisy dotyczące kamienia milowego D2L, tj. art. 2 pkt 17 i art. 24, weszły w życie z dniem 27 grudnia 2022 r. Art. 24 ww. ustawy szczegółowo wskazuje zakres dokumentu określającego sposób wsparcia zmian struktury organizacyjnej podmiotów leczniczych, mających na celu tworzenie zakładów leczniczych lub komórek organizacyjnych, w których będą udzielane świadczenia zdrowotne w zakresie opieki geriatrycznej i świadczeń pielęgnacyjnych i opiekuńczych w ramach opieki długoterminowej.</w:t>
      </w:r>
    </w:p>
    <w:p w14:paraId="03897ED0" w14:textId="77777777" w:rsidR="00F30219" w:rsidRPr="00F30219" w:rsidRDefault="00F30219" w:rsidP="00F30219">
      <w:pPr>
        <w:spacing w:after="0" w:line="240" w:lineRule="auto"/>
        <w:jc w:val="both"/>
        <w:rPr>
          <w:rFonts w:ascii="Lato" w:hAnsi="Lato"/>
          <w:sz w:val="20"/>
          <w:szCs w:val="20"/>
        </w:rPr>
      </w:pPr>
    </w:p>
    <w:p w14:paraId="5DCDC0C6" w14:textId="77777777" w:rsidR="00B73CC2" w:rsidRPr="00F30219" w:rsidRDefault="00B73CC2" w:rsidP="00F30219">
      <w:pPr>
        <w:spacing w:after="0" w:line="240" w:lineRule="auto"/>
        <w:jc w:val="both"/>
        <w:rPr>
          <w:rFonts w:ascii="Lato" w:hAnsi="Lato"/>
          <w:sz w:val="20"/>
          <w:szCs w:val="20"/>
        </w:rPr>
      </w:pPr>
      <w:r w:rsidRPr="00F30219">
        <w:rPr>
          <w:rFonts w:ascii="Lato" w:hAnsi="Lato"/>
          <w:sz w:val="20"/>
          <w:szCs w:val="20"/>
        </w:rPr>
        <w:t xml:space="preserve"> Dokument pn. “Zakres wsparcia zmian struktury organizacyjnej szpitali powiatowych w zakresie opieki długoterminowej lub geriatrycznej na poziomie lokalnym na terytorium Rzeczypospolitej Polskiej” przedstawia podstawowe informacje dotyczące sposobu wsparcia zmian struktury organizacyjnej szpitali powiatowych: </w:t>
      </w:r>
    </w:p>
    <w:p w14:paraId="39696085" w14:textId="77777777" w:rsidR="00B73CC2" w:rsidRPr="00F30219" w:rsidRDefault="00B73CC2" w:rsidP="0059185B">
      <w:pPr>
        <w:pStyle w:val="Akapitzlist"/>
        <w:numPr>
          <w:ilvl w:val="0"/>
          <w:numId w:val="205"/>
        </w:numPr>
        <w:spacing w:after="0" w:line="240" w:lineRule="auto"/>
        <w:jc w:val="both"/>
        <w:rPr>
          <w:rFonts w:ascii="Lato" w:hAnsi="Lato"/>
          <w:sz w:val="20"/>
          <w:szCs w:val="20"/>
        </w:rPr>
      </w:pPr>
      <w:r w:rsidRPr="00F30219">
        <w:rPr>
          <w:rFonts w:ascii="Lato" w:hAnsi="Lato"/>
          <w:sz w:val="20"/>
          <w:szCs w:val="20"/>
        </w:rPr>
        <w:t xml:space="preserve">zakres przedmiotowy dla wsparcia (dla jakich podmiotów wsparcie jest dedykowane), </w:t>
      </w:r>
    </w:p>
    <w:p w14:paraId="1AA89A12" w14:textId="77777777" w:rsidR="00B73CC2" w:rsidRPr="00F30219" w:rsidRDefault="00B73CC2" w:rsidP="0059185B">
      <w:pPr>
        <w:pStyle w:val="Akapitzlist"/>
        <w:numPr>
          <w:ilvl w:val="0"/>
          <w:numId w:val="205"/>
        </w:numPr>
        <w:spacing w:after="0" w:line="240" w:lineRule="auto"/>
        <w:jc w:val="both"/>
        <w:rPr>
          <w:rFonts w:ascii="Lato" w:hAnsi="Lato"/>
          <w:sz w:val="20"/>
          <w:szCs w:val="20"/>
        </w:rPr>
      </w:pPr>
      <w:r w:rsidRPr="00F30219">
        <w:rPr>
          <w:rFonts w:ascii="Lato" w:hAnsi="Lato"/>
          <w:sz w:val="20"/>
          <w:szCs w:val="20"/>
        </w:rPr>
        <w:t xml:space="preserve">zakres podmiotowy dla wsparcia (na jakie działania dot. zmian struktury organizacyjnej szpitali powiatowych w ramach środków pochodzących z KPO wsparcie będzie przeznaczone), </w:t>
      </w:r>
    </w:p>
    <w:p w14:paraId="512B7084" w14:textId="77777777" w:rsidR="00B73CC2" w:rsidRPr="00F30219" w:rsidRDefault="00B73CC2" w:rsidP="0059185B">
      <w:pPr>
        <w:pStyle w:val="Akapitzlist"/>
        <w:numPr>
          <w:ilvl w:val="0"/>
          <w:numId w:val="205"/>
        </w:numPr>
        <w:spacing w:after="0" w:line="240" w:lineRule="auto"/>
        <w:jc w:val="both"/>
        <w:rPr>
          <w:rFonts w:ascii="Lato" w:hAnsi="Lato"/>
          <w:sz w:val="20"/>
          <w:szCs w:val="20"/>
        </w:rPr>
      </w:pPr>
      <w:r w:rsidRPr="00F30219">
        <w:rPr>
          <w:rFonts w:ascii="Lato" w:hAnsi="Lato"/>
          <w:sz w:val="20"/>
          <w:szCs w:val="20"/>
        </w:rPr>
        <w:t>zakres czasowy (okres realizacji inwestycji objętych wsparciem),</w:t>
      </w:r>
    </w:p>
    <w:p w14:paraId="0A8858D7" w14:textId="4CD29A06" w:rsidR="00B73CC2" w:rsidRDefault="00B73CC2" w:rsidP="0059185B">
      <w:pPr>
        <w:pStyle w:val="Akapitzlist"/>
        <w:numPr>
          <w:ilvl w:val="0"/>
          <w:numId w:val="205"/>
        </w:numPr>
        <w:spacing w:after="0" w:line="240" w:lineRule="auto"/>
        <w:jc w:val="both"/>
        <w:rPr>
          <w:rFonts w:ascii="Lato" w:hAnsi="Lato"/>
          <w:sz w:val="20"/>
          <w:szCs w:val="20"/>
        </w:rPr>
      </w:pPr>
      <w:r w:rsidRPr="00F30219">
        <w:rPr>
          <w:rFonts w:ascii="Lato" w:hAnsi="Lato"/>
          <w:sz w:val="20"/>
          <w:szCs w:val="20"/>
        </w:rPr>
        <w:t xml:space="preserve">zasady finansowania przedsięwzięć. </w:t>
      </w:r>
    </w:p>
    <w:p w14:paraId="466BB551" w14:textId="77777777" w:rsidR="00F30219" w:rsidRPr="00F30219" w:rsidRDefault="00F30219" w:rsidP="00F30219">
      <w:pPr>
        <w:pStyle w:val="Akapitzlist"/>
        <w:spacing w:after="0" w:line="240" w:lineRule="auto"/>
        <w:jc w:val="both"/>
        <w:rPr>
          <w:rFonts w:ascii="Lato" w:hAnsi="Lato"/>
          <w:sz w:val="20"/>
          <w:szCs w:val="20"/>
        </w:rPr>
      </w:pPr>
    </w:p>
    <w:p w14:paraId="19A88AC5" w14:textId="25F70406" w:rsidR="00B73CC2" w:rsidRDefault="00B73CC2" w:rsidP="00F30219">
      <w:pPr>
        <w:spacing w:after="0" w:line="240" w:lineRule="auto"/>
        <w:jc w:val="both"/>
        <w:rPr>
          <w:rFonts w:ascii="Lato" w:hAnsi="Lato"/>
          <w:sz w:val="20"/>
          <w:szCs w:val="20"/>
        </w:rPr>
      </w:pPr>
      <w:r w:rsidRPr="00F30219">
        <w:rPr>
          <w:rFonts w:ascii="Lato" w:hAnsi="Lato"/>
          <w:sz w:val="20"/>
          <w:szCs w:val="20"/>
        </w:rPr>
        <w:t>Zgodnie z chronologią inwestycji w ramach reformy D1.2, w oparciu o akty prawne/dokumenty wytworzone w ramach kamienia milowego D2L, opracowany zostanie wykaz szpitali powiatowych wybranych do uzyskania dodatkowego wsparcia na utworzenie łóżek opieki długoterminowej lub geriatrycznej (kamień milowy D3L).</w:t>
      </w:r>
    </w:p>
    <w:p w14:paraId="01A636FE" w14:textId="77777777" w:rsidR="00F30219" w:rsidRPr="00F30219" w:rsidRDefault="00F30219" w:rsidP="00F30219">
      <w:pPr>
        <w:spacing w:after="0" w:line="240" w:lineRule="auto"/>
        <w:jc w:val="both"/>
        <w:rPr>
          <w:rFonts w:ascii="Lato" w:hAnsi="Lato"/>
          <w:sz w:val="20"/>
          <w:szCs w:val="20"/>
        </w:rPr>
      </w:pPr>
    </w:p>
    <w:p w14:paraId="4F164D8E" w14:textId="5D88ADE8" w:rsidR="00B73CC2" w:rsidRPr="00F30219" w:rsidRDefault="00B73CC2" w:rsidP="00F30219">
      <w:pPr>
        <w:spacing w:after="0" w:line="240" w:lineRule="auto"/>
        <w:jc w:val="both"/>
        <w:rPr>
          <w:rFonts w:ascii="Lato" w:hAnsi="Lato"/>
          <w:b/>
          <w:bCs/>
          <w:sz w:val="20"/>
          <w:szCs w:val="20"/>
        </w:rPr>
      </w:pPr>
      <w:r w:rsidRPr="00F30219">
        <w:rPr>
          <w:rFonts w:ascii="Lato" w:hAnsi="Lato"/>
          <w:b/>
          <w:bCs/>
          <w:sz w:val="20"/>
          <w:szCs w:val="20"/>
        </w:rPr>
        <w:t>Opieka paliatywna i hospicyjna</w:t>
      </w:r>
    </w:p>
    <w:p w14:paraId="416D63EE" w14:textId="51A5AC04" w:rsidR="00B73CC2" w:rsidRDefault="00B73CC2" w:rsidP="00F30219">
      <w:pPr>
        <w:spacing w:after="0" w:line="240" w:lineRule="auto"/>
        <w:jc w:val="both"/>
        <w:rPr>
          <w:rFonts w:ascii="Lato" w:hAnsi="Lato" w:cs="Arial"/>
          <w:sz w:val="20"/>
          <w:szCs w:val="20"/>
        </w:rPr>
      </w:pPr>
      <w:r w:rsidRPr="00F30219">
        <w:rPr>
          <w:rFonts w:ascii="Lato" w:hAnsi="Lato" w:cs="Arial"/>
          <w:sz w:val="20"/>
          <w:szCs w:val="20"/>
        </w:rPr>
        <w:t>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i innym objawom somatycznym oraz ich uśmierzanie, łagodzenie cierpień psychicznych, duchowych i socjalnych. Świadczenia gwarantowane przysługują świadczeniobiorcom chorującym na nieuleczalne, postępujące, ograniczające życie choroby nowotworowe i nienowotworowe.</w:t>
      </w:r>
      <w:r w:rsidRPr="00F30219">
        <w:rPr>
          <w:rStyle w:val="Odwoanieprzypisudolnego"/>
          <w:rFonts w:ascii="Lato" w:hAnsi="Lato" w:cs="Arial"/>
          <w:sz w:val="20"/>
          <w:szCs w:val="20"/>
        </w:rPr>
        <w:footnoteReference w:id="9"/>
      </w:r>
    </w:p>
    <w:p w14:paraId="5BC4FAFB" w14:textId="77777777" w:rsidR="00F30219" w:rsidRPr="00F30219" w:rsidRDefault="00F30219" w:rsidP="00F30219">
      <w:pPr>
        <w:spacing w:after="0" w:line="240" w:lineRule="auto"/>
        <w:jc w:val="both"/>
        <w:rPr>
          <w:rFonts w:ascii="Lato" w:hAnsi="Lato" w:cs="Arial"/>
          <w:sz w:val="20"/>
          <w:szCs w:val="20"/>
        </w:rPr>
      </w:pPr>
    </w:p>
    <w:p w14:paraId="1C9F6DD1" w14:textId="77777777" w:rsidR="00B73CC2" w:rsidRPr="00F30219" w:rsidRDefault="00B73CC2" w:rsidP="00F30219">
      <w:pPr>
        <w:spacing w:after="0" w:line="240" w:lineRule="auto"/>
        <w:jc w:val="both"/>
        <w:rPr>
          <w:rFonts w:ascii="Lato" w:hAnsi="Lato" w:cs="Arial"/>
          <w:sz w:val="20"/>
          <w:szCs w:val="20"/>
        </w:rPr>
      </w:pPr>
      <w:r w:rsidRPr="00F30219">
        <w:rPr>
          <w:rFonts w:ascii="Lato" w:hAnsi="Lato" w:cs="Arial"/>
          <w:sz w:val="20"/>
          <w:szCs w:val="20"/>
        </w:rPr>
        <w:t xml:space="preserve">Świadczenia gwarantowane w ramach opieki paliatywnej i hospicyjnej osobom starszym są udzielane </w:t>
      </w:r>
      <w:r w:rsidRPr="00F30219">
        <w:rPr>
          <w:rFonts w:ascii="Lato" w:hAnsi="Lato" w:cs="Arial"/>
          <w:sz w:val="20"/>
          <w:szCs w:val="20"/>
        </w:rPr>
        <w:br/>
        <w:t>w warunkach:</w:t>
      </w:r>
    </w:p>
    <w:p w14:paraId="2B44A1ED" w14:textId="77777777" w:rsidR="00B73CC2" w:rsidRPr="00F30219" w:rsidRDefault="00B73CC2" w:rsidP="0059185B">
      <w:pPr>
        <w:pStyle w:val="Akapitzlist"/>
        <w:numPr>
          <w:ilvl w:val="0"/>
          <w:numId w:val="204"/>
        </w:numPr>
        <w:spacing w:after="0" w:line="240" w:lineRule="auto"/>
        <w:ind w:left="567" w:hanging="283"/>
        <w:jc w:val="both"/>
        <w:rPr>
          <w:rFonts w:ascii="Lato" w:hAnsi="Lato" w:cs="Arial"/>
          <w:sz w:val="20"/>
          <w:szCs w:val="20"/>
        </w:rPr>
      </w:pPr>
      <w:r w:rsidRPr="00F30219">
        <w:rPr>
          <w:rFonts w:ascii="Lato" w:hAnsi="Lato" w:cs="Arial"/>
          <w:b/>
          <w:bCs/>
          <w:color w:val="1F3864" w:themeColor="accent1" w:themeShade="80"/>
          <w:sz w:val="20"/>
          <w:szCs w:val="20"/>
        </w:rPr>
        <w:t>stacjonarnych</w:t>
      </w:r>
      <w:r w:rsidRPr="00F30219">
        <w:rPr>
          <w:rFonts w:ascii="Lato" w:hAnsi="Lato" w:cs="Arial"/>
          <w:sz w:val="20"/>
          <w:szCs w:val="20"/>
        </w:rPr>
        <w:t xml:space="preserve"> – w </w:t>
      </w:r>
      <w:r w:rsidRPr="00F30219">
        <w:rPr>
          <w:rFonts w:ascii="Lato" w:hAnsi="Lato" w:cs="Arial"/>
          <w:b/>
          <w:bCs/>
          <w:sz w:val="20"/>
          <w:szCs w:val="20"/>
        </w:rPr>
        <w:t>hospicjach domowym</w:t>
      </w:r>
      <w:r w:rsidRPr="00F30219">
        <w:rPr>
          <w:rFonts w:ascii="Lato" w:hAnsi="Lato" w:cs="Arial"/>
          <w:sz w:val="20"/>
          <w:szCs w:val="20"/>
        </w:rPr>
        <w:t xml:space="preserve"> i</w:t>
      </w:r>
      <w:r w:rsidRPr="00F30219">
        <w:rPr>
          <w:rFonts w:ascii="Lato" w:hAnsi="Lato" w:cs="Arial"/>
          <w:b/>
          <w:bCs/>
          <w:sz w:val="20"/>
          <w:szCs w:val="20"/>
        </w:rPr>
        <w:t xml:space="preserve"> oddziałach medycyny paliatywnej</w:t>
      </w:r>
      <w:r w:rsidRPr="00F30219">
        <w:rPr>
          <w:rFonts w:ascii="Lato" w:hAnsi="Lato" w:cs="Arial"/>
          <w:sz w:val="20"/>
          <w:szCs w:val="20"/>
        </w:rPr>
        <w:t>;</w:t>
      </w:r>
    </w:p>
    <w:p w14:paraId="0304C104" w14:textId="77777777" w:rsidR="00B73CC2" w:rsidRPr="00F30219" w:rsidRDefault="00B73CC2" w:rsidP="0059185B">
      <w:pPr>
        <w:pStyle w:val="Akapitzlist"/>
        <w:numPr>
          <w:ilvl w:val="0"/>
          <w:numId w:val="204"/>
        </w:numPr>
        <w:spacing w:after="0" w:line="240" w:lineRule="auto"/>
        <w:ind w:left="567" w:hanging="283"/>
        <w:jc w:val="both"/>
        <w:rPr>
          <w:rFonts w:ascii="Lato" w:hAnsi="Lato" w:cs="Arial"/>
          <w:sz w:val="20"/>
          <w:szCs w:val="20"/>
        </w:rPr>
      </w:pPr>
      <w:r w:rsidRPr="00F30219">
        <w:rPr>
          <w:rFonts w:ascii="Lato" w:hAnsi="Lato" w:cs="Arial"/>
          <w:b/>
          <w:bCs/>
          <w:color w:val="1F3864" w:themeColor="accent1" w:themeShade="80"/>
          <w:sz w:val="20"/>
          <w:szCs w:val="20"/>
        </w:rPr>
        <w:t>ambulatoryjnych</w:t>
      </w:r>
      <w:r w:rsidRPr="00F30219">
        <w:rPr>
          <w:rFonts w:ascii="Lato" w:hAnsi="Lato" w:cs="Arial"/>
          <w:sz w:val="20"/>
          <w:szCs w:val="20"/>
        </w:rPr>
        <w:t xml:space="preserve"> – w </w:t>
      </w:r>
      <w:r w:rsidRPr="00F30219">
        <w:rPr>
          <w:rFonts w:ascii="Lato" w:hAnsi="Lato" w:cs="Arial"/>
          <w:b/>
          <w:bCs/>
          <w:sz w:val="20"/>
          <w:szCs w:val="20"/>
        </w:rPr>
        <w:t>poradni medycyny paliatywnej</w:t>
      </w:r>
      <w:r w:rsidRPr="00F30219">
        <w:rPr>
          <w:rFonts w:ascii="Lato" w:hAnsi="Lato" w:cs="Arial"/>
          <w:sz w:val="20"/>
          <w:szCs w:val="20"/>
        </w:rPr>
        <w:t>;</w:t>
      </w:r>
    </w:p>
    <w:p w14:paraId="686D679B" w14:textId="2EDD4DBF" w:rsidR="00B73CC2" w:rsidRDefault="00B73CC2" w:rsidP="0059185B">
      <w:pPr>
        <w:pStyle w:val="Akapitzlist"/>
        <w:numPr>
          <w:ilvl w:val="0"/>
          <w:numId w:val="204"/>
        </w:numPr>
        <w:spacing w:after="0" w:line="240" w:lineRule="auto"/>
        <w:ind w:left="568" w:hanging="284"/>
        <w:contextualSpacing w:val="0"/>
        <w:jc w:val="both"/>
        <w:rPr>
          <w:rFonts w:ascii="Lato" w:hAnsi="Lato" w:cs="Arial"/>
          <w:sz w:val="20"/>
          <w:szCs w:val="20"/>
        </w:rPr>
      </w:pPr>
      <w:r w:rsidRPr="00F30219">
        <w:rPr>
          <w:rFonts w:ascii="Lato" w:hAnsi="Lato" w:cs="Arial"/>
          <w:b/>
          <w:bCs/>
          <w:color w:val="1F3864" w:themeColor="accent1" w:themeShade="80"/>
          <w:sz w:val="20"/>
          <w:szCs w:val="20"/>
        </w:rPr>
        <w:t>domowych</w:t>
      </w:r>
      <w:r w:rsidRPr="00F30219">
        <w:rPr>
          <w:rFonts w:ascii="Lato" w:hAnsi="Lato" w:cs="Arial"/>
          <w:sz w:val="20"/>
          <w:szCs w:val="20"/>
        </w:rPr>
        <w:t xml:space="preserve"> – w ramach </w:t>
      </w:r>
      <w:r w:rsidRPr="00F30219">
        <w:rPr>
          <w:rFonts w:ascii="Lato" w:hAnsi="Lato" w:cs="Arial"/>
          <w:b/>
          <w:bCs/>
          <w:sz w:val="20"/>
          <w:szCs w:val="20"/>
        </w:rPr>
        <w:t>hospicjum domowego</w:t>
      </w:r>
      <w:r w:rsidRPr="00F30219">
        <w:rPr>
          <w:rFonts w:ascii="Lato" w:hAnsi="Lato" w:cs="Arial"/>
          <w:sz w:val="20"/>
          <w:szCs w:val="20"/>
        </w:rPr>
        <w:t xml:space="preserve"> przez zespół medycyny paliatywnej.</w:t>
      </w:r>
    </w:p>
    <w:p w14:paraId="7AFC54B3" w14:textId="77777777" w:rsidR="00F30219" w:rsidRPr="00F30219" w:rsidRDefault="00F30219" w:rsidP="00F30219">
      <w:pPr>
        <w:pStyle w:val="Akapitzlist"/>
        <w:spacing w:after="0" w:line="240" w:lineRule="auto"/>
        <w:ind w:left="568"/>
        <w:contextualSpacing w:val="0"/>
        <w:jc w:val="both"/>
        <w:rPr>
          <w:rFonts w:ascii="Lato" w:hAnsi="Lato" w:cs="Arial"/>
          <w:sz w:val="20"/>
          <w:szCs w:val="20"/>
        </w:rPr>
      </w:pPr>
    </w:p>
    <w:p w14:paraId="482C8525" w14:textId="77777777" w:rsidR="00B73CC2" w:rsidRPr="00F30219" w:rsidRDefault="00B73CC2" w:rsidP="00F30219">
      <w:pPr>
        <w:tabs>
          <w:tab w:val="left" w:pos="5400"/>
        </w:tabs>
        <w:spacing w:after="0" w:line="240" w:lineRule="auto"/>
        <w:jc w:val="both"/>
        <w:rPr>
          <w:rFonts w:ascii="Lato" w:eastAsia="Times New Roman" w:hAnsi="Lato" w:cs="Arial"/>
          <w:sz w:val="20"/>
          <w:szCs w:val="20"/>
          <w:lang w:eastAsia="pl-PL"/>
        </w:rPr>
      </w:pPr>
      <w:bookmarkStart w:id="92" w:name="_Hlk137622532"/>
      <w:r w:rsidRPr="00F30219">
        <w:rPr>
          <w:rFonts w:ascii="Lato" w:eastAsia="Times New Roman" w:hAnsi="Lato" w:cs="Arial"/>
          <w:sz w:val="20"/>
          <w:szCs w:val="20"/>
          <w:lang w:eastAsia="pl-PL"/>
        </w:rPr>
        <w:t>Zgodnie z danymi z Rejestru Podmiotów Wykonujących Działalność Leczniczą, według stanu na  31.12.2022 r. funkcjonowało:</w:t>
      </w:r>
    </w:p>
    <w:p w14:paraId="6EFCB322" w14:textId="77777777" w:rsidR="00B73CC2" w:rsidRPr="00F30219" w:rsidRDefault="00B73CC2" w:rsidP="007335F8">
      <w:pPr>
        <w:pStyle w:val="Akapitzlist"/>
        <w:numPr>
          <w:ilvl w:val="0"/>
          <w:numId w:val="225"/>
        </w:num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b/>
          <w:bCs/>
          <w:sz w:val="20"/>
          <w:szCs w:val="20"/>
          <w:lang w:eastAsia="pl-PL"/>
        </w:rPr>
        <w:t>150 hospicjów stacjonarnych</w:t>
      </w:r>
      <w:r w:rsidRPr="00F30219">
        <w:rPr>
          <w:rStyle w:val="Odwoanieprzypisudolnego"/>
          <w:rFonts w:ascii="Lato" w:eastAsia="Times New Roman" w:hAnsi="Lato" w:cs="Arial"/>
          <w:b/>
          <w:bCs/>
          <w:sz w:val="20"/>
          <w:szCs w:val="20"/>
          <w:lang w:eastAsia="pl-PL"/>
        </w:rPr>
        <w:footnoteReference w:id="10"/>
      </w:r>
      <w:r w:rsidRPr="00F30219">
        <w:rPr>
          <w:rFonts w:ascii="Lato" w:eastAsia="Times New Roman" w:hAnsi="Lato" w:cs="Arial"/>
          <w:sz w:val="20"/>
          <w:szCs w:val="20"/>
          <w:lang w:eastAsia="pl-PL"/>
        </w:rPr>
        <w:t xml:space="preserve"> z </w:t>
      </w:r>
      <w:r w:rsidRPr="00F30219">
        <w:rPr>
          <w:rFonts w:ascii="Lato" w:eastAsia="Times New Roman" w:hAnsi="Lato" w:cs="Arial"/>
          <w:b/>
          <w:bCs/>
          <w:sz w:val="20"/>
          <w:szCs w:val="20"/>
          <w:lang w:eastAsia="pl-PL"/>
        </w:rPr>
        <w:t>liczbą łóżek</w:t>
      </w:r>
      <w:r w:rsidRPr="00F30219">
        <w:rPr>
          <w:rFonts w:ascii="Lato" w:eastAsia="Times New Roman" w:hAnsi="Lato" w:cs="Arial"/>
          <w:sz w:val="20"/>
          <w:szCs w:val="20"/>
          <w:lang w:eastAsia="pl-PL"/>
        </w:rPr>
        <w:t xml:space="preserve"> wynoszącą </w:t>
      </w:r>
      <w:r w:rsidRPr="00F30219">
        <w:rPr>
          <w:rFonts w:ascii="Lato" w:eastAsia="Times New Roman" w:hAnsi="Lato" w:cs="Arial"/>
          <w:b/>
          <w:bCs/>
          <w:sz w:val="20"/>
          <w:szCs w:val="20"/>
          <w:lang w:eastAsia="pl-PL"/>
        </w:rPr>
        <w:t>3 638</w:t>
      </w:r>
      <w:r w:rsidRPr="00F30219">
        <w:rPr>
          <w:rFonts w:ascii="Lato" w:eastAsia="Times New Roman" w:hAnsi="Lato" w:cs="Arial"/>
          <w:sz w:val="20"/>
          <w:szCs w:val="20"/>
          <w:lang w:eastAsia="pl-PL"/>
        </w:rPr>
        <w:t xml:space="preserve">; </w:t>
      </w:r>
    </w:p>
    <w:bookmarkEnd w:id="92"/>
    <w:p w14:paraId="6F70FF42" w14:textId="77777777" w:rsidR="00B73CC2" w:rsidRPr="00F30219" w:rsidRDefault="00B73CC2" w:rsidP="007335F8">
      <w:pPr>
        <w:pStyle w:val="Akapitzlist"/>
        <w:numPr>
          <w:ilvl w:val="0"/>
          <w:numId w:val="225"/>
        </w:num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b/>
          <w:bCs/>
          <w:sz w:val="20"/>
          <w:szCs w:val="20"/>
          <w:lang w:eastAsia="pl-PL"/>
        </w:rPr>
        <w:t>12 dziennych ośrodków opieki paliatywnej lub hospicyjnej</w:t>
      </w:r>
      <w:r w:rsidRPr="00F30219">
        <w:rPr>
          <w:rStyle w:val="Odwoanieprzypisudolnego"/>
          <w:rFonts w:ascii="Lato" w:eastAsia="Times New Roman" w:hAnsi="Lato" w:cs="Arial"/>
          <w:b/>
          <w:bCs/>
          <w:sz w:val="20"/>
          <w:szCs w:val="20"/>
          <w:lang w:eastAsia="pl-PL"/>
        </w:rPr>
        <w:footnoteReference w:id="11"/>
      </w:r>
      <w:r w:rsidRPr="00F30219">
        <w:rPr>
          <w:rFonts w:ascii="Lato" w:eastAsia="Times New Roman" w:hAnsi="Lato" w:cs="Arial"/>
          <w:b/>
          <w:bCs/>
          <w:sz w:val="20"/>
          <w:szCs w:val="20"/>
          <w:lang w:eastAsia="pl-PL"/>
        </w:rPr>
        <w:t>;</w:t>
      </w:r>
    </w:p>
    <w:p w14:paraId="46D1DCE6" w14:textId="2C6437F7" w:rsidR="00F30219" w:rsidRPr="00FF7373" w:rsidRDefault="00B73CC2" w:rsidP="007335F8">
      <w:pPr>
        <w:pStyle w:val="Akapitzlist"/>
        <w:numPr>
          <w:ilvl w:val="0"/>
          <w:numId w:val="225"/>
        </w:num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b/>
          <w:bCs/>
          <w:sz w:val="20"/>
          <w:szCs w:val="20"/>
          <w:lang w:eastAsia="pl-PL"/>
        </w:rPr>
        <w:t>503 hospicjów domowych</w:t>
      </w:r>
      <w:r w:rsidRPr="00F30219">
        <w:rPr>
          <w:rStyle w:val="Odwoanieprzypisudolnego"/>
          <w:rFonts w:ascii="Lato" w:eastAsia="Times New Roman" w:hAnsi="Lato" w:cs="Arial"/>
          <w:b/>
          <w:bCs/>
          <w:sz w:val="20"/>
          <w:szCs w:val="20"/>
          <w:lang w:eastAsia="pl-PL"/>
        </w:rPr>
        <w:footnoteReference w:id="12"/>
      </w:r>
      <w:r w:rsidRPr="00F30219">
        <w:rPr>
          <w:rFonts w:ascii="Lato" w:eastAsia="Times New Roman" w:hAnsi="Lato" w:cs="Arial"/>
          <w:b/>
          <w:bCs/>
          <w:sz w:val="20"/>
          <w:szCs w:val="20"/>
          <w:lang w:eastAsia="pl-PL"/>
        </w:rPr>
        <w:t>.</w:t>
      </w:r>
      <w:bookmarkStart w:id="93" w:name="_Hlk73364790"/>
    </w:p>
    <w:p w14:paraId="74A5C440" w14:textId="77777777" w:rsidR="00E802F9" w:rsidRDefault="00E802F9" w:rsidP="00F30219">
      <w:pPr>
        <w:tabs>
          <w:tab w:val="left" w:pos="5400"/>
        </w:tabs>
        <w:spacing w:after="0" w:line="240" w:lineRule="auto"/>
        <w:jc w:val="both"/>
        <w:rPr>
          <w:rFonts w:ascii="Lato" w:eastAsia="Times New Roman" w:hAnsi="Lato" w:cs="Arial"/>
          <w:sz w:val="20"/>
          <w:szCs w:val="20"/>
          <w:lang w:eastAsia="pl-PL"/>
        </w:rPr>
      </w:pPr>
    </w:p>
    <w:p w14:paraId="19581397" w14:textId="08646AD6" w:rsidR="00B73CC2" w:rsidRDefault="00B73CC2" w:rsidP="00E802F9">
      <w:p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W</w:t>
      </w:r>
      <w:r w:rsidR="00F30219">
        <w:rPr>
          <w:rFonts w:ascii="Lato" w:eastAsia="Times New Roman" w:hAnsi="Lato" w:cs="Arial"/>
          <w:sz w:val="20"/>
          <w:szCs w:val="20"/>
          <w:lang w:eastAsia="pl-PL"/>
        </w:rPr>
        <w:t xml:space="preserve"> poniższej tabeli</w:t>
      </w:r>
      <w:r w:rsidRPr="00F30219">
        <w:rPr>
          <w:rFonts w:ascii="Lato" w:eastAsia="Times New Roman" w:hAnsi="Lato" w:cs="Arial"/>
          <w:sz w:val="20"/>
          <w:szCs w:val="20"/>
          <w:lang w:eastAsia="pl-PL"/>
        </w:rPr>
        <w:t xml:space="preserve"> przedstawiono dane liczbowe na temat świadczeń z zakresu opieki paliatywno-hospicyjnej udzielonych w 2022 r. pacjentom po 60 roku życia.</w:t>
      </w:r>
    </w:p>
    <w:p w14:paraId="0F633E61" w14:textId="77777777" w:rsidR="00E802F9" w:rsidRPr="00E802F9" w:rsidRDefault="00E802F9" w:rsidP="00E802F9">
      <w:pPr>
        <w:tabs>
          <w:tab w:val="left" w:pos="5400"/>
        </w:tabs>
        <w:spacing w:after="0" w:line="240" w:lineRule="auto"/>
        <w:jc w:val="both"/>
        <w:rPr>
          <w:rFonts w:ascii="Lato" w:eastAsia="Times New Roman" w:hAnsi="Lato" w:cs="Arial"/>
          <w:sz w:val="20"/>
          <w:szCs w:val="20"/>
          <w:lang w:eastAsia="pl-PL"/>
        </w:rPr>
      </w:pPr>
    </w:p>
    <w:p w14:paraId="4593044D" w14:textId="1535DEA1" w:rsidR="00E802F9" w:rsidRDefault="00E802F9" w:rsidP="00E802F9">
      <w:pPr>
        <w:pStyle w:val="Legenda"/>
        <w:keepNext/>
      </w:pPr>
      <w:bookmarkStart w:id="94" w:name="_Toc142566012"/>
      <w:r>
        <w:t xml:space="preserve">Tabela </w:t>
      </w:r>
      <w:fldSimple w:instr=" SEQ Tabela \* ARABIC ">
        <w:r w:rsidR="00AA385B">
          <w:rPr>
            <w:noProof/>
          </w:rPr>
          <w:t>49</w:t>
        </w:r>
      </w:fldSimple>
      <w:r>
        <w:t xml:space="preserve"> </w:t>
      </w:r>
      <w:r w:rsidRPr="006B5263">
        <w:t>Liczba świadczeniodawców oraz liczba i wartość rozliczonych świadczeń udzielonych osobom powyżej 60 r.ż. w rodzaju OPH w podziale na zakresy świadczeń w 2022 r.</w:t>
      </w:r>
      <w:bookmarkEnd w:id="94"/>
    </w:p>
    <w:tbl>
      <w:tblPr>
        <w:tblStyle w:val="Tabela-Siatka"/>
        <w:tblW w:w="0" w:type="auto"/>
        <w:tblLook w:val="04A0" w:firstRow="1" w:lastRow="0" w:firstColumn="1" w:lastColumn="0" w:noHBand="0" w:noVBand="1"/>
      </w:tblPr>
      <w:tblGrid>
        <w:gridCol w:w="2392"/>
        <w:gridCol w:w="2260"/>
        <w:gridCol w:w="2205"/>
        <w:gridCol w:w="2205"/>
      </w:tblGrid>
      <w:tr w:rsidR="00E802F9" w:rsidRPr="00BF1DF1" w14:paraId="6FDF8BDF" w14:textId="77777777" w:rsidTr="00BF1DF1">
        <w:trPr>
          <w:trHeight w:val="273"/>
        </w:trPr>
        <w:tc>
          <w:tcPr>
            <w:tcW w:w="2392" w:type="dxa"/>
            <w:shd w:val="clear" w:color="auto" w:fill="8EAADB" w:themeFill="accent1" w:themeFillTint="99"/>
            <w:vAlign w:val="center"/>
          </w:tcPr>
          <w:p w14:paraId="0F77CBCC" w14:textId="77777777" w:rsidR="00E802F9" w:rsidRPr="00BF1DF1" w:rsidRDefault="00E802F9" w:rsidP="00BF1DF1">
            <w:pPr>
              <w:tabs>
                <w:tab w:val="left" w:pos="1536"/>
              </w:tabs>
              <w:jc w:val="center"/>
              <w:rPr>
                <w:sz w:val="18"/>
                <w:szCs w:val="18"/>
              </w:rPr>
            </w:pPr>
            <w:r w:rsidRPr="00BF1DF1">
              <w:rPr>
                <w:rFonts w:ascii="Lato" w:eastAsia="Times New Roman" w:hAnsi="Lato" w:cs="Tahoma"/>
                <w:b/>
                <w:bCs/>
                <w:sz w:val="18"/>
                <w:szCs w:val="18"/>
                <w:lang w:eastAsia="pl-PL"/>
              </w:rPr>
              <w:t>Tryb udzielania świadczeń</w:t>
            </w:r>
          </w:p>
        </w:tc>
        <w:tc>
          <w:tcPr>
            <w:tcW w:w="2260" w:type="dxa"/>
            <w:shd w:val="clear" w:color="auto" w:fill="8EAADB" w:themeFill="accent1" w:themeFillTint="99"/>
            <w:vAlign w:val="center"/>
          </w:tcPr>
          <w:p w14:paraId="01D21141" w14:textId="77777777" w:rsidR="00E802F9" w:rsidRPr="00BF1DF1" w:rsidRDefault="00E802F9" w:rsidP="00BF1DF1">
            <w:pPr>
              <w:tabs>
                <w:tab w:val="left" w:pos="1536"/>
              </w:tabs>
              <w:jc w:val="center"/>
              <w:rPr>
                <w:sz w:val="18"/>
                <w:szCs w:val="18"/>
              </w:rPr>
            </w:pPr>
            <w:r w:rsidRPr="00BF1DF1">
              <w:rPr>
                <w:rFonts w:ascii="Lato" w:eastAsia="Times New Roman" w:hAnsi="Lato" w:cs="Tahoma"/>
                <w:b/>
                <w:bCs/>
                <w:sz w:val="18"/>
                <w:szCs w:val="18"/>
                <w:lang w:eastAsia="pl-PL"/>
              </w:rPr>
              <w:t>Liczba świadczeniodawców</w:t>
            </w:r>
          </w:p>
        </w:tc>
        <w:tc>
          <w:tcPr>
            <w:tcW w:w="2205" w:type="dxa"/>
            <w:shd w:val="clear" w:color="auto" w:fill="8EAADB" w:themeFill="accent1" w:themeFillTint="99"/>
            <w:vAlign w:val="center"/>
          </w:tcPr>
          <w:p w14:paraId="72EC8A4E" w14:textId="77777777" w:rsidR="00E802F9" w:rsidRPr="00BF1DF1" w:rsidRDefault="00E802F9" w:rsidP="00BF1DF1">
            <w:pPr>
              <w:tabs>
                <w:tab w:val="left" w:pos="1536"/>
              </w:tabs>
              <w:jc w:val="center"/>
              <w:rPr>
                <w:sz w:val="18"/>
                <w:szCs w:val="18"/>
              </w:rPr>
            </w:pPr>
            <w:r w:rsidRPr="00BF1DF1">
              <w:rPr>
                <w:rFonts w:ascii="Lato" w:eastAsia="Times New Roman" w:hAnsi="Lato" w:cs="Tahoma"/>
                <w:b/>
                <w:bCs/>
                <w:sz w:val="18"/>
                <w:szCs w:val="18"/>
                <w:lang w:eastAsia="pl-PL"/>
              </w:rPr>
              <w:t>Liczba świadczeń</w:t>
            </w:r>
          </w:p>
        </w:tc>
        <w:tc>
          <w:tcPr>
            <w:tcW w:w="2205" w:type="dxa"/>
            <w:shd w:val="clear" w:color="auto" w:fill="8EAADB" w:themeFill="accent1" w:themeFillTint="99"/>
            <w:vAlign w:val="center"/>
          </w:tcPr>
          <w:p w14:paraId="7782CC2B" w14:textId="77777777" w:rsidR="00E802F9" w:rsidRPr="00BF1DF1" w:rsidRDefault="00E802F9" w:rsidP="00BF1DF1">
            <w:pPr>
              <w:tabs>
                <w:tab w:val="left" w:pos="1536"/>
              </w:tabs>
              <w:jc w:val="center"/>
              <w:rPr>
                <w:sz w:val="18"/>
                <w:szCs w:val="18"/>
              </w:rPr>
            </w:pPr>
            <w:r w:rsidRPr="00BF1DF1">
              <w:rPr>
                <w:rFonts w:ascii="Lato" w:eastAsia="Times New Roman" w:hAnsi="Lato" w:cs="Tahoma"/>
                <w:b/>
                <w:bCs/>
                <w:sz w:val="18"/>
                <w:szCs w:val="18"/>
                <w:lang w:eastAsia="pl-PL"/>
              </w:rPr>
              <w:t>Wartość świadczeń</w:t>
            </w:r>
          </w:p>
        </w:tc>
      </w:tr>
      <w:tr w:rsidR="00E802F9" w:rsidRPr="00BF1DF1" w14:paraId="31B6DB1C" w14:textId="77777777" w:rsidTr="00BF1DF1">
        <w:trPr>
          <w:trHeight w:val="250"/>
        </w:trPr>
        <w:tc>
          <w:tcPr>
            <w:tcW w:w="2392" w:type="dxa"/>
            <w:vAlign w:val="center"/>
          </w:tcPr>
          <w:p w14:paraId="6E05ECC2"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Porada w poradni medycyny paliatywnej</w:t>
            </w:r>
          </w:p>
        </w:tc>
        <w:tc>
          <w:tcPr>
            <w:tcW w:w="2260" w:type="dxa"/>
            <w:vAlign w:val="center"/>
          </w:tcPr>
          <w:p w14:paraId="7458CD54"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144</w:t>
            </w:r>
          </w:p>
        </w:tc>
        <w:tc>
          <w:tcPr>
            <w:tcW w:w="2205" w:type="dxa"/>
            <w:vAlign w:val="center"/>
          </w:tcPr>
          <w:p w14:paraId="0DC9FD4A"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36 329</w:t>
            </w:r>
          </w:p>
        </w:tc>
        <w:tc>
          <w:tcPr>
            <w:tcW w:w="2205" w:type="dxa"/>
            <w:vAlign w:val="center"/>
          </w:tcPr>
          <w:p w14:paraId="1906B768"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2 422 158,94 zł</w:t>
            </w:r>
          </w:p>
        </w:tc>
      </w:tr>
      <w:tr w:rsidR="00E802F9" w:rsidRPr="00BF1DF1" w14:paraId="0461D493" w14:textId="77777777" w:rsidTr="00BF1DF1">
        <w:trPr>
          <w:trHeight w:val="370"/>
        </w:trPr>
        <w:tc>
          <w:tcPr>
            <w:tcW w:w="2392" w:type="dxa"/>
            <w:vAlign w:val="center"/>
          </w:tcPr>
          <w:p w14:paraId="4F00A234"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Świadczenia w hospicjum domowym</w:t>
            </w:r>
          </w:p>
        </w:tc>
        <w:tc>
          <w:tcPr>
            <w:tcW w:w="2260" w:type="dxa"/>
            <w:vAlign w:val="center"/>
          </w:tcPr>
          <w:p w14:paraId="665B8758"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404</w:t>
            </w:r>
          </w:p>
        </w:tc>
        <w:tc>
          <w:tcPr>
            <w:tcW w:w="2205" w:type="dxa"/>
            <w:vAlign w:val="center"/>
          </w:tcPr>
          <w:p w14:paraId="60642EBB"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1 008 332</w:t>
            </w:r>
          </w:p>
        </w:tc>
        <w:tc>
          <w:tcPr>
            <w:tcW w:w="2205" w:type="dxa"/>
            <w:vAlign w:val="center"/>
          </w:tcPr>
          <w:p w14:paraId="7E61AE1F"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377 454 559,77 zł</w:t>
            </w:r>
          </w:p>
        </w:tc>
      </w:tr>
      <w:tr w:rsidR="00E802F9" w:rsidRPr="00BF1DF1" w14:paraId="2CE53205" w14:textId="77777777" w:rsidTr="00E802F9">
        <w:tc>
          <w:tcPr>
            <w:tcW w:w="2392" w:type="dxa"/>
            <w:vAlign w:val="center"/>
          </w:tcPr>
          <w:p w14:paraId="3824C1E0"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Świadczenia w oddziale medycyny  paliatywnej/hospicjum stacjonarnym</w:t>
            </w:r>
          </w:p>
        </w:tc>
        <w:tc>
          <w:tcPr>
            <w:tcW w:w="2260" w:type="dxa"/>
            <w:vAlign w:val="center"/>
          </w:tcPr>
          <w:p w14:paraId="752E8A3C"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215</w:t>
            </w:r>
          </w:p>
        </w:tc>
        <w:tc>
          <w:tcPr>
            <w:tcW w:w="2205" w:type="dxa"/>
            <w:vAlign w:val="center"/>
          </w:tcPr>
          <w:p w14:paraId="157A142A"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34 991</w:t>
            </w:r>
          </w:p>
        </w:tc>
        <w:tc>
          <w:tcPr>
            <w:tcW w:w="2205" w:type="dxa"/>
            <w:vAlign w:val="center"/>
          </w:tcPr>
          <w:p w14:paraId="0764462F" w14:textId="77777777" w:rsidR="00E802F9" w:rsidRPr="00BF1DF1" w:rsidRDefault="00E802F9" w:rsidP="00CA4EC0">
            <w:pPr>
              <w:tabs>
                <w:tab w:val="left" w:pos="1536"/>
              </w:tabs>
              <w:rPr>
                <w:sz w:val="18"/>
                <w:szCs w:val="18"/>
              </w:rPr>
            </w:pPr>
            <w:r w:rsidRPr="00BF1DF1">
              <w:rPr>
                <w:rFonts w:ascii="Lato" w:eastAsia="Times New Roman" w:hAnsi="Lato" w:cs="Tahoma"/>
                <w:sz w:val="18"/>
                <w:szCs w:val="18"/>
                <w:lang w:eastAsia="pl-PL"/>
              </w:rPr>
              <w:t>463 430 605,07 zł</w:t>
            </w:r>
          </w:p>
        </w:tc>
      </w:tr>
    </w:tbl>
    <w:bookmarkEnd w:id="93"/>
    <w:p w14:paraId="32B4D4A4" w14:textId="488AFFC9" w:rsidR="00B73CC2" w:rsidRPr="00F30219" w:rsidRDefault="00B73CC2" w:rsidP="00B73CC2">
      <w:pPr>
        <w:tabs>
          <w:tab w:val="left" w:pos="5400"/>
        </w:tabs>
        <w:spacing w:before="120" w:after="120" w:line="240" w:lineRule="auto"/>
        <w:jc w:val="both"/>
        <w:rPr>
          <w:rFonts w:ascii="Lato" w:eastAsia="Times New Roman" w:hAnsi="Lato" w:cs="Arial"/>
          <w:sz w:val="16"/>
          <w:szCs w:val="16"/>
          <w:lang w:eastAsia="pl-PL"/>
        </w:rPr>
      </w:pPr>
      <w:r w:rsidRPr="00F30219">
        <w:rPr>
          <w:rFonts w:ascii="Lato" w:eastAsia="Times New Roman" w:hAnsi="Lato" w:cs="Arial"/>
          <w:sz w:val="16"/>
          <w:szCs w:val="16"/>
          <w:lang w:eastAsia="pl-PL"/>
        </w:rPr>
        <w:t xml:space="preserve">Źródło: Narodowy Fundusz Zdrowia </w:t>
      </w:r>
    </w:p>
    <w:p w14:paraId="7F17AD6F" w14:textId="1ED5B175" w:rsidR="00B73CC2" w:rsidRPr="00FF7373" w:rsidRDefault="00B73CC2" w:rsidP="00FF7373">
      <w:p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 xml:space="preserve">W 2022 r. najwięcej świadczeń udzielonych osobom po 60 </w:t>
      </w:r>
      <w:proofErr w:type="spellStart"/>
      <w:r w:rsidRPr="00F30219">
        <w:rPr>
          <w:rFonts w:ascii="Lato" w:eastAsia="Times New Roman" w:hAnsi="Lato" w:cs="Arial"/>
          <w:sz w:val="20"/>
          <w:szCs w:val="20"/>
          <w:lang w:eastAsia="pl-PL"/>
        </w:rPr>
        <w:t>r.ż</w:t>
      </w:r>
      <w:proofErr w:type="spellEnd"/>
      <w:r w:rsidRPr="00F30219">
        <w:rPr>
          <w:rFonts w:ascii="Lato" w:eastAsia="Times New Roman" w:hAnsi="Lato" w:cs="Arial"/>
          <w:sz w:val="20"/>
          <w:szCs w:val="20"/>
          <w:lang w:eastAsia="pl-PL"/>
        </w:rPr>
        <w:t>, udzielonych zostało w hospicjach domowych - ponad 1 mln świadczeń, natomiast największą wartość świadczeń miały świadczenia realizowane na oddziałach medycyny paliatywnej/ w hospicjum stacjonarnym - ponad 460 mln zł.</w:t>
      </w:r>
      <w:r w:rsidR="00FF7373">
        <w:rPr>
          <w:rFonts w:ascii="Lato" w:eastAsia="Times New Roman" w:hAnsi="Lato" w:cs="Arial"/>
          <w:sz w:val="20"/>
          <w:szCs w:val="20"/>
          <w:lang w:eastAsia="pl-PL"/>
        </w:rPr>
        <w:t xml:space="preserve"> </w:t>
      </w:r>
      <w:r w:rsidRPr="00F30219">
        <w:rPr>
          <w:rFonts w:ascii="Lato" w:hAnsi="Lato"/>
          <w:sz w:val="20"/>
          <w:szCs w:val="20"/>
        </w:rPr>
        <w:t xml:space="preserve">Zgodnie ze wstępnym sprawozdaniem rocznym z wykonania planu finansowego NFZ, nakłady na koszty świadczeń opieki zdrowotnej dla całej populacji w </w:t>
      </w:r>
      <w:r w:rsidRPr="00F30219">
        <w:rPr>
          <w:rFonts w:ascii="Lato" w:hAnsi="Lato"/>
          <w:b/>
          <w:bCs/>
          <w:sz w:val="20"/>
          <w:szCs w:val="20"/>
        </w:rPr>
        <w:t xml:space="preserve">opiece paliatywnej i hospicyjnej </w:t>
      </w:r>
      <w:r w:rsidRPr="00F30219">
        <w:rPr>
          <w:rFonts w:ascii="Lato" w:hAnsi="Lato"/>
          <w:sz w:val="20"/>
          <w:szCs w:val="20"/>
        </w:rPr>
        <w:t xml:space="preserve">wyniosły </w:t>
      </w:r>
      <w:r w:rsidRPr="00F30219">
        <w:rPr>
          <w:rFonts w:ascii="Lato" w:hAnsi="Lato"/>
          <w:b/>
          <w:bCs/>
          <w:sz w:val="20"/>
          <w:szCs w:val="20"/>
        </w:rPr>
        <w:t>1, 1 mld zł.</w:t>
      </w:r>
      <w:r w:rsidRPr="00F30219">
        <w:rPr>
          <w:rFonts w:ascii="Lato" w:hAnsi="Lato"/>
          <w:sz w:val="20"/>
          <w:szCs w:val="20"/>
        </w:rPr>
        <w:t xml:space="preserve"> </w:t>
      </w:r>
    </w:p>
    <w:p w14:paraId="1703B4E8" w14:textId="77777777" w:rsidR="00F30219" w:rsidRPr="00F30219" w:rsidRDefault="00F30219" w:rsidP="00F30219">
      <w:pPr>
        <w:spacing w:after="0" w:line="240" w:lineRule="auto"/>
        <w:jc w:val="both"/>
        <w:rPr>
          <w:rFonts w:ascii="Lato" w:hAnsi="Lato"/>
          <w:sz w:val="20"/>
          <w:szCs w:val="20"/>
        </w:rPr>
      </w:pPr>
    </w:p>
    <w:p w14:paraId="5F847AB7" w14:textId="034668D5" w:rsidR="00B73CC2" w:rsidRPr="00F30219" w:rsidRDefault="00B73CC2" w:rsidP="00F30219">
      <w:pPr>
        <w:spacing w:after="0" w:line="240" w:lineRule="auto"/>
        <w:jc w:val="both"/>
        <w:rPr>
          <w:rFonts w:ascii="Lato" w:hAnsi="Lato"/>
          <w:b/>
          <w:bCs/>
          <w:sz w:val="20"/>
          <w:szCs w:val="20"/>
        </w:rPr>
      </w:pPr>
      <w:r w:rsidRPr="00F30219">
        <w:rPr>
          <w:rFonts w:ascii="Lato" w:hAnsi="Lato"/>
          <w:b/>
          <w:bCs/>
          <w:sz w:val="20"/>
          <w:szCs w:val="20"/>
        </w:rPr>
        <w:t>Rehabilitacja</w:t>
      </w:r>
    </w:p>
    <w:p w14:paraId="3E42D89B" w14:textId="77777777" w:rsidR="00B73CC2" w:rsidRPr="00F30219" w:rsidRDefault="00B73CC2" w:rsidP="00F30219">
      <w:pPr>
        <w:tabs>
          <w:tab w:val="left" w:pos="708"/>
        </w:tabs>
        <w:spacing w:after="0" w:line="240" w:lineRule="auto"/>
        <w:jc w:val="both"/>
        <w:rPr>
          <w:rFonts w:ascii="Lato" w:eastAsia="Times New Roman" w:hAnsi="Lato" w:cs="Arial"/>
          <w:sz w:val="20"/>
          <w:szCs w:val="20"/>
          <w:lang w:eastAsia="pl-PL"/>
        </w:rPr>
      </w:pPr>
      <w:bookmarkStart w:id="95" w:name="_Hlk137622562"/>
      <w:bookmarkStart w:id="96" w:name="_Hlk137557186"/>
      <w:r w:rsidRPr="00F30219">
        <w:rPr>
          <w:rFonts w:ascii="Lato" w:eastAsia="Times New Roman" w:hAnsi="Lato" w:cs="Arial"/>
          <w:sz w:val="20"/>
          <w:szCs w:val="20"/>
          <w:lang w:eastAsia="pl-PL"/>
        </w:rPr>
        <w:lastRenderedPageBreak/>
        <w:t>Świadczenia rehabilitacyjne w ramach powszechnego ubezpieczenia finansowane i  realizowane są </w:t>
      </w:r>
      <w:r w:rsidRPr="00F30219">
        <w:rPr>
          <w:rFonts w:ascii="Lato" w:eastAsia="Times New Roman" w:hAnsi="Lato" w:cs="Arial"/>
          <w:sz w:val="20"/>
          <w:szCs w:val="20"/>
          <w:lang w:eastAsia="pl-PL"/>
        </w:rPr>
        <w:br/>
        <w:t>w oparciu o rozporządzenie Ministra Zdrowia z zakresu rehabilitacji leczniczej</w:t>
      </w:r>
      <w:r w:rsidRPr="00F30219">
        <w:rPr>
          <w:rStyle w:val="Odwoanieprzypisudolnego"/>
          <w:rFonts w:ascii="Lato" w:eastAsia="Times New Roman" w:hAnsi="Lato" w:cs="Arial"/>
          <w:sz w:val="20"/>
          <w:szCs w:val="20"/>
          <w:lang w:eastAsia="pl-PL"/>
        </w:rPr>
        <w:footnoteReference w:id="13"/>
      </w:r>
      <w:r w:rsidRPr="00F30219">
        <w:rPr>
          <w:rFonts w:ascii="Lato" w:eastAsia="Times New Roman" w:hAnsi="Lato" w:cs="Arial"/>
          <w:sz w:val="20"/>
          <w:szCs w:val="20"/>
          <w:lang w:eastAsia="pl-PL"/>
        </w:rPr>
        <w:t xml:space="preserve">. Wykaz świadczeń </w:t>
      </w:r>
      <w:r w:rsidRPr="00F30219">
        <w:rPr>
          <w:rFonts w:ascii="Lato" w:eastAsia="Times New Roman" w:hAnsi="Lato" w:cs="Arial"/>
          <w:sz w:val="20"/>
          <w:szCs w:val="20"/>
          <w:lang w:eastAsia="pl-PL"/>
        </w:rPr>
        <w:br/>
        <w:t>w nim zawartych obejmuje świadczenia ambulatoryjne i stacjonarne. W systemie nie są realizowane świadczenia dedykowane wyłącznie osobom starszym – świadczeniobiorcy, w  zależności od aktualnego stanu zdrowia, korzystają z rehabilitacji na zasadach ogólnych tj.</w:t>
      </w:r>
    </w:p>
    <w:p w14:paraId="257C810F" w14:textId="77777777" w:rsidR="00B73CC2" w:rsidRPr="00F30219" w:rsidRDefault="00B73CC2" w:rsidP="00E802F9">
      <w:pPr>
        <w:pStyle w:val="Akapitzlist"/>
        <w:numPr>
          <w:ilvl w:val="0"/>
          <w:numId w:val="206"/>
        </w:numPr>
        <w:spacing w:after="0" w:line="240" w:lineRule="auto"/>
        <w:ind w:left="360"/>
        <w:jc w:val="both"/>
        <w:rPr>
          <w:rFonts w:ascii="Lato" w:eastAsia="Times New Roman" w:hAnsi="Lato" w:cs="Arial"/>
          <w:sz w:val="20"/>
          <w:szCs w:val="20"/>
        </w:rPr>
      </w:pPr>
      <w:bookmarkStart w:id="97" w:name="_Hlk137622576"/>
      <w:bookmarkEnd w:id="95"/>
      <w:r w:rsidRPr="00F30219">
        <w:rPr>
          <w:rFonts w:ascii="Lato" w:eastAsia="Times New Roman" w:hAnsi="Lato" w:cs="Arial"/>
          <w:sz w:val="20"/>
          <w:szCs w:val="20"/>
        </w:rPr>
        <w:t>udzielanej w warunkach ambulatoryjnych:</w:t>
      </w:r>
    </w:p>
    <w:p w14:paraId="185F4378" w14:textId="77777777" w:rsidR="00E802F9" w:rsidRDefault="00B73CC2" w:rsidP="007335F8">
      <w:pPr>
        <w:pStyle w:val="Akapitzlist"/>
        <w:numPr>
          <w:ilvl w:val="0"/>
          <w:numId w:val="233"/>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lekarskiej ambulatoryjnej opieki rehabilitacyjnej,</w:t>
      </w:r>
    </w:p>
    <w:p w14:paraId="45BB6CE4" w14:textId="09DDADC0" w:rsidR="00B73CC2" w:rsidRPr="00E802F9" w:rsidRDefault="00B73CC2" w:rsidP="007335F8">
      <w:pPr>
        <w:pStyle w:val="Akapitzlist"/>
        <w:numPr>
          <w:ilvl w:val="0"/>
          <w:numId w:val="233"/>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fizjoterapii ambulatoryjnej;</w:t>
      </w:r>
    </w:p>
    <w:p w14:paraId="424D4A55" w14:textId="77777777" w:rsidR="00B73CC2" w:rsidRPr="00F30219" w:rsidRDefault="00B73CC2" w:rsidP="00E802F9">
      <w:pPr>
        <w:pStyle w:val="Akapitzlist"/>
        <w:numPr>
          <w:ilvl w:val="0"/>
          <w:numId w:val="206"/>
        </w:numPr>
        <w:spacing w:after="0" w:line="240" w:lineRule="auto"/>
        <w:ind w:left="360"/>
        <w:jc w:val="both"/>
        <w:rPr>
          <w:rFonts w:ascii="Lato" w:eastAsia="Times New Roman" w:hAnsi="Lato" w:cs="Arial"/>
          <w:sz w:val="20"/>
          <w:szCs w:val="20"/>
        </w:rPr>
      </w:pPr>
      <w:r w:rsidRPr="00F30219">
        <w:rPr>
          <w:rFonts w:ascii="Lato" w:eastAsia="Times New Roman" w:hAnsi="Lato" w:cs="Arial"/>
          <w:sz w:val="20"/>
          <w:szCs w:val="20"/>
        </w:rPr>
        <w:t>udzielanej w warunkach domowych – fizjoterapii domowej;</w:t>
      </w:r>
    </w:p>
    <w:p w14:paraId="2A29811D" w14:textId="77777777" w:rsidR="00B73CC2" w:rsidRPr="00F30219" w:rsidRDefault="00B73CC2" w:rsidP="00E802F9">
      <w:pPr>
        <w:pStyle w:val="Akapitzlist"/>
        <w:numPr>
          <w:ilvl w:val="0"/>
          <w:numId w:val="206"/>
        </w:numPr>
        <w:spacing w:after="0" w:line="240" w:lineRule="auto"/>
        <w:ind w:left="360"/>
        <w:jc w:val="both"/>
        <w:rPr>
          <w:rFonts w:ascii="Lato" w:eastAsia="Times New Roman" w:hAnsi="Lato" w:cs="Arial"/>
          <w:sz w:val="20"/>
          <w:szCs w:val="20"/>
        </w:rPr>
      </w:pPr>
      <w:r w:rsidRPr="00F30219">
        <w:rPr>
          <w:rFonts w:ascii="Lato" w:eastAsia="Times New Roman" w:hAnsi="Lato" w:cs="Arial"/>
          <w:sz w:val="20"/>
          <w:szCs w:val="20"/>
        </w:rPr>
        <w:t>udzielanej w warunkach ośrodka/oddziału dziennego:</w:t>
      </w:r>
    </w:p>
    <w:p w14:paraId="68D54472" w14:textId="77777777" w:rsidR="00E802F9" w:rsidRDefault="00B73CC2" w:rsidP="007335F8">
      <w:pPr>
        <w:pStyle w:val="Akapitzlist"/>
        <w:numPr>
          <w:ilvl w:val="0"/>
          <w:numId w:val="234"/>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ogólnoustrojowej,</w:t>
      </w:r>
    </w:p>
    <w:p w14:paraId="344679C2" w14:textId="77777777" w:rsidR="00E802F9" w:rsidRDefault="00B73CC2" w:rsidP="007335F8">
      <w:pPr>
        <w:pStyle w:val="Akapitzlist"/>
        <w:numPr>
          <w:ilvl w:val="0"/>
          <w:numId w:val="234"/>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kardiologicznej,</w:t>
      </w:r>
    </w:p>
    <w:p w14:paraId="2EF0E714" w14:textId="77777777" w:rsidR="00E802F9" w:rsidRDefault="00B73CC2" w:rsidP="007335F8">
      <w:pPr>
        <w:pStyle w:val="Akapitzlist"/>
        <w:numPr>
          <w:ilvl w:val="0"/>
          <w:numId w:val="234"/>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osób z dysfunkcją słuchu i mowy,</w:t>
      </w:r>
    </w:p>
    <w:p w14:paraId="72C4D766" w14:textId="77777777" w:rsidR="00E802F9" w:rsidRDefault="00B73CC2" w:rsidP="007335F8">
      <w:pPr>
        <w:pStyle w:val="Akapitzlist"/>
        <w:numPr>
          <w:ilvl w:val="0"/>
          <w:numId w:val="234"/>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osób z dysfunkcją wzroku,</w:t>
      </w:r>
    </w:p>
    <w:p w14:paraId="4C351CDF" w14:textId="13D1CD7C" w:rsidR="00B73CC2" w:rsidRPr="00E802F9" w:rsidRDefault="00B73CC2" w:rsidP="007335F8">
      <w:pPr>
        <w:pStyle w:val="Akapitzlist"/>
        <w:numPr>
          <w:ilvl w:val="0"/>
          <w:numId w:val="234"/>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pulmonologicznej;</w:t>
      </w:r>
    </w:p>
    <w:p w14:paraId="2CA16384" w14:textId="77777777" w:rsidR="00B73CC2" w:rsidRPr="00F30219" w:rsidRDefault="00B73CC2" w:rsidP="00E802F9">
      <w:pPr>
        <w:pStyle w:val="Akapitzlist"/>
        <w:numPr>
          <w:ilvl w:val="0"/>
          <w:numId w:val="206"/>
        </w:numPr>
        <w:spacing w:after="0" w:line="240" w:lineRule="auto"/>
        <w:ind w:left="360"/>
        <w:jc w:val="both"/>
        <w:rPr>
          <w:rFonts w:ascii="Lato" w:eastAsia="Times New Roman" w:hAnsi="Lato" w:cs="Arial"/>
          <w:sz w:val="20"/>
          <w:szCs w:val="20"/>
        </w:rPr>
      </w:pPr>
      <w:r w:rsidRPr="00F30219">
        <w:rPr>
          <w:rFonts w:ascii="Lato" w:eastAsia="Times New Roman" w:hAnsi="Lato" w:cs="Arial"/>
          <w:sz w:val="20"/>
          <w:szCs w:val="20"/>
        </w:rPr>
        <w:t>udzielanej w warunkach stacjonarnych:</w:t>
      </w:r>
    </w:p>
    <w:p w14:paraId="57D23004" w14:textId="77777777" w:rsidR="00E802F9" w:rsidRDefault="00B73CC2" w:rsidP="007335F8">
      <w:pPr>
        <w:pStyle w:val="Akapitzlist"/>
        <w:numPr>
          <w:ilvl w:val="0"/>
          <w:numId w:val="235"/>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 xml:space="preserve">rehabilitacji neurologicznej, </w:t>
      </w:r>
    </w:p>
    <w:p w14:paraId="19CD27CF" w14:textId="77777777" w:rsidR="00E802F9" w:rsidRDefault="00B73CC2" w:rsidP="007335F8">
      <w:pPr>
        <w:pStyle w:val="Akapitzlist"/>
        <w:numPr>
          <w:ilvl w:val="0"/>
          <w:numId w:val="235"/>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ogólnoustrojowej,</w:t>
      </w:r>
    </w:p>
    <w:p w14:paraId="31B5A9EE" w14:textId="77777777" w:rsidR="00E802F9" w:rsidRDefault="00B73CC2" w:rsidP="007335F8">
      <w:pPr>
        <w:pStyle w:val="Akapitzlist"/>
        <w:numPr>
          <w:ilvl w:val="0"/>
          <w:numId w:val="235"/>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rehabilitacji kardiologicznej,</w:t>
      </w:r>
    </w:p>
    <w:p w14:paraId="60F366FE" w14:textId="5979D38D" w:rsidR="00B73CC2" w:rsidRPr="00E802F9" w:rsidRDefault="00B73CC2" w:rsidP="007335F8">
      <w:pPr>
        <w:pStyle w:val="Akapitzlist"/>
        <w:numPr>
          <w:ilvl w:val="0"/>
          <w:numId w:val="235"/>
        </w:numPr>
        <w:spacing w:after="0" w:line="240" w:lineRule="auto"/>
        <w:jc w:val="both"/>
        <w:rPr>
          <w:rFonts w:ascii="Lato" w:eastAsia="Times New Roman" w:hAnsi="Lato" w:cs="Arial"/>
          <w:sz w:val="20"/>
          <w:szCs w:val="20"/>
        </w:rPr>
      </w:pPr>
      <w:r w:rsidRPr="00E802F9">
        <w:rPr>
          <w:rFonts w:ascii="Lato" w:eastAsia="Times New Roman" w:hAnsi="Lato" w:cs="Arial"/>
          <w:sz w:val="20"/>
          <w:szCs w:val="20"/>
        </w:rPr>
        <w:t xml:space="preserve">rehabilitacji pulmonologicznej. </w:t>
      </w:r>
    </w:p>
    <w:p w14:paraId="244B2BB5" w14:textId="77777777" w:rsidR="00F30219" w:rsidRPr="00F30219" w:rsidRDefault="00F30219" w:rsidP="00F30219">
      <w:pPr>
        <w:spacing w:after="0" w:line="240" w:lineRule="auto"/>
        <w:ind w:firstLine="709"/>
        <w:jc w:val="both"/>
        <w:rPr>
          <w:rFonts w:ascii="Lato" w:eastAsia="Times New Roman" w:hAnsi="Lato" w:cs="Arial"/>
          <w:sz w:val="20"/>
          <w:szCs w:val="20"/>
        </w:rPr>
      </w:pPr>
    </w:p>
    <w:p w14:paraId="781C920A" w14:textId="578BBEFF" w:rsidR="00B73CC2" w:rsidRDefault="00B73CC2" w:rsidP="00F30219">
      <w:pPr>
        <w:tabs>
          <w:tab w:val="left" w:pos="708"/>
        </w:tabs>
        <w:spacing w:after="0" w:line="240" w:lineRule="auto"/>
        <w:jc w:val="both"/>
        <w:rPr>
          <w:rFonts w:ascii="Lato" w:eastAsia="Times New Roman" w:hAnsi="Lato" w:cs="Arial"/>
          <w:sz w:val="20"/>
          <w:szCs w:val="20"/>
          <w:lang w:eastAsia="pl-PL"/>
        </w:rPr>
      </w:pPr>
      <w:bookmarkStart w:id="98" w:name="_Hlk137557345"/>
      <w:bookmarkEnd w:id="96"/>
      <w:bookmarkEnd w:id="97"/>
      <w:r w:rsidRPr="00F30219">
        <w:rPr>
          <w:rFonts w:ascii="Lato" w:eastAsia="Times New Roman" w:hAnsi="Lato" w:cs="Arial"/>
          <w:sz w:val="20"/>
          <w:szCs w:val="20"/>
          <w:lang w:eastAsia="pl-PL"/>
        </w:rPr>
        <w:t xml:space="preserve">Świadczeniami z zakresu rehabilitacji leczniczej mogą być objęci pacjenci z bardzo szerokim i  różnorodnym spektrum zaburzeń i dysfunkcji (ortopedycznych, reumatologicznych, neurologicznych, onkologicznych itp.).  W zależności od stanu zdrowia świadczeniobiorcy lekarz kierujący, wystawiając skierowanie decyduje w ramach jakiego zakresu prowadzona ma być rehabilitacja. </w:t>
      </w:r>
    </w:p>
    <w:p w14:paraId="60EB2A04" w14:textId="77777777" w:rsidR="00F30219" w:rsidRPr="00F30219" w:rsidRDefault="00F30219" w:rsidP="00F30219">
      <w:pPr>
        <w:tabs>
          <w:tab w:val="left" w:pos="708"/>
        </w:tabs>
        <w:spacing w:after="0" w:line="240" w:lineRule="auto"/>
        <w:jc w:val="both"/>
        <w:rPr>
          <w:rFonts w:ascii="Lato" w:eastAsia="Times New Roman" w:hAnsi="Lato" w:cs="Arial"/>
          <w:sz w:val="20"/>
          <w:szCs w:val="20"/>
          <w:lang w:eastAsia="pl-PL"/>
        </w:rPr>
      </w:pPr>
    </w:p>
    <w:p w14:paraId="67FFC575" w14:textId="272B1893" w:rsidR="00B73CC2" w:rsidRDefault="00B73CC2" w:rsidP="00F30219">
      <w:pPr>
        <w:spacing w:after="0" w:line="240" w:lineRule="auto"/>
        <w:jc w:val="both"/>
        <w:rPr>
          <w:rFonts w:ascii="Lato" w:eastAsia="Times New Roman" w:hAnsi="Lato" w:cs="Arial"/>
          <w:sz w:val="20"/>
          <w:szCs w:val="20"/>
        </w:rPr>
      </w:pPr>
      <w:r w:rsidRPr="00F30219">
        <w:rPr>
          <w:rFonts w:ascii="Lato" w:eastAsia="Times New Roman" w:hAnsi="Lato" w:cs="Arial"/>
          <w:sz w:val="20"/>
          <w:szCs w:val="20"/>
        </w:rPr>
        <w:t xml:space="preserve">Warto wskazać, że od 2018 r. umożliwiono osobom ze znacznym stopniem niepełnosprawności, wśród których również są osoby starsze, korzystanie ze świadczeń w sposób nieograniczony, gdyż każde świadczenie rehabilitacyjne udzielone tym osobom jest finansowane poza limitem określonym w umowie. </w:t>
      </w:r>
      <w:bookmarkStart w:id="99" w:name="_Hlk137622617"/>
      <w:bookmarkEnd w:id="98"/>
    </w:p>
    <w:p w14:paraId="3B5A945F" w14:textId="77777777" w:rsidR="00F30219" w:rsidRPr="00F30219" w:rsidRDefault="00F30219" w:rsidP="00F30219">
      <w:pPr>
        <w:spacing w:after="0" w:line="240" w:lineRule="auto"/>
        <w:jc w:val="both"/>
        <w:rPr>
          <w:rFonts w:ascii="Lato" w:eastAsia="Times New Roman" w:hAnsi="Lato" w:cs="Arial"/>
          <w:sz w:val="20"/>
          <w:szCs w:val="20"/>
        </w:rPr>
      </w:pPr>
    </w:p>
    <w:p w14:paraId="54F71B85" w14:textId="17765BEF" w:rsidR="00B73CC2" w:rsidRDefault="00B73CC2" w:rsidP="00B73CC2">
      <w:pPr>
        <w:pStyle w:val="Legenda"/>
        <w:keepNext/>
      </w:pPr>
      <w:bookmarkStart w:id="100" w:name="_Toc142566013"/>
      <w:r>
        <w:t xml:space="preserve">Tabela </w:t>
      </w:r>
      <w:fldSimple w:instr=" SEQ Tabela \* ARABIC ">
        <w:r w:rsidR="00AA385B">
          <w:rPr>
            <w:noProof/>
          </w:rPr>
          <w:t>50</w:t>
        </w:r>
      </w:fldSimple>
      <w:r>
        <w:t xml:space="preserve"> </w:t>
      </w:r>
      <w:r w:rsidRPr="006A449A">
        <w:t>Liczba i wartość świadczeń udzielonych osobom powyżej 60 r.ż. w rodzaju REH</w:t>
      </w:r>
      <w:bookmarkEnd w:id="100"/>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3793"/>
        <w:gridCol w:w="3795"/>
      </w:tblGrid>
      <w:tr w:rsidR="00B73CC2" w:rsidRPr="00BF1DF1" w14:paraId="44FA54BA" w14:textId="77777777" w:rsidTr="00BF1DF1">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8EAADB" w:themeFill="accent1" w:themeFillTint="99"/>
            <w:hideMark/>
          </w:tcPr>
          <w:p w14:paraId="5A46FC55" w14:textId="77777777" w:rsidR="00B73CC2" w:rsidRPr="00BF1DF1" w:rsidRDefault="00B73CC2" w:rsidP="00BF1DF1">
            <w:pPr>
              <w:spacing w:before="0" w:line="300" w:lineRule="auto"/>
              <w:jc w:val="center"/>
              <w:rPr>
                <w:rFonts w:ascii="Lato" w:eastAsia="Times New Roman" w:hAnsi="Lato" w:cs="Arial"/>
                <w:color w:val="auto"/>
                <w:sz w:val="18"/>
                <w:szCs w:val="18"/>
                <w:lang w:eastAsia="pl-PL"/>
              </w:rPr>
            </w:pPr>
            <w:bookmarkStart w:id="101" w:name="_Hlk43795032"/>
            <w:bookmarkEnd w:id="99"/>
            <w:r w:rsidRPr="00BF1DF1">
              <w:rPr>
                <w:rFonts w:ascii="Lato" w:eastAsia="Times New Roman" w:hAnsi="Lato" w:cs="Arial"/>
                <w:color w:val="auto"/>
                <w:kern w:val="24"/>
                <w:sz w:val="18"/>
                <w:szCs w:val="18"/>
                <w:lang w:eastAsia="pl-PL"/>
              </w:rPr>
              <w:t>Rok</w:t>
            </w:r>
          </w:p>
        </w:tc>
        <w:tc>
          <w:tcPr>
            <w:tcW w:w="2093" w:type="pct"/>
            <w:tcBorders>
              <w:top w:val="none" w:sz="0" w:space="0" w:color="auto"/>
              <w:left w:val="none" w:sz="0" w:space="0" w:color="auto"/>
              <w:right w:val="none" w:sz="0" w:space="0" w:color="auto"/>
            </w:tcBorders>
            <w:shd w:val="clear" w:color="auto" w:fill="8EAADB" w:themeFill="accent1" w:themeFillTint="99"/>
            <w:hideMark/>
          </w:tcPr>
          <w:p w14:paraId="704B391E" w14:textId="77777777" w:rsidR="00B73CC2" w:rsidRPr="00BF1DF1" w:rsidRDefault="00B73CC2" w:rsidP="00BF1DF1">
            <w:pPr>
              <w:spacing w:before="0" w:line="300"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Liczba  świadczeń</w:t>
            </w:r>
          </w:p>
        </w:tc>
        <w:tc>
          <w:tcPr>
            <w:tcW w:w="2094" w:type="pct"/>
            <w:tcBorders>
              <w:top w:val="none" w:sz="0" w:space="0" w:color="auto"/>
              <w:left w:val="none" w:sz="0" w:space="0" w:color="auto"/>
              <w:right w:val="none" w:sz="0" w:space="0" w:color="auto"/>
            </w:tcBorders>
            <w:shd w:val="clear" w:color="auto" w:fill="8EAADB" w:themeFill="accent1" w:themeFillTint="99"/>
            <w:hideMark/>
          </w:tcPr>
          <w:p w14:paraId="10DB37DA" w14:textId="77777777" w:rsidR="00B73CC2" w:rsidRPr="00BF1DF1" w:rsidRDefault="00B73CC2" w:rsidP="00BF1DF1">
            <w:pPr>
              <w:spacing w:before="0" w:line="300"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Wartość świadczeń (w zł)</w:t>
            </w:r>
          </w:p>
        </w:tc>
      </w:tr>
      <w:tr w:rsidR="00B73CC2" w:rsidRPr="00BF1DF1" w14:paraId="20D431C5" w14:textId="77777777" w:rsidTr="00BF1DF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13" w:type="pct"/>
            <w:tcBorders>
              <w:left w:val="none" w:sz="0" w:space="0" w:color="auto"/>
              <w:bottom w:val="none" w:sz="0" w:space="0" w:color="auto"/>
            </w:tcBorders>
            <w:shd w:val="clear" w:color="auto" w:fill="auto"/>
            <w:hideMark/>
          </w:tcPr>
          <w:p w14:paraId="529135B1" w14:textId="77777777" w:rsidR="00B73CC2" w:rsidRPr="00BF1DF1" w:rsidRDefault="00B73CC2" w:rsidP="00BF1DF1">
            <w:pPr>
              <w:spacing w:before="0" w:line="300" w:lineRule="auto"/>
              <w:jc w:val="center"/>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2022</w:t>
            </w:r>
          </w:p>
        </w:tc>
        <w:tc>
          <w:tcPr>
            <w:tcW w:w="2093" w:type="pct"/>
            <w:shd w:val="clear" w:color="auto" w:fill="auto"/>
          </w:tcPr>
          <w:p w14:paraId="27C5A424" w14:textId="77777777" w:rsidR="00B73CC2" w:rsidRPr="00BF1DF1" w:rsidRDefault="00B73CC2" w:rsidP="00BF1DF1">
            <w:pPr>
              <w:spacing w:before="0" w:line="300" w:lineRule="auto"/>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24 434 927</w:t>
            </w:r>
          </w:p>
        </w:tc>
        <w:tc>
          <w:tcPr>
            <w:tcW w:w="2094" w:type="pct"/>
            <w:shd w:val="clear" w:color="auto" w:fill="auto"/>
          </w:tcPr>
          <w:p w14:paraId="6436AE93" w14:textId="77777777" w:rsidR="00B73CC2" w:rsidRPr="00BF1DF1" w:rsidRDefault="00B73CC2" w:rsidP="00BF1DF1">
            <w:pPr>
              <w:spacing w:before="0" w:line="300" w:lineRule="auto"/>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2 123 401 080,67 zł</w:t>
            </w:r>
          </w:p>
        </w:tc>
      </w:tr>
    </w:tbl>
    <w:bookmarkEnd w:id="101"/>
    <w:p w14:paraId="0905BCD4" w14:textId="2B9DF4EC" w:rsidR="00B73CC2" w:rsidRPr="00F30219" w:rsidRDefault="00B73CC2" w:rsidP="00F30219">
      <w:pPr>
        <w:spacing w:after="0" w:line="360" w:lineRule="auto"/>
        <w:rPr>
          <w:rFonts w:ascii="Lato" w:eastAsia="Calibri" w:hAnsi="Lato" w:cs="Arial"/>
          <w:sz w:val="16"/>
          <w:szCs w:val="16"/>
        </w:rPr>
      </w:pPr>
      <w:r w:rsidRPr="00F30219">
        <w:rPr>
          <w:rFonts w:ascii="Lato" w:eastAsia="Calibri" w:hAnsi="Lato" w:cs="Arial"/>
          <w:sz w:val="16"/>
          <w:szCs w:val="16"/>
        </w:rPr>
        <w:t>Źródło: Ministerstwo Zdrowia</w:t>
      </w:r>
    </w:p>
    <w:p w14:paraId="4C1B0797" w14:textId="15A93D3D" w:rsidR="00B73CC2" w:rsidRPr="00F30219" w:rsidRDefault="00B73CC2" w:rsidP="00F30219">
      <w:pPr>
        <w:spacing w:after="0" w:line="240" w:lineRule="auto"/>
        <w:jc w:val="both"/>
        <w:rPr>
          <w:rFonts w:ascii="Lato" w:hAnsi="Lato"/>
          <w:b/>
          <w:bCs/>
          <w:sz w:val="20"/>
          <w:szCs w:val="20"/>
        </w:rPr>
      </w:pPr>
      <w:r w:rsidRPr="00F30219">
        <w:rPr>
          <w:rFonts w:ascii="Lato" w:eastAsia="Calibri" w:hAnsi="Lato" w:cs="Arial"/>
          <w:sz w:val="20"/>
          <w:szCs w:val="20"/>
        </w:rPr>
        <w:t xml:space="preserve">W 2022 r. osobom powyżej 60 </w:t>
      </w:r>
      <w:proofErr w:type="spellStart"/>
      <w:r w:rsidRPr="00F30219">
        <w:rPr>
          <w:rFonts w:ascii="Lato" w:eastAsia="Calibri" w:hAnsi="Lato" w:cs="Arial"/>
          <w:sz w:val="20"/>
          <w:szCs w:val="20"/>
        </w:rPr>
        <w:t>r.ż</w:t>
      </w:r>
      <w:proofErr w:type="spellEnd"/>
      <w:r w:rsidRPr="00F30219">
        <w:rPr>
          <w:rFonts w:ascii="Lato" w:eastAsia="Calibri" w:hAnsi="Lato" w:cs="Arial"/>
          <w:sz w:val="20"/>
          <w:szCs w:val="20"/>
        </w:rPr>
        <w:t xml:space="preserve"> udzielono ponad 24 mln świadczeń rehabilitacyjnych o wartości powyżej 2 mld zł, w świetle danych o n</w:t>
      </w:r>
      <w:r w:rsidRPr="00F30219">
        <w:rPr>
          <w:rFonts w:ascii="Lato" w:hAnsi="Lato"/>
          <w:sz w:val="20"/>
          <w:szCs w:val="20"/>
        </w:rPr>
        <w:t xml:space="preserve">akładach Narodowego Funduszu Zdrowia w 2022 r. na świadczenia opieki zdrowotnej w zakresie </w:t>
      </w:r>
      <w:r w:rsidRPr="00F30219">
        <w:rPr>
          <w:rFonts w:ascii="Lato" w:hAnsi="Lato"/>
          <w:b/>
          <w:bCs/>
          <w:sz w:val="20"/>
          <w:szCs w:val="20"/>
        </w:rPr>
        <w:t>rehabilitacji leczniczej</w:t>
      </w:r>
      <w:r w:rsidRPr="00F30219">
        <w:rPr>
          <w:rFonts w:ascii="Lato" w:hAnsi="Lato"/>
          <w:sz w:val="20"/>
          <w:szCs w:val="20"/>
        </w:rPr>
        <w:t xml:space="preserve"> (zgodnie ze wstępnym sprawozdaniem rocznym z wykonania planu finansowego na 2022 r.) w wysokości </w:t>
      </w:r>
      <w:r w:rsidRPr="00F30219">
        <w:rPr>
          <w:rFonts w:ascii="Lato" w:hAnsi="Lato"/>
          <w:b/>
          <w:bCs/>
          <w:sz w:val="20"/>
          <w:szCs w:val="20"/>
        </w:rPr>
        <w:t>5 296 066,58zł.</w:t>
      </w:r>
      <w:bookmarkStart w:id="102" w:name="_Hlk73364881"/>
    </w:p>
    <w:p w14:paraId="43FF0AF1" w14:textId="77777777" w:rsidR="00B73CC2" w:rsidRPr="004A6FEB" w:rsidRDefault="00B73CC2" w:rsidP="00B73CC2">
      <w:pPr>
        <w:tabs>
          <w:tab w:val="left" w:pos="5400"/>
        </w:tabs>
        <w:spacing w:after="0" w:line="240" w:lineRule="auto"/>
        <w:jc w:val="both"/>
        <w:rPr>
          <w:rFonts w:ascii="Lato" w:eastAsia="Times New Roman" w:hAnsi="Lato" w:cs="Arial"/>
          <w:lang w:eastAsia="pl-PL"/>
        </w:rPr>
      </w:pPr>
    </w:p>
    <w:p w14:paraId="41E6DDB8" w14:textId="7FDB6221" w:rsidR="00B73CC2" w:rsidRDefault="00B73CC2" w:rsidP="00B73CC2">
      <w:pPr>
        <w:pStyle w:val="Legenda"/>
        <w:keepNext/>
      </w:pPr>
      <w:bookmarkStart w:id="103" w:name="_Toc142566014"/>
      <w:r>
        <w:t xml:space="preserve">Tabela </w:t>
      </w:r>
      <w:fldSimple w:instr=" SEQ Tabela \* ARABIC ">
        <w:r w:rsidR="00AA385B">
          <w:rPr>
            <w:noProof/>
          </w:rPr>
          <w:t>51</w:t>
        </w:r>
      </w:fldSimple>
      <w:r>
        <w:t xml:space="preserve"> </w:t>
      </w:r>
      <w:r w:rsidRPr="00992BC6">
        <w:t>Najczęstsze rozpoznania ICD:10 w 2022 r. wśród osób powyżej 60 r.ż., którym udzielone zostały świadczenia w rodzaju rehabilitacja lecznicza (liczba i wartość rozliczonych świadczeń)</w:t>
      </w:r>
      <w:bookmarkEnd w:id="103"/>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4917"/>
        <w:gridCol w:w="1446"/>
        <w:gridCol w:w="1889"/>
      </w:tblGrid>
      <w:tr w:rsidR="00B73CC2" w:rsidRPr="00BF1DF1" w14:paraId="75953E3E" w14:textId="77777777" w:rsidTr="00BF1DF1">
        <w:trPr>
          <w:cnfStyle w:val="100000000000" w:firstRow="1" w:lastRow="0" w:firstColumn="0" w:lastColumn="0" w:oddVBand="0" w:evenVBand="0" w:oddHBand="0"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447" w:type="pct"/>
            <w:tcBorders>
              <w:top w:val="none" w:sz="0" w:space="0" w:color="auto"/>
              <w:left w:val="none" w:sz="0" w:space="0" w:color="auto"/>
              <w:right w:val="none" w:sz="0" w:space="0" w:color="auto"/>
            </w:tcBorders>
            <w:shd w:val="clear" w:color="auto" w:fill="8EAADB" w:themeFill="accent1" w:themeFillTint="99"/>
            <w:hideMark/>
          </w:tcPr>
          <w:p w14:paraId="2A538649" w14:textId="77777777" w:rsidR="00B73CC2" w:rsidRPr="00BF1DF1" w:rsidRDefault="00B73CC2" w:rsidP="00BF1DF1">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Rok</w:t>
            </w:r>
          </w:p>
        </w:tc>
        <w:tc>
          <w:tcPr>
            <w:tcW w:w="2713" w:type="pct"/>
            <w:tcBorders>
              <w:top w:val="none" w:sz="0" w:space="0" w:color="auto"/>
              <w:left w:val="none" w:sz="0" w:space="0" w:color="auto"/>
              <w:right w:val="none" w:sz="0" w:space="0" w:color="auto"/>
            </w:tcBorders>
            <w:shd w:val="clear" w:color="auto" w:fill="8EAADB" w:themeFill="accent1" w:themeFillTint="99"/>
            <w:hideMark/>
          </w:tcPr>
          <w:p w14:paraId="615363FA" w14:textId="77777777" w:rsidR="00B73CC2" w:rsidRPr="00BF1DF1" w:rsidRDefault="00B73CC2"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Rozpoznanie główne ICD10</w:t>
            </w:r>
          </w:p>
        </w:tc>
        <w:tc>
          <w:tcPr>
            <w:tcW w:w="798" w:type="pct"/>
            <w:tcBorders>
              <w:top w:val="none" w:sz="0" w:space="0" w:color="auto"/>
              <w:left w:val="none" w:sz="0" w:space="0" w:color="auto"/>
              <w:right w:val="none" w:sz="0" w:space="0" w:color="auto"/>
            </w:tcBorders>
            <w:shd w:val="clear" w:color="auto" w:fill="8EAADB" w:themeFill="accent1" w:themeFillTint="99"/>
            <w:hideMark/>
          </w:tcPr>
          <w:p w14:paraId="572F5645" w14:textId="77777777" w:rsidR="00B73CC2" w:rsidRPr="00BF1DF1" w:rsidRDefault="00B73CC2"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Liczba  świadczeń</w:t>
            </w:r>
          </w:p>
        </w:tc>
        <w:tc>
          <w:tcPr>
            <w:tcW w:w="1042" w:type="pct"/>
            <w:tcBorders>
              <w:top w:val="none" w:sz="0" w:space="0" w:color="auto"/>
              <w:left w:val="none" w:sz="0" w:space="0" w:color="auto"/>
              <w:right w:val="none" w:sz="0" w:space="0" w:color="auto"/>
            </w:tcBorders>
            <w:shd w:val="clear" w:color="auto" w:fill="8EAADB" w:themeFill="accent1" w:themeFillTint="99"/>
            <w:hideMark/>
          </w:tcPr>
          <w:p w14:paraId="4E0D76D9" w14:textId="77777777" w:rsidR="00B73CC2" w:rsidRPr="00BF1DF1" w:rsidRDefault="00B73CC2"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Wartość rozliczonych świadczeń (w zł)</w:t>
            </w:r>
          </w:p>
        </w:tc>
      </w:tr>
      <w:tr w:rsidR="00B73CC2" w:rsidRPr="00BF1DF1" w14:paraId="1BF1BE60" w14:textId="77777777" w:rsidTr="00B73CC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47" w:type="pct"/>
            <w:vMerge w:val="restart"/>
            <w:tcBorders>
              <w:left w:val="none" w:sz="0" w:space="0" w:color="auto"/>
            </w:tcBorders>
            <w:shd w:val="clear" w:color="auto" w:fill="auto"/>
            <w:hideMark/>
          </w:tcPr>
          <w:p w14:paraId="7981C170" w14:textId="77777777" w:rsidR="00B73CC2" w:rsidRPr="00BF1DF1" w:rsidRDefault="00B73CC2" w:rsidP="00BF1DF1">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2022</w:t>
            </w:r>
          </w:p>
        </w:tc>
        <w:tc>
          <w:tcPr>
            <w:tcW w:w="2713" w:type="pct"/>
            <w:shd w:val="clear" w:color="auto" w:fill="auto"/>
            <w:hideMark/>
          </w:tcPr>
          <w:p w14:paraId="01E6DBB4" w14:textId="74EC060E" w:rsidR="00B73CC2" w:rsidRPr="00BF1DF1" w:rsidRDefault="005075EC" w:rsidP="00BF1DF1">
            <w:pPr>
              <w:spacing w:before="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kern w:val="24"/>
                <w:sz w:val="18"/>
                <w:szCs w:val="18"/>
                <w:lang w:eastAsia="pl-PL"/>
              </w:rPr>
              <w:t>M47 - zmiany zwyrodnieniowe kręgosłupa</w:t>
            </w:r>
          </w:p>
        </w:tc>
        <w:tc>
          <w:tcPr>
            <w:tcW w:w="798" w:type="pct"/>
            <w:shd w:val="clear" w:color="auto" w:fill="auto"/>
          </w:tcPr>
          <w:p w14:paraId="10873F2B" w14:textId="77777777" w:rsidR="00B73CC2" w:rsidRPr="00BF1DF1" w:rsidRDefault="00B73CC2"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5 155 411</w:t>
            </w:r>
          </w:p>
        </w:tc>
        <w:tc>
          <w:tcPr>
            <w:tcW w:w="1042" w:type="pct"/>
            <w:shd w:val="clear" w:color="auto" w:fill="auto"/>
          </w:tcPr>
          <w:p w14:paraId="2F8EFFA2" w14:textId="77777777" w:rsidR="00B73CC2" w:rsidRPr="00BF1DF1" w:rsidRDefault="00B73CC2"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298 365 306,87zł</w:t>
            </w:r>
          </w:p>
        </w:tc>
      </w:tr>
      <w:tr w:rsidR="00B73CC2" w:rsidRPr="00BF1DF1" w14:paraId="26D58D83" w14:textId="77777777" w:rsidTr="00B73CC2">
        <w:trPr>
          <w:trHeight w:val="251"/>
        </w:trPr>
        <w:tc>
          <w:tcPr>
            <w:cnfStyle w:val="001000000000" w:firstRow="0" w:lastRow="0" w:firstColumn="1" w:lastColumn="0" w:oddVBand="0" w:evenVBand="0" w:oddHBand="0" w:evenHBand="0" w:firstRowFirstColumn="0" w:firstRowLastColumn="0" w:lastRowFirstColumn="0" w:lastRowLastColumn="0"/>
            <w:tcW w:w="447" w:type="pct"/>
            <w:vMerge/>
            <w:tcBorders>
              <w:left w:val="none" w:sz="0" w:space="0" w:color="auto"/>
            </w:tcBorders>
            <w:shd w:val="clear" w:color="auto" w:fill="auto"/>
            <w:hideMark/>
          </w:tcPr>
          <w:p w14:paraId="24211828" w14:textId="77777777" w:rsidR="00B73CC2" w:rsidRPr="00BF1DF1" w:rsidRDefault="00B73CC2" w:rsidP="00BF1DF1">
            <w:pPr>
              <w:spacing w:before="0"/>
              <w:jc w:val="center"/>
              <w:rPr>
                <w:rFonts w:ascii="Lato" w:eastAsia="Times New Roman" w:hAnsi="Lato" w:cs="Arial"/>
                <w:color w:val="auto"/>
                <w:sz w:val="18"/>
                <w:szCs w:val="18"/>
                <w:lang w:eastAsia="pl-PL"/>
              </w:rPr>
            </w:pPr>
          </w:p>
        </w:tc>
        <w:tc>
          <w:tcPr>
            <w:tcW w:w="2713" w:type="pct"/>
            <w:shd w:val="clear" w:color="auto" w:fill="auto"/>
            <w:hideMark/>
          </w:tcPr>
          <w:p w14:paraId="24A8819D" w14:textId="34DD957F" w:rsidR="00B73CC2" w:rsidRPr="00BF1DF1" w:rsidRDefault="005075EC" w:rsidP="00BF1DF1">
            <w:pPr>
              <w:spacing w:before="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kern w:val="24"/>
                <w:sz w:val="18"/>
                <w:szCs w:val="18"/>
                <w:lang w:eastAsia="pl-PL"/>
              </w:rPr>
              <w:t>M15 - zwyrodnienia wielostawowe</w:t>
            </w:r>
          </w:p>
        </w:tc>
        <w:tc>
          <w:tcPr>
            <w:tcW w:w="798" w:type="pct"/>
            <w:shd w:val="clear" w:color="auto" w:fill="auto"/>
          </w:tcPr>
          <w:p w14:paraId="6F8117A8" w14:textId="77777777" w:rsidR="00B73CC2" w:rsidRPr="00BF1DF1" w:rsidRDefault="00B73CC2"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4 700 665</w:t>
            </w:r>
          </w:p>
        </w:tc>
        <w:tc>
          <w:tcPr>
            <w:tcW w:w="1042" w:type="pct"/>
            <w:shd w:val="clear" w:color="auto" w:fill="auto"/>
          </w:tcPr>
          <w:p w14:paraId="46758E01" w14:textId="77777777" w:rsidR="00B73CC2" w:rsidRPr="00BF1DF1" w:rsidRDefault="00B73CC2"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250 391 390,44 zł</w:t>
            </w:r>
          </w:p>
        </w:tc>
      </w:tr>
      <w:tr w:rsidR="00B73CC2" w:rsidRPr="00BF1DF1" w14:paraId="2867E200" w14:textId="77777777" w:rsidTr="00B73CC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47" w:type="pct"/>
            <w:vMerge/>
            <w:tcBorders>
              <w:left w:val="none" w:sz="0" w:space="0" w:color="auto"/>
            </w:tcBorders>
            <w:shd w:val="clear" w:color="auto" w:fill="auto"/>
            <w:hideMark/>
          </w:tcPr>
          <w:p w14:paraId="69A2A990" w14:textId="77777777" w:rsidR="00B73CC2" w:rsidRPr="00BF1DF1" w:rsidRDefault="00B73CC2" w:rsidP="00BF1DF1">
            <w:pPr>
              <w:spacing w:before="0"/>
              <w:jc w:val="center"/>
              <w:rPr>
                <w:rFonts w:ascii="Lato" w:eastAsia="Times New Roman" w:hAnsi="Lato" w:cs="Arial"/>
                <w:color w:val="auto"/>
                <w:sz w:val="18"/>
                <w:szCs w:val="18"/>
                <w:lang w:eastAsia="pl-PL"/>
              </w:rPr>
            </w:pPr>
          </w:p>
        </w:tc>
        <w:tc>
          <w:tcPr>
            <w:tcW w:w="2713" w:type="pct"/>
            <w:shd w:val="clear" w:color="auto" w:fill="auto"/>
            <w:hideMark/>
          </w:tcPr>
          <w:p w14:paraId="204FE463" w14:textId="72DABD00" w:rsidR="00B73CC2" w:rsidRPr="00BF1DF1" w:rsidRDefault="005075EC" w:rsidP="00BF1DF1">
            <w:pPr>
              <w:spacing w:before="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kern w:val="24"/>
                <w:sz w:val="18"/>
                <w:szCs w:val="18"/>
                <w:lang w:eastAsia="pl-PL"/>
              </w:rPr>
              <w:t>M17 - choroba zwyrodnieniowa stawów kolanowych /</w:t>
            </w:r>
            <w:proofErr w:type="spellStart"/>
            <w:r w:rsidRPr="00BF1DF1">
              <w:rPr>
                <w:rFonts w:ascii="Lato" w:eastAsia="Times New Roman" w:hAnsi="Lato" w:cs="Arial"/>
                <w:kern w:val="24"/>
                <w:sz w:val="18"/>
                <w:szCs w:val="18"/>
                <w:lang w:eastAsia="pl-PL"/>
              </w:rPr>
              <w:t>gonartroza</w:t>
            </w:r>
            <w:proofErr w:type="spellEnd"/>
            <w:r w:rsidRPr="00BF1DF1">
              <w:rPr>
                <w:rFonts w:ascii="Lato" w:eastAsia="Times New Roman" w:hAnsi="Lato" w:cs="Arial"/>
                <w:kern w:val="24"/>
                <w:sz w:val="18"/>
                <w:szCs w:val="18"/>
                <w:lang w:eastAsia="pl-PL"/>
              </w:rPr>
              <w:t>/</w:t>
            </w:r>
          </w:p>
        </w:tc>
        <w:tc>
          <w:tcPr>
            <w:tcW w:w="798" w:type="pct"/>
            <w:shd w:val="clear" w:color="auto" w:fill="auto"/>
          </w:tcPr>
          <w:p w14:paraId="33F97319" w14:textId="77777777" w:rsidR="00B73CC2" w:rsidRPr="00BF1DF1" w:rsidRDefault="00B73CC2"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2 704 932</w:t>
            </w:r>
          </w:p>
        </w:tc>
        <w:tc>
          <w:tcPr>
            <w:tcW w:w="1042" w:type="pct"/>
            <w:shd w:val="clear" w:color="auto" w:fill="auto"/>
          </w:tcPr>
          <w:p w14:paraId="03C1445A" w14:textId="77777777" w:rsidR="00B73CC2" w:rsidRPr="00BF1DF1" w:rsidRDefault="00B73CC2"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277 319 134,19 zł</w:t>
            </w:r>
          </w:p>
        </w:tc>
      </w:tr>
      <w:tr w:rsidR="00B73CC2" w:rsidRPr="00BF1DF1" w14:paraId="1F6CED74" w14:textId="77777777" w:rsidTr="00B73CC2">
        <w:trPr>
          <w:trHeight w:val="251"/>
        </w:trPr>
        <w:tc>
          <w:tcPr>
            <w:cnfStyle w:val="001000000000" w:firstRow="0" w:lastRow="0" w:firstColumn="1" w:lastColumn="0" w:oddVBand="0" w:evenVBand="0" w:oddHBand="0" w:evenHBand="0" w:firstRowFirstColumn="0" w:firstRowLastColumn="0" w:lastRowFirstColumn="0" w:lastRowLastColumn="0"/>
            <w:tcW w:w="447" w:type="pct"/>
            <w:vMerge/>
            <w:tcBorders>
              <w:left w:val="none" w:sz="0" w:space="0" w:color="auto"/>
              <w:bottom w:val="none" w:sz="0" w:space="0" w:color="auto"/>
            </w:tcBorders>
            <w:shd w:val="clear" w:color="auto" w:fill="auto"/>
            <w:hideMark/>
          </w:tcPr>
          <w:p w14:paraId="3455E168" w14:textId="77777777" w:rsidR="00B73CC2" w:rsidRPr="00BF1DF1" w:rsidRDefault="00B73CC2" w:rsidP="00BF1DF1">
            <w:pPr>
              <w:spacing w:before="0"/>
              <w:jc w:val="center"/>
              <w:rPr>
                <w:rFonts w:ascii="Lato" w:eastAsia="Times New Roman" w:hAnsi="Lato" w:cs="Arial"/>
                <w:color w:val="auto"/>
                <w:sz w:val="18"/>
                <w:szCs w:val="18"/>
                <w:lang w:eastAsia="pl-PL"/>
              </w:rPr>
            </w:pPr>
          </w:p>
        </w:tc>
        <w:tc>
          <w:tcPr>
            <w:tcW w:w="2713" w:type="pct"/>
            <w:shd w:val="clear" w:color="auto" w:fill="auto"/>
            <w:hideMark/>
          </w:tcPr>
          <w:p w14:paraId="5DB53097" w14:textId="0B2360EB" w:rsidR="00B73CC2" w:rsidRPr="00BF1DF1" w:rsidRDefault="005075EC" w:rsidP="00BF1DF1">
            <w:pPr>
              <w:spacing w:before="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kern w:val="24"/>
                <w:sz w:val="18"/>
                <w:szCs w:val="18"/>
                <w:lang w:eastAsia="pl-PL"/>
              </w:rPr>
              <w:t>G54 - zaburzenia korzeni nerwów rdzeniowych i splotów nerwowych</w:t>
            </w:r>
          </w:p>
        </w:tc>
        <w:tc>
          <w:tcPr>
            <w:tcW w:w="798" w:type="pct"/>
            <w:shd w:val="clear" w:color="auto" w:fill="auto"/>
          </w:tcPr>
          <w:p w14:paraId="0B15FA95" w14:textId="77777777" w:rsidR="00B73CC2" w:rsidRPr="00BF1DF1" w:rsidRDefault="00B73CC2"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kern w:val="24"/>
                <w:sz w:val="18"/>
                <w:szCs w:val="18"/>
                <w:lang w:eastAsia="pl-PL"/>
              </w:rPr>
            </w:pPr>
            <w:r w:rsidRPr="00BF1DF1">
              <w:rPr>
                <w:rFonts w:ascii="Lato" w:hAnsi="Lato" w:cs="Arial"/>
                <w:sz w:val="18"/>
                <w:szCs w:val="18"/>
              </w:rPr>
              <w:t>2 074 281</w:t>
            </w:r>
          </w:p>
        </w:tc>
        <w:tc>
          <w:tcPr>
            <w:tcW w:w="1042" w:type="pct"/>
            <w:shd w:val="clear" w:color="auto" w:fill="auto"/>
          </w:tcPr>
          <w:p w14:paraId="653AE4EB" w14:textId="77777777" w:rsidR="00B73CC2" w:rsidRPr="00BF1DF1" w:rsidRDefault="00B73CC2"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kern w:val="24"/>
                <w:sz w:val="18"/>
                <w:szCs w:val="18"/>
                <w:lang w:eastAsia="pl-PL"/>
              </w:rPr>
            </w:pPr>
            <w:r w:rsidRPr="00BF1DF1">
              <w:rPr>
                <w:rFonts w:ascii="Lato" w:hAnsi="Lato" w:cs="Arial"/>
                <w:sz w:val="18"/>
                <w:szCs w:val="18"/>
              </w:rPr>
              <w:t>97 409 012,92 zł</w:t>
            </w:r>
          </w:p>
        </w:tc>
      </w:tr>
    </w:tbl>
    <w:p w14:paraId="3B7DCBC2" w14:textId="3B8C1945" w:rsidR="00B73CC2" w:rsidRPr="00F30219" w:rsidRDefault="00B73CC2" w:rsidP="00F30219">
      <w:pPr>
        <w:spacing w:after="0" w:line="360" w:lineRule="auto"/>
        <w:rPr>
          <w:rFonts w:ascii="Lato" w:eastAsia="Calibri" w:hAnsi="Lato" w:cs="Arial"/>
          <w:sz w:val="16"/>
          <w:szCs w:val="16"/>
        </w:rPr>
      </w:pPr>
      <w:r w:rsidRPr="00F30219">
        <w:rPr>
          <w:rFonts w:ascii="Lato" w:eastAsia="Calibri" w:hAnsi="Lato" w:cs="Arial"/>
          <w:sz w:val="16"/>
          <w:szCs w:val="16"/>
        </w:rPr>
        <w:t>Źródło: Ministerstwo Zdrowia</w:t>
      </w:r>
    </w:p>
    <w:p w14:paraId="30DE4C10" w14:textId="57770D72" w:rsidR="00B73CC2" w:rsidRDefault="00B73CC2" w:rsidP="00F30219">
      <w:p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lastRenderedPageBreak/>
        <w:t xml:space="preserve">Najczęstszymi </w:t>
      </w:r>
      <w:proofErr w:type="spellStart"/>
      <w:r w:rsidRPr="00F30219">
        <w:rPr>
          <w:rFonts w:ascii="Lato" w:eastAsia="Times New Roman" w:hAnsi="Lato" w:cs="Arial"/>
          <w:sz w:val="20"/>
          <w:szCs w:val="20"/>
          <w:lang w:eastAsia="pl-PL"/>
        </w:rPr>
        <w:t>rozpoznaniami</w:t>
      </w:r>
      <w:proofErr w:type="spellEnd"/>
      <w:r w:rsidRPr="00F30219">
        <w:rPr>
          <w:rFonts w:ascii="Lato" w:eastAsia="Times New Roman" w:hAnsi="Lato" w:cs="Arial"/>
          <w:sz w:val="20"/>
          <w:szCs w:val="20"/>
          <w:lang w:eastAsia="pl-PL"/>
        </w:rPr>
        <w:t xml:space="preserve"> występującymi wśród osób powyżej 60 </w:t>
      </w:r>
      <w:proofErr w:type="spellStart"/>
      <w:r w:rsidRPr="00F30219">
        <w:rPr>
          <w:rFonts w:ascii="Lato" w:eastAsia="Times New Roman" w:hAnsi="Lato" w:cs="Arial"/>
          <w:sz w:val="20"/>
          <w:szCs w:val="20"/>
          <w:lang w:eastAsia="pl-PL"/>
        </w:rPr>
        <w:t>r.ż</w:t>
      </w:r>
      <w:proofErr w:type="spellEnd"/>
      <w:r w:rsidRPr="00F30219">
        <w:rPr>
          <w:rFonts w:ascii="Lato" w:eastAsia="Times New Roman" w:hAnsi="Lato" w:cs="Arial"/>
          <w:sz w:val="20"/>
          <w:szCs w:val="20"/>
          <w:lang w:eastAsia="pl-PL"/>
        </w:rPr>
        <w:t xml:space="preserve"> były zmiany zwyrodnieniowe kręgosłupa, a także zwyrodnienia wielostawowe.</w:t>
      </w:r>
    </w:p>
    <w:p w14:paraId="0D4BA7CF" w14:textId="77777777" w:rsidR="00F30219" w:rsidRPr="00F30219" w:rsidRDefault="00F30219" w:rsidP="00F30219">
      <w:pPr>
        <w:tabs>
          <w:tab w:val="left" w:pos="5400"/>
        </w:tabs>
        <w:spacing w:after="0" w:line="240" w:lineRule="auto"/>
        <w:jc w:val="both"/>
        <w:rPr>
          <w:rFonts w:ascii="Lato" w:eastAsia="Times New Roman" w:hAnsi="Lato" w:cs="Arial"/>
          <w:sz w:val="20"/>
          <w:szCs w:val="20"/>
          <w:lang w:eastAsia="pl-PL"/>
        </w:rPr>
      </w:pPr>
    </w:p>
    <w:bookmarkEnd w:id="102"/>
    <w:p w14:paraId="3F306296" w14:textId="7D7D1CD7" w:rsidR="00B73CC2" w:rsidRPr="00F30219" w:rsidRDefault="00B73CC2" w:rsidP="00F30219">
      <w:pPr>
        <w:spacing w:after="0" w:line="240" w:lineRule="auto"/>
        <w:jc w:val="both"/>
        <w:rPr>
          <w:rFonts w:ascii="Lato" w:hAnsi="Lato"/>
          <w:b/>
          <w:bCs/>
          <w:sz w:val="20"/>
          <w:szCs w:val="20"/>
        </w:rPr>
      </w:pPr>
      <w:r w:rsidRPr="00F30219">
        <w:rPr>
          <w:rFonts w:ascii="Lato" w:hAnsi="Lato"/>
          <w:b/>
          <w:bCs/>
          <w:sz w:val="20"/>
          <w:szCs w:val="20"/>
        </w:rPr>
        <w:t>Zaopatrzenie w wyroby medyczne</w:t>
      </w:r>
    </w:p>
    <w:p w14:paraId="5C2FFA91" w14:textId="66BEE3BD" w:rsidR="00B73CC2" w:rsidRPr="00F30219" w:rsidRDefault="00B73CC2" w:rsidP="00F30219">
      <w:pPr>
        <w:pStyle w:val="NormalnyWeb"/>
        <w:shd w:val="clear" w:color="auto" w:fill="FFFFFF"/>
        <w:ind w:firstLine="0"/>
        <w:rPr>
          <w:rFonts w:ascii="Lato" w:hAnsi="Lato"/>
          <w:i/>
          <w:iCs/>
          <w:color w:val="333333"/>
          <w:sz w:val="20"/>
          <w:szCs w:val="20"/>
        </w:rPr>
      </w:pPr>
      <w:r w:rsidRPr="00F30219">
        <w:rPr>
          <w:rFonts w:ascii="Lato" w:hAnsi="Lato"/>
          <w:sz w:val="20"/>
          <w:szCs w:val="20"/>
        </w:rPr>
        <w:t xml:space="preserve">Zgodnie z definicją:  </w:t>
      </w:r>
      <w:r w:rsidRPr="00F30219">
        <w:rPr>
          <w:rFonts w:ascii="Lato" w:hAnsi="Lato"/>
          <w:i/>
          <w:iCs/>
          <w:color w:val="333333"/>
          <w:sz w:val="20"/>
          <w:szCs w:val="20"/>
        </w:rPr>
        <w:t>wyrób medyczny - narzędzie, przyrząd, urządzenie, oprogramowanie, materiał lub inny artykuł, stosowany samodzielnie lub w połączeniu, w tym z oprogramowaniem przeznaczonym przez jego wytwórcę do używania specjalnie w celach diagnostycznych lub terapeutycznych i niezbędnym do jego właściwego stosowania, przeznaczony przez wytwórcę do stosowania u ludzi w celu:</w:t>
      </w:r>
    </w:p>
    <w:p w14:paraId="4FF8743A" w14:textId="77777777" w:rsidR="005075EC" w:rsidRDefault="00B73CC2" w:rsidP="007335F8">
      <w:pPr>
        <w:pStyle w:val="NormalnyWeb"/>
        <w:numPr>
          <w:ilvl w:val="0"/>
          <w:numId w:val="236"/>
        </w:numPr>
        <w:shd w:val="clear" w:color="auto" w:fill="FFFFFF"/>
        <w:rPr>
          <w:rFonts w:ascii="Lato" w:hAnsi="Lato"/>
          <w:i/>
          <w:iCs/>
          <w:color w:val="333333"/>
          <w:sz w:val="20"/>
          <w:szCs w:val="20"/>
        </w:rPr>
      </w:pPr>
      <w:r w:rsidRPr="00F30219">
        <w:rPr>
          <w:rFonts w:ascii="Lato" w:hAnsi="Lato"/>
          <w:i/>
          <w:iCs/>
          <w:color w:val="333333"/>
          <w:sz w:val="20"/>
          <w:szCs w:val="20"/>
        </w:rPr>
        <w:t>diagnozowania, zapobiegania, monitorowania, leczenia lub łagodzenia przebiegu choroby,</w:t>
      </w:r>
    </w:p>
    <w:p w14:paraId="7CB67E6F" w14:textId="77777777" w:rsidR="005075EC" w:rsidRDefault="00B73CC2" w:rsidP="007335F8">
      <w:pPr>
        <w:pStyle w:val="NormalnyWeb"/>
        <w:numPr>
          <w:ilvl w:val="0"/>
          <w:numId w:val="236"/>
        </w:numPr>
        <w:shd w:val="clear" w:color="auto" w:fill="FFFFFF"/>
        <w:rPr>
          <w:rFonts w:ascii="Lato" w:hAnsi="Lato"/>
          <w:i/>
          <w:iCs/>
          <w:color w:val="333333"/>
          <w:sz w:val="20"/>
          <w:szCs w:val="20"/>
        </w:rPr>
      </w:pPr>
      <w:r w:rsidRPr="005075EC">
        <w:rPr>
          <w:rFonts w:ascii="Lato" w:hAnsi="Lato"/>
          <w:i/>
          <w:iCs/>
          <w:color w:val="333333"/>
          <w:sz w:val="20"/>
          <w:szCs w:val="20"/>
        </w:rPr>
        <w:t>diagnozowania, monitorowania, leczenia, łagodzenia lub kompensowania skutków urazu lub upośledzenia,</w:t>
      </w:r>
    </w:p>
    <w:p w14:paraId="57431B5E" w14:textId="77777777" w:rsidR="005075EC" w:rsidRDefault="00B73CC2" w:rsidP="007335F8">
      <w:pPr>
        <w:pStyle w:val="NormalnyWeb"/>
        <w:numPr>
          <w:ilvl w:val="0"/>
          <w:numId w:val="236"/>
        </w:numPr>
        <w:shd w:val="clear" w:color="auto" w:fill="FFFFFF"/>
        <w:rPr>
          <w:rFonts w:ascii="Lato" w:hAnsi="Lato"/>
          <w:i/>
          <w:iCs/>
          <w:color w:val="333333"/>
          <w:sz w:val="20"/>
          <w:szCs w:val="20"/>
        </w:rPr>
      </w:pPr>
      <w:r w:rsidRPr="005075EC">
        <w:rPr>
          <w:rFonts w:ascii="Lato" w:hAnsi="Lato"/>
          <w:i/>
          <w:iCs/>
          <w:color w:val="333333"/>
          <w:sz w:val="20"/>
          <w:szCs w:val="20"/>
        </w:rPr>
        <w:t>badania, zastępowania lub modyfikowania budowy anatomicznej lub procesu fizjologicznego</w:t>
      </w:r>
    </w:p>
    <w:p w14:paraId="2243B8AE" w14:textId="313EF4D3" w:rsidR="00B73CC2" w:rsidRPr="005075EC" w:rsidRDefault="00B73CC2" w:rsidP="007335F8">
      <w:pPr>
        <w:pStyle w:val="NormalnyWeb"/>
        <w:numPr>
          <w:ilvl w:val="0"/>
          <w:numId w:val="236"/>
        </w:numPr>
        <w:shd w:val="clear" w:color="auto" w:fill="FFFFFF"/>
        <w:rPr>
          <w:rFonts w:ascii="Lato" w:hAnsi="Lato"/>
          <w:i/>
          <w:iCs/>
          <w:color w:val="333333"/>
          <w:sz w:val="20"/>
          <w:szCs w:val="20"/>
        </w:rPr>
      </w:pPr>
      <w:r w:rsidRPr="005075EC">
        <w:rPr>
          <w:rFonts w:ascii="Lato" w:hAnsi="Lato"/>
          <w:i/>
          <w:iCs/>
          <w:color w:val="333333"/>
          <w:sz w:val="20"/>
          <w:szCs w:val="20"/>
        </w:rPr>
        <w:t>regulacji poczęć</w:t>
      </w:r>
      <w:r w:rsidRPr="00F30219">
        <w:rPr>
          <w:rStyle w:val="Odwoanieprzypisudolnego"/>
          <w:rFonts w:ascii="Lato" w:eastAsiaTheme="majorEastAsia" w:hAnsi="Lato"/>
          <w:i/>
          <w:iCs/>
          <w:color w:val="333333"/>
          <w:sz w:val="20"/>
          <w:szCs w:val="20"/>
        </w:rPr>
        <w:footnoteReference w:id="14"/>
      </w:r>
    </w:p>
    <w:p w14:paraId="1132FC34" w14:textId="77777777" w:rsidR="00F30219" w:rsidRDefault="00F30219" w:rsidP="00F30219">
      <w:pPr>
        <w:spacing w:after="0" w:line="240" w:lineRule="auto"/>
        <w:jc w:val="both"/>
        <w:rPr>
          <w:rFonts w:ascii="Lato" w:hAnsi="Lato"/>
          <w:sz w:val="20"/>
          <w:szCs w:val="20"/>
          <w:lang w:eastAsia="pl-PL"/>
        </w:rPr>
      </w:pPr>
    </w:p>
    <w:p w14:paraId="1B10B04C" w14:textId="4433C5AB" w:rsidR="00B73CC2" w:rsidRPr="00F30219" w:rsidRDefault="00B73CC2" w:rsidP="00F30219">
      <w:pPr>
        <w:spacing w:after="0" w:line="240" w:lineRule="auto"/>
        <w:jc w:val="both"/>
        <w:rPr>
          <w:rFonts w:ascii="Lato" w:hAnsi="Lato"/>
          <w:sz w:val="20"/>
          <w:szCs w:val="20"/>
          <w:lang w:eastAsia="pl-PL"/>
        </w:rPr>
      </w:pPr>
      <w:r w:rsidRPr="00F30219">
        <w:rPr>
          <w:rFonts w:ascii="Lato" w:hAnsi="Lato"/>
          <w:sz w:val="20"/>
          <w:szCs w:val="20"/>
          <w:lang w:eastAsia="pl-PL"/>
        </w:rPr>
        <w:t xml:space="preserve">Wyroby medyczne ułatwiają codzienne funkcjonowanie, wpływają na komfort życia. Do wyrobów medycznych używanych przez osoby starsze zaliczyć można m.in. </w:t>
      </w:r>
      <w:proofErr w:type="spellStart"/>
      <w:r w:rsidRPr="00F30219">
        <w:rPr>
          <w:rFonts w:ascii="Lato" w:hAnsi="Lato"/>
          <w:sz w:val="20"/>
          <w:szCs w:val="20"/>
          <w:lang w:eastAsia="pl-PL"/>
        </w:rPr>
        <w:t>pieluchmajtki</w:t>
      </w:r>
      <w:proofErr w:type="spellEnd"/>
      <w:r w:rsidRPr="00F30219">
        <w:rPr>
          <w:rFonts w:ascii="Lato" w:hAnsi="Lato"/>
          <w:sz w:val="20"/>
          <w:szCs w:val="20"/>
          <w:lang w:eastAsia="pl-PL"/>
        </w:rPr>
        <w:t xml:space="preserve">, balkoniki, obuwie ortopedyczne, wózki inwalidzkie. </w:t>
      </w:r>
    </w:p>
    <w:p w14:paraId="6AFC495D" w14:textId="127A2CA1" w:rsidR="00B73CC2" w:rsidRPr="003917E2" w:rsidRDefault="00B73CC2" w:rsidP="00B73CC2">
      <w:pPr>
        <w:tabs>
          <w:tab w:val="left" w:pos="5400"/>
        </w:tabs>
        <w:spacing w:after="0" w:line="240" w:lineRule="auto"/>
        <w:jc w:val="both"/>
        <w:rPr>
          <w:rFonts w:ascii="Lato" w:eastAsia="Times New Roman" w:hAnsi="Lato" w:cs="Arial"/>
          <w:lang w:eastAsia="pl-PL"/>
        </w:rPr>
      </w:pPr>
      <w:bookmarkStart w:id="104" w:name="_Hlk137622707"/>
    </w:p>
    <w:p w14:paraId="35C575DF" w14:textId="4AEF155C" w:rsidR="00B73CC2" w:rsidRDefault="00B73CC2" w:rsidP="00B73CC2">
      <w:pPr>
        <w:pStyle w:val="Legenda"/>
        <w:keepNext/>
      </w:pPr>
      <w:bookmarkStart w:id="105" w:name="_Toc142566015"/>
      <w:r>
        <w:t xml:space="preserve">Tabela </w:t>
      </w:r>
      <w:fldSimple w:instr=" SEQ Tabela \* ARABIC ">
        <w:r w:rsidR="00AA385B">
          <w:rPr>
            <w:noProof/>
          </w:rPr>
          <w:t>52</w:t>
        </w:r>
      </w:fldSimple>
      <w:r>
        <w:t xml:space="preserve"> </w:t>
      </w:r>
      <w:r w:rsidRPr="000D7597">
        <w:t>Zaopatrzenie w wyroby medyczne wydawane na zlecenie pacjentów ogółem oraz osób powyżej 60. roku życia w 2022 r.</w:t>
      </w:r>
      <w:bookmarkEnd w:id="105"/>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66"/>
        <w:gridCol w:w="2255"/>
        <w:gridCol w:w="2294"/>
      </w:tblGrid>
      <w:tr w:rsidR="00B73CC2" w:rsidRPr="00BF1DF1" w14:paraId="143BF8DE" w14:textId="77777777" w:rsidTr="00BF1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pct"/>
            <w:tcBorders>
              <w:top w:val="none" w:sz="0" w:space="0" w:color="auto"/>
              <w:left w:val="none" w:sz="0" w:space="0" w:color="auto"/>
              <w:right w:val="none" w:sz="0" w:space="0" w:color="auto"/>
            </w:tcBorders>
            <w:shd w:val="clear" w:color="auto" w:fill="8EAADB" w:themeFill="accent1" w:themeFillTint="99"/>
          </w:tcPr>
          <w:p w14:paraId="6B9774AF" w14:textId="77777777" w:rsidR="00B73CC2" w:rsidRPr="00BF1DF1" w:rsidRDefault="00B73CC2" w:rsidP="00BF1DF1">
            <w:pPr>
              <w:tabs>
                <w:tab w:val="left" w:pos="5400"/>
              </w:tabs>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Grupa</w:t>
            </w:r>
          </w:p>
        </w:tc>
        <w:tc>
          <w:tcPr>
            <w:tcW w:w="1250" w:type="pct"/>
            <w:tcBorders>
              <w:top w:val="none" w:sz="0" w:space="0" w:color="auto"/>
              <w:left w:val="none" w:sz="0" w:space="0" w:color="auto"/>
              <w:right w:val="none" w:sz="0" w:space="0" w:color="auto"/>
            </w:tcBorders>
            <w:shd w:val="clear" w:color="auto" w:fill="8EAADB" w:themeFill="accent1" w:themeFillTint="99"/>
          </w:tcPr>
          <w:p w14:paraId="2C64602D" w14:textId="77777777" w:rsidR="00B73CC2" w:rsidRPr="00BF1DF1" w:rsidRDefault="00B73CC2" w:rsidP="00BF1DF1">
            <w:pPr>
              <w:tabs>
                <w:tab w:val="left" w:pos="5400"/>
              </w:tabs>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Liczba pacjentów</w:t>
            </w:r>
          </w:p>
        </w:tc>
        <w:tc>
          <w:tcPr>
            <w:tcW w:w="1244" w:type="pct"/>
            <w:tcBorders>
              <w:top w:val="none" w:sz="0" w:space="0" w:color="auto"/>
              <w:left w:val="none" w:sz="0" w:space="0" w:color="auto"/>
              <w:right w:val="none" w:sz="0" w:space="0" w:color="auto"/>
            </w:tcBorders>
            <w:shd w:val="clear" w:color="auto" w:fill="8EAADB" w:themeFill="accent1" w:themeFillTint="99"/>
          </w:tcPr>
          <w:p w14:paraId="21CA68E7" w14:textId="77777777" w:rsidR="00B73CC2" w:rsidRPr="00BF1DF1" w:rsidRDefault="00B73CC2" w:rsidP="00BF1DF1">
            <w:pPr>
              <w:tabs>
                <w:tab w:val="left" w:pos="5400"/>
              </w:tabs>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Liczba wyrobów</w:t>
            </w:r>
          </w:p>
        </w:tc>
        <w:tc>
          <w:tcPr>
            <w:tcW w:w="1266" w:type="pct"/>
            <w:tcBorders>
              <w:top w:val="none" w:sz="0" w:space="0" w:color="auto"/>
              <w:left w:val="none" w:sz="0" w:space="0" w:color="auto"/>
              <w:right w:val="none" w:sz="0" w:space="0" w:color="auto"/>
            </w:tcBorders>
            <w:shd w:val="clear" w:color="auto" w:fill="8EAADB" w:themeFill="accent1" w:themeFillTint="99"/>
          </w:tcPr>
          <w:p w14:paraId="6D27357D" w14:textId="77777777" w:rsidR="00B73CC2" w:rsidRPr="00BF1DF1" w:rsidRDefault="00B73CC2" w:rsidP="00BF1DF1">
            <w:pPr>
              <w:tabs>
                <w:tab w:val="left" w:pos="5400"/>
              </w:tabs>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Wartość rozliczonych wyrobów (w zł)</w:t>
            </w:r>
          </w:p>
        </w:tc>
      </w:tr>
      <w:tr w:rsidR="00B73CC2" w:rsidRPr="00BF1DF1" w14:paraId="18C5FB7B" w14:textId="77777777" w:rsidTr="00B73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pct"/>
            <w:tcBorders>
              <w:left w:val="none" w:sz="0" w:space="0" w:color="auto"/>
            </w:tcBorders>
            <w:shd w:val="clear" w:color="auto" w:fill="auto"/>
          </w:tcPr>
          <w:p w14:paraId="5BC72B3F" w14:textId="77777777" w:rsidR="00B73CC2" w:rsidRPr="00BF1DF1" w:rsidRDefault="00B73CC2" w:rsidP="00BF1DF1">
            <w:pPr>
              <w:tabs>
                <w:tab w:val="left" w:pos="5400"/>
              </w:tabs>
              <w:spacing w:before="0"/>
              <w:jc w:val="center"/>
              <w:rPr>
                <w:rFonts w:ascii="Lato" w:eastAsia="Times New Roman" w:hAnsi="Lato" w:cs="Arial"/>
                <w:b w:val="0"/>
                <w:bCs w:val="0"/>
                <w:color w:val="auto"/>
                <w:sz w:val="18"/>
                <w:szCs w:val="18"/>
                <w:lang w:eastAsia="pl-PL"/>
              </w:rPr>
            </w:pPr>
            <w:r w:rsidRPr="00BF1DF1">
              <w:rPr>
                <w:rFonts w:ascii="Lato" w:eastAsia="Times New Roman" w:hAnsi="Lato" w:cs="Arial"/>
                <w:b w:val="0"/>
                <w:bCs w:val="0"/>
                <w:color w:val="auto"/>
                <w:sz w:val="18"/>
                <w:szCs w:val="18"/>
                <w:lang w:eastAsia="pl-PL"/>
              </w:rPr>
              <w:t>Pacjenci ogółem</w:t>
            </w:r>
          </w:p>
        </w:tc>
        <w:tc>
          <w:tcPr>
            <w:tcW w:w="1250" w:type="pct"/>
            <w:shd w:val="clear" w:color="auto" w:fill="auto"/>
          </w:tcPr>
          <w:p w14:paraId="02D2FE7C" w14:textId="77777777" w:rsidR="00B73CC2" w:rsidRPr="00BF1DF1" w:rsidRDefault="00B73CC2" w:rsidP="00BF1DF1">
            <w:pPr>
              <w:tabs>
                <w:tab w:val="left" w:pos="5400"/>
              </w:tabs>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1 968 282</w:t>
            </w:r>
          </w:p>
        </w:tc>
        <w:tc>
          <w:tcPr>
            <w:tcW w:w="1244" w:type="pct"/>
            <w:shd w:val="clear" w:color="auto" w:fill="auto"/>
          </w:tcPr>
          <w:p w14:paraId="7379926B" w14:textId="77777777" w:rsidR="00B73CC2" w:rsidRPr="00BF1DF1" w:rsidRDefault="00B73CC2" w:rsidP="00BF1DF1">
            <w:pPr>
              <w:tabs>
                <w:tab w:val="left" w:pos="5400"/>
              </w:tabs>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397 860 681</w:t>
            </w:r>
          </w:p>
        </w:tc>
        <w:tc>
          <w:tcPr>
            <w:tcW w:w="1266" w:type="pct"/>
            <w:shd w:val="clear" w:color="auto" w:fill="auto"/>
          </w:tcPr>
          <w:p w14:paraId="19F2F5A2" w14:textId="77777777" w:rsidR="00B73CC2" w:rsidRPr="00BF1DF1" w:rsidRDefault="00B73CC2" w:rsidP="00BF1DF1">
            <w:pPr>
              <w:tabs>
                <w:tab w:val="left" w:pos="5400"/>
              </w:tabs>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1 644 583 788 zł</w:t>
            </w:r>
          </w:p>
        </w:tc>
      </w:tr>
      <w:tr w:rsidR="00B73CC2" w:rsidRPr="00BF1DF1" w14:paraId="1A919A20" w14:textId="77777777" w:rsidTr="00B73CC2">
        <w:tc>
          <w:tcPr>
            <w:cnfStyle w:val="001000000000" w:firstRow="0" w:lastRow="0" w:firstColumn="1" w:lastColumn="0" w:oddVBand="0" w:evenVBand="0" w:oddHBand="0" w:evenHBand="0" w:firstRowFirstColumn="0" w:firstRowLastColumn="0" w:lastRowFirstColumn="0" w:lastRowLastColumn="0"/>
            <w:tcW w:w="1239" w:type="pct"/>
            <w:tcBorders>
              <w:left w:val="none" w:sz="0" w:space="0" w:color="auto"/>
              <w:bottom w:val="none" w:sz="0" w:space="0" w:color="auto"/>
            </w:tcBorders>
            <w:shd w:val="clear" w:color="auto" w:fill="auto"/>
          </w:tcPr>
          <w:p w14:paraId="7E4D56ED" w14:textId="77777777" w:rsidR="00B73CC2" w:rsidRPr="00BF1DF1" w:rsidRDefault="00B73CC2" w:rsidP="00BF1DF1">
            <w:pPr>
              <w:tabs>
                <w:tab w:val="left" w:pos="5400"/>
              </w:tabs>
              <w:spacing w:before="0"/>
              <w:jc w:val="center"/>
              <w:rPr>
                <w:rFonts w:ascii="Lato" w:eastAsia="Times New Roman" w:hAnsi="Lato" w:cs="Arial"/>
                <w:b w:val="0"/>
                <w:bCs w:val="0"/>
                <w:color w:val="auto"/>
                <w:sz w:val="18"/>
                <w:szCs w:val="18"/>
                <w:lang w:eastAsia="pl-PL"/>
              </w:rPr>
            </w:pPr>
            <w:r w:rsidRPr="00BF1DF1">
              <w:rPr>
                <w:rFonts w:ascii="Lato" w:eastAsia="Times New Roman" w:hAnsi="Lato" w:cs="Arial"/>
                <w:b w:val="0"/>
                <w:bCs w:val="0"/>
                <w:color w:val="auto"/>
                <w:sz w:val="18"/>
                <w:szCs w:val="18"/>
                <w:lang w:eastAsia="pl-PL"/>
              </w:rPr>
              <w:t>w tym pacjenci w wieku 60 lat i powyżej</w:t>
            </w:r>
          </w:p>
        </w:tc>
        <w:tc>
          <w:tcPr>
            <w:tcW w:w="1250" w:type="pct"/>
            <w:shd w:val="clear" w:color="auto" w:fill="auto"/>
          </w:tcPr>
          <w:p w14:paraId="780CB99B"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p>
          <w:p w14:paraId="1B3964B9"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1 163 917</w:t>
            </w:r>
          </w:p>
        </w:tc>
        <w:tc>
          <w:tcPr>
            <w:tcW w:w="1244" w:type="pct"/>
            <w:shd w:val="clear" w:color="auto" w:fill="auto"/>
          </w:tcPr>
          <w:p w14:paraId="03D9D8F7"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p>
          <w:p w14:paraId="57652158"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313 244 545</w:t>
            </w:r>
          </w:p>
        </w:tc>
        <w:tc>
          <w:tcPr>
            <w:tcW w:w="1266" w:type="pct"/>
            <w:shd w:val="clear" w:color="auto" w:fill="auto"/>
          </w:tcPr>
          <w:p w14:paraId="5DBD0DD9"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p>
          <w:p w14:paraId="38C938B7" w14:textId="77777777" w:rsidR="00B73CC2" w:rsidRPr="00BF1DF1" w:rsidRDefault="00B73CC2" w:rsidP="00BF1DF1">
            <w:pPr>
              <w:tabs>
                <w:tab w:val="left" w:pos="5400"/>
              </w:tabs>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1 027 236 852 zł</w:t>
            </w:r>
          </w:p>
        </w:tc>
      </w:tr>
    </w:tbl>
    <w:p w14:paraId="33298CB8" w14:textId="447DC163" w:rsidR="00B73CC2" w:rsidRDefault="00B73CC2" w:rsidP="00F30219">
      <w:pPr>
        <w:tabs>
          <w:tab w:val="left" w:pos="5400"/>
        </w:tabs>
        <w:spacing w:after="0" w:line="240" w:lineRule="auto"/>
        <w:jc w:val="both"/>
        <w:rPr>
          <w:rFonts w:ascii="Lato" w:eastAsia="Times New Roman" w:hAnsi="Lato" w:cs="Arial"/>
          <w:sz w:val="16"/>
          <w:szCs w:val="16"/>
          <w:lang w:eastAsia="pl-PL"/>
        </w:rPr>
      </w:pPr>
      <w:r w:rsidRPr="00F30219">
        <w:rPr>
          <w:rFonts w:ascii="Lato" w:eastAsia="Times New Roman" w:hAnsi="Lato" w:cs="Arial"/>
          <w:sz w:val="16"/>
          <w:szCs w:val="16"/>
          <w:lang w:eastAsia="pl-PL"/>
        </w:rPr>
        <w:t>Źródło: Narodowy Fundusz Zdrowia</w:t>
      </w:r>
    </w:p>
    <w:p w14:paraId="2770BD72" w14:textId="77777777" w:rsidR="005075EC" w:rsidRPr="00F30219" w:rsidRDefault="005075EC" w:rsidP="00F30219">
      <w:pPr>
        <w:tabs>
          <w:tab w:val="left" w:pos="5400"/>
        </w:tabs>
        <w:spacing w:after="0" w:line="240" w:lineRule="auto"/>
        <w:jc w:val="both"/>
        <w:rPr>
          <w:rFonts w:ascii="Lato" w:eastAsia="Times New Roman" w:hAnsi="Lato" w:cs="Arial"/>
          <w:sz w:val="16"/>
          <w:szCs w:val="16"/>
          <w:lang w:eastAsia="pl-PL"/>
        </w:rPr>
      </w:pPr>
    </w:p>
    <w:p w14:paraId="5ED288B4" w14:textId="41877767" w:rsidR="00B73CC2" w:rsidRDefault="00B73CC2" w:rsidP="00F30219">
      <w:pPr>
        <w:tabs>
          <w:tab w:val="left" w:pos="5400"/>
        </w:tabs>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 xml:space="preserve">Prawie 2 mln osób skorzystało z zaopatrzenia w wyroby medyczne, w tym prawie 1,2 mln pacjentów </w:t>
      </w:r>
      <w:r w:rsidRPr="00F30219">
        <w:rPr>
          <w:rFonts w:ascii="Lato" w:eastAsia="Times New Roman" w:hAnsi="Lato" w:cs="Arial"/>
          <w:sz w:val="20"/>
          <w:szCs w:val="20"/>
          <w:lang w:eastAsia="pl-PL"/>
        </w:rPr>
        <w:br/>
        <w:t>w wieku 60+. Łączna wartość rozliczonych wyrobów dla wszystkich pacjentów wyniosła ponad 1,6 mld zł, z czego dla pacjentów z grupy 60+ ponad 1 mld zł.</w:t>
      </w:r>
    </w:p>
    <w:p w14:paraId="04FC8F93" w14:textId="77777777" w:rsidR="00F30219" w:rsidRPr="00F30219" w:rsidRDefault="00F30219" w:rsidP="00F30219">
      <w:pPr>
        <w:tabs>
          <w:tab w:val="left" w:pos="5400"/>
        </w:tabs>
        <w:spacing w:after="0" w:line="240" w:lineRule="auto"/>
        <w:jc w:val="both"/>
        <w:rPr>
          <w:rFonts w:ascii="Lato" w:eastAsia="Times New Roman" w:hAnsi="Lato" w:cs="Arial"/>
          <w:sz w:val="20"/>
          <w:szCs w:val="20"/>
          <w:lang w:eastAsia="pl-PL"/>
        </w:rPr>
      </w:pPr>
    </w:p>
    <w:bookmarkEnd w:id="104"/>
    <w:p w14:paraId="43C8552C" w14:textId="4CFDBF9A" w:rsidR="00B73CC2" w:rsidRPr="00F30219" w:rsidRDefault="00B73CC2" w:rsidP="00F30219">
      <w:pPr>
        <w:spacing w:after="0" w:line="240" w:lineRule="auto"/>
        <w:rPr>
          <w:rFonts w:ascii="Lato" w:hAnsi="Lato"/>
          <w:b/>
          <w:bCs/>
          <w:sz w:val="20"/>
          <w:szCs w:val="20"/>
        </w:rPr>
      </w:pPr>
      <w:r w:rsidRPr="00F30219">
        <w:rPr>
          <w:rFonts w:ascii="Lato" w:hAnsi="Lato"/>
          <w:b/>
          <w:bCs/>
          <w:sz w:val="20"/>
          <w:szCs w:val="20"/>
        </w:rPr>
        <w:t>Opieka psychiatryczna</w:t>
      </w:r>
    </w:p>
    <w:p w14:paraId="5E1EC04E" w14:textId="7F02ABC2" w:rsidR="00B73CC2" w:rsidRPr="00F30219" w:rsidRDefault="00B73CC2" w:rsidP="00F30219">
      <w:pPr>
        <w:tabs>
          <w:tab w:val="left" w:pos="5400"/>
        </w:tabs>
        <w:spacing w:after="0" w:line="240" w:lineRule="auto"/>
        <w:jc w:val="both"/>
        <w:rPr>
          <w:rFonts w:ascii="Lato" w:eastAsia="Times New Roman" w:hAnsi="Lato" w:cs="Arial"/>
          <w:sz w:val="20"/>
          <w:szCs w:val="20"/>
          <w:lang w:eastAsia="pl-PL"/>
        </w:rPr>
      </w:pPr>
      <w:bookmarkStart w:id="106" w:name="_Hlk137622778"/>
      <w:r w:rsidRPr="00F30219">
        <w:rPr>
          <w:rFonts w:ascii="Lato" w:eastAsia="Times New Roman" w:hAnsi="Lato" w:cs="Arial"/>
          <w:sz w:val="20"/>
          <w:szCs w:val="20"/>
          <w:lang w:eastAsia="pl-PL"/>
        </w:rPr>
        <w:t>W 2022 r., w zakresie opieki psychiatrycznej, osobom po 60 r.ż. były udzielane świadczenia w zakresach ujętych w poniższej tabeli.</w:t>
      </w:r>
    </w:p>
    <w:bookmarkEnd w:id="106"/>
    <w:p w14:paraId="5CC45B1B" w14:textId="2F6DB566" w:rsidR="00B73CC2" w:rsidRPr="004A6FEB" w:rsidRDefault="00B73CC2" w:rsidP="00B73CC2">
      <w:pPr>
        <w:tabs>
          <w:tab w:val="left" w:pos="5400"/>
        </w:tabs>
        <w:spacing w:after="0" w:line="240" w:lineRule="auto"/>
        <w:jc w:val="both"/>
        <w:rPr>
          <w:rFonts w:ascii="Lato" w:eastAsia="Times New Roman" w:hAnsi="Lato" w:cs="Arial"/>
          <w:lang w:eastAsia="pl-PL"/>
        </w:rPr>
      </w:pPr>
    </w:p>
    <w:p w14:paraId="043B409E" w14:textId="20054CBB" w:rsidR="00F876CF" w:rsidRDefault="00F876CF" w:rsidP="00F876CF">
      <w:pPr>
        <w:pStyle w:val="Legenda"/>
        <w:keepNext/>
      </w:pPr>
      <w:bookmarkStart w:id="107" w:name="_Toc142566016"/>
      <w:r>
        <w:t xml:space="preserve">Tabela </w:t>
      </w:r>
      <w:fldSimple w:instr=" SEQ Tabela \* ARABIC ">
        <w:r w:rsidR="00AA385B">
          <w:rPr>
            <w:noProof/>
          </w:rPr>
          <w:t>53</w:t>
        </w:r>
      </w:fldSimple>
      <w:r>
        <w:t xml:space="preserve"> </w:t>
      </w:r>
      <w:r w:rsidRPr="00D4661A">
        <w:t>Świadczenia udzielone osobom po 60 r.ż. na oddziałach psychogeriatrycznych w 2022 r.</w:t>
      </w:r>
      <w:bookmarkEnd w:id="10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9"/>
        <w:gridCol w:w="2240"/>
        <w:gridCol w:w="2733"/>
      </w:tblGrid>
      <w:tr w:rsidR="00F876CF" w:rsidRPr="00BF1DF1" w14:paraId="4841C9C0" w14:textId="77777777" w:rsidTr="00BF1DF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56" w:type="pct"/>
            <w:tcBorders>
              <w:top w:val="none" w:sz="0" w:space="0" w:color="auto"/>
              <w:left w:val="none" w:sz="0" w:space="0" w:color="auto"/>
              <w:right w:val="none" w:sz="0" w:space="0" w:color="auto"/>
            </w:tcBorders>
            <w:shd w:val="clear" w:color="auto" w:fill="8EAADB" w:themeFill="accent1" w:themeFillTint="99"/>
            <w:hideMark/>
          </w:tcPr>
          <w:p w14:paraId="73E814CA" w14:textId="77777777" w:rsidR="00B73CC2" w:rsidRPr="00BF1DF1" w:rsidRDefault="00B73CC2" w:rsidP="00BF1DF1">
            <w:pPr>
              <w:tabs>
                <w:tab w:val="left" w:pos="708"/>
              </w:tabs>
              <w:spacing w:before="0" w:line="256" w:lineRule="auto"/>
              <w:jc w:val="center"/>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Zakres</w:t>
            </w:r>
          </w:p>
        </w:tc>
        <w:tc>
          <w:tcPr>
            <w:tcW w:w="1236" w:type="pct"/>
            <w:tcBorders>
              <w:top w:val="none" w:sz="0" w:space="0" w:color="auto"/>
              <w:left w:val="none" w:sz="0" w:space="0" w:color="auto"/>
              <w:right w:val="none" w:sz="0" w:space="0" w:color="auto"/>
            </w:tcBorders>
            <w:shd w:val="clear" w:color="auto" w:fill="8EAADB" w:themeFill="accent1" w:themeFillTint="99"/>
            <w:hideMark/>
          </w:tcPr>
          <w:p w14:paraId="29727E7F" w14:textId="77777777" w:rsidR="00B73CC2" w:rsidRPr="00BF1DF1" w:rsidRDefault="00B73CC2" w:rsidP="00BF1DF1">
            <w:pPr>
              <w:tabs>
                <w:tab w:val="left" w:pos="708"/>
              </w:tabs>
              <w:spacing w:before="0" w:line="256"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Liczba świadczeń (kontraktów)</w:t>
            </w:r>
          </w:p>
        </w:tc>
        <w:tc>
          <w:tcPr>
            <w:tcW w:w="1508" w:type="pct"/>
            <w:tcBorders>
              <w:top w:val="none" w:sz="0" w:space="0" w:color="auto"/>
              <w:left w:val="none" w:sz="0" w:space="0" w:color="auto"/>
              <w:right w:val="none" w:sz="0" w:space="0" w:color="auto"/>
            </w:tcBorders>
            <w:shd w:val="clear" w:color="auto" w:fill="8EAADB" w:themeFill="accent1" w:themeFillTint="99"/>
            <w:hideMark/>
          </w:tcPr>
          <w:p w14:paraId="286BA462" w14:textId="77777777" w:rsidR="00B73CC2" w:rsidRPr="00BF1DF1" w:rsidRDefault="00B73CC2" w:rsidP="00BF1DF1">
            <w:pPr>
              <w:tabs>
                <w:tab w:val="left" w:pos="708"/>
              </w:tabs>
              <w:spacing w:before="0" w:line="256"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b w:val="0"/>
                <w:bCs w:val="0"/>
                <w:color w:val="auto"/>
                <w:kern w:val="24"/>
                <w:sz w:val="18"/>
                <w:szCs w:val="18"/>
                <w:lang w:eastAsia="pl-PL"/>
              </w:rPr>
            </w:pPr>
            <w:r w:rsidRPr="00BF1DF1">
              <w:rPr>
                <w:rFonts w:ascii="Lato" w:eastAsia="Times New Roman" w:hAnsi="Lato" w:cs="Arial"/>
                <w:color w:val="auto"/>
                <w:kern w:val="24"/>
                <w:sz w:val="18"/>
                <w:szCs w:val="18"/>
                <w:lang w:eastAsia="pl-PL"/>
              </w:rPr>
              <w:t>Wartość</w:t>
            </w:r>
          </w:p>
          <w:p w14:paraId="448DF9B3" w14:textId="77777777" w:rsidR="00B73CC2" w:rsidRPr="00BF1DF1" w:rsidRDefault="00B73CC2" w:rsidP="00BF1DF1">
            <w:pPr>
              <w:tabs>
                <w:tab w:val="left" w:pos="708"/>
              </w:tabs>
              <w:spacing w:before="0" w:line="256"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b w:val="0"/>
                <w:bCs w:val="0"/>
                <w:color w:val="auto"/>
                <w:kern w:val="24"/>
                <w:sz w:val="18"/>
                <w:szCs w:val="18"/>
                <w:lang w:eastAsia="pl-PL"/>
              </w:rPr>
            </w:pPr>
            <w:r w:rsidRPr="00BF1DF1">
              <w:rPr>
                <w:rFonts w:ascii="Lato" w:eastAsia="Times New Roman" w:hAnsi="Lato" w:cs="Arial"/>
                <w:color w:val="auto"/>
                <w:kern w:val="24"/>
                <w:sz w:val="18"/>
                <w:szCs w:val="18"/>
                <w:lang w:eastAsia="pl-PL"/>
              </w:rPr>
              <w:t>rozliczonych</w:t>
            </w:r>
          </w:p>
          <w:p w14:paraId="15B1276A" w14:textId="77777777" w:rsidR="00B73CC2" w:rsidRPr="00BF1DF1" w:rsidRDefault="00B73CC2" w:rsidP="00BF1DF1">
            <w:pPr>
              <w:tabs>
                <w:tab w:val="left" w:pos="708"/>
              </w:tabs>
              <w:spacing w:before="0" w:line="256" w:lineRule="auto"/>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kern w:val="24"/>
                <w:sz w:val="18"/>
                <w:szCs w:val="18"/>
                <w:lang w:eastAsia="pl-PL"/>
              </w:rPr>
              <w:t>świadczeń (w zł)</w:t>
            </w:r>
          </w:p>
        </w:tc>
      </w:tr>
      <w:tr w:rsidR="00F876CF" w:rsidRPr="00BF1DF1" w14:paraId="57AAAEAE" w14:textId="77777777" w:rsidTr="00F876CF">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256" w:type="pct"/>
            <w:tcBorders>
              <w:left w:val="none" w:sz="0" w:space="0" w:color="auto"/>
            </w:tcBorders>
            <w:shd w:val="clear" w:color="auto" w:fill="auto"/>
          </w:tcPr>
          <w:p w14:paraId="1EE5A617" w14:textId="77777777" w:rsidR="00B73CC2" w:rsidRPr="00BF1DF1" w:rsidRDefault="00B73CC2" w:rsidP="00BF1DF1">
            <w:pPr>
              <w:tabs>
                <w:tab w:val="left" w:pos="708"/>
              </w:tabs>
              <w:spacing w:before="0" w:line="256" w:lineRule="auto"/>
              <w:rPr>
                <w:rFonts w:ascii="Lato" w:eastAsia="Times New Roman" w:hAnsi="Lato" w:cs="Arial"/>
                <w:b w:val="0"/>
                <w:bCs w:val="0"/>
                <w:color w:val="auto"/>
                <w:kern w:val="24"/>
                <w:sz w:val="18"/>
                <w:szCs w:val="18"/>
                <w:lang w:eastAsia="pl-PL"/>
              </w:rPr>
            </w:pPr>
            <w:r w:rsidRPr="00BF1DF1">
              <w:rPr>
                <w:rFonts w:ascii="Lato" w:eastAsia="Times New Roman" w:hAnsi="Lato" w:cs="Arial"/>
                <w:b w:val="0"/>
                <w:bCs w:val="0"/>
                <w:color w:val="auto"/>
                <w:kern w:val="24"/>
                <w:sz w:val="18"/>
                <w:szCs w:val="18"/>
                <w:lang w:eastAsia="pl-PL"/>
              </w:rPr>
              <w:t>Świadczenia dzienne psychiatryczne geriatryczne (osobodni opieki dziennej)</w:t>
            </w:r>
          </w:p>
        </w:tc>
        <w:tc>
          <w:tcPr>
            <w:tcW w:w="1236" w:type="pct"/>
            <w:shd w:val="clear" w:color="auto" w:fill="auto"/>
          </w:tcPr>
          <w:p w14:paraId="6B2183F0" w14:textId="77777777" w:rsidR="00B73CC2" w:rsidRPr="00BF1DF1" w:rsidRDefault="00B73CC2" w:rsidP="00BF1DF1">
            <w:pPr>
              <w:tabs>
                <w:tab w:val="left" w:pos="708"/>
              </w:tabs>
              <w:spacing w:before="0" w:line="256" w:lineRule="auto"/>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kern w:val="24"/>
                <w:sz w:val="18"/>
                <w:szCs w:val="18"/>
                <w:lang w:eastAsia="pl-PL"/>
              </w:rPr>
            </w:pPr>
            <w:r w:rsidRPr="00BF1DF1">
              <w:rPr>
                <w:rFonts w:ascii="Lato" w:hAnsi="Lato" w:cs="Arial"/>
                <w:sz w:val="18"/>
                <w:szCs w:val="18"/>
              </w:rPr>
              <w:t>91 935</w:t>
            </w:r>
          </w:p>
        </w:tc>
        <w:tc>
          <w:tcPr>
            <w:tcW w:w="1508" w:type="pct"/>
            <w:shd w:val="clear" w:color="auto" w:fill="auto"/>
          </w:tcPr>
          <w:p w14:paraId="7FCF883E" w14:textId="77777777" w:rsidR="00B73CC2" w:rsidRPr="00BF1DF1" w:rsidRDefault="00B73CC2" w:rsidP="00BF1DF1">
            <w:pPr>
              <w:tabs>
                <w:tab w:val="left" w:pos="708"/>
              </w:tabs>
              <w:spacing w:before="0" w:line="256" w:lineRule="auto"/>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kern w:val="24"/>
                <w:sz w:val="18"/>
                <w:szCs w:val="18"/>
                <w:lang w:eastAsia="pl-PL"/>
              </w:rPr>
            </w:pPr>
            <w:r w:rsidRPr="00BF1DF1">
              <w:rPr>
                <w:rFonts w:ascii="Lato" w:hAnsi="Lato" w:cs="Arial"/>
                <w:sz w:val="18"/>
                <w:szCs w:val="18"/>
              </w:rPr>
              <w:t>13 594 058,06 zł</w:t>
            </w:r>
          </w:p>
        </w:tc>
      </w:tr>
      <w:tr w:rsidR="00F876CF" w:rsidRPr="00BF1DF1" w14:paraId="2237F0D4" w14:textId="77777777" w:rsidTr="00F876CF">
        <w:trPr>
          <w:trHeight w:val="218"/>
        </w:trPr>
        <w:tc>
          <w:tcPr>
            <w:cnfStyle w:val="001000000000" w:firstRow="0" w:lastRow="0" w:firstColumn="1" w:lastColumn="0" w:oddVBand="0" w:evenVBand="0" w:oddHBand="0" w:evenHBand="0" w:firstRowFirstColumn="0" w:firstRowLastColumn="0" w:lastRowFirstColumn="0" w:lastRowLastColumn="0"/>
            <w:tcW w:w="2256" w:type="pct"/>
            <w:tcBorders>
              <w:left w:val="none" w:sz="0" w:space="0" w:color="auto"/>
            </w:tcBorders>
            <w:shd w:val="clear" w:color="auto" w:fill="auto"/>
            <w:hideMark/>
          </w:tcPr>
          <w:p w14:paraId="49FC224D" w14:textId="77777777" w:rsidR="00B73CC2" w:rsidRPr="00BF1DF1" w:rsidRDefault="00B73CC2" w:rsidP="00BF1DF1">
            <w:pPr>
              <w:tabs>
                <w:tab w:val="left" w:pos="708"/>
              </w:tabs>
              <w:spacing w:before="0" w:line="256" w:lineRule="auto"/>
              <w:rPr>
                <w:rFonts w:ascii="Lato" w:eastAsia="Times New Roman" w:hAnsi="Lato" w:cs="Arial"/>
                <w:b w:val="0"/>
                <w:bCs w:val="0"/>
                <w:color w:val="auto"/>
                <w:sz w:val="18"/>
                <w:szCs w:val="18"/>
                <w:lang w:eastAsia="pl-PL"/>
              </w:rPr>
            </w:pPr>
            <w:r w:rsidRPr="00BF1DF1">
              <w:rPr>
                <w:rFonts w:ascii="Lato" w:eastAsia="Times New Roman" w:hAnsi="Lato" w:cs="Arial"/>
                <w:b w:val="0"/>
                <w:bCs w:val="0"/>
                <w:color w:val="auto"/>
                <w:kern w:val="24"/>
                <w:sz w:val="18"/>
                <w:szCs w:val="18"/>
                <w:lang w:eastAsia="pl-PL"/>
              </w:rPr>
              <w:t>Świadczenia psychogeriatryczne (liczba hospitalizacji)</w:t>
            </w:r>
          </w:p>
        </w:tc>
        <w:tc>
          <w:tcPr>
            <w:tcW w:w="1236" w:type="pct"/>
            <w:shd w:val="clear" w:color="auto" w:fill="auto"/>
          </w:tcPr>
          <w:p w14:paraId="68BCBCB0" w14:textId="77777777" w:rsidR="00B73CC2" w:rsidRPr="00BF1DF1" w:rsidRDefault="00B73CC2" w:rsidP="00BF1DF1">
            <w:pPr>
              <w:tabs>
                <w:tab w:val="left" w:pos="708"/>
              </w:tabs>
              <w:spacing w:before="0" w:line="256" w:lineRule="auto"/>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6 231</w:t>
            </w:r>
          </w:p>
        </w:tc>
        <w:tc>
          <w:tcPr>
            <w:tcW w:w="1508" w:type="pct"/>
            <w:shd w:val="clear" w:color="auto" w:fill="auto"/>
          </w:tcPr>
          <w:p w14:paraId="2B9F882D" w14:textId="77777777" w:rsidR="00B73CC2" w:rsidRPr="00BF1DF1" w:rsidRDefault="00B73CC2" w:rsidP="00BF1DF1">
            <w:pPr>
              <w:tabs>
                <w:tab w:val="left" w:pos="708"/>
              </w:tabs>
              <w:spacing w:before="0" w:line="256" w:lineRule="auto"/>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80 783 300,51 zł</w:t>
            </w:r>
          </w:p>
        </w:tc>
      </w:tr>
      <w:tr w:rsidR="00F876CF" w:rsidRPr="00BF1DF1" w14:paraId="67534F3D" w14:textId="77777777" w:rsidTr="000163B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256" w:type="pct"/>
            <w:tcBorders>
              <w:left w:val="none" w:sz="0" w:space="0" w:color="auto"/>
            </w:tcBorders>
            <w:shd w:val="clear" w:color="auto" w:fill="auto"/>
            <w:hideMark/>
          </w:tcPr>
          <w:p w14:paraId="571EBD9F" w14:textId="77777777" w:rsidR="00B73CC2" w:rsidRPr="00BF1DF1" w:rsidRDefault="00B73CC2" w:rsidP="00BF1DF1">
            <w:pPr>
              <w:tabs>
                <w:tab w:val="left" w:pos="708"/>
              </w:tabs>
              <w:spacing w:before="0" w:line="256" w:lineRule="auto"/>
              <w:rPr>
                <w:rFonts w:ascii="Lato" w:eastAsia="Times New Roman" w:hAnsi="Lato" w:cs="Arial"/>
                <w:b w:val="0"/>
                <w:bCs w:val="0"/>
                <w:color w:val="auto"/>
                <w:sz w:val="18"/>
                <w:szCs w:val="18"/>
                <w:lang w:eastAsia="pl-PL"/>
              </w:rPr>
            </w:pPr>
            <w:r w:rsidRPr="00BF1DF1">
              <w:rPr>
                <w:rFonts w:ascii="Lato" w:eastAsia="Times New Roman" w:hAnsi="Lato" w:cs="Arial"/>
                <w:b w:val="0"/>
                <w:bCs w:val="0"/>
                <w:color w:val="auto"/>
                <w:kern w:val="24"/>
                <w:sz w:val="18"/>
                <w:szCs w:val="18"/>
                <w:lang w:eastAsia="pl-PL" w:bidi="pl-PL"/>
              </w:rPr>
              <w:t>Świadczenia pielęgnacyjno-opiekuńcze psychiatryczne dla dorosłych (liczba pobytów)</w:t>
            </w:r>
          </w:p>
        </w:tc>
        <w:tc>
          <w:tcPr>
            <w:tcW w:w="1236" w:type="pct"/>
            <w:shd w:val="clear" w:color="auto" w:fill="auto"/>
          </w:tcPr>
          <w:p w14:paraId="515D56FA" w14:textId="77777777" w:rsidR="00B73CC2" w:rsidRPr="00BF1DF1" w:rsidRDefault="00B73CC2" w:rsidP="00BF1DF1">
            <w:pPr>
              <w:tabs>
                <w:tab w:val="left" w:pos="708"/>
              </w:tabs>
              <w:spacing w:before="0" w:line="256" w:lineRule="auto"/>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383</w:t>
            </w:r>
          </w:p>
        </w:tc>
        <w:tc>
          <w:tcPr>
            <w:tcW w:w="1508" w:type="pct"/>
            <w:shd w:val="clear" w:color="auto" w:fill="auto"/>
          </w:tcPr>
          <w:p w14:paraId="04DE82F9" w14:textId="77777777" w:rsidR="00B73CC2" w:rsidRPr="00BF1DF1" w:rsidRDefault="00B73CC2" w:rsidP="00BF1DF1">
            <w:pPr>
              <w:tabs>
                <w:tab w:val="left" w:pos="708"/>
              </w:tabs>
              <w:spacing w:before="0" w:line="256" w:lineRule="auto"/>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hAnsi="Lato" w:cs="Arial"/>
                <w:sz w:val="18"/>
                <w:szCs w:val="18"/>
              </w:rPr>
              <w:t>18 141 719,75 zł</w:t>
            </w:r>
          </w:p>
        </w:tc>
      </w:tr>
      <w:tr w:rsidR="000163BF" w:rsidRPr="00BF1DF1" w14:paraId="08599626" w14:textId="77777777" w:rsidTr="000163BF">
        <w:trPr>
          <w:trHeight w:val="327"/>
        </w:trPr>
        <w:tc>
          <w:tcPr>
            <w:cnfStyle w:val="001000000000" w:firstRow="0" w:lastRow="0" w:firstColumn="1" w:lastColumn="0" w:oddVBand="0" w:evenVBand="0" w:oddHBand="0" w:evenHBand="0" w:firstRowFirstColumn="0" w:firstRowLastColumn="0" w:lastRowFirstColumn="0" w:lastRowLastColumn="0"/>
            <w:tcW w:w="2256" w:type="pct"/>
            <w:tcBorders>
              <w:left w:val="none" w:sz="0" w:space="0" w:color="auto"/>
              <w:bottom w:val="none" w:sz="0" w:space="0" w:color="auto"/>
            </w:tcBorders>
            <w:shd w:val="clear" w:color="auto" w:fill="auto"/>
          </w:tcPr>
          <w:p w14:paraId="3EF12866" w14:textId="547A83B1" w:rsidR="000163BF" w:rsidRPr="00BF1DF1" w:rsidRDefault="000163BF" w:rsidP="000163BF">
            <w:pPr>
              <w:tabs>
                <w:tab w:val="left" w:pos="708"/>
              </w:tabs>
              <w:spacing w:before="0"/>
              <w:rPr>
                <w:rFonts w:ascii="Lato" w:eastAsia="Times New Roman" w:hAnsi="Lato" w:cs="Arial"/>
                <w:kern w:val="24"/>
                <w:sz w:val="18"/>
                <w:szCs w:val="18"/>
                <w:lang w:eastAsia="pl-PL" w:bidi="pl-PL"/>
              </w:rPr>
            </w:pPr>
            <w:r w:rsidRPr="00BF1DF1">
              <w:rPr>
                <w:rFonts w:ascii="Lato" w:eastAsia="Times New Roman" w:hAnsi="Lato" w:cs="Arial"/>
                <w:b w:val="0"/>
                <w:bCs w:val="0"/>
                <w:color w:val="auto"/>
                <w:kern w:val="24"/>
                <w:sz w:val="18"/>
                <w:szCs w:val="18"/>
                <w:lang w:eastAsia="pl-PL" w:bidi="pl-PL"/>
              </w:rPr>
              <w:t>Świadczenia opiekuńczo-lecznicze psychiatryczne dla dorosłych (liczba pobytów)</w:t>
            </w:r>
          </w:p>
        </w:tc>
        <w:tc>
          <w:tcPr>
            <w:tcW w:w="1236" w:type="pct"/>
            <w:shd w:val="clear" w:color="auto" w:fill="auto"/>
          </w:tcPr>
          <w:p w14:paraId="44A7ABF1" w14:textId="5842D295" w:rsidR="000163BF" w:rsidRPr="00BF1DF1" w:rsidRDefault="000163BF" w:rsidP="00BF1DF1">
            <w:pPr>
              <w:tabs>
                <w:tab w:val="left" w:pos="708"/>
              </w:tabs>
              <w:spacing w:line="256" w:lineRule="auto"/>
              <w:jc w:val="right"/>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r>
              <w:rPr>
                <w:rFonts w:ascii="Lato" w:hAnsi="Lato" w:cs="Arial"/>
                <w:sz w:val="18"/>
                <w:szCs w:val="18"/>
              </w:rPr>
              <w:t>5 164</w:t>
            </w:r>
          </w:p>
        </w:tc>
        <w:tc>
          <w:tcPr>
            <w:tcW w:w="1508" w:type="pct"/>
            <w:shd w:val="clear" w:color="auto" w:fill="auto"/>
          </w:tcPr>
          <w:p w14:paraId="6F7C230D" w14:textId="3E9969BD" w:rsidR="000163BF" w:rsidRPr="00BF1DF1" w:rsidRDefault="000163BF" w:rsidP="00BF1DF1">
            <w:pPr>
              <w:tabs>
                <w:tab w:val="left" w:pos="708"/>
              </w:tabs>
              <w:spacing w:line="256" w:lineRule="auto"/>
              <w:jc w:val="right"/>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r w:rsidRPr="000163BF">
              <w:rPr>
                <w:rFonts w:ascii="Lato" w:hAnsi="Lato" w:cs="Arial"/>
                <w:sz w:val="18"/>
                <w:szCs w:val="18"/>
              </w:rPr>
              <w:t>25 117 313,85 zł</w:t>
            </w:r>
          </w:p>
        </w:tc>
      </w:tr>
    </w:tbl>
    <w:p w14:paraId="031F40E7" w14:textId="77777777" w:rsidR="00F876CF" w:rsidRPr="005075EC" w:rsidRDefault="00F876CF" w:rsidP="005075EC">
      <w:pPr>
        <w:spacing w:after="0" w:line="240" w:lineRule="auto"/>
        <w:rPr>
          <w:rFonts w:ascii="Lato" w:hAnsi="Lato"/>
          <w:sz w:val="16"/>
          <w:szCs w:val="16"/>
        </w:rPr>
      </w:pPr>
      <w:r w:rsidRPr="005075EC">
        <w:rPr>
          <w:rFonts w:ascii="Lato" w:hAnsi="Lato"/>
          <w:sz w:val="16"/>
          <w:szCs w:val="16"/>
        </w:rPr>
        <w:t>Źródło: Narodowy Fundusz Zdrowia</w:t>
      </w:r>
    </w:p>
    <w:p w14:paraId="2BA688B3" w14:textId="77777777" w:rsidR="005075EC" w:rsidRDefault="005075EC" w:rsidP="005075EC">
      <w:pPr>
        <w:spacing w:after="0" w:line="240" w:lineRule="auto"/>
        <w:rPr>
          <w:rFonts w:ascii="Lato" w:eastAsia="Times New Roman" w:hAnsi="Lato" w:cs="Arial"/>
          <w:b/>
          <w:bCs/>
          <w:sz w:val="20"/>
          <w:szCs w:val="20"/>
          <w:lang w:eastAsia="pl-PL"/>
        </w:rPr>
      </w:pPr>
    </w:p>
    <w:p w14:paraId="745BA512" w14:textId="3F5143E5" w:rsidR="00F876CF" w:rsidRPr="00F876CF" w:rsidRDefault="00F876CF" w:rsidP="005075EC">
      <w:pPr>
        <w:spacing w:after="0" w:line="240" w:lineRule="auto"/>
        <w:rPr>
          <w:rFonts w:ascii="Lato" w:hAnsi="Lato"/>
          <w:sz w:val="20"/>
          <w:szCs w:val="20"/>
        </w:rPr>
      </w:pPr>
      <w:r w:rsidRPr="00F876CF">
        <w:rPr>
          <w:rFonts w:ascii="Lato" w:eastAsia="Times New Roman" w:hAnsi="Lato" w:cs="Arial"/>
          <w:b/>
          <w:bCs/>
          <w:sz w:val="20"/>
          <w:szCs w:val="20"/>
          <w:lang w:eastAsia="pl-PL"/>
        </w:rPr>
        <w:t>KADRA UDZIELAJĄCA ŚWIADCZEŃ ZDROWOTNYCH OSOBOM STARSZYM</w:t>
      </w:r>
    </w:p>
    <w:p w14:paraId="7D3E63D4" w14:textId="36B1762A" w:rsidR="00B73CC2" w:rsidRPr="00F876CF" w:rsidRDefault="00F876CF" w:rsidP="005075EC">
      <w:pPr>
        <w:spacing w:after="0" w:line="240" w:lineRule="auto"/>
        <w:rPr>
          <w:rFonts w:ascii="Lato" w:hAnsi="Lato"/>
          <w:b/>
          <w:bCs/>
          <w:sz w:val="20"/>
          <w:szCs w:val="20"/>
        </w:rPr>
      </w:pPr>
      <w:r w:rsidRPr="00F876CF">
        <w:rPr>
          <w:rFonts w:ascii="Lato" w:hAnsi="Lato"/>
          <w:b/>
          <w:bCs/>
          <w:sz w:val="20"/>
          <w:szCs w:val="20"/>
        </w:rPr>
        <w:t>Lekarze geriatrzy</w:t>
      </w:r>
    </w:p>
    <w:p w14:paraId="0F451B67" w14:textId="14808F13" w:rsidR="00F876CF" w:rsidRDefault="00F876CF" w:rsidP="00F30219">
      <w:pPr>
        <w:tabs>
          <w:tab w:val="left" w:pos="6585"/>
        </w:tabs>
        <w:spacing w:after="0" w:line="240" w:lineRule="auto"/>
        <w:jc w:val="both"/>
        <w:rPr>
          <w:rFonts w:ascii="Lato" w:hAnsi="Lato" w:cs="Arial"/>
          <w:sz w:val="20"/>
          <w:szCs w:val="20"/>
        </w:rPr>
      </w:pPr>
      <w:r w:rsidRPr="00F30219">
        <w:rPr>
          <w:rFonts w:ascii="Lato" w:hAnsi="Lato" w:cs="Arial"/>
          <w:sz w:val="20"/>
          <w:szCs w:val="20"/>
        </w:rPr>
        <w:t xml:space="preserve">Według danych z rejestru prowadzonego przez Naczelną Izbę Lekarską, na dzień </w:t>
      </w:r>
      <w:r w:rsidRPr="00F30219">
        <w:rPr>
          <w:rFonts w:ascii="Lato" w:hAnsi="Lato" w:cs="Arial"/>
          <w:b/>
          <w:bCs/>
          <w:sz w:val="20"/>
          <w:szCs w:val="20"/>
        </w:rPr>
        <w:t>1 marca 2023 r. w Polsce było czynnych zawodowo 562 geriatrów</w:t>
      </w:r>
      <w:r w:rsidRPr="00F30219">
        <w:rPr>
          <w:rFonts w:ascii="Lato" w:hAnsi="Lato" w:cs="Arial"/>
          <w:sz w:val="20"/>
          <w:szCs w:val="20"/>
        </w:rPr>
        <w:t xml:space="preserve">, podczas gdy w </w:t>
      </w:r>
      <w:r w:rsidRPr="00F30219">
        <w:rPr>
          <w:rFonts w:ascii="Lato" w:hAnsi="Lato" w:cs="Arial"/>
          <w:b/>
          <w:bCs/>
          <w:sz w:val="20"/>
          <w:szCs w:val="20"/>
        </w:rPr>
        <w:t>2022 r. (stan na styczeń) było 534 specjalistów</w:t>
      </w:r>
      <w:r w:rsidRPr="00F30219">
        <w:rPr>
          <w:rFonts w:ascii="Lato" w:hAnsi="Lato" w:cs="Arial"/>
          <w:sz w:val="20"/>
          <w:szCs w:val="20"/>
        </w:rPr>
        <w:t xml:space="preserve"> w tej dziedzinie. Oznacza to 9,5% wzrost rok do roku liczby czynnych zawodowo geriatrów w Polsce. W </w:t>
      </w:r>
      <w:r w:rsidRPr="00F30219">
        <w:rPr>
          <w:rFonts w:ascii="Lato" w:hAnsi="Lato" w:cs="Arial"/>
          <w:sz w:val="20"/>
          <w:szCs w:val="20"/>
        </w:rPr>
        <w:lastRenderedPageBreak/>
        <w:t>okresie od 30 września 2020 r. do 1 marca 2023 r. zwiększenie odsetka specjalistów geriatrii wyniosło 14,5% i było większe od analogicznego wzrostu odsetka specjalistów w dziedzinie chorób wewnętrznych (7,3%), medycyny rodzinnej (3,9%) i kardiologii (10,8%). Niemniej w porównaniu do specjalności pokrewnych liczba geriatrów w Polsce jest nadal znikoma.</w:t>
      </w:r>
      <w:r w:rsidR="005075EC">
        <w:rPr>
          <w:rFonts w:ascii="Lato" w:hAnsi="Lato" w:cs="Arial"/>
          <w:sz w:val="20"/>
          <w:szCs w:val="20"/>
        </w:rPr>
        <w:t xml:space="preserve"> </w:t>
      </w:r>
      <w:r w:rsidRPr="00F30219">
        <w:rPr>
          <w:rFonts w:ascii="Lato" w:hAnsi="Lato" w:cs="Arial"/>
          <w:sz w:val="20"/>
          <w:szCs w:val="20"/>
        </w:rPr>
        <w:t xml:space="preserve">Współczynnik liczby geriatrów w przeliczeniu na 100 tys. mieszkańców wynosi 1,48 geriatry. </w:t>
      </w:r>
    </w:p>
    <w:p w14:paraId="44EDB4B0" w14:textId="77777777" w:rsidR="00F30219" w:rsidRPr="00F30219" w:rsidRDefault="00F30219" w:rsidP="00F30219">
      <w:pPr>
        <w:tabs>
          <w:tab w:val="left" w:pos="6585"/>
        </w:tabs>
        <w:spacing w:after="0" w:line="240" w:lineRule="auto"/>
        <w:jc w:val="both"/>
        <w:rPr>
          <w:rFonts w:ascii="Lato" w:hAnsi="Lato" w:cs="Arial"/>
          <w:sz w:val="20"/>
          <w:szCs w:val="20"/>
        </w:rPr>
      </w:pPr>
    </w:p>
    <w:p w14:paraId="6938F304" w14:textId="22FD7916" w:rsidR="00F876CF" w:rsidRDefault="00F876CF" w:rsidP="00F30219">
      <w:pPr>
        <w:tabs>
          <w:tab w:val="left" w:pos="6585"/>
        </w:tabs>
        <w:spacing w:after="0" w:line="240" w:lineRule="auto"/>
        <w:jc w:val="both"/>
        <w:rPr>
          <w:rFonts w:ascii="Lato" w:hAnsi="Lato" w:cs="Arial"/>
          <w:sz w:val="20"/>
          <w:szCs w:val="20"/>
        </w:rPr>
      </w:pPr>
      <w:r w:rsidRPr="00F30219">
        <w:rPr>
          <w:rFonts w:ascii="Lato" w:hAnsi="Lato" w:cs="Arial"/>
          <w:b/>
          <w:bCs/>
          <w:sz w:val="20"/>
          <w:szCs w:val="20"/>
        </w:rPr>
        <w:t>W 2022 r. liczba lekarzy realizujących szkolenie specjalizacyjne z dziedziny geriatrii wynosiła 97 osób</w:t>
      </w:r>
      <w:r w:rsidRPr="00F30219">
        <w:rPr>
          <w:rFonts w:ascii="Lato" w:hAnsi="Lato" w:cs="Arial"/>
          <w:sz w:val="20"/>
          <w:szCs w:val="20"/>
        </w:rPr>
        <w:t>, w tym w trybie rezydentury (finansowanie z budżetu Państwa) szkolenie realizowało 23 lekarzy (stan na 31.12.2022 r.). Liczba miejsc specjalizacyjnych w jednostkach akredytowanych z tej dziedziny liczyła 315 miejsc (stan na 31.12.2022 r.).</w:t>
      </w:r>
    </w:p>
    <w:p w14:paraId="711B08C5" w14:textId="77777777" w:rsidR="005075EC" w:rsidRPr="00F30219" w:rsidRDefault="005075EC" w:rsidP="00F30219">
      <w:pPr>
        <w:tabs>
          <w:tab w:val="left" w:pos="6585"/>
        </w:tabs>
        <w:spacing w:after="0" w:line="240" w:lineRule="auto"/>
        <w:jc w:val="both"/>
        <w:rPr>
          <w:rFonts w:ascii="Lato" w:hAnsi="Lato" w:cs="Arial"/>
          <w:sz w:val="20"/>
          <w:szCs w:val="20"/>
        </w:rPr>
      </w:pPr>
    </w:p>
    <w:p w14:paraId="47C06138" w14:textId="4D47A82E" w:rsidR="00F876CF" w:rsidRDefault="00F876CF" w:rsidP="00F876CF">
      <w:pPr>
        <w:pStyle w:val="Legenda"/>
        <w:keepNext/>
      </w:pPr>
      <w:bookmarkStart w:id="108" w:name="_Toc142566017"/>
      <w:r>
        <w:t xml:space="preserve">Tabela </w:t>
      </w:r>
      <w:fldSimple w:instr=" SEQ Tabela \* ARABIC ">
        <w:r w:rsidR="00AA385B">
          <w:rPr>
            <w:noProof/>
          </w:rPr>
          <w:t>54</w:t>
        </w:r>
      </w:fldSimple>
      <w:r>
        <w:t xml:space="preserve"> </w:t>
      </w:r>
      <w:r w:rsidRPr="002A0560">
        <w:t>. Liczba lekarzy geriatrów wykonujących zawód</w:t>
      </w:r>
      <w:bookmarkEnd w:id="108"/>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3628"/>
        <w:gridCol w:w="3174"/>
      </w:tblGrid>
      <w:tr w:rsidR="00F876CF" w:rsidRPr="00BF1DF1" w14:paraId="151CFA01" w14:textId="77777777" w:rsidTr="00BF1DF1">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247" w:type="pct"/>
            <w:tcBorders>
              <w:top w:val="none" w:sz="0" w:space="0" w:color="auto"/>
              <w:left w:val="none" w:sz="0" w:space="0" w:color="auto"/>
              <w:right w:val="none" w:sz="0" w:space="0" w:color="auto"/>
            </w:tcBorders>
            <w:shd w:val="clear" w:color="auto" w:fill="8EAADB" w:themeFill="accent1" w:themeFillTint="99"/>
            <w:vAlign w:val="center"/>
            <w:hideMark/>
          </w:tcPr>
          <w:p w14:paraId="671BBF08"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Według stanu na:</w:t>
            </w:r>
          </w:p>
        </w:tc>
        <w:tc>
          <w:tcPr>
            <w:tcW w:w="2002" w:type="pct"/>
            <w:tcBorders>
              <w:top w:val="none" w:sz="0" w:space="0" w:color="auto"/>
              <w:left w:val="none" w:sz="0" w:space="0" w:color="auto"/>
              <w:right w:val="none" w:sz="0" w:space="0" w:color="auto"/>
            </w:tcBorders>
            <w:shd w:val="clear" w:color="auto" w:fill="8EAADB" w:themeFill="accent1" w:themeFillTint="99"/>
            <w:vAlign w:val="center"/>
            <w:hideMark/>
          </w:tcPr>
          <w:p w14:paraId="2E7C901E" w14:textId="77777777" w:rsidR="00F876CF" w:rsidRPr="00BF1DF1" w:rsidRDefault="00F876CF" w:rsidP="00706C37">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Dziedzina specjalizacji</w:t>
            </w:r>
          </w:p>
        </w:tc>
        <w:tc>
          <w:tcPr>
            <w:tcW w:w="1751" w:type="pct"/>
            <w:tcBorders>
              <w:top w:val="none" w:sz="0" w:space="0" w:color="auto"/>
              <w:left w:val="none" w:sz="0" w:space="0" w:color="auto"/>
              <w:right w:val="none" w:sz="0" w:space="0" w:color="auto"/>
            </w:tcBorders>
            <w:shd w:val="clear" w:color="auto" w:fill="8EAADB" w:themeFill="accent1" w:themeFillTint="99"/>
            <w:vAlign w:val="center"/>
            <w:hideMark/>
          </w:tcPr>
          <w:p w14:paraId="7BB18C30" w14:textId="77777777" w:rsidR="00F876CF" w:rsidRPr="00BF1DF1" w:rsidRDefault="00F876CF" w:rsidP="00706C37">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bookmarkStart w:id="109" w:name="_Hlk106371122"/>
            <w:r w:rsidRPr="00BF1DF1">
              <w:rPr>
                <w:rFonts w:ascii="Lato" w:eastAsia="Times New Roman" w:hAnsi="Lato" w:cs="Arial"/>
                <w:color w:val="auto"/>
                <w:sz w:val="18"/>
                <w:szCs w:val="18"/>
                <w:lang w:eastAsia="pl-PL"/>
              </w:rPr>
              <w:t>Liczba specjalistów</w:t>
            </w:r>
          </w:p>
          <w:p w14:paraId="655BFD9A" w14:textId="77777777" w:rsidR="00F876CF" w:rsidRPr="00BF1DF1" w:rsidRDefault="00F876CF" w:rsidP="00706C37">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wykonujący zawód</w:t>
            </w:r>
            <w:bookmarkEnd w:id="109"/>
          </w:p>
        </w:tc>
      </w:tr>
      <w:tr w:rsidR="00F876CF" w:rsidRPr="00BF1DF1" w14:paraId="3835EF39" w14:textId="77777777" w:rsidTr="00BF1DF1">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13AFB1E9"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31.12.2015</w:t>
            </w:r>
          </w:p>
        </w:tc>
        <w:tc>
          <w:tcPr>
            <w:tcW w:w="2002" w:type="pct"/>
            <w:vMerge w:val="restart"/>
            <w:shd w:val="clear" w:color="auto" w:fill="auto"/>
            <w:vAlign w:val="center"/>
            <w:hideMark/>
          </w:tcPr>
          <w:p w14:paraId="5648FE4D"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Geriatria</w:t>
            </w:r>
          </w:p>
        </w:tc>
        <w:tc>
          <w:tcPr>
            <w:tcW w:w="1751" w:type="pct"/>
            <w:shd w:val="clear" w:color="auto" w:fill="auto"/>
            <w:vAlign w:val="center"/>
            <w:hideMark/>
          </w:tcPr>
          <w:p w14:paraId="4950B4D3"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338</w:t>
            </w:r>
          </w:p>
        </w:tc>
      </w:tr>
      <w:tr w:rsidR="00F876CF" w:rsidRPr="00BF1DF1" w14:paraId="47D655D0" w14:textId="77777777" w:rsidTr="00F876CF">
        <w:trPr>
          <w:trHeight w:val="262"/>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08273F1E"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31.12.2019</w:t>
            </w:r>
          </w:p>
        </w:tc>
        <w:tc>
          <w:tcPr>
            <w:tcW w:w="2002" w:type="pct"/>
            <w:vMerge/>
            <w:shd w:val="clear" w:color="auto" w:fill="auto"/>
            <w:vAlign w:val="center"/>
            <w:hideMark/>
          </w:tcPr>
          <w:p w14:paraId="64AD1A78" w14:textId="77777777" w:rsidR="00F876CF" w:rsidRPr="00BF1DF1" w:rsidRDefault="00F876CF" w:rsidP="00706C37">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p>
        </w:tc>
        <w:tc>
          <w:tcPr>
            <w:tcW w:w="1751" w:type="pct"/>
            <w:shd w:val="clear" w:color="auto" w:fill="auto"/>
            <w:vAlign w:val="center"/>
            <w:hideMark/>
          </w:tcPr>
          <w:p w14:paraId="5FDD4CC0" w14:textId="77777777" w:rsidR="00F876CF" w:rsidRPr="00BF1DF1" w:rsidRDefault="00F876CF" w:rsidP="00706C37">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477</w:t>
            </w:r>
          </w:p>
        </w:tc>
      </w:tr>
      <w:tr w:rsidR="00F876CF" w:rsidRPr="00BF1DF1" w14:paraId="6E7B291F" w14:textId="77777777" w:rsidTr="00BF1DF1">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hideMark/>
          </w:tcPr>
          <w:p w14:paraId="04A6F444"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31.12.2020</w:t>
            </w:r>
          </w:p>
        </w:tc>
        <w:tc>
          <w:tcPr>
            <w:tcW w:w="2002" w:type="pct"/>
            <w:vMerge/>
            <w:shd w:val="clear" w:color="auto" w:fill="auto"/>
            <w:vAlign w:val="center"/>
            <w:hideMark/>
          </w:tcPr>
          <w:p w14:paraId="13F5972B"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p>
        </w:tc>
        <w:tc>
          <w:tcPr>
            <w:tcW w:w="1751" w:type="pct"/>
            <w:shd w:val="clear" w:color="auto" w:fill="auto"/>
            <w:vAlign w:val="center"/>
            <w:hideMark/>
          </w:tcPr>
          <w:p w14:paraId="4FB50484"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509</w:t>
            </w:r>
          </w:p>
        </w:tc>
      </w:tr>
      <w:tr w:rsidR="00F876CF" w:rsidRPr="00BF1DF1" w14:paraId="2D8ED3A1" w14:textId="77777777" w:rsidTr="00BF1DF1">
        <w:trPr>
          <w:trHeight w:val="127"/>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tcBorders>
            <w:shd w:val="clear" w:color="auto" w:fill="auto"/>
            <w:vAlign w:val="center"/>
          </w:tcPr>
          <w:p w14:paraId="05E57D0E"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31.12.2021</w:t>
            </w:r>
          </w:p>
        </w:tc>
        <w:tc>
          <w:tcPr>
            <w:tcW w:w="2002" w:type="pct"/>
            <w:vMerge/>
            <w:shd w:val="clear" w:color="auto" w:fill="auto"/>
            <w:vAlign w:val="center"/>
          </w:tcPr>
          <w:p w14:paraId="4FFB400D" w14:textId="77777777" w:rsidR="00F876CF" w:rsidRPr="00BF1DF1" w:rsidRDefault="00F876CF" w:rsidP="00706C37">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p>
        </w:tc>
        <w:tc>
          <w:tcPr>
            <w:tcW w:w="1751" w:type="pct"/>
            <w:shd w:val="clear" w:color="auto" w:fill="auto"/>
            <w:vAlign w:val="center"/>
          </w:tcPr>
          <w:p w14:paraId="74D514E0" w14:textId="77777777" w:rsidR="00F876CF" w:rsidRPr="00BF1DF1" w:rsidRDefault="00F876CF" w:rsidP="00706C37">
            <w:pPr>
              <w:spacing w:before="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534</w:t>
            </w:r>
          </w:p>
        </w:tc>
      </w:tr>
      <w:tr w:rsidR="00F876CF" w:rsidRPr="00BF1DF1" w14:paraId="7D55A922" w14:textId="77777777" w:rsidTr="00BF1DF1">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47" w:type="pct"/>
            <w:tcBorders>
              <w:left w:val="none" w:sz="0" w:space="0" w:color="auto"/>
              <w:bottom w:val="none" w:sz="0" w:space="0" w:color="auto"/>
            </w:tcBorders>
            <w:shd w:val="clear" w:color="auto" w:fill="auto"/>
            <w:vAlign w:val="center"/>
          </w:tcPr>
          <w:p w14:paraId="5B59A3E0" w14:textId="77777777" w:rsidR="00F876CF" w:rsidRPr="00BF1DF1" w:rsidRDefault="00F876CF" w:rsidP="00706C37">
            <w:pPr>
              <w:spacing w:before="0"/>
              <w:jc w:val="center"/>
              <w:rPr>
                <w:rFonts w:ascii="Lato" w:eastAsia="Times New Roman" w:hAnsi="Lato" w:cs="Arial"/>
                <w:color w:val="auto"/>
                <w:sz w:val="18"/>
                <w:szCs w:val="18"/>
                <w:lang w:eastAsia="pl-PL"/>
              </w:rPr>
            </w:pPr>
            <w:r w:rsidRPr="00BF1DF1">
              <w:rPr>
                <w:rFonts w:ascii="Lato" w:eastAsia="Times New Roman" w:hAnsi="Lato" w:cs="Arial"/>
                <w:color w:val="auto"/>
                <w:sz w:val="18"/>
                <w:szCs w:val="18"/>
                <w:lang w:eastAsia="pl-PL"/>
              </w:rPr>
              <w:t>31.12.2022</w:t>
            </w:r>
          </w:p>
        </w:tc>
        <w:tc>
          <w:tcPr>
            <w:tcW w:w="2002" w:type="pct"/>
            <w:vMerge/>
            <w:shd w:val="clear" w:color="auto" w:fill="auto"/>
            <w:vAlign w:val="center"/>
          </w:tcPr>
          <w:p w14:paraId="18F0A0CB"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p>
        </w:tc>
        <w:tc>
          <w:tcPr>
            <w:tcW w:w="1751" w:type="pct"/>
            <w:shd w:val="clear" w:color="auto" w:fill="auto"/>
            <w:vAlign w:val="center"/>
          </w:tcPr>
          <w:p w14:paraId="62554C1C" w14:textId="77777777" w:rsidR="00F876CF" w:rsidRPr="00BF1DF1" w:rsidRDefault="00F876CF" w:rsidP="00706C37">
            <w:pPr>
              <w:spacing w:before="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lang w:eastAsia="pl-PL"/>
              </w:rPr>
            </w:pPr>
            <w:r w:rsidRPr="00BF1DF1">
              <w:rPr>
                <w:rFonts w:ascii="Lato" w:eastAsia="Times New Roman" w:hAnsi="Lato" w:cs="Arial"/>
                <w:sz w:val="18"/>
                <w:szCs w:val="18"/>
                <w:lang w:eastAsia="pl-PL"/>
              </w:rPr>
              <w:t>558</w:t>
            </w:r>
          </w:p>
        </w:tc>
      </w:tr>
    </w:tbl>
    <w:p w14:paraId="510EF131" w14:textId="21764BC8" w:rsidR="00F876CF" w:rsidRPr="00F30219" w:rsidRDefault="00F876CF" w:rsidP="00F30219">
      <w:pPr>
        <w:spacing w:after="0" w:line="240" w:lineRule="auto"/>
        <w:rPr>
          <w:rFonts w:ascii="Lato" w:hAnsi="Lato"/>
          <w:sz w:val="16"/>
          <w:szCs w:val="16"/>
        </w:rPr>
      </w:pPr>
      <w:r w:rsidRPr="00F30219">
        <w:rPr>
          <w:rFonts w:ascii="Lato" w:hAnsi="Lato"/>
          <w:sz w:val="16"/>
          <w:szCs w:val="16"/>
        </w:rPr>
        <w:t>Źródło: N</w:t>
      </w:r>
      <w:r w:rsidR="00F30219" w:rsidRPr="00F30219">
        <w:rPr>
          <w:rFonts w:ascii="Lato" w:hAnsi="Lato"/>
          <w:sz w:val="16"/>
          <w:szCs w:val="16"/>
        </w:rPr>
        <w:t>aczelna Izba Lekarska</w:t>
      </w:r>
    </w:p>
    <w:p w14:paraId="6861DE73" w14:textId="77777777" w:rsidR="00F30219" w:rsidRDefault="00F30219" w:rsidP="00F30219">
      <w:pPr>
        <w:spacing w:after="0" w:line="240" w:lineRule="auto"/>
        <w:jc w:val="both"/>
        <w:rPr>
          <w:rFonts w:ascii="Lato" w:hAnsi="Lato"/>
          <w:b/>
          <w:bCs/>
          <w:sz w:val="20"/>
          <w:szCs w:val="20"/>
        </w:rPr>
      </w:pPr>
    </w:p>
    <w:p w14:paraId="4ADC2818" w14:textId="7022213C" w:rsidR="00F876CF" w:rsidRPr="00F30219" w:rsidRDefault="00F876CF" w:rsidP="00F30219">
      <w:pPr>
        <w:spacing w:after="0" w:line="240" w:lineRule="auto"/>
        <w:jc w:val="both"/>
        <w:rPr>
          <w:rFonts w:ascii="Lato" w:hAnsi="Lato"/>
          <w:b/>
          <w:bCs/>
          <w:sz w:val="20"/>
          <w:szCs w:val="20"/>
        </w:rPr>
      </w:pPr>
      <w:r w:rsidRPr="00F30219">
        <w:rPr>
          <w:rFonts w:ascii="Lato" w:hAnsi="Lato"/>
          <w:b/>
          <w:bCs/>
          <w:sz w:val="20"/>
          <w:szCs w:val="20"/>
        </w:rPr>
        <w:t>Lekarze innych specjalności</w:t>
      </w:r>
    </w:p>
    <w:p w14:paraId="474BC746" w14:textId="77777777" w:rsidR="00F30219" w:rsidRDefault="00F876CF" w:rsidP="00F30219">
      <w:pPr>
        <w:pStyle w:val="Akapitzlist"/>
        <w:tabs>
          <w:tab w:val="left" w:pos="6585"/>
        </w:tabs>
        <w:spacing w:after="0" w:line="240" w:lineRule="auto"/>
        <w:ind w:left="0"/>
        <w:jc w:val="both"/>
        <w:rPr>
          <w:rFonts w:ascii="Lato" w:hAnsi="Lato" w:cs="Arial"/>
          <w:sz w:val="20"/>
          <w:szCs w:val="20"/>
        </w:rPr>
      </w:pPr>
      <w:r w:rsidRPr="00F30219">
        <w:rPr>
          <w:rFonts w:ascii="Lato" w:hAnsi="Lato" w:cs="Arial"/>
          <w:sz w:val="20"/>
          <w:szCs w:val="20"/>
        </w:rPr>
        <w:t>Zaobserwować można także stopniowy wzrost liczby lekarzy innych specjalności, którzy zajmują się leczeniem osób starszych, a także opieką długoterminową. Są to specjalności takie jak: medycyna paliatywna, kardiologia, psychiatria, endokrynologia i diabetologia, interna.</w:t>
      </w:r>
    </w:p>
    <w:p w14:paraId="7A2FF543" w14:textId="0D9FD219" w:rsidR="00F876CF" w:rsidRPr="00F30219" w:rsidRDefault="00F876CF" w:rsidP="00F30219">
      <w:pPr>
        <w:pStyle w:val="Akapitzlist"/>
        <w:tabs>
          <w:tab w:val="left" w:pos="6585"/>
        </w:tabs>
        <w:spacing w:after="0" w:line="240" w:lineRule="auto"/>
        <w:ind w:left="0"/>
        <w:jc w:val="both"/>
        <w:rPr>
          <w:rFonts w:ascii="Lato" w:hAnsi="Lato" w:cs="Arial"/>
          <w:sz w:val="20"/>
          <w:szCs w:val="20"/>
        </w:rPr>
      </w:pPr>
      <w:r w:rsidRPr="00F30219">
        <w:rPr>
          <w:rFonts w:ascii="Lato" w:hAnsi="Lato" w:cs="Arial"/>
          <w:sz w:val="20"/>
          <w:szCs w:val="20"/>
        </w:rPr>
        <w:t xml:space="preserve"> </w:t>
      </w:r>
    </w:p>
    <w:p w14:paraId="1CE0F764" w14:textId="77777777" w:rsidR="00F876CF" w:rsidRPr="00F30219" w:rsidRDefault="00F876CF" w:rsidP="00F30219">
      <w:pPr>
        <w:pStyle w:val="Akapitzlist"/>
        <w:tabs>
          <w:tab w:val="left" w:pos="6585"/>
        </w:tabs>
        <w:spacing w:after="0" w:line="240" w:lineRule="auto"/>
        <w:ind w:left="0"/>
        <w:jc w:val="both"/>
        <w:rPr>
          <w:rFonts w:ascii="Lato" w:hAnsi="Lato" w:cs="Arial"/>
          <w:sz w:val="20"/>
          <w:szCs w:val="20"/>
          <w:u w:val="single"/>
        </w:rPr>
      </w:pPr>
      <w:r w:rsidRPr="00F30219">
        <w:rPr>
          <w:rFonts w:ascii="Lato" w:hAnsi="Lato" w:cs="Arial"/>
          <w:sz w:val="20"/>
          <w:szCs w:val="20"/>
          <w:u w:val="single"/>
        </w:rPr>
        <w:t>W 2022 r. liczba lekarzy w poszczególnych specjalizacjach wynosiła (stan na 31.12.2022 r.)</w:t>
      </w:r>
    </w:p>
    <w:p w14:paraId="7D7F681A"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geriatrii - 558 osób,</w:t>
      </w:r>
    </w:p>
    <w:p w14:paraId="1BC9B72B"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medycyny paliatywnej - 607 osób,</w:t>
      </w:r>
    </w:p>
    <w:p w14:paraId="24849AB4"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kardiologii - 5218 osób,</w:t>
      </w:r>
    </w:p>
    <w:p w14:paraId="0E2FBA12"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psychiatrii - 4516 osób,</w:t>
      </w:r>
    </w:p>
    <w:p w14:paraId="5801ED60"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diabetologii - 1581 osób,</w:t>
      </w:r>
    </w:p>
    <w:p w14:paraId="5CFC557D" w14:textId="77777777" w:rsidR="00F876CF" w:rsidRPr="00F30219"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chorób wewnętrznych -  29 310 osób ,</w:t>
      </w:r>
    </w:p>
    <w:p w14:paraId="57687F8A" w14:textId="5B756F63" w:rsidR="00F876CF" w:rsidRDefault="00F876CF" w:rsidP="007335F8">
      <w:pPr>
        <w:pStyle w:val="Akapitzlist"/>
        <w:numPr>
          <w:ilvl w:val="0"/>
          <w:numId w:val="226"/>
        </w:numPr>
        <w:spacing w:after="0" w:line="240" w:lineRule="auto"/>
        <w:jc w:val="both"/>
        <w:rPr>
          <w:rFonts w:ascii="Lato" w:hAnsi="Lato" w:cs="Arial"/>
          <w:sz w:val="20"/>
          <w:szCs w:val="20"/>
        </w:rPr>
      </w:pPr>
      <w:r w:rsidRPr="00F30219">
        <w:rPr>
          <w:rFonts w:ascii="Lato" w:hAnsi="Lato" w:cs="Arial"/>
          <w:sz w:val="20"/>
          <w:szCs w:val="20"/>
        </w:rPr>
        <w:t>położnictwa i ginekologii - 7 989 osób</w:t>
      </w:r>
      <w:r w:rsidR="00F30219">
        <w:rPr>
          <w:rFonts w:ascii="Lato" w:hAnsi="Lato" w:cs="Arial"/>
          <w:sz w:val="20"/>
          <w:szCs w:val="20"/>
        </w:rPr>
        <w:t>.</w:t>
      </w:r>
    </w:p>
    <w:p w14:paraId="433F1636" w14:textId="77777777" w:rsidR="00F30219" w:rsidRPr="00F30219" w:rsidRDefault="00F30219" w:rsidP="00F30219">
      <w:pPr>
        <w:pStyle w:val="Akapitzlist"/>
        <w:spacing w:after="0" w:line="240" w:lineRule="auto"/>
        <w:ind w:left="782"/>
        <w:jc w:val="both"/>
        <w:rPr>
          <w:rFonts w:ascii="Lato" w:hAnsi="Lato" w:cs="Arial"/>
          <w:sz w:val="20"/>
          <w:szCs w:val="20"/>
        </w:rPr>
      </w:pPr>
    </w:p>
    <w:p w14:paraId="5EF1B6E2" w14:textId="77777777" w:rsidR="00F876CF" w:rsidRPr="00F30219" w:rsidRDefault="00F876CF" w:rsidP="00F30219">
      <w:pPr>
        <w:spacing w:after="0" w:line="240" w:lineRule="auto"/>
        <w:jc w:val="both"/>
        <w:rPr>
          <w:rFonts w:ascii="Lato" w:hAnsi="Lato" w:cs="Arial"/>
          <w:sz w:val="20"/>
          <w:szCs w:val="20"/>
          <w:u w:val="single"/>
        </w:rPr>
      </w:pPr>
      <w:r w:rsidRPr="00F30219">
        <w:rPr>
          <w:rFonts w:ascii="Lato" w:hAnsi="Lato" w:cs="Arial"/>
          <w:sz w:val="20"/>
          <w:szCs w:val="20"/>
          <w:u w:val="single"/>
        </w:rPr>
        <w:t>Liczba lekarzy w trakcie specjalizacji (stan na 30.03.2023 r.):</w:t>
      </w:r>
    </w:p>
    <w:p w14:paraId="7A01EF90"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 xml:space="preserve">geriatrii - 101 osób, </w:t>
      </w:r>
    </w:p>
    <w:p w14:paraId="375063FE"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 xml:space="preserve">medycyny paliatywnej - 118 osób, </w:t>
      </w:r>
    </w:p>
    <w:p w14:paraId="2218EAB5"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 xml:space="preserve">kardiologii - 1210 osób, </w:t>
      </w:r>
    </w:p>
    <w:p w14:paraId="30F0D6A8"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 xml:space="preserve">psychiatrii - 1476 osób, </w:t>
      </w:r>
    </w:p>
    <w:p w14:paraId="2267A7A6"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 xml:space="preserve">diabetologii - 223 osób, </w:t>
      </w:r>
    </w:p>
    <w:p w14:paraId="7D97631E" w14:textId="77777777" w:rsidR="00F876CF" w:rsidRPr="00F30219" w:rsidRDefault="00F876CF" w:rsidP="007335F8">
      <w:pPr>
        <w:pStyle w:val="Akapitzlist"/>
        <w:numPr>
          <w:ilvl w:val="0"/>
          <w:numId w:val="227"/>
        </w:numPr>
        <w:spacing w:after="0" w:line="240" w:lineRule="auto"/>
        <w:ind w:left="723"/>
        <w:jc w:val="both"/>
        <w:rPr>
          <w:rFonts w:ascii="Lato" w:hAnsi="Lato" w:cs="Arial"/>
          <w:sz w:val="20"/>
          <w:szCs w:val="20"/>
        </w:rPr>
      </w:pPr>
      <w:r w:rsidRPr="00F30219">
        <w:rPr>
          <w:rFonts w:ascii="Lato" w:hAnsi="Lato" w:cs="Arial"/>
          <w:sz w:val="20"/>
          <w:szCs w:val="20"/>
        </w:rPr>
        <w:t>chorób wewnętrznych - 2567.</w:t>
      </w:r>
    </w:p>
    <w:p w14:paraId="49DBF693" w14:textId="77777777" w:rsidR="00F30219" w:rsidRDefault="00F30219" w:rsidP="00F30219">
      <w:pPr>
        <w:spacing w:after="0" w:line="240" w:lineRule="auto"/>
        <w:jc w:val="both"/>
        <w:rPr>
          <w:rFonts w:ascii="Lato" w:hAnsi="Lato" w:cs="Arial"/>
          <w:sz w:val="20"/>
          <w:szCs w:val="20"/>
        </w:rPr>
      </w:pPr>
    </w:p>
    <w:p w14:paraId="33C2719B" w14:textId="168F52F3" w:rsidR="00F876CF" w:rsidRDefault="00F876CF" w:rsidP="00F30219">
      <w:pPr>
        <w:spacing w:after="0" w:line="240" w:lineRule="auto"/>
        <w:jc w:val="both"/>
        <w:rPr>
          <w:rFonts w:ascii="Lato" w:hAnsi="Lato" w:cs="Arial"/>
          <w:sz w:val="20"/>
          <w:szCs w:val="20"/>
        </w:rPr>
      </w:pPr>
      <w:r w:rsidRPr="00F30219">
        <w:rPr>
          <w:rFonts w:ascii="Lato" w:hAnsi="Lato" w:cs="Arial"/>
          <w:sz w:val="20"/>
          <w:szCs w:val="20"/>
        </w:rPr>
        <w:t xml:space="preserve">Ponadto wzrosła także do 24 liczba uczelni oferujących kształcenie na kierunku lekarskim (po ukończeniu studiów można rozpocząć specjalizację w wyżej wymienionych kierunkach). </w:t>
      </w:r>
    </w:p>
    <w:p w14:paraId="136DFD30" w14:textId="77777777" w:rsidR="00F30219" w:rsidRPr="00F30219" w:rsidRDefault="00F30219" w:rsidP="00F30219">
      <w:pPr>
        <w:spacing w:after="0" w:line="240" w:lineRule="auto"/>
        <w:jc w:val="both"/>
        <w:rPr>
          <w:rFonts w:ascii="Lato" w:hAnsi="Lato" w:cs="Arial"/>
          <w:sz w:val="20"/>
          <w:szCs w:val="20"/>
        </w:rPr>
      </w:pPr>
    </w:p>
    <w:p w14:paraId="458D1CF4" w14:textId="7D96C3CB" w:rsidR="00F876CF" w:rsidRDefault="00F876CF" w:rsidP="00F30219">
      <w:pPr>
        <w:spacing w:after="0" w:line="240" w:lineRule="auto"/>
        <w:jc w:val="both"/>
        <w:rPr>
          <w:rFonts w:ascii="Lato" w:hAnsi="Lato" w:cs="Arial"/>
          <w:sz w:val="20"/>
          <w:szCs w:val="20"/>
        </w:rPr>
      </w:pPr>
      <w:r w:rsidRPr="00F30219">
        <w:rPr>
          <w:rFonts w:ascii="Lato" w:hAnsi="Lato" w:cs="Arial"/>
          <w:sz w:val="20"/>
          <w:szCs w:val="20"/>
        </w:rPr>
        <w:t xml:space="preserve">Wzrasta także liczba studentów kształcących się na kierunku lekarskim i w roku akademickim </w:t>
      </w:r>
      <w:r w:rsidRPr="00F30219">
        <w:rPr>
          <w:rFonts w:ascii="Lato" w:hAnsi="Lato" w:cs="Arial"/>
          <w:b/>
          <w:bCs/>
          <w:sz w:val="20"/>
          <w:szCs w:val="20"/>
        </w:rPr>
        <w:t>2022/2023 wynosiła ona 38</w:t>
      </w:r>
      <w:r w:rsidRPr="00F30219">
        <w:rPr>
          <w:rFonts w:ascii="Lato" w:hAnsi="Lato" w:cs="Arial"/>
          <w:sz w:val="20"/>
          <w:szCs w:val="20"/>
        </w:rPr>
        <w:t xml:space="preserve"> </w:t>
      </w:r>
      <w:r w:rsidRPr="00F30219">
        <w:rPr>
          <w:rFonts w:ascii="Lato" w:hAnsi="Lato" w:cs="Arial"/>
          <w:b/>
          <w:bCs/>
          <w:sz w:val="20"/>
          <w:szCs w:val="20"/>
        </w:rPr>
        <w:t>071</w:t>
      </w:r>
      <w:r w:rsidRPr="00F30219">
        <w:rPr>
          <w:rFonts w:ascii="Lato" w:hAnsi="Lato" w:cs="Arial"/>
          <w:sz w:val="20"/>
          <w:szCs w:val="20"/>
        </w:rPr>
        <w:t xml:space="preserve"> (w tym 6 527 w języku innym niż polski).</w:t>
      </w:r>
    </w:p>
    <w:p w14:paraId="1BE24D24" w14:textId="77777777" w:rsidR="00F30219" w:rsidRPr="00F30219" w:rsidRDefault="00F30219" w:rsidP="00F30219">
      <w:pPr>
        <w:spacing w:after="0" w:line="240" w:lineRule="auto"/>
        <w:jc w:val="both"/>
        <w:rPr>
          <w:rFonts w:ascii="Lato" w:hAnsi="Lato" w:cs="Arial"/>
          <w:sz w:val="20"/>
          <w:szCs w:val="20"/>
        </w:rPr>
      </w:pPr>
    </w:p>
    <w:p w14:paraId="519C87B8" w14:textId="77777777" w:rsidR="00F876CF" w:rsidRPr="00F30219" w:rsidRDefault="00F876CF" w:rsidP="00F30219">
      <w:pPr>
        <w:spacing w:after="0" w:line="240" w:lineRule="auto"/>
        <w:jc w:val="both"/>
        <w:rPr>
          <w:rFonts w:ascii="Lato" w:hAnsi="Lato"/>
          <w:sz w:val="20"/>
          <w:szCs w:val="20"/>
        </w:rPr>
      </w:pPr>
      <w:r w:rsidRPr="00F30219">
        <w:rPr>
          <w:rFonts w:ascii="Lato" w:hAnsi="Lato"/>
          <w:sz w:val="20"/>
          <w:szCs w:val="20"/>
        </w:rPr>
        <w:t>Kontynuowana jest realizacja niektórych projektów PO WER skierowanych pośrednio na wsparcie osób starszych poprzez wsparcie kadry medycznej. Dotyczy to m.in. następujących typów projektów, które rozpoczęły się w 2016 r.:</w:t>
      </w:r>
    </w:p>
    <w:p w14:paraId="7D0F77D4" w14:textId="77777777" w:rsidR="00F876CF" w:rsidRPr="00F30219" w:rsidRDefault="00F876CF" w:rsidP="0059185B">
      <w:pPr>
        <w:pStyle w:val="Akapitzlist"/>
        <w:numPr>
          <w:ilvl w:val="0"/>
          <w:numId w:val="209"/>
        </w:numPr>
        <w:spacing w:after="0" w:line="240" w:lineRule="auto"/>
        <w:jc w:val="both"/>
        <w:rPr>
          <w:rFonts w:ascii="Lato" w:hAnsi="Lato"/>
          <w:sz w:val="20"/>
          <w:szCs w:val="20"/>
        </w:rPr>
      </w:pPr>
      <w:r w:rsidRPr="00F30219">
        <w:rPr>
          <w:rFonts w:ascii="Lato" w:hAnsi="Lato"/>
          <w:sz w:val="20"/>
          <w:szCs w:val="20"/>
        </w:rPr>
        <w:t>Kształcenie specjalizacyjne lekarzy w dziedzinach istotnych z punktu widzenia potrzeb epidemiologiczno-demograficznych kraju</w:t>
      </w:r>
    </w:p>
    <w:p w14:paraId="557505FD" w14:textId="77777777" w:rsidR="00F876CF" w:rsidRPr="00F30219" w:rsidRDefault="00F876CF" w:rsidP="00F30219">
      <w:pPr>
        <w:spacing w:after="0" w:line="240" w:lineRule="auto"/>
        <w:jc w:val="both"/>
        <w:rPr>
          <w:rFonts w:ascii="Lato" w:hAnsi="Lato"/>
          <w:sz w:val="20"/>
          <w:szCs w:val="20"/>
        </w:rPr>
      </w:pPr>
      <w:r w:rsidRPr="00F30219">
        <w:rPr>
          <w:rFonts w:ascii="Lato" w:hAnsi="Lato"/>
          <w:sz w:val="20"/>
          <w:szCs w:val="20"/>
        </w:rPr>
        <w:t xml:space="preserve">Beneficjentem jest Centrum Medyczne Kształcenia Podyplomowego. Głównym celem projektu jest zwiększenie kwalifikacji zawodowych lekarzy poprzez wsparcie procesu kształcenia specjalizacyjnego w </w:t>
      </w:r>
      <w:r w:rsidRPr="00F30219">
        <w:rPr>
          <w:rFonts w:ascii="Lato" w:hAnsi="Lato"/>
          <w:sz w:val="20"/>
          <w:szCs w:val="20"/>
        </w:rPr>
        <w:lastRenderedPageBreak/>
        <w:t>dziedzinach istotnych z punktu widzenia epidemiologiczno-demograficznego kraju, w tym m. in. specjalizacji z geriatrii, onkologii, medycyny ratunkowej.</w:t>
      </w:r>
    </w:p>
    <w:p w14:paraId="05738C10" w14:textId="77777777" w:rsidR="00F876CF" w:rsidRPr="00F30219" w:rsidRDefault="00F876CF" w:rsidP="0059185B">
      <w:pPr>
        <w:pStyle w:val="Akapitzlist"/>
        <w:numPr>
          <w:ilvl w:val="0"/>
          <w:numId w:val="209"/>
        </w:numPr>
        <w:spacing w:after="0" w:line="240" w:lineRule="auto"/>
        <w:jc w:val="both"/>
        <w:rPr>
          <w:rFonts w:ascii="Lato" w:hAnsi="Lato"/>
          <w:sz w:val="20"/>
          <w:szCs w:val="20"/>
        </w:rPr>
      </w:pPr>
      <w:r w:rsidRPr="00F30219">
        <w:rPr>
          <w:rFonts w:ascii="Lato" w:hAnsi="Lato"/>
          <w:sz w:val="20"/>
          <w:szCs w:val="20"/>
        </w:rPr>
        <w:t xml:space="preserve">Kształcenie podyplomowe lekarzy realizowane w innych formach niż specjalizacje </w:t>
      </w:r>
      <w:r w:rsidRPr="00F30219">
        <w:rPr>
          <w:rFonts w:ascii="Lato" w:hAnsi="Lato"/>
          <w:sz w:val="20"/>
          <w:szCs w:val="20"/>
        </w:rPr>
        <w:br/>
        <w:t xml:space="preserve">w obszarach istotnych z punktu widzenia potrzeb epidemiologiczno-demograficznych kraju, </w:t>
      </w:r>
      <w:r w:rsidRPr="00F30219">
        <w:rPr>
          <w:rFonts w:ascii="Lato" w:hAnsi="Lato"/>
          <w:sz w:val="20"/>
          <w:szCs w:val="20"/>
        </w:rPr>
        <w:br/>
        <w:t xml:space="preserve">ze szczególnym uwzględnieniem lekarzy zatrudnionych (bez względu na formę zatrudnienia) </w:t>
      </w:r>
      <w:r w:rsidRPr="00F30219">
        <w:rPr>
          <w:rFonts w:ascii="Lato" w:hAnsi="Lato"/>
          <w:sz w:val="20"/>
          <w:szCs w:val="20"/>
        </w:rPr>
        <w:br/>
        <w:t>w placówkach podstawowej opieki zdrowotnej</w:t>
      </w:r>
    </w:p>
    <w:p w14:paraId="3CD0EA6D" w14:textId="53B6246F" w:rsidR="00F876CF" w:rsidRDefault="00F876CF" w:rsidP="00F30219">
      <w:pPr>
        <w:spacing w:after="0" w:line="240" w:lineRule="auto"/>
        <w:jc w:val="both"/>
        <w:rPr>
          <w:rFonts w:ascii="Lato" w:hAnsi="Lato"/>
          <w:sz w:val="20"/>
          <w:szCs w:val="20"/>
        </w:rPr>
      </w:pPr>
      <w:r w:rsidRPr="00F30219">
        <w:rPr>
          <w:rFonts w:ascii="Lato" w:hAnsi="Lato"/>
          <w:sz w:val="20"/>
          <w:szCs w:val="20"/>
        </w:rPr>
        <w:t xml:space="preserve">W ramach wsparcia z PO WER kształcenia podyplomowego lekarzy dofinansowane są kursy doskonalące, m.in. w zakresie geriatrii, onkologii, ratownictwa medycznego. </w:t>
      </w:r>
    </w:p>
    <w:p w14:paraId="0DA0A5AC" w14:textId="77777777" w:rsidR="00F30219" w:rsidRPr="00F30219" w:rsidRDefault="00F30219" w:rsidP="00F30219">
      <w:pPr>
        <w:spacing w:after="0" w:line="240" w:lineRule="auto"/>
        <w:jc w:val="both"/>
        <w:rPr>
          <w:rFonts w:ascii="Lato" w:hAnsi="Lato"/>
          <w:sz w:val="20"/>
          <w:szCs w:val="20"/>
        </w:rPr>
      </w:pPr>
    </w:p>
    <w:p w14:paraId="35BE1C4F" w14:textId="77777777" w:rsidR="00F876CF" w:rsidRPr="00F30219" w:rsidRDefault="00F876CF" w:rsidP="00F30219">
      <w:pPr>
        <w:tabs>
          <w:tab w:val="left" w:pos="5400"/>
        </w:tabs>
        <w:spacing w:after="0" w:line="240" w:lineRule="auto"/>
        <w:jc w:val="both"/>
        <w:rPr>
          <w:rFonts w:ascii="Lato" w:hAnsi="Lato" w:cs="Arial"/>
          <w:b/>
          <w:bCs/>
          <w:sz w:val="20"/>
          <w:szCs w:val="20"/>
          <w:u w:val="single"/>
        </w:rPr>
      </w:pPr>
      <w:r w:rsidRPr="00F30219">
        <w:rPr>
          <w:rFonts w:ascii="Lato" w:hAnsi="Lato" w:cs="Arial"/>
          <w:b/>
          <w:bCs/>
          <w:sz w:val="20"/>
          <w:szCs w:val="20"/>
          <w:u w:val="single"/>
        </w:rPr>
        <w:t>Grupy lekarzy wskazanych do udzielania świadczeń w zakresie opieki długoterminowej dla osób starszych:</w:t>
      </w:r>
    </w:p>
    <w:p w14:paraId="5950CBD4" w14:textId="77777777" w:rsidR="00F876CF" w:rsidRPr="00F30219" w:rsidRDefault="00F876CF" w:rsidP="0059185B">
      <w:pPr>
        <w:pStyle w:val="Akapitzlist"/>
        <w:numPr>
          <w:ilvl w:val="0"/>
          <w:numId w:val="208"/>
        </w:numPr>
        <w:spacing w:after="0" w:line="240" w:lineRule="auto"/>
        <w:jc w:val="both"/>
        <w:rPr>
          <w:rFonts w:ascii="Lato" w:eastAsia="Times New Roman" w:hAnsi="Lato" w:cs="Arial"/>
          <w:sz w:val="20"/>
          <w:szCs w:val="20"/>
          <w:lang w:eastAsia="pl-PL"/>
        </w:rPr>
      </w:pPr>
      <w:r w:rsidRPr="00F30219">
        <w:rPr>
          <w:rFonts w:ascii="Lato" w:eastAsia="Times New Roman" w:hAnsi="Lato" w:cs="Arial"/>
          <w:b/>
          <w:bCs/>
          <w:sz w:val="20"/>
          <w:szCs w:val="20"/>
          <w:lang w:eastAsia="pl-PL"/>
        </w:rPr>
        <w:t>dla dorosłych:</w:t>
      </w:r>
      <w:r w:rsidRPr="00F30219">
        <w:rPr>
          <w:rFonts w:ascii="Lato" w:eastAsia="Times New Roman" w:hAnsi="Lato" w:cs="Arial"/>
          <w:sz w:val="20"/>
          <w:szCs w:val="20"/>
          <w:lang w:eastAsia="pl-PL"/>
        </w:rPr>
        <w:t xml:space="preserve"> lekarze chorób wewnętrznych lub medycyny rodzinnej, lub geriatrii, oraz konsultujący lekarze psychiatrii oraz neurologii</w:t>
      </w:r>
      <w:r w:rsidRPr="00F30219">
        <w:rPr>
          <w:rFonts w:ascii="Lato" w:eastAsia="Times New Roman" w:hAnsi="Lato" w:cs="Arial"/>
          <w:i/>
          <w:iCs/>
          <w:sz w:val="20"/>
          <w:szCs w:val="20"/>
          <w:lang w:eastAsia="pl-PL"/>
        </w:rPr>
        <w:t>,</w:t>
      </w:r>
    </w:p>
    <w:p w14:paraId="0BA868A6" w14:textId="670067D0" w:rsidR="00F876CF" w:rsidRPr="00F30219" w:rsidRDefault="00F876CF" w:rsidP="0059185B">
      <w:pPr>
        <w:pStyle w:val="Akapitzlist"/>
        <w:numPr>
          <w:ilvl w:val="0"/>
          <w:numId w:val="208"/>
        </w:numPr>
        <w:spacing w:after="0" w:line="240" w:lineRule="auto"/>
        <w:jc w:val="both"/>
        <w:rPr>
          <w:rFonts w:ascii="Lato" w:eastAsia="Times New Roman" w:hAnsi="Lato" w:cs="Arial"/>
          <w:sz w:val="20"/>
          <w:szCs w:val="20"/>
          <w:lang w:eastAsia="pl-PL"/>
        </w:rPr>
      </w:pPr>
      <w:r w:rsidRPr="00F30219">
        <w:rPr>
          <w:rFonts w:ascii="Lato" w:eastAsia="Times New Roman" w:hAnsi="Lato" w:cs="Arial"/>
          <w:sz w:val="20"/>
          <w:szCs w:val="20"/>
          <w:lang w:eastAsia="pl-PL"/>
        </w:rPr>
        <w:t xml:space="preserve">dla </w:t>
      </w:r>
      <w:r w:rsidRPr="00F30219">
        <w:rPr>
          <w:rFonts w:ascii="Lato" w:eastAsia="Times New Roman" w:hAnsi="Lato" w:cs="Arial"/>
          <w:b/>
          <w:bCs/>
          <w:sz w:val="20"/>
          <w:szCs w:val="20"/>
          <w:lang w:eastAsia="pl-PL"/>
        </w:rPr>
        <w:t>pacjentów wentylowanych mechanicznie</w:t>
      </w:r>
      <w:r w:rsidRPr="00F30219">
        <w:rPr>
          <w:rFonts w:ascii="Lato" w:eastAsia="Times New Roman" w:hAnsi="Lato" w:cs="Arial"/>
          <w:sz w:val="20"/>
          <w:szCs w:val="20"/>
          <w:lang w:eastAsia="pl-PL"/>
        </w:rPr>
        <w:t>: lekarze anestezjologii i intensywnej terapii, rehabilitacji medycznej, neurologii,</w:t>
      </w:r>
      <w:r w:rsidRPr="00F30219">
        <w:rPr>
          <w:rFonts w:ascii="Lato" w:eastAsia="Times New Roman" w:hAnsi="Lato" w:cs="Arial"/>
          <w:i/>
          <w:iCs/>
          <w:sz w:val="20"/>
          <w:szCs w:val="20"/>
          <w:lang w:eastAsia="pl-PL"/>
        </w:rPr>
        <w:t xml:space="preserve"> </w:t>
      </w:r>
      <w:r w:rsidRPr="00F30219">
        <w:rPr>
          <w:rFonts w:ascii="Lato" w:eastAsia="Times New Roman" w:hAnsi="Lato" w:cs="Arial"/>
          <w:sz w:val="20"/>
          <w:szCs w:val="20"/>
          <w:lang w:eastAsia="pl-PL"/>
        </w:rPr>
        <w:t>chorób płuc lub lekarze ze specjalizacją I stopnia w dziedzinie: anestezjologii i intensywnej terapii, rehabilitacji medycznej, neurologii, chorób płuc, lub lekarze w trakcie specjalizacji z dziedziny: anestezjologii i intensywnej terapii, rehabilitacji medycznej, neurologii, chorób płuc.</w:t>
      </w:r>
    </w:p>
    <w:p w14:paraId="56C3599B" w14:textId="77777777" w:rsidR="00F876CF" w:rsidRPr="00F30219" w:rsidRDefault="00F876CF" w:rsidP="00F30219">
      <w:pPr>
        <w:spacing w:after="0" w:line="240" w:lineRule="auto"/>
        <w:jc w:val="both"/>
        <w:rPr>
          <w:rFonts w:ascii="Lato" w:hAnsi="Lato" w:cs="Arial"/>
          <w:b/>
          <w:bCs/>
          <w:sz w:val="20"/>
          <w:szCs w:val="20"/>
          <w:u w:val="single"/>
        </w:rPr>
      </w:pPr>
      <w:r w:rsidRPr="00F30219">
        <w:rPr>
          <w:rFonts w:ascii="Lato" w:hAnsi="Lato" w:cs="Arial"/>
          <w:b/>
          <w:bCs/>
          <w:sz w:val="20"/>
          <w:szCs w:val="20"/>
          <w:u w:val="single"/>
        </w:rPr>
        <w:t>Grupy lekarzy wskazanych do udzielania świadczeń w zakresie opieki paliatywnej</w:t>
      </w:r>
      <w:r w:rsidRPr="00F30219">
        <w:rPr>
          <w:rFonts w:ascii="Lato" w:eastAsia="Times New Roman" w:hAnsi="Lato" w:cs="Arial"/>
          <w:b/>
          <w:bCs/>
          <w:sz w:val="20"/>
          <w:szCs w:val="20"/>
          <w:lang w:eastAsia="pl-PL"/>
        </w:rPr>
        <w:t xml:space="preserve"> </w:t>
      </w:r>
      <w:r w:rsidRPr="00F30219">
        <w:rPr>
          <w:rFonts w:ascii="Lato" w:hAnsi="Lato" w:cs="Arial"/>
          <w:b/>
          <w:bCs/>
          <w:sz w:val="20"/>
          <w:szCs w:val="20"/>
          <w:u w:val="single"/>
        </w:rPr>
        <w:t>i hospicyjnej:</w:t>
      </w:r>
    </w:p>
    <w:p w14:paraId="1F517D15" w14:textId="159B7679" w:rsidR="00F876CF" w:rsidRPr="00F30219" w:rsidRDefault="00F876CF" w:rsidP="0059185B">
      <w:pPr>
        <w:pStyle w:val="Akapitzlist"/>
        <w:numPr>
          <w:ilvl w:val="0"/>
          <w:numId w:val="204"/>
        </w:numPr>
        <w:spacing w:after="0" w:line="240" w:lineRule="auto"/>
        <w:jc w:val="both"/>
        <w:rPr>
          <w:rFonts w:ascii="Lato" w:eastAsia="Times New Roman" w:hAnsi="Lato" w:cs="Arial"/>
          <w:sz w:val="20"/>
          <w:szCs w:val="20"/>
          <w:lang w:eastAsia="pl-PL"/>
        </w:rPr>
      </w:pPr>
      <w:r w:rsidRPr="00F30219">
        <w:rPr>
          <w:rFonts w:ascii="Lato" w:eastAsia="Times New Roman" w:hAnsi="Lato" w:cs="Arial"/>
          <w:b/>
          <w:bCs/>
          <w:sz w:val="20"/>
          <w:szCs w:val="20"/>
          <w:lang w:eastAsia="pl-PL"/>
        </w:rPr>
        <w:t xml:space="preserve">dla dorosłych </w:t>
      </w:r>
      <w:r w:rsidRPr="00F30219">
        <w:rPr>
          <w:rFonts w:ascii="Lato" w:eastAsia="Times New Roman" w:hAnsi="Lato" w:cs="Arial"/>
          <w:sz w:val="20"/>
          <w:szCs w:val="20"/>
          <w:lang w:eastAsia="pl-PL"/>
        </w:rPr>
        <w:t xml:space="preserve">- lekarze medycyny paliatywnej, lekarze w trakcie specjalizacji w dziedzinie medycyny paliatywnej, lekarze legitymujący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w:t>
      </w:r>
      <w:proofErr w:type="spellStart"/>
      <w:r w:rsidRPr="00F30219">
        <w:rPr>
          <w:rFonts w:ascii="Lato" w:eastAsia="Times New Roman" w:hAnsi="Lato" w:cs="Arial"/>
          <w:sz w:val="20"/>
          <w:szCs w:val="20"/>
          <w:lang w:eastAsia="pl-PL"/>
        </w:rPr>
        <w:t>przeddyplomowego</w:t>
      </w:r>
      <w:proofErr w:type="spellEnd"/>
      <w:r w:rsidRPr="00F30219">
        <w:rPr>
          <w:rFonts w:ascii="Lato" w:eastAsia="Times New Roman" w:hAnsi="Lato" w:cs="Arial"/>
          <w:sz w:val="20"/>
          <w:szCs w:val="20"/>
          <w:lang w:eastAsia="pl-PL"/>
        </w:rPr>
        <w:t xml:space="preserve"> lub podyplomowego lekarzy lub jednostkę posiadającą akredytację do prowadzenia specjalizacji w dziedzinie medycyny paliatywnej. </w:t>
      </w:r>
    </w:p>
    <w:p w14:paraId="52FC59E3" w14:textId="77777777" w:rsidR="00F30219" w:rsidRDefault="00F30219" w:rsidP="00F30219">
      <w:pPr>
        <w:spacing w:after="0" w:line="240" w:lineRule="auto"/>
        <w:jc w:val="both"/>
        <w:rPr>
          <w:rFonts w:ascii="Lato" w:hAnsi="Lato"/>
          <w:b/>
          <w:bCs/>
          <w:sz w:val="20"/>
          <w:szCs w:val="20"/>
        </w:rPr>
      </w:pPr>
    </w:p>
    <w:p w14:paraId="012289E8" w14:textId="081CC69E" w:rsidR="00F876CF" w:rsidRPr="00F30219" w:rsidRDefault="00F876CF" w:rsidP="00F30219">
      <w:pPr>
        <w:spacing w:after="0" w:line="240" w:lineRule="auto"/>
        <w:jc w:val="both"/>
        <w:rPr>
          <w:rFonts w:ascii="Lato" w:hAnsi="Lato"/>
          <w:b/>
          <w:bCs/>
          <w:sz w:val="20"/>
          <w:szCs w:val="20"/>
        </w:rPr>
      </w:pPr>
      <w:r w:rsidRPr="00F30219">
        <w:rPr>
          <w:rFonts w:ascii="Lato" w:hAnsi="Lato"/>
          <w:b/>
          <w:bCs/>
          <w:sz w:val="20"/>
          <w:szCs w:val="20"/>
        </w:rPr>
        <w:t>Pielęgniarki</w:t>
      </w:r>
    </w:p>
    <w:p w14:paraId="6A8CD3E9" w14:textId="4B89C521" w:rsidR="00F876CF" w:rsidRDefault="00F876CF" w:rsidP="00F30219">
      <w:pPr>
        <w:spacing w:after="0" w:line="240" w:lineRule="auto"/>
        <w:jc w:val="both"/>
        <w:rPr>
          <w:rFonts w:ascii="Lato" w:hAnsi="Lato" w:cs="Arial"/>
          <w:sz w:val="20"/>
          <w:szCs w:val="20"/>
        </w:rPr>
      </w:pPr>
      <w:r w:rsidRPr="00F30219">
        <w:rPr>
          <w:rFonts w:ascii="Lato" w:hAnsi="Lato" w:cs="Arial"/>
          <w:sz w:val="20"/>
          <w:szCs w:val="20"/>
        </w:rPr>
        <w:t xml:space="preserve">Ogólna liczba zarejestrowanych pielęgniarek na dzień 31.12.2022 r. (dane </w:t>
      </w:r>
      <w:proofErr w:type="spellStart"/>
      <w:r w:rsidRPr="00F30219">
        <w:rPr>
          <w:rFonts w:ascii="Lato" w:hAnsi="Lato" w:cs="Arial"/>
          <w:sz w:val="20"/>
          <w:szCs w:val="20"/>
        </w:rPr>
        <w:t>NIPiP</w:t>
      </w:r>
      <w:proofErr w:type="spellEnd"/>
      <w:r w:rsidRPr="00F30219">
        <w:rPr>
          <w:rFonts w:ascii="Lato" w:hAnsi="Lato" w:cs="Arial"/>
          <w:sz w:val="20"/>
          <w:szCs w:val="20"/>
        </w:rPr>
        <w:t xml:space="preserve">) wynosiła </w:t>
      </w:r>
      <w:r w:rsidRPr="00F30219">
        <w:rPr>
          <w:rFonts w:ascii="Lato" w:hAnsi="Lato" w:cs="Arial"/>
          <w:b/>
          <w:bCs/>
          <w:sz w:val="20"/>
          <w:szCs w:val="20"/>
        </w:rPr>
        <w:t>313 213</w:t>
      </w:r>
      <w:r w:rsidRPr="00F30219">
        <w:rPr>
          <w:rFonts w:ascii="Lato" w:hAnsi="Lato" w:cs="Arial"/>
          <w:sz w:val="20"/>
          <w:szCs w:val="20"/>
        </w:rPr>
        <w:t xml:space="preserve"> osób, w tym pielęgniarek zatrudnionych – </w:t>
      </w:r>
      <w:r w:rsidRPr="00F30219">
        <w:rPr>
          <w:rFonts w:ascii="Lato" w:hAnsi="Lato" w:cs="Arial"/>
          <w:b/>
          <w:bCs/>
          <w:sz w:val="20"/>
          <w:szCs w:val="20"/>
        </w:rPr>
        <w:t>236 414.</w:t>
      </w:r>
      <w:r w:rsidRPr="00F30219">
        <w:rPr>
          <w:rFonts w:ascii="Lato" w:hAnsi="Lato" w:cs="Arial"/>
          <w:sz w:val="20"/>
          <w:szCs w:val="20"/>
        </w:rPr>
        <w:t xml:space="preserve"> Łączna liczba pielęgniarek legitymujących się tytułem specjalisty w dziedzinie pielęgniarstwa geriatrycznego wg stanu na dzień </w:t>
      </w:r>
      <w:r w:rsidRPr="00F30219">
        <w:rPr>
          <w:rFonts w:ascii="Lato" w:hAnsi="Lato" w:cs="Arial"/>
          <w:b/>
          <w:bCs/>
          <w:sz w:val="20"/>
          <w:szCs w:val="20"/>
        </w:rPr>
        <w:t>30.11.2022 r. wynosiła 3108</w:t>
      </w:r>
      <w:r w:rsidRPr="00F30219">
        <w:rPr>
          <w:rFonts w:ascii="Lato" w:hAnsi="Lato" w:cs="Arial"/>
          <w:sz w:val="20"/>
          <w:szCs w:val="20"/>
        </w:rPr>
        <w:t xml:space="preserve"> (dane </w:t>
      </w:r>
      <w:proofErr w:type="spellStart"/>
      <w:r w:rsidRPr="00F30219">
        <w:rPr>
          <w:rFonts w:ascii="Lato" w:hAnsi="Lato" w:cs="Arial"/>
          <w:sz w:val="20"/>
          <w:szCs w:val="20"/>
        </w:rPr>
        <w:t>CKPPiP</w:t>
      </w:r>
      <w:proofErr w:type="spellEnd"/>
      <w:r w:rsidRPr="00F30219">
        <w:rPr>
          <w:rFonts w:ascii="Lato" w:hAnsi="Lato" w:cs="Arial"/>
          <w:sz w:val="20"/>
          <w:szCs w:val="20"/>
        </w:rPr>
        <w:t xml:space="preserve">), w tym w 2022 r. tytuł specjalisty uzyskało 200 pielęgniarek w całym kraju. </w:t>
      </w:r>
    </w:p>
    <w:p w14:paraId="4FB8A8AD" w14:textId="77777777" w:rsidR="00F30219" w:rsidRPr="00F30219" w:rsidRDefault="00F30219" w:rsidP="00F30219">
      <w:pPr>
        <w:spacing w:after="0" w:line="240" w:lineRule="auto"/>
        <w:jc w:val="both"/>
        <w:rPr>
          <w:rFonts w:ascii="Lato" w:hAnsi="Lato" w:cs="Arial"/>
          <w:sz w:val="20"/>
          <w:szCs w:val="20"/>
        </w:rPr>
      </w:pPr>
    </w:p>
    <w:p w14:paraId="23F7F709" w14:textId="6DDCD2A4" w:rsidR="00F876CF" w:rsidRDefault="00F876CF" w:rsidP="00F30219">
      <w:pPr>
        <w:spacing w:after="0" w:line="240" w:lineRule="auto"/>
        <w:jc w:val="both"/>
        <w:rPr>
          <w:rFonts w:ascii="Lato" w:hAnsi="Lato" w:cs="Arial"/>
          <w:sz w:val="20"/>
          <w:szCs w:val="20"/>
        </w:rPr>
      </w:pPr>
      <w:r w:rsidRPr="00F30219">
        <w:rPr>
          <w:rFonts w:ascii="Lato" w:hAnsi="Lato" w:cs="Arial"/>
          <w:sz w:val="20"/>
          <w:szCs w:val="20"/>
        </w:rPr>
        <w:t>Aktualnie średnia wieku pielęgniarek wynosi 54,10 lata, a osoby w przedziale wiekowym 48-65 lat stanowią najliczniejszą grupę wśród zarejestrowanych w Centralnym Rejestrze Pielęgniarek i Położnych.</w:t>
      </w:r>
      <w:r w:rsidR="00F30219">
        <w:rPr>
          <w:rFonts w:ascii="Lato" w:hAnsi="Lato" w:cs="Arial"/>
          <w:sz w:val="20"/>
          <w:szCs w:val="20"/>
        </w:rPr>
        <w:t xml:space="preserve"> </w:t>
      </w:r>
      <w:r w:rsidRPr="00F30219">
        <w:rPr>
          <w:rFonts w:ascii="Lato" w:hAnsi="Lato" w:cs="Arial"/>
          <w:sz w:val="20"/>
          <w:szCs w:val="20"/>
        </w:rPr>
        <w:t xml:space="preserve">W świetle opublikowanych prognoz, ubytek kadry pielęgniarskiej w kraju w najbliższych latach, w związku z przejściem na emeryturę, może wynieść nawet 44%. </w:t>
      </w:r>
    </w:p>
    <w:p w14:paraId="7E687ED0" w14:textId="77777777" w:rsidR="00F30219" w:rsidRPr="00F30219" w:rsidRDefault="00F30219" w:rsidP="00F30219">
      <w:pPr>
        <w:spacing w:after="0" w:line="240" w:lineRule="auto"/>
        <w:jc w:val="both"/>
        <w:rPr>
          <w:rFonts w:ascii="Lato" w:hAnsi="Lato" w:cs="Arial"/>
          <w:sz w:val="20"/>
          <w:szCs w:val="20"/>
        </w:rPr>
      </w:pPr>
    </w:p>
    <w:p w14:paraId="787D6C05" w14:textId="7F5C5E06" w:rsidR="00F876CF" w:rsidRDefault="00F876CF" w:rsidP="00F30219">
      <w:pPr>
        <w:spacing w:after="0" w:line="240" w:lineRule="auto"/>
        <w:jc w:val="both"/>
        <w:rPr>
          <w:rFonts w:ascii="Lato" w:hAnsi="Lato" w:cs="Arial"/>
          <w:sz w:val="20"/>
          <w:szCs w:val="20"/>
        </w:rPr>
      </w:pPr>
      <w:r w:rsidRPr="00F30219">
        <w:rPr>
          <w:rFonts w:ascii="Lato" w:hAnsi="Lato" w:cs="Arial"/>
          <w:sz w:val="20"/>
          <w:szCs w:val="20"/>
        </w:rPr>
        <w:t xml:space="preserve">Warto dodać, że aktualne zasoby kadrowe dla zapewnienia opieki geriatrycznej to oprócz pielęgniarek z kwalifikacjami specjalistycznymi – również pielęgniarki przygotowane na poziomie ogólnym do sprawowania opieki nad pacjentem geriatrycznym - pielęgniarki i pielęgniarze legitymujący się dyplomem licencjata/magistra pielęgniarstwa, którzy w toku kształcenia przed dyplomowego uzyskiwali kompetencje do sprawowania opieki geriatrycznej, realizując efekty kształcenia w przedmiocie geriatria i pielęgniarstwo geriatryczne. </w:t>
      </w:r>
    </w:p>
    <w:p w14:paraId="1590009F" w14:textId="77777777" w:rsidR="00F30219" w:rsidRPr="00F30219" w:rsidRDefault="00F30219" w:rsidP="00F30219">
      <w:pPr>
        <w:spacing w:after="0" w:line="240" w:lineRule="auto"/>
        <w:jc w:val="both"/>
        <w:rPr>
          <w:rFonts w:ascii="Lato" w:hAnsi="Lato" w:cs="Arial"/>
          <w:sz w:val="20"/>
          <w:szCs w:val="20"/>
        </w:rPr>
      </w:pPr>
    </w:p>
    <w:p w14:paraId="23076EBA" w14:textId="6F7C58E6" w:rsidR="00F30219" w:rsidRPr="005016F6" w:rsidRDefault="005016F6" w:rsidP="00CE7271">
      <w:pPr>
        <w:pStyle w:val="Akapitzlist"/>
        <w:numPr>
          <w:ilvl w:val="0"/>
          <w:numId w:val="210"/>
        </w:numPr>
        <w:spacing w:after="0" w:line="240" w:lineRule="auto"/>
        <w:ind w:left="720"/>
        <w:jc w:val="both"/>
        <w:rPr>
          <w:rFonts w:ascii="Lato" w:hAnsi="Lato"/>
          <w:b/>
          <w:bCs/>
          <w:sz w:val="20"/>
          <w:szCs w:val="20"/>
        </w:rPr>
      </w:pPr>
      <w:r w:rsidRPr="005016F6">
        <w:rPr>
          <w:rFonts w:ascii="Lato" w:hAnsi="Lato"/>
          <w:b/>
          <w:bCs/>
          <w:sz w:val="20"/>
          <w:szCs w:val="20"/>
        </w:rPr>
        <w:t>Rozwój kadr w ochronie zdrowia</w:t>
      </w:r>
    </w:p>
    <w:p w14:paraId="309E8A5A" w14:textId="507491BA" w:rsidR="00F876CF" w:rsidRPr="00F30219" w:rsidRDefault="00567F2C" w:rsidP="00F30219">
      <w:pPr>
        <w:spacing w:after="0" w:line="240" w:lineRule="auto"/>
        <w:jc w:val="both"/>
        <w:rPr>
          <w:rFonts w:ascii="Lato" w:hAnsi="Lato"/>
          <w:b/>
          <w:bCs/>
          <w:sz w:val="20"/>
          <w:szCs w:val="20"/>
        </w:rPr>
      </w:pPr>
      <w:r w:rsidRPr="00F30219">
        <w:rPr>
          <w:rFonts w:ascii="Lato" w:hAnsi="Lato"/>
          <w:b/>
          <w:bCs/>
          <w:sz w:val="20"/>
          <w:szCs w:val="20"/>
        </w:rPr>
        <w:t>SZKOLENIA DLA PIELĘGNIAREK I POŁOŻNYCH</w:t>
      </w:r>
    </w:p>
    <w:p w14:paraId="1BE0AB11" w14:textId="768A7831" w:rsidR="00567F2C" w:rsidRPr="00F30219" w:rsidRDefault="00567F2C" w:rsidP="00F30219">
      <w:pPr>
        <w:spacing w:after="0" w:line="240" w:lineRule="auto"/>
        <w:jc w:val="both"/>
        <w:rPr>
          <w:rFonts w:ascii="Lato" w:hAnsi="Lato"/>
          <w:b/>
          <w:bCs/>
          <w:sz w:val="20"/>
          <w:szCs w:val="20"/>
        </w:rPr>
      </w:pPr>
      <w:r w:rsidRPr="00F30219">
        <w:rPr>
          <w:rFonts w:ascii="Lato" w:hAnsi="Lato"/>
          <w:b/>
          <w:bCs/>
          <w:sz w:val="20"/>
          <w:szCs w:val="20"/>
        </w:rPr>
        <w:t>Projekt POWER</w:t>
      </w:r>
    </w:p>
    <w:p w14:paraId="4CE51BB2" w14:textId="6F2FAD75" w:rsidR="00567F2C" w:rsidRDefault="00567F2C" w:rsidP="00F30219">
      <w:pPr>
        <w:spacing w:after="0" w:line="240" w:lineRule="auto"/>
        <w:jc w:val="both"/>
        <w:rPr>
          <w:rFonts w:ascii="Lato" w:hAnsi="Lato" w:cs="Arial"/>
          <w:sz w:val="20"/>
          <w:szCs w:val="20"/>
        </w:rPr>
      </w:pPr>
      <w:r w:rsidRPr="00F30219">
        <w:rPr>
          <w:rFonts w:ascii="Lato" w:hAnsi="Lato" w:cs="Arial"/>
          <w:sz w:val="20"/>
          <w:szCs w:val="20"/>
        </w:rPr>
        <w:t>Zgodnie z założeniami Programu Operacyjnego Wiedza Edukacja Rozwój na lata 2014-2020 (PO WER) Ministerstwo Zdrowia, co do zasady, prowadzi działania przewidujące wsparcie dla osób będących w wieku aktywności zawodowej. Jednak, w pewnym stopniu realizowane są również działania zmierzające m. in. do wsparcia osób niesamodzielnych, w tym powyżej 65 roku życia.</w:t>
      </w:r>
    </w:p>
    <w:p w14:paraId="131E642F" w14:textId="77777777" w:rsidR="00F30219" w:rsidRPr="00F30219" w:rsidRDefault="00F30219" w:rsidP="00F30219">
      <w:pPr>
        <w:spacing w:after="0" w:line="240" w:lineRule="auto"/>
        <w:jc w:val="both"/>
        <w:rPr>
          <w:rFonts w:ascii="Lato" w:hAnsi="Lato" w:cs="Arial"/>
          <w:sz w:val="20"/>
          <w:szCs w:val="20"/>
        </w:rPr>
      </w:pPr>
    </w:p>
    <w:p w14:paraId="0C645009" w14:textId="77777777"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Aktualnie kontynuuje się realizację jeszcze niektórych projektów PO WER skierowanych pośrednio na wsparcie osób starszych poprzez wsparcie kadry ich obsługującej. Dotyczy to m. in. następujących typów projektów, które zostały rozpoczęte w 2016 r.:</w:t>
      </w:r>
    </w:p>
    <w:p w14:paraId="7F5F30F9" w14:textId="77777777" w:rsidR="00567F2C" w:rsidRPr="00F30219" w:rsidRDefault="00567F2C" w:rsidP="0059185B">
      <w:pPr>
        <w:pStyle w:val="Akapitzlist"/>
        <w:numPr>
          <w:ilvl w:val="0"/>
          <w:numId w:val="211"/>
        </w:numPr>
        <w:spacing w:after="0" w:line="240" w:lineRule="auto"/>
        <w:jc w:val="both"/>
        <w:rPr>
          <w:rFonts w:ascii="Lato" w:hAnsi="Lato" w:cs="Arial"/>
          <w:sz w:val="20"/>
          <w:szCs w:val="20"/>
        </w:rPr>
      </w:pPr>
      <w:r w:rsidRPr="00F30219">
        <w:rPr>
          <w:rFonts w:ascii="Lato" w:hAnsi="Lato" w:cs="Arial"/>
          <w:sz w:val="20"/>
          <w:szCs w:val="20"/>
        </w:rPr>
        <w:t>Kształcenie podyplomowe pielęgniarek i położnych w obszarach związanych z potrzebami epidemiologiczno-demograficznymi</w:t>
      </w:r>
    </w:p>
    <w:p w14:paraId="01E6BA25" w14:textId="24959452" w:rsidR="00567F2C" w:rsidRDefault="00567F2C" w:rsidP="00F30219">
      <w:pPr>
        <w:spacing w:after="0" w:line="240" w:lineRule="auto"/>
        <w:jc w:val="both"/>
        <w:rPr>
          <w:rFonts w:ascii="Lato" w:hAnsi="Lato" w:cs="Arial"/>
          <w:sz w:val="20"/>
          <w:szCs w:val="20"/>
        </w:rPr>
      </w:pPr>
      <w:r w:rsidRPr="00F30219">
        <w:rPr>
          <w:rFonts w:ascii="Lato" w:hAnsi="Lato" w:cs="Arial"/>
          <w:sz w:val="20"/>
          <w:szCs w:val="20"/>
        </w:rPr>
        <w:lastRenderedPageBreak/>
        <w:t>Kontynuowano realizację części projektów wyłonionych w 2016 r. w ramach konkursu PO WER pn. Kształcenie podyplomowe pielęgniarek i położnych w obszarach związanych z potrzebami</w:t>
      </w:r>
      <w:r w:rsidR="005075EC">
        <w:rPr>
          <w:rFonts w:ascii="Lato" w:hAnsi="Lato" w:cs="Arial"/>
          <w:sz w:val="20"/>
          <w:szCs w:val="20"/>
        </w:rPr>
        <w:t xml:space="preserve"> </w:t>
      </w:r>
      <w:r w:rsidRPr="00F30219">
        <w:rPr>
          <w:rFonts w:ascii="Lato" w:hAnsi="Lato" w:cs="Arial"/>
          <w:sz w:val="20"/>
          <w:szCs w:val="20"/>
        </w:rPr>
        <w:t>epidemiologiczno-demograficznymi. Przedmiotem ww. konkursu było podniesienie kwalifikacji</w:t>
      </w:r>
      <w:r w:rsidR="005075EC">
        <w:rPr>
          <w:rFonts w:ascii="Lato" w:hAnsi="Lato" w:cs="Arial"/>
          <w:sz w:val="20"/>
          <w:szCs w:val="20"/>
        </w:rPr>
        <w:t xml:space="preserve"> </w:t>
      </w:r>
      <w:r w:rsidRPr="00F30219">
        <w:rPr>
          <w:rFonts w:ascii="Lato" w:hAnsi="Lato" w:cs="Arial"/>
          <w:sz w:val="20"/>
          <w:szCs w:val="20"/>
        </w:rPr>
        <w:t>pielęgniarek i położnych z zakresu dziedzin będących najczęstszą przyczyną dezaktywizacji zawodowej z powodów zdrowotnych poprzez organizację kursów specjalistycznych i kwalifikacyjnych.</w:t>
      </w:r>
      <w:r w:rsidR="005075EC">
        <w:rPr>
          <w:rFonts w:ascii="Lato" w:hAnsi="Lato" w:cs="Arial"/>
          <w:sz w:val="20"/>
          <w:szCs w:val="20"/>
        </w:rPr>
        <w:t xml:space="preserve"> </w:t>
      </w:r>
      <w:r w:rsidRPr="00F30219">
        <w:rPr>
          <w:rFonts w:ascii="Lato" w:hAnsi="Lato" w:cs="Arial"/>
          <w:sz w:val="20"/>
          <w:szCs w:val="20"/>
        </w:rPr>
        <w:t>Skoncentrowanie działań ukierunkowanych na przygotowanie pielęgniarek i położnych do zachodzących zmian demograficznych i epidemiologicznych wymaga wypracowania rozwiązań wspierających i rozwijających działania ułatwiające pielęgniarkom i położnym udział w różnych formach kształcenia podyplomowego. Projekty w konkursie przewidują wsparcie edukacyjne m. in. w dziedzinie pielęgniarstwa geriatrycznego, rehabilitacji osób z przewlekłymi zaburzeniami psychicznymi, pielęgniarstwa onkologicznego i psychiatrycznego.</w:t>
      </w:r>
    </w:p>
    <w:p w14:paraId="6CF08B60" w14:textId="77777777" w:rsidR="00F30219" w:rsidRPr="00F30219" w:rsidRDefault="00F30219" w:rsidP="00F30219">
      <w:pPr>
        <w:spacing w:after="0" w:line="240" w:lineRule="auto"/>
        <w:jc w:val="both"/>
        <w:rPr>
          <w:rFonts w:ascii="Lato" w:hAnsi="Lato" w:cs="Arial"/>
          <w:sz w:val="20"/>
          <w:szCs w:val="20"/>
        </w:rPr>
      </w:pPr>
    </w:p>
    <w:p w14:paraId="3931F732" w14:textId="16894F5D" w:rsidR="00567F2C" w:rsidRPr="00F30219" w:rsidRDefault="00567F2C" w:rsidP="00F30219">
      <w:pPr>
        <w:spacing w:after="0" w:line="240" w:lineRule="auto"/>
        <w:jc w:val="both"/>
        <w:rPr>
          <w:rFonts w:ascii="Lato" w:hAnsi="Lato"/>
          <w:b/>
          <w:bCs/>
          <w:sz w:val="20"/>
          <w:szCs w:val="20"/>
        </w:rPr>
      </w:pPr>
      <w:r w:rsidRPr="00F30219">
        <w:rPr>
          <w:rFonts w:ascii="Lato" w:hAnsi="Lato"/>
          <w:b/>
          <w:bCs/>
          <w:sz w:val="20"/>
          <w:szCs w:val="20"/>
        </w:rPr>
        <w:t>Dofinansowanie szkoleń specjalizacyjnych dla pielęgniarek i położnych z budżetu państwa</w:t>
      </w:r>
    </w:p>
    <w:p w14:paraId="0D82B5CE" w14:textId="77777777"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 xml:space="preserve">W zakresie zawodów pielęgniarek i położnych,  Minister Zdrowia corocznie dofinansowuje szkolenia specjalizacyjne dla tych grup zawodowych w ramach posiadanych środków finansowych przeznaczonych na ten cel w budżecie państwa. </w:t>
      </w:r>
    </w:p>
    <w:p w14:paraId="1374D55B" w14:textId="77777777" w:rsidR="00F30219" w:rsidRDefault="00F30219" w:rsidP="00F30219">
      <w:pPr>
        <w:spacing w:after="0" w:line="240" w:lineRule="auto"/>
        <w:jc w:val="both"/>
        <w:rPr>
          <w:rFonts w:ascii="Lato" w:hAnsi="Lato" w:cs="Arial"/>
          <w:sz w:val="20"/>
          <w:szCs w:val="20"/>
        </w:rPr>
      </w:pPr>
    </w:p>
    <w:p w14:paraId="6A854CCA" w14:textId="3D3A20A6" w:rsidR="00567F2C" w:rsidRDefault="00567F2C" w:rsidP="00F30219">
      <w:pPr>
        <w:spacing w:after="0" w:line="240" w:lineRule="auto"/>
        <w:jc w:val="both"/>
        <w:rPr>
          <w:rFonts w:ascii="Lato" w:hAnsi="Lato" w:cs="Arial"/>
          <w:sz w:val="20"/>
          <w:szCs w:val="20"/>
        </w:rPr>
      </w:pPr>
      <w:r w:rsidRPr="00F30219">
        <w:rPr>
          <w:rFonts w:ascii="Lato" w:hAnsi="Lato" w:cs="Arial"/>
          <w:sz w:val="20"/>
          <w:szCs w:val="20"/>
        </w:rPr>
        <w:t xml:space="preserve">Zgodnie z Obwieszczeniem z dnia 13 grudnia 2021 r. w sprawie minimalnej liczby miejsc szkoleniowych dla pielęgniarek i położnych, maksymalnej kwoty dofinansowania jednego miejsca szkoleniowego oraz maksymalnej kwoty przeznaczonej na szkolenia specjalizacyjne w 2022 r. (Dz. Urz. Min. </w:t>
      </w:r>
      <w:proofErr w:type="spellStart"/>
      <w:r w:rsidRPr="00F30219">
        <w:rPr>
          <w:rFonts w:ascii="Lato" w:hAnsi="Lato" w:cs="Arial"/>
          <w:sz w:val="20"/>
          <w:szCs w:val="20"/>
        </w:rPr>
        <w:t>Zdr</w:t>
      </w:r>
      <w:proofErr w:type="spellEnd"/>
      <w:r w:rsidRPr="00F30219">
        <w:rPr>
          <w:rFonts w:ascii="Lato" w:hAnsi="Lato" w:cs="Arial"/>
          <w:sz w:val="20"/>
          <w:szCs w:val="20"/>
        </w:rPr>
        <w:t>. z 2021 r. poz. 97), minimalna liczba miejsc szkoleniowych dla pielęgniarek i położnych rozpoczynających specjalizację w 2022 r. wynosiła 2 525, maksymalna kwota dofinansowania jednego miejsca szkoleniowego dla specjalizacji rozpoczynających się w 2022 r. wynosiła 3 950 zł, natomiast maksymalna kwota przeznaczona na szkolenia specjalizacyjne w 2022 r. wynosiła 10 000 000 zł, w tym dofinasowana została także specjalizacja w dziedzinie pielęgniarstwa geriatrycznego dla pielęgniarek.</w:t>
      </w:r>
    </w:p>
    <w:p w14:paraId="7A03666E" w14:textId="77777777" w:rsidR="00F30219" w:rsidRPr="00F30219" w:rsidRDefault="00F30219" w:rsidP="00F30219">
      <w:pPr>
        <w:spacing w:after="0" w:line="240" w:lineRule="auto"/>
        <w:jc w:val="both"/>
        <w:rPr>
          <w:rFonts w:ascii="Lato" w:hAnsi="Lato" w:cs="Arial"/>
          <w:sz w:val="20"/>
          <w:szCs w:val="20"/>
        </w:rPr>
      </w:pPr>
    </w:p>
    <w:p w14:paraId="25C70A33" w14:textId="3BBA7B25" w:rsidR="00567F2C" w:rsidRDefault="00567F2C" w:rsidP="00F30219">
      <w:pPr>
        <w:spacing w:after="0" w:line="240" w:lineRule="auto"/>
        <w:jc w:val="both"/>
        <w:rPr>
          <w:rFonts w:ascii="Lato" w:hAnsi="Lato" w:cs="Arial"/>
          <w:sz w:val="20"/>
          <w:szCs w:val="20"/>
        </w:rPr>
      </w:pPr>
      <w:r w:rsidRPr="00F30219">
        <w:rPr>
          <w:rFonts w:ascii="Lato" w:hAnsi="Lato" w:cs="Arial"/>
          <w:sz w:val="20"/>
          <w:szCs w:val="20"/>
        </w:rPr>
        <w:t xml:space="preserve"> W 2022 r. zaplanowano do objęcia dofinansowaniem z budżetu państwa 150 miejsc szkoleniowych dla specjalizacji w dziedzinie pielęgniarstwa geriatrycznego. Liczba pielęgniarek, które uzyskały tytuł specjalisty w dziedzinie pielęgniarstwa geriatrycznego </w:t>
      </w:r>
      <w:r w:rsidRPr="00F30219">
        <w:rPr>
          <w:rFonts w:ascii="Lato" w:hAnsi="Lato" w:cs="Arial"/>
          <w:b/>
          <w:bCs/>
          <w:sz w:val="20"/>
          <w:szCs w:val="20"/>
        </w:rPr>
        <w:t>2022r. wynosi 200.</w:t>
      </w:r>
      <w:r w:rsidRPr="00F30219">
        <w:rPr>
          <w:rFonts w:ascii="Lato" w:hAnsi="Lato" w:cs="Arial"/>
          <w:sz w:val="20"/>
          <w:szCs w:val="20"/>
        </w:rPr>
        <w:t xml:space="preserve"> </w:t>
      </w:r>
    </w:p>
    <w:p w14:paraId="7C130764" w14:textId="77777777" w:rsidR="00F30219" w:rsidRPr="00F30219" w:rsidRDefault="00F30219" w:rsidP="00F30219">
      <w:pPr>
        <w:spacing w:after="0" w:line="240" w:lineRule="auto"/>
        <w:jc w:val="both"/>
        <w:rPr>
          <w:rFonts w:ascii="Lato" w:hAnsi="Lato" w:cs="Arial"/>
          <w:sz w:val="20"/>
          <w:szCs w:val="20"/>
        </w:rPr>
      </w:pPr>
    </w:p>
    <w:p w14:paraId="5FDF1A85" w14:textId="6E8D0141" w:rsidR="00567F2C" w:rsidRDefault="00567F2C" w:rsidP="00F30219">
      <w:pPr>
        <w:spacing w:after="0" w:line="240" w:lineRule="auto"/>
        <w:jc w:val="both"/>
        <w:rPr>
          <w:rFonts w:ascii="Lato" w:hAnsi="Lato" w:cs="Arial"/>
          <w:sz w:val="20"/>
          <w:szCs w:val="20"/>
        </w:rPr>
      </w:pPr>
      <w:r w:rsidRPr="00F30219">
        <w:rPr>
          <w:rFonts w:ascii="Lato" w:hAnsi="Lato" w:cs="Arial"/>
          <w:sz w:val="20"/>
          <w:szCs w:val="20"/>
        </w:rPr>
        <w:t>Dodatkowo dofinansowano również szkolenia w dziedzinach pielęgniarstwa przydatnych do opieki nad osobami starszymi, tj.: w dziedzinie pielęgniarstwa internistycznego, opieki długoterminowej, opieki paliatywnej, psychiatrycznego, rodzinnego dla pielęgniarek, chirurgicznego. Łączna liczba miejsc, które zostały zaplanowane do objęcia dofinasowaniem w ww. dziedzinach pielęgniarstwa w 2022 r.</w:t>
      </w:r>
      <w:r w:rsidRPr="00F30219">
        <w:rPr>
          <w:rFonts w:ascii="Lato" w:hAnsi="Lato" w:cs="Arial"/>
          <w:b/>
          <w:bCs/>
          <w:sz w:val="20"/>
          <w:szCs w:val="20"/>
        </w:rPr>
        <w:t xml:space="preserve"> wynosiła 1</w:t>
      </w:r>
      <w:r w:rsidR="00F30219">
        <w:rPr>
          <w:rFonts w:ascii="Lato" w:hAnsi="Lato" w:cs="Arial"/>
          <w:b/>
          <w:bCs/>
          <w:sz w:val="20"/>
          <w:szCs w:val="20"/>
        </w:rPr>
        <w:t xml:space="preserve"> </w:t>
      </w:r>
      <w:r w:rsidRPr="00F30219">
        <w:rPr>
          <w:rFonts w:ascii="Lato" w:hAnsi="Lato" w:cs="Arial"/>
          <w:b/>
          <w:bCs/>
          <w:sz w:val="20"/>
          <w:szCs w:val="20"/>
        </w:rPr>
        <w:t>625.</w:t>
      </w:r>
      <w:r w:rsidRPr="00F30219">
        <w:rPr>
          <w:rFonts w:ascii="Lato" w:hAnsi="Lato" w:cs="Arial"/>
          <w:sz w:val="20"/>
          <w:szCs w:val="20"/>
        </w:rPr>
        <w:t xml:space="preserve"> </w:t>
      </w:r>
    </w:p>
    <w:p w14:paraId="0A7CBDE0" w14:textId="77777777" w:rsidR="00F30219" w:rsidRPr="00F30219" w:rsidRDefault="00F30219" w:rsidP="00F30219">
      <w:pPr>
        <w:spacing w:after="0" w:line="240" w:lineRule="auto"/>
        <w:jc w:val="both"/>
        <w:rPr>
          <w:rFonts w:ascii="Lato" w:hAnsi="Lato" w:cs="Arial"/>
          <w:sz w:val="20"/>
          <w:szCs w:val="20"/>
        </w:rPr>
      </w:pPr>
    </w:p>
    <w:p w14:paraId="7E1C25EA" w14:textId="72A6437C" w:rsidR="00F876CF" w:rsidRPr="00F30219" w:rsidRDefault="00567F2C" w:rsidP="00F30219">
      <w:pPr>
        <w:spacing w:after="0" w:line="240" w:lineRule="auto"/>
        <w:jc w:val="both"/>
        <w:rPr>
          <w:rFonts w:ascii="Lato" w:hAnsi="Lato"/>
          <w:b/>
          <w:bCs/>
          <w:sz w:val="20"/>
          <w:szCs w:val="20"/>
        </w:rPr>
      </w:pPr>
      <w:r w:rsidRPr="00F30219">
        <w:rPr>
          <w:rFonts w:ascii="Lato" w:hAnsi="Lato"/>
          <w:b/>
          <w:bCs/>
          <w:sz w:val="20"/>
          <w:szCs w:val="20"/>
        </w:rPr>
        <w:t>Liczba pielęgniarek, które uzyskały tytuł specjalisty w 2022 r.</w:t>
      </w:r>
    </w:p>
    <w:p w14:paraId="2F0C0C14" w14:textId="76F860CB" w:rsidR="00567F2C" w:rsidRDefault="00567F2C" w:rsidP="00F30219">
      <w:pPr>
        <w:spacing w:after="0" w:line="240" w:lineRule="auto"/>
        <w:jc w:val="both"/>
        <w:rPr>
          <w:rFonts w:ascii="Lato" w:hAnsi="Lato" w:cs="Arial"/>
          <w:b/>
          <w:bCs/>
          <w:sz w:val="20"/>
          <w:szCs w:val="20"/>
        </w:rPr>
      </w:pPr>
      <w:r w:rsidRPr="00F30219">
        <w:rPr>
          <w:rFonts w:ascii="Lato" w:hAnsi="Lato" w:cs="Arial"/>
          <w:sz w:val="20"/>
          <w:szCs w:val="20"/>
        </w:rPr>
        <w:t>Liczba pielęgniarek, które uzyskały tytuł specjalisty w dziedzinach pielęgniarstwa przydatnych do opieki nad osobami starszymi, tj.: w dziedzinie pielęgniarstwa internistycznego, opieki długoterminowej, opieki paliatywnej, psychiatrycznego, rodzinnego dla pielęgniarek, chirurgicznego w 2022 r. wynosiła:</w:t>
      </w:r>
      <w:r w:rsidRPr="00F30219">
        <w:rPr>
          <w:rFonts w:ascii="Lato" w:hAnsi="Lato" w:cs="Arial"/>
          <w:b/>
          <w:bCs/>
          <w:sz w:val="20"/>
          <w:szCs w:val="20"/>
        </w:rPr>
        <w:t xml:space="preserve"> 4741.</w:t>
      </w:r>
    </w:p>
    <w:p w14:paraId="31A6353F" w14:textId="77777777" w:rsidR="00F30219" w:rsidRPr="00F30219" w:rsidRDefault="00F30219" w:rsidP="00F30219">
      <w:pPr>
        <w:spacing w:after="0" w:line="240" w:lineRule="auto"/>
        <w:jc w:val="both"/>
        <w:rPr>
          <w:rFonts w:ascii="Lato" w:hAnsi="Lato" w:cs="Arial"/>
          <w:b/>
          <w:bCs/>
          <w:sz w:val="20"/>
          <w:szCs w:val="20"/>
        </w:rPr>
      </w:pPr>
    </w:p>
    <w:p w14:paraId="7C3824B1" w14:textId="77777777"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 xml:space="preserve">Z danych z Centrum Kształcenia Podyplomowego Pielęgniarek i Położnych wynika, że: </w:t>
      </w:r>
    </w:p>
    <w:p w14:paraId="7AC7F0C5" w14:textId="14341E0D" w:rsidR="00F30219" w:rsidRPr="00F30219" w:rsidRDefault="00567F2C" w:rsidP="0059185B">
      <w:pPr>
        <w:pStyle w:val="Akapitzlist"/>
        <w:numPr>
          <w:ilvl w:val="0"/>
          <w:numId w:val="211"/>
        </w:numPr>
        <w:spacing w:after="0" w:line="240" w:lineRule="auto"/>
        <w:jc w:val="both"/>
        <w:rPr>
          <w:rFonts w:ascii="Lato" w:hAnsi="Lato" w:cs="Arial"/>
          <w:b/>
          <w:sz w:val="20"/>
          <w:szCs w:val="20"/>
        </w:rPr>
      </w:pPr>
      <w:r w:rsidRPr="00F30219">
        <w:rPr>
          <w:rFonts w:ascii="Lato" w:hAnsi="Lato" w:cs="Arial"/>
          <w:sz w:val="20"/>
          <w:szCs w:val="20"/>
        </w:rPr>
        <w:t xml:space="preserve">liczba pielęgniarek, które uzyskały tytuł specjalisty w dziedzinach pielęgniarstwa mających zastosowanie </w:t>
      </w:r>
      <w:r w:rsidRPr="00F30219">
        <w:rPr>
          <w:rFonts w:ascii="Lato" w:hAnsi="Lato" w:cs="Arial"/>
          <w:iCs/>
          <w:sz w:val="20"/>
          <w:szCs w:val="20"/>
        </w:rPr>
        <w:t>w opiece nad osobami starszymi, przewlekle chorymi</w:t>
      </w:r>
      <w:r w:rsidRPr="00F30219">
        <w:rPr>
          <w:rFonts w:ascii="Lato" w:hAnsi="Lato" w:cs="Arial"/>
          <w:sz w:val="20"/>
          <w:szCs w:val="20"/>
        </w:rPr>
        <w:t xml:space="preserve"> w 2022 r. wynosiła łącznie </w:t>
      </w:r>
      <w:r w:rsidRPr="00F30219">
        <w:rPr>
          <w:rFonts w:ascii="Lato" w:hAnsi="Lato" w:cs="Arial"/>
          <w:b/>
          <w:sz w:val="20"/>
          <w:szCs w:val="20"/>
        </w:rPr>
        <w:t xml:space="preserve">3 284 </w:t>
      </w:r>
      <w:r w:rsidRPr="00F30219">
        <w:rPr>
          <w:rFonts w:ascii="Lato" w:hAnsi="Lato" w:cs="Arial"/>
          <w:sz w:val="20"/>
          <w:szCs w:val="20"/>
        </w:rPr>
        <w:t>osób</w:t>
      </w:r>
      <w:r w:rsidR="00F30219">
        <w:rPr>
          <w:rFonts w:ascii="Lato" w:hAnsi="Lato" w:cs="Arial"/>
          <w:sz w:val="20"/>
          <w:szCs w:val="20"/>
        </w:rPr>
        <w:t>,</w:t>
      </w:r>
    </w:p>
    <w:p w14:paraId="725485CD" w14:textId="154F54BE" w:rsidR="00F30219" w:rsidRPr="00F30219" w:rsidRDefault="00567F2C" w:rsidP="0059185B">
      <w:pPr>
        <w:pStyle w:val="Akapitzlist"/>
        <w:numPr>
          <w:ilvl w:val="0"/>
          <w:numId w:val="211"/>
        </w:numPr>
        <w:spacing w:after="0" w:line="240" w:lineRule="auto"/>
        <w:jc w:val="both"/>
        <w:rPr>
          <w:rFonts w:ascii="Lato" w:hAnsi="Lato" w:cs="Arial"/>
          <w:b/>
          <w:sz w:val="20"/>
          <w:szCs w:val="20"/>
        </w:rPr>
      </w:pPr>
      <w:r w:rsidRPr="00F30219">
        <w:rPr>
          <w:rFonts w:ascii="Lato" w:hAnsi="Lato" w:cs="Arial"/>
          <w:sz w:val="20"/>
          <w:szCs w:val="20"/>
        </w:rPr>
        <w:t xml:space="preserve">liczba pielęgniarek, które ukończyły kursy kwalifikacyjne w dziedzinach pielęgniarstwa mających zastosowanie </w:t>
      </w:r>
      <w:r w:rsidRPr="00F30219">
        <w:rPr>
          <w:rFonts w:ascii="Lato" w:hAnsi="Lato" w:cs="Arial"/>
          <w:iCs/>
          <w:sz w:val="20"/>
          <w:szCs w:val="20"/>
        </w:rPr>
        <w:t xml:space="preserve">w opiece nad osobami starszymi, przewlekle chorymi w 2022 r. </w:t>
      </w:r>
      <w:r w:rsidRPr="00F30219">
        <w:rPr>
          <w:rFonts w:ascii="Lato" w:hAnsi="Lato" w:cs="Arial"/>
          <w:sz w:val="20"/>
          <w:szCs w:val="20"/>
        </w:rPr>
        <w:t xml:space="preserve">wynosiła łącznie </w:t>
      </w:r>
      <w:r w:rsidRPr="00F30219">
        <w:rPr>
          <w:rFonts w:ascii="Lato" w:hAnsi="Lato" w:cs="Arial"/>
          <w:b/>
          <w:bCs/>
          <w:sz w:val="20"/>
          <w:szCs w:val="20"/>
        </w:rPr>
        <w:t xml:space="preserve">848 </w:t>
      </w:r>
      <w:r w:rsidRPr="00F30219">
        <w:rPr>
          <w:rFonts w:ascii="Lato" w:hAnsi="Lato" w:cs="Arial"/>
          <w:sz w:val="20"/>
          <w:szCs w:val="20"/>
        </w:rPr>
        <w:t>osób</w:t>
      </w:r>
      <w:r w:rsidR="00F30219">
        <w:rPr>
          <w:rFonts w:ascii="Lato" w:hAnsi="Lato" w:cs="Arial"/>
          <w:sz w:val="20"/>
          <w:szCs w:val="20"/>
        </w:rPr>
        <w:t>,</w:t>
      </w:r>
    </w:p>
    <w:p w14:paraId="63BEA097" w14:textId="584BD9EF" w:rsidR="00567F2C" w:rsidRPr="00F30219" w:rsidRDefault="00567F2C" w:rsidP="0059185B">
      <w:pPr>
        <w:pStyle w:val="Akapitzlist"/>
        <w:numPr>
          <w:ilvl w:val="0"/>
          <w:numId w:val="211"/>
        </w:numPr>
        <w:spacing w:after="0" w:line="240" w:lineRule="auto"/>
        <w:jc w:val="both"/>
        <w:rPr>
          <w:rFonts w:ascii="Lato" w:hAnsi="Lato" w:cs="Arial"/>
          <w:b/>
          <w:sz w:val="20"/>
          <w:szCs w:val="20"/>
        </w:rPr>
      </w:pPr>
      <w:r w:rsidRPr="00F30219">
        <w:rPr>
          <w:rFonts w:ascii="Lato" w:hAnsi="Lato" w:cs="Arial"/>
          <w:sz w:val="20"/>
          <w:szCs w:val="20"/>
        </w:rPr>
        <w:t xml:space="preserve"> liczba pielęgniarek, które ukończyły kursy specjalistyczne w wybranych zakresach pielęgniarstwa mających zastosowanie </w:t>
      </w:r>
      <w:r w:rsidRPr="00F30219">
        <w:rPr>
          <w:rFonts w:ascii="Lato" w:hAnsi="Lato" w:cs="Arial"/>
          <w:iCs/>
          <w:sz w:val="20"/>
          <w:szCs w:val="20"/>
        </w:rPr>
        <w:t xml:space="preserve">w opiece nad osobami starszymi, przewlekle chorymi w 2022 r. </w:t>
      </w:r>
      <w:r w:rsidRPr="00F30219">
        <w:rPr>
          <w:rFonts w:ascii="Lato" w:hAnsi="Lato" w:cs="Arial"/>
          <w:sz w:val="20"/>
          <w:szCs w:val="20"/>
        </w:rPr>
        <w:t xml:space="preserve">wynosiła łącznie </w:t>
      </w:r>
      <w:r w:rsidRPr="00F30219">
        <w:rPr>
          <w:rFonts w:ascii="Lato" w:hAnsi="Lato" w:cs="Arial"/>
          <w:b/>
          <w:noProof/>
          <w:sz w:val="20"/>
          <w:szCs w:val="20"/>
        </w:rPr>
        <w:t xml:space="preserve">9 794 </w:t>
      </w:r>
      <w:r w:rsidRPr="00F30219">
        <w:rPr>
          <w:rFonts w:ascii="Lato" w:hAnsi="Lato" w:cs="Arial"/>
          <w:sz w:val="20"/>
          <w:szCs w:val="20"/>
        </w:rPr>
        <w:t>osób</w:t>
      </w:r>
      <w:bookmarkStart w:id="110" w:name="_Hlk84422502"/>
      <w:r w:rsidR="00F30219">
        <w:rPr>
          <w:rFonts w:ascii="Lato" w:hAnsi="Lato" w:cs="Arial"/>
          <w:sz w:val="20"/>
          <w:szCs w:val="20"/>
        </w:rPr>
        <w:t>.</w:t>
      </w:r>
    </w:p>
    <w:p w14:paraId="7092DA41" w14:textId="77777777" w:rsidR="00F30219" w:rsidRDefault="00F30219" w:rsidP="00F30219">
      <w:pPr>
        <w:spacing w:after="0" w:line="240" w:lineRule="auto"/>
        <w:jc w:val="both"/>
        <w:rPr>
          <w:rFonts w:ascii="Lato" w:hAnsi="Lato" w:cs="Arial"/>
          <w:sz w:val="20"/>
          <w:szCs w:val="20"/>
        </w:rPr>
      </w:pPr>
    </w:p>
    <w:p w14:paraId="2323B2D3" w14:textId="70F48B59"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Poniższe tabele zawierają szczegółowe informacje na temat liczby pielęgniarek, które uzyskały dodatkowe kwalifikacje w ramach kształcenia podyplomowego mających zastosowanie w opiece nad osobami starszymi, przewlekle chorymi</w:t>
      </w:r>
      <w:r w:rsidRPr="00F30219">
        <w:rPr>
          <w:rStyle w:val="Odwoanieprzypisudolnego"/>
          <w:rFonts w:ascii="Lato" w:hAnsi="Lato" w:cs="Arial"/>
          <w:sz w:val="20"/>
          <w:szCs w:val="20"/>
        </w:rPr>
        <w:footnoteReference w:id="15"/>
      </w:r>
      <w:r w:rsidRPr="00F30219">
        <w:rPr>
          <w:rFonts w:ascii="Lato" w:hAnsi="Lato" w:cs="Arial"/>
          <w:sz w:val="20"/>
          <w:szCs w:val="20"/>
        </w:rPr>
        <w:t xml:space="preserve">. </w:t>
      </w:r>
    </w:p>
    <w:bookmarkEnd w:id="110"/>
    <w:p w14:paraId="2B9006B2" w14:textId="7399F9FE" w:rsidR="00567F2C" w:rsidRPr="005102CC" w:rsidRDefault="00567F2C" w:rsidP="00567F2C">
      <w:pPr>
        <w:spacing w:after="0" w:line="240" w:lineRule="auto"/>
        <w:jc w:val="both"/>
        <w:rPr>
          <w:rFonts w:ascii="Lato" w:hAnsi="Lato" w:cs="Arial"/>
          <w:iCs/>
        </w:rPr>
      </w:pPr>
    </w:p>
    <w:p w14:paraId="7AA220E2" w14:textId="7A545567" w:rsidR="00567F2C" w:rsidRDefault="00567F2C" w:rsidP="00567F2C">
      <w:pPr>
        <w:pStyle w:val="Legenda"/>
        <w:keepNext/>
      </w:pPr>
      <w:bookmarkStart w:id="111" w:name="_Toc142566018"/>
      <w:r>
        <w:lastRenderedPageBreak/>
        <w:t xml:space="preserve">Tabela </w:t>
      </w:r>
      <w:fldSimple w:instr=" SEQ Tabela \* ARABIC ">
        <w:r w:rsidR="00AA385B">
          <w:rPr>
            <w:noProof/>
          </w:rPr>
          <w:t>55</w:t>
        </w:r>
      </w:fldSimple>
      <w:r>
        <w:t xml:space="preserve"> </w:t>
      </w:r>
      <w:r w:rsidRPr="0017492C">
        <w:t>Liczba pielęgniarek, które uzyskały tytuł specjalisty w dziedzinach pielęgniarstwa mających zastosowanie w opiece nad osobami starszymi, przewlekle chorymi w 2022 r.</w:t>
      </w:r>
      <w:bookmarkEnd w:id="111"/>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2956"/>
      </w:tblGrid>
      <w:tr w:rsidR="00567F2C" w:rsidRPr="00BF1DF1" w14:paraId="59321CD5" w14:textId="77777777" w:rsidTr="00BF1DF1">
        <w:trPr>
          <w:cnfStyle w:val="100000000000" w:firstRow="1" w:lastRow="0" w:firstColumn="0" w:lastColumn="0" w:oddVBand="0" w:evenVBand="0" w:oddHBand="0"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3369" w:type="pct"/>
            <w:tcBorders>
              <w:top w:val="none" w:sz="0" w:space="0" w:color="auto"/>
              <w:left w:val="none" w:sz="0" w:space="0" w:color="auto"/>
              <w:right w:val="none" w:sz="0" w:space="0" w:color="auto"/>
            </w:tcBorders>
            <w:shd w:val="clear" w:color="auto" w:fill="8EAADB" w:themeFill="accent1" w:themeFillTint="99"/>
            <w:hideMark/>
          </w:tcPr>
          <w:p w14:paraId="4F5D9D6D" w14:textId="77777777" w:rsidR="00567F2C" w:rsidRPr="00BF1DF1" w:rsidRDefault="00567F2C" w:rsidP="00BF1DF1">
            <w:pPr>
              <w:spacing w:before="0"/>
              <w:jc w:val="center"/>
              <w:rPr>
                <w:rFonts w:ascii="Lato" w:hAnsi="Lato" w:cs="Arial"/>
                <w:noProof/>
                <w:color w:val="auto"/>
                <w:sz w:val="18"/>
                <w:szCs w:val="18"/>
              </w:rPr>
            </w:pPr>
            <w:r w:rsidRPr="00BF1DF1">
              <w:rPr>
                <w:rFonts w:ascii="Lato" w:hAnsi="Lato" w:cs="Arial"/>
                <w:noProof/>
                <w:color w:val="auto"/>
                <w:sz w:val="18"/>
                <w:szCs w:val="18"/>
              </w:rPr>
              <w:t>Dziedzina specjalizacji</w:t>
            </w:r>
          </w:p>
        </w:tc>
        <w:tc>
          <w:tcPr>
            <w:tcW w:w="1631" w:type="pct"/>
            <w:tcBorders>
              <w:top w:val="none" w:sz="0" w:space="0" w:color="auto"/>
              <w:left w:val="none" w:sz="0" w:space="0" w:color="auto"/>
              <w:right w:val="none" w:sz="0" w:space="0" w:color="auto"/>
            </w:tcBorders>
            <w:shd w:val="clear" w:color="auto" w:fill="8EAADB" w:themeFill="accent1" w:themeFillTint="99"/>
            <w:hideMark/>
          </w:tcPr>
          <w:p w14:paraId="556D325E" w14:textId="77777777" w:rsidR="00567F2C" w:rsidRPr="00BF1DF1" w:rsidRDefault="00567F2C"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hAnsi="Lato" w:cs="Arial"/>
                <w:noProof/>
                <w:color w:val="auto"/>
                <w:sz w:val="18"/>
                <w:szCs w:val="18"/>
              </w:rPr>
            </w:pPr>
            <w:r w:rsidRPr="00BF1DF1">
              <w:rPr>
                <w:rFonts w:ascii="Lato" w:hAnsi="Lato" w:cs="Arial"/>
                <w:noProof/>
                <w:color w:val="auto"/>
                <w:sz w:val="18"/>
                <w:szCs w:val="18"/>
              </w:rPr>
              <w:t>Liczba pielęgniarek</w:t>
            </w:r>
          </w:p>
        </w:tc>
      </w:tr>
      <w:tr w:rsidR="00567F2C" w:rsidRPr="00BF1DF1" w14:paraId="7D504D51" w14:textId="77777777" w:rsidTr="00BF1DF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72890BAA"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internistyczne</w:t>
            </w:r>
          </w:p>
        </w:tc>
        <w:tc>
          <w:tcPr>
            <w:tcW w:w="1631" w:type="pct"/>
            <w:shd w:val="clear" w:color="auto" w:fill="auto"/>
            <w:hideMark/>
          </w:tcPr>
          <w:p w14:paraId="0E91755E"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sz w:val="18"/>
                <w:szCs w:val="18"/>
              </w:rPr>
              <w:t>1 620</w:t>
            </w:r>
          </w:p>
        </w:tc>
      </w:tr>
      <w:tr w:rsidR="00567F2C" w:rsidRPr="00BF1DF1" w14:paraId="7BACB7C3" w14:textId="77777777" w:rsidTr="00BF1DF1">
        <w:trPr>
          <w:trHeight w:val="272"/>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0CB32925"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opieki długoterminowej</w:t>
            </w:r>
          </w:p>
        </w:tc>
        <w:tc>
          <w:tcPr>
            <w:tcW w:w="1631" w:type="pct"/>
            <w:shd w:val="clear" w:color="auto" w:fill="auto"/>
            <w:hideMark/>
          </w:tcPr>
          <w:p w14:paraId="503E28B6"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BF1DF1">
              <w:rPr>
                <w:rFonts w:ascii="Lato" w:hAnsi="Lato" w:cs="Arial"/>
                <w:sz w:val="18"/>
                <w:szCs w:val="18"/>
              </w:rPr>
              <w:t>284</w:t>
            </w:r>
          </w:p>
        </w:tc>
      </w:tr>
      <w:tr w:rsidR="00567F2C" w:rsidRPr="00BF1DF1" w14:paraId="469BE60A" w14:textId="77777777" w:rsidTr="00BF1DF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2C12B864"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opieki paliatywnej</w:t>
            </w:r>
          </w:p>
        </w:tc>
        <w:tc>
          <w:tcPr>
            <w:tcW w:w="1631" w:type="pct"/>
            <w:shd w:val="clear" w:color="auto" w:fill="auto"/>
            <w:hideMark/>
          </w:tcPr>
          <w:p w14:paraId="6538943D"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sz w:val="18"/>
                <w:szCs w:val="18"/>
              </w:rPr>
              <w:t>242</w:t>
            </w:r>
          </w:p>
        </w:tc>
      </w:tr>
      <w:tr w:rsidR="00567F2C" w:rsidRPr="00BF1DF1" w14:paraId="7F2AB721" w14:textId="77777777" w:rsidTr="00BF1DF1">
        <w:trPr>
          <w:trHeight w:val="194"/>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65D4ED77"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rodzinne dla pielęgniarek </w:t>
            </w:r>
          </w:p>
        </w:tc>
        <w:tc>
          <w:tcPr>
            <w:tcW w:w="1631" w:type="pct"/>
            <w:shd w:val="clear" w:color="auto" w:fill="auto"/>
            <w:hideMark/>
          </w:tcPr>
          <w:p w14:paraId="34A6D449"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BF1DF1">
              <w:rPr>
                <w:rFonts w:ascii="Lato" w:hAnsi="Lato" w:cs="Arial"/>
                <w:sz w:val="18"/>
                <w:szCs w:val="18"/>
              </w:rPr>
              <w:t>479</w:t>
            </w:r>
          </w:p>
        </w:tc>
      </w:tr>
      <w:tr w:rsidR="00567F2C" w:rsidRPr="00BF1DF1" w14:paraId="2AA6048B" w14:textId="77777777" w:rsidTr="00BF1DF1">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hideMark/>
          </w:tcPr>
          <w:p w14:paraId="24C05930"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geriatryczne</w:t>
            </w:r>
          </w:p>
        </w:tc>
        <w:tc>
          <w:tcPr>
            <w:tcW w:w="1631" w:type="pct"/>
            <w:shd w:val="clear" w:color="auto" w:fill="auto"/>
            <w:hideMark/>
          </w:tcPr>
          <w:p w14:paraId="022A4502"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sz w:val="18"/>
                <w:szCs w:val="18"/>
              </w:rPr>
              <w:t>110</w:t>
            </w:r>
          </w:p>
        </w:tc>
      </w:tr>
      <w:tr w:rsidR="00567F2C" w:rsidRPr="00BF1DF1" w14:paraId="5CC9B7A5" w14:textId="77777777" w:rsidTr="00BF1DF1">
        <w:trPr>
          <w:trHeight w:val="130"/>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tcBorders>
            <w:shd w:val="clear" w:color="auto" w:fill="auto"/>
          </w:tcPr>
          <w:p w14:paraId="3E08FF6C"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psychiatryczne</w:t>
            </w:r>
          </w:p>
        </w:tc>
        <w:tc>
          <w:tcPr>
            <w:tcW w:w="1631" w:type="pct"/>
            <w:shd w:val="clear" w:color="auto" w:fill="auto"/>
          </w:tcPr>
          <w:p w14:paraId="7A3BA22E"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sz w:val="18"/>
                <w:szCs w:val="18"/>
              </w:rPr>
            </w:pPr>
            <w:r w:rsidRPr="00BF1DF1">
              <w:rPr>
                <w:rFonts w:ascii="Lato" w:hAnsi="Lato" w:cs="Arial"/>
                <w:sz w:val="18"/>
                <w:szCs w:val="18"/>
              </w:rPr>
              <w:t>549</w:t>
            </w:r>
          </w:p>
        </w:tc>
      </w:tr>
      <w:tr w:rsidR="00567F2C" w:rsidRPr="00BF1DF1" w14:paraId="32C53649" w14:textId="77777777" w:rsidTr="00BF1DF1">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3369" w:type="pct"/>
            <w:tcBorders>
              <w:left w:val="none" w:sz="0" w:space="0" w:color="auto"/>
              <w:bottom w:val="none" w:sz="0" w:space="0" w:color="auto"/>
            </w:tcBorders>
            <w:shd w:val="clear" w:color="auto" w:fill="auto"/>
            <w:hideMark/>
          </w:tcPr>
          <w:p w14:paraId="41971560" w14:textId="77777777" w:rsidR="00567F2C" w:rsidRPr="00BF1DF1" w:rsidRDefault="00567F2C" w:rsidP="00BF1DF1">
            <w:pPr>
              <w:spacing w:before="0"/>
              <w:rPr>
                <w:rFonts w:ascii="Lato" w:hAnsi="Lato" w:cs="Arial"/>
                <w:noProof/>
                <w:color w:val="auto"/>
                <w:sz w:val="18"/>
                <w:szCs w:val="18"/>
              </w:rPr>
            </w:pPr>
            <w:r w:rsidRPr="00BF1DF1">
              <w:rPr>
                <w:rFonts w:ascii="Lato" w:hAnsi="Lato" w:cs="Arial"/>
                <w:noProof/>
                <w:color w:val="auto"/>
                <w:sz w:val="18"/>
                <w:szCs w:val="18"/>
              </w:rPr>
              <w:t>Ogółem</w:t>
            </w:r>
          </w:p>
        </w:tc>
        <w:tc>
          <w:tcPr>
            <w:tcW w:w="1631" w:type="pct"/>
            <w:shd w:val="clear" w:color="auto" w:fill="auto"/>
            <w:hideMark/>
          </w:tcPr>
          <w:p w14:paraId="5C1BD4F2"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b/>
                <w:bCs/>
                <w:noProof/>
                <w:sz w:val="18"/>
                <w:szCs w:val="18"/>
              </w:rPr>
            </w:pPr>
            <w:r w:rsidRPr="00BF1DF1">
              <w:rPr>
                <w:rFonts w:ascii="Lato" w:hAnsi="Lato" w:cs="Arial"/>
                <w:b/>
                <w:sz w:val="18"/>
                <w:szCs w:val="18"/>
              </w:rPr>
              <w:t>3 284</w:t>
            </w:r>
          </w:p>
        </w:tc>
      </w:tr>
    </w:tbl>
    <w:p w14:paraId="52C05759" w14:textId="5236B8AE" w:rsidR="00567F2C" w:rsidRPr="00F30219" w:rsidRDefault="00567F2C" w:rsidP="00567F2C">
      <w:pPr>
        <w:spacing w:after="0"/>
        <w:jc w:val="both"/>
        <w:rPr>
          <w:rFonts w:ascii="Lato" w:hAnsi="Lato" w:cs="Arial"/>
          <w:sz w:val="16"/>
          <w:szCs w:val="16"/>
        </w:rPr>
      </w:pPr>
      <w:r w:rsidRPr="00F30219">
        <w:rPr>
          <w:rFonts w:ascii="Lato" w:hAnsi="Lato" w:cs="Arial"/>
          <w:sz w:val="16"/>
          <w:szCs w:val="16"/>
        </w:rPr>
        <w:t>Źródło: Ministerstwo Zdrowia</w:t>
      </w:r>
    </w:p>
    <w:p w14:paraId="37E3E074" w14:textId="0032CD18" w:rsidR="00567F2C" w:rsidRPr="005102CC" w:rsidRDefault="00567F2C" w:rsidP="00567F2C">
      <w:pPr>
        <w:spacing w:after="0" w:line="240" w:lineRule="auto"/>
        <w:jc w:val="both"/>
        <w:rPr>
          <w:rFonts w:ascii="Lato" w:hAnsi="Lato" w:cs="Arial"/>
        </w:rPr>
      </w:pPr>
    </w:p>
    <w:p w14:paraId="02BCC57A" w14:textId="2534E839" w:rsidR="00567F2C" w:rsidRDefault="00567F2C" w:rsidP="00567F2C">
      <w:pPr>
        <w:pStyle w:val="Legenda"/>
        <w:keepNext/>
      </w:pPr>
      <w:bookmarkStart w:id="112" w:name="_Toc142566019"/>
      <w:r>
        <w:t xml:space="preserve">Tabela </w:t>
      </w:r>
      <w:fldSimple w:instr=" SEQ Tabela \* ARABIC ">
        <w:r w:rsidR="00AA385B">
          <w:rPr>
            <w:noProof/>
          </w:rPr>
          <w:t>56</w:t>
        </w:r>
      </w:fldSimple>
      <w:r>
        <w:t xml:space="preserve"> </w:t>
      </w:r>
      <w:r w:rsidRPr="00ED14FE">
        <w:t>Liczba pielęgniarek, które ukończyły kursy kwalifikacyjne w wybranych dziedzinach pielęgniarstwa mających zastosowanie przy udzielaniu świadczeń zdrowotnych, w tym w opiece nad osobami starszymi, przewlekle chorymi w 2022 r.</w:t>
      </w:r>
      <w:bookmarkEnd w:id="112"/>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8"/>
        <w:gridCol w:w="3154"/>
      </w:tblGrid>
      <w:tr w:rsidR="00567F2C" w:rsidRPr="00567F2C" w14:paraId="12478D0C" w14:textId="77777777" w:rsidTr="00BF1DF1">
        <w:trPr>
          <w:cnfStyle w:val="100000000000" w:firstRow="1" w:lastRow="0" w:firstColumn="0" w:lastColumn="0" w:oddVBand="0" w:evenVBand="0" w:oddHBand="0"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3260" w:type="pct"/>
            <w:tcBorders>
              <w:top w:val="none" w:sz="0" w:space="0" w:color="auto"/>
              <w:left w:val="none" w:sz="0" w:space="0" w:color="auto"/>
              <w:right w:val="none" w:sz="0" w:space="0" w:color="auto"/>
            </w:tcBorders>
            <w:shd w:val="clear" w:color="auto" w:fill="8EAADB" w:themeFill="accent1" w:themeFillTint="99"/>
            <w:hideMark/>
          </w:tcPr>
          <w:p w14:paraId="3C2683EE" w14:textId="77777777" w:rsidR="00567F2C" w:rsidRPr="00BF1DF1" w:rsidRDefault="00567F2C" w:rsidP="00BF1DF1">
            <w:pPr>
              <w:spacing w:before="0"/>
              <w:jc w:val="center"/>
              <w:rPr>
                <w:rFonts w:ascii="Lato" w:hAnsi="Lato" w:cs="Arial"/>
                <w:noProof/>
                <w:color w:val="auto"/>
                <w:sz w:val="18"/>
                <w:szCs w:val="18"/>
              </w:rPr>
            </w:pPr>
            <w:bookmarkStart w:id="113" w:name="_Hlk84422935"/>
            <w:r w:rsidRPr="00BF1DF1">
              <w:rPr>
                <w:rFonts w:ascii="Lato" w:hAnsi="Lato" w:cs="Arial"/>
                <w:noProof/>
                <w:color w:val="auto"/>
                <w:sz w:val="18"/>
                <w:szCs w:val="18"/>
              </w:rPr>
              <w:t xml:space="preserve">Dziedzina kursu kwalifikacyjnego </w:t>
            </w:r>
          </w:p>
        </w:tc>
        <w:tc>
          <w:tcPr>
            <w:tcW w:w="1740" w:type="pct"/>
            <w:tcBorders>
              <w:top w:val="none" w:sz="0" w:space="0" w:color="auto"/>
              <w:left w:val="none" w:sz="0" w:space="0" w:color="auto"/>
              <w:right w:val="none" w:sz="0" w:space="0" w:color="auto"/>
            </w:tcBorders>
            <w:shd w:val="clear" w:color="auto" w:fill="8EAADB" w:themeFill="accent1" w:themeFillTint="99"/>
            <w:hideMark/>
          </w:tcPr>
          <w:p w14:paraId="2CA0075F" w14:textId="77777777" w:rsidR="00567F2C" w:rsidRPr="00BF1DF1" w:rsidRDefault="00567F2C" w:rsidP="00BF1DF1">
            <w:pPr>
              <w:spacing w:before="0"/>
              <w:jc w:val="center"/>
              <w:cnfStyle w:val="100000000000" w:firstRow="1" w:lastRow="0" w:firstColumn="0" w:lastColumn="0" w:oddVBand="0" w:evenVBand="0" w:oddHBand="0" w:evenHBand="0" w:firstRowFirstColumn="0" w:firstRowLastColumn="0" w:lastRowFirstColumn="0" w:lastRowLastColumn="0"/>
              <w:rPr>
                <w:rFonts w:ascii="Lato" w:hAnsi="Lato" w:cs="Arial"/>
                <w:noProof/>
                <w:color w:val="auto"/>
                <w:sz w:val="18"/>
                <w:szCs w:val="18"/>
              </w:rPr>
            </w:pPr>
            <w:r w:rsidRPr="00BF1DF1">
              <w:rPr>
                <w:rFonts w:ascii="Lato" w:hAnsi="Lato" w:cs="Arial"/>
                <w:noProof/>
                <w:color w:val="auto"/>
                <w:sz w:val="18"/>
                <w:szCs w:val="18"/>
              </w:rPr>
              <w:t>Liczba pielęgniarek</w:t>
            </w:r>
          </w:p>
        </w:tc>
      </w:tr>
      <w:tr w:rsidR="00567F2C" w:rsidRPr="00567F2C" w14:paraId="5F06CB68" w14:textId="77777777" w:rsidTr="00BF1DF1">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5DFACE6A"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rodzinne dla pielęgniarek</w:t>
            </w:r>
          </w:p>
        </w:tc>
        <w:tc>
          <w:tcPr>
            <w:tcW w:w="1740" w:type="pct"/>
            <w:shd w:val="clear" w:color="auto" w:fill="auto"/>
            <w:hideMark/>
          </w:tcPr>
          <w:p w14:paraId="79CD962A"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507</w:t>
            </w:r>
          </w:p>
        </w:tc>
      </w:tr>
      <w:tr w:rsidR="00567F2C" w:rsidRPr="00567F2C" w14:paraId="56FBEA11" w14:textId="77777777" w:rsidTr="00BF1DF1">
        <w:trPr>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22B64241"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opieki długoterminowej</w:t>
            </w:r>
          </w:p>
        </w:tc>
        <w:tc>
          <w:tcPr>
            <w:tcW w:w="1740" w:type="pct"/>
            <w:shd w:val="clear" w:color="auto" w:fill="auto"/>
            <w:hideMark/>
          </w:tcPr>
          <w:p w14:paraId="4518798D"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157</w:t>
            </w:r>
          </w:p>
        </w:tc>
      </w:tr>
      <w:tr w:rsidR="00567F2C" w:rsidRPr="00567F2C" w14:paraId="71FC5BB0" w14:textId="77777777" w:rsidTr="00BF1DF1">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194F71D5"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internistyczne</w:t>
            </w:r>
          </w:p>
        </w:tc>
        <w:tc>
          <w:tcPr>
            <w:tcW w:w="1740" w:type="pct"/>
            <w:shd w:val="clear" w:color="auto" w:fill="auto"/>
            <w:hideMark/>
          </w:tcPr>
          <w:p w14:paraId="17CEC230"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55</w:t>
            </w:r>
          </w:p>
        </w:tc>
      </w:tr>
      <w:tr w:rsidR="00567F2C" w:rsidRPr="00567F2C" w14:paraId="5F514D65" w14:textId="77777777" w:rsidTr="00BF1DF1">
        <w:trPr>
          <w:trHeight w:val="18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hideMark/>
          </w:tcPr>
          <w:p w14:paraId="79566E3D"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geriatryczne</w:t>
            </w:r>
          </w:p>
        </w:tc>
        <w:tc>
          <w:tcPr>
            <w:tcW w:w="1740" w:type="pct"/>
            <w:shd w:val="clear" w:color="auto" w:fill="auto"/>
            <w:hideMark/>
          </w:tcPr>
          <w:p w14:paraId="03D00B61"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40</w:t>
            </w:r>
          </w:p>
        </w:tc>
      </w:tr>
      <w:tr w:rsidR="00567F2C" w:rsidRPr="00567F2C" w14:paraId="7F994E06" w14:textId="77777777" w:rsidTr="00BF1DF1">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14:paraId="4D130EA2"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Pielęgniarstwo chirurgiczne</w:t>
            </w:r>
          </w:p>
        </w:tc>
        <w:tc>
          <w:tcPr>
            <w:tcW w:w="1740" w:type="pct"/>
            <w:shd w:val="clear" w:color="auto" w:fill="auto"/>
          </w:tcPr>
          <w:p w14:paraId="6F2528C0"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55</w:t>
            </w:r>
          </w:p>
        </w:tc>
      </w:tr>
      <w:tr w:rsidR="00567F2C" w:rsidRPr="00567F2C" w14:paraId="4C7D9170" w14:textId="77777777" w:rsidTr="00BF1DF1">
        <w:trPr>
          <w:trHeight w:val="279"/>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tcBorders>
            <w:shd w:val="clear" w:color="auto" w:fill="auto"/>
          </w:tcPr>
          <w:p w14:paraId="37533B2F" w14:textId="77777777" w:rsidR="00567F2C" w:rsidRPr="00BF1DF1" w:rsidRDefault="00567F2C" w:rsidP="00BF1DF1">
            <w:pPr>
              <w:spacing w:before="0"/>
              <w:jc w:val="both"/>
              <w:rPr>
                <w:rFonts w:ascii="Lato" w:hAnsi="Lato" w:cs="Arial"/>
                <w:b w:val="0"/>
                <w:bCs w:val="0"/>
                <w:noProof/>
                <w:color w:val="auto"/>
                <w:sz w:val="18"/>
                <w:szCs w:val="18"/>
              </w:rPr>
            </w:pPr>
            <w:r w:rsidRPr="00BF1DF1">
              <w:rPr>
                <w:rFonts w:ascii="Lato" w:hAnsi="Lato" w:cs="Arial"/>
                <w:b w:val="0"/>
                <w:bCs w:val="0"/>
                <w:noProof/>
                <w:color w:val="auto"/>
                <w:sz w:val="18"/>
                <w:szCs w:val="18"/>
              </w:rPr>
              <w:t>Pielęgniarstywo kardiologiczne</w:t>
            </w:r>
          </w:p>
        </w:tc>
        <w:tc>
          <w:tcPr>
            <w:tcW w:w="1740" w:type="pct"/>
            <w:shd w:val="clear" w:color="auto" w:fill="auto"/>
          </w:tcPr>
          <w:p w14:paraId="0F124F6C" w14:textId="77777777" w:rsidR="00567F2C" w:rsidRPr="00BF1DF1" w:rsidRDefault="00567F2C" w:rsidP="00BF1DF1">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BF1DF1">
              <w:rPr>
                <w:rFonts w:ascii="Lato" w:hAnsi="Lato" w:cs="Arial"/>
                <w:noProof/>
                <w:sz w:val="18"/>
                <w:szCs w:val="18"/>
              </w:rPr>
              <w:t>34</w:t>
            </w:r>
          </w:p>
        </w:tc>
      </w:tr>
      <w:tr w:rsidR="00567F2C" w:rsidRPr="00567F2C" w14:paraId="229B7C99" w14:textId="77777777" w:rsidTr="00BF1DF1">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260" w:type="pct"/>
            <w:tcBorders>
              <w:left w:val="none" w:sz="0" w:space="0" w:color="auto"/>
              <w:bottom w:val="none" w:sz="0" w:space="0" w:color="auto"/>
            </w:tcBorders>
            <w:shd w:val="clear" w:color="auto" w:fill="auto"/>
            <w:hideMark/>
          </w:tcPr>
          <w:p w14:paraId="0841602A" w14:textId="77777777" w:rsidR="00567F2C" w:rsidRPr="00BF1DF1" w:rsidRDefault="00567F2C" w:rsidP="00BF1DF1">
            <w:pPr>
              <w:spacing w:before="0"/>
              <w:rPr>
                <w:rFonts w:ascii="Lato" w:hAnsi="Lato" w:cs="Arial"/>
                <w:noProof/>
                <w:color w:val="auto"/>
                <w:sz w:val="18"/>
                <w:szCs w:val="18"/>
              </w:rPr>
            </w:pPr>
            <w:r w:rsidRPr="00BF1DF1">
              <w:rPr>
                <w:rFonts w:ascii="Lato" w:hAnsi="Lato" w:cs="Arial"/>
                <w:noProof/>
                <w:color w:val="auto"/>
                <w:sz w:val="18"/>
                <w:szCs w:val="18"/>
              </w:rPr>
              <w:t>Ogółem</w:t>
            </w:r>
          </w:p>
        </w:tc>
        <w:tc>
          <w:tcPr>
            <w:tcW w:w="1740" w:type="pct"/>
            <w:shd w:val="clear" w:color="auto" w:fill="auto"/>
            <w:hideMark/>
          </w:tcPr>
          <w:p w14:paraId="4F12E301" w14:textId="77777777" w:rsidR="00567F2C" w:rsidRPr="00BF1DF1" w:rsidRDefault="00567F2C" w:rsidP="00BF1DF1">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b/>
                <w:bCs/>
                <w:noProof/>
                <w:sz w:val="18"/>
                <w:szCs w:val="18"/>
              </w:rPr>
            </w:pPr>
            <w:r w:rsidRPr="00BF1DF1">
              <w:rPr>
                <w:rFonts w:ascii="Lato" w:hAnsi="Lato" w:cs="Arial"/>
                <w:b/>
                <w:bCs/>
                <w:noProof/>
                <w:sz w:val="18"/>
                <w:szCs w:val="18"/>
              </w:rPr>
              <w:t>848</w:t>
            </w:r>
          </w:p>
        </w:tc>
      </w:tr>
    </w:tbl>
    <w:bookmarkEnd w:id="113"/>
    <w:p w14:paraId="408050D4" w14:textId="0468362C" w:rsidR="00567F2C" w:rsidRDefault="00F30219" w:rsidP="00F30219">
      <w:pPr>
        <w:spacing w:after="0"/>
        <w:jc w:val="both"/>
        <w:rPr>
          <w:rFonts w:ascii="Lato" w:hAnsi="Lato" w:cs="Arial"/>
          <w:sz w:val="16"/>
          <w:szCs w:val="16"/>
        </w:rPr>
      </w:pPr>
      <w:r w:rsidRPr="00F30219">
        <w:rPr>
          <w:rFonts w:ascii="Lato" w:hAnsi="Lato" w:cs="Arial"/>
          <w:sz w:val="16"/>
          <w:szCs w:val="16"/>
        </w:rPr>
        <w:t>Źródło: Ministerstwo Zdrowia</w:t>
      </w:r>
    </w:p>
    <w:p w14:paraId="2CF2E5CA" w14:textId="77777777" w:rsidR="00F30219" w:rsidRPr="00F30219" w:rsidRDefault="00F30219" w:rsidP="00F30219">
      <w:pPr>
        <w:spacing w:after="0"/>
        <w:jc w:val="both"/>
        <w:rPr>
          <w:rFonts w:ascii="Lato" w:hAnsi="Lato" w:cs="Arial"/>
          <w:sz w:val="16"/>
          <w:szCs w:val="16"/>
        </w:rPr>
      </w:pPr>
    </w:p>
    <w:p w14:paraId="3DCB57F0" w14:textId="2CCC13B3" w:rsidR="00567F2C" w:rsidRDefault="00567F2C" w:rsidP="00567F2C">
      <w:pPr>
        <w:pStyle w:val="Legenda"/>
        <w:keepNext/>
      </w:pPr>
      <w:bookmarkStart w:id="114" w:name="_Toc142566020"/>
      <w:r>
        <w:t xml:space="preserve">Tabela </w:t>
      </w:r>
      <w:fldSimple w:instr=" SEQ Tabela \* ARABIC ">
        <w:r w:rsidR="00AA385B">
          <w:rPr>
            <w:noProof/>
          </w:rPr>
          <w:t>57</w:t>
        </w:r>
      </w:fldSimple>
      <w:r>
        <w:t xml:space="preserve"> </w:t>
      </w:r>
      <w:r w:rsidRPr="00EA73FC">
        <w:t>Liczba pielęgniarek, które ukończyły kursy specjalistyczne w wybranych zakresach pielęgniarstwa mających zastosowanie w opiece nad osobami starszymi, przewlekle chorymi w 2022 r.</w:t>
      </w:r>
      <w:bookmarkEnd w:id="114"/>
    </w:p>
    <w:tbl>
      <w:tblPr>
        <w:tblStyle w:val="Tabelasiatki5ciemnaak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3398"/>
      </w:tblGrid>
      <w:tr w:rsidR="00567F2C" w:rsidRPr="002F3DEE" w14:paraId="28EE5169" w14:textId="77777777" w:rsidTr="002F3DEE">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125" w:type="pct"/>
            <w:tcBorders>
              <w:top w:val="none" w:sz="0" w:space="0" w:color="auto"/>
              <w:left w:val="none" w:sz="0" w:space="0" w:color="auto"/>
              <w:right w:val="none" w:sz="0" w:space="0" w:color="auto"/>
            </w:tcBorders>
            <w:shd w:val="clear" w:color="auto" w:fill="8EAADB" w:themeFill="accent1" w:themeFillTint="99"/>
            <w:hideMark/>
          </w:tcPr>
          <w:p w14:paraId="15A9BE38" w14:textId="77777777" w:rsidR="00567F2C" w:rsidRPr="002F3DEE" w:rsidRDefault="00567F2C" w:rsidP="002F3DEE">
            <w:pPr>
              <w:spacing w:before="0"/>
              <w:jc w:val="center"/>
              <w:rPr>
                <w:rFonts w:ascii="Lato" w:hAnsi="Lato" w:cs="Arial"/>
                <w:noProof/>
                <w:color w:val="auto"/>
                <w:sz w:val="18"/>
                <w:szCs w:val="18"/>
              </w:rPr>
            </w:pPr>
            <w:r w:rsidRPr="002F3DEE">
              <w:rPr>
                <w:rFonts w:ascii="Lato" w:hAnsi="Lato" w:cs="Arial"/>
                <w:noProof/>
                <w:color w:val="auto"/>
                <w:sz w:val="18"/>
                <w:szCs w:val="18"/>
              </w:rPr>
              <w:t>Zakres kursu specjalistycznego</w:t>
            </w:r>
          </w:p>
        </w:tc>
        <w:tc>
          <w:tcPr>
            <w:tcW w:w="1875" w:type="pct"/>
            <w:tcBorders>
              <w:top w:val="none" w:sz="0" w:space="0" w:color="auto"/>
              <w:left w:val="none" w:sz="0" w:space="0" w:color="auto"/>
              <w:right w:val="none" w:sz="0" w:space="0" w:color="auto"/>
            </w:tcBorders>
            <w:shd w:val="clear" w:color="auto" w:fill="8EAADB" w:themeFill="accent1" w:themeFillTint="99"/>
            <w:hideMark/>
          </w:tcPr>
          <w:p w14:paraId="2BF31EB8" w14:textId="77777777" w:rsidR="00567F2C" w:rsidRPr="002F3DEE" w:rsidRDefault="00567F2C" w:rsidP="002F3DEE">
            <w:pPr>
              <w:spacing w:before="0"/>
              <w:jc w:val="center"/>
              <w:cnfStyle w:val="100000000000" w:firstRow="1" w:lastRow="0" w:firstColumn="0" w:lastColumn="0" w:oddVBand="0" w:evenVBand="0" w:oddHBand="0" w:evenHBand="0" w:firstRowFirstColumn="0" w:firstRowLastColumn="0" w:lastRowFirstColumn="0" w:lastRowLastColumn="0"/>
              <w:rPr>
                <w:rFonts w:ascii="Lato" w:hAnsi="Lato" w:cs="Arial"/>
                <w:noProof/>
                <w:color w:val="auto"/>
                <w:sz w:val="18"/>
                <w:szCs w:val="18"/>
              </w:rPr>
            </w:pPr>
            <w:r w:rsidRPr="002F3DEE">
              <w:rPr>
                <w:rFonts w:ascii="Lato" w:hAnsi="Lato" w:cs="Arial"/>
                <w:noProof/>
                <w:color w:val="auto"/>
                <w:sz w:val="18"/>
                <w:szCs w:val="18"/>
              </w:rPr>
              <w:t xml:space="preserve">Liczba pielęgniarek </w:t>
            </w:r>
          </w:p>
        </w:tc>
      </w:tr>
      <w:tr w:rsidR="00567F2C" w:rsidRPr="002F3DEE" w14:paraId="75993D91" w14:textId="77777777" w:rsidTr="002F3DEE">
        <w:trPr>
          <w:cnfStyle w:val="000000100000" w:firstRow="0" w:lastRow="0" w:firstColumn="0" w:lastColumn="0" w:oddVBand="0" w:evenVBand="0" w:oddHBand="1" w:evenHBand="0"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59B5F771"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noProof/>
                <w:color w:val="auto"/>
                <w:sz w:val="18"/>
                <w:szCs w:val="18"/>
              </w:rPr>
              <w:t>Podstawy opieki paliatywnej</w:t>
            </w:r>
          </w:p>
        </w:tc>
        <w:tc>
          <w:tcPr>
            <w:tcW w:w="1875" w:type="pct"/>
            <w:shd w:val="clear" w:color="auto" w:fill="auto"/>
            <w:hideMark/>
          </w:tcPr>
          <w:p w14:paraId="34E2A323" w14:textId="77777777" w:rsidR="00567F2C" w:rsidRPr="002F3DEE" w:rsidRDefault="00567F2C" w:rsidP="002F3DEE">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2F3DEE">
              <w:rPr>
                <w:rFonts w:ascii="Lato" w:hAnsi="Lato" w:cs="Arial"/>
                <w:noProof/>
                <w:sz w:val="18"/>
                <w:szCs w:val="18"/>
              </w:rPr>
              <w:t>321</w:t>
            </w:r>
          </w:p>
        </w:tc>
      </w:tr>
      <w:tr w:rsidR="00567F2C" w:rsidRPr="002F3DEE" w14:paraId="0AD74874" w14:textId="77777777" w:rsidTr="002F3DEE">
        <w:trPr>
          <w:trHeight w:val="196"/>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12DBEB4D"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noProof/>
                <w:color w:val="auto"/>
                <w:sz w:val="18"/>
                <w:szCs w:val="18"/>
              </w:rPr>
              <w:t>Pielęgnowanie pacjenta dorosłego wentylowanego mechanicznie</w:t>
            </w:r>
          </w:p>
        </w:tc>
        <w:tc>
          <w:tcPr>
            <w:tcW w:w="1875" w:type="pct"/>
            <w:shd w:val="clear" w:color="auto" w:fill="auto"/>
            <w:hideMark/>
          </w:tcPr>
          <w:p w14:paraId="19DE93C2" w14:textId="77777777" w:rsidR="00567F2C" w:rsidRPr="002F3DEE" w:rsidRDefault="00567F2C" w:rsidP="002F3DEE">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2F3DEE">
              <w:rPr>
                <w:rFonts w:ascii="Lato" w:hAnsi="Lato" w:cs="Arial"/>
                <w:noProof/>
                <w:sz w:val="18"/>
                <w:szCs w:val="18"/>
              </w:rPr>
              <w:t>865</w:t>
            </w:r>
          </w:p>
        </w:tc>
      </w:tr>
      <w:tr w:rsidR="00567F2C" w:rsidRPr="002F3DEE" w14:paraId="5F02B6C8" w14:textId="77777777" w:rsidTr="002F3DEE">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00034EDB"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noProof/>
                <w:color w:val="auto"/>
                <w:sz w:val="18"/>
                <w:szCs w:val="18"/>
              </w:rPr>
              <w:t>Terapia bólu przewlekłego u dorosłych</w:t>
            </w:r>
          </w:p>
        </w:tc>
        <w:tc>
          <w:tcPr>
            <w:tcW w:w="1875" w:type="pct"/>
            <w:shd w:val="clear" w:color="auto" w:fill="auto"/>
            <w:hideMark/>
          </w:tcPr>
          <w:p w14:paraId="19F4CA54" w14:textId="77777777" w:rsidR="00567F2C" w:rsidRPr="002F3DEE" w:rsidRDefault="00567F2C" w:rsidP="002F3DEE">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2F3DEE">
              <w:rPr>
                <w:rFonts w:ascii="Lato" w:hAnsi="Lato" w:cs="Arial"/>
                <w:noProof/>
                <w:sz w:val="18"/>
                <w:szCs w:val="18"/>
              </w:rPr>
              <w:t>102</w:t>
            </w:r>
          </w:p>
        </w:tc>
      </w:tr>
      <w:tr w:rsidR="00567F2C" w:rsidRPr="002F3DEE" w14:paraId="46A0E586" w14:textId="77777777" w:rsidTr="002F3DEE">
        <w:trPr>
          <w:trHeight w:val="132"/>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062AFC27"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noProof/>
                <w:color w:val="auto"/>
                <w:sz w:val="18"/>
                <w:szCs w:val="18"/>
              </w:rPr>
              <w:t>Terapia bólu ostrego u dorosłych</w:t>
            </w:r>
          </w:p>
        </w:tc>
        <w:tc>
          <w:tcPr>
            <w:tcW w:w="1875" w:type="pct"/>
            <w:shd w:val="clear" w:color="auto" w:fill="auto"/>
            <w:hideMark/>
          </w:tcPr>
          <w:p w14:paraId="3A1805BD" w14:textId="77777777" w:rsidR="00567F2C" w:rsidRPr="002F3DEE" w:rsidRDefault="00567F2C" w:rsidP="002F3DEE">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2F3DEE">
              <w:rPr>
                <w:rFonts w:ascii="Lato" w:hAnsi="Lato" w:cs="Arial"/>
                <w:noProof/>
                <w:sz w:val="18"/>
                <w:szCs w:val="18"/>
              </w:rPr>
              <w:t>76</w:t>
            </w:r>
          </w:p>
        </w:tc>
      </w:tr>
      <w:tr w:rsidR="00567F2C" w:rsidRPr="002F3DEE" w14:paraId="4E79EE37" w14:textId="77777777" w:rsidTr="002F3DEE">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hideMark/>
          </w:tcPr>
          <w:p w14:paraId="2592128F"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noProof/>
                <w:color w:val="auto"/>
                <w:sz w:val="18"/>
                <w:szCs w:val="18"/>
              </w:rPr>
              <w:t>Leczenie ran dla pielęgniarek</w:t>
            </w:r>
          </w:p>
        </w:tc>
        <w:tc>
          <w:tcPr>
            <w:tcW w:w="1875" w:type="pct"/>
            <w:shd w:val="clear" w:color="auto" w:fill="auto"/>
            <w:hideMark/>
          </w:tcPr>
          <w:p w14:paraId="6FDEB95C" w14:textId="77777777" w:rsidR="00567F2C" w:rsidRPr="002F3DEE" w:rsidRDefault="00567F2C" w:rsidP="002F3DEE">
            <w:pPr>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noProof/>
                <w:sz w:val="18"/>
                <w:szCs w:val="18"/>
              </w:rPr>
            </w:pPr>
            <w:r w:rsidRPr="002F3DEE">
              <w:rPr>
                <w:rFonts w:ascii="Lato" w:hAnsi="Lato" w:cs="Arial"/>
                <w:sz w:val="18"/>
                <w:szCs w:val="18"/>
              </w:rPr>
              <w:t>1 970</w:t>
            </w:r>
          </w:p>
        </w:tc>
      </w:tr>
      <w:tr w:rsidR="00567F2C" w:rsidRPr="002F3DEE" w14:paraId="39139852" w14:textId="77777777" w:rsidTr="00567F2C">
        <w:trPr>
          <w:trHeight w:val="390"/>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tcBorders>
            <w:shd w:val="clear" w:color="auto" w:fill="auto"/>
          </w:tcPr>
          <w:p w14:paraId="36B48E1F" w14:textId="77777777" w:rsidR="00567F2C" w:rsidRPr="002F3DEE" w:rsidRDefault="00567F2C" w:rsidP="002F3DEE">
            <w:pPr>
              <w:spacing w:before="0"/>
              <w:rPr>
                <w:rFonts w:ascii="Lato" w:hAnsi="Lato" w:cs="Arial"/>
                <w:b w:val="0"/>
                <w:bCs w:val="0"/>
                <w:noProof/>
                <w:color w:val="auto"/>
                <w:sz w:val="18"/>
                <w:szCs w:val="18"/>
              </w:rPr>
            </w:pPr>
            <w:r w:rsidRPr="002F3DEE">
              <w:rPr>
                <w:rFonts w:ascii="Lato" w:hAnsi="Lato" w:cs="Arial"/>
                <w:b w:val="0"/>
                <w:bCs w:val="0"/>
                <w:color w:val="auto"/>
                <w:sz w:val="18"/>
                <w:szCs w:val="18"/>
              </w:rPr>
              <w:t>Wykonanie i interpretacja zapisu elektrokardiograficznego u dorosłych</w:t>
            </w:r>
          </w:p>
        </w:tc>
        <w:tc>
          <w:tcPr>
            <w:tcW w:w="1875" w:type="pct"/>
            <w:shd w:val="clear" w:color="auto" w:fill="auto"/>
          </w:tcPr>
          <w:p w14:paraId="47BD0272" w14:textId="77777777" w:rsidR="00567F2C" w:rsidRPr="002F3DEE" w:rsidRDefault="00567F2C" w:rsidP="002F3DEE">
            <w:pPr>
              <w:spacing w:before="0"/>
              <w:jc w:val="center"/>
              <w:cnfStyle w:val="000000000000" w:firstRow="0" w:lastRow="0" w:firstColumn="0" w:lastColumn="0" w:oddVBand="0" w:evenVBand="0" w:oddHBand="0" w:evenHBand="0" w:firstRowFirstColumn="0" w:firstRowLastColumn="0" w:lastRowFirstColumn="0" w:lastRowLastColumn="0"/>
              <w:rPr>
                <w:rFonts w:ascii="Lato" w:hAnsi="Lato" w:cs="Arial"/>
                <w:noProof/>
                <w:sz w:val="18"/>
                <w:szCs w:val="18"/>
              </w:rPr>
            </w:pPr>
            <w:r w:rsidRPr="002F3DEE">
              <w:rPr>
                <w:rFonts w:ascii="Lato" w:hAnsi="Lato" w:cs="Arial"/>
                <w:sz w:val="18"/>
                <w:szCs w:val="18"/>
              </w:rPr>
              <w:t>6 460</w:t>
            </w:r>
          </w:p>
        </w:tc>
      </w:tr>
      <w:tr w:rsidR="00567F2C" w:rsidRPr="002F3DEE" w14:paraId="72FE840B" w14:textId="77777777" w:rsidTr="002F3DEE">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3125" w:type="pct"/>
            <w:tcBorders>
              <w:left w:val="none" w:sz="0" w:space="0" w:color="auto"/>
              <w:bottom w:val="none" w:sz="0" w:space="0" w:color="auto"/>
            </w:tcBorders>
            <w:shd w:val="clear" w:color="auto" w:fill="auto"/>
            <w:hideMark/>
          </w:tcPr>
          <w:p w14:paraId="3FC75183" w14:textId="77777777" w:rsidR="00567F2C" w:rsidRPr="002F3DEE" w:rsidRDefault="00567F2C" w:rsidP="002F3DEE">
            <w:pPr>
              <w:spacing w:before="0"/>
              <w:rPr>
                <w:rFonts w:ascii="Lato" w:hAnsi="Lato" w:cs="Arial"/>
                <w:noProof/>
                <w:color w:val="auto"/>
                <w:sz w:val="18"/>
                <w:szCs w:val="18"/>
              </w:rPr>
            </w:pPr>
            <w:r w:rsidRPr="002F3DEE">
              <w:rPr>
                <w:rFonts w:ascii="Lato" w:hAnsi="Lato" w:cs="Arial"/>
                <w:noProof/>
                <w:color w:val="auto"/>
                <w:sz w:val="18"/>
                <w:szCs w:val="18"/>
              </w:rPr>
              <w:t xml:space="preserve"> Ogółem</w:t>
            </w:r>
          </w:p>
        </w:tc>
        <w:tc>
          <w:tcPr>
            <w:tcW w:w="1875" w:type="pct"/>
            <w:shd w:val="clear" w:color="auto" w:fill="auto"/>
            <w:hideMark/>
          </w:tcPr>
          <w:p w14:paraId="5C8EF29E" w14:textId="77777777" w:rsidR="00567F2C" w:rsidRPr="002F3DEE" w:rsidRDefault="00567F2C" w:rsidP="002F3DEE">
            <w:pPr>
              <w:keepNext/>
              <w:spacing w:before="0"/>
              <w:jc w:val="center"/>
              <w:cnfStyle w:val="000000100000" w:firstRow="0" w:lastRow="0" w:firstColumn="0" w:lastColumn="0" w:oddVBand="0" w:evenVBand="0" w:oddHBand="1" w:evenHBand="0" w:firstRowFirstColumn="0" w:firstRowLastColumn="0" w:lastRowFirstColumn="0" w:lastRowLastColumn="0"/>
              <w:rPr>
                <w:rFonts w:ascii="Lato" w:hAnsi="Lato" w:cs="Arial"/>
                <w:b/>
                <w:noProof/>
                <w:sz w:val="18"/>
                <w:szCs w:val="18"/>
              </w:rPr>
            </w:pPr>
            <w:bookmarkStart w:id="115" w:name="_Hlk137200307"/>
            <w:r w:rsidRPr="002F3DEE">
              <w:rPr>
                <w:rFonts w:ascii="Lato" w:hAnsi="Lato" w:cs="Arial"/>
                <w:b/>
                <w:noProof/>
                <w:sz w:val="18"/>
                <w:szCs w:val="18"/>
              </w:rPr>
              <w:t>9 794</w:t>
            </w:r>
            <w:bookmarkEnd w:id="115"/>
          </w:p>
        </w:tc>
      </w:tr>
    </w:tbl>
    <w:p w14:paraId="7D664BDF" w14:textId="77777777" w:rsidR="00F30219" w:rsidRPr="00F30219" w:rsidRDefault="00F30219" w:rsidP="00F30219">
      <w:pPr>
        <w:spacing w:after="0"/>
        <w:jc w:val="both"/>
        <w:rPr>
          <w:rFonts w:ascii="Lato" w:hAnsi="Lato" w:cs="Arial"/>
          <w:sz w:val="16"/>
          <w:szCs w:val="16"/>
        </w:rPr>
      </w:pPr>
      <w:r w:rsidRPr="00F30219">
        <w:rPr>
          <w:rFonts w:ascii="Lato" w:hAnsi="Lato" w:cs="Arial"/>
          <w:sz w:val="16"/>
          <w:szCs w:val="16"/>
        </w:rPr>
        <w:t>Źródło: Ministerstwo Zdrowia</w:t>
      </w:r>
    </w:p>
    <w:p w14:paraId="4D9A42FC" w14:textId="77777777" w:rsidR="00F30219" w:rsidRDefault="00F30219" w:rsidP="00F30219">
      <w:pPr>
        <w:spacing w:after="0" w:line="240" w:lineRule="auto"/>
        <w:rPr>
          <w:rFonts w:ascii="Lato" w:hAnsi="Lato"/>
          <w:b/>
          <w:bCs/>
          <w:sz w:val="20"/>
          <w:szCs w:val="20"/>
        </w:rPr>
      </w:pPr>
    </w:p>
    <w:p w14:paraId="6F77EA4C" w14:textId="0902DB0D"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Szkolenia dla opiekunów medycznych</w:t>
      </w:r>
    </w:p>
    <w:p w14:paraId="5AEE7CB1" w14:textId="32089F68" w:rsidR="00567F2C" w:rsidRDefault="00567F2C" w:rsidP="00F30219">
      <w:pPr>
        <w:tabs>
          <w:tab w:val="left" w:pos="6585"/>
        </w:tabs>
        <w:spacing w:after="0" w:line="240" w:lineRule="auto"/>
        <w:jc w:val="both"/>
        <w:rPr>
          <w:rFonts w:ascii="Lato" w:hAnsi="Lato" w:cs="Arial"/>
          <w:sz w:val="20"/>
          <w:szCs w:val="20"/>
        </w:rPr>
      </w:pPr>
      <w:r w:rsidRPr="00F30219">
        <w:rPr>
          <w:rFonts w:ascii="Lato" w:hAnsi="Lato" w:cs="Arial"/>
          <w:sz w:val="20"/>
          <w:szCs w:val="20"/>
        </w:rPr>
        <w:t xml:space="preserve">Ministerstwo Zdrowia w związku z pracami nad programowaniem działań w ramach REACT-EU, zgłosiło projekt szkoleń i kursów dla opiekunów medycznych. W dniu 8 września 2021 r. Komisja Europejska zatwierdziła ww. projekt, dodając nową oś VII „Wsparcie REACT-EU dla obszaru zdrowia” w ramach Programu Operacyjnego Wiedza Edukacja Rozwój 2014 - 2020. Projekt ma na celu podniesienie kompetencji zawodowych opiekunów medycznych i zakłada m.in. realizację kursów, w związku z rozszerzeniem podstawy programowej zwiększającej kwalifikacje opiekunów medycznych. Realizacja ww. kursów rozpoczęła się w 2022 r. </w:t>
      </w:r>
    </w:p>
    <w:p w14:paraId="0FD814CD" w14:textId="77777777" w:rsidR="00F30219" w:rsidRPr="00F30219" w:rsidRDefault="00F30219" w:rsidP="00F30219">
      <w:pPr>
        <w:tabs>
          <w:tab w:val="left" w:pos="6585"/>
        </w:tabs>
        <w:spacing w:after="0" w:line="240" w:lineRule="auto"/>
        <w:jc w:val="both"/>
        <w:rPr>
          <w:rFonts w:ascii="Lato" w:hAnsi="Lato" w:cs="Arial"/>
          <w:sz w:val="20"/>
          <w:szCs w:val="20"/>
        </w:rPr>
      </w:pPr>
    </w:p>
    <w:p w14:paraId="5E8FD8AE" w14:textId="07B0F087" w:rsidR="00567F2C" w:rsidRPr="00F30219" w:rsidRDefault="00567F2C" w:rsidP="00CE7271">
      <w:pPr>
        <w:pStyle w:val="Akapitzlist"/>
        <w:numPr>
          <w:ilvl w:val="0"/>
          <w:numId w:val="210"/>
        </w:numPr>
        <w:spacing w:after="0" w:line="240" w:lineRule="auto"/>
        <w:ind w:left="720"/>
        <w:rPr>
          <w:rFonts w:ascii="Lato" w:hAnsi="Lato"/>
          <w:b/>
          <w:bCs/>
          <w:sz w:val="20"/>
          <w:szCs w:val="20"/>
        </w:rPr>
      </w:pPr>
      <w:r w:rsidRPr="00F30219">
        <w:rPr>
          <w:rFonts w:ascii="Lato" w:hAnsi="Lato"/>
          <w:b/>
          <w:bCs/>
          <w:sz w:val="20"/>
          <w:szCs w:val="20"/>
        </w:rPr>
        <w:t xml:space="preserve">Działania Ministerstwa Zdrowia w zakresie zdrowotnej polityki senioralnej w 2022 r. </w:t>
      </w:r>
    </w:p>
    <w:p w14:paraId="763E4931" w14:textId="1B2B4972" w:rsidR="00567F2C" w:rsidRPr="00F30219" w:rsidRDefault="00567F2C" w:rsidP="00F30219">
      <w:pPr>
        <w:spacing w:after="0" w:line="240" w:lineRule="auto"/>
        <w:jc w:val="both"/>
        <w:rPr>
          <w:rFonts w:ascii="Lato" w:eastAsia="Calibri" w:hAnsi="Lato" w:cs="Arial"/>
          <w:sz w:val="20"/>
          <w:szCs w:val="20"/>
        </w:rPr>
      </w:pPr>
      <w:r w:rsidRPr="00F30219">
        <w:rPr>
          <w:rFonts w:ascii="Lato" w:hAnsi="Lato" w:cs="Arial"/>
          <w:sz w:val="20"/>
          <w:szCs w:val="20"/>
        </w:rPr>
        <w:t>Świadomość zachodzących zmian demograficznych i rosnącego udziału populacji osób 60+ w  polskim społeczeństwie, a w związku z tym także ryzyka rosnącego obciążenia dla systemów opieki zdrowotnej i pomocy społecznej w kolejnych latach, sprawia, że szczególny nacisk kładziony jest na działania z zakresu profilaktyki oraz promocji zdrowia, wdrażane na wcześniejszych etapach życia. Zachodzące procesy demograficzne powodują konieczność:</w:t>
      </w:r>
      <w:r w:rsidRPr="00F30219">
        <w:rPr>
          <w:rFonts w:ascii="Lato" w:eastAsia="Calibri" w:hAnsi="Lato" w:cs="Arial"/>
          <w:sz w:val="20"/>
          <w:szCs w:val="20"/>
        </w:rPr>
        <w:t xml:space="preserve"> </w:t>
      </w:r>
    </w:p>
    <w:p w14:paraId="4E8AD150" w14:textId="77777777" w:rsidR="00567F2C" w:rsidRPr="00F30219" w:rsidRDefault="00567F2C" w:rsidP="0059185B">
      <w:pPr>
        <w:numPr>
          <w:ilvl w:val="0"/>
          <w:numId w:val="212"/>
        </w:numPr>
        <w:spacing w:after="0" w:line="240" w:lineRule="auto"/>
        <w:ind w:left="714" w:hanging="357"/>
        <w:jc w:val="both"/>
        <w:rPr>
          <w:rFonts w:ascii="Lato" w:eastAsia="Calibri" w:hAnsi="Lato" w:cs="Arial"/>
          <w:sz w:val="20"/>
          <w:szCs w:val="20"/>
        </w:rPr>
      </w:pPr>
      <w:r w:rsidRPr="00F30219">
        <w:rPr>
          <w:rFonts w:ascii="Lato" w:eastAsia="Calibri" w:hAnsi="Lato" w:cs="Arial"/>
          <w:sz w:val="20"/>
          <w:szCs w:val="20"/>
        </w:rPr>
        <w:t xml:space="preserve">odpowiedniego projektowania rozwiązań ukierunkowanych na potrzeby osób starszych, </w:t>
      </w:r>
    </w:p>
    <w:p w14:paraId="3E8CD549" w14:textId="6FA2C2E7" w:rsidR="00567F2C" w:rsidRDefault="00567F2C" w:rsidP="0059185B">
      <w:pPr>
        <w:numPr>
          <w:ilvl w:val="0"/>
          <w:numId w:val="212"/>
        </w:numPr>
        <w:spacing w:after="0" w:line="240" w:lineRule="auto"/>
        <w:ind w:left="714" w:hanging="357"/>
        <w:jc w:val="both"/>
        <w:rPr>
          <w:rFonts w:ascii="Lato" w:eastAsia="Calibri" w:hAnsi="Lato" w:cs="Arial"/>
          <w:sz w:val="20"/>
          <w:szCs w:val="20"/>
        </w:rPr>
      </w:pPr>
      <w:r w:rsidRPr="00F30219">
        <w:rPr>
          <w:rFonts w:ascii="Lato" w:eastAsia="Calibri" w:hAnsi="Lato" w:cs="Arial"/>
          <w:sz w:val="20"/>
          <w:szCs w:val="20"/>
        </w:rPr>
        <w:lastRenderedPageBreak/>
        <w:t>wdrożenia odpowiednich działań profilaktycznych i działań z zakresu promocji zdrowia, aby kolejne roczniki wchodziły w wiek senioralny coraz zdrowsze oraz coraz bardziej świadome czynników determinujących ich stan zdrowia w przyszłości.</w:t>
      </w:r>
    </w:p>
    <w:p w14:paraId="521C0E3B" w14:textId="77777777" w:rsidR="00F30219" w:rsidRPr="00F30219" w:rsidRDefault="00F30219" w:rsidP="00F30219">
      <w:pPr>
        <w:spacing w:after="0" w:line="240" w:lineRule="auto"/>
        <w:ind w:left="714"/>
        <w:jc w:val="both"/>
        <w:rPr>
          <w:rFonts w:ascii="Lato" w:eastAsia="Calibri" w:hAnsi="Lato" w:cs="Arial"/>
          <w:sz w:val="20"/>
          <w:szCs w:val="20"/>
        </w:rPr>
      </w:pPr>
    </w:p>
    <w:p w14:paraId="257D285E" w14:textId="4BE52D29" w:rsidR="00567F2C" w:rsidRPr="00F30219" w:rsidRDefault="00567F2C" w:rsidP="00CE7271">
      <w:pPr>
        <w:pStyle w:val="Akapitzlist"/>
        <w:numPr>
          <w:ilvl w:val="0"/>
          <w:numId w:val="210"/>
        </w:numPr>
        <w:spacing w:after="0" w:line="240" w:lineRule="auto"/>
        <w:ind w:left="720"/>
        <w:jc w:val="both"/>
        <w:rPr>
          <w:rFonts w:ascii="Lato" w:eastAsia="Calibri" w:hAnsi="Lato" w:cs="Arial"/>
          <w:b/>
          <w:bCs/>
          <w:sz w:val="20"/>
          <w:szCs w:val="20"/>
        </w:rPr>
      </w:pPr>
      <w:r w:rsidRPr="00F30219">
        <w:rPr>
          <w:rFonts w:ascii="Lato" w:eastAsia="Calibri" w:hAnsi="Lato" w:cs="Arial"/>
          <w:b/>
          <w:bCs/>
          <w:sz w:val="20"/>
          <w:szCs w:val="20"/>
        </w:rPr>
        <w:t>Działania strategiczne</w:t>
      </w:r>
    </w:p>
    <w:p w14:paraId="3202526A" w14:textId="66721E61" w:rsidR="00567F2C" w:rsidRPr="00F30219" w:rsidRDefault="00567F2C" w:rsidP="00F30219">
      <w:pPr>
        <w:spacing w:after="0" w:line="240" w:lineRule="auto"/>
        <w:jc w:val="both"/>
        <w:rPr>
          <w:rFonts w:ascii="Lato" w:eastAsia="Calibri" w:hAnsi="Lato" w:cs="Arial"/>
          <w:b/>
          <w:bCs/>
          <w:sz w:val="20"/>
          <w:szCs w:val="20"/>
        </w:rPr>
      </w:pPr>
      <w:r w:rsidRPr="00F30219">
        <w:rPr>
          <w:rFonts w:ascii="Lato" w:eastAsia="Calibri" w:hAnsi="Lato" w:cs="Arial"/>
          <w:b/>
          <w:bCs/>
          <w:sz w:val="20"/>
          <w:szCs w:val="20"/>
        </w:rPr>
        <w:t>DZIAŁANIA Z ZAKRESU DEINSTYTUCJONALIZACJI USŁUG ZDROWOTNYCH</w:t>
      </w:r>
    </w:p>
    <w:p w14:paraId="384E2CA6" w14:textId="44E61726" w:rsidR="00567F2C" w:rsidRDefault="00567F2C" w:rsidP="00F30219">
      <w:pPr>
        <w:pStyle w:val="pismamz"/>
        <w:tabs>
          <w:tab w:val="left" w:pos="5400"/>
        </w:tabs>
        <w:spacing w:before="0" w:line="240" w:lineRule="auto"/>
        <w:contextualSpacing w:val="0"/>
        <w:rPr>
          <w:rFonts w:ascii="Lato" w:hAnsi="Lato" w:cs="Arial"/>
        </w:rPr>
      </w:pPr>
      <w:r w:rsidRPr="00F30219">
        <w:rPr>
          <w:rFonts w:ascii="Lato" w:hAnsi="Lato" w:cs="Arial"/>
        </w:rPr>
        <w:t>W dniu 27 grudnia 2021 r. Rada Ministrów przyjęła w drodze uchwały dokument strategiczny pn. </w:t>
      </w:r>
      <w:r w:rsidRPr="00F30219">
        <w:rPr>
          <w:rFonts w:ascii="Lato" w:hAnsi="Lato" w:cs="Arial"/>
          <w:i/>
          <w:iCs/>
        </w:rPr>
        <w:t>Zdrowa</w:t>
      </w:r>
      <w:r w:rsidR="00F30219">
        <w:rPr>
          <w:rFonts w:ascii="Lato" w:hAnsi="Lato" w:cs="Arial"/>
          <w:i/>
          <w:iCs/>
        </w:rPr>
        <w:t xml:space="preserve"> </w:t>
      </w:r>
      <w:r w:rsidRPr="00F30219">
        <w:rPr>
          <w:rFonts w:ascii="Lato" w:hAnsi="Lato" w:cs="Arial"/>
          <w:i/>
          <w:iCs/>
        </w:rPr>
        <w:t>Przyszłość. Ramy strategiczne rozwoju systemu ochrony zdrowia na lata 2021–2027, z perspektywą do 2030 r.</w:t>
      </w:r>
      <w:r w:rsidRPr="00F30219">
        <w:rPr>
          <w:rFonts w:ascii="Lato" w:hAnsi="Lato" w:cs="Arial"/>
        </w:rPr>
        <w:t xml:space="preserve"> Dokument stanowi podstawę wydatkowania środków unijnych w kolejnej perspektywie finansowej Unii Europejskiej. Przyjęcie uchwały sfinalizowało prace nad dokumentem trwające od 2020 r. Załącznik nr 1 do dokumentu określa </w:t>
      </w:r>
      <w:r w:rsidRPr="00F30219">
        <w:rPr>
          <w:rFonts w:ascii="Lato" w:hAnsi="Lato" w:cs="Arial"/>
          <w:b/>
          <w:bCs/>
          <w:i/>
          <w:iCs/>
        </w:rPr>
        <w:t>Strategię deinstytucjonalizacji opieki zdrowotnej: osoby starsze</w:t>
      </w:r>
      <w:r w:rsidRPr="00F30219">
        <w:rPr>
          <w:rFonts w:ascii="Lato" w:hAnsi="Lato" w:cs="Arial"/>
        </w:rPr>
        <w:t>.</w:t>
      </w:r>
    </w:p>
    <w:p w14:paraId="4A12E179" w14:textId="77777777" w:rsidR="00F30219" w:rsidRPr="00F30219" w:rsidRDefault="00F30219" w:rsidP="00F30219">
      <w:pPr>
        <w:pStyle w:val="pismamz"/>
        <w:tabs>
          <w:tab w:val="left" w:pos="5400"/>
        </w:tabs>
        <w:spacing w:before="0" w:line="240" w:lineRule="auto"/>
        <w:contextualSpacing w:val="0"/>
        <w:rPr>
          <w:rFonts w:ascii="Lato" w:hAnsi="Lato" w:cs="Arial"/>
        </w:rPr>
      </w:pPr>
    </w:p>
    <w:p w14:paraId="2A13B612" w14:textId="77777777"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 xml:space="preserve">Celem nadrzędnym </w:t>
      </w:r>
      <w:r w:rsidRPr="00F30219">
        <w:rPr>
          <w:rFonts w:ascii="Lato" w:hAnsi="Lato" w:cs="Arial"/>
          <w:i/>
          <w:iCs/>
          <w:sz w:val="20"/>
          <w:szCs w:val="20"/>
        </w:rPr>
        <w:t>Strategii</w:t>
      </w:r>
      <w:r w:rsidRPr="00F30219">
        <w:rPr>
          <w:rFonts w:ascii="Lato" w:hAnsi="Lato" w:cs="Arial"/>
          <w:sz w:val="20"/>
          <w:szCs w:val="20"/>
        </w:rPr>
        <w:t xml:space="preserve"> w części dedykowanej osobom starszym jest:</w:t>
      </w:r>
    </w:p>
    <w:p w14:paraId="513C9B3E" w14:textId="77777777" w:rsidR="00567F2C" w:rsidRPr="00F30219" w:rsidRDefault="00567F2C" w:rsidP="0059185B">
      <w:pPr>
        <w:pStyle w:val="Akapitzlist"/>
        <w:numPr>
          <w:ilvl w:val="0"/>
          <w:numId w:val="213"/>
        </w:numPr>
        <w:spacing w:after="0" w:line="240" w:lineRule="auto"/>
        <w:ind w:left="568" w:hanging="284"/>
        <w:contextualSpacing w:val="0"/>
        <w:jc w:val="both"/>
        <w:rPr>
          <w:rFonts w:ascii="Lato" w:hAnsi="Lato" w:cs="Arial"/>
          <w:spacing w:val="-2"/>
          <w:sz w:val="20"/>
          <w:szCs w:val="20"/>
        </w:rPr>
      </w:pPr>
      <w:r w:rsidRPr="00F30219">
        <w:rPr>
          <w:rFonts w:ascii="Lato" w:hAnsi="Lato" w:cs="Arial"/>
          <w:spacing w:val="-2"/>
          <w:sz w:val="20"/>
          <w:szCs w:val="20"/>
        </w:rPr>
        <w:t>poprawa zdrowia i jakości życia związanej ze zdrowiem u osób starszych i ich opiekunów;</w:t>
      </w:r>
    </w:p>
    <w:p w14:paraId="1D1C7709" w14:textId="77777777" w:rsidR="00567F2C" w:rsidRPr="00F30219" w:rsidRDefault="00567F2C" w:rsidP="0059185B">
      <w:pPr>
        <w:pStyle w:val="Akapitzlist"/>
        <w:numPr>
          <w:ilvl w:val="0"/>
          <w:numId w:val="213"/>
        </w:numPr>
        <w:spacing w:after="0" w:line="240" w:lineRule="auto"/>
        <w:ind w:left="567" w:hanging="283"/>
        <w:contextualSpacing w:val="0"/>
        <w:jc w:val="both"/>
        <w:rPr>
          <w:rFonts w:ascii="Lato" w:hAnsi="Lato" w:cs="Arial"/>
          <w:sz w:val="20"/>
          <w:szCs w:val="20"/>
        </w:rPr>
      </w:pPr>
      <w:r w:rsidRPr="00F30219">
        <w:rPr>
          <w:rFonts w:ascii="Lato" w:hAnsi="Lato" w:cs="Arial"/>
          <w:spacing w:val="-2"/>
          <w:sz w:val="20"/>
          <w:szCs w:val="20"/>
        </w:rPr>
        <w:t>wsparcie w utrzymaniu ich niezależności umożliwiającej im jak najdłuższe funkcjonowanie</w:t>
      </w:r>
      <w:r w:rsidRPr="00F30219">
        <w:rPr>
          <w:rFonts w:ascii="Lato" w:hAnsi="Lato" w:cs="Arial"/>
          <w:sz w:val="20"/>
          <w:szCs w:val="20"/>
        </w:rPr>
        <w:t xml:space="preserve"> </w:t>
      </w:r>
      <w:r w:rsidRPr="00F30219">
        <w:rPr>
          <w:rFonts w:ascii="Lato" w:hAnsi="Lato" w:cs="Arial"/>
          <w:sz w:val="20"/>
          <w:szCs w:val="20"/>
        </w:rPr>
        <w:br/>
        <w:t>w środowisku lokalnym.</w:t>
      </w:r>
    </w:p>
    <w:p w14:paraId="3227A8AB" w14:textId="77777777" w:rsidR="00F30219" w:rsidRDefault="00F30219" w:rsidP="00F30219">
      <w:pPr>
        <w:spacing w:after="0" w:line="240" w:lineRule="auto"/>
        <w:jc w:val="both"/>
        <w:rPr>
          <w:rFonts w:ascii="Lato" w:hAnsi="Lato" w:cs="Arial"/>
          <w:sz w:val="20"/>
          <w:szCs w:val="20"/>
        </w:rPr>
      </w:pPr>
    </w:p>
    <w:p w14:paraId="680F621E" w14:textId="23E8B9AB"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Działania w ww. zakresie koncentrują się przede wszystkim na:</w:t>
      </w:r>
    </w:p>
    <w:p w14:paraId="31340E89" w14:textId="367E6FE7" w:rsidR="00567F2C" w:rsidRPr="00F30219" w:rsidRDefault="00567F2C" w:rsidP="0059185B">
      <w:pPr>
        <w:pStyle w:val="Akapitzlist"/>
        <w:numPr>
          <w:ilvl w:val="0"/>
          <w:numId w:val="214"/>
        </w:numPr>
        <w:spacing w:after="0" w:line="240" w:lineRule="auto"/>
        <w:ind w:left="567" w:hanging="283"/>
        <w:contextualSpacing w:val="0"/>
        <w:jc w:val="both"/>
        <w:rPr>
          <w:rFonts w:ascii="Lato" w:hAnsi="Lato" w:cs="Arial"/>
          <w:sz w:val="20"/>
          <w:szCs w:val="20"/>
        </w:rPr>
      </w:pPr>
      <w:r w:rsidRPr="00F30219">
        <w:rPr>
          <w:rFonts w:ascii="Lato" w:hAnsi="Lato" w:cs="Arial"/>
          <w:spacing w:val="2"/>
          <w:sz w:val="20"/>
          <w:szCs w:val="20"/>
        </w:rPr>
        <w:t>rozwoju środowiskowych i domowych form opieki długoterminowej, opieki paliatywnej</w:t>
      </w:r>
      <w:r w:rsidRPr="00F30219">
        <w:rPr>
          <w:rFonts w:ascii="Lato" w:hAnsi="Lato" w:cs="Arial"/>
          <w:sz w:val="20"/>
          <w:szCs w:val="20"/>
        </w:rPr>
        <w:t xml:space="preserve"> i hospicyjnej oraz opieki nad osobami z chorobami mózgu skutkującymi zaburzeniami pamięci (w tym zaburzeniami otępiennymi, takimi jak choroba Alzheimera);</w:t>
      </w:r>
    </w:p>
    <w:p w14:paraId="351E7E5A" w14:textId="2B97CB35" w:rsidR="00567F2C" w:rsidRPr="00F30219" w:rsidRDefault="00567F2C" w:rsidP="0059185B">
      <w:pPr>
        <w:pStyle w:val="Akapitzlist"/>
        <w:numPr>
          <w:ilvl w:val="0"/>
          <w:numId w:val="214"/>
        </w:numPr>
        <w:spacing w:after="0" w:line="240" w:lineRule="auto"/>
        <w:ind w:left="567" w:hanging="283"/>
        <w:contextualSpacing w:val="0"/>
        <w:jc w:val="both"/>
        <w:rPr>
          <w:rFonts w:ascii="Lato" w:hAnsi="Lato" w:cs="Arial"/>
          <w:sz w:val="20"/>
          <w:szCs w:val="20"/>
        </w:rPr>
      </w:pPr>
      <w:r w:rsidRPr="00F30219">
        <w:rPr>
          <w:rFonts w:ascii="Lato" w:hAnsi="Lato" w:cs="Arial"/>
          <w:spacing w:val="-2"/>
          <w:sz w:val="20"/>
          <w:szCs w:val="20"/>
        </w:rPr>
        <w:t>poszerzeniu wsparcia zdrowotnego dla opiekunów osób starszych potrzebujących wsparcia</w:t>
      </w:r>
      <w:r w:rsidRPr="00F30219">
        <w:rPr>
          <w:rFonts w:ascii="Lato" w:hAnsi="Lato" w:cs="Arial"/>
          <w:sz w:val="20"/>
          <w:szCs w:val="20"/>
        </w:rPr>
        <w:t xml:space="preserve"> w codziennym funkcjonowaniu.</w:t>
      </w:r>
    </w:p>
    <w:p w14:paraId="4718748A" w14:textId="77777777" w:rsidR="00F30219" w:rsidRDefault="00F30219" w:rsidP="00F30219">
      <w:pPr>
        <w:spacing w:after="0" w:line="240" w:lineRule="auto"/>
        <w:jc w:val="both"/>
        <w:rPr>
          <w:rFonts w:ascii="Lato" w:hAnsi="Lato" w:cs="Arial"/>
          <w:sz w:val="20"/>
          <w:szCs w:val="20"/>
        </w:rPr>
      </w:pPr>
    </w:p>
    <w:p w14:paraId="6DE221B4" w14:textId="795B855F" w:rsidR="00567F2C" w:rsidRPr="00F30219" w:rsidRDefault="00567F2C" w:rsidP="00F30219">
      <w:pPr>
        <w:spacing w:after="0" w:line="240" w:lineRule="auto"/>
        <w:jc w:val="both"/>
        <w:rPr>
          <w:rFonts w:ascii="Lato" w:hAnsi="Lato" w:cs="Arial"/>
          <w:sz w:val="20"/>
          <w:szCs w:val="20"/>
        </w:rPr>
      </w:pPr>
      <w:r w:rsidRPr="00F30219">
        <w:rPr>
          <w:rFonts w:ascii="Lato" w:hAnsi="Lato" w:cs="Arial"/>
          <w:sz w:val="20"/>
          <w:szCs w:val="20"/>
        </w:rPr>
        <w:t>W ramach poszczególnych sześciu obszarów strategicznych dokumentu przewidziano realizację następujących zakresów działań na rzecz rozwoju środowiskowej opieki zdrowotnej osób starszych oraz wsparcia ich opiekunów:</w:t>
      </w:r>
    </w:p>
    <w:p w14:paraId="1733DC85" w14:textId="77777777"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z w:val="20"/>
          <w:szCs w:val="20"/>
        </w:rPr>
      </w:pPr>
      <w:r w:rsidRPr="00F30219">
        <w:rPr>
          <w:rFonts w:ascii="Lato" w:hAnsi="Lato" w:cs="Arial"/>
          <w:spacing w:val="-4"/>
          <w:sz w:val="20"/>
          <w:szCs w:val="20"/>
        </w:rPr>
        <w:t xml:space="preserve">Rozwój zasobów kadrowych – poprzez podniesienie kompetencji kadr opiekuńczych (opiekunów </w:t>
      </w:r>
      <w:r w:rsidRPr="00F30219">
        <w:rPr>
          <w:rFonts w:ascii="Lato" w:hAnsi="Lato" w:cs="Arial"/>
          <w:sz w:val="20"/>
          <w:szCs w:val="20"/>
        </w:rPr>
        <w:t>medycznych) w zakresie opieki nad osobami starszymi potrzebującymi wsparcia w codziennym funkcjonowaniu w celu wsparcia opieki długoterminowej oraz opieki paliatywnej i hospicyjnej udzielanych w warunkach domowych;</w:t>
      </w:r>
    </w:p>
    <w:p w14:paraId="3B9FA3F9" w14:textId="77777777"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pacing w:val="-4"/>
          <w:sz w:val="20"/>
          <w:szCs w:val="20"/>
        </w:rPr>
      </w:pPr>
      <w:r w:rsidRPr="00F30219">
        <w:rPr>
          <w:rFonts w:ascii="Lato" w:hAnsi="Lato" w:cs="Arial"/>
          <w:spacing w:val="-3"/>
          <w:sz w:val="20"/>
          <w:szCs w:val="20"/>
        </w:rPr>
        <w:t>Rozwój form opieki dziennej – poprzez poszerzanie form dziennej opieki medycznej, w tym osób</w:t>
      </w:r>
      <w:r w:rsidRPr="00F30219">
        <w:rPr>
          <w:rFonts w:ascii="Lato" w:hAnsi="Lato" w:cs="Arial"/>
          <w:spacing w:val="-4"/>
          <w:sz w:val="20"/>
          <w:szCs w:val="20"/>
        </w:rPr>
        <w:t xml:space="preserve"> </w:t>
      </w:r>
      <w:r w:rsidRPr="00F30219">
        <w:rPr>
          <w:rFonts w:ascii="Lato" w:hAnsi="Lato" w:cs="Arial"/>
          <w:spacing w:val="-4"/>
          <w:sz w:val="20"/>
          <w:szCs w:val="20"/>
        </w:rPr>
        <w:br/>
        <w:t>z zaburzeniami otępiennymi, z uwzględnieniem regionów oraz obszarów niezurbanizowanych;</w:t>
      </w:r>
    </w:p>
    <w:p w14:paraId="76625022" w14:textId="77777777"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z w:val="20"/>
          <w:szCs w:val="20"/>
        </w:rPr>
      </w:pPr>
      <w:r w:rsidRPr="00F30219">
        <w:rPr>
          <w:rFonts w:ascii="Lato" w:hAnsi="Lato" w:cs="Arial"/>
          <w:sz w:val="20"/>
          <w:szCs w:val="20"/>
        </w:rPr>
        <w:t>Rozwój form opieki domowej – poprzez włączenie przeszkolonych w tym zakresie kadr medycznych (opiekunów medycznych) do personelu zapewniającego opiekę długoterminową oraz opiekę paliatywną i hospicyjną udzielaną w warunkach domowych;</w:t>
      </w:r>
    </w:p>
    <w:p w14:paraId="34A92FE6" w14:textId="77777777"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z w:val="20"/>
          <w:szCs w:val="20"/>
        </w:rPr>
      </w:pPr>
      <w:r w:rsidRPr="00F30219">
        <w:rPr>
          <w:rFonts w:ascii="Lato" w:hAnsi="Lato" w:cs="Arial"/>
          <w:spacing w:val="-4"/>
          <w:sz w:val="20"/>
          <w:szCs w:val="20"/>
        </w:rPr>
        <w:t>Rozwój innowacyjnych form opieki – poprzez rozpowszechnienie usług z zakresu telemedycyny,</w:t>
      </w:r>
      <w:r w:rsidRPr="00F30219">
        <w:rPr>
          <w:rFonts w:ascii="Lato" w:hAnsi="Lato" w:cs="Arial"/>
          <w:sz w:val="20"/>
          <w:szCs w:val="20"/>
        </w:rPr>
        <w:t xml:space="preserve"> dedykowanych osobom starszym i innym osobom potrzebującym wsparcia w codziennym funkcjonowaniu, oraz ich włączenie do świadczeń gwarantowanych;</w:t>
      </w:r>
    </w:p>
    <w:p w14:paraId="599F54A8" w14:textId="530CE103"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z w:val="20"/>
          <w:szCs w:val="20"/>
        </w:rPr>
      </w:pPr>
      <w:r w:rsidRPr="00F30219">
        <w:rPr>
          <w:rFonts w:ascii="Lato" w:hAnsi="Lato" w:cs="Arial"/>
          <w:spacing w:val="-2"/>
          <w:sz w:val="20"/>
          <w:szCs w:val="20"/>
        </w:rPr>
        <w:t xml:space="preserve">Wsparcie dla opiekunów nieformalnych – </w:t>
      </w:r>
      <w:r w:rsidRPr="00F30219">
        <w:rPr>
          <w:rFonts w:ascii="Lato" w:hAnsi="Lato" w:cs="Arial"/>
          <w:sz w:val="20"/>
          <w:szCs w:val="20"/>
        </w:rPr>
        <w:t xml:space="preserve">poprzez działania o charakterze informacyjnym </w:t>
      </w:r>
      <w:r w:rsidRPr="00F30219">
        <w:rPr>
          <w:rFonts w:ascii="Lato" w:hAnsi="Lato" w:cs="Arial"/>
          <w:spacing w:val="-2"/>
          <w:sz w:val="20"/>
          <w:szCs w:val="20"/>
        </w:rPr>
        <w:t>(w zakresie dostępnych form wsparcia i pomocy w sprawowaniu codziennej opieki), edukacyjnym</w:t>
      </w:r>
      <w:r w:rsidRPr="00F30219">
        <w:rPr>
          <w:rFonts w:ascii="Lato" w:hAnsi="Lato" w:cs="Arial"/>
          <w:sz w:val="20"/>
          <w:szCs w:val="20"/>
        </w:rPr>
        <w:t xml:space="preserve"> </w:t>
      </w:r>
      <w:r w:rsidRPr="00F30219">
        <w:rPr>
          <w:rFonts w:ascii="Lato" w:hAnsi="Lato" w:cs="Arial"/>
          <w:spacing w:val="-2"/>
          <w:sz w:val="20"/>
          <w:szCs w:val="20"/>
        </w:rPr>
        <w:t>(w zakresie właściwej opieki nad chorym w domu) oraz wsparcia psychologicznego (dostępnego</w:t>
      </w:r>
      <w:r w:rsidRPr="00F30219">
        <w:rPr>
          <w:rFonts w:ascii="Lato" w:hAnsi="Lato" w:cs="Arial"/>
          <w:sz w:val="20"/>
          <w:szCs w:val="20"/>
        </w:rPr>
        <w:t xml:space="preserve"> w środowisku lokalnym oraz w formie zdalnej);</w:t>
      </w:r>
    </w:p>
    <w:p w14:paraId="507FA385" w14:textId="77777777" w:rsidR="00567F2C" w:rsidRPr="00F30219" w:rsidRDefault="00567F2C" w:rsidP="0059185B">
      <w:pPr>
        <w:pStyle w:val="Akapitzlist"/>
        <w:numPr>
          <w:ilvl w:val="1"/>
          <w:numId w:val="215"/>
        </w:numPr>
        <w:spacing w:after="0" w:line="240" w:lineRule="auto"/>
        <w:ind w:left="567" w:hanging="283"/>
        <w:contextualSpacing w:val="0"/>
        <w:jc w:val="both"/>
        <w:rPr>
          <w:rFonts w:ascii="Lato" w:hAnsi="Lato" w:cs="Arial"/>
          <w:sz w:val="20"/>
          <w:szCs w:val="20"/>
        </w:rPr>
      </w:pPr>
      <w:r w:rsidRPr="00F30219">
        <w:rPr>
          <w:rFonts w:ascii="Lato" w:hAnsi="Lato" w:cs="Arial"/>
          <w:sz w:val="20"/>
          <w:szCs w:val="20"/>
        </w:rPr>
        <w:t>Koordynacja opieki środowiskowej – poprzez zapewnienie kompleksowej bazy informacji na temat publicznie dostępnych form opieki zdrowotnej na osobami starszymi oraz wsparcia zdrowotnego dla ich opiekunów nieformalnych.</w:t>
      </w:r>
    </w:p>
    <w:p w14:paraId="2A0819A6" w14:textId="77777777" w:rsidR="00567F2C" w:rsidRPr="00F30219" w:rsidRDefault="00567F2C" w:rsidP="00F30219">
      <w:pPr>
        <w:spacing w:after="0" w:line="240" w:lineRule="auto"/>
        <w:rPr>
          <w:rFonts w:ascii="Lato" w:hAnsi="Lato"/>
          <w:sz w:val="20"/>
          <w:szCs w:val="20"/>
        </w:rPr>
      </w:pPr>
    </w:p>
    <w:p w14:paraId="4C79284E" w14:textId="2D8ECA57" w:rsidR="00B73CC2" w:rsidRPr="00F30219" w:rsidRDefault="00567F2C" w:rsidP="00CE7271">
      <w:pPr>
        <w:pStyle w:val="Akapitzlist"/>
        <w:numPr>
          <w:ilvl w:val="0"/>
          <w:numId w:val="210"/>
        </w:numPr>
        <w:spacing w:after="0" w:line="240" w:lineRule="auto"/>
        <w:ind w:left="720"/>
        <w:rPr>
          <w:rFonts w:ascii="Lato" w:hAnsi="Lato"/>
          <w:b/>
          <w:bCs/>
          <w:sz w:val="20"/>
          <w:szCs w:val="20"/>
        </w:rPr>
      </w:pPr>
      <w:r w:rsidRPr="00F30219">
        <w:rPr>
          <w:rFonts w:ascii="Lato" w:hAnsi="Lato"/>
          <w:b/>
          <w:bCs/>
          <w:sz w:val="20"/>
          <w:szCs w:val="20"/>
        </w:rPr>
        <w:t>Działania z zakresu profilaktyki promocji zdrowia</w:t>
      </w:r>
    </w:p>
    <w:p w14:paraId="59F53D80" w14:textId="61F0F6EA"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REALIZACJA NARODOWEGO PROGRAMU ZDROWIA NA LATA 2021 -2025</w:t>
      </w:r>
    </w:p>
    <w:p w14:paraId="5A36E843" w14:textId="106B6F63" w:rsidR="00567F2C" w:rsidRDefault="00567F2C" w:rsidP="00F30219">
      <w:pPr>
        <w:widowControl w:val="0"/>
        <w:spacing w:after="0" w:line="240" w:lineRule="auto"/>
        <w:jc w:val="both"/>
        <w:rPr>
          <w:rFonts w:ascii="Lato" w:eastAsia="Times New Roman" w:hAnsi="Lato" w:cs="Arial"/>
          <w:sz w:val="20"/>
          <w:szCs w:val="20"/>
          <w:lang w:eastAsia="pl-PL" w:bidi="pl-PL"/>
        </w:rPr>
      </w:pPr>
      <w:r w:rsidRPr="00F30219">
        <w:rPr>
          <w:rFonts w:ascii="Lato" w:eastAsia="Times New Roman" w:hAnsi="Lato" w:cs="Arial"/>
          <w:sz w:val="20"/>
          <w:szCs w:val="20"/>
          <w:lang w:eastAsia="pl-PL" w:bidi="pl-PL"/>
        </w:rPr>
        <w:t>Ministerstwo Zdrowia, dostrzegając wzrastające potrzeby zdrowotne osób w starszym wieku, koncentruje się nie tylko na zapewnieniu właściwej dostępności i jakości udzielanych świadczeń medycznych, ale również podejmuje zadania ukierunkowane na profilaktykę i promocję zdrowia w</w:t>
      </w:r>
      <w:r w:rsidRPr="00F30219">
        <w:rPr>
          <w:rFonts w:ascii="Arial" w:eastAsia="Times New Roman" w:hAnsi="Arial" w:cs="Arial"/>
          <w:sz w:val="20"/>
          <w:szCs w:val="20"/>
          <w:lang w:eastAsia="pl-PL" w:bidi="pl-PL"/>
        </w:rPr>
        <w:t> </w:t>
      </w:r>
      <w:r w:rsidRPr="00F30219">
        <w:rPr>
          <w:rFonts w:ascii="Lato" w:eastAsia="Times New Roman" w:hAnsi="Lato" w:cs="Arial"/>
          <w:sz w:val="20"/>
          <w:szCs w:val="20"/>
          <w:lang w:eastAsia="pl-PL" w:bidi="pl-PL"/>
        </w:rPr>
        <w:t>spo</w:t>
      </w:r>
      <w:r w:rsidRPr="00F30219">
        <w:rPr>
          <w:rFonts w:ascii="Lato" w:eastAsia="Times New Roman" w:hAnsi="Lato" w:cs="Lato"/>
          <w:sz w:val="20"/>
          <w:szCs w:val="20"/>
          <w:lang w:eastAsia="pl-PL" w:bidi="pl-PL"/>
        </w:rPr>
        <w:t>ł</w:t>
      </w:r>
      <w:r w:rsidRPr="00F30219">
        <w:rPr>
          <w:rFonts w:ascii="Lato" w:eastAsia="Times New Roman" w:hAnsi="Lato" w:cs="Arial"/>
          <w:sz w:val="20"/>
          <w:szCs w:val="20"/>
          <w:lang w:eastAsia="pl-PL" w:bidi="pl-PL"/>
        </w:rPr>
        <w:t>ecze</w:t>
      </w:r>
      <w:r w:rsidRPr="00F30219">
        <w:rPr>
          <w:rFonts w:ascii="Lato" w:eastAsia="Times New Roman" w:hAnsi="Lato" w:cs="Lato"/>
          <w:sz w:val="20"/>
          <w:szCs w:val="20"/>
          <w:lang w:eastAsia="pl-PL" w:bidi="pl-PL"/>
        </w:rPr>
        <w:t>ń</w:t>
      </w:r>
      <w:r w:rsidRPr="00F30219">
        <w:rPr>
          <w:rFonts w:ascii="Lato" w:eastAsia="Times New Roman" w:hAnsi="Lato" w:cs="Arial"/>
          <w:sz w:val="20"/>
          <w:szCs w:val="20"/>
          <w:lang w:eastAsia="pl-PL" w:bidi="pl-PL"/>
        </w:rPr>
        <w:t>stwie. Jednym z priorytet</w:t>
      </w:r>
      <w:r w:rsidRPr="00F30219">
        <w:rPr>
          <w:rFonts w:ascii="Lato" w:eastAsia="Times New Roman" w:hAnsi="Lato" w:cs="Lato"/>
          <w:sz w:val="20"/>
          <w:szCs w:val="20"/>
          <w:lang w:eastAsia="pl-PL" w:bidi="pl-PL"/>
        </w:rPr>
        <w:t>ó</w:t>
      </w:r>
      <w:r w:rsidRPr="00F30219">
        <w:rPr>
          <w:rFonts w:ascii="Lato" w:eastAsia="Times New Roman" w:hAnsi="Lato" w:cs="Arial"/>
          <w:sz w:val="20"/>
          <w:szCs w:val="20"/>
          <w:lang w:eastAsia="pl-PL" w:bidi="pl-PL"/>
        </w:rPr>
        <w:t>w Ministerstwa jest poprawa zdrowia Polak</w:t>
      </w:r>
      <w:r w:rsidRPr="00F30219">
        <w:rPr>
          <w:rFonts w:ascii="Lato" w:eastAsia="Times New Roman" w:hAnsi="Lato" w:cs="Lato"/>
          <w:sz w:val="20"/>
          <w:szCs w:val="20"/>
          <w:lang w:eastAsia="pl-PL" w:bidi="pl-PL"/>
        </w:rPr>
        <w:t>ó</w:t>
      </w:r>
      <w:r w:rsidRPr="00F30219">
        <w:rPr>
          <w:rFonts w:ascii="Lato" w:eastAsia="Times New Roman" w:hAnsi="Lato" w:cs="Arial"/>
          <w:sz w:val="20"/>
          <w:szCs w:val="20"/>
          <w:lang w:eastAsia="pl-PL" w:bidi="pl-PL"/>
        </w:rPr>
        <w:t>w i zapobieganie chorobom m.in. poprzez edukację zdrowotną i promowanie zdrowego stylu życia. </w:t>
      </w:r>
    </w:p>
    <w:p w14:paraId="049CD7F3" w14:textId="77777777" w:rsidR="005016F6" w:rsidRPr="00F30219" w:rsidRDefault="005016F6" w:rsidP="00F30219">
      <w:pPr>
        <w:widowControl w:val="0"/>
        <w:spacing w:after="0" w:line="240" w:lineRule="auto"/>
        <w:jc w:val="both"/>
        <w:rPr>
          <w:rFonts w:ascii="Lato" w:eastAsia="Times New Roman" w:hAnsi="Lato" w:cs="Arial"/>
          <w:sz w:val="20"/>
          <w:szCs w:val="20"/>
          <w:lang w:eastAsia="pl-PL" w:bidi="pl-PL"/>
        </w:rPr>
      </w:pPr>
    </w:p>
    <w:p w14:paraId="07794236" w14:textId="77777777" w:rsidR="00567F2C" w:rsidRPr="00F30219" w:rsidRDefault="00567F2C" w:rsidP="00F30219">
      <w:pPr>
        <w:spacing w:after="0" w:line="240" w:lineRule="auto"/>
        <w:jc w:val="both"/>
        <w:rPr>
          <w:rFonts w:ascii="Lato" w:eastAsia="Times New Roman" w:hAnsi="Lato" w:cs="Arial"/>
          <w:sz w:val="20"/>
          <w:szCs w:val="20"/>
          <w:lang w:eastAsia="pl-PL" w:bidi="pl-PL"/>
        </w:rPr>
      </w:pPr>
      <w:r w:rsidRPr="00F30219">
        <w:rPr>
          <w:rFonts w:ascii="Lato" w:eastAsia="Times New Roman" w:hAnsi="Lato" w:cs="Arial"/>
          <w:sz w:val="20"/>
          <w:szCs w:val="20"/>
          <w:lang w:eastAsia="pl-PL" w:bidi="pl-PL"/>
        </w:rPr>
        <w:t xml:space="preserve">Zadania na rzecz promocji zdrowia oraz profilaktyki zdrowotnej osób starszych realizowane są na mocy </w:t>
      </w:r>
      <w:r w:rsidRPr="00F30219">
        <w:rPr>
          <w:rFonts w:ascii="Lato" w:eastAsia="Times New Roman" w:hAnsi="Lato" w:cs="Arial"/>
          <w:i/>
          <w:iCs/>
          <w:sz w:val="20"/>
          <w:szCs w:val="20"/>
          <w:lang w:eastAsia="pl-PL" w:bidi="pl-PL"/>
        </w:rPr>
        <w:t>ustawy z dnia 11 września 2015 r. o zdrowiu publicznym</w:t>
      </w:r>
      <w:r w:rsidRPr="00F30219">
        <w:rPr>
          <w:rFonts w:ascii="Lato" w:eastAsia="Times New Roman" w:hAnsi="Lato" w:cs="Arial"/>
          <w:sz w:val="20"/>
          <w:szCs w:val="20"/>
          <w:lang w:eastAsia="pl-PL" w:bidi="pl-PL"/>
        </w:rPr>
        <w:t xml:space="preserve"> (Dz. U. z 2021 r. poz. 1956, z </w:t>
      </w:r>
      <w:proofErr w:type="spellStart"/>
      <w:r w:rsidRPr="00F30219">
        <w:rPr>
          <w:rFonts w:ascii="Lato" w:eastAsia="Times New Roman" w:hAnsi="Lato" w:cs="Arial"/>
          <w:sz w:val="20"/>
          <w:szCs w:val="20"/>
          <w:lang w:eastAsia="pl-PL" w:bidi="pl-PL"/>
        </w:rPr>
        <w:t>późn</w:t>
      </w:r>
      <w:proofErr w:type="spellEnd"/>
      <w:r w:rsidRPr="00F30219">
        <w:rPr>
          <w:rFonts w:ascii="Lato" w:eastAsia="Times New Roman" w:hAnsi="Lato" w:cs="Arial"/>
          <w:sz w:val="20"/>
          <w:szCs w:val="20"/>
          <w:lang w:eastAsia="pl-PL" w:bidi="pl-PL"/>
        </w:rPr>
        <w:t xml:space="preserve">. zm.) oraz </w:t>
      </w:r>
      <w:r w:rsidRPr="00F30219">
        <w:rPr>
          <w:rFonts w:ascii="Lato" w:eastAsia="Times New Roman" w:hAnsi="Lato" w:cs="Arial"/>
          <w:i/>
          <w:iCs/>
          <w:sz w:val="20"/>
          <w:szCs w:val="20"/>
          <w:lang w:eastAsia="pl-PL" w:bidi="pl-PL"/>
        </w:rPr>
        <w:t xml:space="preserve">rozporządzenia Rady Ministrów z dnia 30 marca 2021 r. w sprawie Narodowego Programu Zdrowia na </w:t>
      </w:r>
      <w:r w:rsidRPr="00F30219">
        <w:rPr>
          <w:rFonts w:ascii="Lato" w:eastAsia="Times New Roman" w:hAnsi="Lato" w:cs="Arial"/>
          <w:i/>
          <w:iCs/>
          <w:sz w:val="20"/>
          <w:szCs w:val="20"/>
          <w:lang w:eastAsia="pl-PL" w:bidi="pl-PL"/>
        </w:rPr>
        <w:lastRenderedPageBreak/>
        <w:t>lata 2021–2025</w:t>
      </w:r>
      <w:r w:rsidRPr="00F30219">
        <w:rPr>
          <w:rFonts w:ascii="Lato" w:eastAsia="Times New Roman" w:hAnsi="Lato" w:cs="Arial"/>
          <w:i/>
          <w:iCs/>
          <w:sz w:val="20"/>
          <w:szCs w:val="20"/>
          <w:vertAlign w:val="superscript"/>
          <w:lang w:eastAsia="pl-PL" w:bidi="pl-PL"/>
        </w:rPr>
        <w:footnoteReference w:id="16"/>
      </w:r>
      <w:r w:rsidRPr="00F30219">
        <w:rPr>
          <w:rFonts w:ascii="Lato" w:eastAsia="Times New Roman" w:hAnsi="Lato" w:cs="Arial"/>
          <w:sz w:val="20"/>
          <w:szCs w:val="20"/>
          <w:lang w:eastAsia="pl-PL" w:bidi="pl-PL"/>
        </w:rPr>
        <w:t xml:space="preserve">. Celem strategicznym </w:t>
      </w:r>
      <w:r w:rsidRPr="00F30219">
        <w:rPr>
          <w:rFonts w:ascii="Lato" w:eastAsia="Times New Roman" w:hAnsi="Lato" w:cs="Arial"/>
          <w:b/>
          <w:bCs/>
          <w:i/>
          <w:iCs/>
          <w:sz w:val="20"/>
          <w:szCs w:val="20"/>
          <w:lang w:eastAsia="pl-PL" w:bidi="pl-PL"/>
        </w:rPr>
        <w:t>Narodowego Programu Zdrowia na lata 2021–2025</w:t>
      </w:r>
      <w:r w:rsidRPr="00F30219">
        <w:rPr>
          <w:rFonts w:ascii="Lato" w:eastAsia="Times New Roman" w:hAnsi="Lato" w:cs="Arial"/>
          <w:sz w:val="20"/>
          <w:szCs w:val="20"/>
          <w:lang w:eastAsia="pl-PL" w:bidi="pl-PL"/>
        </w:rPr>
        <w:t xml:space="preserve">  (</w:t>
      </w:r>
      <w:r w:rsidRPr="00F30219">
        <w:rPr>
          <w:rFonts w:ascii="Lato" w:eastAsia="Times New Roman" w:hAnsi="Lato" w:cs="Arial"/>
          <w:b/>
          <w:bCs/>
          <w:sz w:val="20"/>
          <w:szCs w:val="20"/>
          <w:lang w:eastAsia="pl-PL" w:bidi="pl-PL"/>
        </w:rPr>
        <w:t>NPZ</w:t>
      </w:r>
      <w:r w:rsidRPr="00F30219">
        <w:rPr>
          <w:rFonts w:ascii="Lato" w:eastAsia="Times New Roman" w:hAnsi="Lato" w:cs="Arial"/>
          <w:sz w:val="20"/>
          <w:szCs w:val="20"/>
          <w:lang w:eastAsia="pl-PL" w:bidi="pl-PL"/>
        </w:rPr>
        <w:t xml:space="preserve">) jest zwiększenie liczby lat przeżytych w zdrowiu oraz ograniczenie społecznych nierówności w zdrowiu. W NPZ wydzielono </w:t>
      </w:r>
      <w:r w:rsidRPr="00F30219">
        <w:rPr>
          <w:rFonts w:ascii="Lato" w:eastAsia="Times New Roman" w:hAnsi="Lato" w:cs="Arial"/>
          <w:b/>
          <w:bCs/>
          <w:sz w:val="20"/>
          <w:szCs w:val="20"/>
          <w:lang w:eastAsia="pl-PL" w:bidi="pl-PL"/>
        </w:rPr>
        <w:t>Cel operacyjny 5.</w:t>
      </w:r>
      <w:r w:rsidRPr="00F30219">
        <w:rPr>
          <w:rFonts w:ascii="Lato" w:eastAsia="Times New Roman" w:hAnsi="Lato" w:cs="Arial"/>
          <w:sz w:val="20"/>
          <w:szCs w:val="20"/>
          <w:lang w:eastAsia="pl-PL" w:bidi="pl-PL"/>
        </w:rPr>
        <w:t xml:space="preserve"> </w:t>
      </w:r>
      <w:r w:rsidRPr="00F30219">
        <w:rPr>
          <w:rFonts w:ascii="Lato" w:eastAsia="Times New Roman" w:hAnsi="Lato" w:cs="Arial"/>
          <w:b/>
          <w:bCs/>
          <w:i/>
          <w:iCs/>
          <w:sz w:val="20"/>
          <w:szCs w:val="20"/>
          <w:lang w:eastAsia="pl-PL" w:bidi="pl-PL"/>
        </w:rPr>
        <w:t xml:space="preserve">Wyzwania demograficzne, </w:t>
      </w:r>
      <w:r w:rsidRPr="00F30219">
        <w:rPr>
          <w:rFonts w:ascii="Lato" w:eastAsia="Times New Roman" w:hAnsi="Lato" w:cs="Arial"/>
          <w:i/>
          <w:iCs/>
          <w:sz w:val="20"/>
          <w:szCs w:val="20"/>
          <w:lang w:eastAsia="pl-PL" w:bidi="pl-PL"/>
        </w:rPr>
        <w:t xml:space="preserve"> </w:t>
      </w:r>
      <w:r w:rsidRPr="00F30219">
        <w:rPr>
          <w:rFonts w:ascii="Lato" w:eastAsia="Times New Roman" w:hAnsi="Lato" w:cs="Arial"/>
          <w:sz w:val="20"/>
          <w:szCs w:val="20"/>
          <w:lang w:eastAsia="pl-PL" w:bidi="pl-PL"/>
        </w:rPr>
        <w:t>dedykowany wsparciu zdrowotnemu obecnych i przyszłych seniorów oraz ich opiekunów.</w:t>
      </w:r>
    </w:p>
    <w:p w14:paraId="188B3D29" w14:textId="77777777" w:rsidR="005016F6" w:rsidRDefault="005016F6" w:rsidP="00F30219">
      <w:pPr>
        <w:spacing w:after="0" w:line="240" w:lineRule="auto"/>
        <w:jc w:val="both"/>
        <w:rPr>
          <w:rFonts w:ascii="Lato" w:hAnsi="Lato" w:cs="Arial"/>
          <w:sz w:val="20"/>
          <w:szCs w:val="20"/>
          <w:u w:val="single"/>
        </w:rPr>
      </w:pPr>
    </w:p>
    <w:p w14:paraId="51EDCC5C" w14:textId="1015347C" w:rsidR="00567F2C" w:rsidRPr="005016F6" w:rsidRDefault="00567F2C" w:rsidP="00F30219">
      <w:pPr>
        <w:spacing w:after="0" w:line="240" w:lineRule="auto"/>
        <w:jc w:val="both"/>
        <w:rPr>
          <w:rFonts w:ascii="Lato" w:hAnsi="Lato" w:cs="Arial"/>
          <w:sz w:val="20"/>
          <w:szCs w:val="20"/>
        </w:rPr>
      </w:pPr>
      <w:r w:rsidRPr="005016F6">
        <w:rPr>
          <w:rFonts w:ascii="Lato" w:hAnsi="Lato" w:cs="Arial"/>
          <w:sz w:val="20"/>
          <w:szCs w:val="20"/>
        </w:rPr>
        <w:t>W ramach Narodowego Programu Zdrowia na lata 2021-2025 w 2022 r. prowadzone były następujące działania na rzecz osób starszych:</w:t>
      </w:r>
    </w:p>
    <w:p w14:paraId="2AC5CED9" w14:textId="558224D5" w:rsidR="00567F2C" w:rsidRPr="005016F6" w:rsidRDefault="00567F2C" w:rsidP="0059185B">
      <w:pPr>
        <w:pStyle w:val="Akapitzlist"/>
        <w:numPr>
          <w:ilvl w:val="0"/>
          <w:numId w:val="217"/>
        </w:numPr>
        <w:spacing w:after="0" w:line="240" w:lineRule="auto"/>
        <w:jc w:val="both"/>
        <w:rPr>
          <w:rFonts w:ascii="Lato" w:eastAsia="Times New Roman" w:hAnsi="Lato" w:cs="Arial"/>
          <w:sz w:val="20"/>
          <w:szCs w:val="20"/>
          <w:lang w:eastAsia="pl-PL" w:bidi="pl-PL"/>
        </w:rPr>
      </w:pPr>
      <w:r w:rsidRPr="005016F6">
        <w:rPr>
          <w:rFonts w:ascii="Lato" w:hAnsi="Lato" w:cs="Arial"/>
          <w:sz w:val="20"/>
          <w:szCs w:val="20"/>
        </w:rPr>
        <w:t xml:space="preserve">Edukacja w zakresie zarządzania zdrowiem starzejących się pracowników oraz opracowanie </w:t>
      </w:r>
      <w:r w:rsidRPr="005016F6">
        <w:rPr>
          <w:rFonts w:ascii="Lato" w:hAnsi="Lato" w:cs="Arial"/>
          <w:sz w:val="20"/>
          <w:szCs w:val="20"/>
        </w:rPr>
        <w:br/>
        <w:t xml:space="preserve">i upowszechnienie instrumentów promujących zdrowie i zachowania prozdrowotne w środowisku pracy. </w:t>
      </w:r>
    </w:p>
    <w:p w14:paraId="019D241E" w14:textId="77777777" w:rsidR="00567F2C" w:rsidRPr="00F30219" w:rsidRDefault="00567F2C" w:rsidP="00F30219">
      <w:pPr>
        <w:suppressAutoHyphens/>
        <w:spacing w:after="0" w:line="240" w:lineRule="auto"/>
        <w:jc w:val="both"/>
        <w:rPr>
          <w:rFonts w:ascii="Lato" w:hAnsi="Lato" w:cs="Arial"/>
          <w:sz w:val="20"/>
          <w:szCs w:val="20"/>
        </w:rPr>
      </w:pPr>
      <w:r w:rsidRPr="00F30219">
        <w:rPr>
          <w:rFonts w:ascii="Lato" w:hAnsi="Lato" w:cs="Arial"/>
          <w:sz w:val="20"/>
          <w:szCs w:val="20"/>
        </w:rPr>
        <w:t xml:space="preserve">Głównym celem zadania realizowanego przez Instytut Medycyny Pracy im. prof. dra med. Jerzego </w:t>
      </w:r>
      <w:proofErr w:type="spellStart"/>
      <w:r w:rsidRPr="00F30219">
        <w:rPr>
          <w:rFonts w:ascii="Lato" w:hAnsi="Lato" w:cs="Arial"/>
          <w:sz w:val="20"/>
          <w:szCs w:val="20"/>
        </w:rPr>
        <w:t>Nofera</w:t>
      </w:r>
      <w:proofErr w:type="spellEnd"/>
      <w:r w:rsidRPr="00F30219">
        <w:rPr>
          <w:rFonts w:ascii="Lato" w:hAnsi="Lato" w:cs="Arial"/>
          <w:sz w:val="20"/>
          <w:szCs w:val="20"/>
        </w:rPr>
        <w:t xml:space="preserve"> w Łodzi jest zwiększenie motywacji i kompetencji pracodawców, menedżerów i specjalistów zarządzania zasobami ludzkimi do realizacji programów zarządzania zdrowiem starzejących się pracowników w średnich i dużych zakładach pracy. W ramach zadania prowadzone są działania mające na celu przeciwdziałanie wczesnemu wykluczeniu pracowników z rynku pracy w przypadku problemów zdrowotnych związanych z wiekiem.</w:t>
      </w:r>
    </w:p>
    <w:p w14:paraId="61C35DDD" w14:textId="77777777" w:rsidR="005016F6" w:rsidRDefault="005016F6" w:rsidP="00F30219">
      <w:pPr>
        <w:suppressAutoHyphens/>
        <w:spacing w:after="0" w:line="240" w:lineRule="auto"/>
        <w:jc w:val="both"/>
        <w:rPr>
          <w:rFonts w:ascii="Lato" w:hAnsi="Lato" w:cs="Arial"/>
          <w:sz w:val="20"/>
          <w:szCs w:val="20"/>
        </w:rPr>
      </w:pPr>
    </w:p>
    <w:p w14:paraId="047F38BE" w14:textId="1A44F04C" w:rsidR="00567F2C" w:rsidRPr="005016F6" w:rsidRDefault="00567F2C" w:rsidP="00F30219">
      <w:pPr>
        <w:suppressAutoHyphens/>
        <w:spacing w:after="0" w:line="240" w:lineRule="auto"/>
        <w:jc w:val="both"/>
        <w:rPr>
          <w:rFonts w:ascii="Lato" w:hAnsi="Lato" w:cs="Arial"/>
          <w:sz w:val="20"/>
          <w:szCs w:val="20"/>
        </w:rPr>
      </w:pPr>
      <w:r w:rsidRPr="005016F6">
        <w:rPr>
          <w:rFonts w:ascii="Lato" w:hAnsi="Lato" w:cs="Arial"/>
          <w:sz w:val="20"/>
          <w:szCs w:val="20"/>
        </w:rPr>
        <w:t xml:space="preserve"> Zakres zadania na lata 2021-2025 obejmuje:</w:t>
      </w:r>
    </w:p>
    <w:p w14:paraId="1FB07A16"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 xml:space="preserve">zwiększenie kompetencji 5000 pracodawców, ze szczególnym uwzględnieniem kadry zarządzającej i profesjonalistów zajmujących się zdrowiem w zakładach pracy, w zakresie realizacji programów prozdrowotnych ograniczających konsekwencje starzenia się personelu oraz podtrzymujących </w:t>
      </w:r>
      <w:r w:rsidRPr="00F30219">
        <w:rPr>
          <w:rFonts w:ascii="Lato" w:hAnsi="Lato" w:cs="Arial"/>
          <w:sz w:val="20"/>
          <w:szCs w:val="20"/>
        </w:rPr>
        <w:br/>
        <w:t>i przedłużających zdolność do pracy poprzez wyposażenie ich w odpowiednie narzędzia i materiały lub przeszkolenie w tym zakresie,</w:t>
      </w:r>
    </w:p>
    <w:p w14:paraId="504871A5"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 xml:space="preserve">podniesienie świadomości i wiedzy 10 tysięcy pracowników w zakresie budowania własnego kapitału zdrowia poprzez zapewnienie im dostępu do materiałów informacyjno-edukacyjnych dotyczących </w:t>
      </w:r>
      <w:proofErr w:type="spellStart"/>
      <w:r w:rsidRPr="00F30219">
        <w:rPr>
          <w:rFonts w:ascii="Lato" w:hAnsi="Lato" w:cs="Arial"/>
          <w:sz w:val="20"/>
          <w:szCs w:val="20"/>
        </w:rPr>
        <w:t>zachowań</w:t>
      </w:r>
      <w:proofErr w:type="spellEnd"/>
      <w:r w:rsidRPr="00F30219">
        <w:rPr>
          <w:rFonts w:ascii="Lato" w:hAnsi="Lato" w:cs="Arial"/>
          <w:sz w:val="20"/>
          <w:szCs w:val="20"/>
        </w:rPr>
        <w:t xml:space="preserve"> sprzyjających zdrowiu, </w:t>
      </w:r>
    </w:p>
    <w:p w14:paraId="063CA4B8"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 xml:space="preserve">prowadzenie Centrum Konsultacyjnego obejmującego działalność doradczą dla firm oraz kompleksowy model poradnictwa i wczesnej interwencji w przypadku związanych z wiekiem problemów zdrowotnych stanowiących przeciwwskazanie do kontynuowania pracy na dotychczasowym stanowisku/w wyuczonym zawodzie (zwiększanie wiedzy u co najmniej 1000 profesjonalistów służby medycyny pracy), </w:t>
      </w:r>
    </w:p>
    <w:p w14:paraId="5F87D380" w14:textId="77777777" w:rsidR="00567F2C" w:rsidRPr="00F30219" w:rsidRDefault="00567F2C" w:rsidP="0059185B">
      <w:pPr>
        <w:pStyle w:val="Akapitzlist"/>
        <w:numPr>
          <w:ilvl w:val="0"/>
          <w:numId w:val="216"/>
        </w:numPr>
        <w:suppressAutoHyphens/>
        <w:spacing w:after="0" w:line="240" w:lineRule="auto"/>
        <w:jc w:val="both"/>
        <w:rPr>
          <w:rFonts w:ascii="Lato" w:eastAsia="Times New Roman" w:hAnsi="Lato" w:cs="Arial"/>
          <w:sz w:val="20"/>
          <w:szCs w:val="20"/>
          <w:lang w:eastAsia="pl-PL"/>
        </w:rPr>
      </w:pPr>
      <w:r w:rsidRPr="00F30219">
        <w:rPr>
          <w:rFonts w:ascii="Lato" w:hAnsi="Lato" w:cs="Arial"/>
          <w:sz w:val="20"/>
          <w:szCs w:val="20"/>
        </w:rPr>
        <w:t>zwiększenie dostępności materiałów i rozwiązań podnoszących motywację, wiedzę i kompetencje pracodawców, profesjonalistów zajmujących się promocją zdrowia w zakładach pracy i profesjonalistów służby medycyny pracy w zakresie wzmacniania zdrowia pracowników i ograniczania konsekwencji starzenia się personelu zakładów pracy.</w:t>
      </w:r>
    </w:p>
    <w:p w14:paraId="3621F668" w14:textId="77777777" w:rsidR="005016F6" w:rsidRDefault="005016F6" w:rsidP="00F30219">
      <w:pPr>
        <w:suppressAutoHyphens/>
        <w:spacing w:after="0" w:line="240" w:lineRule="auto"/>
        <w:jc w:val="both"/>
        <w:rPr>
          <w:rFonts w:ascii="Lato" w:hAnsi="Lato" w:cs="Arial"/>
          <w:sz w:val="20"/>
          <w:szCs w:val="20"/>
        </w:rPr>
      </w:pPr>
    </w:p>
    <w:p w14:paraId="78C9B93A" w14:textId="4B0A151F" w:rsidR="00567F2C" w:rsidRDefault="00567F2C" w:rsidP="00F30219">
      <w:pPr>
        <w:suppressAutoHyphens/>
        <w:spacing w:after="0" w:line="240" w:lineRule="auto"/>
        <w:jc w:val="both"/>
        <w:rPr>
          <w:rFonts w:ascii="Lato" w:hAnsi="Lato" w:cs="Arial"/>
          <w:sz w:val="20"/>
          <w:szCs w:val="20"/>
        </w:rPr>
      </w:pPr>
      <w:r w:rsidRPr="00F30219">
        <w:rPr>
          <w:rFonts w:ascii="Lato" w:hAnsi="Lato" w:cs="Arial"/>
          <w:sz w:val="20"/>
          <w:szCs w:val="20"/>
        </w:rPr>
        <w:t>W 2022 r. prowadzono edukację pracodawców i promocję działania poprzez stronę internetową (48 619 odsłon), Facebook (opublikowano 106 postów), kanał na YouTube pod nazwą Praca na Zdrowie (łączna liczba subskrybentów wynosi 136, uzyskano ok. 1900 wyświetleń materiałów),newsletter (7 szt.),opublikowano 5 artykułów sponsorowanych, zorganizowano 2 webinaria dla kadr realizujących działania na rzecz zdrowia starzejącego się personelu firm (łącznie 238 uczestników). Ponadto, prowadzono Centrum Konsultacyjne oferujące pracodawcom nieodpłatne konsultacje dot. wdrażania programów zdrowotnych w miejscu prac - przeprowadzono 85 konsultacji.</w:t>
      </w:r>
    </w:p>
    <w:p w14:paraId="5CD929D7" w14:textId="77777777" w:rsidR="005016F6" w:rsidRPr="00F30219" w:rsidRDefault="005016F6" w:rsidP="00F30219">
      <w:pPr>
        <w:suppressAutoHyphens/>
        <w:spacing w:after="0" w:line="240" w:lineRule="auto"/>
        <w:jc w:val="both"/>
        <w:rPr>
          <w:rFonts w:ascii="Lato" w:hAnsi="Lato" w:cs="Arial"/>
          <w:sz w:val="20"/>
          <w:szCs w:val="20"/>
        </w:rPr>
      </w:pPr>
    </w:p>
    <w:p w14:paraId="6DD3DD34" w14:textId="77777777" w:rsidR="00567F2C" w:rsidRPr="005016F6" w:rsidRDefault="00567F2C" w:rsidP="0059185B">
      <w:pPr>
        <w:pStyle w:val="Akapitzlist"/>
        <w:numPr>
          <w:ilvl w:val="0"/>
          <w:numId w:val="217"/>
        </w:numPr>
        <w:suppressAutoHyphens/>
        <w:spacing w:after="0" w:line="240" w:lineRule="auto"/>
        <w:jc w:val="both"/>
        <w:rPr>
          <w:rFonts w:ascii="Lato" w:hAnsi="Lato" w:cs="Arial"/>
          <w:sz w:val="20"/>
          <w:szCs w:val="20"/>
        </w:rPr>
      </w:pPr>
      <w:r w:rsidRPr="005016F6">
        <w:rPr>
          <w:rFonts w:ascii="Lato" w:hAnsi="Lato" w:cs="Arial"/>
          <w:sz w:val="20"/>
          <w:szCs w:val="20"/>
        </w:rPr>
        <w:t>Wspieranie aktywności społecznej seniorów oraz poprawa związanej ze zdrowiem jakości życia osób starszych.</w:t>
      </w:r>
    </w:p>
    <w:p w14:paraId="73DA0CE6" w14:textId="38DC11C2" w:rsidR="00567F2C" w:rsidRDefault="00567F2C" w:rsidP="00F30219">
      <w:pPr>
        <w:suppressAutoHyphens/>
        <w:spacing w:after="0" w:line="240" w:lineRule="auto"/>
        <w:jc w:val="both"/>
        <w:rPr>
          <w:rFonts w:ascii="Lato" w:hAnsi="Lato" w:cs="Arial"/>
          <w:sz w:val="20"/>
          <w:szCs w:val="20"/>
        </w:rPr>
      </w:pPr>
      <w:r w:rsidRPr="00F30219">
        <w:rPr>
          <w:rFonts w:ascii="Lato" w:hAnsi="Lato" w:cs="Arial"/>
          <w:sz w:val="20"/>
          <w:szCs w:val="20"/>
        </w:rPr>
        <w:t xml:space="preserve">W latach 2022-2023 r. prowadzona jest kampania informacyjno-edukacyjna na temat zaburzeń otępiennych, w tym choroby Alzheimera. Kampania ma na celu zwiększenie świadomości społeczeństwa na temat zaburzeń otępiennych, w tym ich objawów, wagi wczesnego rozpoznania choroby, a także kształtowanie właściwych postaw wobec chorych i ich bliskich. </w:t>
      </w:r>
    </w:p>
    <w:p w14:paraId="6DA20EAC" w14:textId="77777777" w:rsidR="005016F6" w:rsidRPr="00F30219" w:rsidRDefault="005016F6" w:rsidP="00F30219">
      <w:pPr>
        <w:suppressAutoHyphens/>
        <w:spacing w:after="0" w:line="240" w:lineRule="auto"/>
        <w:jc w:val="both"/>
        <w:rPr>
          <w:rFonts w:ascii="Lato" w:hAnsi="Lato" w:cs="Arial"/>
          <w:sz w:val="20"/>
          <w:szCs w:val="20"/>
        </w:rPr>
      </w:pPr>
    </w:p>
    <w:p w14:paraId="0F2DBAE2" w14:textId="77777777" w:rsidR="00567F2C" w:rsidRPr="005016F6" w:rsidRDefault="00567F2C" w:rsidP="00F30219">
      <w:pPr>
        <w:suppressAutoHyphens/>
        <w:spacing w:after="0" w:line="240" w:lineRule="auto"/>
        <w:jc w:val="both"/>
        <w:rPr>
          <w:rFonts w:ascii="Lato" w:hAnsi="Lato" w:cs="Arial"/>
          <w:sz w:val="20"/>
          <w:szCs w:val="20"/>
        </w:rPr>
      </w:pPr>
      <w:r w:rsidRPr="005016F6">
        <w:rPr>
          <w:rFonts w:ascii="Lato" w:hAnsi="Lato" w:cs="Arial"/>
          <w:sz w:val="20"/>
          <w:szCs w:val="20"/>
        </w:rPr>
        <w:t>W 2022 r. w ramach kampanii zrealizowane zostały m.in. następujące działania:</w:t>
      </w:r>
    </w:p>
    <w:p w14:paraId="68673628"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spoty w TV i radio,</w:t>
      </w:r>
    </w:p>
    <w:p w14:paraId="5A95965D"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 xml:space="preserve">kampania w mediach społecznościowych - posty na Facebooku i </w:t>
      </w:r>
      <w:proofErr w:type="spellStart"/>
      <w:r w:rsidRPr="00F30219">
        <w:rPr>
          <w:rFonts w:ascii="Lato" w:hAnsi="Lato" w:cs="Arial"/>
          <w:sz w:val="20"/>
          <w:szCs w:val="20"/>
        </w:rPr>
        <w:t>Twitterze</w:t>
      </w:r>
      <w:proofErr w:type="spellEnd"/>
      <w:r w:rsidRPr="00F30219">
        <w:rPr>
          <w:rFonts w:ascii="Lato" w:hAnsi="Lato" w:cs="Arial"/>
          <w:sz w:val="20"/>
          <w:szCs w:val="20"/>
        </w:rPr>
        <w:t xml:space="preserve">, </w:t>
      </w:r>
    </w:p>
    <w:p w14:paraId="37B654F6"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t>podcasty: „Jak być opiekunem osoby z chorobą Alzheimera?”, „Życie z chorobą Alzheimera”, „Co powinniśmy wiedzieć o chorobie Alzheimera?”,</w:t>
      </w:r>
    </w:p>
    <w:p w14:paraId="68E63FC6" w14:textId="77777777" w:rsidR="00567F2C" w:rsidRPr="00F30219" w:rsidRDefault="00567F2C" w:rsidP="0059185B">
      <w:pPr>
        <w:pStyle w:val="Akapitzlist"/>
        <w:numPr>
          <w:ilvl w:val="0"/>
          <w:numId w:val="216"/>
        </w:numPr>
        <w:suppressAutoHyphens/>
        <w:spacing w:after="0" w:line="240" w:lineRule="auto"/>
        <w:jc w:val="both"/>
        <w:rPr>
          <w:rFonts w:ascii="Lato" w:hAnsi="Lato" w:cs="Arial"/>
          <w:sz w:val="20"/>
          <w:szCs w:val="20"/>
        </w:rPr>
      </w:pPr>
      <w:r w:rsidRPr="00F30219">
        <w:rPr>
          <w:rFonts w:ascii="Lato" w:hAnsi="Lato" w:cs="Arial"/>
          <w:sz w:val="20"/>
          <w:szCs w:val="20"/>
        </w:rPr>
        <w:lastRenderedPageBreak/>
        <w:t xml:space="preserve">debata telewizyjna z udziałem dr n.med. Klaudii Plinty - specjalisty neurologa oraz dr Moniki </w:t>
      </w:r>
      <w:proofErr w:type="spellStart"/>
      <w:r w:rsidRPr="00F30219">
        <w:rPr>
          <w:rFonts w:ascii="Lato" w:hAnsi="Lato" w:cs="Arial"/>
          <w:sz w:val="20"/>
          <w:szCs w:val="20"/>
        </w:rPr>
        <w:t>Piotrowskiej-Matyszczak</w:t>
      </w:r>
      <w:proofErr w:type="spellEnd"/>
      <w:r w:rsidRPr="00F30219">
        <w:rPr>
          <w:rFonts w:ascii="Lato" w:hAnsi="Lato" w:cs="Arial"/>
          <w:sz w:val="20"/>
          <w:szCs w:val="20"/>
        </w:rPr>
        <w:t xml:space="preserve"> – neuropsychologa. </w:t>
      </w:r>
    </w:p>
    <w:p w14:paraId="64298A09" w14:textId="77777777" w:rsidR="00567F2C" w:rsidRPr="00F30219" w:rsidRDefault="00567F2C" w:rsidP="0059185B">
      <w:pPr>
        <w:pStyle w:val="Akapitzlist"/>
        <w:numPr>
          <w:ilvl w:val="0"/>
          <w:numId w:val="216"/>
        </w:numPr>
        <w:suppressAutoHyphens/>
        <w:spacing w:after="0" w:line="240" w:lineRule="auto"/>
        <w:jc w:val="both"/>
        <w:rPr>
          <w:rFonts w:ascii="Lato" w:eastAsia="Times New Roman" w:hAnsi="Lato" w:cs="Arial"/>
          <w:sz w:val="20"/>
          <w:szCs w:val="20"/>
          <w:lang w:eastAsia="pl-PL"/>
        </w:rPr>
      </w:pPr>
      <w:r w:rsidRPr="00F30219">
        <w:rPr>
          <w:rFonts w:ascii="Lato" w:hAnsi="Lato" w:cs="Arial"/>
          <w:sz w:val="20"/>
          <w:szCs w:val="20"/>
        </w:rPr>
        <w:t>reklamy w krzyżówkach pn. „100 krzyżówek–lekarstwo na pamięć” i „100 panoramicznych”.</w:t>
      </w:r>
    </w:p>
    <w:p w14:paraId="38B95419" w14:textId="77777777" w:rsidR="005016F6" w:rsidRDefault="005016F6" w:rsidP="00F30219">
      <w:pPr>
        <w:spacing w:after="0" w:line="240" w:lineRule="auto"/>
        <w:rPr>
          <w:rFonts w:ascii="Lato" w:hAnsi="Lato"/>
          <w:b/>
          <w:bCs/>
          <w:sz w:val="20"/>
          <w:szCs w:val="20"/>
        </w:rPr>
      </w:pPr>
    </w:p>
    <w:p w14:paraId="5E034A02" w14:textId="7D19DC75"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REALIZACJA PROGRAMÓW STRATEGICZNYCH ORAZ PROGRAMÓW POLITYKI ZDROWOTNEJ</w:t>
      </w:r>
    </w:p>
    <w:p w14:paraId="7BF57CC7" w14:textId="6A841D74"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Narodowa Strategia Onkologiczna</w:t>
      </w:r>
    </w:p>
    <w:p w14:paraId="45B981CE" w14:textId="642B7DFF" w:rsidR="00567F2C" w:rsidRPr="00F30219" w:rsidRDefault="00567F2C" w:rsidP="00F30219">
      <w:pPr>
        <w:widowControl w:val="0"/>
        <w:spacing w:after="0" w:line="240" w:lineRule="auto"/>
        <w:ind w:right="23"/>
        <w:jc w:val="both"/>
        <w:rPr>
          <w:rFonts w:ascii="Lato" w:hAnsi="Lato" w:cs="Arial"/>
          <w:sz w:val="20"/>
          <w:szCs w:val="20"/>
        </w:rPr>
      </w:pPr>
      <w:r w:rsidRPr="00F30219">
        <w:rPr>
          <w:rFonts w:ascii="Lato" w:hAnsi="Lato" w:cs="Arial"/>
          <w:sz w:val="20"/>
          <w:szCs w:val="20"/>
        </w:rPr>
        <w:t xml:space="preserve">W ramach Narodowej Strategii Onkologicznej w 2022 r. nie były realizowane programy skierowane wyłącznie do osób starszych. Osoby z tej grupy wiekowej mogły jednakże uczestniczyć w następujących zadaniach programu, w szczególności ukierunkowanych na działania profilaktyczne: </w:t>
      </w:r>
    </w:p>
    <w:p w14:paraId="78B593F3" w14:textId="77777777" w:rsidR="00567F2C" w:rsidRPr="00F30219" w:rsidRDefault="00567F2C" w:rsidP="0059185B">
      <w:pPr>
        <w:pStyle w:val="Akapitzlist"/>
        <w:widowControl w:val="0"/>
        <w:numPr>
          <w:ilvl w:val="0"/>
          <w:numId w:val="218"/>
        </w:numPr>
        <w:spacing w:after="0" w:line="240" w:lineRule="auto"/>
        <w:ind w:right="23"/>
        <w:jc w:val="both"/>
        <w:rPr>
          <w:rFonts w:ascii="Lato" w:hAnsi="Lato" w:cs="Arial"/>
          <w:sz w:val="20"/>
          <w:szCs w:val="20"/>
        </w:rPr>
      </w:pPr>
      <w:r w:rsidRPr="00F30219">
        <w:rPr>
          <w:rFonts w:ascii="Lato" w:hAnsi="Lato" w:cs="Arial"/>
          <w:sz w:val="20"/>
          <w:szCs w:val="20"/>
        </w:rPr>
        <w:t>Program opieki nad rodzinami wysokiego, dziedzicznie uwarunkowanego ryzyka zachorowania na nowotwory   złośliwe,</w:t>
      </w:r>
    </w:p>
    <w:p w14:paraId="68F9C27E" w14:textId="77777777" w:rsidR="00567F2C" w:rsidRPr="00F30219" w:rsidRDefault="00567F2C" w:rsidP="0059185B">
      <w:pPr>
        <w:pStyle w:val="Akapitzlist"/>
        <w:widowControl w:val="0"/>
        <w:numPr>
          <w:ilvl w:val="0"/>
          <w:numId w:val="218"/>
        </w:numPr>
        <w:spacing w:after="0" w:line="240" w:lineRule="auto"/>
        <w:ind w:right="23"/>
        <w:jc w:val="both"/>
        <w:rPr>
          <w:rFonts w:ascii="Lato" w:hAnsi="Lato" w:cs="Arial"/>
          <w:sz w:val="20"/>
          <w:szCs w:val="20"/>
        </w:rPr>
      </w:pPr>
      <w:r w:rsidRPr="00F30219">
        <w:rPr>
          <w:rFonts w:ascii="Lato" w:hAnsi="Lato" w:cs="Arial"/>
          <w:sz w:val="20"/>
          <w:szCs w:val="20"/>
        </w:rPr>
        <w:t>Program badań w kierunku wykrywania raka płuca.</w:t>
      </w:r>
    </w:p>
    <w:p w14:paraId="1745FA4E" w14:textId="77777777" w:rsidR="005016F6" w:rsidRDefault="005016F6" w:rsidP="00F30219">
      <w:pPr>
        <w:widowControl w:val="0"/>
        <w:spacing w:after="0" w:line="240" w:lineRule="auto"/>
        <w:ind w:right="23"/>
        <w:jc w:val="both"/>
        <w:rPr>
          <w:rFonts w:ascii="Lato" w:hAnsi="Lato" w:cs="Arial"/>
          <w:sz w:val="20"/>
          <w:szCs w:val="20"/>
        </w:rPr>
      </w:pPr>
    </w:p>
    <w:p w14:paraId="50A7474B" w14:textId="40080045" w:rsidR="00567F2C" w:rsidRDefault="00567F2C" w:rsidP="00F30219">
      <w:pPr>
        <w:widowControl w:val="0"/>
        <w:spacing w:after="0" w:line="240" w:lineRule="auto"/>
        <w:ind w:right="23"/>
        <w:jc w:val="both"/>
        <w:rPr>
          <w:rFonts w:ascii="Lato" w:hAnsi="Lato" w:cs="Arial"/>
          <w:sz w:val="20"/>
          <w:szCs w:val="20"/>
        </w:rPr>
      </w:pPr>
      <w:r w:rsidRPr="00F30219">
        <w:rPr>
          <w:rFonts w:ascii="Lato" w:hAnsi="Lato" w:cs="Arial"/>
          <w:sz w:val="20"/>
          <w:szCs w:val="20"/>
        </w:rPr>
        <w:t xml:space="preserve">Ponadto w ramach Narodowej Strategii Onkologicznej prowadzona była koordynacja i  monitorowanie jakości </w:t>
      </w:r>
      <w:r w:rsidRPr="00F30219">
        <w:rPr>
          <w:rFonts w:ascii="Lato" w:hAnsi="Lato" w:cs="Arial"/>
          <w:i/>
          <w:iCs/>
          <w:sz w:val="20"/>
          <w:szCs w:val="20"/>
        </w:rPr>
        <w:t xml:space="preserve">Programu profilaktyki raka piersi i Programu profilaktyki raka szyjki macicy, </w:t>
      </w:r>
      <w:r w:rsidRPr="00F30219">
        <w:rPr>
          <w:rFonts w:ascii="Lato" w:hAnsi="Lato" w:cs="Arial"/>
          <w:sz w:val="20"/>
          <w:szCs w:val="20"/>
        </w:rPr>
        <w:t xml:space="preserve">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25- 59 lat,  i przeprowadzane jest w interwale raz na trzy lata. </w:t>
      </w:r>
    </w:p>
    <w:p w14:paraId="0DFF3421" w14:textId="77777777" w:rsidR="005016F6" w:rsidRPr="00F30219" w:rsidRDefault="005016F6" w:rsidP="00F30219">
      <w:pPr>
        <w:widowControl w:val="0"/>
        <w:spacing w:after="0" w:line="240" w:lineRule="auto"/>
        <w:ind w:right="23"/>
        <w:jc w:val="both"/>
        <w:rPr>
          <w:rFonts w:ascii="Lato" w:hAnsi="Lato" w:cs="Arial"/>
          <w:sz w:val="20"/>
          <w:szCs w:val="20"/>
        </w:rPr>
      </w:pPr>
    </w:p>
    <w:p w14:paraId="3C66FB30" w14:textId="45390454" w:rsidR="00567F2C" w:rsidRDefault="00567F2C" w:rsidP="00F30219">
      <w:pPr>
        <w:widowControl w:val="0"/>
        <w:spacing w:after="0" w:line="240" w:lineRule="auto"/>
        <w:ind w:right="23"/>
        <w:jc w:val="both"/>
        <w:rPr>
          <w:rFonts w:ascii="Lato" w:hAnsi="Lato" w:cs="Arial"/>
          <w:sz w:val="20"/>
          <w:szCs w:val="20"/>
        </w:rPr>
      </w:pPr>
      <w:r w:rsidRPr="00F30219">
        <w:rPr>
          <w:rFonts w:ascii="Lato" w:hAnsi="Lato" w:cs="Arial"/>
          <w:sz w:val="20"/>
          <w:szCs w:val="20"/>
        </w:rPr>
        <w:t>Zgodnie z koncepcją rozwoju sektora ochrony zdrowia, w której kluczowa rola w poprawie efektywności i dostępności do leczenia została przypisana rozwojowi opieki koordynowanej, zasadniczym narzędziem reformy opieki onkologicznej było ustanowienie krajowej sieci onkologicznej (KSO), czyli współpracujących ze sobą w obrębie województwa, ośrodków onkologicznych. W 2019 r. w dwóch województwach rozpoczęła się realizacja programu pilotażowego KSO, w 2020 r. została rozszerzona kolejne dwa województwa. W ramach pilotaż analizowana i oceniana była kompleksowość ścieżek postępowania medycznego w 5 najczęściej występujących w Polsce nowotworach: piersi, płuca, jajnika, jelita grubego i gruczołu krokowego.</w:t>
      </w:r>
    </w:p>
    <w:p w14:paraId="3767E8DA" w14:textId="77777777" w:rsidR="005016F6" w:rsidRPr="00F30219" w:rsidRDefault="005016F6" w:rsidP="00F30219">
      <w:pPr>
        <w:widowControl w:val="0"/>
        <w:spacing w:after="0" w:line="240" w:lineRule="auto"/>
        <w:ind w:right="23"/>
        <w:jc w:val="both"/>
        <w:rPr>
          <w:rFonts w:ascii="Lato" w:hAnsi="Lato" w:cs="Arial"/>
          <w:sz w:val="20"/>
          <w:szCs w:val="20"/>
        </w:rPr>
      </w:pPr>
    </w:p>
    <w:p w14:paraId="36F553CF" w14:textId="30BA29C8" w:rsidR="00567F2C" w:rsidRDefault="00567F2C" w:rsidP="005016F6">
      <w:pPr>
        <w:widowControl w:val="0"/>
        <w:spacing w:after="0" w:line="240" w:lineRule="auto"/>
        <w:ind w:right="23"/>
        <w:jc w:val="both"/>
        <w:rPr>
          <w:rFonts w:ascii="Lato" w:hAnsi="Lato" w:cs="Arial"/>
          <w:sz w:val="20"/>
          <w:szCs w:val="20"/>
        </w:rPr>
      </w:pPr>
      <w:r w:rsidRPr="00F30219">
        <w:rPr>
          <w:rFonts w:ascii="Lato" w:hAnsi="Lato" w:cs="Arial"/>
          <w:sz w:val="20"/>
          <w:szCs w:val="20"/>
        </w:rPr>
        <w:t xml:space="preserve">W ramach Narodowej Strategii Onkologicznej na lata 2020-2030 Ministerstwo Zdrowia prowadzi </w:t>
      </w:r>
      <w:r w:rsidRPr="00F30219">
        <w:rPr>
          <w:rFonts w:ascii="Lato" w:hAnsi="Lato" w:cs="Arial"/>
          <w:b/>
          <w:bCs/>
          <w:sz w:val="20"/>
          <w:szCs w:val="20"/>
        </w:rPr>
        <w:t>Kampanię społeczną „Planuję długie życie”</w:t>
      </w:r>
      <w:r w:rsidRPr="00F30219">
        <w:rPr>
          <w:rFonts w:ascii="Lato" w:hAnsi="Lato" w:cs="Arial"/>
          <w:sz w:val="20"/>
          <w:szCs w:val="20"/>
        </w:rPr>
        <w:t>.</w:t>
      </w:r>
      <w:r w:rsidR="005016F6">
        <w:rPr>
          <w:rFonts w:ascii="Lato" w:hAnsi="Lato" w:cs="Arial"/>
          <w:sz w:val="20"/>
          <w:szCs w:val="20"/>
        </w:rPr>
        <w:t xml:space="preserve"> </w:t>
      </w:r>
      <w:r w:rsidRPr="00F30219">
        <w:rPr>
          <w:rFonts w:ascii="Lato" w:hAnsi="Lato" w:cs="Arial"/>
          <w:sz w:val="20"/>
          <w:szCs w:val="20"/>
        </w:rPr>
        <w:t xml:space="preserve">Kampania poświęcona jest poszczególnym obszarom onkologicznym. W szczególności dotyka tematów raka: płuc, jelita grubego, złośliwego skóry, prostaty, piersi, szyjki macicy. W celu dotarcia do licznych i zróżnicowanych odbiorców kampania realizowana jest wyparciu o telewizję, radio, prasę, Internet. Działania w telewizji i radio prowadzone są w stacjach o zasięgu ogólnopolskim, przy wsparciu stacjami regionalnymi, tematycznymi z wykorzystaniem dwóch formatów komunikacyjnych: audycji edukacyjnych i spotów społecznych. W audycjach oraz w spotach społecznych zachęcamy do wykonywania badań przesiewowych, podkreślamy, że regularne badania ratują zdrowie i życie. Wśród badań przesiewowych skierowanych do osób starszych są mammografia oraz </w:t>
      </w:r>
      <w:proofErr w:type="spellStart"/>
      <w:r w:rsidRPr="00F30219">
        <w:rPr>
          <w:rFonts w:ascii="Lato" w:hAnsi="Lato" w:cs="Arial"/>
          <w:sz w:val="20"/>
          <w:szCs w:val="20"/>
        </w:rPr>
        <w:t>kolonoskopia</w:t>
      </w:r>
      <w:proofErr w:type="spellEnd"/>
      <w:r w:rsidRPr="00F30219">
        <w:rPr>
          <w:rFonts w:ascii="Lato" w:hAnsi="Lato" w:cs="Arial"/>
          <w:sz w:val="20"/>
          <w:szCs w:val="20"/>
        </w:rPr>
        <w:t xml:space="preserve">. </w:t>
      </w:r>
    </w:p>
    <w:p w14:paraId="70E1B40C" w14:textId="77777777" w:rsidR="005016F6" w:rsidRPr="00F30219" w:rsidRDefault="005016F6" w:rsidP="005016F6">
      <w:pPr>
        <w:widowControl w:val="0"/>
        <w:spacing w:after="0" w:line="240" w:lineRule="auto"/>
        <w:ind w:right="23"/>
        <w:jc w:val="both"/>
        <w:rPr>
          <w:rFonts w:ascii="Lato" w:hAnsi="Lato" w:cs="Arial"/>
          <w:sz w:val="20"/>
          <w:szCs w:val="20"/>
        </w:rPr>
      </w:pPr>
    </w:p>
    <w:p w14:paraId="7C9CFFE4" w14:textId="77777777" w:rsidR="00567F2C" w:rsidRPr="00F30219" w:rsidRDefault="00567F2C" w:rsidP="00F30219">
      <w:pPr>
        <w:widowControl w:val="0"/>
        <w:spacing w:after="0" w:line="240" w:lineRule="auto"/>
        <w:ind w:right="23"/>
        <w:rPr>
          <w:rFonts w:ascii="Lato" w:hAnsi="Lato" w:cs="Arial"/>
          <w:sz w:val="20"/>
          <w:szCs w:val="20"/>
        </w:rPr>
      </w:pPr>
      <w:r w:rsidRPr="00F30219">
        <w:rPr>
          <w:rFonts w:ascii="Lato" w:hAnsi="Lato"/>
          <w:sz w:val="20"/>
          <w:szCs w:val="20"/>
        </w:rPr>
        <w:t xml:space="preserve"> </w:t>
      </w:r>
      <w:r w:rsidRPr="00F30219">
        <w:rPr>
          <w:rFonts w:ascii="Lato" w:hAnsi="Lato" w:cs="Arial"/>
          <w:sz w:val="20"/>
          <w:szCs w:val="20"/>
        </w:rPr>
        <w:t>Ponadto, w 2022 r. ruszył projekt „Zdrowe Życie” poświęcony profilaktyce zdrowotnej. Projekt „Zdrowe Życie” został przygotowany wspólnie przez Ministerstwo Zdrowia, Ministerstwo Aktywów Państwowych, Narodowy Fundusz Zdrowia oraz Grupę PZU. Honorowym patronatem objęła go Para Prezydencka. Do projektu dołączyło także Ministerstwo Edukacji i Nauki. W wybrane weekendy latem i jesienią w 2022 r. w wybranych miastach w całej Polsce można było m.in. bezpłatnie zrobić specjalistyczne badania – zmierzyć poziom cukru, ciśnienie krwi, wykonać mammografię, USG płuc, spirometrię czy EKG. Zdrowe miasteczka odbyły się dwanaście razy. Projekt „Zdrowe Życie” ma przekonać Polaków do regularnych badań i będzie kontynuowany.</w:t>
      </w:r>
    </w:p>
    <w:p w14:paraId="696AEAAB" w14:textId="7F3A35AC" w:rsidR="00567F2C" w:rsidRPr="00F30219" w:rsidRDefault="00567F2C" w:rsidP="00F30219">
      <w:pPr>
        <w:spacing w:after="0" w:line="240" w:lineRule="auto"/>
        <w:rPr>
          <w:rFonts w:ascii="Lato" w:hAnsi="Lato"/>
          <w:b/>
          <w:bCs/>
          <w:sz w:val="20"/>
          <w:szCs w:val="20"/>
        </w:rPr>
      </w:pPr>
    </w:p>
    <w:p w14:paraId="772A0656" w14:textId="13FDC437"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Program Profilaktyka 40 Plus</w:t>
      </w:r>
    </w:p>
    <w:p w14:paraId="7E28AED0" w14:textId="2DA05B9F" w:rsidR="00567F2C" w:rsidRDefault="00567F2C" w:rsidP="00F30219">
      <w:pPr>
        <w:spacing w:after="0" w:line="240" w:lineRule="auto"/>
        <w:jc w:val="both"/>
        <w:rPr>
          <w:rFonts w:ascii="Lato" w:hAnsi="Lato" w:cs="Arial"/>
          <w:sz w:val="20"/>
          <w:szCs w:val="20"/>
        </w:rPr>
      </w:pPr>
      <w:r w:rsidRPr="005016F6">
        <w:rPr>
          <w:rFonts w:ascii="Lato" w:hAnsi="Lato" w:cs="Arial"/>
          <w:sz w:val="20"/>
          <w:szCs w:val="20"/>
        </w:rPr>
        <w:t>Od 1 lipca 2021 r. wprowadzony został pilotaż projektu Profilaktyka 40 Plus, który jest kierowany również do osób 60+. W ramach projektu każdy obywatel powyżej 40 roku życia miał możliwość wypełnienia ankiety diagnostycznej dostępnej na IKP oraz, dla osób pozbawionych dostępu do Internetu, na infolinii Domowej Opieki Medycznej (konsultant na podstawie rozmowy z dzwoniącym uzupełni ankietę). Na podstawie ankiety wystawiano skierowanie na bezpłatne badania profilaktyczne. Badania diagnostyczne były realizowane w formie pakietów dedykowanych oddzielnie dla kobiet i mężczyzn oraz pakietu wspólnego.</w:t>
      </w:r>
    </w:p>
    <w:p w14:paraId="7BE79FC0" w14:textId="77777777" w:rsidR="005016F6" w:rsidRPr="005016F6" w:rsidRDefault="005016F6" w:rsidP="00F30219">
      <w:pPr>
        <w:spacing w:after="0" w:line="240" w:lineRule="auto"/>
        <w:jc w:val="both"/>
        <w:rPr>
          <w:rFonts w:ascii="Lato" w:hAnsi="Lato" w:cs="Arial"/>
          <w:sz w:val="20"/>
          <w:szCs w:val="20"/>
        </w:rPr>
      </w:pPr>
    </w:p>
    <w:p w14:paraId="79C76C8D" w14:textId="77777777" w:rsidR="00567F2C" w:rsidRPr="005016F6" w:rsidRDefault="00567F2C" w:rsidP="00F30219">
      <w:pPr>
        <w:spacing w:after="0" w:line="240" w:lineRule="auto"/>
        <w:jc w:val="both"/>
        <w:rPr>
          <w:rFonts w:ascii="Lato" w:hAnsi="Lato" w:cs="Arial"/>
          <w:sz w:val="20"/>
          <w:szCs w:val="20"/>
        </w:rPr>
      </w:pPr>
      <w:r w:rsidRPr="005016F6">
        <w:rPr>
          <w:rFonts w:ascii="Lato" w:hAnsi="Lato" w:cs="Arial"/>
          <w:sz w:val="20"/>
          <w:szCs w:val="20"/>
        </w:rPr>
        <w:t>Pakiet badań diagnostycznych dla kobiet zawiera:</w:t>
      </w:r>
    </w:p>
    <w:p w14:paraId="729C5B53"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morfologia krwi obwodowej ze wzorem odsetkowym i płytkami krwi,</w:t>
      </w:r>
    </w:p>
    <w:p w14:paraId="736873F6"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stężenie cholesterolu całkowitego albo kontrolny profil lipidowy,</w:t>
      </w:r>
    </w:p>
    <w:p w14:paraId="0935AB77"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stężenie poziomu glukozy,</w:t>
      </w:r>
    </w:p>
    <w:p w14:paraId="6AFFBAE3"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 xml:space="preserve">oznaczenie hemoglobiny </w:t>
      </w:r>
      <w:proofErr w:type="spellStart"/>
      <w:r w:rsidRPr="00F30219">
        <w:rPr>
          <w:rFonts w:ascii="Lato" w:hAnsi="Lato" w:cs="Arial"/>
          <w:sz w:val="20"/>
          <w:szCs w:val="20"/>
        </w:rPr>
        <w:t>glikowanej</w:t>
      </w:r>
      <w:proofErr w:type="spellEnd"/>
      <w:r w:rsidRPr="00F30219">
        <w:rPr>
          <w:rFonts w:ascii="Lato" w:hAnsi="Lato" w:cs="Arial"/>
          <w:sz w:val="20"/>
          <w:szCs w:val="20"/>
        </w:rPr>
        <w:t xml:space="preserve"> HbA1c,</w:t>
      </w:r>
    </w:p>
    <w:p w14:paraId="6FB17B51"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kreatynina,</w:t>
      </w:r>
    </w:p>
    <w:p w14:paraId="06D4BF27"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badanie ogólne moczu,</w:t>
      </w:r>
    </w:p>
    <w:p w14:paraId="2AB5DDDD"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kwas moczowy,</w:t>
      </w:r>
    </w:p>
    <w:p w14:paraId="1E0D1E96" w14:textId="77777777" w:rsidR="00567F2C" w:rsidRPr="00F30219" w:rsidRDefault="00567F2C" w:rsidP="00CE7271">
      <w:pPr>
        <w:pStyle w:val="Akapitzlist"/>
        <w:numPr>
          <w:ilvl w:val="0"/>
          <w:numId w:val="219"/>
        </w:numPr>
        <w:spacing w:after="0" w:line="240" w:lineRule="auto"/>
        <w:ind w:left="723"/>
        <w:contextualSpacing w:val="0"/>
        <w:jc w:val="both"/>
        <w:rPr>
          <w:rFonts w:ascii="Lato" w:hAnsi="Lato" w:cs="Arial"/>
          <w:sz w:val="20"/>
          <w:szCs w:val="20"/>
        </w:rPr>
      </w:pPr>
      <w:r w:rsidRPr="00F30219">
        <w:rPr>
          <w:rFonts w:ascii="Lato" w:hAnsi="Lato" w:cs="Arial"/>
          <w:sz w:val="20"/>
          <w:szCs w:val="20"/>
        </w:rPr>
        <w:t>krew utajona w kale.</w:t>
      </w:r>
    </w:p>
    <w:p w14:paraId="785B15EA" w14:textId="77777777" w:rsidR="00567F2C" w:rsidRPr="00F30219" w:rsidRDefault="00567F2C" w:rsidP="00F30219">
      <w:pPr>
        <w:spacing w:after="0" w:line="240" w:lineRule="auto"/>
        <w:jc w:val="both"/>
        <w:rPr>
          <w:rFonts w:ascii="Lato" w:hAnsi="Lato" w:cs="Arial"/>
          <w:sz w:val="20"/>
          <w:szCs w:val="20"/>
        </w:rPr>
      </w:pPr>
    </w:p>
    <w:p w14:paraId="59649F67" w14:textId="77777777" w:rsidR="00567F2C" w:rsidRPr="005016F6" w:rsidRDefault="00567F2C" w:rsidP="00F30219">
      <w:pPr>
        <w:spacing w:after="0" w:line="240" w:lineRule="auto"/>
        <w:jc w:val="both"/>
        <w:rPr>
          <w:rFonts w:ascii="Lato" w:hAnsi="Lato" w:cs="Arial"/>
          <w:sz w:val="20"/>
          <w:szCs w:val="20"/>
        </w:rPr>
      </w:pPr>
      <w:r w:rsidRPr="005016F6">
        <w:rPr>
          <w:rFonts w:ascii="Lato" w:hAnsi="Lato" w:cs="Arial"/>
          <w:sz w:val="20"/>
          <w:szCs w:val="20"/>
        </w:rPr>
        <w:t>Pakiet badań diagnostycznych dla mężczyzn zawiera:</w:t>
      </w:r>
    </w:p>
    <w:p w14:paraId="044413C1"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morfologia krwi obwodowej ze wzorem odsetkowym i płytkami krwi,</w:t>
      </w:r>
    </w:p>
    <w:p w14:paraId="42B684B7"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stężenie cholesterolu całkowitego albo kontrolny profil lipidowy,</w:t>
      </w:r>
    </w:p>
    <w:p w14:paraId="6F0E43C2"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stężenie poziomu glukozy,</w:t>
      </w:r>
    </w:p>
    <w:p w14:paraId="114A5D2B"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 xml:space="preserve">oznaczenie hemoglobiny </w:t>
      </w:r>
      <w:proofErr w:type="spellStart"/>
      <w:r w:rsidRPr="00F30219">
        <w:rPr>
          <w:rFonts w:ascii="Lato" w:hAnsi="Lato" w:cs="Arial"/>
          <w:sz w:val="20"/>
          <w:szCs w:val="20"/>
        </w:rPr>
        <w:t>glikowanej</w:t>
      </w:r>
      <w:proofErr w:type="spellEnd"/>
      <w:r w:rsidRPr="00F30219">
        <w:rPr>
          <w:rFonts w:ascii="Lato" w:hAnsi="Lato" w:cs="Arial"/>
          <w:sz w:val="20"/>
          <w:szCs w:val="20"/>
        </w:rPr>
        <w:t xml:space="preserve"> HbA1c,</w:t>
      </w:r>
    </w:p>
    <w:p w14:paraId="6CE4FF7A"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kreatynina,</w:t>
      </w:r>
    </w:p>
    <w:p w14:paraId="2829E8C1"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badanie ogólne moczu,</w:t>
      </w:r>
    </w:p>
    <w:p w14:paraId="6AD2EA49"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kwas moczowy,</w:t>
      </w:r>
    </w:p>
    <w:p w14:paraId="3872D8DF" w14:textId="77777777" w:rsidR="00567F2C" w:rsidRPr="00F30219"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krew utajona w kale,</w:t>
      </w:r>
    </w:p>
    <w:p w14:paraId="28F6C1A6" w14:textId="7FE88367" w:rsidR="00567F2C" w:rsidRDefault="00567F2C" w:rsidP="00CE7271">
      <w:pPr>
        <w:pStyle w:val="Akapitzlist"/>
        <w:numPr>
          <w:ilvl w:val="0"/>
          <w:numId w:val="220"/>
        </w:numPr>
        <w:spacing w:after="0" w:line="240" w:lineRule="auto"/>
        <w:ind w:left="723"/>
        <w:contextualSpacing w:val="0"/>
        <w:jc w:val="both"/>
        <w:rPr>
          <w:rFonts w:ascii="Lato" w:hAnsi="Lato" w:cs="Arial"/>
          <w:sz w:val="20"/>
          <w:szCs w:val="20"/>
        </w:rPr>
      </w:pPr>
      <w:r w:rsidRPr="00F30219">
        <w:rPr>
          <w:rFonts w:ascii="Lato" w:hAnsi="Lato" w:cs="Arial"/>
          <w:sz w:val="20"/>
          <w:szCs w:val="20"/>
        </w:rPr>
        <w:t>PSA (badanie w kierunku raka prostaty).</w:t>
      </w:r>
    </w:p>
    <w:p w14:paraId="160613F6" w14:textId="77777777" w:rsidR="005016F6" w:rsidRPr="00CE7271" w:rsidRDefault="005016F6" w:rsidP="00CE7271">
      <w:pPr>
        <w:spacing w:after="0" w:line="240" w:lineRule="auto"/>
        <w:jc w:val="both"/>
        <w:rPr>
          <w:rFonts w:ascii="Lato" w:hAnsi="Lato" w:cs="Arial"/>
          <w:sz w:val="20"/>
          <w:szCs w:val="20"/>
        </w:rPr>
      </w:pPr>
    </w:p>
    <w:p w14:paraId="1D6FC098" w14:textId="77777777" w:rsidR="00567F2C" w:rsidRPr="005016F6" w:rsidRDefault="00567F2C" w:rsidP="00F30219">
      <w:pPr>
        <w:spacing w:after="0" w:line="240" w:lineRule="auto"/>
        <w:jc w:val="both"/>
        <w:rPr>
          <w:rFonts w:ascii="Lato" w:hAnsi="Lato" w:cs="Arial"/>
          <w:sz w:val="20"/>
          <w:szCs w:val="20"/>
        </w:rPr>
      </w:pPr>
      <w:r w:rsidRPr="005016F6">
        <w:rPr>
          <w:rFonts w:ascii="Lato" w:hAnsi="Lato" w:cs="Arial"/>
          <w:sz w:val="20"/>
          <w:szCs w:val="20"/>
        </w:rPr>
        <w:t>Pakiet wspólny dla kobiet i mężczyzn zawiera:</w:t>
      </w:r>
    </w:p>
    <w:p w14:paraId="7C599343" w14:textId="77777777" w:rsidR="00CE7271" w:rsidRDefault="00567F2C" w:rsidP="007335F8">
      <w:pPr>
        <w:pStyle w:val="Akapitzlist"/>
        <w:numPr>
          <w:ilvl w:val="0"/>
          <w:numId w:val="237"/>
        </w:numPr>
        <w:spacing w:after="0" w:line="240" w:lineRule="auto"/>
        <w:jc w:val="both"/>
        <w:rPr>
          <w:rFonts w:ascii="Lato" w:hAnsi="Lato" w:cs="Arial"/>
          <w:sz w:val="20"/>
          <w:szCs w:val="20"/>
        </w:rPr>
      </w:pPr>
      <w:r w:rsidRPr="00CE7271">
        <w:rPr>
          <w:rFonts w:ascii="Lato" w:hAnsi="Lato" w:cs="Arial"/>
          <w:sz w:val="20"/>
          <w:szCs w:val="20"/>
        </w:rPr>
        <w:t>pomiar ciśnienia tętniczego,</w:t>
      </w:r>
    </w:p>
    <w:p w14:paraId="0ECD8D37" w14:textId="77777777" w:rsidR="00CE7271" w:rsidRDefault="00567F2C" w:rsidP="007335F8">
      <w:pPr>
        <w:pStyle w:val="Akapitzlist"/>
        <w:numPr>
          <w:ilvl w:val="0"/>
          <w:numId w:val="237"/>
        </w:numPr>
        <w:spacing w:after="0" w:line="240" w:lineRule="auto"/>
        <w:jc w:val="both"/>
        <w:rPr>
          <w:rFonts w:ascii="Lato" w:hAnsi="Lato" w:cs="Arial"/>
          <w:sz w:val="20"/>
          <w:szCs w:val="20"/>
        </w:rPr>
      </w:pPr>
      <w:r w:rsidRPr="00CE7271">
        <w:rPr>
          <w:rFonts w:ascii="Lato" w:hAnsi="Lato" w:cs="Arial"/>
          <w:sz w:val="20"/>
          <w:szCs w:val="20"/>
        </w:rPr>
        <w:t>pomiar masy ciała, wzrostu, obwodu w pasie oraz obliczenie wskaźnika masy ciała (BMI),</w:t>
      </w:r>
    </w:p>
    <w:p w14:paraId="78360A49" w14:textId="62DE8CD4" w:rsidR="00567F2C" w:rsidRPr="00CE7271" w:rsidRDefault="00567F2C" w:rsidP="007335F8">
      <w:pPr>
        <w:pStyle w:val="Akapitzlist"/>
        <w:numPr>
          <w:ilvl w:val="0"/>
          <w:numId w:val="237"/>
        </w:numPr>
        <w:spacing w:after="0" w:line="240" w:lineRule="auto"/>
        <w:jc w:val="both"/>
        <w:rPr>
          <w:rFonts w:ascii="Lato" w:hAnsi="Lato" w:cs="Arial"/>
          <w:sz w:val="20"/>
          <w:szCs w:val="20"/>
        </w:rPr>
      </w:pPr>
      <w:r w:rsidRPr="00CE7271">
        <w:rPr>
          <w:rFonts w:ascii="Lato" w:hAnsi="Lato" w:cs="Arial"/>
          <w:sz w:val="20"/>
          <w:szCs w:val="20"/>
        </w:rPr>
        <w:t>ocena miarowości rytmu serca.</w:t>
      </w:r>
    </w:p>
    <w:p w14:paraId="4C0CA31F" w14:textId="77777777" w:rsidR="005016F6" w:rsidRDefault="005016F6" w:rsidP="00F30219">
      <w:pPr>
        <w:widowControl w:val="0"/>
        <w:spacing w:after="0" w:line="240" w:lineRule="auto"/>
        <w:ind w:right="23"/>
        <w:rPr>
          <w:rFonts w:ascii="Lato" w:eastAsia="Times New Roman" w:hAnsi="Lato" w:cs="Arial"/>
          <w:sz w:val="20"/>
          <w:szCs w:val="20"/>
          <w:lang w:eastAsia="pl-PL" w:bidi="pl-PL"/>
        </w:rPr>
      </w:pPr>
    </w:p>
    <w:p w14:paraId="3FCEA392" w14:textId="7EAF358B" w:rsidR="00567F2C" w:rsidRPr="005016F6" w:rsidRDefault="00567F2C" w:rsidP="005016F6">
      <w:pPr>
        <w:widowControl w:val="0"/>
        <w:spacing w:after="0" w:line="240" w:lineRule="auto"/>
        <w:ind w:right="23"/>
        <w:jc w:val="both"/>
        <w:rPr>
          <w:rFonts w:ascii="Lato" w:eastAsia="Times New Roman" w:hAnsi="Lato" w:cs="Arial"/>
          <w:sz w:val="20"/>
          <w:szCs w:val="20"/>
          <w:lang w:eastAsia="pl-PL" w:bidi="pl-PL"/>
        </w:rPr>
      </w:pPr>
      <w:r w:rsidRPr="00F30219">
        <w:rPr>
          <w:rFonts w:ascii="Lato" w:eastAsia="Times New Roman" w:hAnsi="Lato" w:cs="Arial"/>
          <w:sz w:val="20"/>
          <w:szCs w:val="20"/>
          <w:lang w:eastAsia="pl-PL" w:bidi="pl-PL"/>
        </w:rPr>
        <w:t>Zgodnie z Rozporządzeniem Ministra Zdrowia z dnia 14 czerwca 2021 r. w sprawie programu pilotażowego „Profilaktyka 40 PLUS” w 2022 r. osoby w wieku 60 + mogły skorzystać z badań w ramach programu poprzez samodzielne wygenerowanie e-skierowania. Po uprzednim wypełnieniu ankiety zamieszczonej na Internetowym Koncie Pacjenta (IKP), za pośrednictwem infolinii lub u realizatora programu, w ramach tego programu każdy uczestnik odpowiednio do udzielonych odpowiedzi w ankiecie, otrzymał skierowanie na pakiet badań laboratoryjnych.</w:t>
      </w:r>
      <w:r w:rsidR="005016F6">
        <w:rPr>
          <w:rFonts w:ascii="Lato" w:eastAsia="Times New Roman" w:hAnsi="Lato" w:cs="Arial"/>
          <w:sz w:val="20"/>
          <w:szCs w:val="20"/>
          <w:lang w:eastAsia="pl-PL" w:bidi="pl-PL"/>
        </w:rPr>
        <w:t xml:space="preserve"> </w:t>
      </w:r>
      <w:r w:rsidRPr="00F30219">
        <w:rPr>
          <w:rFonts w:ascii="Lato" w:eastAsia="Times New Roman" w:hAnsi="Lato" w:cs="Arial"/>
          <w:sz w:val="20"/>
          <w:szCs w:val="20"/>
          <w:u w:val="single"/>
          <w:lang w:eastAsia="pl-PL" w:bidi="pl-PL"/>
        </w:rPr>
        <w:t>W 2022 r. z programu skorzystało</w:t>
      </w:r>
      <w:r w:rsidRPr="00F30219">
        <w:rPr>
          <w:rFonts w:ascii="Lato" w:eastAsia="Times New Roman" w:hAnsi="Lato" w:cs="Arial"/>
          <w:sz w:val="20"/>
          <w:szCs w:val="20"/>
          <w:lang w:eastAsia="pl-PL" w:bidi="pl-PL"/>
        </w:rPr>
        <w:t xml:space="preserve"> </w:t>
      </w:r>
      <w:r w:rsidRPr="00F30219">
        <w:rPr>
          <w:rFonts w:ascii="Lato" w:eastAsia="Times New Roman" w:hAnsi="Lato" w:cs="Arial"/>
          <w:b/>
          <w:bCs/>
          <w:sz w:val="20"/>
          <w:szCs w:val="20"/>
          <w:lang w:eastAsia="pl-PL" w:bidi="pl-PL"/>
        </w:rPr>
        <w:t>469 464 osób w wieku 60 +</w:t>
      </w:r>
      <w:r w:rsidRPr="00F30219">
        <w:rPr>
          <w:rFonts w:ascii="Lato" w:eastAsia="Times New Roman" w:hAnsi="Lato" w:cs="Arial"/>
          <w:sz w:val="20"/>
          <w:szCs w:val="20"/>
          <w:u w:val="single"/>
          <w:lang w:eastAsia="pl-PL" w:bidi="pl-PL"/>
        </w:rPr>
        <w:t>.</w:t>
      </w:r>
    </w:p>
    <w:p w14:paraId="095D1F2A" w14:textId="7E203F72" w:rsidR="00567F2C" w:rsidRPr="00F30219" w:rsidRDefault="00567F2C" w:rsidP="00F30219">
      <w:pPr>
        <w:spacing w:after="0" w:line="240" w:lineRule="auto"/>
        <w:rPr>
          <w:rFonts w:ascii="Lato" w:hAnsi="Lato"/>
          <w:b/>
          <w:bCs/>
          <w:sz w:val="20"/>
          <w:szCs w:val="20"/>
        </w:rPr>
      </w:pPr>
    </w:p>
    <w:p w14:paraId="4E508DB2" w14:textId="22A6090A" w:rsidR="00567F2C" w:rsidRPr="00F30219" w:rsidRDefault="00567F2C" w:rsidP="00F30219">
      <w:pPr>
        <w:spacing w:after="0" w:line="240" w:lineRule="auto"/>
        <w:rPr>
          <w:rFonts w:ascii="Lato" w:hAnsi="Lato"/>
          <w:b/>
          <w:bCs/>
          <w:sz w:val="20"/>
          <w:szCs w:val="20"/>
        </w:rPr>
      </w:pPr>
      <w:r w:rsidRPr="00F30219">
        <w:rPr>
          <w:rFonts w:ascii="Lato" w:hAnsi="Lato"/>
          <w:b/>
          <w:bCs/>
          <w:sz w:val="20"/>
          <w:szCs w:val="20"/>
        </w:rPr>
        <w:t>Inne działania z zakresu profilaktyki i promocji zdrowia realizowane przez Narodowy Fundusz Zdrowia</w:t>
      </w:r>
    </w:p>
    <w:p w14:paraId="7F95A116" w14:textId="25D4A801" w:rsidR="00567F2C" w:rsidRPr="00F30219" w:rsidRDefault="00567F2C" w:rsidP="005016F6">
      <w:pPr>
        <w:widowControl w:val="0"/>
        <w:spacing w:after="0" w:line="240" w:lineRule="auto"/>
        <w:ind w:left="23" w:right="23"/>
        <w:jc w:val="both"/>
        <w:rPr>
          <w:rFonts w:ascii="Lato" w:eastAsia="Times New Roman" w:hAnsi="Lato" w:cs="Arial"/>
          <w:sz w:val="20"/>
          <w:szCs w:val="20"/>
          <w:lang w:eastAsia="pl-PL" w:bidi="pl-PL"/>
        </w:rPr>
      </w:pPr>
      <w:r w:rsidRPr="00F30219">
        <w:rPr>
          <w:rFonts w:ascii="Lato" w:eastAsia="Times New Roman" w:hAnsi="Lato" w:cs="Arial"/>
          <w:sz w:val="20"/>
          <w:szCs w:val="20"/>
          <w:lang w:eastAsia="pl-PL" w:bidi="pl-PL"/>
        </w:rPr>
        <w:t xml:space="preserve">W 2022 r. Narodowy Fundusz Zdrowia kontynuował finansowanie </w:t>
      </w:r>
      <w:r w:rsidRPr="005016F6">
        <w:rPr>
          <w:rFonts w:ascii="Lato" w:eastAsia="Times New Roman" w:hAnsi="Lato" w:cs="Arial"/>
          <w:sz w:val="20"/>
          <w:szCs w:val="20"/>
          <w:lang w:eastAsia="pl-PL" w:bidi="pl-PL"/>
        </w:rPr>
        <w:t>programu profilaktyki raka piersi</w:t>
      </w:r>
      <w:r w:rsidRPr="00F30219">
        <w:rPr>
          <w:rFonts w:ascii="Lato" w:eastAsia="Times New Roman" w:hAnsi="Lato" w:cs="Arial"/>
          <w:sz w:val="20"/>
          <w:szCs w:val="20"/>
          <w:lang w:eastAsia="pl-PL" w:bidi="pl-PL"/>
        </w:rPr>
        <w:t xml:space="preserve"> obejmujący przesiewowe badania mammograficzne kobiet w  wieku 50-69 lat.</w:t>
      </w:r>
      <w:r w:rsidR="005016F6">
        <w:rPr>
          <w:rFonts w:ascii="Lato" w:eastAsia="Times New Roman" w:hAnsi="Lato" w:cs="Arial"/>
          <w:sz w:val="20"/>
          <w:szCs w:val="20"/>
          <w:lang w:eastAsia="pl-PL" w:bidi="pl-PL"/>
        </w:rPr>
        <w:t xml:space="preserve"> </w:t>
      </w:r>
      <w:r w:rsidRPr="00F30219">
        <w:rPr>
          <w:rFonts w:ascii="Lato" w:eastAsia="Times New Roman" w:hAnsi="Lato" w:cs="Arial"/>
          <w:sz w:val="20"/>
          <w:szCs w:val="20"/>
          <w:lang w:eastAsia="pl-PL" w:bidi="pl-PL"/>
        </w:rPr>
        <w:t xml:space="preserve">Kobiety w wieku 60+ maja możliwość wykonania mammografii przesiewowej (program skierowany do grupy kobiet w wieku 50-69 lat). Badania wykonuje się co 24 miesiące u kobiet w wieku od 50 do 69 lat oraz co 12 miesięcy u kobiet w wieku od 50 do 69 lat, u których wystąpił rak piersi wśród członków rodziny (u matki, siostry lub córki) lub mutacje w obrębie genów BRCA 1 lub BRCA Programem nie mogą być objęte kobiety, u których już wcześniej zdiagnozowano zmiany nowotworowe o charakterze złośliwym w piersi. </w:t>
      </w:r>
    </w:p>
    <w:p w14:paraId="66A59D64" w14:textId="77777777" w:rsidR="005016F6" w:rsidRDefault="005016F6" w:rsidP="005016F6">
      <w:pPr>
        <w:widowControl w:val="0"/>
        <w:spacing w:after="0" w:line="240" w:lineRule="auto"/>
        <w:ind w:right="23"/>
        <w:jc w:val="both"/>
        <w:rPr>
          <w:rFonts w:ascii="Lato" w:eastAsia="Times New Roman" w:hAnsi="Lato" w:cs="Arial"/>
          <w:sz w:val="20"/>
          <w:szCs w:val="20"/>
          <w:lang w:eastAsia="pl-PL" w:bidi="pl-PL"/>
        </w:rPr>
      </w:pPr>
    </w:p>
    <w:p w14:paraId="49563576" w14:textId="766173F1" w:rsidR="00567F2C" w:rsidRDefault="00567F2C" w:rsidP="005016F6">
      <w:pPr>
        <w:widowControl w:val="0"/>
        <w:spacing w:after="0" w:line="240" w:lineRule="auto"/>
        <w:ind w:right="23"/>
        <w:jc w:val="both"/>
        <w:rPr>
          <w:rFonts w:ascii="Lato" w:eastAsia="Times New Roman" w:hAnsi="Lato" w:cs="Arial"/>
          <w:sz w:val="20"/>
          <w:szCs w:val="20"/>
          <w:lang w:eastAsia="pl-PL" w:bidi="pl-PL"/>
        </w:rPr>
      </w:pPr>
      <w:r w:rsidRPr="00F30219">
        <w:rPr>
          <w:rFonts w:ascii="Lato" w:eastAsia="Times New Roman" w:hAnsi="Lato" w:cs="Arial"/>
          <w:sz w:val="20"/>
          <w:szCs w:val="20"/>
          <w:lang w:eastAsia="pl-PL" w:bidi="pl-PL"/>
        </w:rPr>
        <w:t xml:space="preserve">Świadczenia w zakresie badań mammograficznych realizowane są w trybie stacjonarnym i mobilnym. W przypadku nieprawidłowego wyniku mammografii </w:t>
      </w:r>
      <w:proofErr w:type="spellStart"/>
      <w:r w:rsidRPr="00F30219">
        <w:rPr>
          <w:rFonts w:ascii="Lato" w:eastAsia="Times New Roman" w:hAnsi="Lato" w:cs="Arial"/>
          <w:sz w:val="20"/>
          <w:szCs w:val="20"/>
          <w:lang w:eastAsia="pl-PL" w:bidi="pl-PL"/>
        </w:rPr>
        <w:t>skryningowej</w:t>
      </w:r>
      <w:proofErr w:type="spellEnd"/>
      <w:r w:rsidRPr="00F30219">
        <w:rPr>
          <w:rFonts w:ascii="Lato" w:eastAsia="Times New Roman" w:hAnsi="Lato" w:cs="Arial"/>
          <w:sz w:val="20"/>
          <w:szCs w:val="20"/>
          <w:lang w:eastAsia="pl-PL" w:bidi="pl-PL"/>
        </w:rPr>
        <w:t xml:space="preserve"> pacjentki, kierowana jest ona do etapu pogłębionego.</w:t>
      </w:r>
      <w:r w:rsidR="005016F6">
        <w:rPr>
          <w:rFonts w:ascii="Lato" w:eastAsia="Times New Roman" w:hAnsi="Lato" w:cs="Arial"/>
          <w:sz w:val="20"/>
          <w:szCs w:val="20"/>
          <w:lang w:eastAsia="pl-PL" w:bidi="pl-PL"/>
        </w:rPr>
        <w:t xml:space="preserve"> </w:t>
      </w:r>
      <w:r w:rsidRPr="00F30219">
        <w:rPr>
          <w:rFonts w:ascii="Lato" w:eastAsia="Times New Roman" w:hAnsi="Lato" w:cs="Arial"/>
          <w:sz w:val="20"/>
          <w:szCs w:val="20"/>
          <w:lang w:eastAsia="pl-PL" w:bidi="pl-PL"/>
        </w:rPr>
        <w:t>Trwają prace nad rozszerzeniem wieku kwalifikującego do badania przesiewowego do 74 r.ż.</w:t>
      </w:r>
    </w:p>
    <w:p w14:paraId="55FFF7AB" w14:textId="77777777" w:rsidR="005016F6" w:rsidRPr="00F30219" w:rsidRDefault="005016F6" w:rsidP="005016F6">
      <w:pPr>
        <w:widowControl w:val="0"/>
        <w:spacing w:after="0" w:line="240" w:lineRule="auto"/>
        <w:ind w:right="23"/>
        <w:jc w:val="both"/>
        <w:rPr>
          <w:rFonts w:ascii="Lato" w:eastAsia="Times New Roman" w:hAnsi="Lato" w:cs="Arial"/>
          <w:sz w:val="20"/>
          <w:szCs w:val="20"/>
          <w:lang w:eastAsia="pl-PL" w:bidi="pl-PL"/>
        </w:rPr>
      </w:pPr>
    </w:p>
    <w:p w14:paraId="6767273C" w14:textId="2FEC8534" w:rsidR="00567F2C" w:rsidRDefault="00567F2C" w:rsidP="00567F2C">
      <w:pPr>
        <w:pStyle w:val="Legenda"/>
        <w:keepNext/>
      </w:pPr>
      <w:bookmarkStart w:id="116" w:name="_Toc142566021"/>
      <w:r>
        <w:t xml:space="preserve">Tabela </w:t>
      </w:r>
      <w:fldSimple w:instr=" SEQ Tabela \* ARABIC ">
        <w:r w:rsidR="00AA385B">
          <w:rPr>
            <w:noProof/>
          </w:rPr>
          <w:t>58</w:t>
        </w:r>
      </w:fldSimple>
      <w:r>
        <w:t xml:space="preserve"> Wykaz świadczeń w zakresie mammografii udzielonych w 2022r. z uwzględnieniem całej populacji</w:t>
      </w:r>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2"/>
        <w:gridCol w:w="3177"/>
        <w:gridCol w:w="3023"/>
      </w:tblGrid>
      <w:tr w:rsidR="00567F2C" w:rsidRPr="00DB2792" w14:paraId="438D676D" w14:textId="77777777" w:rsidTr="00DB2792">
        <w:trPr>
          <w:trHeight w:val="526"/>
        </w:trPr>
        <w:tc>
          <w:tcPr>
            <w:tcW w:w="5000" w:type="pct"/>
            <w:gridSpan w:val="3"/>
            <w:shd w:val="clear" w:color="auto" w:fill="8EAADB" w:themeFill="accent1" w:themeFillTint="99"/>
            <w:vAlign w:val="center"/>
            <w:hideMark/>
          </w:tcPr>
          <w:p w14:paraId="644D2E1D" w14:textId="77777777" w:rsidR="00DB2792" w:rsidRDefault="00567F2C" w:rsidP="00706C37">
            <w:pPr>
              <w:spacing w:after="0" w:line="240" w:lineRule="auto"/>
              <w:jc w:val="center"/>
              <w:rPr>
                <w:rFonts w:ascii="Lato" w:eastAsia="Times New Roman" w:hAnsi="Lato" w:cs="Arial"/>
                <w:b/>
                <w:bCs/>
                <w:sz w:val="18"/>
                <w:szCs w:val="18"/>
                <w:lang w:eastAsia="pl-PL"/>
              </w:rPr>
            </w:pPr>
            <w:r w:rsidRPr="00DB2792">
              <w:rPr>
                <w:rFonts w:ascii="Lato" w:eastAsia="Times New Roman" w:hAnsi="Lato" w:cs="Arial"/>
                <w:b/>
                <w:bCs/>
                <w:sz w:val="18"/>
                <w:szCs w:val="18"/>
                <w:lang w:eastAsia="pl-PL"/>
              </w:rPr>
              <w:t xml:space="preserve">Wykaz świadczeń w zakresie mammografii udzielonych w 2022r. </w:t>
            </w:r>
          </w:p>
          <w:p w14:paraId="0B4DD267" w14:textId="44F0C89E" w:rsidR="00567F2C" w:rsidRPr="00DB2792" w:rsidRDefault="00567F2C" w:rsidP="00706C37">
            <w:pPr>
              <w:spacing w:after="0" w:line="240" w:lineRule="auto"/>
              <w:jc w:val="center"/>
              <w:rPr>
                <w:rFonts w:ascii="Lato" w:eastAsia="Times New Roman" w:hAnsi="Lato" w:cs="Arial"/>
                <w:b/>
                <w:bCs/>
                <w:sz w:val="18"/>
                <w:szCs w:val="18"/>
                <w:lang w:eastAsia="pl-PL"/>
              </w:rPr>
            </w:pPr>
            <w:r w:rsidRPr="00DB2792">
              <w:rPr>
                <w:rFonts w:ascii="Lato" w:eastAsia="Times New Roman" w:hAnsi="Lato" w:cs="Arial"/>
                <w:b/>
                <w:bCs/>
                <w:sz w:val="18"/>
                <w:szCs w:val="18"/>
                <w:lang w:eastAsia="pl-PL"/>
              </w:rPr>
              <w:t xml:space="preserve">z uwzględnieniem całej populacji i pacjentki w wieku 60+. </w:t>
            </w:r>
          </w:p>
        </w:tc>
      </w:tr>
      <w:tr w:rsidR="00567F2C" w:rsidRPr="00DB2792" w14:paraId="30FF6546" w14:textId="77777777" w:rsidTr="00DB2792">
        <w:trPr>
          <w:trHeight w:val="140"/>
        </w:trPr>
        <w:tc>
          <w:tcPr>
            <w:tcW w:w="1579" w:type="pct"/>
            <w:vMerge w:val="restart"/>
            <w:shd w:val="clear" w:color="auto" w:fill="auto"/>
            <w:vAlign w:val="center"/>
            <w:hideMark/>
          </w:tcPr>
          <w:p w14:paraId="22C5884E" w14:textId="77777777" w:rsidR="00567F2C" w:rsidRPr="00DB2792" w:rsidRDefault="00567F2C" w:rsidP="00706C37">
            <w:pPr>
              <w:spacing w:after="0" w:line="240" w:lineRule="auto"/>
              <w:jc w:val="center"/>
              <w:rPr>
                <w:rFonts w:ascii="Lato" w:eastAsia="Times New Roman" w:hAnsi="Lato" w:cs="Arial"/>
                <w:b/>
                <w:bCs/>
                <w:sz w:val="18"/>
                <w:szCs w:val="18"/>
                <w:lang w:eastAsia="pl-PL"/>
              </w:rPr>
            </w:pPr>
            <w:r w:rsidRPr="00DB2792">
              <w:rPr>
                <w:rFonts w:ascii="Lato" w:eastAsia="Times New Roman" w:hAnsi="Lato" w:cs="Arial"/>
                <w:b/>
                <w:bCs/>
                <w:sz w:val="18"/>
                <w:szCs w:val="18"/>
                <w:lang w:eastAsia="pl-PL"/>
              </w:rPr>
              <w:t>Całkowita liczba badań</w:t>
            </w:r>
          </w:p>
        </w:tc>
        <w:tc>
          <w:tcPr>
            <w:tcW w:w="3421" w:type="pct"/>
            <w:gridSpan w:val="2"/>
            <w:shd w:val="clear" w:color="auto" w:fill="auto"/>
            <w:vAlign w:val="center"/>
            <w:hideMark/>
          </w:tcPr>
          <w:p w14:paraId="0F0AEBA9" w14:textId="77777777" w:rsidR="00567F2C" w:rsidRPr="00DB2792" w:rsidRDefault="00567F2C" w:rsidP="00706C37">
            <w:pPr>
              <w:spacing w:after="0" w:line="240" w:lineRule="auto"/>
              <w:jc w:val="center"/>
              <w:rPr>
                <w:rFonts w:ascii="Lato" w:eastAsia="Times New Roman" w:hAnsi="Lato" w:cs="Arial"/>
                <w:b/>
                <w:bCs/>
                <w:sz w:val="18"/>
                <w:szCs w:val="18"/>
                <w:lang w:eastAsia="pl-PL"/>
              </w:rPr>
            </w:pPr>
            <w:r w:rsidRPr="00DB2792">
              <w:rPr>
                <w:rFonts w:ascii="Lato" w:eastAsia="Times New Roman" w:hAnsi="Lato" w:cs="Arial"/>
                <w:b/>
                <w:bCs/>
                <w:sz w:val="18"/>
                <w:szCs w:val="18"/>
                <w:lang w:eastAsia="pl-PL"/>
              </w:rPr>
              <w:t>Liczba badań w podziale na wiek</w:t>
            </w:r>
          </w:p>
        </w:tc>
      </w:tr>
      <w:tr w:rsidR="00567F2C" w:rsidRPr="00DB2792" w14:paraId="412C77CE" w14:textId="77777777" w:rsidTr="00DB2792">
        <w:trPr>
          <w:trHeight w:val="200"/>
        </w:trPr>
        <w:tc>
          <w:tcPr>
            <w:tcW w:w="1579" w:type="pct"/>
            <w:vMerge/>
            <w:shd w:val="clear" w:color="auto" w:fill="auto"/>
            <w:vAlign w:val="center"/>
            <w:hideMark/>
          </w:tcPr>
          <w:p w14:paraId="50DCEEB8" w14:textId="77777777" w:rsidR="00567F2C" w:rsidRPr="00DB2792" w:rsidRDefault="00567F2C" w:rsidP="00706C37">
            <w:pPr>
              <w:spacing w:after="0" w:line="240" w:lineRule="auto"/>
              <w:rPr>
                <w:rFonts w:ascii="Lato" w:eastAsia="Times New Roman" w:hAnsi="Lato" w:cs="Arial"/>
                <w:b/>
                <w:bCs/>
                <w:sz w:val="18"/>
                <w:szCs w:val="18"/>
                <w:lang w:eastAsia="pl-PL"/>
              </w:rPr>
            </w:pPr>
          </w:p>
        </w:tc>
        <w:tc>
          <w:tcPr>
            <w:tcW w:w="1753" w:type="pct"/>
            <w:shd w:val="clear" w:color="auto" w:fill="auto"/>
            <w:vAlign w:val="bottom"/>
            <w:hideMark/>
          </w:tcPr>
          <w:p w14:paraId="46BEDCD7" w14:textId="77777777" w:rsidR="00567F2C" w:rsidRPr="00DB2792" w:rsidRDefault="00567F2C" w:rsidP="00706C37">
            <w:pPr>
              <w:spacing w:after="0" w:line="240" w:lineRule="auto"/>
              <w:jc w:val="right"/>
              <w:rPr>
                <w:rFonts w:ascii="Lato" w:eastAsia="Times New Roman" w:hAnsi="Lato" w:cs="Arial"/>
                <w:sz w:val="18"/>
                <w:szCs w:val="18"/>
                <w:lang w:eastAsia="pl-PL"/>
              </w:rPr>
            </w:pPr>
            <w:r w:rsidRPr="00DB2792">
              <w:rPr>
                <w:rFonts w:ascii="Lato" w:eastAsia="Times New Roman" w:hAnsi="Lato" w:cs="Arial"/>
                <w:sz w:val="18"/>
                <w:szCs w:val="18"/>
                <w:lang w:eastAsia="pl-PL"/>
              </w:rPr>
              <w:t>50-59</w:t>
            </w:r>
          </w:p>
        </w:tc>
        <w:tc>
          <w:tcPr>
            <w:tcW w:w="1668" w:type="pct"/>
            <w:shd w:val="clear" w:color="auto" w:fill="auto"/>
            <w:vAlign w:val="bottom"/>
            <w:hideMark/>
          </w:tcPr>
          <w:p w14:paraId="232AEF56" w14:textId="77777777" w:rsidR="00567F2C" w:rsidRPr="00DB2792" w:rsidRDefault="00567F2C" w:rsidP="00706C37">
            <w:pPr>
              <w:spacing w:after="0" w:line="240" w:lineRule="auto"/>
              <w:jc w:val="right"/>
              <w:rPr>
                <w:rFonts w:ascii="Lato" w:eastAsia="Times New Roman" w:hAnsi="Lato" w:cs="Arial"/>
                <w:sz w:val="18"/>
                <w:szCs w:val="18"/>
                <w:lang w:eastAsia="pl-PL"/>
              </w:rPr>
            </w:pPr>
            <w:r w:rsidRPr="00DB2792">
              <w:rPr>
                <w:rFonts w:ascii="Lato" w:eastAsia="Times New Roman" w:hAnsi="Lato" w:cs="Arial"/>
                <w:sz w:val="18"/>
                <w:szCs w:val="18"/>
                <w:lang w:eastAsia="pl-PL"/>
              </w:rPr>
              <w:t>60-69</w:t>
            </w:r>
          </w:p>
        </w:tc>
      </w:tr>
      <w:tr w:rsidR="00567F2C" w:rsidRPr="00DB2792" w14:paraId="653DCF49" w14:textId="77777777" w:rsidTr="00DB2792">
        <w:trPr>
          <w:trHeight w:val="118"/>
        </w:trPr>
        <w:tc>
          <w:tcPr>
            <w:tcW w:w="1579" w:type="pct"/>
            <w:shd w:val="clear" w:color="auto" w:fill="auto"/>
            <w:vAlign w:val="center"/>
            <w:hideMark/>
          </w:tcPr>
          <w:p w14:paraId="61FCF133" w14:textId="77777777" w:rsidR="00567F2C" w:rsidRPr="00DB2792" w:rsidRDefault="00567F2C" w:rsidP="00706C37">
            <w:pPr>
              <w:spacing w:after="0" w:line="240" w:lineRule="auto"/>
              <w:jc w:val="right"/>
              <w:rPr>
                <w:rFonts w:ascii="Lato" w:eastAsia="Times New Roman" w:hAnsi="Lato" w:cs="Arial"/>
                <w:sz w:val="18"/>
                <w:szCs w:val="18"/>
                <w:lang w:eastAsia="pl-PL"/>
              </w:rPr>
            </w:pPr>
            <w:r w:rsidRPr="00DB2792">
              <w:rPr>
                <w:rFonts w:ascii="Lato" w:eastAsia="Times New Roman" w:hAnsi="Lato" w:cs="Arial"/>
                <w:sz w:val="18"/>
                <w:szCs w:val="18"/>
                <w:lang w:eastAsia="pl-PL"/>
              </w:rPr>
              <w:t>935 191</w:t>
            </w:r>
          </w:p>
        </w:tc>
        <w:tc>
          <w:tcPr>
            <w:tcW w:w="1753" w:type="pct"/>
            <w:shd w:val="clear" w:color="auto" w:fill="auto"/>
            <w:vAlign w:val="bottom"/>
            <w:hideMark/>
          </w:tcPr>
          <w:p w14:paraId="3FBE29CA" w14:textId="77777777" w:rsidR="00567F2C" w:rsidRPr="00DB2792" w:rsidRDefault="00567F2C" w:rsidP="00706C37">
            <w:pPr>
              <w:spacing w:after="0" w:line="240" w:lineRule="auto"/>
              <w:jc w:val="right"/>
              <w:rPr>
                <w:rFonts w:ascii="Lato" w:eastAsia="Times New Roman" w:hAnsi="Lato" w:cs="Arial"/>
                <w:sz w:val="18"/>
                <w:szCs w:val="18"/>
                <w:lang w:eastAsia="pl-PL"/>
              </w:rPr>
            </w:pPr>
            <w:r w:rsidRPr="00DB2792">
              <w:rPr>
                <w:rFonts w:ascii="Lato" w:eastAsia="Times New Roman" w:hAnsi="Lato" w:cs="Arial"/>
                <w:sz w:val="18"/>
                <w:szCs w:val="18"/>
                <w:lang w:eastAsia="pl-PL"/>
              </w:rPr>
              <w:t>400 159</w:t>
            </w:r>
          </w:p>
        </w:tc>
        <w:tc>
          <w:tcPr>
            <w:tcW w:w="1668" w:type="pct"/>
            <w:shd w:val="clear" w:color="auto" w:fill="auto"/>
            <w:vAlign w:val="bottom"/>
            <w:hideMark/>
          </w:tcPr>
          <w:p w14:paraId="7D55F250" w14:textId="77777777" w:rsidR="00567F2C" w:rsidRPr="00DB2792" w:rsidRDefault="00567F2C" w:rsidP="00706C37">
            <w:pPr>
              <w:spacing w:after="0" w:line="240" w:lineRule="auto"/>
              <w:jc w:val="right"/>
              <w:rPr>
                <w:rFonts w:ascii="Lato" w:eastAsia="Times New Roman" w:hAnsi="Lato" w:cs="Arial"/>
                <w:sz w:val="18"/>
                <w:szCs w:val="18"/>
                <w:lang w:eastAsia="pl-PL"/>
              </w:rPr>
            </w:pPr>
            <w:r w:rsidRPr="00DB2792">
              <w:rPr>
                <w:rFonts w:ascii="Lato" w:eastAsia="Times New Roman" w:hAnsi="Lato" w:cs="Arial"/>
                <w:sz w:val="18"/>
                <w:szCs w:val="18"/>
                <w:lang w:eastAsia="pl-PL"/>
              </w:rPr>
              <w:t>535 032</w:t>
            </w:r>
          </w:p>
        </w:tc>
      </w:tr>
    </w:tbl>
    <w:p w14:paraId="7E06A7DF" w14:textId="63154143" w:rsidR="00567F2C" w:rsidRPr="005016F6" w:rsidRDefault="00567F2C" w:rsidP="00567F2C">
      <w:pPr>
        <w:spacing w:after="0"/>
        <w:rPr>
          <w:rFonts w:ascii="Lato" w:hAnsi="Lato"/>
          <w:sz w:val="16"/>
          <w:szCs w:val="16"/>
        </w:rPr>
      </w:pPr>
      <w:r w:rsidRPr="005016F6">
        <w:rPr>
          <w:rFonts w:ascii="Lato" w:hAnsi="Lato"/>
          <w:sz w:val="16"/>
          <w:szCs w:val="16"/>
        </w:rPr>
        <w:t>Źródło: Narodowy Fundusz Zdrowia</w:t>
      </w:r>
    </w:p>
    <w:p w14:paraId="477E198C" w14:textId="77777777" w:rsidR="00567F2C" w:rsidRDefault="00567F2C" w:rsidP="00567F2C">
      <w:pPr>
        <w:spacing w:after="0"/>
        <w:rPr>
          <w:rFonts w:ascii="Lato" w:hAnsi="Lato"/>
          <w:b/>
          <w:bCs/>
          <w:sz w:val="20"/>
          <w:szCs w:val="20"/>
        </w:rPr>
      </w:pPr>
    </w:p>
    <w:p w14:paraId="771141EC" w14:textId="250838F7" w:rsidR="00567F2C" w:rsidRPr="005016F6" w:rsidRDefault="00567F2C" w:rsidP="005016F6">
      <w:pPr>
        <w:spacing w:after="0" w:line="240" w:lineRule="auto"/>
        <w:rPr>
          <w:rFonts w:ascii="Lato" w:hAnsi="Lato"/>
          <w:b/>
          <w:bCs/>
          <w:sz w:val="20"/>
          <w:szCs w:val="20"/>
        </w:rPr>
      </w:pPr>
      <w:r w:rsidRPr="005016F6">
        <w:rPr>
          <w:rFonts w:ascii="Lato" w:hAnsi="Lato"/>
          <w:b/>
          <w:bCs/>
          <w:sz w:val="20"/>
          <w:szCs w:val="20"/>
        </w:rPr>
        <w:lastRenderedPageBreak/>
        <w:t>Projekty profilaktyczne realizowane przez Narodowy Instytut Geriatrii, Reumatologii i Rehabilitacji</w:t>
      </w:r>
    </w:p>
    <w:p w14:paraId="4AFB9368" w14:textId="77777777" w:rsidR="00567F2C" w:rsidRPr="005016F6" w:rsidRDefault="00567F2C" w:rsidP="005016F6">
      <w:pPr>
        <w:spacing w:after="0" w:line="240" w:lineRule="auto"/>
        <w:rPr>
          <w:rFonts w:ascii="Lato" w:hAnsi="Lato" w:cs="Arial"/>
          <w:sz w:val="20"/>
          <w:szCs w:val="20"/>
        </w:rPr>
      </w:pPr>
      <w:r w:rsidRPr="005016F6">
        <w:rPr>
          <w:rFonts w:ascii="Lato" w:hAnsi="Lato" w:cs="Arial"/>
          <w:sz w:val="20"/>
          <w:szCs w:val="20"/>
        </w:rPr>
        <w:t>W 2022 r. z zakresu profilaktyki i promocji zdrowia na rzecz osób starszych w Narodowym Instytucie Geriatrii, Reumatologii i Rehabilitacji (</w:t>
      </w:r>
      <w:proofErr w:type="spellStart"/>
      <w:r w:rsidRPr="005016F6">
        <w:rPr>
          <w:rFonts w:ascii="Lato" w:hAnsi="Lato" w:cs="Arial"/>
          <w:sz w:val="20"/>
          <w:szCs w:val="20"/>
        </w:rPr>
        <w:t>NIGRiR</w:t>
      </w:r>
      <w:proofErr w:type="spellEnd"/>
      <w:r w:rsidRPr="005016F6">
        <w:rPr>
          <w:rFonts w:ascii="Lato" w:hAnsi="Lato" w:cs="Arial"/>
          <w:sz w:val="20"/>
          <w:szCs w:val="20"/>
        </w:rPr>
        <w:t xml:space="preserve">) realizowano następujące aktywności: </w:t>
      </w:r>
    </w:p>
    <w:p w14:paraId="2CDA3BEC" w14:textId="337DA512" w:rsidR="00CE7271" w:rsidRPr="00CE7271" w:rsidRDefault="00567F2C" w:rsidP="007335F8">
      <w:pPr>
        <w:pStyle w:val="Akapitzlist"/>
        <w:numPr>
          <w:ilvl w:val="0"/>
          <w:numId w:val="223"/>
        </w:numPr>
        <w:spacing w:after="0" w:line="240" w:lineRule="auto"/>
        <w:ind w:left="723"/>
        <w:jc w:val="both"/>
        <w:rPr>
          <w:rFonts w:ascii="Lato" w:hAnsi="Lato" w:cs="Arial"/>
          <w:sz w:val="20"/>
          <w:szCs w:val="20"/>
        </w:rPr>
      </w:pPr>
      <w:r w:rsidRPr="00CE7271">
        <w:rPr>
          <w:rFonts w:ascii="Lato" w:hAnsi="Lato" w:cs="Arial"/>
          <w:sz w:val="20"/>
          <w:szCs w:val="20"/>
        </w:rPr>
        <w:t>uaktualnianie platformy edukacyjno-informacyjnej pod adrese</w:t>
      </w:r>
      <w:r w:rsidR="00CE7271">
        <w:rPr>
          <w:rFonts w:ascii="Lato" w:hAnsi="Lato" w:cs="Arial"/>
          <w:sz w:val="20"/>
          <w:szCs w:val="20"/>
        </w:rPr>
        <w:t>m</w:t>
      </w:r>
      <w:r w:rsidRPr="00CE7271">
        <w:rPr>
          <w:rFonts w:ascii="Lato" w:hAnsi="Lato" w:cs="Arial"/>
          <w:sz w:val="20"/>
          <w:szCs w:val="20"/>
        </w:rPr>
        <w:t xml:space="preserve">: </w:t>
      </w:r>
      <w:hyperlink r:id="rId20" w:history="1">
        <w:r w:rsidRPr="00CE7271">
          <w:rPr>
            <w:rStyle w:val="Hipercze"/>
            <w:rFonts w:ascii="Lato" w:hAnsi="Lato" w:cs="Arial"/>
            <w:sz w:val="20"/>
            <w:szCs w:val="20"/>
          </w:rPr>
          <w:t>https://zespolkruchosci.edu.pl/</w:t>
        </w:r>
      </w:hyperlink>
      <w:r w:rsidRPr="00CE7271">
        <w:rPr>
          <w:rFonts w:ascii="Lato" w:hAnsi="Lato" w:cs="Arial"/>
          <w:sz w:val="20"/>
          <w:szCs w:val="20"/>
        </w:rPr>
        <w:t>,</w:t>
      </w:r>
      <w:r w:rsidR="00CE7271">
        <w:rPr>
          <w:rFonts w:ascii="Lato" w:hAnsi="Lato" w:cs="Arial"/>
          <w:sz w:val="20"/>
          <w:szCs w:val="20"/>
        </w:rPr>
        <w:t xml:space="preserve"> </w:t>
      </w:r>
      <w:r w:rsidRPr="00CE7271">
        <w:rPr>
          <w:rFonts w:ascii="Lato" w:hAnsi="Lato" w:cs="Arial"/>
          <w:sz w:val="20"/>
          <w:szCs w:val="20"/>
        </w:rPr>
        <w:t>na której zamieszczane są materiały informacyjno-edukacyjne dla decydentów polityki zdrowotnej, menadżerów, pacjentów i ich opiekunów oraz profesjonalistów w ochronie zdrowia.  Utrzymywanie platformy pozostaje częścią kampanii edukacyjno-informacyjnej Face-</w:t>
      </w:r>
      <w:proofErr w:type="spellStart"/>
      <w:r w:rsidRPr="00CE7271">
        <w:rPr>
          <w:rFonts w:ascii="Lato" w:hAnsi="Lato" w:cs="Arial"/>
          <w:sz w:val="20"/>
          <w:szCs w:val="20"/>
        </w:rPr>
        <w:t>Up</w:t>
      </w:r>
      <w:proofErr w:type="spellEnd"/>
      <w:r w:rsidRPr="00CE7271">
        <w:rPr>
          <w:rFonts w:ascii="Lato" w:hAnsi="Lato" w:cs="Arial"/>
          <w:sz w:val="20"/>
          <w:szCs w:val="20"/>
        </w:rPr>
        <w:t>-to-</w:t>
      </w:r>
      <w:proofErr w:type="spellStart"/>
      <w:r w:rsidRPr="00CE7271">
        <w:rPr>
          <w:rFonts w:ascii="Lato" w:hAnsi="Lato" w:cs="Arial"/>
          <w:sz w:val="20"/>
          <w:szCs w:val="20"/>
        </w:rPr>
        <w:t>Frailty</w:t>
      </w:r>
      <w:proofErr w:type="spellEnd"/>
      <w:r w:rsidRPr="00CE7271">
        <w:rPr>
          <w:rFonts w:ascii="Lato" w:hAnsi="Lato" w:cs="Arial"/>
          <w:sz w:val="20"/>
          <w:szCs w:val="20"/>
        </w:rPr>
        <w:t xml:space="preserve"> „Zmierz się z kruchością”.</w:t>
      </w:r>
    </w:p>
    <w:p w14:paraId="74344C9D" w14:textId="35BE0CD0" w:rsidR="00567F2C" w:rsidRPr="00CE7271" w:rsidRDefault="00567F2C" w:rsidP="007335F8">
      <w:pPr>
        <w:pStyle w:val="Akapitzlist"/>
        <w:numPr>
          <w:ilvl w:val="0"/>
          <w:numId w:val="223"/>
        </w:numPr>
        <w:spacing w:after="0" w:line="240" w:lineRule="auto"/>
        <w:ind w:left="723"/>
        <w:jc w:val="both"/>
        <w:rPr>
          <w:rFonts w:ascii="Lato" w:hAnsi="Lato" w:cs="Arial"/>
          <w:sz w:val="20"/>
          <w:szCs w:val="20"/>
        </w:rPr>
      </w:pPr>
      <w:r w:rsidRPr="00CE7271">
        <w:rPr>
          <w:rFonts w:ascii="Lato" w:hAnsi="Lato" w:cs="Arial"/>
          <w:sz w:val="20"/>
          <w:szCs w:val="20"/>
        </w:rPr>
        <w:t xml:space="preserve">opracowanie przez zespół </w:t>
      </w:r>
      <w:proofErr w:type="spellStart"/>
      <w:r w:rsidRPr="00CE7271">
        <w:rPr>
          <w:rFonts w:ascii="Lato" w:hAnsi="Lato" w:cs="Arial"/>
          <w:sz w:val="20"/>
          <w:szCs w:val="20"/>
        </w:rPr>
        <w:t>NIGRiR</w:t>
      </w:r>
      <w:proofErr w:type="spellEnd"/>
      <w:r w:rsidRPr="00CE7271">
        <w:rPr>
          <w:rFonts w:ascii="Lato" w:hAnsi="Lato" w:cs="Arial"/>
          <w:sz w:val="20"/>
          <w:szCs w:val="20"/>
        </w:rPr>
        <w:t xml:space="preserve"> we współpracy z Fundacją Biedronki oraz Szlachetną Paczką </w:t>
      </w:r>
      <w:r w:rsidRPr="00CE7271">
        <w:rPr>
          <w:rFonts w:ascii="Lato" w:hAnsi="Lato" w:cs="Arial"/>
          <w:i/>
          <w:iCs/>
          <w:sz w:val="20"/>
          <w:szCs w:val="20"/>
        </w:rPr>
        <w:t>P</w:t>
      </w:r>
      <w:r w:rsidRPr="00CE7271">
        <w:rPr>
          <w:rFonts w:ascii="Lato" w:hAnsi="Lato" w:cs="Arial"/>
          <w:bCs/>
          <w:i/>
          <w:iCs/>
          <w:sz w:val="20"/>
          <w:szCs w:val="20"/>
        </w:rPr>
        <w:t>oradnika seniora</w:t>
      </w:r>
      <w:r w:rsidRPr="00CE7271">
        <w:rPr>
          <w:rFonts w:ascii="Lato" w:hAnsi="Lato" w:cs="Arial"/>
          <w:bCs/>
          <w:sz w:val="20"/>
          <w:szCs w:val="20"/>
        </w:rPr>
        <w:t xml:space="preserve"> oraz stworzenie strony internetowej adresowanej do seniorów, ich opiekunów i wolontariuszy (</w:t>
      </w:r>
      <w:hyperlink r:id="rId21" w:history="1">
        <w:r w:rsidRPr="00CE7271">
          <w:rPr>
            <w:rStyle w:val="Hipercze"/>
            <w:rFonts w:ascii="Lato" w:hAnsi="Lato" w:cs="Arial"/>
            <w:sz w:val="20"/>
            <w:szCs w:val="20"/>
          </w:rPr>
          <w:t>https://pomagamseniorowi.pl/</w:t>
        </w:r>
        <w:r w:rsidRPr="00CE7271">
          <w:rPr>
            <w:rStyle w:val="Hipercze"/>
            <w:rFonts w:ascii="Lato" w:hAnsi="Lato" w:cs="Arial"/>
            <w:bCs/>
            <w:sz w:val="20"/>
            <w:szCs w:val="20"/>
          </w:rPr>
          <w:t>).</w:t>
        </w:r>
      </w:hyperlink>
      <w:r w:rsidRPr="00CE7271">
        <w:rPr>
          <w:rFonts w:ascii="Lato" w:hAnsi="Lato" w:cs="Arial"/>
          <w:sz w:val="20"/>
          <w:szCs w:val="20"/>
        </w:rPr>
        <w:t xml:space="preserve"> Z materiałów tych można dowiedzieć się m.in. z jakimi trudnościami - zdrowotnymi, psychicznymi, socjalnymi, finansowymi zmagają się na co dzień starsi i jak ich wspierać. Projekt ten promuje działanie w ramach solidarności międzypokoleniowej, szczególnie w sytuacji wciąż aktualnego zagrożenia epidemiologicznego. Poradnik zawiera zweryfikowane metody i narzędzia do pracy edukacyjnej z osobami 60+, poddaje analizie najczęściej powielane stereotypy na temat osób starszych, jak również publikuje informacje nt. troski o zdrowie seniorów, informacje o zasadach prawidłowego żywienia, zalecanej diecie, aktywności fizycznej seniorów i wsparciu psychicznym. Zawiera również praktyczne porady dla wolontariuszy dotyczące realizacji ich pracy i zadań np. wskazówki jak skutecznie komunikować się i pomagać seniorom, jakie podjąć działania podnoszące jakość życia osób starszych, jak dbać o ich zdrowie dzięki zasadom diety i aktywności fizycznej. Pakiet edukacyjny zawiera także zestaw praktycznych narzędzi do pobrania i korzystania przy pracy z seniorami – poradnik wydany jest w wersji pdf do druku, zawiera </w:t>
      </w:r>
      <w:proofErr w:type="spellStart"/>
      <w:r w:rsidRPr="00CE7271">
        <w:rPr>
          <w:rFonts w:ascii="Lato" w:hAnsi="Lato" w:cs="Arial"/>
          <w:sz w:val="20"/>
          <w:szCs w:val="20"/>
        </w:rPr>
        <w:t>ikonografiki</w:t>
      </w:r>
      <w:proofErr w:type="spellEnd"/>
      <w:r w:rsidRPr="00CE7271">
        <w:rPr>
          <w:rFonts w:ascii="Lato" w:hAnsi="Lato" w:cs="Arial"/>
          <w:sz w:val="20"/>
          <w:szCs w:val="20"/>
        </w:rPr>
        <w:t>, animacje, filmy oraz QUIZ.</w:t>
      </w:r>
    </w:p>
    <w:p w14:paraId="156C147B" w14:textId="763272E3" w:rsidR="00567F2C" w:rsidRP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u w:val="single"/>
        </w:rPr>
        <w:t>Publikacja materiału informacyjnego we współpracy z Fundacją Biedronki nt</w:t>
      </w:r>
      <w:r w:rsidRPr="00CE7271">
        <w:rPr>
          <w:rFonts w:ascii="Lato" w:hAnsi="Lato" w:cs="Arial"/>
          <w:i/>
          <w:iCs/>
          <w:sz w:val="20"/>
          <w:szCs w:val="20"/>
          <w:u w:val="single"/>
        </w:rPr>
        <w:t>. Żywienie seniorów – o czym warto pamiętać?</w:t>
      </w:r>
      <w:r w:rsidRPr="00CE7271">
        <w:rPr>
          <w:rFonts w:ascii="Lato" w:hAnsi="Lato" w:cs="Arial"/>
          <w:i/>
          <w:iCs/>
          <w:sz w:val="20"/>
          <w:szCs w:val="20"/>
        </w:rPr>
        <w:t xml:space="preserve"> - Być zdrowym</w:t>
      </w:r>
      <w:r w:rsidRPr="00CE7271">
        <w:rPr>
          <w:rFonts w:ascii="Lato" w:hAnsi="Lato" w:cs="Arial"/>
          <w:sz w:val="20"/>
          <w:szCs w:val="20"/>
        </w:rPr>
        <w:t xml:space="preserve"> (byczdrowym.info) w ogólnopolskiej prasie (na stronie Gazety Wyborczej jako baner) oraz na stronach internetowych fundacji szeroko adresowanych do społeczności ludzi starszych np. w e-wydaniu dodatku „Zdrowie seniorów” oraz w druku (wersja rozdawana np. na konferencji ogólnopolskiej Priorytety w ochronie zdrowia). Artykuł zawiera wskazówki dotyczące prawidłowego żywienia ludzi starszych oraz zapobiegania niedożywieniu i przeżywieniu - związanemu z występowaniem chorób </w:t>
      </w:r>
      <w:proofErr w:type="spellStart"/>
      <w:r w:rsidRPr="00CE7271">
        <w:rPr>
          <w:rFonts w:ascii="Lato" w:hAnsi="Lato" w:cs="Arial"/>
          <w:sz w:val="20"/>
          <w:szCs w:val="20"/>
        </w:rPr>
        <w:t>dietozależnych</w:t>
      </w:r>
      <w:proofErr w:type="spellEnd"/>
      <w:r w:rsidRPr="00CE7271">
        <w:rPr>
          <w:rFonts w:ascii="Lato" w:hAnsi="Lato" w:cs="Arial"/>
          <w:sz w:val="20"/>
          <w:szCs w:val="20"/>
        </w:rPr>
        <w:t xml:space="preserve">, cywilizacyjnych. Podsumowuje najczęściej popełniane błędy żywieniowe i zawiera wskazówki dotyczące zmiany </w:t>
      </w:r>
      <w:proofErr w:type="spellStart"/>
      <w:r w:rsidRPr="00CE7271">
        <w:rPr>
          <w:rFonts w:ascii="Lato" w:hAnsi="Lato" w:cs="Arial"/>
          <w:sz w:val="20"/>
          <w:szCs w:val="20"/>
        </w:rPr>
        <w:t>zachowań</w:t>
      </w:r>
      <w:proofErr w:type="spellEnd"/>
      <w:r w:rsidRPr="00CE7271">
        <w:rPr>
          <w:rFonts w:ascii="Lato" w:hAnsi="Lato" w:cs="Arial"/>
          <w:sz w:val="20"/>
          <w:szCs w:val="20"/>
        </w:rPr>
        <w:t xml:space="preserve"> i nawyków żywieniowych. Z przekazanej wiedzy skorzystać mogą również bezpośredni opiekunowie osób starszych.</w:t>
      </w:r>
      <w:r w:rsidR="005016F6" w:rsidRPr="00CE7271">
        <w:rPr>
          <w:rFonts w:ascii="Lato" w:hAnsi="Lato" w:cs="Arial"/>
          <w:sz w:val="20"/>
          <w:szCs w:val="20"/>
        </w:rPr>
        <w:t xml:space="preserve"> </w:t>
      </w:r>
      <w:r w:rsidRPr="00CE7271">
        <w:rPr>
          <w:rFonts w:ascii="Lato" w:hAnsi="Lato" w:cs="Arial"/>
          <w:sz w:val="20"/>
          <w:szCs w:val="20"/>
        </w:rPr>
        <w:t>(</w:t>
      </w:r>
      <w:hyperlink r:id="rId22" w:history="1">
        <w:r w:rsidRPr="00CE7271">
          <w:rPr>
            <w:rStyle w:val="Hipercze"/>
            <w:rFonts w:ascii="Lato" w:hAnsi="Lato" w:cs="Arial"/>
            <w:sz w:val="20"/>
            <w:szCs w:val="20"/>
          </w:rPr>
          <w:t>https://www.byczdrowym.info/uklad-trawienny/zywienie-seniorow-o-czym-warto-pamietac/</w:t>
        </w:r>
      </w:hyperlink>
      <w:r w:rsidRPr="00CE7271">
        <w:rPr>
          <w:rFonts w:ascii="Lato" w:hAnsi="Lato" w:cs="Arial"/>
          <w:sz w:val="20"/>
          <w:szCs w:val="20"/>
        </w:rPr>
        <w:t>).</w:t>
      </w:r>
    </w:p>
    <w:p w14:paraId="6E5A6675" w14:textId="77777777" w:rsidR="00567F2C" w:rsidRP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u w:val="single"/>
        </w:rPr>
        <w:t>Prowadzenie bezpośrednich spotkań z seniorami – w Uniwersytecie II i III Wieku w Cegłowie oraz w Uniwersytecie III wieku na Mokotowie w Warszawie</w:t>
      </w:r>
      <w:r w:rsidRPr="00CE7271">
        <w:rPr>
          <w:rFonts w:ascii="Lato" w:hAnsi="Lato" w:cs="Arial"/>
          <w:sz w:val="20"/>
          <w:szCs w:val="20"/>
        </w:rPr>
        <w:t>. Hasłem przewodnim spotkań było Wydłużanie życia w zdrowiu. Zajęcia dotyczyły zaleceń żywieniowych, aktywnego trybu życia, poprawy sprawności funkcjonalnej, profilaktyki wybranych chorób i poprawy jakości życia seniora.</w:t>
      </w:r>
    </w:p>
    <w:p w14:paraId="4249CEF0" w14:textId="77777777" w:rsid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u w:val="single"/>
        </w:rPr>
        <w:t>Prowadzenie indywidualnego poradnictwa żywieniowego oraz poradnictwa z zakresu aktywizacji fizycznej</w:t>
      </w:r>
      <w:r w:rsidRPr="00CE7271">
        <w:rPr>
          <w:rFonts w:ascii="Lato" w:hAnsi="Lato" w:cs="Arial"/>
          <w:sz w:val="20"/>
          <w:szCs w:val="20"/>
        </w:rPr>
        <w:t xml:space="preserve"> w ramach działania Pracowni Oceny Stanu Odżywienia i Diagnostyki </w:t>
      </w:r>
      <w:proofErr w:type="spellStart"/>
      <w:r w:rsidRPr="00CE7271">
        <w:rPr>
          <w:rFonts w:ascii="Lato" w:hAnsi="Lato" w:cs="Arial"/>
          <w:sz w:val="20"/>
          <w:szCs w:val="20"/>
        </w:rPr>
        <w:t>Sarkopenii</w:t>
      </w:r>
      <w:proofErr w:type="spellEnd"/>
      <w:r w:rsidRPr="00CE7271">
        <w:rPr>
          <w:rFonts w:ascii="Lato" w:hAnsi="Lato" w:cs="Arial"/>
          <w:sz w:val="20"/>
          <w:szCs w:val="20"/>
        </w:rPr>
        <w:t xml:space="preserve"> oraz Pracowni Aktywizacji Seniorów w Klinice Geriatrii. Poradnictwo adresowane było do pacjentów w starszym wieku, hospitalizowanych w </w:t>
      </w:r>
      <w:proofErr w:type="spellStart"/>
      <w:r w:rsidRPr="00CE7271">
        <w:rPr>
          <w:rFonts w:ascii="Lato" w:hAnsi="Lato" w:cs="Arial"/>
          <w:sz w:val="20"/>
          <w:szCs w:val="20"/>
        </w:rPr>
        <w:t>NIGRiR</w:t>
      </w:r>
      <w:proofErr w:type="spellEnd"/>
      <w:r w:rsidRPr="00CE7271">
        <w:rPr>
          <w:rFonts w:ascii="Lato" w:hAnsi="Lato" w:cs="Arial"/>
          <w:sz w:val="20"/>
          <w:szCs w:val="20"/>
        </w:rPr>
        <w:t xml:space="preserve">. </w:t>
      </w:r>
    </w:p>
    <w:p w14:paraId="7B9ADFA6" w14:textId="77777777" w:rsid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u w:val="single"/>
        </w:rPr>
        <w:t>Prowadzenie prac badawczych i projektów naukowo-badawczych, w których istotnym elementem pozostaje edukacja prozdrowotna seniorów.</w:t>
      </w:r>
      <w:r w:rsidRPr="00CE7271">
        <w:rPr>
          <w:rFonts w:ascii="Lato" w:hAnsi="Lato" w:cs="Arial"/>
          <w:sz w:val="20"/>
          <w:szCs w:val="20"/>
        </w:rPr>
        <w:t xml:space="preserve"> Dział Nauki oraz nowoczesne, nowo powstałe w 2021r. Centrum Wsparcia Badań Klinicznych koncentrują swoje działania na wspieraniu i rozwoju badan naukowych skupionych na zagrożeniach zdrowotnych, będących priorytetami badawczymi </w:t>
      </w:r>
      <w:proofErr w:type="spellStart"/>
      <w:r w:rsidRPr="00CE7271">
        <w:rPr>
          <w:rFonts w:ascii="Lato" w:hAnsi="Lato" w:cs="Arial"/>
          <w:sz w:val="20"/>
          <w:szCs w:val="20"/>
        </w:rPr>
        <w:t>tj</w:t>
      </w:r>
      <w:proofErr w:type="spellEnd"/>
      <w:r w:rsidRPr="00CE7271">
        <w:rPr>
          <w:rFonts w:ascii="Lato" w:hAnsi="Lato" w:cs="Arial"/>
          <w:sz w:val="20"/>
          <w:szCs w:val="20"/>
        </w:rPr>
        <w:t xml:space="preserve"> choroby cywilizacyjne oraz choroby związane z procesami starzenia się.</w:t>
      </w:r>
    </w:p>
    <w:p w14:paraId="2B089A47" w14:textId="77777777" w:rsid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rPr>
        <w:t xml:space="preserve">Projekt pn. „Program Profilaktyki Osteoporozy Narodowego Instytutu Geriatrii, Reumatologii i Rehabilitacji” nr POWR.05.01.00-00-0012/18. Głównym celem projektu jest wdrożenie w ośrodkach uczestniczących w programie skoordynowanego systemu wczesnej identyfikacji kobiet w wieku 50-70 lat, zagrożonych złamaniami niskoenergetycznymi oraz chorych z już dokonanymi złamaniami i kierowanie ich 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 </w:t>
      </w:r>
    </w:p>
    <w:p w14:paraId="230271DB" w14:textId="77777777" w:rsid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rPr>
        <w:lastRenderedPageBreak/>
        <w:t>Projekt pt. „Program profilaktyki przewlekłych bólów kręgosłupa Narodowego Instytutu Geriatrii, Reumatologii i Rehabilitacji” nr POWR. 05.01.00-00-0025/19. Głównym celem projektu jest zwiększenie wczesnego wykrywania oraz prewencja przewlekłych bólów kręgosłupa wśród osób aktywnych zawodowo z terenu makroregionu centralnego (województwa: łódzkie, mazowieckie) poprzez przeprowadzenie działań edukacyjno-diagnostyczno-terapeutycznych.</w:t>
      </w:r>
    </w:p>
    <w:p w14:paraId="3C324C7F" w14:textId="77777777" w:rsid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rPr>
        <w:t xml:space="preserve">Projekt pt. „Program profilaktyki chorób </w:t>
      </w:r>
      <w:proofErr w:type="spellStart"/>
      <w:r w:rsidRPr="00CE7271">
        <w:rPr>
          <w:rFonts w:ascii="Lato" w:hAnsi="Lato" w:cs="Arial"/>
          <w:sz w:val="20"/>
          <w:szCs w:val="20"/>
        </w:rPr>
        <w:t>odkleszczowych</w:t>
      </w:r>
      <w:proofErr w:type="spellEnd"/>
      <w:r w:rsidRPr="00CE7271">
        <w:rPr>
          <w:rFonts w:ascii="Lato" w:hAnsi="Lato" w:cs="Arial"/>
          <w:sz w:val="20"/>
          <w:szCs w:val="20"/>
        </w:rPr>
        <w:t xml:space="preserve"> Narodowego Instytutu Geriatrii, Reumatologii i Rehabilitacji” nr POWR.05.01.00-00-0005/20 w ramach Programu Wiedza Edukacja Rozwój, współfinansowany ze środków Europejskiego Funduszu Społecznego, w partnerstwie z Fundacją Aktywności Społeczno-Ekonomicznej (FASE), projekt realizowany był na terenie makroregionu centralnego, w województwach mazowieckim i łódzkim. W ramach programu identyfikowano i edukowano potencjalnie narażone na zachorowanie osoby.</w:t>
      </w:r>
    </w:p>
    <w:p w14:paraId="7B16D562" w14:textId="36AD94CD" w:rsidR="00567F2C" w:rsidRPr="00CE7271" w:rsidRDefault="00567F2C" w:rsidP="007335F8">
      <w:pPr>
        <w:pStyle w:val="Akapitzlist"/>
        <w:numPr>
          <w:ilvl w:val="0"/>
          <w:numId w:val="223"/>
        </w:numPr>
        <w:autoSpaceDN w:val="0"/>
        <w:spacing w:after="0" w:line="240" w:lineRule="auto"/>
        <w:ind w:left="782"/>
        <w:contextualSpacing w:val="0"/>
        <w:jc w:val="both"/>
        <w:textAlignment w:val="baseline"/>
        <w:rPr>
          <w:rFonts w:ascii="Lato" w:hAnsi="Lato" w:cs="Arial"/>
          <w:sz w:val="20"/>
          <w:szCs w:val="20"/>
        </w:rPr>
      </w:pPr>
      <w:r w:rsidRPr="00CE7271">
        <w:rPr>
          <w:rFonts w:ascii="Lato" w:hAnsi="Lato" w:cs="Arial"/>
          <w:sz w:val="20"/>
          <w:szCs w:val="20"/>
        </w:rPr>
        <w:t xml:space="preserve">Projekt pt. ”Dostępność Plus dla Zdrowia” - Narodowy Instytut Geriatrii, Reumatologii i Rehabilitacji jest </w:t>
      </w:r>
      <w:proofErr w:type="spellStart"/>
      <w:r w:rsidRPr="00CE7271">
        <w:rPr>
          <w:rFonts w:ascii="Lato" w:hAnsi="Lato" w:cs="Arial"/>
          <w:sz w:val="20"/>
          <w:szCs w:val="20"/>
        </w:rPr>
        <w:t>grantobiorcą</w:t>
      </w:r>
      <w:proofErr w:type="spellEnd"/>
      <w:r w:rsidRPr="00CE7271">
        <w:rPr>
          <w:rFonts w:ascii="Lato" w:hAnsi="Lato" w:cs="Arial"/>
          <w:sz w:val="20"/>
          <w:szCs w:val="20"/>
        </w:rPr>
        <w:t xml:space="preserve"> projektu finansowanego z funduszy europejskich. Celem projektu jest zapewnienie swobodnego dostępu do dóbr, usług oraz możliwości udziału w życiu społecznym i publicznym, w tym osób o szczególnych potrzebach. Obejmuje on dostosowanie przestrzeni publicznej, architektury, transportu i produktów do szczególnych wymagań odbiorców świadczeń, w tym szczególnie seniorów. Dzięki temu dofinansowaniu pacjenci mogą skorzystać ze strony internetowej, zaprojektowanej również dla osób ze szczególnymi potrzebami, łatwiej i bezpieczniej poruszać się po Instytucie w części klinicznej, zabiegowej, Izbie Przyjęć, Zespole Poradni specjalistycznych oraz części diagnostycznej, skorzystać z nowej windy, umówić wizytę on-line co bezpośrednio wpływa na skuteczność działań w zakresie promocji zdrowia i profilaktyki chorób wśród seniorów oraz wzmacnia efektywność stosowanych terapii.</w:t>
      </w:r>
    </w:p>
    <w:p w14:paraId="7110E166" w14:textId="77777777" w:rsidR="005016F6" w:rsidRDefault="00567F2C" w:rsidP="005016F6">
      <w:pPr>
        <w:autoSpaceDN w:val="0"/>
        <w:spacing w:after="0" w:line="240" w:lineRule="auto"/>
        <w:jc w:val="both"/>
        <w:textAlignment w:val="baseline"/>
        <w:rPr>
          <w:rFonts w:ascii="Lato" w:hAnsi="Lato" w:cs="Arial"/>
          <w:sz w:val="20"/>
          <w:szCs w:val="20"/>
        </w:rPr>
      </w:pPr>
      <w:r w:rsidRPr="005016F6">
        <w:rPr>
          <w:rFonts w:ascii="Lato" w:hAnsi="Lato" w:cs="Arial"/>
          <w:sz w:val="20"/>
          <w:szCs w:val="20"/>
        </w:rPr>
        <w:t xml:space="preserve">           </w:t>
      </w:r>
    </w:p>
    <w:p w14:paraId="36050FC1" w14:textId="2FA3FA7F" w:rsidR="00567F2C" w:rsidRPr="005016F6" w:rsidRDefault="00567F2C" w:rsidP="005016F6">
      <w:pPr>
        <w:autoSpaceDN w:val="0"/>
        <w:spacing w:after="0" w:line="240" w:lineRule="auto"/>
        <w:jc w:val="both"/>
        <w:textAlignment w:val="baseline"/>
        <w:rPr>
          <w:rFonts w:ascii="Lato" w:hAnsi="Lato" w:cs="Arial"/>
          <w:sz w:val="20"/>
          <w:szCs w:val="20"/>
        </w:rPr>
      </w:pPr>
      <w:r w:rsidRPr="005016F6">
        <w:rPr>
          <w:rFonts w:ascii="Lato" w:hAnsi="Lato" w:cs="Arial"/>
          <w:sz w:val="20"/>
          <w:szCs w:val="20"/>
        </w:rPr>
        <w:t>Pozostałe działania:</w:t>
      </w:r>
    </w:p>
    <w:p w14:paraId="60F4C15F" w14:textId="77777777" w:rsidR="00CE7271" w:rsidRDefault="00567F2C" w:rsidP="007335F8">
      <w:pPr>
        <w:pStyle w:val="Akapitzlist"/>
        <w:numPr>
          <w:ilvl w:val="0"/>
          <w:numId w:val="221"/>
        </w:numPr>
        <w:autoSpaceDN w:val="0"/>
        <w:spacing w:after="0" w:line="240" w:lineRule="auto"/>
        <w:ind w:hanging="357"/>
        <w:contextualSpacing w:val="0"/>
        <w:jc w:val="both"/>
        <w:textAlignment w:val="baseline"/>
        <w:rPr>
          <w:rFonts w:ascii="Lato" w:hAnsi="Lato" w:cs="Arial"/>
          <w:sz w:val="20"/>
          <w:szCs w:val="20"/>
        </w:rPr>
      </w:pPr>
      <w:r w:rsidRPr="005016F6">
        <w:rPr>
          <w:rFonts w:ascii="Lato" w:hAnsi="Lato" w:cs="Arial"/>
          <w:sz w:val="20"/>
          <w:szCs w:val="20"/>
        </w:rPr>
        <w:t>Obchody Międzynarodowego Dnia Seniora. Organizacja ogólnopolskiej konferencji pt. ”Międzynarodowy Dzień Osób Starszych”, podczas której oprócz wykładów specjalistów, m. in. Dyrektora Regionalnego WHO, geriatrów i gerontologów, odbywa się panel dyskusyjnym z udziałem zaangażowanych grup seniorów i przedstawicieli Uniwersytetów III wieku na temat sytuacji osób starszych oraz ich aktualnych potrzeb w zakresie umacniania zdrowia i profilaktyki chorób.</w:t>
      </w:r>
    </w:p>
    <w:p w14:paraId="593C475C" w14:textId="77777777" w:rsidR="00CE7271" w:rsidRDefault="00567F2C" w:rsidP="007335F8">
      <w:pPr>
        <w:pStyle w:val="Akapitzlist"/>
        <w:numPr>
          <w:ilvl w:val="0"/>
          <w:numId w:val="221"/>
        </w:numPr>
        <w:autoSpaceDN w:val="0"/>
        <w:spacing w:after="0" w:line="240" w:lineRule="auto"/>
        <w:ind w:hanging="357"/>
        <w:contextualSpacing w:val="0"/>
        <w:jc w:val="both"/>
        <w:textAlignment w:val="baseline"/>
        <w:rPr>
          <w:rFonts w:ascii="Lato" w:hAnsi="Lato" w:cs="Arial"/>
          <w:sz w:val="20"/>
          <w:szCs w:val="20"/>
        </w:rPr>
      </w:pPr>
      <w:r w:rsidRPr="00CE7271">
        <w:rPr>
          <w:rFonts w:ascii="Lato" w:hAnsi="Lato" w:cs="Arial"/>
          <w:sz w:val="20"/>
          <w:szCs w:val="20"/>
        </w:rPr>
        <w:t>Współorganizacja przez Klinikę Geriatrii i Zakład Gerontologii, Zdrowia Publicznego i Dydaktyki comiesięcznych spotkań edukacyjno-informacyjnych dla seniorów - spotkań czwartkowych z Geriatrią, Reumatologią i Rehabilitacją;</w:t>
      </w:r>
    </w:p>
    <w:p w14:paraId="71E1F374" w14:textId="77777777" w:rsidR="00CE7271" w:rsidRDefault="00567F2C" w:rsidP="007335F8">
      <w:pPr>
        <w:pStyle w:val="Akapitzlist"/>
        <w:numPr>
          <w:ilvl w:val="0"/>
          <w:numId w:val="221"/>
        </w:numPr>
        <w:autoSpaceDN w:val="0"/>
        <w:spacing w:after="0" w:line="240" w:lineRule="auto"/>
        <w:ind w:hanging="357"/>
        <w:contextualSpacing w:val="0"/>
        <w:jc w:val="both"/>
        <w:textAlignment w:val="baseline"/>
        <w:rPr>
          <w:rFonts w:ascii="Lato" w:hAnsi="Lato" w:cs="Arial"/>
          <w:sz w:val="20"/>
          <w:szCs w:val="20"/>
        </w:rPr>
      </w:pPr>
      <w:r w:rsidRPr="00CE7271">
        <w:rPr>
          <w:rFonts w:ascii="Lato" w:hAnsi="Lato" w:cs="Arial"/>
          <w:sz w:val="20"/>
          <w:szCs w:val="20"/>
        </w:rPr>
        <w:t xml:space="preserve">Corocznie sprawowany patronat w konkursie Pielęgniarskiej Nagrody Królowej Sylwii (Queen </w:t>
      </w:r>
      <w:proofErr w:type="spellStart"/>
      <w:r w:rsidRPr="00CE7271">
        <w:rPr>
          <w:rFonts w:ascii="Lato" w:hAnsi="Lato" w:cs="Arial"/>
          <w:sz w:val="20"/>
          <w:szCs w:val="20"/>
        </w:rPr>
        <w:t>Silvia</w:t>
      </w:r>
      <w:proofErr w:type="spellEnd"/>
      <w:r w:rsidRPr="00CE7271">
        <w:rPr>
          <w:rFonts w:ascii="Lato" w:hAnsi="Lato" w:cs="Arial"/>
          <w:sz w:val="20"/>
          <w:szCs w:val="20"/>
        </w:rPr>
        <w:t xml:space="preserve"> </w:t>
      </w:r>
      <w:proofErr w:type="spellStart"/>
      <w:r w:rsidRPr="00CE7271">
        <w:rPr>
          <w:rFonts w:ascii="Lato" w:hAnsi="Lato" w:cs="Arial"/>
          <w:sz w:val="20"/>
          <w:szCs w:val="20"/>
        </w:rPr>
        <w:t>Nursing</w:t>
      </w:r>
      <w:proofErr w:type="spellEnd"/>
      <w:r w:rsidRPr="00CE7271">
        <w:rPr>
          <w:rFonts w:ascii="Lato" w:hAnsi="Lato" w:cs="Arial"/>
          <w:sz w:val="20"/>
          <w:szCs w:val="20"/>
        </w:rPr>
        <w:t xml:space="preserve"> </w:t>
      </w:r>
      <w:proofErr w:type="spellStart"/>
      <w:r w:rsidRPr="00CE7271">
        <w:rPr>
          <w:rFonts w:ascii="Lato" w:hAnsi="Lato" w:cs="Arial"/>
          <w:sz w:val="20"/>
          <w:szCs w:val="20"/>
        </w:rPr>
        <w:t>Award</w:t>
      </w:r>
      <w:proofErr w:type="spellEnd"/>
      <w:r w:rsidRPr="00CE7271">
        <w:rPr>
          <w:rFonts w:ascii="Lato" w:hAnsi="Lato" w:cs="Arial"/>
          <w:sz w:val="20"/>
          <w:szCs w:val="20"/>
        </w:rPr>
        <w:t xml:space="preserve">) i udział przedstawiciela NIGRIR w pracach Komisji Konkursowej – polegający na recenzji przedstawianych projektów w zakresie usprawniania, edukacji i przygotowania do samoopieki a także poprawy jakości opieki nad osobami starszymi, w tym chorymi na demencję oraz wyborze laureata konkursu. Konkurs odbywa się pod patronatem Królowej Szwecji Sylvii, fundacji </w:t>
      </w:r>
      <w:proofErr w:type="spellStart"/>
      <w:r w:rsidRPr="00CE7271">
        <w:rPr>
          <w:rFonts w:ascii="Lato" w:hAnsi="Lato" w:cs="Arial"/>
          <w:sz w:val="20"/>
          <w:szCs w:val="20"/>
        </w:rPr>
        <w:t>Swedish</w:t>
      </w:r>
      <w:proofErr w:type="spellEnd"/>
      <w:r w:rsidRPr="00CE7271">
        <w:rPr>
          <w:rFonts w:ascii="Lato" w:hAnsi="Lato" w:cs="Arial"/>
          <w:sz w:val="20"/>
          <w:szCs w:val="20"/>
        </w:rPr>
        <w:t xml:space="preserve"> </w:t>
      </w:r>
      <w:proofErr w:type="spellStart"/>
      <w:r w:rsidRPr="00CE7271">
        <w:rPr>
          <w:rFonts w:ascii="Lato" w:hAnsi="Lato" w:cs="Arial"/>
          <w:sz w:val="20"/>
          <w:szCs w:val="20"/>
        </w:rPr>
        <w:t>Care</w:t>
      </w:r>
      <w:proofErr w:type="spellEnd"/>
      <w:r w:rsidRPr="00CE7271">
        <w:rPr>
          <w:rFonts w:ascii="Lato" w:hAnsi="Lato" w:cs="Arial"/>
          <w:sz w:val="20"/>
          <w:szCs w:val="20"/>
        </w:rPr>
        <w:t xml:space="preserve"> International oraz Fundacji Medicover a jego kluczowym etapem jest wdrożenie projektu w życie.</w:t>
      </w:r>
    </w:p>
    <w:p w14:paraId="62F382DF" w14:textId="77777777" w:rsidR="00CE7271" w:rsidRDefault="00567F2C" w:rsidP="007335F8">
      <w:pPr>
        <w:pStyle w:val="Akapitzlist"/>
        <w:numPr>
          <w:ilvl w:val="0"/>
          <w:numId w:val="221"/>
        </w:numPr>
        <w:autoSpaceDN w:val="0"/>
        <w:spacing w:after="0" w:line="240" w:lineRule="auto"/>
        <w:ind w:hanging="357"/>
        <w:contextualSpacing w:val="0"/>
        <w:jc w:val="both"/>
        <w:textAlignment w:val="baseline"/>
        <w:rPr>
          <w:rFonts w:ascii="Lato" w:hAnsi="Lato" w:cs="Arial"/>
          <w:sz w:val="20"/>
          <w:szCs w:val="20"/>
        </w:rPr>
      </w:pPr>
      <w:r w:rsidRPr="00CE7271">
        <w:rPr>
          <w:rFonts w:ascii="Lato" w:hAnsi="Lato" w:cs="Arial"/>
          <w:sz w:val="20"/>
          <w:szCs w:val="20"/>
        </w:rPr>
        <w:t>Współpraca z Ministerstwem Zdrowia oraz Kancelarią Prezydenta RP oraz Narodową Radą Rozwoju w obszarze przygotowania i wdrożenia koncepcji Centrów Zdrowia 75+ (m. in. opracowanie charakterystyki i kompetencji koordynatora opieki senioralnej ( w tym w zakresie profilaktyki i promocji zdrowia), sposobu uzyskiwania kwalifikacji zawodowych; zaproponowanie koncepcji utworzenia rejestru dobrostanu seniora, zaproponowanie zasadniczych zakresów usług medycznych dziennych oddziałów geriatrycznych</w:t>
      </w:r>
    </w:p>
    <w:p w14:paraId="6370FA64" w14:textId="4CDA04B5" w:rsidR="00567F2C" w:rsidRPr="00CE7271" w:rsidRDefault="00567F2C" w:rsidP="007335F8">
      <w:pPr>
        <w:pStyle w:val="Akapitzlist"/>
        <w:numPr>
          <w:ilvl w:val="0"/>
          <w:numId w:val="221"/>
        </w:numPr>
        <w:autoSpaceDN w:val="0"/>
        <w:spacing w:after="0" w:line="240" w:lineRule="auto"/>
        <w:ind w:hanging="357"/>
        <w:contextualSpacing w:val="0"/>
        <w:jc w:val="both"/>
        <w:textAlignment w:val="baseline"/>
        <w:rPr>
          <w:rFonts w:ascii="Lato" w:hAnsi="Lato" w:cs="Arial"/>
          <w:sz w:val="20"/>
          <w:szCs w:val="20"/>
        </w:rPr>
      </w:pPr>
      <w:r w:rsidRPr="00CE7271">
        <w:rPr>
          <w:rFonts w:ascii="Lato" w:hAnsi="Lato" w:cs="Arial"/>
          <w:sz w:val="20"/>
          <w:szCs w:val="20"/>
        </w:rPr>
        <w:t xml:space="preserve">konferencja „Pacjent post-COVID-owy. Co zostaje, a co się zmienia?”- podczas której jednym </w:t>
      </w:r>
      <w:r w:rsidRPr="00CE7271">
        <w:rPr>
          <w:rFonts w:ascii="Lato" w:hAnsi="Lato" w:cs="Arial"/>
          <w:sz w:val="20"/>
          <w:szCs w:val="20"/>
        </w:rPr>
        <w:br/>
        <w:t xml:space="preserve">z poruszanych zagadnień jest ryzyko </w:t>
      </w:r>
      <w:proofErr w:type="spellStart"/>
      <w:r w:rsidRPr="00CE7271">
        <w:rPr>
          <w:rFonts w:ascii="Lato" w:hAnsi="Lato" w:cs="Arial"/>
          <w:sz w:val="20"/>
          <w:szCs w:val="20"/>
        </w:rPr>
        <w:t>zachorowań</w:t>
      </w:r>
      <w:proofErr w:type="spellEnd"/>
      <w:r w:rsidRPr="00CE7271">
        <w:rPr>
          <w:rFonts w:ascii="Lato" w:hAnsi="Lato" w:cs="Arial"/>
          <w:sz w:val="20"/>
          <w:szCs w:val="20"/>
        </w:rPr>
        <w:t xml:space="preserve"> na chorobę COVID-19 w grupie seniorów oraz efektywna profilaktyka </w:t>
      </w:r>
      <w:proofErr w:type="spellStart"/>
      <w:r w:rsidRPr="00CE7271">
        <w:rPr>
          <w:rFonts w:ascii="Lato" w:hAnsi="Lato" w:cs="Arial"/>
          <w:sz w:val="20"/>
          <w:szCs w:val="20"/>
        </w:rPr>
        <w:t>zachorowań</w:t>
      </w:r>
      <w:proofErr w:type="spellEnd"/>
      <w:r w:rsidRPr="00CE7271">
        <w:rPr>
          <w:rFonts w:ascii="Lato" w:hAnsi="Lato" w:cs="Arial"/>
          <w:sz w:val="20"/>
          <w:szCs w:val="20"/>
        </w:rPr>
        <w:t xml:space="preserve"> i rehabilitacja wraz z szeroko rozumianą rekonwalescencją po przebytej chorobie. W konferencji zarówno w roli wykładowców jak też </w:t>
      </w:r>
      <w:proofErr w:type="spellStart"/>
      <w:r w:rsidRPr="00CE7271">
        <w:rPr>
          <w:rFonts w:ascii="Lato" w:hAnsi="Lato" w:cs="Arial"/>
          <w:sz w:val="20"/>
          <w:szCs w:val="20"/>
        </w:rPr>
        <w:t>panelistów</w:t>
      </w:r>
      <w:proofErr w:type="spellEnd"/>
      <w:r w:rsidRPr="00CE7271">
        <w:rPr>
          <w:rFonts w:ascii="Lato" w:hAnsi="Lato" w:cs="Arial"/>
          <w:sz w:val="20"/>
          <w:szCs w:val="20"/>
        </w:rPr>
        <w:t xml:space="preserve"> w panelu dyskusyjnym występują wybitni specjaliści w wielu dyscyplinach naukowych i dziedzinach medycyny. Konferencja ma charakter hybrydowy, o szerokim zasięgu i wzmocnieniu medialnym, co umożliwia bezpośredni udział osób zainteresowanych z całego kraju</w:t>
      </w:r>
      <w:r w:rsidR="005016F6" w:rsidRPr="00CE7271">
        <w:rPr>
          <w:rFonts w:ascii="Lato" w:hAnsi="Lato" w:cs="Arial"/>
          <w:sz w:val="20"/>
          <w:szCs w:val="20"/>
        </w:rPr>
        <w:t>.</w:t>
      </w:r>
    </w:p>
    <w:p w14:paraId="2A50FF9A" w14:textId="77777777" w:rsidR="005016F6" w:rsidRDefault="005016F6" w:rsidP="005016F6">
      <w:pPr>
        <w:spacing w:after="0" w:line="240" w:lineRule="auto"/>
        <w:jc w:val="both"/>
        <w:rPr>
          <w:rFonts w:ascii="Lato" w:hAnsi="Lato" w:cs="Arial"/>
          <w:sz w:val="20"/>
          <w:szCs w:val="20"/>
        </w:rPr>
      </w:pPr>
    </w:p>
    <w:p w14:paraId="0042CD1C" w14:textId="4FACA3F6" w:rsidR="00567F2C" w:rsidRDefault="00567F2C" w:rsidP="005016F6">
      <w:pPr>
        <w:spacing w:after="0" w:line="240" w:lineRule="auto"/>
        <w:jc w:val="both"/>
        <w:rPr>
          <w:rFonts w:ascii="Lato" w:hAnsi="Lato" w:cs="Arial"/>
          <w:b/>
          <w:bCs/>
          <w:sz w:val="20"/>
          <w:szCs w:val="20"/>
        </w:rPr>
      </w:pPr>
      <w:r w:rsidRPr="005016F6">
        <w:rPr>
          <w:rFonts w:ascii="Lato" w:hAnsi="Lato" w:cs="Arial"/>
          <w:sz w:val="20"/>
          <w:szCs w:val="20"/>
        </w:rPr>
        <w:t xml:space="preserve">W 2022 r. w Klinice Geriatrii </w:t>
      </w:r>
      <w:proofErr w:type="spellStart"/>
      <w:r w:rsidRPr="005016F6">
        <w:rPr>
          <w:rFonts w:ascii="Lato" w:hAnsi="Lato" w:cs="Arial"/>
          <w:sz w:val="20"/>
          <w:szCs w:val="20"/>
        </w:rPr>
        <w:t>NIGRiR</w:t>
      </w:r>
      <w:proofErr w:type="spellEnd"/>
      <w:r w:rsidRPr="005016F6">
        <w:rPr>
          <w:rFonts w:ascii="Lato" w:hAnsi="Lato" w:cs="Arial"/>
          <w:sz w:val="20"/>
          <w:szCs w:val="20"/>
        </w:rPr>
        <w:t xml:space="preserve"> prowadzone były badania naukowe w obszarze tzw. </w:t>
      </w:r>
      <w:r w:rsidRPr="005016F6">
        <w:rPr>
          <w:rFonts w:ascii="Lato" w:hAnsi="Lato" w:cs="Arial"/>
          <w:b/>
          <w:bCs/>
          <w:sz w:val="20"/>
          <w:szCs w:val="20"/>
        </w:rPr>
        <w:t>Wielkich Problemów Geriatrycznych</w:t>
      </w:r>
      <w:r w:rsidRPr="005016F6">
        <w:rPr>
          <w:rFonts w:ascii="Lato" w:hAnsi="Lato" w:cs="Arial"/>
          <w:sz w:val="20"/>
          <w:szCs w:val="20"/>
        </w:rPr>
        <w:t xml:space="preserve">, w tym przede wszystkim prace związane </w:t>
      </w:r>
      <w:r w:rsidRPr="005016F6">
        <w:rPr>
          <w:rFonts w:ascii="Lato" w:hAnsi="Lato" w:cs="Arial"/>
          <w:b/>
          <w:bCs/>
          <w:sz w:val="20"/>
          <w:szCs w:val="20"/>
        </w:rPr>
        <w:t xml:space="preserve">z zespołem kruchości, </w:t>
      </w:r>
      <w:proofErr w:type="spellStart"/>
      <w:r w:rsidRPr="005016F6">
        <w:rPr>
          <w:rFonts w:ascii="Lato" w:hAnsi="Lato" w:cs="Arial"/>
          <w:b/>
          <w:bCs/>
          <w:sz w:val="20"/>
          <w:szCs w:val="20"/>
        </w:rPr>
        <w:t>sarkopenią</w:t>
      </w:r>
      <w:proofErr w:type="spellEnd"/>
      <w:r w:rsidRPr="005016F6">
        <w:rPr>
          <w:rFonts w:ascii="Lato" w:hAnsi="Lato" w:cs="Arial"/>
          <w:b/>
          <w:bCs/>
          <w:sz w:val="20"/>
          <w:szCs w:val="20"/>
        </w:rPr>
        <w:t>, profilaktyką</w:t>
      </w:r>
      <w:r w:rsidR="005016F6">
        <w:rPr>
          <w:rFonts w:ascii="Lato" w:hAnsi="Lato" w:cs="Arial"/>
          <w:b/>
          <w:bCs/>
          <w:sz w:val="20"/>
          <w:szCs w:val="20"/>
        </w:rPr>
        <w:t xml:space="preserve"> </w:t>
      </w:r>
      <w:r w:rsidRPr="005016F6">
        <w:rPr>
          <w:rFonts w:ascii="Lato" w:hAnsi="Lato" w:cs="Arial"/>
          <w:b/>
          <w:bCs/>
          <w:sz w:val="20"/>
          <w:szCs w:val="20"/>
        </w:rPr>
        <w:t xml:space="preserve">upadków i </w:t>
      </w:r>
      <w:proofErr w:type="spellStart"/>
      <w:r w:rsidRPr="005016F6">
        <w:rPr>
          <w:rFonts w:ascii="Lato" w:hAnsi="Lato" w:cs="Arial"/>
          <w:b/>
          <w:bCs/>
          <w:sz w:val="20"/>
          <w:szCs w:val="20"/>
        </w:rPr>
        <w:t>wielochorobowością</w:t>
      </w:r>
      <w:proofErr w:type="spellEnd"/>
      <w:r w:rsidRPr="005016F6">
        <w:rPr>
          <w:rFonts w:ascii="Lato" w:hAnsi="Lato" w:cs="Arial"/>
          <w:b/>
          <w:bCs/>
          <w:sz w:val="20"/>
          <w:szCs w:val="20"/>
        </w:rPr>
        <w:t>.</w:t>
      </w:r>
    </w:p>
    <w:p w14:paraId="2D1AFDB8" w14:textId="77777777" w:rsidR="005016F6" w:rsidRPr="005016F6" w:rsidRDefault="005016F6" w:rsidP="005016F6">
      <w:pPr>
        <w:spacing w:after="0" w:line="240" w:lineRule="auto"/>
        <w:jc w:val="both"/>
        <w:rPr>
          <w:rFonts w:ascii="Lato" w:hAnsi="Lato" w:cs="Arial"/>
          <w:sz w:val="20"/>
          <w:szCs w:val="20"/>
        </w:rPr>
      </w:pPr>
    </w:p>
    <w:p w14:paraId="1DC36B8A" w14:textId="3E31249C" w:rsidR="00567F2C" w:rsidRPr="005016F6" w:rsidRDefault="00567F2C" w:rsidP="005016F6">
      <w:pPr>
        <w:pStyle w:val="Akapitzlist"/>
        <w:spacing w:after="0" w:line="240" w:lineRule="auto"/>
        <w:ind w:left="0"/>
        <w:jc w:val="both"/>
        <w:rPr>
          <w:rFonts w:ascii="Lato" w:hAnsi="Lato" w:cs="Arial"/>
          <w:sz w:val="20"/>
          <w:szCs w:val="20"/>
        </w:rPr>
      </w:pPr>
      <w:r w:rsidRPr="005016F6">
        <w:rPr>
          <w:rFonts w:ascii="Lato" w:hAnsi="Lato" w:cs="Arial"/>
          <w:sz w:val="20"/>
          <w:szCs w:val="20"/>
        </w:rPr>
        <w:t>W ramach profilaktyki Wielkich Problemów Geriatrycznych w Klinice Geriatrii prowadzona jest jako „dobra</w:t>
      </w:r>
      <w:r w:rsidR="005016F6">
        <w:rPr>
          <w:rFonts w:ascii="Lato" w:hAnsi="Lato" w:cs="Arial"/>
          <w:sz w:val="20"/>
          <w:szCs w:val="20"/>
        </w:rPr>
        <w:t xml:space="preserve"> </w:t>
      </w:r>
      <w:r w:rsidRPr="005016F6">
        <w:rPr>
          <w:rFonts w:ascii="Lato" w:hAnsi="Lato" w:cs="Arial"/>
          <w:sz w:val="20"/>
          <w:szCs w:val="20"/>
        </w:rPr>
        <w:t xml:space="preserve">praktyka” - systematyczna, ścisła interdyscyplinarna współpraca zespołowa specjalistów: lekarzy specjalistów, pielęgniarki geriatrycznej, fizjoterapeuty, psychologa i dietetyka. Na bieżąco udzielane są porady i konsultacje z pisemnymi zaleceniami postępowania poszpitalnego oraz wdrażane są działania edukacyjne wobec pacjentów i ich bezpośrednich opiekunów, łącznie z wydawaniem zestawów materiałów informacyjno-edukacyjnych. </w:t>
      </w:r>
    </w:p>
    <w:p w14:paraId="6D0141BB" w14:textId="77777777" w:rsidR="00567F2C" w:rsidRPr="005016F6" w:rsidRDefault="00567F2C" w:rsidP="005016F6">
      <w:pPr>
        <w:pStyle w:val="Akapitzlist"/>
        <w:spacing w:after="0" w:line="240" w:lineRule="auto"/>
        <w:ind w:left="0"/>
        <w:jc w:val="both"/>
        <w:rPr>
          <w:rFonts w:ascii="Lato" w:hAnsi="Lato" w:cs="Arial"/>
          <w:sz w:val="20"/>
          <w:szCs w:val="20"/>
        </w:rPr>
      </w:pPr>
    </w:p>
    <w:p w14:paraId="64439ECA" w14:textId="77777777" w:rsidR="00567F2C" w:rsidRPr="005016F6" w:rsidRDefault="00567F2C" w:rsidP="005016F6">
      <w:pPr>
        <w:pStyle w:val="Akapitzlist"/>
        <w:spacing w:after="0" w:line="240" w:lineRule="auto"/>
        <w:ind w:left="0"/>
        <w:jc w:val="both"/>
        <w:rPr>
          <w:rFonts w:ascii="Lato" w:hAnsi="Lato" w:cs="Arial"/>
          <w:sz w:val="20"/>
          <w:szCs w:val="20"/>
          <w:u w:val="single"/>
        </w:rPr>
      </w:pPr>
      <w:r w:rsidRPr="005016F6">
        <w:rPr>
          <w:rFonts w:ascii="Lato" w:hAnsi="Lato" w:cs="Arial"/>
          <w:sz w:val="20"/>
          <w:szCs w:val="20"/>
          <w:u w:val="single"/>
        </w:rPr>
        <w:t xml:space="preserve">Poniżej zestawiono aktualnie prowadzone tematy badawcze w Klinice Geriatrii </w:t>
      </w:r>
      <w:proofErr w:type="spellStart"/>
      <w:r w:rsidRPr="005016F6">
        <w:rPr>
          <w:rFonts w:ascii="Lato" w:hAnsi="Lato" w:cs="Arial"/>
          <w:sz w:val="20"/>
          <w:szCs w:val="20"/>
          <w:u w:val="single"/>
        </w:rPr>
        <w:t>NIGRiR</w:t>
      </w:r>
      <w:proofErr w:type="spellEnd"/>
      <w:r w:rsidRPr="005016F6">
        <w:rPr>
          <w:rFonts w:ascii="Lato" w:hAnsi="Lato" w:cs="Arial"/>
          <w:sz w:val="20"/>
          <w:szCs w:val="20"/>
          <w:u w:val="single"/>
        </w:rPr>
        <w:t>:</w:t>
      </w:r>
    </w:p>
    <w:p w14:paraId="112F8EF7" w14:textId="16048F52" w:rsidR="00567F2C" w:rsidRPr="00CE7271" w:rsidRDefault="00567F2C" w:rsidP="007335F8">
      <w:pPr>
        <w:pStyle w:val="Akapitzlist"/>
        <w:numPr>
          <w:ilvl w:val="0"/>
          <w:numId w:val="222"/>
        </w:numPr>
        <w:spacing w:after="0" w:line="240" w:lineRule="auto"/>
        <w:jc w:val="both"/>
        <w:rPr>
          <w:rFonts w:ascii="Lato" w:hAnsi="Lato" w:cs="Arial"/>
          <w:sz w:val="20"/>
          <w:szCs w:val="20"/>
        </w:rPr>
      </w:pPr>
      <w:r w:rsidRPr="00CE7271">
        <w:rPr>
          <w:rFonts w:ascii="Lato" w:hAnsi="Lato" w:cs="Arial"/>
          <w:sz w:val="20"/>
          <w:szCs w:val="20"/>
        </w:rPr>
        <w:t xml:space="preserve">Randomizowane, podwójnie zaślepione, kontrolowane placebo badanie oceniające skuteczność i bezpieczeństwo terapii </w:t>
      </w:r>
      <w:proofErr w:type="spellStart"/>
      <w:r w:rsidRPr="00CE7271">
        <w:rPr>
          <w:rFonts w:ascii="Lato" w:hAnsi="Lato" w:cs="Arial"/>
          <w:sz w:val="20"/>
          <w:szCs w:val="20"/>
        </w:rPr>
        <w:t>dekanianem</w:t>
      </w:r>
      <w:proofErr w:type="spellEnd"/>
      <w:r w:rsidRPr="00CE7271">
        <w:rPr>
          <w:rFonts w:ascii="Lato" w:hAnsi="Lato" w:cs="Arial"/>
          <w:sz w:val="20"/>
          <w:szCs w:val="20"/>
        </w:rPr>
        <w:t xml:space="preserve"> </w:t>
      </w:r>
      <w:proofErr w:type="spellStart"/>
      <w:r w:rsidRPr="00CE7271">
        <w:rPr>
          <w:rFonts w:ascii="Lato" w:hAnsi="Lato" w:cs="Arial"/>
          <w:sz w:val="20"/>
          <w:szCs w:val="20"/>
        </w:rPr>
        <w:t>nandrolonu</w:t>
      </w:r>
      <w:proofErr w:type="spellEnd"/>
      <w:r w:rsidRPr="00CE7271">
        <w:rPr>
          <w:rFonts w:ascii="Lato" w:hAnsi="Lato" w:cs="Arial"/>
          <w:sz w:val="20"/>
          <w:szCs w:val="20"/>
        </w:rPr>
        <w:t xml:space="preserve"> oraz terapii z zastosowaniem kompleksowej fizjoterapii i diety w leczeniu </w:t>
      </w:r>
      <w:proofErr w:type="spellStart"/>
      <w:r w:rsidRPr="00CE7271">
        <w:rPr>
          <w:rFonts w:ascii="Lato" w:hAnsi="Lato" w:cs="Arial"/>
          <w:sz w:val="20"/>
          <w:szCs w:val="20"/>
        </w:rPr>
        <w:t>sarkopenii</w:t>
      </w:r>
      <w:proofErr w:type="spellEnd"/>
      <w:r w:rsidRPr="00CE7271">
        <w:rPr>
          <w:rFonts w:ascii="Lato" w:hAnsi="Lato" w:cs="Arial"/>
          <w:sz w:val="20"/>
          <w:szCs w:val="20"/>
        </w:rPr>
        <w:t xml:space="preserve"> (projekt finansowany przez Agencję Badań Medycznych). </w:t>
      </w:r>
    </w:p>
    <w:p w14:paraId="688C5C90" w14:textId="77777777" w:rsidR="00567F2C" w:rsidRPr="005016F6" w:rsidRDefault="00567F2C" w:rsidP="007335F8">
      <w:pPr>
        <w:pStyle w:val="Akapitzlist"/>
        <w:numPr>
          <w:ilvl w:val="0"/>
          <w:numId w:val="222"/>
        </w:numPr>
        <w:spacing w:after="0" w:line="240" w:lineRule="auto"/>
        <w:jc w:val="both"/>
        <w:rPr>
          <w:rFonts w:ascii="Lato" w:hAnsi="Lato" w:cs="Arial"/>
          <w:sz w:val="20"/>
          <w:szCs w:val="20"/>
        </w:rPr>
      </w:pPr>
      <w:r w:rsidRPr="005016F6">
        <w:rPr>
          <w:rFonts w:ascii="Lato" w:hAnsi="Lato" w:cs="Arial"/>
          <w:sz w:val="20"/>
          <w:szCs w:val="20"/>
        </w:rPr>
        <w:t xml:space="preserve">Ocena stanu odżywienia oraz ocena ryzyka niedożywienia u osób powyżej 65. roku życia </w:t>
      </w:r>
      <w:r w:rsidRPr="005016F6">
        <w:rPr>
          <w:rFonts w:ascii="Lato" w:hAnsi="Lato" w:cs="Arial"/>
          <w:sz w:val="20"/>
          <w:szCs w:val="20"/>
        </w:rPr>
        <w:br/>
        <w:t xml:space="preserve">z wykorzystaniem metody impedancji bioelektrycznej (prace statutowe </w:t>
      </w:r>
      <w:proofErr w:type="spellStart"/>
      <w:r w:rsidRPr="005016F6">
        <w:rPr>
          <w:rFonts w:ascii="Lato" w:hAnsi="Lato" w:cs="Arial"/>
          <w:sz w:val="20"/>
          <w:szCs w:val="20"/>
        </w:rPr>
        <w:t>NIGRiR</w:t>
      </w:r>
      <w:proofErr w:type="spellEnd"/>
      <w:r w:rsidRPr="005016F6">
        <w:rPr>
          <w:rFonts w:ascii="Lato" w:hAnsi="Lato" w:cs="Arial"/>
          <w:sz w:val="20"/>
          <w:szCs w:val="20"/>
        </w:rPr>
        <w:t xml:space="preserve">). </w:t>
      </w:r>
    </w:p>
    <w:p w14:paraId="6BC80169" w14:textId="77777777" w:rsidR="00567F2C" w:rsidRPr="005016F6" w:rsidRDefault="00567F2C" w:rsidP="007335F8">
      <w:pPr>
        <w:pStyle w:val="Akapitzlist"/>
        <w:numPr>
          <w:ilvl w:val="0"/>
          <w:numId w:val="222"/>
        </w:numPr>
        <w:spacing w:after="0" w:line="240" w:lineRule="auto"/>
        <w:jc w:val="both"/>
        <w:rPr>
          <w:rFonts w:ascii="Lato" w:hAnsi="Lato" w:cs="Arial"/>
          <w:sz w:val="20"/>
          <w:szCs w:val="20"/>
        </w:rPr>
      </w:pPr>
      <w:r w:rsidRPr="005016F6">
        <w:rPr>
          <w:rFonts w:ascii="Lato" w:hAnsi="Lato" w:cs="Arial"/>
          <w:sz w:val="20"/>
          <w:szCs w:val="20"/>
        </w:rPr>
        <w:t xml:space="preserve">Ocena siły mięśni oddechowych oraz współwystępowania </w:t>
      </w:r>
      <w:proofErr w:type="spellStart"/>
      <w:r w:rsidRPr="005016F6">
        <w:rPr>
          <w:rFonts w:ascii="Lato" w:hAnsi="Lato" w:cs="Arial"/>
          <w:sz w:val="20"/>
          <w:szCs w:val="20"/>
        </w:rPr>
        <w:t>sarkopenii</w:t>
      </w:r>
      <w:proofErr w:type="spellEnd"/>
      <w:r w:rsidRPr="005016F6">
        <w:rPr>
          <w:rFonts w:ascii="Lato" w:hAnsi="Lato" w:cs="Arial"/>
          <w:sz w:val="20"/>
          <w:szCs w:val="20"/>
        </w:rPr>
        <w:t xml:space="preserve"> u osób z zespołem kruchości w populacji powyżej 60-tego roku życia (prace statutowe </w:t>
      </w:r>
      <w:proofErr w:type="spellStart"/>
      <w:r w:rsidRPr="005016F6">
        <w:rPr>
          <w:rFonts w:ascii="Lato" w:hAnsi="Lato" w:cs="Arial"/>
          <w:sz w:val="20"/>
          <w:szCs w:val="20"/>
        </w:rPr>
        <w:t>NIGRiR</w:t>
      </w:r>
      <w:proofErr w:type="spellEnd"/>
      <w:r w:rsidRPr="005016F6">
        <w:rPr>
          <w:rFonts w:ascii="Lato" w:hAnsi="Lato" w:cs="Arial"/>
          <w:sz w:val="20"/>
          <w:szCs w:val="20"/>
        </w:rPr>
        <w:t xml:space="preserve">). </w:t>
      </w:r>
    </w:p>
    <w:p w14:paraId="72EB1812" w14:textId="77777777" w:rsidR="00567F2C" w:rsidRPr="005016F6" w:rsidRDefault="00567F2C" w:rsidP="007335F8">
      <w:pPr>
        <w:pStyle w:val="Akapitzlist"/>
        <w:numPr>
          <w:ilvl w:val="0"/>
          <w:numId w:val="222"/>
        </w:numPr>
        <w:spacing w:after="0" w:line="240" w:lineRule="auto"/>
        <w:jc w:val="both"/>
        <w:rPr>
          <w:rFonts w:ascii="Lato" w:hAnsi="Lato" w:cs="Arial"/>
          <w:sz w:val="20"/>
          <w:szCs w:val="20"/>
        </w:rPr>
      </w:pPr>
      <w:r w:rsidRPr="005016F6">
        <w:rPr>
          <w:rFonts w:ascii="Lato" w:hAnsi="Lato" w:cs="Arial"/>
          <w:sz w:val="20"/>
          <w:szCs w:val="20"/>
        </w:rPr>
        <w:t xml:space="preserve">Związek występowania </w:t>
      </w:r>
      <w:proofErr w:type="spellStart"/>
      <w:r w:rsidRPr="005016F6">
        <w:rPr>
          <w:rFonts w:ascii="Lato" w:hAnsi="Lato" w:cs="Arial"/>
          <w:sz w:val="20"/>
          <w:szCs w:val="20"/>
        </w:rPr>
        <w:t>sarkopenii</w:t>
      </w:r>
      <w:proofErr w:type="spellEnd"/>
      <w:r w:rsidRPr="005016F6">
        <w:rPr>
          <w:rFonts w:ascii="Lato" w:hAnsi="Lato" w:cs="Arial"/>
          <w:sz w:val="20"/>
          <w:szCs w:val="20"/>
        </w:rPr>
        <w:t xml:space="preserve"> z </w:t>
      </w:r>
      <w:proofErr w:type="spellStart"/>
      <w:r w:rsidRPr="005016F6">
        <w:rPr>
          <w:rFonts w:ascii="Lato" w:hAnsi="Lato" w:cs="Arial"/>
          <w:sz w:val="20"/>
          <w:szCs w:val="20"/>
        </w:rPr>
        <w:t>wielochorobowością</w:t>
      </w:r>
      <w:proofErr w:type="spellEnd"/>
      <w:r w:rsidRPr="005016F6">
        <w:rPr>
          <w:rFonts w:ascii="Lato" w:hAnsi="Lato" w:cs="Arial"/>
          <w:sz w:val="20"/>
          <w:szCs w:val="20"/>
        </w:rPr>
        <w:t xml:space="preserve"> i wielolekowością i seniorów hospitalizowanych w Klinice Geriatrii </w:t>
      </w:r>
      <w:proofErr w:type="spellStart"/>
      <w:r w:rsidRPr="005016F6">
        <w:rPr>
          <w:rFonts w:ascii="Lato" w:hAnsi="Lato" w:cs="Arial"/>
          <w:sz w:val="20"/>
          <w:szCs w:val="20"/>
        </w:rPr>
        <w:t>NIGRiR</w:t>
      </w:r>
      <w:proofErr w:type="spellEnd"/>
      <w:r w:rsidRPr="005016F6">
        <w:rPr>
          <w:rFonts w:ascii="Lato" w:hAnsi="Lato" w:cs="Arial"/>
          <w:sz w:val="20"/>
          <w:szCs w:val="20"/>
        </w:rPr>
        <w:t xml:space="preserve"> (prace statutowe </w:t>
      </w:r>
      <w:proofErr w:type="spellStart"/>
      <w:r w:rsidRPr="005016F6">
        <w:rPr>
          <w:rFonts w:ascii="Lato" w:hAnsi="Lato" w:cs="Arial"/>
          <w:sz w:val="20"/>
          <w:szCs w:val="20"/>
        </w:rPr>
        <w:t>NIGRiR</w:t>
      </w:r>
      <w:proofErr w:type="spellEnd"/>
      <w:r w:rsidRPr="005016F6">
        <w:rPr>
          <w:rFonts w:ascii="Lato" w:hAnsi="Lato" w:cs="Arial"/>
          <w:sz w:val="20"/>
          <w:szCs w:val="20"/>
        </w:rPr>
        <w:t xml:space="preserve">). </w:t>
      </w:r>
    </w:p>
    <w:p w14:paraId="40075F5A" w14:textId="77777777" w:rsidR="00567F2C" w:rsidRPr="005016F6" w:rsidRDefault="00567F2C" w:rsidP="007335F8">
      <w:pPr>
        <w:pStyle w:val="Akapitzlist"/>
        <w:numPr>
          <w:ilvl w:val="0"/>
          <w:numId w:val="222"/>
        </w:numPr>
        <w:spacing w:after="0" w:line="240" w:lineRule="auto"/>
        <w:jc w:val="both"/>
        <w:rPr>
          <w:rFonts w:ascii="Lato" w:hAnsi="Lato" w:cs="Arial"/>
          <w:sz w:val="20"/>
          <w:szCs w:val="20"/>
        </w:rPr>
      </w:pPr>
      <w:r w:rsidRPr="005016F6">
        <w:rPr>
          <w:rFonts w:ascii="Lato" w:hAnsi="Lato" w:cs="Arial"/>
          <w:sz w:val="20"/>
          <w:szCs w:val="20"/>
        </w:rPr>
        <w:t xml:space="preserve">Zespół kruchości i problem upadków u osób w podeszłym wieku (prace statutowe </w:t>
      </w:r>
      <w:proofErr w:type="spellStart"/>
      <w:r w:rsidRPr="005016F6">
        <w:rPr>
          <w:rFonts w:ascii="Lato" w:hAnsi="Lato" w:cs="Arial"/>
          <w:sz w:val="20"/>
          <w:szCs w:val="20"/>
        </w:rPr>
        <w:t>NIGRiR</w:t>
      </w:r>
      <w:proofErr w:type="spellEnd"/>
      <w:r w:rsidRPr="005016F6">
        <w:rPr>
          <w:rFonts w:ascii="Lato" w:hAnsi="Lato" w:cs="Arial"/>
          <w:sz w:val="20"/>
          <w:szCs w:val="20"/>
        </w:rPr>
        <w:t>).</w:t>
      </w:r>
    </w:p>
    <w:p w14:paraId="543757A4" w14:textId="299ABDFF" w:rsidR="00B73CC2" w:rsidRPr="005016F6" w:rsidRDefault="00B73CC2" w:rsidP="005016F6">
      <w:pPr>
        <w:spacing w:after="0" w:line="240" w:lineRule="auto"/>
        <w:rPr>
          <w:rFonts w:ascii="Lato" w:hAnsi="Lato"/>
          <w:b/>
          <w:bCs/>
          <w:sz w:val="20"/>
          <w:szCs w:val="20"/>
        </w:rPr>
      </w:pPr>
    </w:p>
    <w:p w14:paraId="3077AD7D" w14:textId="725E92B4" w:rsidR="00B73CC2" w:rsidRPr="005016F6" w:rsidRDefault="00ED5BF7" w:rsidP="00CE7271">
      <w:pPr>
        <w:pStyle w:val="Akapitzlist"/>
        <w:numPr>
          <w:ilvl w:val="0"/>
          <w:numId w:val="210"/>
        </w:numPr>
        <w:spacing w:after="0" w:line="240" w:lineRule="auto"/>
        <w:ind w:left="720"/>
        <w:rPr>
          <w:rFonts w:ascii="Lato" w:hAnsi="Lato"/>
          <w:b/>
          <w:bCs/>
          <w:sz w:val="20"/>
          <w:szCs w:val="20"/>
        </w:rPr>
      </w:pPr>
      <w:r w:rsidRPr="005016F6">
        <w:rPr>
          <w:rFonts w:ascii="Lato" w:hAnsi="Lato"/>
          <w:b/>
          <w:bCs/>
          <w:sz w:val="20"/>
          <w:szCs w:val="20"/>
        </w:rPr>
        <w:t xml:space="preserve">Zwiększenie dostępu do leków dla osób starszych </w:t>
      </w:r>
    </w:p>
    <w:p w14:paraId="312EF150" w14:textId="4A2CF3B9" w:rsidR="00ED5BF7" w:rsidRPr="005016F6" w:rsidRDefault="00ED5BF7" w:rsidP="005016F6">
      <w:pPr>
        <w:spacing w:after="0" w:line="240" w:lineRule="auto"/>
        <w:rPr>
          <w:rFonts w:ascii="Lato" w:hAnsi="Lato"/>
          <w:b/>
          <w:bCs/>
          <w:sz w:val="20"/>
          <w:szCs w:val="20"/>
        </w:rPr>
      </w:pPr>
      <w:r w:rsidRPr="005016F6">
        <w:rPr>
          <w:rFonts w:ascii="Lato" w:hAnsi="Lato"/>
          <w:b/>
          <w:bCs/>
          <w:sz w:val="20"/>
          <w:szCs w:val="20"/>
        </w:rPr>
        <w:t>Realizacja Programu Leki 75+</w:t>
      </w:r>
    </w:p>
    <w:p w14:paraId="10E089C4" w14:textId="797454FD" w:rsidR="00ED5BF7" w:rsidRDefault="00ED5BF7" w:rsidP="00766E8C">
      <w:pPr>
        <w:spacing w:after="0" w:line="240" w:lineRule="auto"/>
        <w:jc w:val="both"/>
        <w:rPr>
          <w:rFonts w:ascii="Lato" w:hAnsi="Lato" w:cs="Arial"/>
          <w:sz w:val="20"/>
          <w:szCs w:val="20"/>
        </w:rPr>
      </w:pPr>
      <w:r w:rsidRPr="005016F6">
        <w:rPr>
          <w:rFonts w:ascii="Lato" w:hAnsi="Lato" w:cs="Arial"/>
          <w:sz w:val="20"/>
          <w:szCs w:val="20"/>
        </w:rPr>
        <w:t>Projekt Leki 75+ służy zapewnieniu osobom po ukończeniu 75. roku życia bezpłatnego dostępu do wybranych leków, środków spożywczych specjalnego przeznaczenia żywieniowego oraz wyrobów medycznych. W ramach programu Leki 75+, od 1 września 2016 r. bezpłatne leki z tzw. listy „S” przysługują wszystkim świadczeniobiorcom po ukończeniu 75. roku życia.</w:t>
      </w:r>
    </w:p>
    <w:p w14:paraId="7EED6771" w14:textId="77777777" w:rsidR="00766E8C" w:rsidRPr="005016F6" w:rsidRDefault="00766E8C" w:rsidP="00766E8C">
      <w:pPr>
        <w:spacing w:after="0" w:line="240" w:lineRule="auto"/>
        <w:jc w:val="both"/>
        <w:rPr>
          <w:rFonts w:ascii="Lato" w:hAnsi="Lato" w:cs="Arial"/>
          <w:sz w:val="20"/>
          <w:szCs w:val="20"/>
        </w:rPr>
      </w:pPr>
    </w:p>
    <w:p w14:paraId="769A0837" w14:textId="2AB95A31" w:rsidR="00ED5BF7" w:rsidRDefault="00ED5BF7" w:rsidP="00766E8C">
      <w:pPr>
        <w:pStyle w:val="pismamz"/>
        <w:tabs>
          <w:tab w:val="left" w:pos="5400"/>
        </w:tabs>
        <w:spacing w:before="0" w:line="240" w:lineRule="auto"/>
        <w:contextualSpacing w:val="0"/>
        <w:rPr>
          <w:rFonts w:ascii="Lato" w:hAnsi="Lato" w:cs="Arial"/>
        </w:rPr>
      </w:pPr>
      <w:r w:rsidRPr="005016F6">
        <w:rPr>
          <w:rFonts w:ascii="Lato" w:hAnsi="Lato" w:cs="Arial"/>
        </w:rPr>
        <w:t>Aktualnie prawo pacjenta do otrzymania recepty 75 plus uzależnione jest od wyrażenia zgody przez pacjenta na  dostęp konkretnego pracownika medycznego do jego danych, zgromadzonych w Systemie e-Zdrowie – wiąże się to z koniecznością posiadania przez pacjenta Internetowego Konta Pacjenta (IKP). Mając na uwadze m.in. ułatwienie dostępu do ww. recept, obecnie prowadzone są prace w  celu zmiany przepisów regulujących kwestię ich wystawiania. Propozycja zmiany przepisów polega na przyznaniu osobom uprawionym do wystawiania recept dla pacjentów 75+ prawa do automatycznego dostępu do danych o wystawionych receptach, analogicznie jak w przypadku lekarzy zatrudnionych w podstawowej opiece zdrowotnej.</w:t>
      </w:r>
    </w:p>
    <w:p w14:paraId="23C5DBD9" w14:textId="77777777" w:rsidR="00766E8C" w:rsidRPr="00766E8C" w:rsidRDefault="00766E8C" w:rsidP="00766E8C">
      <w:pPr>
        <w:pStyle w:val="pismamz"/>
        <w:tabs>
          <w:tab w:val="left" w:pos="5400"/>
        </w:tabs>
        <w:spacing w:before="0" w:line="240" w:lineRule="auto"/>
        <w:contextualSpacing w:val="0"/>
        <w:rPr>
          <w:rFonts w:ascii="Lato" w:hAnsi="Lato" w:cs="Arial"/>
        </w:rPr>
      </w:pPr>
    </w:p>
    <w:p w14:paraId="39B89101" w14:textId="33F96462" w:rsidR="00ED5BF7" w:rsidRDefault="00ED5BF7" w:rsidP="00ED5BF7">
      <w:pPr>
        <w:pStyle w:val="Legenda"/>
        <w:keepNext/>
      </w:pPr>
      <w:bookmarkStart w:id="117" w:name="_Toc142566022"/>
      <w:r>
        <w:t xml:space="preserve">Tabela </w:t>
      </w:r>
      <w:fldSimple w:instr=" SEQ Tabela \* ARABIC ">
        <w:r w:rsidR="00AA385B">
          <w:rPr>
            <w:noProof/>
          </w:rPr>
          <w:t>59</w:t>
        </w:r>
      </w:fldSimple>
      <w:r>
        <w:t xml:space="preserve"> </w:t>
      </w:r>
      <w:r w:rsidRPr="00A543F1">
        <w:t>Informacja o realizacji Programu Leki 75+ w 2022 r .</w:t>
      </w:r>
      <w:bookmarkEnd w:id="117"/>
    </w:p>
    <w:tbl>
      <w:tblPr>
        <w:tblStyle w:val="Tabelasiatki5ciem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3299"/>
        <w:gridCol w:w="2206"/>
      </w:tblGrid>
      <w:tr w:rsidR="00ED5BF7" w:rsidRPr="00DB2792" w14:paraId="4CA23CF8" w14:textId="77777777" w:rsidTr="00DB2792">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963" w:type="pct"/>
            <w:tcBorders>
              <w:top w:val="none" w:sz="0" w:space="0" w:color="auto"/>
              <w:left w:val="none" w:sz="0" w:space="0" w:color="auto"/>
              <w:right w:val="none" w:sz="0" w:space="0" w:color="auto"/>
            </w:tcBorders>
            <w:shd w:val="clear" w:color="auto" w:fill="8EAADB" w:themeFill="accent1" w:themeFillTint="99"/>
            <w:noWrap/>
            <w:hideMark/>
          </w:tcPr>
          <w:p w14:paraId="0E3A0C7C" w14:textId="77777777" w:rsidR="00ED5BF7" w:rsidRPr="00DB2792" w:rsidRDefault="00ED5BF7" w:rsidP="00DB2792">
            <w:pPr>
              <w:spacing w:before="0"/>
              <w:jc w:val="center"/>
              <w:rPr>
                <w:rFonts w:ascii="Lato" w:eastAsia="Times New Roman" w:hAnsi="Lato" w:cs="Arial"/>
                <w:b w:val="0"/>
                <w:bCs w:val="0"/>
                <w:color w:val="auto"/>
                <w:sz w:val="18"/>
                <w:szCs w:val="18"/>
              </w:rPr>
            </w:pPr>
            <w:r w:rsidRPr="00DB2792">
              <w:rPr>
                <w:rFonts w:ascii="Lato" w:eastAsia="Times New Roman" w:hAnsi="Lato" w:cs="Arial"/>
                <w:color w:val="auto"/>
                <w:sz w:val="18"/>
                <w:szCs w:val="18"/>
              </w:rPr>
              <w:t>Rok realizacji</w:t>
            </w:r>
          </w:p>
        </w:tc>
        <w:tc>
          <w:tcPr>
            <w:tcW w:w="1820" w:type="pct"/>
            <w:tcBorders>
              <w:top w:val="none" w:sz="0" w:space="0" w:color="auto"/>
              <w:left w:val="none" w:sz="0" w:space="0" w:color="auto"/>
              <w:right w:val="none" w:sz="0" w:space="0" w:color="auto"/>
            </w:tcBorders>
            <w:shd w:val="clear" w:color="auto" w:fill="8EAADB" w:themeFill="accent1" w:themeFillTint="99"/>
            <w:hideMark/>
          </w:tcPr>
          <w:p w14:paraId="63FDB71A" w14:textId="77777777" w:rsidR="00ED5BF7" w:rsidRPr="00DB2792" w:rsidRDefault="00ED5BF7" w:rsidP="00DB2792">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b w:val="0"/>
                <w:bCs w:val="0"/>
                <w:color w:val="auto"/>
                <w:sz w:val="18"/>
                <w:szCs w:val="18"/>
              </w:rPr>
            </w:pPr>
            <w:r w:rsidRPr="00DB2792">
              <w:rPr>
                <w:rFonts w:ascii="Lato" w:eastAsia="Times New Roman" w:hAnsi="Lato" w:cs="Arial"/>
                <w:color w:val="auto"/>
                <w:sz w:val="18"/>
                <w:szCs w:val="18"/>
              </w:rPr>
              <w:t>2022</w:t>
            </w:r>
          </w:p>
        </w:tc>
        <w:tc>
          <w:tcPr>
            <w:tcW w:w="1217" w:type="pct"/>
            <w:tcBorders>
              <w:top w:val="none" w:sz="0" w:space="0" w:color="auto"/>
              <w:left w:val="none" w:sz="0" w:space="0" w:color="auto"/>
              <w:right w:val="none" w:sz="0" w:space="0" w:color="auto"/>
            </w:tcBorders>
            <w:shd w:val="clear" w:color="auto" w:fill="8EAADB" w:themeFill="accent1" w:themeFillTint="99"/>
            <w:hideMark/>
          </w:tcPr>
          <w:p w14:paraId="17665A48" w14:textId="77777777" w:rsidR="00ED5BF7" w:rsidRPr="00DB2792" w:rsidRDefault="00ED5BF7" w:rsidP="00DB2792">
            <w:pPr>
              <w:spacing w:before="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b w:val="0"/>
                <w:bCs w:val="0"/>
                <w:color w:val="auto"/>
                <w:sz w:val="18"/>
                <w:szCs w:val="18"/>
              </w:rPr>
            </w:pPr>
            <w:r w:rsidRPr="00DB2792">
              <w:rPr>
                <w:rFonts w:ascii="Lato" w:eastAsia="Times New Roman" w:hAnsi="Lato" w:cs="Arial"/>
                <w:color w:val="auto"/>
                <w:sz w:val="18"/>
                <w:szCs w:val="18"/>
              </w:rPr>
              <w:t>Wzrost w stosunku do roku 2021 o:</w:t>
            </w:r>
          </w:p>
        </w:tc>
      </w:tr>
      <w:tr w:rsidR="00ED5BF7" w:rsidRPr="00DB2792" w14:paraId="02FD1FA4" w14:textId="77777777" w:rsidTr="00DB2792">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963" w:type="pct"/>
            <w:tcBorders>
              <w:left w:val="none" w:sz="0" w:space="0" w:color="auto"/>
            </w:tcBorders>
            <w:shd w:val="clear" w:color="auto" w:fill="auto"/>
            <w:noWrap/>
            <w:hideMark/>
          </w:tcPr>
          <w:p w14:paraId="0709D482" w14:textId="77777777" w:rsidR="00ED5BF7" w:rsidRPr="00DB2792" w:rsidRDefault="00ED5BF7" w:rsidP="00DB2792">
            <w:pPr>
              <w:spacing w:before="0"/>
              <w:rPr>
                <w:rFonts w:ascii="Lato" w:eastAsia="Times New Roman" w:hAnsi="Lato" w:cs="Arial"/>
                <w:b w:val="0"/>
                <w:bCs w:val="0"/>
                <w:color w:val="auto"/>
                <w:sz w:val="18"/>
                <w:szCs w:val="18"/>
              </w:rPr>
            </w:pPr>
            <w:r w:rsidRPr="00DB2792">
              <w:rPr>
                <w:rFonts w:ascii="Lato" w:eastAsia="Times New Roman" w:hAnsi="Lato" w:cs="Arial"/>
                <w:b w:val="0"/>
                <w:bCs w:val="0"/>
                <w:color w:val="auto"/>
                <w:sz w:val="18"/>
                <w:szCs w:val="18"/>
              </w:rPr>
              <w:t>Liczba pacjentów</w:t>
            </w:r>
          </w:p>
        </w:tc>
        <w:tc>
          <w:tcPr>
            <w:tcW w:w="1820" w:type="pct"/>
            <w:shd w:val="clear" w:color="auto" w:fill="auto"/>
            <w:noWrap/>
            <w:hideMark/>
          </w:tcPr>
          <w:p w14:paraId="1F2A2D9C" w14:textId="77777777" w:rsidR="00ED5BF7" w:rsidRPr="00DB2792" w:rsidRDefault="00ED5BF7" w:rsidP="00DB2792">
            <w:pPr>
              <w:spacing w:before="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2 604 054</w:t>
            </w:r>
          </w:p>
        </w:tc>
        <w:tc>
          <w:tcPr>
            <w:tcW w:w="1217" w:type="pct"/>
            <w:shd w:val="clear" w:color="auto" w:fill="auto"/>
            <w:noWrap/>
            <w:hideMark/>
          </w:tcPr>
          <w:p w14:paraId="30247DDC" w14:textId="77777777" w:rsidR="00ED5BF7" w:rsidRPr="00DB2792" w:rsidRDefault="00ED5BF7" w:rsidP="00DB2792">
            <w:pPr>
              <w:spacing w:before="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3,2%</w:t>
            </w:r>
          </w:p>
        </w:tc>
      </w:tr>
      <w:tr w:rsidR="00ED5BF7" w:rsidRPr="00DB2792" w14:paraId="1997A99F" w14:textId="77777777" w:rsidTr="00DB2792">
        <w:trPr>
          <w:trHeight w:val="168"/>
        </w:trPr>
        <w:tc>
          <w:tcPr>
            <w:cnfStyle w:val="001000000000" w:firstRow="0" w:lastRow="0" w:firstColumn="1" w:lastColumn="0" w:oddVBand="0" w:evenVBand="0" w:oddHBand="0" w:evenHBand="0" w:firstRowFirstColumn="0" w:firstRowLastColumn="0" w:lastRowFirstColumn="0" w:lastRowLastColumn="0"/>
            <w:tcW w:w="1963" w:type="pct"/>
            <w:tcBorders>
              <w:left w:val="none" w:sz="0" w:space="0" w:color="auto"/>
            </w:tcBorders>
            <w:shd w:val="clear" w:color="auto" w:fill="auto"/>
            <w:noWrap/>
            <w:hideMark/>
          </w:tcPr>
          <w:p w14:paraId="43B38B54" w14:textId="77777777" w:rsidR="00ED5BF7" w:rsidRPr="00DB2792" w:rsidRDefault="00ED5BF7" w:rsidP="00DB2792">
            <w:pPr>
              <w:spacing w:before="0"/>
              <w:rPr>
                <w:rFonts w:ascii="Lato" w:eastAsia="Times New Roman" w:hAnsi="Lato" w:cs="Arial"/>
                <w:b w:val="0"/>
                <w:bCs w:val="0"/>
                <w:color w:val="auto"/>
                <w:sz w:val="18"/>
                <w:szCs w:val="18"/>
              </w:rPr>
            </w:pPr>
            <w:r w:rsidRPr="00DB2792">
              <w:rPr>
                <w:rFonts w:ascii="Lato" w:eastAsia="Times New Roman" w:hAnsi="Lato" w:cs="Arial"/>
                <w:b w:val="0"/>
                <w:bCs w:val="0"/>
                <w:color w:val="auto"/>
                <w:sz w:val="18"/>
                <w:szCs w:val="18"/>
              </w:rPr>
              <w:t>Liczba opakowań leków</w:t>
            </w:r>
          </w:p>
        </w:tc>
        <w:tc>
          <w:tcPr>
            <w:tcW w:w="1820" w:type="pct"/>
            <w:shd w:val="clear" w:color="auto" w:fill="auto"/>
            <w:noWrap/>
            <w:hideMark/>
          </w:tcPr>
          <w:p w14:paraId="59F4EA8F" w14:textId="77777777" w:rsidR="00ED5BF7" w:rsidRPr="00DB2792" w:rsidRDefault="00ED5BF7" w:rsidP="00DB2792">
            <w:pPr>
              <w:spacing w:before="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76 851 369,39</w:t>
            </w:r>
          </w:p>
        </w:tc>
        <w:tc>
          <w:tcPr>
            <w:tcW w:w="1217" w:type="pct"/>
            <w:shd w:val="clear" w:color="auto" w:fill="auto"/>
            <w:noWrap/>
            <w:hideMark/>
          </w:tcPr>
          <w:p w14:paraId="23D76703" w14:textId="77777777" w:rsidR="00ED5BF7" w:rsidRPr="00DB2792" w:rsidRDefault="00ED5BF7" w:rsidP="00DB2792">
            <w:pPr>
              <w:spacing w:before="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4,8%</w:t>
            </w:r>
          </w:p>
        </w:tc>
      </w:tr>
      <w:tr w:rsidR="00ED5BF7" w:rsidRPr="00DB2792" w14:paraId="62F18A86" w14:textId="77777777" w:rsidTr="00DB279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963" w:type="pct"/>
            <w:tcBorders>
              <w:left w:val="none" w:sz="0" w:space="0" w:color="auto"/>
              <w:bottom w:val="none" w:sz="0" w:space="0" w:color="auto"/>
            </w:tcBorders>
            <w:shd w:val="clear" w:color="auto" w:fill="auto"/>
            <w:noWrap/>
            <w:hideMark/>
          </w:tcPr>
          <w:p w14:paraId="6A52EFD5" w14:textId="77777777" w:rsidR="00ED5BF7" w:rsidRPr="00DB2792" w:rsidRDefault="00ED5BF7" w:rsidP="00DB2792">
            <w:pPr>
              <w:spacing w:before="0"/>
              <w:rPr>
                <w:rFonts w:ascii="Lato" w:eastAsia="Times New Roman" w:hAnsi="Lato" w:cs="Arial"/>
                <w:b w:val="0"/>
                <w:bCs w:val="0"/>
                <w:color w:val="auto"/>
                <w:sz w:val="18"/>
                <w:szCs w:val="18"/>
              </w:rPr>
            </w:pPr>
            <w:r w:rsidRPr="00DB2792">
              <w:rPr>
                <w:rFonts w:ascii="Lato" w:eastAsia="Times New Roman" w:hAnsi="Lato" w:cs="Arial"/>
                <w:b w:val="0"/>
                <w:bCs w:val="0"/>
                <w:color w:val="auto"/>
                <w:sz w:val="18"/>
                <w:szCs w:val="18"/>
              </w:rPr>
              <w:t>Kwota refundacji NFZ</w:t>
            </w:r>
          </w:p>
        </w:tc>
        <w:tc>
          <w:tcPr>
            <w:tcW w:w="1820" w:type="pct"/>
            <w:shd w:val="clear" w:color="auto" w:fill="auto"/>
            <w:noWrap/>
            <w:hideMark/>
          </w:tcPr>
          <w:p w14:paraId="0AC7ABA1" w14:textId="77777777" w:rsidR="00ED5BF7" w:rsidRPr="00DB2792" w:rsidRDefault="00ED5BF7" w:rsidP="00DB2792">
            <w:pPr>
              <w:spacing w:before="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2 041 002 232,89 zł</w:t>
            </w:r>
          </w:p>
        </w:tc>
        <w:tc>
          <w:tcPr>
            <w:tcW w:w="1217" w:type="pct"/>
            <w:shd w:val="clear" w:color="auto" w:fill="auto"/>
            <w:noWrap/>
            <w:hideMark/>
          </w:tcPr>
          <w:p w14:paraId="290FEC86" w14:textId="77777777" w:rsidR="00ED5BF7" w:rsidRPr="00DB2792" w:rsidRDefault="00ED5BF7" w:rsidP="00DB2792">
            <w:pPr>
              <w:spacing w:before="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18"/>
                <w:szCs w:val="18"/>
              </w:rPr>
            </w:pPr>
            <w:r w:rsidRPr="00DB2792">
              <w:rPr>
                <w:rFonts w:ascii="Lato" w:eastAsia="Times New Roman" w:hAnsi="Lato" w:cs="Arial"/>
                <w:sz w:val="18"/>
                <w:szCs w:val="18"/>
              </w:rPr>
              <w:t>6,7%</w:t>
            </w:r>
          </w:p>
        </w:tc>
      </w:tr>
    </w:tbl>
    <w:p w14:paraId="166CE17B" w14:textId="30936661" w:rsidR="00ED5BF7" w:rsidRPr="00CE7271" w:rsidRDefault="00ED5BF7" w:rsidP="00FF7373">
      <w:pPr>
        <w:pStyle w:val="Bezodstpw"/>
        <w:rPr>
          <w:rFonts w:ascii="Lato" w:hAnsi="Lato" w:cs="Arial"/>
          <w:sz w:val="16"/>
          <w:szCs w:val="16"/>
        </w:rPr>
      </w:pPr>
      <w:r w:rsidRPr="00CE7271">
        <w:rPr>
          <w:rFonts w:ascii="Lato" w:hAnsi="Lato" w:cs="Arial"/>
          <w:sz w:val="16"/>
          <w:szCs w:val="16"/>
        </w:rPr>
        <w:t>Źródło: Narodowy Fundusz Zdrowia</w:t>
      </w:r>
    </w:p>
    <w:p w14:paraId="21CB5C06" w14:textId="77777777" w:rsidR="00FF7373" w:rsidRPr="00FF7373" w:rsidRDefault="00FF7373" w:rsidP="00FF7373">
      <w:pPr>
        <w:pStyle w:val="Bezodstpw"/>
        <w:rPr>
          <w:rFonts w:ascii="Lato" w:hAnsi="Lato" w:cs="Arial"/>
          <w:sz w:val="20"/>
          <w:szCs w:val="20"/>
        </w:rPr>
      </w:pPr>
    </w:p>
    <w:p w14:paraId="675C1935" w14:textId="0E073FDD" w:rsidR="00ED5BF7" w:rsidRDefault="00ED5BF7" w:rsidP="008C14EA">
      <w:pPr>
        <w:pStyle w:val="Bezodstpw"/>
        <w:jc w:val="both"/>
        <w:rPr>
          <w:rFonts w:ascii="Lato" w:hAnsi="Lato" w:cs="Arial"/>
          <w:sz w:val="20"/>
          <w:szCs w:val="20"/>
        </w:rPr>
      </w:pPr>
      <w:r w:rsidRPr="008C14EA">
        <w:rPr>
          <w:rFonts w:ascii="Lato" w:hAnsi="Lato" w:cs="Arial"/>
          <w:sz w:val="20"/>
          <w:szCs w:val="20"/>
        </w:rPr>
        <w:t xml:space="preserve">Liczba pacjentów, która skorzystała w 2022r. z programu Leki 75+ wzrosła w stosunku do 2021 r. o ponad 3%. Wydano prawie 5% więcej opakowań leków niż rok wcześniej, a kwota refundacji NFZ wyniosła o prawie 7% więcej niż za 2021 r. </w:t>
      </w:r>
    </w:p>
    <w:p w14:paraId="4729CB17" w14:textId="77777777" w:rsidR="008C14EA" w:rsidRPr="008C14EA" w:rsidRDefault="008C14EA" w:rsidP="008C14EA">
      <w:pPr>
        <w:pStyle w:val="Bezodstpw"/>
        <w:jc w:val="both"/>
        <w:rPr>
          <w:rFonts w:ascii="Lato" w:hAnsi="Lato" w:cs="Arial"/>
          <w:sz w:val="20"/>
          <w:szCs w:val="20"/>
        </w:rPr>
      </w:pPr>
    </w:p>
    <w:p w14:paraId="398ED600" w14:textId="1683B3BC" w:rsidR="00ED5BF7" w:rsidRPr="008C14EA" w:rsidRDefault="00ED5BF7" w:rsidP="008C14EA">
      <w:pPr>
        <w:spacing w:after="0" w:line="240" w:lineRule="auto"/>
        <w:jc w:val="both"/>
        <w:rPr>
          <w:rFonts w:ascii="Lato" w:hAnsi="Lato"/>
          <w:b/>
          <w:bCs/>
          <w:sz w:val="20"/>
          <w:szCs w:val="20"/>
        </w:rPr>
      </w:pPr>
      <w:r w:rsidRPr="008C14EA">
        <w:rPr>
          <w:rFonts w:ascii="Lato" w:hAnsi="Lato"/>
          <w:b/>
          <w:bCs/>
          <w:sz w:val="20"/>
          <w:szCs w:val="20"/>
        </w:rPr>
        <w:t>Pilotaż przeglądów lekowych</w:t>
      </w:r>
    </w:p>
    <w:p w14:paraId="3272F72A" w14:textId="039285FE" w:rsidR="00ED5BF7" w:rsidRPr="008C14EA" w:rsidRDefault="00ED5BF7" w:rsidP="008C14EA">
      <w:pPr>
        <w:pStyle w:val="Bezodstpw"/>
        <w:jc w:val="both"/>
        <w:rPr>
          <w:rFonts w:ascii="Lato" w:hAnsi="Lato" w:cs="Arial"/>
          <w:sz w:val="20"/>
          <w:szCs w:val="20"/>
        </w:rPr>
      </w:pPr>
      <w:r w:rsidRPr="008C14EA">
        <w:rPr>
          <w:rFonts w:ascii="Lato" w:hAnsi="Lato" w:cs="Arial"/>
          <w:sz w:val="20"/>
          <w:szCs w:val="20"/>
        </w:rPr>
        <w:t xml:space="preserve">Ponadto w 2022 r. prowadzony był pilotaż przeglądów lekowych, którym łącznie objęto </w:t>
      </w:r>
      <w:r w:rsidRPr="007C171C">
        <w:rPr>
          <w:rFonts w:ascii="Lato" w:hAnsi="Lato" w:cs="Arial"/>
          <w:sz w:val="20"/>
          <w:szCs w:val="20"/>
        </w:rPr>
        <w:t xml:space="preserve">850 osób. Z tej liczby 89,7% świadczeniobiorców było w wieku 60 lat i więcej. Wskazany pilotaż rozpoczął się rekrutacją pacjentów, u których występują potencjalne problemy związane z farmakoterapią. W kolejnym etapie przeprowadzono wywiad z pacjentem. </w:t>
      </w:r>
      <w:r w:rsidRPr="008C14EA">
        <w:rPr>
          <w:rFonts w:ascii="Lato" w:hAnsi="Lato" w:cs="Arial"/>
          <w:sz w:val="20"/>
          <w:szCs w:val="20"/>
        </w:rPr>
        <w:t xml:space="preserve">Celem medycznej części wywiadu było zebranie wszystkich informacji, które mogą mieć wpływ na dobór stosowanych leków i sposobu ich dawkowania oraz na ocenę problemów lekowych jako istotnych klinicznie w indywidualnej sytuacji pacjenta. Wywiad ten obejmował następujące elementy, zawarte w karcie IPOF: </w:t>
      </w:r>
    </w:p>
    <w:p w14:paraId="2C602FF4" w14:textId="3C20B3B4" w:rsidR="008C14EA" w:rsidRDefault="00ED5BF7" w:rsidP="007335F8">
      <w:pPr>
        <w:pStyle w:val="Bezodstpw"/>
        <w:numPr>
          <w:ilvl w:val="0"/>
          <w:numId w:val="228"/>
        </w:numPr>
        <w:jc w:val="both"/>
        <w:rPr>
          <w:rFonts w:ascii="Lato" w:hAnsi="Lato" w:cs="Arial"/>
          <w:sz w:val="20"/>
          <w:szCs w:val="20"/>
        </w:rPr>
      </w:pPr>
      <w:r w:rsidRPr="008C14EA">
        <w:rPr>
          <w:rFonts w:ascii="Lato" w:hAnsi="Lato" w:cs="Arial"/>
          <w:sz w:val="20"/>
          <w:szCs w:val="20"/>
        </w:rPr>
        <w:t xml:space="preserve">schorzenia oraz dolegliwości pacjenta o charakterze ostrym i przewlekłym, zarówno aktualne, jak </w:t>
      </w:r>
      <w:r w:rsidRPr="008C14EA">
        <w:rPr>
          <w:rFonts w:ascii="Lato" w:hAnsi="Lato" w:cs="Arial"/>
          <w:sz w:val="20"/>
          <w:szCs w:val="20"/>
        </w:rPr>
        <w:br/>
        <w:t>i przeszłe</w:t>
      </w:r>
      <w:r w:rsidR="008C14EA">
        <w:rPr>
          <w:rFonts w:ascii="Lato" w:hAnsi="Lato" w:cs="Arial"/>
          <w:sz w:val="20"/>
          <w:szCs w:val="20"/>
        </w:rPr>
        <w:t>,</w:t>
      </w:r>
    </w:p>
    <w:p w14:paraId="70438C10" w14:textId="77777777" w:rsidR="00CC3A77" w:rsidRDefault="00ED5BF7" w:rsidP="007335F8">
      <w:pPr>
        <w:pStyle w:val="Bezodstpw"/>
        <w:numPr>
          <w:ilvl w:val="0"/>
          <w:numId w:val="228"/>
        </w:numPr>
        <w:jc w:val="both"/>
        <w:rPr>
          <w:rFonts w:ascii="Lato" w:hAnsi="Lato" w:cs="Arial"/>
          <w:sz w:val="20"/>
          <w:szCs w:val="20"/>
        </w:rPr>
      </w:pPr>
      <w:r w:rsidRPr="008C14EA">
        <w:rPr>
          <w:rFonts w:ascii="Lato" w:hAnsi="Lato" w:cs="Arial"/>
          <w:sz w:val="20"/>
          <w:szCs w:val="20"/>
        </w:rPr>
        <w:lastRenderedPageBreak/>
        <w:t>informację na temat stanu czynnościowego układów narządów, które mogą mieć wpływ na farmakokinetykę leków w ustroju</w:t>
      </w:r>
      <w:r w:rsidR="008C14EA">
        <w:rPr>
          <w:rFonts w:ascii="Lato" w:hAnsi="Lato" w:cs="Arial"/>
          <w:sz w:val="20"/>
          <w:szCs w:val="20"/>
        </w:rPr>
        <w:t>,</w:t>
      </w:r>
    </w:p>
    <w:p w14:paraId="7C526B7D" w14:textId="77777777" w:rsidR="00CC3A77" w:rsidRDefault="00ED5BF7" w:rsidP="007335F8">
      <w:pPr>
        <w:pStyle w:val="Bezodstpw"/>
        <w:numPr>
          <w:ilvl w:val="0"/>
          <w:numId w:val="228"/>
        </w:numPr>
        <w:jc w:val="both"/>
        <w:rPr>
          <w:rFonts w:ascii="Lato" w:hAnsi="Lato" w:cs="Arial"/>
          <w:sz w:val="20"/>
          <w:szCs w:val="20"/>
        </w:rPr>
      </w:pPr>
      <w:r w:rsidRPr="00CC3A77">
        <w:rPr>
          <w:rFonts w:ascii="Lato" w:hAnsi="Lato" w:cs="Arial"/>
          <w:sz w:val="20"/>
          <w:szCs w:val="20"/>
        </w:rPr>
        <w:t>ocenę poziomu stabilizacji problemów medycznych pacjenta</w:t>
      </w:r>
      <w:r w:rsidR="00CC3A77">
        <w:rPr>
          <w:rFonts w:ascii="Lato" w:hAnsi="Lato" w:cs="Arial"/>
          <w:sz w:val="20"/>
          <w:szCs w:val="20"/>
        </w:rPr>
        <w:t>,</w:t>
      </w:r>
    </w:p>
    <w:p w14:paraId="1B12574A" w14:textId="77777777" w:rsidR="00CC3A77" w:rsidRDefault="00ED5BF7" w:rsidP="007335F8">
      <w:pPr>
        <w:pStyle w:val="Bezodstpw"/>
        <w:numPr>
          <w:ilvl w:val="0"/>
          <w:numId w:val="228"/>
        </w:numPr>
        <w:jc w:val="both"/>
        <w:rPr>
          <w:rFonts w:ascii="Lato" w:hAnsi="Lato" w:cs="Arial"/>
          <w:sz w:val="20"/>
          <w:szCs w:val="20"/>
        </w:rPr>
      </w:pPr>
      <w:r w:rsidRPr="00CC3A77">
        <w:rPr>
          <w:rFonts w:ascii="Lato" w:hAnsi="Lato" w:cs="Arial"/>
          <w:sz w:val="20"/>
          <w:szCs w:val="20"/>
        </w:rPr>
        <w:t>informacje o sposobie odżywiania i zaleconych dietach</w:t>
      </w:r>
      <w:r w:rsidR="00CC3A77">
        <w:rPr>
          <w:rFonts w:ascii="Lato" w:hAnsi="Lato" w:cs="Arial"/>
          <w:sz w:val="20"/>
          <w:szCs w:val="20"/>
        </w:rPr>
        <w:t>,</w:t>
      </w:r>
    </w:p>
    <w:p w14:paraId="1D1E50B8" w14:textId="77777777" w:rsidR="00CC3A77" w:rsidRDefault="00ED5BF7" w:rsidP="007335F8">
      <w:pPr>
        <w:pStyle w:val="Bezodstpw"/>
        <w:numPr>
          <w:ilvl w:val="0"/>
          <w:numId w:val="228"/>
        </w:numPr>
        <w:jc w:val="both"/>
        <w:rPr>
          <w:rFonts w:ascii="Lato" w:hAnsi="Lato" w:cs="Arial"/>
          <w:sz w:val="20"/>
          <w:szCs w:val="20"/>
        </w:rPr>
      </w:pPr>
      <w:r w:rsidRPr="00CC3A77">
        <w:rPr>
          <w:rFonts w:ascii="Lato" w:hAnsi="Lato" w:cs="Arial"/>
          <w:sz w:val="20"/>
          <w:szCs w:val="20"/>
        </w:rPr>
        <w:t>opinię pacjenta na temat wpływu problemów medycznych na jego sprawność i jakość życia</w:t>
      </w:r>
      <w:r w:rsidR="00CC3A77">
        <w:rPr>
          <w:rFonts w:ascii="Lato" w:hAnsi="Lato" w:cs="Arial"/>
          <w:sz w:val="20"/>
          <w:szCs w:val="20"/>
        </w:rPr>
        <w:t>,</w:t>
      </w:r>
    </w:p>
    <w:p w14:paraId="71412B09" w14:textId="77777777" w:rsidR="00CC3A77" w:rsidRDefault="00ED5BF7" w:rsidP="007335F8">
      <w:pPr>
        <w:pStyle w:val="Bezodstpw"/>
        <w:numPr>
          <w:ilvl w:val="0"/>
          <w:numId w:val="228"/>
        </w:numPr>
        <w:jc w:val="both"/>
        <w:rPr>
          <w:rFonts w:ascii="Lato" w:hAnsi="Lato" w:cs="Arial"/>
          <w:sz w:val="20"/>
          <w:szCs w:val="20"/>
        </w:rPr>
      </w:pPr>
      <w:r w:rsidRPr="00CC3A77">
        <w:rPr>
          <w:rFonts w:ascii="Lato" w:hAnsi="Lato" w:cs="Arial"/>
          <w:sz w:val="20"/>
          <w:szCs w:val="20"/>
        </w:rPr>
        <w:t>ocenę stanu wiedzy pacjenta na temat występujących u niego problemów medycznych</w:t>
      </w:r>
      <w:r w:rsidR="00CC3A77">
        <w:rPr>
          <w:rFonts w:ascii="Lato" w:hAnsi="Lato" w:cs="Arial"/>
          <w:sz w:val="20"/>
          <w:szCs w:val="20"/>
        </w:rPr>
        <w:t>,</w:t>
      </w:r>
    </w:p>
    <w:p w14:paraId="4C321910" w14:textId="629E62CD" w:rsidR="00ED5BF7" w:rsidRPr="00CC3A77" w:rsidRDefault="00ED5BF7" w:rsidP="007335F8">
      <w:pPr>
        <w:pStyle w:val="Bezodstpw"/>
        <w:numPr>
          <w:ilvl w:val="0"/>
          <w:numId w:val="228"/>
        </w:numPr>
        <w:jc w:val="both"/>
        <w:rPr>
          <w:rFonts w:ascii="Lato" w:hAnsi="Lato" w:cs="Arial"/>
          <w:sz w:val="20"/>
          <w:szCs w:val="20"/>
        </w:rPr>
      </w:pPr>
      <w:r w:rsidRPr="00CC3A77">
        <w:rPr>
          <w:rFonts w:ascii="Lato" w:hAnsi="Lato" w:cs="Arial"/>
          <w:sz w:val="20"/>
          <w:szCs w:val="20"/>
        </w:rPr>
        <w:t xml:space="preserve">ocenę udziału pacjenta w procesie leczenia (udział bierny czy aktywny) </w:t>
      </w:r>
    </w:p>
    <w:p w14:paraId="2CBA5F9F" w14:textId="77777777" w:rsidR="00CC3A77" w:rsidRDefault="00CC3A77" w:rsidP="008C14EA">
      <w:pPr>
        <w:pStyle w:val="Bezodstpw"/>
        <w:jc w:val="both"/>
        <w:rPr>
          <w:rFonts w:ascii="Lato" w:hAnsi="Lato" w:cs="Arial"/>
          <w:sz w:val="20"/>
          <w:szCs w:val="20"/>
        </w:rPr>
      </w:pPr>
    </w:p>
    <w:p w14:paraId="280B50E8" w14:textId="11962248" w:rsidR="00ED5BF7" w:rsidRDefault="00ED5BF7" w:rsidP="008C14EA">
      <w:pPr>
        <w:pStyle w:val="Bezodstpw"/>
        <w:jc w:val="both"/>
        <w:rPr>
          <w:rFonts w:ascii="Lato" w:hAnsi="Lato" w:cs="Arial"/>
          <w:sz w:val="20"/>
          <w:szCs w:val="20"/>
        </w:rPr>
      </w:pPr>
      <w:r w:rsidRPr="008C14EA">
        <w:rPr>
          <w:rFonts w:ascii="Lato" w:hAnsi="Lato" w:cs="Arial"/>
          <w:sz w:val="20"/>
          <w:szCs w:val="20"/>
        </w:rPr>
        <w:t xml:space="preserve">Celem farmakoterapeutycznej części wywiadu było zebranie informacji o wszystkich pobieranych preparatach i uzyskanych efektach leczenia. Oba modele bazują na przeglądzie przyniesionych przez pacjenta preparatów, a nie tylko na analizie kartotek medycznych, baz danych dokumentujących farmakoterapię czy pisemnych list leków sporządzonych przez pacjenta. </w:t>
      </w:r>
    </w:p>
    <w:p w14:paraId="47ADDE4D" w14:textId="77777777" w:rsidR="00FF7373" w:rsidRPr="008C14EA" w:rsidRDefault="00FF7373" w:rsidP="008C14EA">
      <w:pPr>
        <w:pStyle w:val="Bezodstpw"/>
        <w:jc w:val="both"/>
        <w:rPr>
          <w:rFonts w:ascii="Lato" w:hAnsi="Lato" w:cs="Arial"/>
          <w:sz w:val="20"/>
          <w:szCs w:val="20"/>
        </w:rPr>
      </w:pPr>
    </w:p>
    <w:p w14:paraId="5592F768" w14:textId="43EFA859" w:rsidR="00ED5BF7" w:rsidRPr="00DB2792" w:rsidRDefault="00ED5BF7" w:rsidP="00DB2792">
      <w:pPr>
        <w:pStyle w:val="Bezodstpw"/>
        <w:jc w:val="both"/>
        <w:rPr>
          <w:rFonts w:ascii="Lato" w:hAnsi="Lato" w:cs="Arial"/>
          <w:color w:val="FF0000"/>
          <w:sz w:val="20"/>
          <w:szCs w:val="20"/>
        </w:rPr>
      </w:pPr>
      <w:r w:rsidRPr="008C14EA">
        <w:rPr>
          <w:rFonts w:ascii="Lato" w:hAnsi="Lato" w:cs="Arial"/>
          <w:sz w:val="20"/>
          <w:szCs w:val="20"/>
        </w:rPr>
        <w:t xml:space="preserve">Uzasadnieniem zastosowania w pilotażu obu modeli jest zwiększenie efektywności prowadzonego przeglądu lekowego poprzez uszczegółowienie wywiadu i zwiększenie identyfikowalności problemów lekowych a także indywidualizację opracowywanego indywidualnego planu opieki farmaceutycznej. Taki sposób zbierania wywiadu eliminował też ryzyko niedoszacowania wielolekowości, szczególnie w kontekście preparatów stosowanych w samoleczeniu, których pacjenci często nie zgłaszają, uważając, iż nie są istotne w ich farmakoterapii. </w:t>
      </w:r>
    </w:p>
    <w:p w14:paraId="38FADAFD" w14:textId="1B902526" w:rsidR="00ED5BF7" w:rsidRPr="008C14EA" w:rsidRDefault="00ED5BF7" w:rsidP="008C14EA">
      <w:pPr>
        <w:spacing w:after="0" w:line="240" w:lineRule="auto"/>
        <w:jc w:val="both"/>
        <w:rPr>
          <w:rFonts w:ascii="Lato" w:hAnsi="Lato"/>
          <w:b/>
          <w:bCs/>
          <w:sz w:val="20"/>
          <w:szCs w:val="20"/>
        </w:rPr>
      </w:pPr>
      <w:r w:rsidRPr="008C14EA">
        <w:rPr>
          <w:rFonts w:ascii="Lato" w:hAnsi="Lato"/>
          <w:b/>
          <w:bCs/>
          <w:sz w:val="20"/>
          <w:szCs w:val="20"/>
        </w:rPr>
        <w:t>PROJEKTY TELEMEDYCZNE DOFINANSOWANE ZE ŚRODKÓW ZAGRANICZNYCH</w:t>
      </w:r>
    </w:p>
    <w:p w14:paraId="58CD9832" w14:textId="0AAFEC50" w:rsidR="00ED5BF7" w:rsidRPr="008C14EA" w:rsidRDefault="00ED5BF7" w:rsidP="008C14EA">
      <w:pPr>
        <w:spacing w:after="0" w:line="240" w:lineRule="auto"/>
        <w:jc w:val="both"/>
        <w:rPr>
          <w:rFonts w:ascii="Lato" w:hAnsi="Lato"/>
          <w:b/>
          <w:bCs/>
          <w:sz w:val="20"/>
          <w:szCs w:val="20"/>
        </w:rPr>
      </w:pPr>
      <w:r w:rsidRPr="008C14EA">
        <w:rPr>
          <w:rFonts w:ascii="Lato" w:hAnsi="Lato"/>
          <w:b/>
          <w:bCs/>
          <w:sz w:val="20"/>
          <w:szCs w:val="20"/>
        </w:rPr>
        <w:t>Ograniczenie społecznych nierówności w zdrowiu poprzez stosowanie rozwiązań telemedycyny i e-zdrowia</w:t>
      </w:r>
    </w:p>
    <w:p w14:paraId="20A5B130" w14:textId="15ACFE14" w:rsidR="00FF7373" w:rsidRDefault="00ED5BF7" w:rsidP="00FF7373">
      <w:pPr>
        <w:spacing w:after="0" w:line="240" w:lineRule="auto"/>
        <w:jc w:val="both"/>
        <w:rPr>
          <w:rFonts w:ascii="Lato" w:eastAsia="MS Mincho" w:hAnsi="Lato" w:cs="Arial"/>
          <w:sz w:val="20"/>
          <w:szCs w:val="20"/>
        </w:rPr>
      </w:pPr>
      <w:r w:rsidRPr="008C14EA">
        <w:rPr>
          <w:rFonts w:ascii="Lato" w:eastAsia="MS Mincho" w:hAnsi="Lato" w:cs="Arial"/>
          <w:sz w:val="20"/>
          <w:szCs w:val="20"/>
        </w:rPr>
        <w:t xml:space="preserve">W zakresie telemedycyny, w tym </w:t>
      </w:r>
      <w:proofErr w:type="spellStart"/>
      <w:r w:rsidRPr="008C14EA">
        <w:rPr>
          <w:rFonts w:ascii="Lato" w:eastAsia="MS Mincho" w:hAnsi="Lato" w:cs="Arial"/>
          <w:sz w:val="20"/>
          <w:szCs w:val="20"/>
        </w:rPr>
        <w:t>teleopieki</w:t>
      </w:r>
      <w:proofErr w:type="spellEnd"/>
      <w:r w:rsidRPr="008C14EA">
        <w:rPr>
          <w:rFonts w:ascii="Lato" w:eastAsia="MS Mincho" w:hAnsi="Lato" w:cs="Arial"/>
          <w:sz w:val="20"/>
          <w:szCs w:val="20"/>
        </w:rPr>
        <w:t xml:space="preserve"> - od 2020 r. Ministerstwo Zdrowia realizuje projekt </w:t>
      </w:r>
      <w:proofErr w:type="spellStart"/>
      <w:r w:rsidRPr="008C14EA">
        <w:rPr>
          <w:rFonts w:ascii="Lato" w:eastAsia="MS Mincho" w:hAnsi="Lato" w:cs="Arial"/>
          <w:sz w:val="20"/>
          <w:szCs w:val="20"/>
        </w:rPr>
        <w:t>telemedyczny</w:t>
      </w:r>
      <w:proofErr w:type="spellEnd"/>
      <w:r w:rsidRPr="008C14EA">
        <w:rPr>
          <w:rFonts w:ascii="Lato" w:eastAsia="MS Mincho" w:hAnsi="Lato" w:cs="Arial"/>
          <w:sz w:val="20"/>
          <w:szCs w:val="20"/>
        </w:rPr>
        <w:t xml:space="preserve">: „Ograniczanie społecznych nierówności w zdrowiu poprzez stosowanie rozwiązań telemedycyny i e-zdrowia”,  w ramach Norweskiego Mechanizmu Finansowego 2014-2021. Projekt ma przyczynić się do zmniejszenia kosztów procedur medycznych, zmniejszenia obciążeń dla pacjentów oraz zwiększenia dostępności usług medycznych. Koncentruje się na wypracowaniu modeli </w:t>
      </w:r>
      <w:proofErr w:type="spellStart"/>
      <w:r w:rsidRPr="008C14EA">
        <w:rPr>
          <w:rFonts w:ascii="Lato" w:eastAsia="MS Mincho" w:hAnsi="Lato" w:cs="Arial"/>
          <w:sz w:val="20"/>
          <w:szCs w:val="20"/>
        </w:rPr>
        <w:t>telemedycznych</w:t>
      </w:r>
      <w:proofErr w:type="spellEnd"/>
      <w:r w:rsidRPr="008C14EA">
        <w:rPr>
          <w:rFonts w:ascii="Lato" w:eastAsia="MS Mincho" w:hAnsi="Lato" w:cs="Arial"/>
          <w:sz w:val="20"/>
          <w:szCs w:val="20"/>
        </w:rPr>
        <w:t xml:space="preserve"> w 7 obszarach:</w:t>
      </w:r>
      <w:r w:rsidR="00FF7373">
        <w:rPr>
          <w:rFonts w:ascii="Lato" w:eastAsia="MS Mincho" w:hAnsi="Lato" w:cs="Arial"/>
          <w:sz w:val="20"/>
          <w:szCs w:val="20"/>
        </w:rPr>
        <w:t xml:space="preserve"> kardiologii, psychiatrii, diabetologii, chorób  przewlekłych, położnictwa, opieki paliatywnej, </w:t>
      </w:r>
      <w:r w:rsidR="00FF7373" w:rsidRPr="008C14EA">
        <w:rPr>
          <w:rFonts w:ascii="Lato" w:eastAsia="MS Mincho" w:hAnsi="Lato" w:cs="Arial"/>
          <w:sz w:val="20"/>
          <w:szCs w:val="20"/>
        </w:rPr>
        <w:t xml:space="preserve">które mogłyby poszerzyć katalog procedur </w:t>
      </w:r>
      <w:proofErr w:type="spellStart"/>
      <w:r w:rsidR="00FF7373" w:rsidRPr="008C14EA">
        <w:rPr>
          <w:rFonts w:ascii="Lato" w:eastAsia="MS Mincho" w:hAnsi="Lato" w:cs="Arial"/>
          <w:sz w:val="20"/>
          <w:szCs w:val="20"/>
        </w:rPr>
        <w:t>telemedycznych</w:t>
      </w:r>
      <w:proofErr w:type="spellEnd"/>
      <w:r w:rsidR="00FF7373" w:rsidRPr="008C14EA">
        <w:rPr>
          <w:rFonts w:ascii="Lato" w:eastAsia="MS Mincho" w:hAnsi="Lato" w:cs="Arial"/>
          <w:sz w:val="20"/>
          <w:szCs w:val="20"/>
        </w:rPr>
        <w:t xml:space="preserve"> objętych publicznym finansowaniem oraz zwiększyć poziom wykorzystania potencjału telemedycyny w Polsce. </w:t>
      </w:r>
    </w:p>
    <w:p w14:paraId="2698B3C7" w14:textId="77777777" w:rsidR="00FF7373" w:rsidRDefault="00FF7373" w:rsidP="00FF7373">
      <w:pPr>
        <w:pStyle w:val="Kolorowalistaakcent11"/>
        <w:spacing w:after="0" w:line="240" w:lineRule="auto"/>
        <w:ind w:left="0"/>
        <w:jc w:val="both"/>
        <w:rPr>
          <w:rFonts w:ascii="Lato" w:eastAsia="MS Mincho" w:hAnsi="Lato" w:cs="Arial"/>
          <w:sz w:val="20"/>
          <w:szCs w:val="20"/>
        </w:rPr>
      </w:pPr>
    </w:p>
    <w:p w14:paraId="4B359862" w14:textId="14CD0B65" w:rsidR="00FF7373" w:rsidRPr="008C14EA" w:rsidRDefault="00FF7373" w:rsidP="00FF7373">
      <w:pPr>
        <w:spacing w:after="0" w:line="240" w:lineRule="auto"/>
        <w:jc w:val="both"/>
        <w:rPr>
          <w:rFonts w:ascii="Lato" w:eastAsia="MS Mincho" w:hAnsi="Lato" w:cs="Arial"/>
          <w:sz w:val="20"/>
          <w:szCs w:val="20"/>
        </w:rPr>
      </w:pPr>
      <w:r w:rsidRPr="008C14EA">
        <w:rPr>
          <w:rFonts w:ascii="Lato" w:eastAsia="MS Mincho" w:hAnsi="Lato" w:cs="Arial"/>
          <w:sz w:val="20"/>
          <w:szCs w:val="20"/>
        </w:rPr>
        <w:t>Do 30 listopada 2021 r. zespoły ekspertów polsko-norweskich opracowały wstępne modele</w:t>
      </w:r>
      <w:r w:rsidR="00CE7271">
        <w:rPr>
          <w:rFonts w:ascii="Lato" w:eastAsia="MS Mincho" w:hAnsi="Lato" w:cs="Arial"/>
          <w:sz w:val="20"/>
          <w:szCs w:val="20"/>
        </w:rPr>
        <w:t xml:space="preserve"> </w:t>
      </w:r>
      <w:proofErr w:type="spellStart"/>
      <w:r w:rsidRPr="008C14EA">
        <w:rPr>
          <w:rFonts w:ascii="Lato" w:eastAsia="MS Mincho" w:hAnsi="Lato" w:cs="Arial"/>
          <w:sz w:val="20"/>
          <w:szCs w:val="20"/>
        </w:rPr>
        <w:t>telemedyczne</w:t>
      </w:r>
      <w:proofErr w:type="spellEnd"/>
      <w:r w:rsidRPr="008C14EA">
        <w:rPr>
          <w:rFonts w:ascii="Lato" w:eastAsia="MS Mincho" w:hAnsi="Lato" w:cs="Arial"/>
          <w:sz w:val="20"/>
          <w:szCs w:val="20"/>
        </w:rPr>
        <w:t xml:space="preserve"> w dziedzinach: kardiologia, geriatria, psychiatria, choroby przewlekłe, diabetologia </w:t>
      </w:r>
      <w:r w:rsidRPr="008C14EA">
        <w:rPr>
          <w:rFonts w:ascii="Lato" w:eastAsia="MS Mincho" w:hAnsi="Lato" w:cs="Arial"/>
          <w:sz w:val="20"/>
          <w:szCs w:val="20"/>
        </w:rPr>
        <w:br/>
        <w:t>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14:paraId="4972A897" w14:textId="77777777" w:rsidR="00FF7373" w:rsidRDefault="00FF7373" w:rsidP="00FF7373">
      <w:pPr>
        <w:spacing w:after="0" w:line="240" w:lineRule="auto"/>
        <w:jc w:val="both"/>
        <w:rPr>
          <w:rFonts w:ascii="Lato" w:eastAsia="MS Mincho" w:hAnsi="Lato" w:cs="Arial"/>
          <w:sz w:val="20"/>
          <w:szCs w:val="20"/>
        </w:rPr>
      </w:pPr>
    </w:p>
    <w:p w14:paraId="6223BF31" w14:textId="5AFA2537" w:rsidR="00FF7373" w:rsidRDefault="00FF7373" w:rsidP="00FF7373">
      <w:pPr>
        <w:spacing w:after="0" w:line="240" w:lineRule="auto"/>
        <w:jc w:val="both"/>
        <w:rPr>
          <w:rFonts w:ascii="Lato" w:eastAsia="MS Mincho" w:hAnsi="Lato" w:cs="Arial"/>
          <w:sz w:val="20"/>
          <w:szCs w:val="20"/>
        </w:rPr>
      </w:pPr>
      <w:r w:rsidRPr="008C14EA">
        <w:rPr>
          <w:rFonts w:ascii="Lato" w:eastAsia="MS Mincho" w:hAnsi="Lato" w:cs="Arial"/>
          <w:sz w:val="20"/>
          <w:szCs w:val="20"/>
        </w:rPr>
        <w:t xml:space="preserve">W 2022 r. w wyniku rozstrzygnięcia konkursu na dofinansowanie projektów pilotażowych na przetestowanie modeli </w:t>
      </w:r>
      <w:proofErr w:type="spellStart"/>
      <w:r w:rsidRPr="008C14EA">
        <w:rPr>
          <w:rFonts w:ascii="Lato" w:eastAsia="MS Mincho" w:hAnsi="Lato" w:cs="Arial"/>
          <w:sz w:val="20"/>
          <w:szCs w:val="20"/>
        </w:rPr>
        <w:t>telemedycznych</w:t>
      </w:r>
      <w:proofErr w:type="spellEnd"/>
      <w:r w:rsidRPr="008C14EA">
        <w:rPr>
          <w:rFonts w:ascii="Lato" w:eastAsia="MS Mincho" w:hAnsi="Lato" w:cs="Arial"/>
          <w:sz w:val="20"/>
          <w:szCs w:val="20"/>
        </w:rPr>
        <w:t xml:space="preserve"> opracowanych w ramach predefiniowanego projektu dotyczącego polityki w zakresie telemedycyny i e-zdrowia w ramach Programu Zdrowie finansowanego ze środków Norweskiego Mechanizmu Finansowego 2014-2021 i budżetu państwa, została wydana Decyzja MZ w sprawie przyznania środków na realizację projektu pn.  „Wdrożenie i testowanie pilotażowych rozwiązań </w:t>
      </w:r>
      <w:proofErr w:type="spellStart"/>
      <w:r w:rsidRPr="008C14EA">
        <w:rPr>
          <w:rFonts w:ascii="Lato" w:eastAsia="MS Mincho" w:hAnsi="Lato" w:cs="Arial"/>
          <w:sz w:val="20"/>
          <w:szCs w:val="20"/>
        </w:rPr>
        <w:t>telemedycznych</w:t>
      </w:r>
      <w:proofErr w:type="spellEnd"/>
      <w:r w:rsidRPr="008C14EA">
        <w:rPr>
          <w:rFonts w:ascii="Lato" w:eastAsia="MS Mincho" w:hAnsi="Lato" w:cs="Arial"/>
          <w:sz w:val="20"/>
          <w:szCs w:val="20"/>
        </w:rPr>
        <w:t xml:space="preserve"> w zakresie modelu „Geriatria” we Wrocławiu i w woj. dolnośląskim w latach 2022-2023” przez 4 Wojskowy Szpital Kliniczny z Polikliniką i Samodzielny Publiczny Zakład Opieki Zdrowotnej we Wrocławiu. Testowanie rozwiązań </w:t>
      </w:r>
      <w:proofErr w:type="spellStart"/>
      <w:r w:rsidRPr="008C14EA">
        <w:rPr>
          <w:rFonts w:ascii="Lato" w:eastAsia="MS Mincho" w:hAnsi="Lato" w:cs="Arial"/>
          <w:sz w:val="20"/>
          <w:szCs w:val="20"/>
        </w:rPr>
        <w:t>telemedycznych</w:t>
      </w:r>
      <w:proofErr w:type="spellEnd"/>
      <w:r w:rsidRPr="008C14EA">
        <w:rPr>
          <w:rFonts w:ascii="Lato" w:eastAsia="MS Mincho" w:hAnsi="Lato" w:cs="Arial"/>
          <w:sz w:val="20"/>
          <w:szCs w:val="20"/>
        </w:rPr>
        <w:t xml:space="preserve"> w projekcie potrwa do końca 2023 r.</w:t>
      </w:r>
    </w:p>
    <w:p w14:paraId="57DE4556" w14:textId="77777777" w:rsidR="00FF7373" w:rsidRPr="008C14EA" w:rsidRDefault="00FF7373" w:rsidP="00FF7373">
      <w:pPr>
        <w:spacing w:after="0" w:line="240" w:lineRule="auto"/>
        <w:jc w:val="both"/>
        <w:rPr>
          <w:rFonts w:ascii="Lato" w:eastAsia="MS Mincho" w:hAnsi="Lato" w:cs="Arial"/>
          <w:sz w:val="20"/>
          <w:szCs w:val="20"/>
        </w:rPr>
      </w:pPr>
    </w:p>
    <w:p w14:paraId="65C672E0" w14:textId="4EBA7B20" w:rsidR="00FF7373" w:rsidRPr="008C14EA" w:rsidRDefault="00FF7373" w:rsidP="00FF7373">
      <w:pPr>
        <w:spacing w:after="0" w:line="240" w:lineRule="auto"/>
        <w:jc w:val="both"/>
        <w:rPr>
          <w:rFonts w:ascii="Lato" w:hAnsi="Lato"/>
          <w:b/>
          <w:bCs/>
          <w:sz w:val="20"/>
          <w:szCs w:val="20"/>
        </w:rPr>
      </w:pPr>
      <w:r w:rsidRPr="008C14EA">
        <w:rPr>
          <w:rFonts w:ascii="Lato" w:hAnsi="Lato"/>
          <w:b/>
          <w:bCs/>
          <w:sz w:val="20"/>
          <w:szCs w:val="20"/>
        </w:rPr>
        <w:t>Dostępność Plus dla zdrowia</w:t>
      </w:r>
    </w:p>
    <w:p w14:paraId="6624D6B4" w14:textId="1593A911" w:rsidR="00FF7373" w:rsidRPr="00FF7373" w:rsidRDefault="00FF7373" w:rsidP="00FF7373">
      <w:pPr>
        <w:pStyle w:val="Akapitzlist"/>
        <w:tabs>
          <w:tab w:val="left" w:pos="5400"/>
        </w:tabs>
        <w:spacing w:after="0" w:line="240" w:lineRule="auto"/>
        <w:ind w:left="6"/>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 xml:space="preserve">Od stycznia 2019 r. Ministerstwo Zdrowia realizuje </w:t>
      </w:r>
      <w:r w:rsidRPr="008C14EA">
        <w:rPr>
          <w:rFonts w:ascii="Lato" w:eastAsia="Times New Roman" w:hAnsi="Lato" w:cs="Arial"/>
          <w:b/>
          <w:bCs/>
          <w:sz w:val="20"/>
          <w:szCs w:val="20"/>
          <w:lang w:eastAsia="pl-PL" w:bidi="pl-PL"/>
        </w:rPr>
        <w:t>projekt Dostępność Plus dla zdrowia</w:t>
      </w:r>
      <w:r w:rsidRPr="008C14EA">
        <w:rPr>
          <w:rFonts w:ascii="Lato" w:eastAsia="Times New Roman" w:hAnsi="Lato" w:cs="Arial"/>
          <w:sz w:val="20"/>
          <w:szCs w:val="20"/>
          <w:lang w:eastAsia="pl-PL" w:bidi="pl-PL"/>
        </w:rPr>
        <w:t>. Okres realizacji projektu rozpoczął się 1 stycznia 2019 r. i ma trwać do 30 listopada 2023 r.</w:t>
      </w:r>
      <w:r>
        <w:rPr>
          <w:rFonts w:ascii="Lato" w:eastAsia="Times New Roman" w:hAnsi="Lato" w:cs="Arial"/>
          <w:sz w:val="20"/>
          <w:szCs w:val="20"/>
          <w:lang w:eastAsia="pl-PL" w:bidi="pl-PL"/>
        </w:rPr>
        <w:t xml:space="preserve"> </w:t>
      </w:r>
      <w:r w:rsidRPr="00FF7373">
        <w:rPr>
          <w:rFonts w:ascii="Lato" w:eastAsia="Times New Roman" w:hAnsi="Lato" w:cs="Arial"/>
          <w:sz w:val="20"/>
          <w:szCs w:val="20"/>
          <w:lang w:eastAsia="pl-PL" w:bidi="pl-PL"/>
        </w:rPr>
        <w:t xml:space="preserve">Projekt ma na celu wdrożenie działań projakościowych w systemie ochrony zdrowia polegających na dostosowaniu wybranych w procedurze konkursowej placówek POZ i szpitali do potrzeb grupy docelowej - pacjentów ze szczególnymi potrzebami, w szczególności osób starszych oraz niepełnosprawnych, w oparciu o opracowane w projekcie Standardy Dostępności. Wdrażane rozwiązania będą przyczyniały się do poprawy dostępności placówek medycznych w obszarach: cyfrowym (w tym </w:t>
      </w:r>
      <w:proofErr w:type="spellStart"/>
      <w:r w:rsidRPr="00FF7373">
        <w:rPr>
          <w:rFonts w:ascii="Lato" w:eastAsia="Times New Roman" w:hAnsi="Lato" w:cs="Arial"/>
          <w:sz w:val="20"/>
          <w:szCs w:val="20"/>
          <w:lang w:eastAsia="pl-PL" w:bidi="pl-PL"/>
        </w:rPr>
        <w:t>telemedycznym</w:t>
      </w:r>
      <w:proofErr w:type="spellEnd"/>
      <w:r w:rsidRPr="00FF7373">
        <w:rPr>
          <w:rFonts w:ascii="Lato" w:eastAsia="Times New Roman" w:hAnsi="Lato" w:cs="Arial"/>
          <w:sz w:val="20"/>
          <w:szCs w:val="20"/>
          <w:lang w:eastAsia="pl-PL" w:bidi="pl-PL"/>
        </w:rPr>
        <w:t xml:space="preserve">), architektonicznym, komunikacyjnym </w:t>
      </w:r>
      <w:r>
        <w:rPr>
          <w:rFonts w:ascii="Lato" w:eastAsia="Times New Roman" w:hAnsi="Lato" w:cs="Arial"/>
          <w:sz w:val="20"/>
          <w:szCs w:val="20"/>
          <w:lang w:eastAsia="pl-PL" w:bidi="pl-PL"/>
        </w:rPr>
        <w:t xml:space="preserve">i </w:t>
      </w:r>
      <w:r w:rsidRPr="00FF7373">
        <w:rPr>
          <w:rFonts w:ascii="Lato" w:eastAsia="Times New Roman" w:hAnsi="Lato" w:cs="Arial"/>
          <w:sz w:val="20"/>
          <w:szCs w:val="20"/>
          <w:lang w:eastAsia="pl-PL" w:bidi="pl-PL"/>
        </w:rPr>
        <w:t>organizacyjnym.</w:t>
      </w:r>
    </w:p>
    <w:p w14:paraId="3E42D1E7" w14:textId="77777777" w:rsidR="00FF7373" w:rsidRDefault="00FF7373" w:rsidP="00FF7373">
      <w:pPr>
        <w:pStyle w:val="Akapitzlist"/>
        <w:spacing w:after="0" w:line="240" w:lineRule="auto"/>
        <w:ind w:left="6"/>
        <w:contextualSpacing w:val="0"/>
        <w:jc w:val="both"/>
        <w:rPr>
          <w:rFonts w:ascii="Lato" w:eastAsia="Times New Roman" w:hAnsi="Lato" w:cs="Arial"/>
          <w:sz w:val="20"/>
          <w:szCs w:val="20"/>
          <w:lang w:eastAsia="pl-PL" w:bidi="pl-PL"/>
        </w:rPr>
      </w:pPr>
    </w:p>
    <w:p w14:paraId="2E4DAA68" w14:textId="5CC9A16E" w:rsidR="00FF7373" w:rsidRPr="008C14EA" w:rsidRDefault="00FF7373" w:rsidP="00FF7373">
      <w:pPr>
        <w:pStyle w:val="Akapitzlist"/>
        <w:spacing w:after="0" w:line="240" w:lineRule="auto"/>
        <w:ind w:left="6"/>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lastRenderedPageBreak/>
        <w:t>Planowane efekty projektu to m.in.:</w:t>
      </w:r>
    </w:p>
    <w:p w14:paraId="748F2AA6" w14:textId="77777777" w:rsidR="00FF7373" w:rsidRPr="008C14EA" w:rsidRDefault="00FF7373" w:rsidP="007335F8">
      <w:pPr>
        <w:pStyle w:val="Akapitzlist"/>
        <w:numPr>
          <w:ilvl w:val="0"/>
          <w:numId w:val="224"/>
        </w:numPr>
        <w:spacing w:after="0" w:line="240" w:lineRule="auto"/>
        <w:ind w:left="720" w:hanging="357"/>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 xml:space="preserve">zniwelowanie barier architektonicznych, cyfrowych oraz informacyjno-komunikacyjnych </w:t>
      </w:r>
      <w:r w:rsidRPr="008C14EA">
        <w:rPr>
          <w:rFonts w:ascii="Lato" w:eastAsia="Times New Roman" w:hAnsi="Lato" w:cs="Arial"/>
          <w:sz w:val="20"/>
          <w:szCs w:val="20"/>
          <w:lang w:eastAsia="pl-PL" w:bidi="pl-PL"/>
        </w:rPr>
        <w:br/>
        <w:t>w placówkach ochrony zdrowia;</w:t>
      </w:r>
    </w:p>
    <w:p w14:paraId="33641E76" w14:textId="77777777" w:rsidR="00FF7373" w:rsidRPr="008C14EA" w:rsidRDefault="00FF7373" w:rsidP="007335F8">
      <w:pPr>
        <w:pStyle w:val="Akapitzlist"/>
        <w:numPr>
          <w:ilvl w:val="0"/>
          <w:numId w:val="224"/>
        </w:numPr>
        <w:spacing w:after="0" w:line="240" w:lineRule="auto"/>
        <w:ind w:left="720" w:hanging="357"/>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podjęcie działań dostosowawczych w tym prac modernizacyjnych oraz zakupu sprzętów zapewniających funkcjonowanie placówek „przyjaznych” osobom ze szczególnymi potrzebami;</w:t>
      </w:r>
    </w:p>
    <w:p w14:paraId="22F16DF6" w14:textId="77777777" w:rsidR="00FF7373" w:rsidRPr="008C14EA" w:rsidRDefault="00FF7373" w:rsidP="007335F8">
      <w:pPr>
        <w:pStyle w:val="Akapitzlist"/>
        <w:numPr>
          <w:ilvl w:val="0"/>
          <w:numId w:val="224"/>
        </w:numPr>
        <w:spacing w:after="0" w:line="240" w:lineRule="auto"/>
        <w:ind w:left="720" w:hanging="357"/>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 xml:space="preserve">podniesienie jakości usług zdrowotnych dla pacjentów ze szczególnymi potrzebami, </w:t>
      </w:r>
      <w:r w:rsidRPr="008C14EA">
        <w:rPr>
          <w:rFonts w:ascii="Lato" w:eastAsia="Times New Roman" w:hAnsi="Lato" w:cs="Arial"/>
          <w:sz w:val="20"/>
          <w:szCs w:val="20"/>
          <w:lang w:eastAsia="pl-PL" w:bidi="pl-PL"/>
        </w:rPr>
        <w:br/>
        <w:t>w tym aspektów komunikacyjnych i organizacyjnych,</w:t>
      </w:r>
    </w:p>
    <w:p w14:paraId="231428B9" w14:textId="77777777" w:rsidR="00FF7373" w:rsidRPr="008C14EA" w:rsidRDefault="00FF7373" w:rsidP="007335F8">
      <w:pPr>
        <w:pStyle w:val="Akapitzlist"/>
        <w:numPr>
          <w:ilvl w:val="0"/>
          <w:numId w:val="224"/>
        </w:numPr>
        <w:spacing w:after="0" w:line="240" w:lineRule="auto"/>
        <w:ind w:left="720" w:hanging="357"/>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 xml:space="preserve">stworzenie/zoptymalizowanie systemów IT uwzględniających szczególne potrzeby pacjentów, w tym wdrożenie rozwiązań </w:t>
      </w:r>
      <w:proofErr w:type="spellStart"/>
      <w:r w:rsidRPr="008C14EA">
        <w:rPr>
          <w:rFonts w:ascii="Lato" w:eastAsia="Times New Roman" w:hAnsi="Lato" w:cs="Arial"/>
          <w:sz w:val="20"/>
          <w:szCs w:val="20"/>
          <w:lang w:eastAsia="pl-PL" w:bidi="pl-PL"/>
        </w:rPr>
        <w:t>telemedycznych</w:t>
      </w:r>
      <w:proofErr w:type="spellEnd"/>
      <w:r w:rsidRPr="008C14EA">
        <w:rPr>
          <w:rFonts w:ascii="Lato" w:eastAsia="Times New Roman" w:hAnsi="Lato" w:cs="Arial"/>
          <w:sz w:val="20"/>
          <w:szCs w:val="20"/>
          <w:lang w:eastAsia="pl-PL" w:bidi="pl-PL"/>
        </w:rPr>
        <w:t xml:space="preserve"> w POZ i szpitalach,</w:t>
      </w:r>
    </w:p>
    <w:p w14:paraId="576AF714" w14:textId="247B55B3" w:rsidR="00FF7373" w:rsidRDefault="00FF7373" w:rsidP="007335F8">
      <w:pPr>
        <w:pStyle w:val="Akapitzlist"/>
        <w:numPr>
          <w:ilvl w:val="0"/>
          <w:numId w:val="224"/>
        </w:numPr>
        <w:spacing w:after="0" w:line="240" w:lineRule="auto"/>
        <w:ind w:left="720" w:hanging="357"/>
        <w:contextualSpacing w:val="0"/>
        <w:jc w:val="both"/>
        <w:rPr>
          <w:rFonts w:ascii="Lato" w:eastAsia="Times New Roman" w:hAnsi="Lato" w:cs="Arial"/>
          <w:sz w:val="20"/>
          <w:szCs w:val="20"/>
          <w:lang w:eastAsia="pl-PL" w:bidi="pl-PL"/>
        </w:rPr>
      </w:pPr>
      <w:r w:rsidRPr="008C14EA">
        <w:rPr>
          <w:rFonts w:ascii="Lato" w:eastAsia="Times New Roman" w:hAnsi="Lato" w:cs="Arial"/>
          <w:sz w:val="20"/>
          <w:szCs w:val="20"/>
          <w:lang w:eastAsia="pl-PL" w:bidi="pl-PL"/>
        </w:rPr>
        <w:t>podniesienie dojrzałości cyfrowej placówek w zakresie wsparcia pacjentów ze szczególnymi potrzebami.</w:t>
      </w:r>
    </w:p>
    <w:p w14:paraId="2A937225" w14:textId="77777777" w:rsidR="00FF7373" w:rsidRPr="008C14EA" w:rsidRDefault="00FF7373" w:rsidP="00FF7373">
      <w:pPr>
        <w:pStyle w:val="Akapitzlist"/>
        <w:spacing w:after="0" w:line="240" w:lineRule="auto"/>
        <w:contextualSpacing w:val="0"/>
        <w:jc w:val="both"/>
        <w:rPr>
          <w:rFonts w:ascii="Lato" w:eastAsia="Times New Roman" w:hAnsi="Lato" w:cs="Arial"/>
          <w:sz w:val="20"/>
          <w:szCs w:val="20"/>
          <w:lang w:eastAsia="pl-PL" w:bidi="pl-PL"/>
        </w:rPr>
      </w:pPr>
    </w:p>
    <w:p w14:paraId="3D95AB1C" w14:textId="77777777" w:rsidR="00FF7373" w:rsidRPr="008C14EA" w:rsidRDefault="00FF7373" w:rsidP="00CE7271">
      <w:pPr>
        <w:pStyle w:val="Akapitzlist"/>
        <w:numPr>
          <w:ilvl w:val="0"/>
          <w:numId w:val="210"/>
        </w:numPr>
        <w:spacing w:after="0" w:line="240" w:lineRule="auto"/>
        <w:ind w:left="720"/>
        <w:jc w:val="both"/>
        <w:rPr>
          <w:rFonts w:ascii="Lato" w:hAnsi="Lato"/>
          <w:b/>
          <w:bCs/>
          <w:sz w:val="20"/>
          <w:szCs w:val="20"/>
        </w:rPr>
      </w:pPr>
      <w:r w:rsidRPr="008C14EA">
        <w:rPr>
          <w:rFonts w:ascii="Lato" w:hAnsi="Lato"/>
          <w:b/>
          <w:bCs/>
          <w:sz w:val="20"/>
          <w:szCs w:val="20"/>
        </w:rPr>
        <w:t>Inwestycje</w:t>
      </w:r>
    </w:p>
    <w:p w14:paraId="48C95DA5" w14:textId="31042C91" w:rsidR="00FF7373" w:rsidRPr="008C14EA" w:rsidRDefault="00FF7373" w:rsidP="00FF7373">
      <w:pPr>
        <w:spacing w:after="0" w:line="240" w:lineRule="auto"/>
        <w:jc w:val="both"/>
        <w:rPr>
          <w:rFonts w:ascii="Lato" w:eastAsia="MS Mincho" w:hAnsi="Lato" w:cs="Arial"/>
          <w:sz w:val="20"/>
          <w:szCs w:val="20"/>
        </w:rPr>
        <w:sectPr w:rsidR="00FF7373" w:rsidRPr="008C14EA" w:rsidSect="00FF7373">
          <w:pgSz w:w="11906" w:h="16838"/>
          <w:pgMar w:top="1417" w:right="1417" w:bottom="1417" w:left="1417" w:header="708" w:footer="708" w:gutter="0"/>
          <w:cols w:space="708"/>
          <w:docGrid w:linePitch="360"/>
        </w:sectPr>
      </w:pPr>
      <w:r w:rsidRPr="008C14EA">
        <w:rPr>
          <w:rFonts w:ascii="Lato" w:eastAsia="MS Mincho" w:hAnsi="Lato" w:cs="Arial"/>
          <w:sz w:val="20"/>
          <w:szCs w:val="20"/>
        </w:rPr>
        <w:t>Zadanie pn. „Powstanie Śląskiego Ośrodka Kliniczno-Naukowego Zapobiegania i Leczenia Chorób Środowiskowych, Cywilizacyjnych i Wieku Podeszłego im. prof. Zbigniewa Religi w Zabrzu”, realizowane w latach 2018-2022, powierzchnia użytkowa: 12.000 m2, liczba łóżek 138, z czego 17 na Oddział Kardiologii – Chorób Środowiskowych i Cywilizacyjnych oraz Wieku Podeszłego w chorobach serca, płuc i naczyń</w:t>
      </w:r>
      <w:r w:rsidR="00CE7271">
        <w:rPr>
          <w:rFonts w:ascii="Lato" w:eastAsia="MS Mincho" w:hAnsi="Lato" w:cs="Arial"/>
          <w:sz w:val="20"/>
          <w:szCs w:val="20"/>
        </w:rPr>
        <w:t>.</w:t>
      </w:r>
    </w:p>
    <w:p w14:paraId="48CB21D5" w14:textId="4EA8A8EA" w:rsidR="00FF7373" w:rsidRPr="008C14EA" w:rsidRDefault="00FF7373" w:rsidP="008C14EA">
      <w:pPr>
        <w:spacing w:after="0" w:line="240" w:lineRule="auto"/>
        <w:jc w:val="both"/>
        <w:rPr>
          <w:rFonts w:ascii="Lato" w:eastAsia="MS Mincho" w:hAnsi="Lato" w:cs="Arial"/>
          <w:sz w:val="20"/>
          <w:szCs w:val="20"/>
        </w:rPr>
        <w:sectPr w:rsidR="00FF7373" w:rsidRPr="008C14EA" w:rsidSect="00FF7373">
          <w:type w:val="continuous"/>
          <w:pgSz w:w="11906" w:h="16838"/>
          <w:pgMar w:top="1417" w:right="1417" w:bottom="1417" w:left="1417" w:header="708" w:footer="708" w:gutter="0"/>
          <w:cols w:num="2" w:space="708"/>
          <w:docGrid w:linePitch="360"/>
        </w:sectPr>
      </w:pPr>
    </w:p>
    <w:p w14:paraId="4B625034" w14:textId="6B8386B9" w:rsidR="00FB258C" w:rsidRPr="00DB2792" w:rsidRDefault="00FB258C" w:rsidP="00DB2792">
      <w:pPr>
        <w:pStyle w:val="Nagwek2"/>
        <w:numPr>
          <w:ilvl w:val="1"/>
          <w:numId w:val="172"/>
        </w:numPr>
        <w:rPr>
          <w:b/>
          <w:bCs/>
        </w:rPr>
      </w:pPr>
      <w:bookmarkStart w:id="118" w:name="_Toc142565944"/>
      <w:r w:rsidRPr="00DB2792">
        <w:rPr>
          <w:b/>
          <w:bCs/>
        </w:rPr>
        <w:t>Narodowy Instytut Wolności – Centrum Rozwoju Społeczeństwa Obywatelskiego</w:t>
      </w:r>
      <w:bookmarkEnd w:id="118"/>
    </w:p>
    <w:p w14:paraId="7B975EEE" w14:textId="1084EE6F"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 zakresie realizacji przyjętego przez Radę Ministrów dokumentu pt. Polityka społeczna wobec osób starszych 2030. Bezpieczeństwo – Uczestnictwo – Solidarność, podjęte zostały następujące działania</w:t>
      </w:r>
      <w:r w:rsidR="00CE7271">
        <w:rPr>
          <w:rFonts w:ascii="Lato" w:hAnsi="Lato" w:cs="Times New Roman"/>
          <w:sz w:val="20"/>
          <w:szCs w:val="20"/>
        </w:rPr>
        <w:t>.</w:t>
      </w:r>
    </w:p>
    <w:p w14:paraId="6098DFAE" w14:textId="77777777" w:rsidR="000B6E2C" w:rsidRPr="001E005B" w:rsidRDefault="000B6E2C" w:rsidP="008107B4">
      <w:pPr>
        <w:spacing w:after="0" w:line="240" w:lineRule="auto"/>
        <w:jc w:val="both"/>
        <w:rPr>
          <w:rFonts w:ascii="Lato" w:hAnsi="Lato" w:cs="Times New Roman"/>
          <w:sz w:val="20"/>
          <w:szCs w:val="20"/>
        </w:rPr>
      </w:pPr>
    </w:p>
    <w:p w14:paraId="7921C99E" w14:textId="3A7C389C"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 2022 r. NIW-CRSO zrealizował łącznie 17 otwartych konkursów ofert w obszarze rozwoju społeczeństwa obywatelskiego uwzględniających tematykę senioralną oraz wspieranie projektów międzypokoleniowych. Wśród nich znalazły się konkursy:</w:t>
      </w:r>
    </w:p>
    <w:p w14:paraId="2040A7AA"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Wsparcia Rozwoju Organizacji Harcerskich i Skautowych na lata 2018-2030;</w:t>
      </w:r>
    </w:p>
    <w:p w14:paraId="6B6CE292"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Funduszu Inicjatyw Obywatelskich NOWEFIO na lata 2021-2030;</w:t>
      </w:r>
    </w:p>
    <w:p w14:paraId="4B3CF59F"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Rozwoju Organizacji Obywatelskich PROO na lata 2018-2030;</w:t>
      </w:r>
    </w:p>
    <w:p w14:paraId="7CA7B4E4"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Lokalne Partnerstwo dla Wolontariatu;</w:t>
      </w:r>
    </w:p>
    <w:p w14:paraId="48D390C1"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Polski Inkubator Rzemiosła;</w:t>
      </w:r>
    </w:p>
    <w:p w14:paraId="776514C0"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Fundusz Młodzieżowy;</w:t>
      </w:r>
    </w:p>
    <w:p w14:paraId="7BDA0561" w14:textId="77777777"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Wsparcia Rozwoju Organizacji Poradniczych na lata 2022-2033;</w:t>
      </w:r>
    </w:p>
    <w:p w14:paraId="760D4F59" w14:textId="1F8DAADD" w:rsidR="000B6E2C" w:rsidRPr="001E005B" w:rsidRDefault="000B6E2C" w:rsidP="008107B4">
      <w:pPr>
        <w:pStyle w:val="Akapitzlist"/>
        <w:numPr>
          <w:ilvl w:val="0"/>
          <w:numId w:val="31"/>
        </w:numPr>
        <w:spacing w:after="0" w:line="240" w:lineRule="auto"/>
        <w:jc w:val="both"/>
        <w:rPr>
          <w:rFonts w:ascii="Lato" w:hAnsi="Lato" w:cs="Times New Roman"/>
          <w:sz w:val="20"/>
          <w:szCs w:val="20"/>
        </w:rPr>
      </w:pPr>
      <w:r w:rsidRPr="001E005B">
        <w:rPr>
          <w:rFonts w:ascii="Lato" w:hAnsi="Lato" w:cs="Times New Roman"/>
          <w:sz w:val="20"/>
          <w:szCs w:val="20"/>
        </w:rPr>
        <w:t>Rządowego Programu Wspierania Rozwoju Uniwersytetów Ludowych na lata 2020-2030.</w:t>
      </w:r>
    </w:p>
    <w:p w14:paraId="18E0A466" w14:textId="77777777" w:rsidR="000B6E2C" w:rsidRPr="001E005B" w:rsidRDefault="000B6E2C" w:rsidP="008107B4">
      <w:pPr>
        <w:pStyle w:val="Akapitzlist"/>
        <w:spacing w:after="0" w:line="240" w:lineRule="auto"/>
        <w:jc w:val="both"/>
        <w:rPr>
          <w:rFonts w:ascii="Lato" w:hAnsi="Lato" w:cs="Times New Roman"/>
          <w:sz w:val="20"/>
          <w:szCs w:val="20"/>
        </w:rPr>
      </w:pPr>
    </w:p>
    <w:p w14:paraId="77AA05EF" w14:textId="65969BDA"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Zrealizowano łącznie 61 inicjatyw (projektów/ofert) mających na celu podnoszenie poziomu aktywności społecznej osób starszych oraz wspieranie funkcjonowania i rozwoju organizacji zrzeszających osoby starsze, w tym:</w:t>
      </w:r>
    </w:p>
    <w:p w14:paraId="50B2A4B9" w14:textId="77777777" w:rsidR="000B6E2C" w:rsidRPr="001E005B" w:rsidRDefault="000B6E2C" w:rsidP="008107B4">
      <w:pPr>
        <w:pStyle w:val="Akapitzlist"/>
        <w:numPr>
          <w:ilvl w:val="0"/>
          <w:numId w:val="32"/>
        </w:numPr>
        <w:spacing w:after="0" w:line="240" w:lineRule="auto"/>
        <w:jc w:val="both"/>
        <w:rPr>
          <w:rFonts w:ascii="Lato" w:hAnsi="Lato" w:cs="Times New Roman"/>
          <w:sz w:val="20"/>
          <w:szCs w:val="20"/>
        </w:rPr>
      </w:pPr>
      <w:r w:rsidRPr="001E005B">
        <w:rPr>
          <w:rFonts w:ascii="Lato" w:hAnsi="Lato" w:cs="Times New Roman"/>
          <w:sz w:val="20"/>
          <w:szCs w:val="20"/>
        </w:rPr>
        <w:t>Fundusz Wspierania Organizacji Pożytku Publicznego (7 projektów);</w:t>
      </w:r>
    </w:p>
    <w:p w14:paraId="706633A2" w14:textId="77777777" w:rsidR="000B6E2C" w:rsidRPr="001E005B" w:rsidRDefault="000B6E2C" w:rsidP="008107B4">
      <w:pPr>
        <w:pStyle w:val="Akapitzlist"/>
        <w:numPr>
          <w:ilvl w:val="0"/>
          <w:numId w:val="32"/>
        </w:numPr>
        <w:spacing w:after="0" w:line="240" w:lineRule="auto"/>
        <w:jc w:val="both"/>
        <w:rPr>
          <w:rFonts w:ascii="Lato" w:hAnsi="Lato" w:cs="Times New Roman"/>
          <w:sz w:val="20"/>
          <w:szCs w:val="20"/>
        </w:rPr>
      </w:pPr>
      <w:r w:rsidRPr="001E005B">
        <w:rPr>
          <w:rFonts w:ascii="Lato" w:hAnsi="Lato" w:cs="Times New Roman"/>
          <w:sz w:val="20"/>
          <w:szCs w:val="20"/>
        </w:rPr>
        <w:t>Rządowy Program Fundusz Inicjatyw Obywatelskich NOWEFIO na lata 2021-2030 (39 projektów);</w:t>
      </w:r>
    </w:p>
    <w:p w14:paraId="1BD7B34F" w14:textId="77777777" w:rsidR="000B6E2C" w:rsidRPr="001E005B" w:rsidRDefault="000B6E2C" w:rsidP="008107B4">
      <w:pPr>
        <w:pStyle w:val="Akapitzlist"/>
        <w:numPr>
          <w:ilvl w:val="0"/>
          <w:numId w:val="32"/>
        </w:numPr>
        <w:spacing w:after="0" w:line="240" w:lineRule="auto"/>
        <w:jc w:val="both"/>
        <w:rPr>
          <w:rFonts w:ascii="Lato" w:hAnsi="Lato" w:cs="Times New Roman"/>
          <w:sz w:val="20"/>
          <w:szCs w:val="20"/>
        </w:rPr>
      </w:pPr>
      <w:r w:rsidRPr="001E005B">
        <w:rPr>
          <w:rFonts w:ascii="Lato" w:hAnsi="Lato" w:cs="Times New Roman"/>
          <w:sz w:val="20"/>
          <w:szCs w:val="20"/>
        </w:rPr>
        <w:t>Rządowy Program Fundusz Młodzieżowy na lata 2022–2033 (1 projekt);</w:t>
      </w:r>
    </w:p>
    <w:p w14:paraId="3D068F14" w14:textId="77777777" w:rsidR="000B6E2C" w:rsidRPr="001E005B" w:rsidRDefault="000B6E2C" w:rsidP="008107B4">
      <w:pPr>
        <w:pStyle w:val="Akapitzlist"/>
        <w:numPr>
          <w:ilvl w:val="0"/>
          <w:numId w:val="32"/>
        </w:numPr>
        <w:spacing w:after="0" w:line="240" w:lineRule="auto"/>
        <w:jc w:val="both"/>
        <w:rPr>
          <w:rFonts w:ascii="Lato" w:hAnsi="Lato" w:cs="Times New Roman"/>
          <w:sz w:val="20"/>
          <w:szCs w:val="20"/>
        </w:rPr>
      </w:pPr>
      <w:r w:rsidRPr="001E005B">
        <w:rPr>
          <w:rFonts w:ascii="Lato" w:hAnsi="Lato" w:cs="Times New Roman"/>
          <w:sz w:val="20"/>
          <w:szCs w:val="20"/>
        </w:rPr>
        <w:t xml:space="preserve">Rządowy Program Rozwoju Organizacji Obywatelskich na lata 2018–2030 PROO </w:t>
      </w:r>
      <w:r w:rsidRPr="001E005B">
        <w:rPr>
          <w:rFonts w:ascii="Lato" w:hAnsi="Lato" w:cs="Times New Roman"/>
          <w:sz w:val="20"/>
          <w:szCs w:val="20"/>
        </w:rPr>
        <w:br/>
        <w:t>(7 projektów);</w:t>
      </w:r>
    </w:p>
    <w:p w14:paraId="3FABC0A4" w14:textId="77777777" w:rsidR="000B6E2C" w:rsidRPr="001E005B" w:rsidRDefault="000B6E2C" w:rsidP="008107B4">
      <w:pPr>
        <w:pStyle w:val="Akapitzlist"/>
        <w:numPr>
          <w:ilvl w:val="0"/>
          <w:numId w:val="32"/>
        </w:numPr>
        <w:spacing w:after="0" w:line="240" w:lineRule="auto"/>
        <w:jc w:val="both"/>
        <w:rPr>
          <w:rFonts w:ascii="Lato" w:hAnsi="Lato" w:cs="Times New Roman"/>
          <w:sz w:val="20"/>
          <w:szCs w:val="20"/>
        </w:rPr>
      </w:pPr>
      <w:r w:rsidRPr="001E005B">
        <w:rPr>
          <w:rFonts w:ascii="Lato" w:hAnsi="Lato" w:cs="Times New Roman"/>
          <w:sz w:val="20"/>
          <w:szCs w:val="20"/>
        </w:rPr>
        <w:t>Rządowy Program Wspierania Rozwoju Organizacji Poradniczych (7 projektów)</w:t>
      </w:r>
    </w:p>
    <w:p w14:paraId="3B0A2D45" w14:textId="7777777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na łączną kwotę  11 360 856,43 zł.</w:t>
      </w:r>
    </w:p>
    <w:p w14:paraId="107773CE" w14:textId="2C7E09B0"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Wspieranie aktywizacji osób starszych odbywało się dzięki realizacji otwartych konkursów ofert skierowanych do podmiotów sektora organizacji pozarządowych i innych podmiotów prowadzących działalność pożytku publicznego, a także na wspieraniu istniejących i nowopowstających ww. podmiotów, zrzeszających osoby starsze i reprezentujące ich interesy lub zwiększające ich aktywności. Ponadto promowano wymianę dobrych praktyk działań podejmowanych na rzecz aktywności społecznej osób starszych.</w:t>
      </w:r>
    </w:p>
    <w:p w14:paraId="7A4663A6" w14:textId="77777777" w:rsidR="000B6E2C" w:rsidRPr="001E005B" w:rsidRDefault="000B6E2C" w:rsidP="008107B4">
      <w:pPr>
        <w:spacing w:after="0" w:line="240" w:lineRule="auto"/>
        <w:jc w:val="both"/>
        <w:rPr>
          <w:rFonts w:ascii="Lato" w:hAnsi="Lato" w:cs="Times New Roman"/>
          <w:sz w:val="20"/>
          <w:szCs w:val="20"/>
        </w:rPr>
      </w:pPr>
    </w:p>
    <w:p w14:paraId="51A2611A" w14:textId="1FBBE389"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lastRenderedPageBreak/>
        <w:t xml:space="preserve">W ramach Rządowego Programu Fundusz Inicjatyw Obywatelskich NOWEFIO na lata 2021-2030 realizowany był projekt „Senioralna </w:t>
      </w:r>
      <w:proofErr w:type="spellStart"/>
      <w:r w:rsidRPr="001E005B">
        <w:rPr>
          <w:rFonts w:ascii="Lato" w:hAnsi="Lato" w:cs="Times New Roman"/>
          <w:sz w:val="20"/>
          <w:szCs w:val="20"/>
        </w:rPr>
        <w:t>poMOC</w:t>
      </w:r>
      <w:proofErr w:type="spellEnd"/>
      <w:r w:rsidRPr="001E005B">
        <w:rPr>
          <w:rFonts w:ascii="Lato" w:hAnsi="Lato" w:cs="Times New Roman"/>
          <w:sz w:val="20"/>
          <w:szCs w:val="20"/>
        </w:rPr>
        <w:t xml:space="preserve"> ma wielką MOC!” za łączną kwotę 154 600,00 zł. Projekt dotyczy promowania wolontariatu osób starszych/wobec osób starszych i edukacji osób starszych.</w:t>
      </w:r>
    </w:p>
    <w:p w14:paraId="6CAE45B3" w14:textId="77777777" w:rsidR="000B6E2C" w:rsidRPr="001E005B" w:rsidRDefault="000B6E2C" w:rsidP="008107B4">
      <w:pPr>
        <w:spacing w:after="0" w:line="240" w:lineRule="auto"/>
        <w:jc w:val="both"/>
        <w:rPr>
          <w:rFonts w:ascii="Lato" w:hAnsi="Lato" w:cs="Times New Roman"/>
          <w:sz w:val="20"/>
          <w:szCs w:val="20"/>
        </w:rPr>
      </w:pPr>
    </w:p>
    <w:p w14:paraId="5D741648" w14:textId="408B9F32"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 xml:space="preserve">W ramach Rządowego Programu Wspierania i Rozwoju Wolontariatu Długoterminowego na lata 2018-2030 „Korpus Solidarności” pięciu Partnerów Korpusu Solidarności zrealizowało łącznie 14 inicjatyw promujących model edukacji obywatelskiej zorientowanej na wolontariat seniorów, w tym m.in.: wizyty studyjne, szkolenie z pisania projektów </w:t>
      </w:r>
      <w:proofErr w:type="spellStart"/>
      <w:r w:rsidRPr="001E005B">
        <w:rPr>
          <w:rFonts w:ascii="Lato" w:hAnsi="Lato" w:cs="Times New Roman"/>
          <w:sz w:val="20"/>
          <w:szCs w:val="20"/>
        </w:rPr>
        <w:t>wolontariackich</w:t>
      </w:r>
      <w:proofErr w:type="spellEnd"/>
      <w:r w:rsidRPr="001E005B">
        <w:rPr>
          <w:rFonts w:ascii="Lato" w:hAnsi="Lato" w:cs="Times New Roman"/>
          <w:sz w:val="20"/>
          <w:szCs w:val="20"/>
        </w:rPr>
        <w:t xml:space="preserve">, warsztaty komunikacji międzypokoleniowej, spotkanie branżowe „Wolontariat w obszarze pomocy społecznej”, inicjatywy </w:t>
      </w:r>
      <w:proofErr w:type="spellStart"/>
      <w:r w:rsidRPr="001E005B">
        <w:rPr>
          <w:rFonts w:ascii="Lato" w:hAnsi="Lato" w:cs="Times New Roman"/>
          <w:sz w:val="20"/>
          <w:szCs w:val="20"/>
        </w:rPr>
        <w:t>wolontarystyczne</w:t>
      </w:r>
      <w:proofErr w:type="spellEnd"/>
      <w:r w:rsidRPr="001E005B">
        <w:rPr>
          <w:rFonts w:ascii="Lato" w:hAnsi="Lato" w:cs="Times New Roman"/>
          <w:sz w:val="20"/>
          <w:szCs w:val="20"/>
        </w:rPr>
        <w:t xml:space="preserve"> realizowane przez osoby starsze, szkolenie podstawowe o KS dla seniorów.</w:t>
      </w:r>
    </w:p>
    <w:p w14:paraId="55D63488" w14:textId="77777777" w:rsidR="000B6E2C" w:rsidRPr="001E005B" w:rsidRDefault="000B6E2C" w:rsidP="008107B4">
      <w:pPr>
        <w:spacing w:after="0" w:line="240" w:lineRule="auto"/>
        <w:jc w:val="both"/>
        <w:rPr>
          <w:rFonts w:ascii="Lato" w:hAnsi="Lato" w:cs="Times New Roman"/>
          <w:sz w:val="20"/>
          <w:szCs w:val="20"/>
        </w:rPr>
      </w:pPr>
    </w:p>
    <w:p w14:paraId="4987C151" w14:textId="7CAE13D2"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Kolejnym działaniem było wspieranie organizacji pozarządowych, innych podmiotów prowadzących działalność pożytku publicznego, ruchów czy lokalnych inicjatyw, stojących na straży praw osób starszych.</w:t>
      </w:r>
    </w:p>
    <w:p w14:paraId="78100F3F" w14:textId="0F184BB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 Rządowym Programie Wspierania i Rozwoju Wolontariatu Długoterminowego na lata 2018-2030 „Korpus Solidarności” w 2022 r. działało 23 Partnerów Korpusu, 16 regionalnych i 7 lokalnych. Są to organizacje sektora organizacji pozarządowych. Partnerzy działają m.in. w obszarze promowania wolontariatu osób starszych oraz wobec osób starszych.</w:t>
      </w:r>
    </w:p>
    <w:p w14:paraId="3B57FBBB" w14:textId="77777777" w:rsidR="000B6E2C" w:rsidRPr="001E005B" w:rsidRDefault="000B6E2C" w:rsidP="008107B4">
      <w:pPr>
        <w:spacing w:after="0" w:line="240" w:lineRule="auto"/>
        <w:jc w:val="both"/>
        <w:rPr>
          <w:rFonts w:ascii="Lato" w:hAnsi="Lato" w:cs="Times New Roman"/>
          <w:sz w:val="20"/>
          <w:szCs w:val="20"/>
        </w:rPr>
      </w:pPr>
    </w:p>
    <w:p w14:paraId="1B25E763" w14:textId="6BB70319"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Ponadto budowano sieci poradnictwa, włączając w to organizacje pozarządowe, inne podmioty prowadzące działalność pożytku publicznego oraz związki wyznaniowe.</w:t>
      </w:r>
    </w:p>
    <w:p w14:paraId="532DF74D" w14:textId="77777777" w:rsidR="001E005B" w:rsidRDefault="001E005B" w:rsidP="008107B4">
      <w:pPr>
        <w:spacing w:after="0" w:line="240" w:lineRule="auto"/>
        <w:jc w:val="both"/>
        <w:rPr>
          <w:rFonts w:ascii="Lato" w:hAnsi="Lato" w:cs="Times New Roman"/>
          <w:sz w:val="20"/>
          <w:szCs w:val="20"/>
        </w:rPr>
      </w:pPr>
    </w:p>
    <w:p w14:paraId="182A926A" w14:textId="67E83B0B"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Wspierano również projekty społeczne, realizowane przez organizacje pozarządowe i inne podmioty prowadzące działalność pożytku publicznego, które zajmują się promowaniem solidarności i integracji międzypokoleniowej, współdziałania i współpracy dzieci i młodzieży z osobami starszymi i organizacjami senioralnymi.</w:t>
      </w:r>
    </w:p>
    <w:p w14:paraId="343FB0FE" w14:textId="77777777" w:rsidR="000B6E2C" w:rsidRPr="001E005B" w:rsidRDefault="000B6E2C" w:rsidP="008107B4">
      <w:pPr>
        <w:spacing w:after="0" w:line="240" w:lineRule="auto"/>
        <w:jc w:val="both"/>
        <w:rPr>
          <w:rFonts w:ascii="Lato" w:hAnsi="Lato" w:cs="Times New Roman"/>
          <w:sz w:val="20"/>
          <w:szCs w:val="20"/>
        </w:rPr>
      </w:pPr>
    </w:p>
    <w:p w14:paraId="0A75DADE" w14:textId="7777777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Wsparto łącznie 13 projektów społecznych, realizowanych przez te podmioty, w tym:</w:t>
      </w:r>
    </w:p>
    <w:p w14:paraId="665A1AE9" w14:textId="77777777" w:rsidR="000B6E2C" w:rsidRPr="001E005B" w:rsidRDefault="000B6E2C" w:rsidP="008107B4">
      <w:pPr>
        <w:pStyle w:val="Akapitzlist"/>
        <w:numPr>
          <w:ilvl w:val="0"/>
          <w:numId w:val="33"/>
        </w:numPr>
        <w:spacing w:after="0" w:line="240" w:lineRule="auto"/>
        <w:jc w:val="both"/>
        <w:rPr>
          <w:rFonts w:ascii="Lato" w:hAnsi="Lato" w:cs="Times New Roman"/>
          <w:sz w:val="20"/>
          <w:szCs w:val="20"/>
        </w:rPr>
      </w:pPr>
      <w:r w:rsidRPr="001E005B">
        <w:rPr>
          <w:rFonts w:ascii="Lato" w:hAnsi="Lato" w:cs="Times New Roman"/>
          <w:sz w:val="20"/>
          <w:szCs w:val="20"/>
        </w:rPr>
        <w:t>Fundusz Wspierania Organizacji Pożytku Publicznego (2 projekty);</w:t>
      </w:r>
    </w:p>
    <w:p w14:paraId="29C7598D" w14:textId="77777777" w:rsidR="000B6E2C" w:rsidRPr="001E005B" w:rsidRDefault="000B6E2C" w:rsidP="008107B4">
      <w:pPr>
        <w:pStyle w:val="Akapitzlist"/>
        <w:numPr>
          <w:ilvl w:val="0"/>
          <w:numId w:val="33"/>
        </w:numPr>
        <w:spacing w:after="0" w:line="240" w:lineRule="auto"/>
        <w:jc w:val="both"/>
        <w:rPr>
          <w:rFonts w:ascii="Lato" w:hAnsi="Lato" w:cs="Times New Roman"/>
          <w:sz w:val="20"/>
          <w:szCs w:val="20"/>
        </w:rPr>
      </w:pPr>
      <w:r w:rsidRPr="001E005B">
        <w:rPr>
          <w:rFonts w:ascii="Lato" w:hAnsi="Lato" w:cs="Times New Roman"/>
          <w:sz w:val="20"/>
          <w:szCs w:val="20"/>
        </w:rPr>
        <w:t>Rządowy Program Fundusz Inicjatyw Obywatelskich NOWEFIO (9 projektów);</w:t>
      </w:r>
    </w:p>
    <w:p w14:paraId="5FC34831" w14:textId="77777777" w:rsidR="000B6E2C" w:rsidRPr="001E005B" w:rsidRDefault="000B6E2C" w:rsidP="008107B4">
      <w:pPr>
        <w:pStyle w:val="Akapitzlist"/>
        <w:numPr>
          <w:ilvl w:val="0"/>
          <w:numId w:val="33"/>
        </w:numPr>
        <w:spacing w:after="0" w:line="240" w:lineRule="auto"/>
        <w:jc w:val="both"/>
        <w:rPr>
          <w:rFonts w:ascii="Lato" w:hAnsi="Lato" w:cs="Times New Roman"/>
          <w:sz w:val="20"/>
          <w:szCs w:val="20"/>
        </w:rPr>
      </w:pPr>
      <w:r w:rsidRPr="001E005B">
        <w:rPr>
          <w:rFonts w:ascii="Lato" w:hAnsi="Lato" w:cs="Times New Roman"/>
          <w:sz w:val="20"/>
          <w:szCs w:val="20"/>
        </w:rPr>
        <w:t>Rządowy Program Fundusz Młodzieżowy na lata 2022–2033 (1 projekt);</w:t>
      </w:r>
    </w:p>
    <w:p w14:paraId="61B57510" w14:textId="77777777" w:rsidR="000B6E2C" w:rsidRPr="001E005B" w:rsidRDefault="000B6E2C" w:rsidP="008107B4">
      <w:pPr>
        <w:pStyle w:val="Akapitzlist"/>
        <w:numPr>
          <w:ilvl w:val="0"/>
          <w:numId w:val="33"/>
        </w:numPr>
        <w:spacing w:after="0" w:line="240" w:lineRule="auto"/>
        <w:jc w:val="both"/>
        <w:rPr>
          <w:rFonts w:ascii="Lato" w:hAnsi="Lato" w:cs="Times New Roman"/>
          <w:sz w:val="20"/>
          <w:szCs w:val="20"/>
        </w:rPr>
      </w:pPr>
      <w:r w:rsidRPr="001E005B">
        <w:rPr>
          <w:rFonts w:ascii="Lato" w:hAnsi="Lato" w:cs="Times New Roman"/>
          <w:sz w:val="20"/>
          <w:szCs w:val="20"/>
        </w:rPr>
        <w:t>Rządowy Program Rozwoju Organizacji Obywatelskich PROO (1 projekt)</w:t>
      </w:r>
    </w:p>
    <w:p w14:paraId="0958CAEC" w14:textId="7777777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 xml:space="preserve">na łączną kwotę 2 341 835,50 zł. </w:t>
      </w:r>
    </w:p>
    <w:p w14:paraId="5A7DDF3D" w14:textId="77777777" w:rsidR="000B6E2C" w:rsidRPr="001E005B" w:rsidRDefault="000B6E2C" w:rsidP="008107B4">
      <w:pPr>
        <w:spacing w:after="0" w:line="240" w:lineRule="auto"/>
        <w:jc w:val="both"/>
        <w:rPr>
          <w:rFonts w:ascii="Lato" w:hAnsi="Lato" w:cs="Times New Roman"/>
          <w:sz w:val="20"/>
          <w:szCs w:val="20"/>
        </w:rPr>
      </w:pPr>
    </w:p>
    <w:p w14:paraId="2E6D66A0" w14:textId="39610808"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 xml:space="preserve">Projekty te dotyczą m.in. międzypokoleniowej aktywności społeczności, dialogu międzypokoleniowego, czy realizacji </w:t>
      </w:r>
      <w:proofErr w:type="spellStart"/>
      <w:r w:rsidRPr="001E005B">
        <w:rPr>
          <w:rFonts w:ascii="Lato" w:hAnsi="Lato" w:cs="Times New Roman"/>
          <w:sz w:val="20"/>
          <w:szCs w:val="20"/>
        </w:rPr>
        <w:t>podcastu</w:t>
      </w:r>
      <w:proofErr w:type="spellEnd"/>
      <w:r w:rsidRPr="001E005B">
        <w:rPr>
          <w:rFonts w:ascii="Lato" w:hAnsi="Lato" w:cs="Times New Roman"/>
          <w:sz w:val="20"/>
          <w:szCs w:val="20"/>
        </w:rPr>
        <w:t xml:space="preserve"> międzypokoleniowego.</w:t>
      </w:r>
    </w:p>
    <w:p w14:paraId="14FB0339" w14:textId="77777777" w:rsidR="000B6E2C" w:rsidRPr="001E005B" w:rsidRDefault="000B6E2C" w:rsidP="008107B4">
      <w:pPr>
        <w:spacing w:after="0" w:line="240" w:lineRule="auto"/>
        <w:jc w:val="both"/>
        <w:rPr>
          <w:rFonts w:ascii="Lato" w:hAnsi="Lato" w:cs="Times New Roman"/>
          <w:sz w:val="20"/>
          <w:szCs w:val="20"/>
        </w:rPr>
      </w:pPr>
    </w:p>
    <w:p w14:paraId="3606C604" w14:textId="29EA1A2D"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 ramach Rządowego Programu Fundusz Inicjatyw Obywatelskich NOWEFIO zrealizowano projekt „</w:t>
      </w:r>
      <w:proofErr w:type="spellStart"/>
      <w:r w:rsidRPr="001E005B">
        <w:rPr>
          <w:rFonts w:ascii="Lato" w:hAnsi="Lato" w:cs="Times New Roman"/>
          <w:sz w:val="20"/>
          <w:szCs w:val="20"/>
        </w:rPr>
        <w:t>Bratucka</w:t>
      </w:r>
      <w:proofErr w:type="spellEnd"/>
      <w:r w:rsidRPr="001E005B">
        <w:rPr>
          <w:rFonts w:ascii="Lato" w:hAnsi="Lato" w:cs="Times New Roman"/>
          <w:sz w:val="20"/>
          <w:szCs w:val="20"/>
        </w:rPr>
        <w:t xml:space="preserve"> Wspólnota Rodzin i Pokoleń” za łączną kwotę 250 000,00 zł. Była to inicjatywa na rzecz wspierania spójności rodziny poprzez promowanie międzypokoleniowej wymiany doświadczeń.</w:t>
      </w:r>
    </w:p>
    <w:p w14:paraId="1FB084BB" w14:textId="77777777" w:rsidR="000B6E2C" w:rsidRPr="001E005B" w:rsidRDefault="000B6E2C" w:rsidP="008107B4">
      <w:pPr>
        <w:spacing w:after="0" w:line="240" w:lineRule="auto"/>
        <w:jc w:val="both"/>
        <w:rPr>
          <w:rFonts w:ascii="Lato" w:hAnsi="Lato" w:cs="Times New Roman"/>
          <w:sz w:val="20"/>
          <w:szCs w:val="20"/>
        </w:rPr>
      </w:pPr>
    </w:p>
    <w:p w14:paraId="13C00998" w14:textId="0EB40C9A"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Podjęto również działania mające na celu wspieranie organizacji pozarządowych, innych podmiotów prowadzących działalność pożytku publicznego oraz innych instytucji działających w obszarze edukacji osób starszych.</w:t>
      </w:r>
      <w:r w:rsidR="001E005B">
        <w:rPr>
          <w:rFonts w:ascii="Lato" w:hAnsi="Lato" w:cs="Times New Roman"/>
          <w:sz w:val="20"/>
          <w:szCs w:val="20"/>
        </w:rPr>
        <w:t xml:space="preserve"> </w:t>
      </w:r>
      <w:r w:rsidRPr="001E005B">
        <w:rPr>
          <w:rFonts w:ascii="Lato" w:hAnsi="Lato" w:cs="Times New Roman"/>
          <w:sz w:val="20"/>
          <w:szCs w:val="20"/>
        </w:rPr>
        <w:t>Wsparto łącznie 8 organizacji działających w tym obszarze (uniwersytetów trzeciego wieku i ich zrzeszeń), w tym:</w:t>
      </w:r>
    </w:p>
    <w:p w14:paraId="493CC1CB" w14:textId="77777777" w:rsidR="000B6E2C" w:rsidRPr="001E005B" w:rsidRDefault="000B6E2C" w:rsidP="008107B4">
      <w:pPr>
        <w:pStyle w:val="Akapitzlist"/>
        <w:numPr>
          <w:ilvl w:val="0"/>
          <w:numId w:val="34"/>
        </w:numPr>
        <w:spacing w:after="0" w:line="240" w:lineRule="auto"/>
        <w:jc w:val="both"/>
        <w:rPr>
          <w:rFonts w:ascii="Lato" w:hAnsi="Lato" w:cs="Times New Roman"/>
          <w:sz w:val="20"/>
          <w:szCs w:val="20"/>
        </w:rPr>
      </w:pPr>
      <w:r w:rsidRPr="001E005B">
        <w:rPr>
          <w:rFonts w:ascii="Lato" w:hAnsi="Lato" w:cs="Times New Roman"/>
          <w:sz w:val="20"/>
          <w:szCs w:val="20"/>
        </w:rPr>
        <w:t>Fundusz Wspierania Organizacji Pożytku Publicznego (3 projekty);</w:t>
      </w:r>
    </w:p>
    <w:p w14:paraId="3AE35DB7" w14:textId="77777777" w:rsidR="000B6E2C" w:rsidRPr="001E005B" w:rsidRDefault="000B6E2C" w:rsidP="008107B4">
      <w:pPr>
        <w:pStyle w:val="Akapitzlist"/>
        <w:numPr>
          <w:ilvl w:val="0"/>
          <w:numId w:val="34"/>
        </w:numPr>
        <w:spacing w:after="0" w:line="240" w:lineRule="auto"/>
        <w:jc w:val="both"/>
        <w:rPr>
          <w:rFonts w:ascii="Lato" w:hAnsi="Lato" w:cs="Times New Roman"/>
          <w:sz w:val="20"/>
          <w:szCs w:val="20"/>
        </w:rPr>
      </w:pPr>
      <w:r w:rsidRPr="001E005B">
        <w:rPr>
          <w:rFonts w:ascii="Lato" w:hAnsi="Lato" w:cs="Times New Roman"/>
          <w:sz w:val="20"/>
          <w:szCs w:val="20"/>
        </w:rPr>
        <w:t>Rządowy Program Fundusz Inicjatyw Obywatelskich NOWEFIO (4 projektów);</w:t>
      </w:r>
    </w:p>
    <w:p w14:paraId="3F8F0E92" w14:textId="77777777" w:rsidR="000B6E2C" w:rsidRPr="001E005B" w:rsidRDefault="000B6E2C" w:rsidP="008107B4">
      <w:pPr>
        <w:pStyle w:val="Akapitzlist"/>
        <w:numPr>
          <w:ilvl w:val="0"/>
          <w:numId w:val="34"/>
        </w:numPr>
        <w:spacing w:after="0" w:line="240" w:lineRule="auto"/>
        <w:jc w:val="both"/>
        <w:rPr>
          <w:rFonts w:ascii="Lato" w:hAnsi="Lato" w:cs="Times New Roman"/>
          <w:sz w:val="20"/>
          <w:szCs w:val="20"/>
        </w:rPr>
      </w:pPr>
      <w:r w:rsidRPr="001E005B">
        <w:rPr>
          <w:rFonts w:ascii="Lato" w:hAnsi="Lato" w:cs="Times New Roman"/>
          <w:sz w:val="20"/>
          <w:szCs w:val="20"/>
        </w:rPr>
        <w:t>Rządowy Program Wspierania Rozwoju Organizacji Poradniczych (1 projekt)</w:t>
      </w:r>
    </w:p>
    <w:p w14:paraId="6E2ECFC0" w14:textId="7777777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na łączną kwotę 7 833 606,27 zł.</w:t>
      </w:r>
    </w:p>
    <w:p w14:paraId="37F2B292" w14:textId="77777777" w:rsidR="000B6E2C" w:rsidRPr="001E005B" w:rsidRDefault="000B6E2C" w:rsidP="008107B4">
      <w:pPr>
        <w:spacing w:after="0" w:line="240" w:lineRule="auto"/>
        <w:jc w:val="both"/>
        <w:rPr>
          <w:rFonts w:ascii="Lato" w:hAnsi="Lato" w:cs="Times New Roman"/>
          <w:sz w:val="20"/>
          <w:szCs w:val="20"/>
        </w:rPr>
      </w:pPr>
    </w:p>
    <w:p w14:paraId="14E4FB5A" w14:textId="1FE549EB"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W ramach upowszechniania informacji związanych z edukacją nieformalną, wsparto łącznie 30 inicjatyw, w tym:</w:t>
      </w:r>
    </w:p>
    <w:p w14:paraId="2F8B7640" w14:textId="77777777" w:rsidR="000B6E2C" w:rsidRPr="001E005B" w:rsidRDefault="000B6E2C" w:rsidP="008107B4">
      <w:pPr>
        <w:pStyle w:val="Akapitzlist"/>
        <w:numPr>
          <w:ilvl w:val="0"/>
          <w:numId w:val="35"/>
        </w:numPr>
        <w:spacing w:after="0" w:line="240" w:lineRule="auto"/>
        <w:jc w:val="both"/>
        <w:rPr>
          <w:rFonts w:ascii="Lato" w:hAnsi="Lato" w:cs="Times New Roman"/>
          <w:sz w:val="20"/>
          <w:szCs w:val="20"/>
        </w:rPr>
      </w:pPr>
      <w:r w:rsidRPr="001E005B">
        <w:rPr>
          <w:rFonts w:ascii="Lato" w:hAnsi="Lato" w:cs="Times New Roman"/>
          <w:sz w:val="20"/>
          <w:szCs w:val="20"/>
        </w:rPr>
        <w:t>10 projektów w ramach  Rządowego Programu Rozwoju Organizacji Obywatelskich PROO,</w:t>
      </w:r>
    </w:p>
    <w:p w14:paraId="144444D4" w14:textId="77777777" w:rsidR="000B6E2C" w:rsidRPr="001E005B" w:rsidRDefault="000B6E2C" w:rsidP="008107B4">
      <w:pPr>
        <w:pStyle w:val="Akapitzlist"/>
        <w:numPr>
          <w:ilvl w:val="0"/>
          <w:numId w:val="35"/>
        </w:numPr>
        <w:spacing w:after="0" w:line="240" w:lineRule="auto"/>
        <w:jc w:val="both"/>
        <w:rPr>
          <w:rFonts w:ascii="Lato" w:hAnsi="Lato" w:cs="Times New Roman"/>
          <w:sz w:val="20"/>
          <w:szCs w:val="20"/>
        </w:rPr>
      </w:pPr>
      <w:r w:rsidRPr="001E005B">
        <w:rPr>
          <w:rFonts w:ascii="Lato" w:hAnsi="Lato" w:cs="Times New Roman"/>
          <w:sz w:val="20"/>
          <w:szCs w:val="20"/>
        </w:rPr>
        <w:t>8 projektów w ramach  Rządowego Programu Fundusz Inicjatyw Obywatelskich NOWEFIO,</w:t>
      </w:r>
    </w:p>
    <w:p w14:paraId="1A1128BF" w14:textId="77777777" w:rsidR="000B6E2C" w:rsidRPr="001E005B" w:rsidRDefault="000B6E2C" w:rsidP="008107B4">
      <w:pPr>
        <w:pStyle w:val="Akapitzlist"/>
        <w:numPr>
          <w:ilvl w:val="0"/>
          <w:numId w:val="35"/>
        </w:numPr>
        <w:spacing w:after="0" w:line="240" w:lineRule="auto"/>
        <w:jc w:val="both"/>
        <w:rPr>
          <w:rFonts w:ascii="Lato" w:hAnsi="Lato" w:cs="Times New Roman"/>
          <w:sz w:val="20"/>
          <w:szCs w:val="20"/>
        </w:rPr>
      </w:pPr>
      <w:r w:rsidRPr="001E005B">
        <w:rPr>
          <w:rFonts w:ascii="Lato" w:hAnsi="Lato" w:cs="Times New Roman"/>
          <w:sz w:val="20"/>
          <w:szCs w:val="20"/>
        </w:rPr>
        <w:t>8 w ramach Rządowego Programu Polski Inkubator Rzemiosła,</w:t>
      </w:r>
    </w:p>
    <w:p w14:paraId="1F54F5EA" w14:textId="77777777" w:rsidR="000B6E2C" w:rsidRPr="001E005B" w:rsidRDefault="000B6E2C" w:rsidP="008107B4">
      <w:pPr>
        <w:pStyle w:val="Akapitzlist"/>
        <w:numPr>
          <w:ilvl w:val="0"/>
          <w:numId w:val="35"/>
        </w:numPr>
        <w:spacing w:after="0" w:line="240" w:lineRule="auto"/>
        <w:jc w:val="both"/>
        <w:rPr>
          <w:rFonts w:ascii="Lato" w:hAnsi="Lato" w:cs="Times New Roman"/>
          <w:sz w:val="20"/>
          <w:szCs w:val="20"/>
        </w:rPr>
      </w:pPr>
      <w:r w:rsidRPr="001E005B">
        <w:rPr>
          <w:rFonts w:ascii="Lato" w:hAnsi="Lato" w:cs="Times New Roman"/>
          <w:sz w:val="20"/>
          <w:szCs w:val="20"/>
        </w:rPr>
        <w:t>3 w ramach  Rządowego  Programu Fundusz Młodzieżowy,</w:t>
      </w:r>
    </w:p>
    <w:p w14:paraId="196AD346" w14:textId="77777777" w:rsidR="000B6E2C" w:rsidRPr="001E005B" w:rsidRDefault="000B6E2C" w:rsidP="008107B4">
      <w:pPr>
        <w:pStyle w:val="Akapitzlist"/>
        <w:numPr>
          <w:ilvl w:val="0"/>
          <w:numId w:val="35"/>
        </w:numPr>
        <w:spacing w:after="0" w:line="240" w:lineRule="auto"/>
        <w:jc w:val="both"/>
        <w:rPr>
          <w:rFonts w:ascii="Lato" w:hAnsi="Lato" w:cs="Times New Roman"/>
          <w:sz w:val="20"/>
          <w:szCs w:val="20"/>
        </w:rPr>
      </w:pPr>
      <w:r w:rsidRPr="001E005B">
        <w:rPr>
          <w:rFonts w:ascii="Lato" w:hAnsi="Lato" w:cs="Times New Roman"/>
          <w:sz w:val="20"/>
          <w:szCs w:val="20"/>
        </w:rPr>
        <w:t>1 w ramach  Rządowego Programu Wspierania Rozwoju Organizacji Poradniczych,</w:t>
      </w:r>
    </w:p>
    <w:p w14:paraId="3237DFED" w14:textId="77777777"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na łączną kwotę 5 078 023,39 zł.</w:t>
      </w:r>
    </w:p>
    <w:p w14:paraId="05043893" w14:textId="77777777" w:rsidR="000B6E2C" w:rsidRPr="001E005B" w:rsidRDefault="000B6E2C" w:rsidP="008107B4">
      <w:pPr>
        <w:spacing w:after="0" w:line="240" w:lineRule="auto"/>
        <w:jc w:val="both"/>
        <w:rPr>
          <w:rFonts w:ascii="Lato" w:hAnsi="Lato" w:cs="Times New Roman"/>
          <w:sz w:val="20"/>
          <w:szCs w:val="20"/>
        </w:rPr>
      </w:pPr>
    </w:p>
    <w:p w14:paraId="2496431E" w14:textId="33F4AD46"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lastRenderedPageBreak/>
        <w:t>W celu promowania działań oddolnych, jak banki czasu, banki informacji, grupy wsparcia i grupy samopomocowe, w ramach Rządowego Programu Rozwoju Organizacji Obywatelskich PROO zrealizowano projekt na kwotę 10 000 zł, który dotyczył remontu pomieszczenia schroniska samopomocowego wsparcia.</w:t>
      </w:r>
    </w:p>
    <w:p w14:paraId="71753169" w14:textId="77777777" w:rsidR="000B6E2C" w:rsidRPr="001E005B" w:rsidRDefault="000B6E2C" w:rsidP="008107B4">
      <w:pPr>
        <w:spacing w:after="0" w:line="240" w:lineRule="auto"/>
        <w:jc w:val="both"/>
        <w:rPr>
          <w:rFonts w:ascii="Lato" w:hAnsi="Lato" w:cs="Times New Roman"/>
          <w:sz w:val="20"/>
          <w:szCs w:val="20"/>
        </w:rPr>
      </w:pPr>
    </w:p>
    <w:p w14:paraId="33999C55" w14:textId="36F194E9" w:rsidR="000B6E2C" w:rsidRPr="001E005B" w:rsidRDefault="000B6E2C" w:rsidP="008107B4">
      <w:pPr>
        <w:spacing w:after="0" w:line="240" w:lineRule="auto"/>
        <w:jc w:val="both"/>
        <w:rPr>
          <w:rFonts w:ascii="Lato" w:hAnsi="Lato" w:cs="Times New Roman"/>
          <w:sz w:val="20"/>
          <w:szCs w:val="20"/>
        </w:rPr>
      </w:pPr>
      <w:r w:rsidRPr="001E005B">
        <w:rPr>
          <w:rFonts w:ascii="Lato" w:hAnsi="Lato" w:cs="Times New Roman"/>
          <w:sz w:val="20"/>
          <w:szCs w:val="20"/>
        </w:rPr>
        <w:t>Kolejnym działaniem było włączenie organizacji pozarządowych i innych podmiotów prowadzących działalność pożytku publicznego w praktyki rozwoju wsparcia opiekunów osób niesamodzielnych na poziomie lokalnych projektów.</w:t>
      </w:r>
    </w:p>
    <w:p w14:paraId="270F38D4" w14:textId="77777777" w:rsidR="000B6E2C" w:rsidRPr="000B6E2C" w:rsidRDefault="000B6E2C" w:rsidP="008107B4">
      <w:pPr>
        <w:spacing w:after="0" w:line="240" w:lineRule="auto"/>
        <w:jc w:val="both"/>
        <w:rPr>
          <w:rFonts w:ascii="Lato" w:hAnsi="Lato" w:cs="Times New Roman"/>
          <w:sz w:val="20"/>
          <w:szCs w:val="20"/>
        </w:rPr>
      </w:pPr>
      <w:r w:rsidRPr="000B6E2C">
        <w:rPr>
          <w:rFonts w:ascii="Lato" w:hAnsi="Lato" w:cs="Times New Roman"/>
          <w:sz w:val="20"/>
          <w:szCs w:val="20"/>
        </w:rPr>
        <w:t>Wsparto łącznie 13 organizacji działających w tym obszarze, w tym:</w:t>
      </w:r>
    </w:p>
    <w:p w14:paraId="0E03EF97" w14:textId="77777777" w:rsidR="000B6E2C" w:rsidRPr="000B6E2C" w:rsidRDefault="000B6E2C" w:rsidP="008107B4">
      <w:pPr>
        <w:pStyle w:val="Akapitzlist"/>
        <w:numPr>
          <w:ilvl w:val="0"/>
          <w:numId w:val="36"/>
        </w:numPr>
        <w:spacing w:after="0" w:line="240" w:lineRule="auto"/>
        <w:jc w:val="both"/>
        <w:rPr>
          <w:rFonts w:ascii="Lato" w:hAnsi="Lato" w:cs="Times New Roman"/>
          <w:sz w:val="20"/>
          <w:szCs w:val="20"/>
        </w:rPr>
      </w:pPr>
      <w:r w:rsidRPr="000B6E2C">
        <w:rPr>
          <w:rFonts w:ascii="Lato" w:hAnsi="Lato" w:cs="Times New Roman"/>
          <w:sz w:val="20"/>
          <w:szCs w:val="20"/>
        </w:rPr>
        <w:t>3 projekty w ramach Rządowego Programu Rozwoju Organizacji Obywatelskich PROO,</w:t>
      </w:r>
    </w:p>
    <w:p w14:paraId="480B2DC6" w14:textId="77777777" w:rsidR="000B6E2C" w:rsidRPr="000B6E2C" w:rsidRDefault="000B6E2C" w:rsidP="008107B4">
      <w:pPr>
        <w:pStyle w:val="Akapitzlist"/>
        <w:numPr>
          <w:ilvl w:val="0"/>
          <w:numId w:val="36"/>
        </w:numPr>
        <w:spacing w:after="0" w:line="240" w:lineRule="auto"/>
        <w:jc w:val="both"/>
        <w:rPr>
          <w:rFonts w:ascii="Lato" w:hAnsi="Lato" w:cs="Times New Roman"/>
          <w:sz w:val="20"/>
          <w:szCs w:val="20"/>
        </w:rPr>
      </w:pPr>
      <w:r w:rsidRPr="000B6E2C">
        <w:rPr>
          <w:rFonts w:ascii="Lato" w:hAnsi="Lato" w:cs="Times New Roman"/>
          <w:sz w:val="20"/>
          <w:szCs w:val="20"/>
        </w:rPr>
        <w:t>4 w ramach Funduszu Wspierania Organizacji Pożytku Publicznego,</w:t>
      </w:r>
    </w:p>
    <w:p w14:paraId="6FE7EE6D" w14:textId="77777777" w:rsidR="000B6E2C" w:rsidRPr="000B6E2C" w:rsidRDefault="000B6E2C" w:rsidP="008107B4">
      <w:pPr>
        <w:pStyle w:val="Akapitzlist"/>
        <w:numPr>
          <w:ilvl w:val="0"/>
          <w:numId w:val="36"/>
        </w:numPr>
        <w:spacing w:after="0" w:line="240" w:lineRule="auto"/>
        <w:jc w:val="both"/>
        <w:rPr>
          <w:rFonts w:ascii="Lato" w:hAnsi="Lato" w:cs="Times New Roman"/>
          <w:sz w:val="20"/>
          <w:szCs w:val="20"/>
        </w:rPr>
      </w:pPr>
      <w:r w:rsidRPr="000B6E2C">
        <w:rPr>
          <w:rFonts w:ascii="Lato" w:hAnsi="Lato" w:cs="Times New Roman"/>
          <w:sz w:val="20"/>
          <w:szCs w:val="20"/>
        </w:rPr>
        <w:t>1 w ramach  Rządowego Programu Funduszu Młodzieżowego,</w:t>
      </w:r>
    </w:p>
    <w:p w14:paraId="2FB2C236" w14:textId="77777777" w:rsidR="000B6E2C" w:rsidRPr="000B6E2C" w:rsidRDefault="000B6E2C" w:rsidP="008107B4">
      <w:pPr>
        <w:pStyle w:val="Akapitzlist"/>
        <w:numPr>
          <w:ilvl w:val="0"/>
          <w:numId w:val="36"/>
        </w:numPr>
        <w:spacing w:after="0" w:line="240" w:lineRule="auto"/>
        <w:jc w:val="both"/>
        <w:rPr>
          <w:rFonts w:ascii="Lato" w:hAnsi="Lato" w:cs="Times New Roman"/>
          <w:sz w:val="20"/>
          <w:szCs w:val="20"/>
        </w:rPr>
      </w:pPr>
      <w:r w:rsidRPr="000B6E2C">
        <w:rPr>
          <w:rFonts w:ascii="Lato" w:hAnsi="Lato" w:cs="Times New Roman"/>
          <w:sz w:val="20"/>
          <w:szCs w:val="20"/>
        </w:rPr>
        <w:t>2 w ramach  Rządowego Programu Fundusz Inicjatyw Obywatelskich NOWEFIO,</w:t>
      </w:r>
    </w:p>
    <w:p w14:paraId="77D159C5" w14:textId="77777777" w:rsidR="000B6E2C" w:rsidRPr="000B6E2C" w:rsidRDefault="000B6E2C" w:rsidP="008107B4">
      <w:pPr>
        <w:pStyle w:val="Akapitzlist"/>
        <w:numPr>
          <w:ilvl w:val="0"/>
          <w:numId w:val="36"/>
        </w:numPr>
        <w:spacing w:after="0" w:line="240" w:lineRule="auto"/>
        <w:jc w:val="both"/>
        <w:rPr>
          <w:rFonts w:ascii="Lato" w:hAnsi="Lato" w:cs="Times New Roman"/>
          <w:sz w:val="20"/>
          <w:szCs w:val="20"/>
        </w:rPr>
      </w:pPr>
      <w:r w:rsidRPr="000B6E2C">
        <w:rPr>
          <w:rFonts w:ascii="Lato" w:hAnsi="Lato" w:cs="Times New Roman"/>
          <w:sz w:val="20"/>
          <w:szCs w:val="20"/>
        </w:rPr>
        <w:t>3 w ramach  Rządowego Programu Wspierania Rozwoju Organizacji Poradniczych</w:t>
      </w:r>
    </w:p>
    <w:p w14:paraId="1DE93281" w14:textId="6BD64EA7" w:rsidR="001E005B" w:rsidRDefault="000B6E2C" w:rsidP="001E005B">
      <w:pPr>
        <w:spacing w:after="0" w:line="240" w:lineRule="auto"/>
        <w:jc w:val="both"/>
        <w:rPr>
          <w:rFonts w:ascii="Lato" w:hAnsi="Lato" w:cs="Times New Roman"/>
          <w:sz w:val="20"/>
          <w:szCs w:val="20"/>
        </w:rPr>
      </w:pPr>
      <w:r w:rsidRPr="000B6E2C">
        <w:rPr>
          <w:rFonts w:ascii="Lato" w:hAnsi="Lato" w:cs="Times New Roman"/>
          <w:sz w:val="20"/>
          <w:szCs w:val="20"/>
        </w:rPr>
        <w:t>na łączną kwotę 1 484 290,69 zł.</w:t>
      </w:r>
    </w:p>
    <w:p w14:paraId="179458D4" w14:textId="77777777" w:rsidR="000F3758" w:rsidRPr="001E005B" w:rsidRDefault="000F3758" w:rsidP="001E005B">
      <w:pPr>
        <w:spacing w:after="0" w:line="240" w:lineRule="auto"/>
        <w:jc w:val="both"/>
        <w:rPr>
          <w:rFonts w:ascii="Lato" w:hAnsi="Lato" w:cs="Times New Roman"/>
          <w:sz w:val="20"/>
          <w:szCs w:val="20"/>
        </w:rPr>
      </w:pPr>
    </w:p>
    <w:p w14:paraId="6DB8E917" w14:textId="20C955AD" w:rsidR="00FB258C" w:rsidRPr="00DB2792" w:rsidRDefault="00FB258C" w:rsidP="00DB2792">
      <w:pPr>
        <w:pStyle w:val="Nagwek2"/>
        <w:numPr>
          <w:ilvl w:val="1"/>
          <w:numId w:val="172"/>
        </w:numPr>
        <w:rPr>
          <w:b/>
          <w:bCs/>
        </w:rPr>
      </w:pPr>
      <w:bookmarkStart w:id="119" w:name="_Toc142565945"/>
      <w:r w:rsidRPr="00DB2792">
        <w:rPr>
          <w:b/>
          <w:bCs/>
        </w:rPr>
        <w:t>Urząd Ochrony Konkurencji i Konsumentów</w:t>
      </w:r>
      <w:bookmarkEnd w:id="119"/>
    </w:p>
    <w:p w14:paraId="32E48E81" w14:textId="1B7CF99E" w:rsidR="00E30EB9" w:rsidRDefault="00E30EB9" w:rsidP="00E30EB9">
      <w:pPr>
        <w:spacing w:after="0" w:line="240" w:lineRule="auto"/>
        <w:jc w:val="both"/>
        <w:rPr>
          <w:rFonts w:ascii="Lato" w:hAnsi="Lato" w:cstheme="minorHAnsi"/>
          <w:sz w:val="20"/>
          <w:szCs w:val="20"/>
        </w:rPr>
      </w:pPr>
      <w:r w:rsidRPr="00E30EB9">
        <w:rPr>
          <w:rFonts w:ascii="Lato" w:hAnsi="Lato" w:cstheme="minorHAnsi"/>
          <w:sz w:val="20"/>
          <w:szCs w:val="20"/>
        </w:rPr>
        <w:t xml:space="preserve">Głównym źródłem nieprawidłowości na rynku towarów i usług oferowanych m. in. seniorom są nieuczciwe, wręcz przestępcze praktyki stosowane przez przedsiębiorców działających na rynku sprzedaży bezpośredniej, polegające na wykorzystywaniu wieku, stanu zdrowia, sytuacji rodzinnej potencjalnych nabywców (większa ufność, mniejsza skłonność do skarżenia się na oszustwo). Ponadto, można zaobserwować stosowanie nieuczciwych socjotechnik w celu wpłynięcia na decyzje rynkowe konsumentów. </w:t>
      </w:r>
    </w:p>
    <w:p w14:paraId="2480E8FC" w14:textId="77777777" w:rsidR="00E30EB9" w:rsidRPr="00E30EB9" w:rsidRDefault="00E30EB9" w:rsidP="00E30EB9">
      <w:pPr>
        <w:spacing w:after="0" w:line="240" w:lineRule="auto"/>
        <w:jc w:val="both"/>
        <w:rPr>
          <w:rFonts w:ascii="Lato" w:hAnsi="Lato" w:cstheme="minorHAnsi"/>
          <w:sz w:val="20"/>
          <w:szCs w:val="20"/>
        </w:rPr>
      </w:pPr>
    </w:p>
    <w:p w14:paraId="2C93E6D2" w14:textId="446C4CAF" w:rsidR="00E30EB9" w:rsidRPr="00E30EB9" w:rsidRDefault="00E30EB9" w:rsidP="00E30EB9">
      <w:pPr>
        <w:spacing w:after="0" w:line="240" w:lineRule="auto"/>
        <w:jc w:val="both"/>
        <w:rPr>
          <w:rFonts w:ascii="Lato" w:hAnsi="Lato"/>
          <w:bCs/>
          <w:sz w:val="20"/>
          <w:szCs w:val="20"/>
          <w:lang w:bidi="pl-PL"/>
        </w:rPr>
      </w:pPr>
      <w:r w:rsidRPr="00E30EB9">
        <w:rPr>
          <w:rFonts w:ascii="Lato" w:hAnsi="Lato"/>
          <w:bCs/>
          <w:sz w:val="20"/>
          <w:szCs w:val="20"/>
        </w:rPr>
        <w:t xml:space="preserve">Praktyka obserwowana przez UOKiK pokazała, że taki tryb zawierania umów rodzi dla konsumentów (w szczególności osób starszych, emerytów) szczególne zagrożenia w porównaniu z umową zawartą w lokalu przedsiębiorstwa. Podczas sprzedaży dokonywanej np. podczas pokazów, prezentacji, wykładów, pielgrzymek, wycieczek, pobytów w sanatoriach, jak również podczas tzw. sprzedaży </w:t>
      </w:r>
      <w:proofErr w:type="spellStart"/>
      <w:r w:rsidRPr="00E30EB9">
        <w:rPr>
          <w:rFonts w:ascii="Lato" w:hAnsi="Lato"/>
          <w:bCs/>
          <w:i/>
          <w:sz w:val="20"/>
          <w:szCs w:val="20"/>
        </w:rPr>
        <w:t>door</w:t>
      </w:r>
      <w:proofErr w:type="spellEnd"/>
      <w:r w:rsidRPr="00E30EB9">
        <w:rPr>
          <w:rFonts w:ascii="Lato" w:hAnsi="Lato"/>
          <w:bCs/>
          <w:i/>
          <w:sz w:val="20"/>
          <w:szCs w:val="20"/>
        </w:rPr>
        <w:t>-to-</w:t>
      </w:r>
      <w:proofErr w:type="spellStart"/>
      <w:r w:rsidRPr="00E30EB9">
        <w:rPr>
          <w:rFonts w:ascii="Lato" w:hAnsi="Lato"/>
          <w:bCs/>
          <w:i/>
          <w:sz w:val="20"/>
          <w:szCs w:val="20"/>
        </w:rPr>
        <w:t>door</w:t>
      </w:r>
      <w:proofErr w:type="spellEnd"/>
      <w:r w:rsidRPr="00E30EB9">
        <w:rPr>
          <w:rFonts w:ascii="Lato" w:hAnsi="Lato"/>
          <w:bCs/>
          <w:sz w:val="20"/>
          <w:szCs w:val="20"/>
        </w:rPr>
        <w:t xml:space="preserve"> konsument na ogół bywa poddany większej presji psychologicznej ze strony przedsiębiorcy. Przedsiębiorca może m.in. wykorzystywać element zaskoczenia, stwarzać atmosferę „szczególnej okazji” lub w inny sposób wpływać na decyzję konsumenta co do zawarcia umowy. W związku z tym często zdarza się, że umowy takie są zawierane przez konsumenta pochopnie, bez dostatecznego przemyślenia i racjonalnych powodów. Dodatkowym czynnikiem ryzyka jest kierowanie takich ofert do szczególnej grupy konsumentów tj. osób starszych, głównie emerytów, którzy mają stałe źródło dochodów i tym samym łatwo uzyskują finansowanie swoich zakupów kredytem konsumenckim, zaciąganym przy okazji zakupu towaru lub usługi na</w:t>
      </w:r>
      <w:r w:rsidRPr="00E30EB9">
        <w:rPr>
          <w:rFonts w:ascii="Lato" w:hAnsi="Lato"/>
          <w:bCs/>
          <w:sz w:val="20"/>
          <w:szCs w:val="20"/>
          <w:lang w:bidi="pl-PL"/>
        </w:rPr>
        <w:t xml:space="preserve"> pokazie. </w:t>
      </w:r>
    </w:p>
    <w:p w14:paraId="2386E6BD" w14:textId="77777777" w:rsidR="00E30EB9" w:rsidRDefault="00E30EB9" w:rsidP="00E30EB9">
      <w:pPr>
        <w:spacing w:after="0" w:line="240" w:lineRule="auto"/>
        <w:jc w:val="both"/>
        <w:rPr>
          <w:rFonts w:ascii="Lato" w:hAnsi="Lato"/>
          <w:bCs/>
          <w:sz w:val="20"/>
          <w:szCs w:val="20"/>
        </w:rPr>
      </w:pPr>
    </w:p>
    <w:p w14:paraId="410AC8FA" w14:textId="09C69D22" w:rsidR="00E30EB9" w:rsidRPr="00E30EB9" w:rsidRDefault="00E30EB9" w:rsidP="00E30EB9">
      <w:pPr>
        <w:spacing w:after="0" w:line="240" w:lineRule="auto"/>
        <w:jc w:val="both"/>
        <w:rPr>
          <w:rFonts w:ascii="Lato" w:hAnsi="Lato" w:cstheme="minorHAnsi"/>
          <w:sz w:val="20"/>
          <w:szCs w:val="20"/>
        </w:rPr>
      </w:pPr>
      <w:r w:rsidRPr="00E30EB9">
        <w:rPr>
          <w:rFonts w:ascii="Lato" w:hAnsi="Lato"/>
          <w:bCs/>
          <w:sz w:val="20"/>
          <w:szCs w:val="20"/>
        </w:rPr>
        <w:t>W ostatnich latach UOKiK obserwuje istotne nasilenie nieuczciwych praktyk przedsiębiorców funkcjonujących na rynku sprzedaży bezpośredniej, czyli zajmujących się sprzedażą towarów i usług poza lokalem przedsiębiorstwa (</w:t>
      </w:r>
      <w:bookmarkStart w:id="120" w:name="_Hlk135907668"/>
      <w:r w:rsidRPr="00E30EB9">
        <w:rPr>
          <w:rFonts w:ascii="Lato" w:hAnsi="Lato"/>
          <w:bCs/>
          <w:sz w:val="20"/>
          <w:szCs w:val="20"/>
        </w:rPr>
        <w:t xml:space="preserve">podczas pokazów, prezentacji, wykładów, pielgrzymek, wycieczek, pobytów w sanatoriach, jak również podczas tzw. sprzedaży </w:t>
      </w:r>
      <w:proofErr w:type="spellStart"/>
      <w:r w:rsidRPr="00E30EB9">
        <w:rPr>
          <w:rFonts w:ascii="Lato" w:hAnsi="Lato"/>
          <w:bCs/>
          <w:i/>
          <w:sz w:val="20"/>
          <w:szCs w:val="20"/>
        </w:rPr>
        <w:t>door</w:t>
      </w:r>
      <w:proofErr w:type="spellEnd"/>
      <w:r w:rsidRPr="00E30EB9">
        <w:rPr>
          <w:rFonts w:ascii="Lato" w:hAnsi="Lato"/>
          <w:bCs/>
          <w:i/>
          <w:sz w:val="20"/>
          <w:szCs w:val="20"/>
        </w:rPr>
        <w:t>-to-</w:t>
      </w:r>
      <w:proofErr w:type="spellStart"/>
      <w:r w:rsidRPr="00E30EB9">
        <w:rPr>
          <w:rFonts w:ascii="Lato" w:hAnsi="Lato"/>
          <w:bCs/>
          <w:i/>
          <w:sz w:val="20"/>
          <w:szCs w:val="20"/>
        </w:rPr>
        <w:t>door</w:t>
      </w:r>
      <w:bookmarkEnd w:id="120"/>
      <w:proofErr w:type="spellEnd"/>
      <w:r w:rsidRPr="00E30EB9">
        <w:rPr>
          <w:rFonts w:ascii="Lato" w:hAnsi="Lato"/>
          <w:bCs/>
          <w:sz w:val="20"/>
          <w:szCs w:val="20"/>
        </w:rPr>
        <w:t xml:space="preserve">). </w:t>
      </w:r>
      <w:r w:rsidRPr="00E30EB9">
        <w:rPr>
          <w:rFonts w:ascii="Lato" w:hAnsi="Lato" w:cstheme="minorHAnsi"/>
          <w:sz w:val="20"/>
          <w:szCs w:val="20"/>
        </w:rPr>
        <w:t>Nieuczciwe praktyki przedsiębiorców prowadzących sprzedaż poza lokalem przedsiębiorstwa polegają w szczególności na:</w:t>
      </w:r>
    </w:p>
    <w:p w14:paraId="433A135B"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wykonywaniu połączeń telefonicznych do konsumentów dla celów marketingu bezpośredniego pomimo niedysponowania uprzednią zgodą;</w:t>
      </w:r>
    </w:p>
    <w:p w14:paraId="2DECC24C"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nieujawnianiu handlowego celu pokazu (sugerowanie konsumentom, że przedmiotem prezentacji są bezpłatne badania medyczne, diagnostyczne lub darmowe zabiegi rehabilitacyjne);</w:t>
      </w:r>
    </w:p>
    <w:p w14:paraId="141EB562"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wprowadzaniu konsumentów w błąd co do ich stanu zdrowia;</w:t>
      </w:r>
    </w:p>
    <w:p w14:paraId="0FA6E2AD"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 xml:space="preserve">wprowadzeniu w błąd co do właściwości produktów – sugerowanie, że są w stanie leczyć schorzenia; </w:t>
      </w:r>
    </w:p>
    <w:p w14:paraId="120F5A5B"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stosowanie przynęty w postaci „bezpłatnych upominków” za sam udział w prezentacji (w rzeczywistości ich otrzymanie zależne jest od nabycia innych oferowanych przez przedsiębiorcę towarów);</w:t>
      </w:r>
    </w:p>
    <w:p w14:paraId="718FF368"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nieadekwatność ceny oferowanych produktów i usług do ich rzeczywistej wartości;</w:t>
      </w:r>
    </w:p>
    <w:p w14:paraId="65FF4D6F" w14:textId="77777777" w:rsid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fałszywe promocje - w rzeczywistości sprzedaż w ramach standardowej oferty;</w:t>
      </w:r>
    </w:p>
    <w:p w14:paraId="055531A7" w14:textId="1EA61EFB" w:rsidR="00E30EB9" w:rsidRPr="00E30EB9" w:rsidRDefault="00E30EB9" w:rsidP="0059185B">
      <w:pPr>
        <w:pStyle w:val="Akapitzlist"/>
        <w:numPr>
          <w:ilvl w:val="0"/>
          <w:numId w:val="151"/>
        </w:numPr>
        <w:spacing w:after="0" w:line="240" w:lineRule="auto"/>
        <w:jc w:val="both"/>
        <w:rPr>
          <w:rFonts w:ascii="Lato" w:hAnsi="Lato" w:cstheme="minorHAnsi"/>
          <w:sz w:val="20"/>
          <w:szCs w:val="20"/>
        </w:rPr>
      </w:pPr>
      <w:r w:rsidRPr="00E30EB9">
        <w:rPr>
          <w:rFonts w:ascii="Lato" w:hAnsi="Lato" w:cstheme="minorHAnsi"/>
          <w:sz w:val="20"/>
          <w:szCs w:val="20"/>
        </w:rPr>
        <w:t>nieinformowanie o prawie odstąpienia od umowy, utrudnianie lub nierespektowanie tego prawa.</w:t>
      </w:r>
    </w:p>
    <w:p w14:paraId="5F45FB53" w14:textId="77777777" w:rsidR="00E30EB9" w:rsidRDefault="00E30EB9" w:rsidP="00E30EB9">
      <w:pPr>
        <w:spacing w:after="0" w:line="240" w:lineRule="auto"/>
        <w:jc w:val="both"/>
        <w:rPr>
          <w:rFonts w:ascii="Lato" w:hAnsi="Lato" w:cstheme="minorHAnsi"/>
          <w:sz w:val="20"/>
          <w:szCs w:val="20"/>
        </w:rPr>
      </w:pPr>
    </w:p>
    <w:p w14:paraId="305E8DE3" w14:textId="0E4A9BC1" w:rsidR="00E30EB9" w:rsidRPr="00E30EB9" w:rsidRDefault="00E30EB9" w:rsidP="00E30EB9">
      <w:pPr>
        <w:spacing w:after="0" w:line="240" w:lineRule="auto"/>
        <w:jc w:val="both"/>
        <w:rPr>
          <w:rFonts w:ascii="Lato" w:hAnsi="Lato" w:cstheme="minorHAnsi"/>
          <w:sz w:val="20"/>
          <w:szCs w:val="20"/>
        </w:rPr>
      </w:pPr>
      <w:r w:rsidRPr="00E30EB9">
        <w:rPr>
          <w:rFonts w:ascii="Lato" w:hAnsi="Lato" w:cstheme="minorHAnsi"/>
          <w:sz w:val="20"/>
          <w:szCs w:val="20"/>
        </w:rPr>
        <w:lastRenderedPageBreak/>
        <w:t xml:space="preserve">Działania nieuczciwych przedsiębiorców są przedmiotem licznych postępowań wyjaśniających oraz postępowań w sprawie praktyk naruszających zbiorowe interesy konsumentów. </w:t>
      </w:r>
    </w:p>
    <w:p w14:paraId="754DADD8" w14:textId="77777777" w:rsidR="00E30EB9" w:rsidRDefault="00E30EB9" w:rsidP="00E30EB9">
      <w:pPr>
        <w:spacing w:after="0" w:line="240" w:lineRule="auto"/>
        <w:jc w:val="both"/>
        <w:rPr>
          <w:rFonts w:ascii="Lato" w:hAnsi="Lato" w:cstheme="minorHAnsi"/>
          <w:sz w:val="20"/>
          <w:szCs w:val="20"/>
        </w:rPr>
      </w:pPr>
    </w:p>
    <w:p w14:paraId="0A783B2D" w14:textId="3899DDDB" w:rsidR="00E30EB9" w:rsidRPr="00E30EB9" w:rsidRDefault="00E30EB9" w:rsidP="00E30EB9">
      <w:pPr>
        <w:spacing w:after="0" w:line="240" w:lineRule="auto"/>
        <w:jc w:val="both"/>
        <w:rPr>
          <w:rFonts w:ascii="Lato" w:hAnsi="Lato" w:cstheme="minorHAnsi"/>
          <w:sz w:val="20"/>
          <w:szCs w:val="20"/>
        </w:rPr>
      </w:pPr>
      <w:r w:rsidRPr="00E30EB9">
        <w:rPr>
          <w:rFonts w:ascii="Lato" w:hAnsi="Lato" w:cstheme="minorHAnsi"/>
          <w:sz w:val="20"/>
          <w:szCs w:val="20"/>
        </w:rPr>
        <w:t>Przykładem wydanej w 2022 r. przez Prezesa UOKiK decyzji w zakresie stosowania praktyk naruszających zbiorowe interesy konsumentów była decyzja</w:t>
      </w:r>
      <w:r w:rsidRPr="00E30EB9">
        <w:rPr>
          <w:rFonts w:ascii="Lato" w:hAnsi="Lato"/>
          <w:sz w:val="20"/>
          <w:szCs w:val="20"/>
        </w:rPr>
        <w:t xml:space="preserve"> </w:t>
      </w:r>
      <w:r w:rsidRPr="00E30EB9">
        <w:rPr>
          <w:rFonts w:ascii="Lato" w:hAnsi="Lato" w:cstheme="minorHAnsi"/>
          <w:sz w:val="20"/>
          <w:szCs w:val="20"/>
        </w:rPr>
        <w:t xml:space="preserve">Nr RPZ 6/2022 z dnia 18 lipca 2022 r. dotycząca spółki </w:t>
      </w:r>
      <w:proofErr w:type="spellStart"/>
      <w:r w:rsidRPr="00E30EB9">
        <w:rPr>
          <w:rFonts w:ascii="Lato" w:hAnsi="Lato" w:cstheme="minorHAnsi"/>
          <w:sz w:val="20"/>
          <w:szCs w:val="20"/>
        </w:rPr>
        <w:t>Expectes</w:t>
      </w:r>
      <w:proofErr w:type="spellEnd"/>
      <w:r w:rsidRPr="00E30EB9">
        <w:rPr>
          <w:rFonts w:ascii="Lato" w:hAnsi="Lato" w:cstheme="minorHAnsi"/>
          <w:sz w:val="20"/>
          <w:szCs w:val="20"/>
        </w:rPr>
        <w:t>, która zapraszała konsumentów na pokazy handlowe (w trakcie których oferowała sprzęt AGD oraz produkty wełniane) pod pretekstem udziału w akcji „Polska Przedsiębiorcom”, której celem jest ratowanie miejsc pracy i obiecywała prezenty za udział w spotkaniach. W rzeczywistości akcja nie istniała, a upominki nie były darmowe. Prezes UOKiK nałożył na firmę ponad 2,3 mln zł kary za wprowadzanie konsumentów w błąd.</w:t>
      </w:r>
    </w:p>
    <w:p w14:paraId="2C497308" w14:textId="77777777" w:rsidR="00E30EB9" w:rsidRDefault="00E30EB9" w:rsidP="00E30EB9">
      <w:pPr>
        <w:spacing w:after="0" w:line="240" w:lineRule="auto"/>
        <w:jc w:val="both"/>
        <w:rPr>
          <w:rFonts w:ascii="Lato" w:hAnsi="Lato" w:cstheme="minorHAnsi"/>
          <w:sz w:val="20"/>
          <w:szCs w:val="20"/>
        </w:rPr>
      </w:pPr>
    </w:p>
    <w:p w14:paraId="4182F1FB" w14:textId="01E0E8A3" w:rsidR="00E30EB9" w:rsidRPr="00E30EB9" w:rsidRDefault="00E30EB9" w:rsidP="00E30EB9">
      <w:pPr>
        <w:spacing w:after="0" w:line="240" w:lineRule="auto"/>
        <w:jc w:val="both"/>
        <w:rPr>
          <w:rFonts w:ascii="Lato" w:hAnsi="Lato" w:cstheme="minorHAnsi"/>
          <w:sz w:val="20"/>
          <w:szCs w:val="20"/>
        </w:rPr>
      </w:pPr>
      <w:r w:rsidRPr="00E30EB9">
        <w:rPr>
          <w:rFonts w:ascii="Lato" w:hAnsi="Lato" w:cstheme="minorHAnsi"/>
          <w:sz w:val="20"/>
          <w:szCs w:val="20"/>
        </w:rPr>
        <w:t>W powyższej decyzji zakwestionowano następujące bezprawne praktyki.</w:t>
      </w:r>
    </w:p>
    <w:p w14:paraId="578A12B5" w14:textId="77777777" w:rsidR="00E30EB9" w:rsidRPr="00E30EB9" w:rsidRDefault="00E30EB9" w:rsidP="00CE7271">
      <w:pPr>
        <w:pStyle w:val="Akapitzlist"/>
        <w:numPr>
          <w:ilvl w:val="0"/>
          <w:numId w:val="149"/>
        </w:numPr>
        <w:spacing w:after="0" w:line="240" w:lineRule="auto"/>
        <w:ind w:left="360"/>
        <w:contextualSpacing w:val="0"/>
        <w:jc w:val="both"/>
        <w:rPr>
          <w:rFonts w:ascii="Lato" w:hAnsi="Lato"/>
          <w:sz w:val="20"/>
          <w:szCs w:val="20"/>
        </w:rPr>
      </w:pPr>
      <w:r w:rsidRPr="00E30EB9">
        <w:rPr>
          <w:rFonts w:ascii="Lato" w:hAnsi="Lato"/>
          <w:sz w:val="20"/>
          <w:szCs w:val="20"/>
        </w:rPr>
        <w:t>Wprowadzanie konsumentów w błąd co do przyczyny kierowanych do konsumentów zaproszeń. Podczas rozmów telefonicznych telemarketerzy informowali konsumentów, że reprezentują Fundację Reklamy Społecznej i działają w ramach akcji „Polska Przedsiębiorcom”, której celem jest ratowanie miejsc pracy. W rzeczywistości nie istnieje ani Fundacja Reklamy Społecznej, ani akcja „Polska Przedsiębiorcom”. Spotkania mają charakter pokazu handlowego.</w:t>
      </w:r>
    </w:p>
    <w:p w14:paraId="483695B1" w14:textId="77777777" w:rsidR="00CE7271" w:rsidRDefault="00E30EB9" w:rsidP="00CE7271">
      <w:pPr>
        <w:pStyle w:val="Akapitzlist"/>
        <w:numPr>
          <w:ilvl w:val="0"/>
          <w:numId w:val="149"/>
        </w:numPr>
        <w:spacing w:after="0" w:line="240" w:lineRule="auto"/>
        <w:ind w:left="360"/>
        <w:contextualSpacing w:val="0"/>
        <w:jc w:val="both"/>
        <w:rPr>
          <w:rFonts w:ascii="Lato" w:hAnsi="Lato"/>
          <w:sz w:val="20"/>
          <w:szCs w:val="20"/>
        </w:rPr>
      </w:pPr>
      <w:r w:rsidRPr="00E30EB9">
        <w:rPr>
          <w:rFonts w:ascii="Lato" w:hAnsi="Lato"/>
          <w:sz w:val="20"/>
          <w:szCs w:val="20"/>
        </w:rPr>
        <w:t>Wprowadzanie w błąd co do prezentów. Telemarketerzy wywoływali u konsumentów wrażenie, że już za sam udział w prezentacji każda para przychodząca na spotkanie dostanie ciśnieniowy ekspres do kawy. W rozmowach podkreślali funkcjonalność i jakość ekspresu. W rzeczywistości okazywało się, że konsumenci nie otrzymywali obiecanych ekspresów – były one uwzględniane jako część nabywanych przez konsumentów zestawów, a konsumenci w trakcie pokazów byli informowani, że aby otrzymać ekspres, muszą dokonać zakupu. Za to prezenty wręczane za sam udział w pokazie były bardzo niskiej wartości i jakości.</w:t>
      </w:r>
    </w:p>
    <w:p w14:paraId="1361DC7A" w14:textId="77777777" w:rsidR="00CE7271" w:rsidRDefault="00E30EB9" w:rsidP="00CE7271">
      <w:pPr>
        <w:pStyle w:val="Akapitzlist"/>
        <w:numPr>
          <w:ilvl w:val="0"/>
          <w:numId w:val="149"/>
        </w:numPr>
        <w:spacing w:after="0" w:line="240" w:lineRule="auto"/>
        <w:ind w:left="360"/>
        <w:contextualSpacing w:val="0"/>
        <w:jc w:val="both"/>
        <w:rPr>
          <w:rFonts w:ascii="Lato" w:hAnsi="Lato"/>
          <w:sz w:val="20"/>
          <w:szCs w:val="20"/>
        </w:rPr>
      </w:pPr>
      <w:r w:rsidRPr="00CE7271">
        <w:rPr>
          <w:rFonts w:ascii="Lato" w:hAnsi="Lato"/>
          <w:sz w:val="20"/>
          <w:szCs w:val="20"/>
        </w:rPr>
        <w:t>Wprowadzanie w błąd, że spotkanie i prezenty za udział w spotkaniu są finansowane przez sponsora. W trakcie pokazów prowadzący informowali uczestników, że prezenty są sponsorowane przez firmę, która w rzeczywistości nie istnieje.</w:t>
      </w:r>
    </w:p>
    <w:p w14:paraId="7E636775" w14:textId="765AC5C4" w:rsidR="00E30EB9" w:rsidRPr="00CE7271" w:rsidRDefault="00E30EB9" w:rsidP="00CE7271">
      <w:pPr>
        <w:pStyle w:val="Akapitzlist"/>
        <w:numPr>
          <w:ilvl w:val="0"/>
          <w:numId w:val="149"/>
        </w:numPr>
        <w:spacing w:after="0" w:line="240" w:lineRule="auto"/>
        <w:ind w:left="360"/>
        <w:contextualSpacing w:val="0"/>
        <w:jc w:val="both"/>
        <w:rPr>
          <w:rFonts w:ascii="Lato" w:hAnsi="Lato"/>
          <w:sz w:val="20"/>
          <w:szCs w:val="20"/>
        </w:rPr>
      </w:pPr>
      <w:r w:rsidRPr="00CE7271">
        <w:rPr>
          <w:rFonts w:ascii="Lato" w:hAnsi="Lato"/>
          <w:sz w:val="20"/>
          <w:szCs w:val="20"/>
        </w:rPr>
        <w:t>Udzielanie konsumentom nieprawdziwych informacji co do losowania podczas prezentacji. W trakcie pokazu przedstawiciele spółki przeprowadzali różne losowania wśród uczestników. Przedmiotem jednego z nich miały być nagrody, takie jak zestawy noży, żelazko, maszynka do mięsa, wyciskarka. W rzeczywistości osoby wylosowane miały możliwość wyboru jednej z kilku kopert, a w wylosowanej kopercie były wyszczególnione artykuły eksponowane na prezentacji, ale warunkiem ich otrzymania był zakup jednego z oferowanych produktów. Niezależnie od tego, ustaliliśmy, że wszystkie losowania mają fikcyjny charakter i stanowią jedynie element prezentacji mający na celu zachęcenie konsumentów do zakupu prezentowanego sprzętu.</w:t>
      </w:r>
    </w:p>
    <w:p w14:paraId="50C698C3" w14:textId="77777777" w:rsidR="00E30EB9" w:rsidRDefault="00E30EB9" w:rsidP="00E30EB9">
      <w:pPr>
        <w:spacing w:after="0" w:line="240" w:lineRule="auto"/>
        <w:jc w:val="both"/>
        <w:rPr>
          <w:rFonts w:ascii="Lato" w:hAnsi="Lato"/>
          <w:bCs/>
          <w:sz w:val="20"/>
          <w:szCs w:val="20"/>
        </w:rPr>
      </w:pPr>
    </w:p>
    <w:p w14:paraId="12DC65FF" w14:textId="6DDF4355" w:rsidR="00E30EB9" w:rsidRDefault="00E30EB9" w:rsidP="00E30EB9">
      <w:pPr>
        <w:spacing w:after="0" w:line="240" w:lineRule="auto"/>
        <w:jc w:val="both"/>
        <w:rPr>
          <w:rFonts w:ascii="Lato" w:hAnsi="Lato"/>
          <w:sz w:val="20"/>
          <w:szCs w:val="20"/>
        </w:rPr>
      </w:pPr>
      <w:r w:rsidRPr="00E30EB9">
        <w:rPr>
          <w:rFonts w:ascii="Lato" w:hAnsi="Lato"/>
          <w:bCs/>
          <w:sz w:val="20"/>
          <w:szCs w:val="20"/>
        </w:rPr>
        <w:t xml:space="preserve">Mając na uwadze skalę nieprawidłowości na rynku Prezes UOKiK podjął prace legislacyjne nad nowymi rozwiązaniami prawnymi, które miały na celu zwiększenie poziomu ochrony konsumentów, zwłaszcza seniorów w zakresie umów zawieranych poza lokalem przedsiębiorstwa. </w:t>
      </w:r>
      <w:r w:rsidRPr="00E30EB9">
        <w:rPr>
          <w:rFonts w:ascii="Lato" w:hAnsi="Lato"/>
          <w:sz w:val="20"/>
          <w:szCs w:val="20"/>
        </w:rPr>
        <w:t>Efektem tych działań było przyjęcie rozwiązań prawnych w ustawie z dnia 1 grudnia 2022 r. o zmianie ustawy o prawach konsumenta oraz niektórych innych ustaw (</w:t>
      </w:r>
      <w:r w:rsidRPr="00E30EB9">
        <w:rPr>
          <w:rFonts w:ascii="Lato" w:hAnsi="Lato"/>
          <w:bCs/>
          <w:sz w:val="20"/>
          <w:szCs w:val="20"/>
        </w:rPr>
        <w:t>Dz.U. z 2022 r. poz. 2581) zwanej dalej „ustawą”</w:t>
      </w:r>
      <w:r w:rsidRPr="00E30EB9">
        <w:rPr>
          <w:rFonts w:ascii="Lato" w:hAnsi="Lato"/>
          <w:sz w:val="20"/>
          <w:szCs w:val="20"/>
        </w:rPr>
        <w:t xml:space="preserve">, która weszła w życie z dniem 1 stycznia 2023 r. </w:t>
      </w:r>
    </w:p>
    <w:p w14:paraId="2927138F" w14:textId="77777777" w:rsidR="00E30EB9" w:rsidRPr="00E30EB9" w:rsidRDefault="00E30EB9" w:rsidP="00E30EB9">
      <w:pPr>
        <w:spacing w:after="0" w:line="240" w:lineRule="auto"/>
        <w:jc w:val="both"/>
        <w:rPr>
          <w:rFonts w:ascii="Lato" w:hAnsi="Lato"/>
          <w:bCs/>
          <w:sz w:val="20"/>
          <w:szCs w:val="20"/>
        </w:rPr>
      </w:pPr>
    </w:p>
    <w:p w14:paraId="2C41956B" w14:textId="77777777" w:rsidR="00E30EB9" w:rsidRPr="00E30EB9" w:rsidRDefault="00E30EB9" w:rsidP="00E30EB9">
      <w:pPr>
        <w:spacing w:after="0" w:line="240" w:lineRule="auto"/>
        <w:jc w:val="both"/>
        <w:rPr>
          <w:rFonts w:ascii="Lato" w:hAnsi="Lato"/>
          <w:bCs/>
          <w:sz w:val="20"/>
          <w:szCs w:val="20"/>
        </w:rPr>
      </w:pPr>
      <w:r w:rsidRPr="00E30EB9">
        <w:rPr>
          <w:rFonts w:ascii="Lato" w:hAnsi="Lato"/>
          <w:bCs/>
          <w:sz w:val="20"/>
          <w:szCs w:val="20"/>
        </w:rPr>
        <w:t>Rozwiązania poprawiające ochronę seniorów dokonujących zakupów na pokazach, wycieczkach czy też w ramach wizyt przedsiębiorcy w domu konsumenta objęły:</w:t>
      </w:r>
    </w:p>
    <w:p w14:paraId="2B6A413E" w14:textId="77777777" w:rsidR="00CE7271" w:rsidRDefault="00E30EB9" w:rsidP="00CE7271">
      <w:pPr>
        <w:pStyle w:val="Akapitzlist"/>
        <w:numPr>
          <w:ilvl w:val="0"/>
          <w:numId w:val="150"/>
        </w:numPr>
        <w:spacing w:after="0" w:line="240" w:lineRule="auto"/>
        <w:ind w:left="360"/>
        <w:contextualSpacing w:val="0"/>
        <w:jc w:val="both"/>
        <w:rPr>
          <w:rFonts w:ascii="Lato" w:hAnsi="Lato"/>
          <w:sz w:val="20"/>
          <w:szCs w:val="20"/>
        </w:rPr>
      </w:pPr>
      <w:r w:rsidRPr="00E30EB9">
        <w:rPr>
          <w:rFonts w:ascii="Lato" w:hAnsi="Lato"/>
          <w:sz w:val="20"/>
          <w:szCs w:val="20"/>
        </w:rPr>
        <w:t>Wydłużenie do 30 dni terminu na odstąpienie od umowy zawartej podczas nieumówionej wizyty przedsiębiorcy w miejscu zamieszkania lub zwykłego pobytu konsumenta lub podczas wycieczki.</w:t>
      </w:r>
    </w:p>
    <w:p w14:paraId="3C7B1287" w14:textId="77777777" w:rsidR="00CE7271" w:rsidRDefault="00E30EB9" w:rsidP="00CE7271">
      <w:pPr>
        <w:pStyle w:val="Akapitzlist"/>
        <w:numPr>
          <w:ilvl w:val="0"/>
          <w:numId w:val="150"/>
        </w:numPr>
        <w:spacing w:after="0" w:line="240" w:lineRule="auto"/>
        <w:ind w:left="360"/>
        <w:contextualSpacing w:val="0"/>
        <w:jc w:val="both"/>
        <w:rPr>
          <w:rFonts w:ascii="Lato" w:hAnsi="Lato"/>
          <w:sz w:val="20"/>
          <w:szCs w:val="20"/>
        </w:rPr>
      </w:pPr>
      <w:r w:rsidRPr="00CE7271">
        <w:rPr>
          <w:rFonts w:ascii="Lato" w:hAnsi="Lato"/>
          <w:sz w:val="20"/>
          <w:szCs w:val="20"/>
        </w:rPr>
        <w:t>Zakaz zawierania umów dotyczących usług finansowych podczas pokazu lub wycieczki. Umowa zawarta w takiej sytuacji, np. umowa pożyczki, będzie nieważna i nie będzie wywoływać skutków dla konsumenta. </w:t>
      </w:r>
    </w:p>
    <w:p w14:paraId="51B984FE" w14:textId="77777777" w:rsidR="00CE7271" w:rsidRDefault="00E30EB9" w:rsidP="00CE7271">
      <w:pPr>
        <w:pStyle w:val="Akapitzlist"/>
        <w:numPr>
          <w:ilvl w:val="0"/>
          <w:numId w:val="150"/>
        </w:numPr>
        <w:spacing w:after="0" w:line="240" w:lineRule="auto"/>
        <w:ind w:left="360"/>
        <w:contextualSpacing w:val="0"/>
        <w:jc w:val="both"/>
        <w:rPr>
          <w:rFonts w:ascii="Lato" w:hAnsi="Lato"/>
          <w:sz w:val="20"/>
          <w:szCs w:val="20"/>
        </w:rPr>
      </w:pPr>
      <w:r w:rsidRPr="00CE7271">
        <w:rPr>
          <w:rFonts w:ascii="Lato" w:hAnsi="Lato"/>
          <w:sz w:val="20"/>
          <w:szCs w:val="20"/>
        </w:rPr>
        <w:t>Zakaz przyjmowania płatności przed upływem terminu na odstąpienie od umowy. Zakaz obejmuje umowy zawierane podczas pokazu, wycieczki lub nieumówionej wizyty w domu konsumenta. Rozwiązanie pozwoli na podjęcie świadomej decyzji o zakupie, a konsumenci nie będą narażeni na straty finansowe, gdy z niego zrezygnują w ustawowym terminie.</w:t>
      </w:r>
    </w:p>
    <w:p w14:paraId="25CD653F" w14:textId="3D0DB3DA" w:rsidR="00E30EB9" w:rsidRPr="00CE7271" w:rsidRDefault="00E30EB9" w:rsidP="00CE7271">
      <w:pPr>
        <w:pStyle w:val="Akapitzlist"/>
        <w:numPr>
          <w:ilvl w:val="0"/>
          <w:numId w:val="150"/>
        </w:numPr>
        <w:spacing w:after="0" w:line="240" w:lineRule="auto"/>
        <w:ind w:left="360"/>
        <w:contextualSpacing w:val="0"/>
        <w:jc w:val="both"/>
        <w:rPr>
          <w:rFonts w:ascii="Lato" w:hAnsi="Lato"/>
          <w:sz w:val="20"/>
          <w:szCs w:val="20"/>
        </w:rPr>
      </w:pPr>
      <w:r w:rsidRPr="00CE7271">
        <w:rPr>
          <w:rFonts w:ascii="Lato" w:hAnsi="Lato"/>
          <w:sz w:val="20"/>
          <w:szCs w:val="20"/>
        </w:rPr>
        <w:t xml:space="preserve">Możliwość odstąpienia od niektórych umów o świadczenie usług zdrowotnych zawieranych poza lokalem przedsiębiorstwa lub na odległość. Dotyczy to m.in. umów  obejmujących abonamenty medyczne. </w:t>
      </w:r>
    </w:p>
    <w:p w14:paraId="6014ED20" w14:textId="77777777" w:rsidR="00E30EB9" w:rsidRPr="00E30EB9" w:rsidRDefault="00E30EB9" w:rsidP="00E30EB9">
      <w:pPr>
        <w:pStyle w:val="Akapitzlist"/>
        <w:spacing w:after="0" w:line="240" w:lineRule="auto"/>
        <w:contextualSpacing w:val="0"/>
        <w:jc w:val="both"/>
        <w:rPr>
          <w:rFonts w:ascii="Lato" w:hAnsi="Lato"/>
          <w:sz w:val="20"/>
          <w:szCs w:val="20"/>
        </w:rPr>
      </w:pPr>
    </w:p>
    <w:p w14:paraId="3DDEBEEB" w14:textId="2452D50C" w:rsidR="00EF30E8" w:rsidRPr="00DB2792" w:rsidRDefault="00FB258C" w:rsidP="00CE7271">
      <w:pPr>
        <w:pStyle w:val="Nagwek2"/>
        <w:numPr>
          <w:ilvl w:val="1"/>
          <w:numId w:val="172"/>
        </w:numPr>
        <w:rPr>
          <w:b/>
          <w:bCs/>
        </w:rPr>
      </w:pPr>
      <w:bookmarkStart w:id="121" w:name="_Toc142565946"/>
      <w:r w:rsidRPr="00DB2792">
        <w:rPr>
          <w:b/>
          <w:bCs/>
        </w:rPr>
        <w:lastRenderedPageBreak/>
        <w:t>Zakład Ubezpieczeń Społecznych</w:t>
      </w:r>
      <w:bookmarkEnd w:id="121"/>
    </w:p>
    <w:p w14:paraId="6E100232" w14:textId="254F07A1" w:rsidR="00481200" w:rsidRDefault="00EF30E8" w:rsidP="00E30EB9">
      <w:pPr>
        <w:spacing w:after="0" w:line="240" w:lineRule="auto"/>
        <w:jc w:val="both"/>
        <w:rPr>
          <w:rFonts w:ascii="Lato" w:hAnsi="Lato"/>
          <w:sz w:val="20"/>
          <w:szCs w:val="20"/>
        </w:rPr>
      </w:pPr>
      <w:r>
        <w:rPr>
          <w:rFonts w:ascii="Lato" w:hAnsi="Lato"/>
          <w:sz w:val="20"/>
          <w:szCs w:val="20"/>
        </w:rPr>
        <w:t>Z</w:t>
      </w:r>
      <w:r w:rsidR="00481200" w:rsidRPr="00EF30E8">
        <w:rPr>
          <w:rFonts w:ascii="Lato" w:hAnsi="Lato"/>
          <w:sz w:val="20"/>
          <w:szCs w:val="20"/>
        </w:rPr>
        <w:t xml:space="preserve">asady obsługi osób starszych, w tym klientów ze szczególnymi potrzebami, stały się w ciągu ostatnich lat standardem w ZUS. Szczegółowe wytyczne dotyczące obsługi tych osób zostały opisane w wewnętrznych aktach prawnych Zakładu. Wsparcie osób starszych realizowane jest podczas bezpośredniej obsługi w salach obsługi klientów (SOK), przy udostępnianiu elektronicznych usług, oraz poprzez organizowanie ogólnopolskich akcji i wydarzeń skierowanych do tej grupy naszych klientów.  </w:t>
      </w:r>
    </w:p>
    <w:p w14:paraId="63E45F30" w14:textId="77777777" w:rsidR="00EF30E8" w:rsidRPr="00EF30E8" w:rsidRDefault="00EF30E8" w:rsidP="00E30EB9">
      <w:pPr>
        <w:spacing w:after="0" w:line="240" w:lineRule="auto"/>
        <w:jc w:val="both"/>
        <w:rPr>
          <w:rFonts w:ascii="Lato" w:hAnsi="Lato"/>
          <w:sz w:val="20"/>
          <w:szCs w:val="20"/>
        </w:rPr>
      </w:pPr>
    </w:p>
    <w:p w14:paraId="77312EEC" w14:textId="77777777" w:rsidR="00481200" w:rsidRPr="00EF30E8" w:rsidRDefault="00481200" w:rsidP="00E30EB9">
      <w:pPr>
        <w:spacing w:after="0" w:line="240" w:lineRule="auto"/>
        <w:jc w:val="both"/>
        <w:rPr>
          <w:rFonts w:ascii="Lato" w:hAnsi="Lato"/>
          <w:b/>
          <w:sz w:val="20"/>
          <w:szCs w:val="20"/>
        </w:rPr>
      </w:pPr>
      <w:r w:rsidRPr="00EF30E8">
        <w:rPr>
          <w:rFonts w:ascii="Lato" w:hAnsi="Lato"/>
          <w:b/>
          <w:sz w:val="20"/>
          <w:szCs w:val="20"/>
        </w:rPr>
        <w:t>Bezpośrednia obsługa osób starszych w naszych placówkach</w:t>
      </w:r>
    </w:p>
    <w:p w14:paraId="34E21031" w14:textId="4B249B04" w:rsidR="00481200" w:rsidRDefault="00481200" w:rsidP="00E30EB9">
      <w:pPr>
        <w:spacing w:after="0" w:line="240" w:lineRule="auto"/>
        <w:jc w:val="both"/>
        <w:rPr>
          <w:rFonts w:ascii="Lato" w:hAnsi="Lato"/>
          <w:sz w:val="20"/>
          <w:szCs w:val="20"/>
        </w:rPr>
      </w:pPr>
      <w:r w:rsidRPr="00EF30E8">
        <w:rPr>
          <w:rFonts w:ascii="Lato" w:hAnsi="Lato"/>
          <w:sz w:val="20"/>
          <w:szCs w:val="20"/>
        </w:rPr>
        <w:t>Klienci w starszym wieku mogą liczyć na pomoc dostosowaną do ich potrzeb. Za zapewnienie wsparcia i pomocy osobom starszym w placówkach ZUS odpowiada opiekun sali obsługi klientów lub inny wyznaczony pracownik SOK. Opiekun sali towarzyszy klientom od momentu wejścia do placówki ZUS np. przy pobraniu biletu i dotarciu do właściwego stanowiska obsługi. Opiekun natychmiast reaguje w każdej sytuacji, w której klient zgłaszający się do SOK potrzebuje pomocy.</w:t>
      </w:r>
    </w:p>
    <w:p w14:paraId="565BB57A" w14:textId="77777777" w:rsidR="00EF30E8" w:rsidRPr="00EF30E8" w:rsidRDefault="00EF30E8" w:rsidP="00E30EB9">
      <w:pPr>
        <w:spacing w:after="0" w:line="240" w:lineRule="auto"/>
        <w:jc w:val="both"/>
        <w:rPr>
          <w:rFonts w:ascii="Lato" w:hAnsi="Lato"/>
          <w:sz w:val="20"/>
          <w:szCs w:val="20"/>
        </w:rPr>
      </w:pPr>
    </w:p>
    <w:p w14:paraId="5F93F666" w14:textId="174DFF09" w:rsidR="00481200" w:rsidRDefault="00481200" w:rsidP="00E30EB9">
      <w:pPr>
        <w:spacing w:after="0" w:line="240" w:lineRule="auto"/>
        <w:jc w:val="both"/>
        <w:rPr>
          <w:rFonts w:ascii="Lato" w:hAnsi="Lato"/>
          <w:sz w:val="20"/>
          <w:szCs w:val="20"/>
        </w:rPr>
      </w:pPr>
      <w:r w:rsidRPr="00EF30E8">
        <w:rPr>
          <w:rFonts w:ascii="Lato" w:hAnsi="Lato"/>
          <w:sz w:val="20"/>
          <w:szCs w:val="20"/>
        </w:rPr>
        <w:t xml:space="preserve">Od 2017 r. pomoc w placówkach ZUS świadczą doradcy emerytalni. Doradcy emerytalni informują i udzielają wyjaśnień w zakresie świadczeń emerytalno-rentowych, w szczególności warunków nabywania uprawnień, ustalania wysokości i wypłacania świadczeń, przeliczania lub ponownego ustalania ich wysokości. Doradcy emerytalni pomagają w wypełnianiu wniosków o świadczenia.   </w:t>
      </w:r>
    </w:p>
    <w:p w14:paraId="263DBD76" w14:textId="77777777" w:rsidR="00EF30E8" w:rsidRPr="00EF30E8" w:rsidRDefault="00EF30E8" w:rsidP="00E30EB9">
      <w:pPr>
        <w:spacing w:after="0" w:line="240" w:lineRule="auto"/>
        <w:jc w:val="both"/>
        <w:rPr>
          <w:rFonts w:ascii="Lato" w:hAnsi="Lato"/>
          <w:sz w:val="20"/>
          <w:szCs w:val="20"/>
        </w:rPr>
      </w:pPr>
    </w:p>
    <w:p w14:paraId="7659DF09" w14:textId="2155DF50" w:rsidR="00481200" w:rsidRDefault="00481200" w:rsidP="00E30EB9">
      <w:pPr>
        <w:spacing w:after="0" w:line="240" w:lineRule="auto"/>
        <w:jc w:val="both"/>
        <w:rPr>
          <w:rFonts w:ascii="Lato" w:hAnsi="Lato"/>
          <w:sz w:val="20"/>
          <w:szCs w:val="20"/>
        </w:rPr>
      </w:pPr>
      <w:r w:rsidRPr="00EF30E8">
        <w:rPr>
          <w:rFonts w:ascii="Lato" w:hAnsi="Lato"/>
          <w:sz w:val="20"/>
          <w:szCs w:val="20"/>
        </w:rPr>
        <w:t>Doradcy emerytalni informują również przyszłych świadczeniobiorców o czynnikach mających wpływ na wysokość prognozowanego świadczenia, pomagając tym samym w wyborze najbardziej optymalnego momentu przejściu na emeryturę. Doradcy, przy wykorzystaniu kalkulatora emerytalnego, wyliczają prognozowaną wysokość świadczenia – w roku bieżącym przejścia na emeryturę lub na lata przyszłe. W 2022 r. z pomocy doradców emerytalnych w naszych placówkach skorzystało 778, 5 tys. osób.</w:t>
      </w:r>
    </w:p>
    <w:p w14:paraId="29532E5B" w14:textId="77777777" w:rsidR="000D1387" w:rsidRPr="00EF30E8" w:rsidRDefault="000D1387" w:rsidP="00E30EB9">
      <w:pPr>
        <w:spacing w:after="0" w:line="240" w:lineRule="auto"/>
        <w:jc w:val="both"/>
        <w:rPr>
          <w:rFonts w:ascii="Lato" w:hAnsi="Lato"/>
          <w:sz w:val="20"/>
          <w:szCs w:val="20"/>
        </w:rPr>
      </w:pPr>
    </w:p>
    <w:p w14:paraId="70CE6563" w14:textId="77777777" w:rsidR="00481200" w:rsidRPr="00EF30E8" w:rsidRDefault="00481200" w:rsidP="00E30EB9">
      <w:pPr>
        <w:spacing w:after="0" w:line="240" w:lineRule="auto"/>
        <w:jc w:val="both"/>
        <w:rPr>
          <w:rFonts w:ascii="Lato" w:hAnsi="Lato"/>
          <w:sz w:val="20"/>
          <w:szCs w:val="20"/>
        </w:rPr>
      </w:pPr>
      <w:r w:rsidRPr="00EF30E8">
        <w:rPr>
          <w:rFonts w:ascii="Lato" w:hAnsi="Lato"/>
          <w:sz w:val="20"/>
          <w:szCs w:val="20"/>
        </w:rPr>
        <w:t>We wszystkich salach obsługi klientów uruchomiliśmy specjalne stanowiska komputerowe dla klientów z ograniczonymi kompetencjami cyfrowymi.</w:t>
      </w:r>
      <w:r w:rsidRPr="00EF30E8">
        <w:rPr>
          <w:rFonts w:ascii="Lato" w:hAnsi="Lato"/>
          <w:color w:val="00B050"/>
          <w:sz w:val="20"/>
          <w:szCs w:val="20"/>
        </w:rPr>
        <w:t xml:space="preserve"> </w:t>
      </w:r>
      <w:r w:rsidRPr="00EF30E8">
        <w:rPr>
          <w:rFonts w:ascii="Lato" w:hAnsi="Lato"/>
          <w:sz w:val="20"/>
          <w:szCs w:val="20"/>
        </w:rPr>
        <w:t xml:space="preserve">Osoby te mogą skorzystać z pomocy naszych pracowników m.in. przy zakładaniu profilu PUE ZUS, wypełnianiu i przekazywaniu do ZUS wniosków elektronicznych przez PUE ZUS.  </w:t>
      </w:r>
    </w:p>
    <w:p w14:paraId="39147064" w14:textId="77777777" w:rsidR="00481200" w:rsidRPr="00EF30E8" w:rsidRDefault="00481200" w:rsidP="00E30EB9">
      <w:pPr>
        <w:spacing w:after="0" w:line="240" w:lineRule="auto"/>
        <w:jc w:val="both"/>
        <w:rPr>
          <w:rFonts w:ascii="Lato" w:hAnsi="Lato"/>
          <w:sz w:val="20"/>
          <w:szCs w:val="20"/>
        </w:rPr>
      </w:pPr>
    </w:p>
    <w:p w14:paraId="602875AE" w14:textId="42904C3A" w:rsidR="00481200" w:rsidRDefault="00481200" w:rsidP="00E30EB9">
      <w:pPr>
        <w:spacing w:after="0" w:line="240" w:lineRule="auto"/>
        <w:jc w:val="both"/>
        <w:rPr>
          <w:rFonts w:ascii="Lato" w:hAnsi="Lato"/>
          <w:sz w:val="20"/>
          <w:szCs w:val="20"/>
        </w:rPr>
      </w:pPr>
      <w:r w:rsidRPr="00EF30E8">
        <w:rPr>
          <w:rFonts w:ascii="Lato" w:hAnsi="Lato"/>
          <w:sz w:val="20"/>
          <w:szCs w:val="20"/>
        </w:rPr>
        <w:t>Sale obsługi klientów w ZUS są w większości przystosowane do obsługi osób starszych, wymagających pomocy przy poruszaniu się. Stale moderniz</w:t>
      </w:r>
      <w:r w:rsidR="000D1387">
        <w:rPr>
          <w:rFonts w:ascii="Lato" w:hAnsi="Lato"/>
          <w:sz w:val="20"/>
          <w:szCs w:val="20"/>
        </w:rPr>
        <w:t>owane są</w:t>
      </w:r>
      <w:r w:rsidRPr="00EF30E8">
        <w:rPr>
          <w:rFonts w:ascii="Lato" w:hAnsi="Lato"/>
          <w:sz w:val="20"/>
          <w:szCs w:val="20"/>
        </w:rPr>
        <w:t xml:space="preserve"> placówki </w:t>
      </w:r>
      <w:r w:rsidR="000D1387">
        <w:rPr>
          <w:rFonts w:ascii="Lato" w:hAnsi="Lato"/>
          <w:sz w:val="20"/>
          <w:szCs w:val="20"/>
        </w:rPr>
        <w:t xml:space="preserve">Zakładu </w:t>
      </w:r>
      <w:r w:rsidRPr="00EF30E8">
        <w:rPr>
          <w:rFonts w:ascii="Lato" w:hAnsi="Lato"/>
          <w:sz w:val="20"/>
          <w:szCs w:val="20"/>
        </w:rPr>
        <w:t>tak, aby wyeliminować bariery budowlane. Likwid</w:t>
      </w:r>
      <w:r w:rsidR="000D1387">
        <w:rPr>
          <w:rFonts w:ascii="Lato" w:hAnsi="Lato"/>
          <w:sz w:val="20"/>
          <w:szCs w:val="20"/>
        </w:rPr>
        <w:t>owane są</w:t>
      </w:r>
      <w:r w:rsidRPr="00EF30E8">
        <w:rPr>
          <w:rFonts w:ascii="Lato" w:hAnsi="Lato"/>
          <w:sz w:val="20"/>
          <w:szCs w:val="20"/>
        </w:rPr>
        <w:t xml:space="preserve"> progi, stopnie, śliskie nawierzchnie, wąskie ciągi komunikacyjne. Wejście odbywa się z poziomu chodnika bądź z wykorzystaniem pochylni. </w:t>
      </w:r>
      <w:r w:rsidR="000D1387">
        <w:rPr>
          <w:rFonts w:ascii="Lato" w:hAnsi="Lato"/>
          <w:sz w:val="20"/>
          <w:szCs w:val="20"/>
        </w:rPr>
        <w:t>Placówki ZUS</w:t>
      </w:r>
      <w:r w:rsidRPr="00EF30E8">
        <w:rPr>
          <w:rFonts w:ascii="Lato" w:hAnsi="Lato"/>
          <w:sz w:val="20"/>
          <w:szCs w:val="20"/>
        </w:rPr>
        <w:t xml:space="preserve"> </w:t>
      </w:r>
      <w:r w:rsidR="000D1387">
        <w:rPr>
          <w:rFonts w:ascii="Lato" w:hAnsi="Lato"/>
          <w:sz w:val="20"/>
          <w:szCs w:val="20"/>
        </w:rPr>
        <w:t>posiadają także</w:t>
      </w:r>
      <w:r w:rsidRPr="00EF30E8">
        <w:rPr>
          <w:rFonts w:ascii="Lato" w:hAnsi="Lato"/>
          <w:sz w:val="20"/>
          <w:szCs w:val="20"/>
        </w:rPr>
        <w:t xml:space="preserve"> windy i podnośniki. </w:t>
      </w:r>
    </w:p>
    <w:p w14:paraId="15DA3ED5" w14:textId="77777777" w:rsidR="00EF30E8" w:rsidRPr="00EF30E8" w:rsidRDefault="00EF30E8" w:rsidP="00E30EB9">
      <w:pPr>
        <w:spacing w:after="0" w:line="240" w:lineRule="auto"/>
        <w:jc w:val="both"/>
        <w:rPr>
          <w:rFonts w:ascii="Lato" w:hAnsi="Lato"/>
          <w:sz w:val="20"/>
          <w:szCs w:val="20"/>
        </w:rPr>
      </w:pPr>
    </w:p>
    <w:p w14:paraId="0B378DC0" w14:textId="70A9376F" w:rsidR="00481200" w:rsidRDefault="00481200" w:rsidP="00E30EB9">
      <w:pPr>
        <w:spacing w:after="0" w:line="240" w:lineRule="auto"/>
        <w:jc w:val="both"/>
        <w:rPr>
          <w:rFonts w:ascii="Lato" w:hAnsi="Lato" w:cs="Calibri"/>
          <w:sz w:val="20"/>
          <w:szCs w:val="20"/>
        </w:rPr>
      </w:pPr>
      <w:r w:rsidRPr="00EF30E8">
        <w:rPr>
          <w:rFonts w:ascii="Lato" w:hAnsi="Lato" w:cs="Calibri"/>
          <w:sz w:val="20"/>
          <w:szCs w:val="20"/>
        </w:rPr>
        <w:t>Działania, które są podejmowane w ZUS są zauważalne i doceniane nie tylko przez środowisko osób starszych, w tym osób ze szczególnymi potrzebami, ale również przez władze państwa  - w październiku 2022 r. ZUS otrzymał wyróżnienie w VII edycji „Lider Dostępności”.  </w:t>
      </w:r>
    </w:p>
    <w:p w14:paraId="26C09729" w14:textId="77777777" w:rsidR="00EF30E8" w:rsidRPr="00EF30E8" w:rsidRDefault="00EF30E8" w:rsidP="00E30EB9">
      <w:pPr>
        <w:spacing w:after="0" w:line="240" w:lineRule="auto"/>
        <w:jc w:val="both"/>
        <w:rPr>
          <w:rFonts w:ascii="Lato" w:hAnsi="Lato" w:cs="Calibri"/>
          <w:sz w:val="20"/>
          <w:szCs w:val="20"/>
        </w:rPr>
      </w:pPr>
    </w:p>
    <w:p w14:paraId="6D45A3B0" w14:textId="77777777" w:rsidR="00481200" w:rsidRPr="00EF30E8" w:rsidRDefault="00481200" w:rsidP="00E30EB9">
      <w:pPr>
        <w:spacing w:after="0" w:line="240" w:lineRule="auto"/>
        <w:jc w:val="both"/>
        <w:rPr>
          <w:rFonts w:ascii="Lato" w:hAnsi="Lato" w:cs="Calibri"/>
          <w:sz w:val="20"/>
          <w:szCs w:val="20"/>
        </w:rPr>
      </w:pPr>
      <w:r w:rsidRPr="00EF30E8">
        <w:rPr>
          <w:rFonts w:ascii="Lato" w:hAnsi="Lato" w:cs="Calibri"/>
          <w:sz w:val="20"/>
          <w:szCs w:val="20"/>
        </w:rPr>
        <w:t xml:space="preserve">Osoby starsze, które doświadczają trwale lub okresowo trudności w komunikowaniu się mogą - podobnie jak i inni klienci - kontaktować się z Zakładem za pomocą „Formularza kontaktowego zapytania ogólnego” udostępnionej na stronie </w:t>
      </w:r>
      <w:hyperlink r:id="rId23" w:history="1">
        <w:r w:rsidRPr="00EF30E8">
          <w:rPr>
            <w:rFonts w:ascii="Lato" w:hAnsi="Lato" w:cs="Calibri"/>
            <w:sz w:val="20"/>
            <w:szCs w:val="20"/>
            <w:u w:val="single"/>
          </w:rPr>
          <w:t>www.zus.pl</w:t>
        </w:r>
      </w:hyperlink>
      <w:r w:rsidRPr="00EF30E8">
        <w:rPr>
          <w:rFonts w:ascii="Lato" w:hAnsi="Lato" w:cs="Calibri"/>
          <w:sz w:val="20"/>
          <w:szCs w:val="20"/>
        </w:rPr>
        <w:t xml:space="preserve">  oraz mailowo na adres: </w:t>
      </w:r>
      <w:hyperlink r:id="rId24" w:history="1">
        <w:r w:rsidRPr="00EF30E8">
          <w:rPr>
            <w:rFonts w:ascii="Lato" w:hAnsi="Lato" w:cs="Calibri"/>
            <w:sz w:val="20"/>
            <w:szCs w:val="20"/>
            <w:u w:val="single"/>
          </w:rPr>
          <w:t>cot@zus.pl</w:t>
        </w:r>
      </w:hyperlink>
      <w:r w:rsidRPr="00EF30E8">
        <w:rPr>
          <w:rFonts w:ascii="Lato" w:hAnsi="Lato" w:cs="Calibri"/>
          <w:sz w:val="20"/>
          <w:szCs w:val="20"/>
        </w:rPr>
        <w:t xml:space="preserve"> . W tej formie osoby starsze wymagające dodatkowej pomocy z uwagi na szczególne potrzeby mogą zgłosić chęć skorzystania ze świadczenia usługi  tłumacza polskiego języka migowego (PJM), systemu językowo-migowego (SJM) i sposobów komunikowania się osób głuchoniewidomych (SKOGN) podczas obsługi spraw w ZUS. Takiego zgłoszenia klienci mogą dokonywać osobiście lub korzystając z pomocy osoby przybranej w każdej placówce ZUS pracownikowi sali obsługi klientów (SOK). Osoba przybrana może w imieniu osoby niesłyszącej lub głuchoniewidomej zamówić taką usługę dzwoniąc do Centrum Obsługi Telefonicznej (COT). Ponadto informacje o pomocy, z której mogą skorzystać osoby starsze niesłyszące podczas obsługi w placówkach ZUS oraz jak zamówić świadczenie usług tłumacza PJM, SJM, SKOGN podczas obsługi spraw w ZUS są zamieszczone na tablicach informacyjnych, w dobrze widocznym miejscu we wszystkich salach obsługi klientów w formie plakatu ze znakiem ucha. Treść informacji na plakacie została przygotowana prostym językiem. Dbamy o to, aby sale obsługi były wyposażone w pętle indukcyjne.</w:t>
      </w:r>
    </w:p>
    <w:p w14:paraId="23A585D5" w14:textId="77777777" w:rsidR="00481200" w:rsidRPr="00EF30E8" w:rsidRDefault="00481200" w:rsidP="00E30EB9">
      <w:pPr>
        <w:spacing w:after="0" w:line="240" w:lineRule="auto"/>
        <w:jc w:val="both"/>
        <w:rPr>
          <w:rFonts w:ascii="Lato" w:hAnsi="Lato" w:cs="Calibri"/>
          <w:sz w:val="20"/>
          <w:szCs w:val="20"/>
        </w:rPr>
      </w:pPr>
    </w:p>
    <w:p w14:paraId="200C0FA0" w14:textId="77777777" w:rsidR="00481200" w:rsidRPr="00EF30E8" w:rsidRDefault="00481200" w:rsidP="00E30EB9">
      <w:pPr>
        <w:spacing w:after="0" w:line="240" w:lineRule="auto"/>
        <w:jc w:val="both"/>
        <w:rPr>
          <w:rFonts w:ascii="Lato" w:hAnsi="Lato"/>
          <w:b/>
          <w:sz w:val="20"/>
          <w:szCs w:val="20"/>
        </w:rPr>
      </w:pPr>
      <w:r w:rsidRPr="00EF30E8">
        <w:rPr>
          <w:rFonts w:ascii="Lato" w:hAnsi="Lato"/>
          <w:b/>
          <w:sz w:val="20"/>
          <w:szCs w:val="20"/>
        </w:rPr>
        <w:t>Elektroniczna obsługa skierowana do osób starszych</w:t>
      </w:r>
    </w:p>
    <w:p w14:paraId="2F4CF077" w14:textId="4C3E7B87" w:rsidR="00481200" w:rsidRPr="000D1387" w:rsidRDefault="000D1387" w:rsidP="00E30EB9">
      <w:pPr>
        <w:spacing w:after="0" w:line="240" w:lineRule="auto"/>
        <w:jc w:val="both"/>
        <w:rPr>
          <w:rFonts w:ascii="Lato" w:hAnsi="Lato"/>
          <w:sz w:val="20"/>
          <w:szCs w:val="20"/>
        </w:rPr>
      </w:pPr>
      <w:r>
        <w:rPr>
          <w:rFonts w:ascii="Lato" w:hAnsi="Lato"/>
          <w:sz w:val="20"/>
          <w:szCs w:val="20"/>
        </w:rPr>
        <w:lastRenderedPageBreak/>
        <w:t>W ostatnich latach</w:t>
      </w:r>
      <w:r w:rsidR="00481200" w:rsidRPr="00EF30E8">
        <w:rPr>
          <w:rFonts w:ascii="Lato" w:hAnsi="Lato"/>
          <w:sz w:val="20"/>
          <w:szCs w:val="20"/>
        </w:rPr>
        <w:t xml:space="preserve"> </w:t>
      </w:r>
      <w:r>
        <w:rPr>
          <w:rFonts w:ascii="Lato" w:hAnsi="Lato"/>
          <w:sz w:val="20"/>
          <w:szCs w:val="20"/>
        </w:rPr>
        <w:t>dużym zainteresowaniem cieszy się</w:t>
      </w:r>
      <w:r w:rsidR="00481200" w:rsidRPr="00EF30E8">
        <w:rPr>
          <w:rFonts w:ascii="Lato" w:hAnsi="Lato"/>
          <w:sz w:val="20"/>
          <w:szCs w:val="20"/>
        </w:rPr>
        <w:t xml:space="preserve"> elektroniczn</w:t>
      </w:r>
      <w:r>
        <w:rPr>
          <w:rFonts w:ascii="Lato" w:hAnsi="Lato"/>
          <w:sz w:val="20"/>
          <w:szCs w:val="20"/>
        </w:rPr>
        <w:t>a</w:t>
      </w:r>
      <w:r w:rsidR="00481200" w:rsidRPr="00EF30E8">
        <w:rPr>
          <w:rFonts w:ascii="Lato" w:hAnsi="Lato"/>
          <w:sz w:val="20"/>
          <w:szCs w:val="20"/>
        </w:rPr>
        <w:t xml:space="preserve"> form</w:t>
      </w:r>
      <w:r>
        <w:rPr>
          <w:rFonts w:ascii="Lato" w:hAnsi="Lato"/>
          <w:sz w:val="20"/>
          <w:szCs w:val="20"/>
        </w:rPr>
        <w:t>a</w:t>
      </w:r>
      <w:r w:rsidR="00481200" w:rsidRPr="00EF30E8">
        <w:rPr>
          <w:rFonts w:ascii="Lato" w:hAnsi="Lato"/>
          <w:sz w:val="20"/>
          <w:szCs w:val="20"/>
        </w:rPr>
        <w:t xml:space="preserve"> kontaktu klientów z ZUS, </w:t>
      </w:r>
      <w:r>
        <w:rPr>
          <w:rFonts w:ascii="Lato" w:hAnsi="Lato"/>
          <w:sz w:val="20"/>
          <w:szCs w:val="20"/>
        </w:rPr>
        <w:t xml:space="preserve">która umożliwia załatwienie większości spraw </w:t>
      </w:r>
      <w:r w:rsidR="00481200" w:rsidRPr="00EF30E8">
        <w:rPr>
          <w:rFonts w:ascii="Lato" w:hAnsi="Lato"/>
          <w:sz w:val="20"/>
          <w:szCs w:val="20"/>
        </w:rPr>
        <w:t>bez konieczności przychodzenia do placówek.</w:t>
      </w:r>
      <w:r>
        <w:rPr>
          <w:rFonts w:ascii="Lato" w:hAnsi="Lato"/>
          <w:sz w:val="20"/>
          <w:szCs w:val="20"/>
        </w:rPr>
        <w:t xml:space="preserve"> </w:t>
      </w:r>
      <w:r>
        <w:rPr>
          <w:rFonts w:ascii="Lato" w:hAnsi="Lato" w:cs="Calibri"/>
          <w:sz w:val="20"/>
          <w:szCs w:val="20"/>
        </w:rPr>
        <w:t>W związku z tym,</w:t>
      </w:r>
      <w:r w:rsidR="00481200" w:rsidRPr="00EF30E8">
        <w:rPr>
          <w:rFonts w:ascii="Lato" w:hAnsi="Lato" w:cs="Calibri"/>
          <w:sz w:val="20"/>
          <w:szCs w:val="20"/>
        </w:rPr>
        <w:t xml:space="preserve"> cały czas rozwij</w:t>
      </w:r>
      <w:r>
        <w:rPr>
          <w:rFonts w:ascii="Lato" w:hAnsi="Lato" w:cs="Calibri"/>
          <w:sz w:val="20"/>
          <w:szCs w:val="20"/>
        </w:rPr>
        <w:t>any jest</w:t>
      </w:r>
      <w:r w:rsidR="00481200" w:rsidRPr="00EF30E8">
        <w:rPr>
          <w:rFonts w:ascii="Lato" w:hAnsi="Lato" w:cs="Calibri"/>
          <w:sz w:val="20"/>
          <w:szCs w:val="20"/>
        </w:rPr>
        <w:t xml:space="preserve"> portal PUE ZUS, który umożliwia klientom dostęp do ich danych w ZUS, złożenie wniosków, uzyskanie zaświadczenia o danych zgromadzonych w ZUS, skorzystanie z kalkulatora emerytalnego. Obecnie w ZUS trwają prace nad zmianą wizualizacji portalu i dostosowaniem go w pełni do standardów WCAG 2.1. </w:t>
      </w:r>
    </w:p>
    <w:p w14:paraId="328758F4" w14:textId="77777777" w:rsidR="00EF30E8" w:rsidRPr="00EF30E8" w:rsidRDefault="00EF30E8" w:rsidP="00E30EB9">
      <w:pPr>
        <w:spacing w:after="0" w:line="240" w:lineRule="auto"/>
        <w:jc w:val="both"/>
        <w:rPr>
          <w:rFonts w:ascii="Lato" w:hAnsi="Lato" w:cs="Calibri"/>
          <w:sz w:val="20"/>
          <w:szCs w:val="20"/>
        </w:rPr>
      </w:pPr>
    </w:p>
    <w:p w14:paraId="57C6A715" w14:textId="629235FE" w:rsidR="00481200" w:rsidRPr="000D1387" w:rsidRDefault="00481200" w:rsidP="00E30EB9">
      <w:pPr>
        <w:spacing w:after="0" w:line="240" w:lineRule="auto"/>
        <w:jc w:val="both"/>
        <w:rPr>
          <w:rFonts w:ascii="Lato" w:hAnsi="Lato" w:cstheme="minorHAnsi"/>
          <w:sz w:val="20"/>
          <w:szCs w:val="20"/>
        </w:rPr>
      </w:pPr>
      <w:r w:rsidRPr="00EF30E8">
        <w:rPr>
          <w:rFonts w:ascii="Lato" w:hAnsi="Lato"/>
          <w:iCs/>
          <w:sz w:val="20"/>
          <w:szCs w:val="20"/>
        </w:rPr>
        <w:t>W 2022 r. kontynuow</w:t>
      </w:r>
      <w:r w:rsidR="000D1387">
        <w:rPr>
          <w:rFonts w:ascii="Lato" w:hAnsi="Lato"/>
          <w:iCs/>
          <w:sz w:val="20"/>
          <w:szCs w:val="20"/>
        </w:rPr>
        <w:t xml:space="preserve">ane było </w:t>
      </w:r>
      <w:r w:rsidRPr="00EF30E8">
        <w:rPr>
          <w:rFonts w:ascii="Lato" w:hAnsi="Lato"/>
          <w:iCs/>
          <w:sz w:val="20"/>
          <w:szCs w:val="20"/>
        </w:rPr>
        <w:t xml:space="preserve">prowadzenie e-wizyt tj. </w:t>
      </w:r>
      <w:proofErr w:type="spellStart"/>
      <w:r w:rsidRPr="00EF30E8">
        <w:rPr>
          <w:rFonts w:ascii="Lato" w:hAnsi="Lato" w:cstheme="minorHAnsi"/>
          <w:sz w:val="20"/>
          <w:szCs w:val="20"/>
        </w:rPr>
        <w:t>wideorozmów</w:t>
      </w:r>
      <w:proofErr w:type="spellEnd"/>
      <w:r w:rsidRPr="00EF30E8">
        <w:rPr>
          <w:rFonts w:ascii="Lato" w:hAnsi="Lato" w:cstheme="minorHAnsi"/>
          <w:sz w:val="20"/>
          <w:szCs w:val="20"/>
        </w:rPr>
        <w:t xml:space="preserve"> z pracownikami ZUS. E-wizyty umożliwiają klientom załatwienie spraw bez konieczności wychodzenia  z domu. Podczas </w:t>
      </w:r>
      <w:proofErr w:type="spellStart"/>
      <w:r w:rsidRPr="00EF30E8">
        <w:rPr>
          <w:rFonts w:ascii="Lato" w:hAnsi="Lato" w:cstheme="minorHAnsi"/>
          <w:sz w:val="20"/>
          <w:szCs w:val="20"/>
        </w:rPr>
        <w:t>wideorozmowy</w:t>
      </w:r>
      <w:proofErr w:type="spellEnd"/>
      <w:r w:rsidRPr="00EF30E8">
        <w:rPr>
          <w:rFonts w:ascii="Lato" w:hAnsi="Lato" w:cstheme="minorHAnsi"/>
          <w:sz w:val="20"/>
          <w:szCs w:val="20"/>
        </w:rPr>
        <w:t xml:space="preserve"> z konsultantem ZUS klienci mogą uzyskać informacje z zakresu emerytur i rent krajowych oraz międzynarodowych, zasiłków oraz w kwestiach związanych z prowadzeniem firmy, czy też potwierdzeniem profilu PUE ZUS. W roku 2022 r. usługa e-wizyt została zoptymalizowana i dostosowana do bieżących potrzeb m.in. w zakresie uproszczenia nazewnictwa. </w:t>
      </w:r>
      <w:r w:rsidRPr="00EF30E8">
        <w:rPr>
          <w:rFonts w:ascii="Lato" w:hAnsi="Lato"/>
          <w:iCs/>
          <w:sz w:val="20"/>
          <w:szCs w:val="20"/>
        </w:rPr>
        <w:t>Usługa e-wizyt już w 2021 r. została dostosowana do potrzeb osób niesłyszących, które mogą zarezerwować spotkanie z konsultantem ZUS w języku migowym PJM w obszarze zasiłków oraz emerytur i rent krajowych</w:t>
      </w:r>
      <w:r w:rsidR="000D1387">
        <w:rPr>
          <w:rFonts w:ascii="Lato" w:hAnsi="Lato"/>
          <w:iCs/>
          <w:sz w:val="20"/>
          <w:szCs w:val="20"/>
        </w:rPr>
        <w:t xml:space="preserve">. </w:t>
      </w:r>
      <w:r w:rsidRPr="00EF30E8">
        <w:rPr>
          <w:rFonts w:ascii="Lato" w:hAnsi="Lato"/>
          <w:iCs/>
          <w:sz w:val="20"/>
          <w:szCs w:val="20"/>
        </w:rPr>
        <w:t>W 2022 r. z e-wizyt w obszarze świadczeń emerytalno-rentowych skorzystało 40 tys. klientów.</w:t>
      </w:r>
      <w:r w:rsidRPr="00EF30E8">
        <w:rPr>
          <w:rFonts w:ascii="Lato" w:hAnsi="Lato"/>
          <w:i/>
          <w:iCs/>
          <w:sz w:val="20"/>
          <w:szCs w:val="20"/>
        </w:rPr>
        <w:t xml:space="preserve">     </w:t>
      </w:r>
    </w:p>
    <w:p w14:paraId="0D864994" w14:textId="77777777" w:rsidR="00EF30E8" w:rsidRPr="00EF30E8" w:rsidRDefault="00EF30E8" w:rsidP="00E30EB9">
      <w:pPr>
        <w:spacing w:after="0" w:line="240" w:lineRule="auto"/>
        <w:jc w:val="both"/>
        <w:rPr>
          <w:rFonts w:ascii="Lato" w:hAnsi="Lato"/>
          <w:sz w:val="20"/>
          <w:szCs w:val="20"/>
        </w:rPr>
      </w:pPr>
    </w:p>
    <w:p w14:paraId="7B04A61F" w14:textId="77777777" w:rsidR="00481200" w:rsidRPr="00EF30E8" w:rsidRDefault="00481200" w:rsidP="00E30EB9">
      <w:pPr>
        <w:spacing w:after="0" w:line="240" w:lineRule="auto"/>
        <w:jc w:val="both"/>
        <w:rPr>
          <w:rFonts w:ascii="Lato" w:hAnsi="Lato"/>
          <w:b/>
          <w:i/>
          <w:iCs/>
          <w:sz w:val="20"/>
          <w:szCs w:val="20"/>
        </w:rPr>
      </w:pPr>
      <w:r w:rsidRPr="00EF30E8">
        <w:rPr>
          <w:rFonts w:ascii="Lato" w:hAnsi="Lato"/>
          <w:b/>
          <w:iCs/>
          <w:sz w:val="20"/>
          <w:szCs w:val="20"/>
        </w:rPr>
        <w:t xml:space="preserve">Akcje informacyjne i promocyjne organizowane przez ZUS na rzecz osób starszych </w:t>
      </w:r>
      <w:r w:rsidRPr="00EF30E8">
        <w:rPr>
          <w:rFonts w:ascii="Lato" w:hAnsi="Lato"/>
          <w:b/>
          <w:i/>
          <w:iCs/>
          <w:sz w:val="20"/>
          <w:szCs w:val="20"/>
        </w:rPr>
        <w:t xml:space="preserve">   </w:t>
      </w:r>
    </w:p>
    <w:p w14:paraId="7C65EDC4" w14:textId="6B5343E1" w:rsidR="00481200" w:rsidRDefault="00481200" w:rsidP="00E30EB9">
      <w:pPr>
        <w:spacing w:after="0" w:line="240" w:lineRule="auto"/>
        <w:jc w:val="both"/>
        <w:rPr>
          <w:rFonts w:ascii="Lato" w:hAnsi="Lato"/>
          <w:sz w:val="20"/>
          <w:szCs w:val="20"/>
        </w:rPr>
      </w:pPr>
      <w:r w:rsidRPr="00EF30E8">
        <w:rPr>
          <w:rFonts w:ascii="Lato" w:hAnsi="Lato"/>
          <w:iCs/>
          <w:sz w:val="20"/>
          <w:szCs w:val="20"/>
        </w:rPr>
        <w:t>W 2022 r. przy współudziale Polskiego Związku Emerytów, Rencistów i Inwalidów zorganizowa</w:t>
      </w:r>
      <w:r w:rsidR="000D1387">
        <w:rPr>
          <w:rFonts w:ascii="Lato" w:hAnsi="Lato"/>
          <w:iCs/>
          <w:sz w:val="20"/>
          <w:szCs w:val="20"/>
        </w:rPr>
        <w:t>ny został</w:t>
      </w:r>
      <w:r w:rsidRPr="00EF30E8">
        <w:rPr>
          <w:rFonts w:ascii="Lato" w:hAnsi="Lato"/>
          <w:iCs/>
          <w:sz w:val="20"/>
          <w:szCs w:val="20"/>
        </w:rPr>
        <w:t xml:space="preserve"> Dzień Seniora. Jest to ogólnopolska, cykliczna akcja, która ma na celu edukowanie, aktywizowanie oraz integrowanie osób starszych. </w:t>
      </w:r>
      <w:r w:rsidRPr="00EF30E8">
        <w:rPr>
          <w:rFonts w:ascii="Lato" w:hAnsi="Lato"/>
          <w:sz w:val="20"/>
          <w:szCs w:val="20"/>
        </w:rPr>
        <w:t xml:space="preserve">W 2022 r. odbyła się pod hasłem „Bezpiecznie Zdrowo Bezgotówkowo”. </w:t>
      </w:r>
      <w:proofErr w:type="spellStart"/>
      <w:r w:rsidR="000D1387">
        <w:rPr>
          <w:rFonts w:ascii="Lato" w:hAnsi="Lato"/>
          <w:sz w:val="20"/>
          <w:szCs w:val="20"/>
        </w:rPr>
        <w:t>Wv</w:t>
      </w:r>
      <w:proofErr w:type="spellEnd"/>
      <w:r w:rsidR="000D1387">
        <w:rPr>
          <w:rFonts w:ascii="Lato" w:hAnsi="Lato"/>
          <w:sz w:val="20"/>
          <w:szCs w:val="20"/>
        </w:rPr>
        <w:t xml:space="preserve"> ramach akcji z</w:t>
      </w:r>
      <w:r w:rsidRPr="00EF30E8">
        <w:rPr>
          <w:rFonts w:ascii="Lato" w:hAnsi="Lato"/>
          <w:sz w:val="20"/>
          <w:szCs w:val="20"/>
        </w:rPr>
        <w:t>realizowanych zostało ponad 560 wydarzeń o charakterze lokalnym, na terenie całej Polski. Dodatkowo, idea „Bezpiecznie, Zdrowo, Bezgotówkowo” do dnia dzisiejszego jest przypominana i wzmacniana podczas spotkań z osobami starszymi.  </w:t>
      </w:r>
    </w:p>
    <w:p w14:paraId="5D6DCAD7" w14:textId="77777777" w:rsidR="00EF30E8" w:rsidRPr="00EF30E8" w:rsidRDefault="00EF30E8" w:rsidP="00E30EB9">
      <w:pPr>
        <w:spacing w:after="0" w:line="240" w:lineRule="auto"/>
        <w:jc w:val="both"/>
        <w:rPr>
          <w:rFonts w:ascii="Lato" w:hAnsi="Lato"/>
          <w:sz w:val="20"/>
          <w:szCs w:val="20"/>
        </w:rPr>
      </w:pPr>
    </w:p>
    <w:p w14:paraId="6D5F77CE" w14:textId="0CCEF5CF" w:rsidR="00481200" w:rsidRDefault="00481200" w:rsidP="00E30EB9">
      <w:pPr>
        <w:spacing w:after="0" w:line="240" w:lineRule="auto"/>
        <w:jc w:val="both"/>
        <w:rPr>
          <w:rFonts w:ascii="Lato" w:hAnsi="Lato"/>
          <w:iCs/>
          <w:sz w:val="20"/>
          <w:szCs w:val="20"/>
        </w:rPr>
      </w:pPr>
      <w:r w:rsidRPr="00EF30E8">
        <w:rPr>
          <w:rFonts w:ascii="Lato" w:hAnsi="Lato"/>
          <w:iCs/>
          <w:sz w:val="20"/>
          <w:szCs w:val="20"/>
        </w:rPr>
        <w:t xml:space="preserve">W 2022 r. </w:t>
      </w:r>
      <w:r w:rsidR="000D1387">
        <w:rPr>
          <w:rFonts w:ascii="Lato" w:hAnsi="Lato"/>
          <w:iCs/>
          <w:sz w:val="20"/>
          <w:szCs w:val="20"/>
        </w:rPr>
        <w:t xml:space="preserve">ZUS zorganizował </w:t>
      </w:r>
      <w:r w:rsidRPr="00EF30E8">
        <w:rPr>
          <w:rFonts w:ascii="Lato" w:hAnsi="Lato"/>
          <w:iCs/>
          <w:sz w:val="20"/>
          <w:szCs w:val="20"/>
        </w:rPr>
        <w:t>17 wykładów</w:t>
      </w:r>
      <w:r w:rsidR="000D1387">
        <w:rPr>
          <w:rFonts w:ascii="Lato" w:hAnsi="Lato"/>
          <w:iCs/>
          <w:sz w:val="20"/>
          <w:szCs w:val="20"/>
        </w:rPr>
        <w:t xml:space="preserve"> </w:t>
      </w:r>
      <w:r w:rsidR="000D1387" w:rsidRPr="00EF30E8">
        <w:rPr>
          <w:rFonts w:ascii="Lato" w:hAnsi="Lato"/>
          <w:iCs/>
          <w:sz w:val="20"/>
          <w:szCs w:val="20"/>
        </w:rPr>
        <w:t>dla osób starszych na Uniwersytetach Trzeciego Wieku</w:t>
      </w:r>
      <w:r w:rsidR="000D1387">
        <w:rPr>
          <w:rFonts w:ascii="Lato" w:hAnsi="Lato"/>
          <w:iCs/>
          <w:sz w:val="20"/>
          <w:szCs w:val="20"/>
        </w:rPr>
        <w:t xml:space="preserve">, </w:t>
      </w:r>
      <w:r w:rsidRPr="00EF30E8">
        <w:rPr>
          <w:rFonts w:ascii="Lato" w:hAnsi="Lato"/>
          <w:iCs/>
          <w:sz w:val="20"/>
          <w:szCs w:val="20"/>
        </w:rPr>
        <w:t>w których łącznie uczestniczyło 779 osób.</w:t>
      </w:r>
    </w:p>
    <w:p w14:paraId="4D73F9AB" w14:textId="77777777" w:rsidR="00EF30E8" w:rsidRPr="00EF30E8" w:rsidRDefault="00EF30E8" w:rsidP="00E30EB9">
      <w:pPr>
        <w:spacing w:after="0" w:line="240" w:lineRule="auto"/>
        <w:jc w:val="both"/>
        <w:rPr>
          <w:rFonts w:ascii="Lato" w:hAnsi="Lato"/>
          <w:iCs/>
          <w:sz w:val="20"/>
          <w:szCs w:val="20"/>
        </w:rPr>
      </w:pPr>
    </w:p>
    <w:p w14:paraId="02840091" w14:textId="0E710F68" w:rsidR="00481200" w:rsidRDefault="000D1387" w:rsidP="00E30EB9">
      <w:pPr>
        <w:spacing w:after="0" w:line="240" w:lineRule="auto"/>
        <w:jc w:val="both"/>
        <w:rPr>
          <w:rFonts w:ascii="Lato" w:hAnsi="Lato"/>
          <w:iCs/>
          <w:sz w:val="20"/>
          <w:szCs w:val="20"/>
        </w:rPr>
      </w:pPr>
      <w:r>
        <w:rPr>
          <w:rFonts w:ascii="Lato" w:hAnsi="Lato"/>
          <w:iCs/>
          <w:sz w:val="20"/>
          <w:szCs w:val="20"/>
        </w:rPr>
        <w:t>Cyklicznie wydawana jest gazeta</w:t>
      </w:r>
      <w:r w:rsidR="00481200" w:rsidRPr="00EF30E8">
        <w:rPr>
          <w:rFonts w:ascii="Lato" w:hAnsi="Lato"/>
          <w:iCs/>
          <w:sz w:val="20"/>
          <w:szCs w:val="20"/>
        </w:rPr>
        <w:t xml:space="preserve"> „ZUS dla Seniora”</w:t>
      </w:r>
      <w:r>
        <w:rPr>
          <w:rFonts w:ascii="Lato" w:hAnsi="Lato"/>
          <w:iCs/>
          <w:sz w:val="20"/>
          <w:szCs w:val="20"/>
        </w:rPr>
        <w:t>. W</w:t>
      </w:r>
      <w:r w:rsidR="00481200" w:rsidRPr="00EF30E8">
        <w:rPr>
          <w:rFonts w:ascii="Lato" w:hAnsi="Lato"/>
          <w:iCs/>
          <w:sz w:val="20"/>
          <w:szCs w:val="20"/>
        </w:rPr>
        <w:t xml:space="preserve"> 2022 r. rozdystrybuow</w:t>
      </w:r>
      <w:r>
        <w:rPr>
          <w:rFonts w:ascii="Lato" w:hAnsi="Lato"/>
          <w:iCs/>
          <w:sz w:val="20"/>
          <w:szCs w:val="20"/>
        </w:rPr>
        <w:t>anych zostało</w:t>
      </w:r>
      <w:r w:rsidR="00481200" w:rsidRPr="00EF30E8">
        <w:rPr>
          <w:rFonts w:ascii="Lato" w:hAnsi="Lato"/>
          <w:iCs/>
          <w:sz w:val="20"/>
          <w:szCs w:val="20"/>
        </w:rPr>
        <w:t xml:space="preserve"> 35 250 tys. egzemplarzy. Na każdą organizowaną akcję, wydarzenie skierowane do osób starszych, przygotow</w:t>
      </w:r>
      <w:r>
        <w:rPr>
          <w:rFonts w:ascii="Lato" w:hAnsi="Lato"/>
          <w:iCs/>
          <w:sz w:val="20"/>
          <w:szCs w:val="20"/>
        </w:rPr>
        <w:t xml:space="preserve">ywane są </w:t>
      </w:r>
      <w:r w:rsidR="00481200" w:rsidRPr="00EF30E8">
        <w:rPr>
          <w:rFonts w:ascii="Lato" w:hAnsi="Lato"/>
          <w:iCs/>
          <w:sz w:val="20"/>
          <w:szCs w:val="20"/>
        </w:rPr>
        <w:t>materiały wspierające: dyplomy, zakładki do książek, notesy magnetyczne na lodówkę, plakaty.</w:t>
      </w:r>
    </w:p>
    <w:p w14:paraId="63EE2612" w14:textId="77777777" w:rsidR="00EF30E8" w:rsidRPr="00EF30E8" w:rsidRDefault="00EF30E8" w:rsidP="00E30EB9">
      <w:pPr>
        <w:spacing w:after="0" w:line="240" w:lineRule="auto"/>
        <w:jc w:val="both"/>
        <w:rPr>
          <w:rFonts w:ascii="Lato" w:hAnsi="Lato"/>
          <w:iCs/>
          <w:sz w:val="20"/>
          <w:szCs w:val="20"/>
        </w:rPr>
      </w:pPr>
    </w:p>
    <w:p w14:paraId="1D166F5A" w14:textId="75F100A2" w:rsidR="00481200" w:rsidRDefault="00481200" w:rsidP="00E30EB9">
      <w:pPr>
        <w:spacing w:after="0" w:line="240" w:lineRule="auto"/>
        <w:jc w:val="both"/>
        <w:rPr>
          <w:rFonts w:ascii="Lato" w:hAnsi="Lato"/>
          <w:sz w:val="20"/>
          <w:szCs w:val="20"/>
        </w:rPr>
      </w:pPr>
      <w:r w:rsidRPr="00EF30E8">
        <w:rPr>
          <w:rFonts w:ascii="Lato" w:hAnsi="Lato"/>
          <w:sz w:val="20"/>
          <w:szCs w:val="20"/>
        </w:rPr>
        <w:t>Wspólnie z zaprzyjaźnionymi instytucjami: Policją, urzędami miast, Państwową Inspekcją pracy i wielu innymi działającymi lokalnie, organiz</w:t>
      </w:r>
      <w:r w:rsidR="000D1387">
        <w:rPr>
          <w:rFonts w:ascii="Lato" w:hAnsi="Lato"/>
          <w:sz w:val="20"/>
          <w:szCs w:val="20"/>
        </w:rPr>
        <w:t xml:space="preserve">owane są </w:t>
      </w:r>
      <w:r w:rsidRPr="00EF30E8">
        <w:rPr>
          <w:rFonts w:ascii="Lato" w:hAnsi="Lato"/>
          <w:sz w:val="20"/>
          <w:szCs w:val="20"/>
        </w:rPr>
        <w:t xml:space="preserve">akcje informacyjne dla osób starszych – nie tylko ściśle z zakresu ubezpieczeń społecznych, ale także dotyczące ich bezpieczeństwa, zdrowia i pieniędzy. </w:t>
      </w:r>
      <w:r w:rsidR="000D1387">
        <w:rPr>
          <w:rFonts w:ascii="Lato" w:hAnsi="Lato"/>
          <w:sz w:val="20"/>
          <w:szCs w:val="20"/>
        </w:rPr>
        <w:t>Na</w:t>
      </w:r>
      <w:r w:rsidRPr="00EF30E8">
        <w:rPr>
          <w:rFonts w:ascii="Lato" w:hAnsi="Lato"/>
          <w:sz w:val="20"/>
          <w:szCs w:val="20"/>
        </w:rPr>
        <w:t xml:space="preserve"> sale obsługi klientów ZUS </w:t>
      </w:r>
      <w:r w:rsidR="000D1387">
        <w:rPr>
          <w:rFonts w:ascii="Lato" w:hAnsi="Lato"/>
          <w:sz w:val="20"/>
          <w:szCs w:val="20"/>
        </w:rPr>
        <w:t xml:space="preserve">zapraszani są </w:t>
      </w:r>
      <w:r w:rsidRPr="00EF30E8">
        <w:rPr>
          <w:rFonts w:ascii="Lato" w:hAnsi="Lato"/>
          <w:sz w:val="20"/>
          <w:szCs w:val="20"/>
        </w:rPr>
        <w:t>przedstawiciel</w:t>
      </w:r>
      <w:r w:rsidR="000D1387">
        <w:rPr>
          <w:rFonts w:ascii="Lato" w:hAnsi="Lato"/>
          <w:sz w:val="20"/>
          <w:szCs w:val="20"/>
        </w:rPr>
        <w:t>e</w:t>
      </w:r>
      <w:r w:rsidRPr="00EF30E8">
        <w:rPr>
          <w:rFonts w:ascii="Lato" w:hAnsi="Lato"/>
          <w:sz w:val="20"/>
          <w:szCs w:val="20"/>
        </w:rPr>
        <w:t xml:space="preserve"> tych instytucji, by mogli edukować w obszarach kluczowych dla funkcjonowania seniorów. </w:t>
      </w:r>
      <w:r w:rsidR="000D1387">
        <w:rPr>
          <w:rFonts w:ascii="Lato" w:hAnsi="Lato"/>
          <w:sz w:val="20"/>
          <w:szCs w:val="20"/>
        </w:rPr>
        <w:t xml:space="preserve">Przedstawiciele ZUS jeżdżą </w:t>
      </w:r>
      <w:r w:rsidRPr="00EF30E8">
        <w:rPr>
          <w:rFonts w:ascii="Lato" w:hAnsi="Lato"/>
          <w:sz w:val="20"/>
          <w:szCs w:val="20"/>
        </w:rPr>
        <w:t>także do placówek partnerskich instytucji ze stoiskiem informacyjnym o ubezpieczeniach społecznych.  </w:t>
      </w:r>
    </w:p>
    <w:p w14:paraId="65785486" w14:textId="77777777" w:rsidR="00EF30E8" w:rsidRPr="00EF30E8" w:rsidRDefault="00EF30E8" w:rsidP="00E30EB9">
      <w:pPr>
        <w:spacing w:after="0" w:line="240" w:lineRule="auto"/>
        <w:jc w:val="both"/>
        <w:rPr>
          <w:rFonts w:ascii="Lato" w:hAnsi="Lato"/>
          <w:sz w:val="20"/>
          <w:szCs w:val="20"/>
        </w:rPr>
      </w:pPr>
    </w:p>
    <w:p w14:paraId="00BA9DC7" w14:textId="3B9C43B5" w:rsidR="00481200" w:rsidRDefault="00481200" w:rsidP="00E30EB9">
      <w:pPr>
        <w:spacing w:after="0" w:line="240" w:lineRule="auto"/>
        <w:jc w:val="both"/>
        <w:rPr>
          <w:rFonts w:ascii="Lato" w:hAnsi="Lato"/>
          <w:color w:val="000000" w:themeColor="text1"/>
          <w:sz w:val="20"/>
          <w:szCs w:val="20"/>
        </w:rPr>
      </w:pPr>
      <w:r w:rsidRPr="00EF30E8">
        <w:rPr>
          <w:rFonts w:ascii="Lato" w:hAnsi="Lato"/>
          <w:color w:val="000000" w:themeColor="text1"/>
          <w:sz w:val="20"/>
          <w:szCs w:val="20"/>
        </w:rPr>
        <w:t>Na monitorach umieszczonych w SOK wyświetla</w:t>
      </w:r>
      <w:r w:rsidR="000D1387">
        <w:rPr>
          <w:rFonts w:ascii="Lato" w:hAnsi="Lato"/>
          <w:color w:val="000000" w:themeColor="text1"/>
          <w:sz w:val="20"/>
          <w:szCs w:val="20"/>
        </w:rPr>
        <w:t>ne są</w:t>
      </w:r>
      <w:r w:rsidRPr="00EF30E8">
        <w:rPr>
          <w:rFonts w:ascii="Lato" w:hAnsi="Lato"/>
          <w:color w:val="000000" w:themeColor="text1"/>
          <w:sz w:val="20"/>
          <w:szCs w:val="20"/>
        </w:rPr>
        <w:t xml:space="preserve"> filmy promocyjne realizowane przez ZUS w ramach kampanii dla seniorów, a także filmy i komunikaty podmiotów współpracujących z Zakładem (np. Policją, UOKiK itp.) Wyświetlane są także aktualne wysokości świadczeń oraz dodatków do emerytur i rent. </w:t>
      </w:r>
    </w:p>
    <w:p w14:paraId="74DE3F6F" w14:textId="77777777" w:rsidR="000D1387" w:rsidRPr="00EF30E8" w:rsidRDefault="000D1387" w:rsidP="00E30EB9">
      <w:pPr>
        <w:spacing w:after="0" w:line="240" w:lineRule="auto"/>
        <w:jc w:val="both"/>
        <w:rPr>
          <w:rFonts w:ascii="Lato" w:hAnsi="Lato"/>
          <w:color w:val="000000" w:themeColor="text1"/>
          <w:sz w:val="20"/>
          <w:szCs w:val="20"/>
        </w:rPr>
      </w:pPr>
    </w:p>
    <w:p w14:paraId="124389C0" w14:textId="69477F95" w:rsidR="00481200" w:rsidRPr="00EF30E8" w:rsidRDefault="00481200" w:rsidP="00E30EB9">
      <w:pPr>
        <w:spacing w:after="0" w:line="240" w:lineRule="auto"/>
        <w:jc w:val="both"/>
        <w:rPr>
          <w:rFonts w:ascii="Lato" w:hAnsi="Lato"/>
          <w:sz w:val="20"/>
          <w:szCs w:val="20"/>
        </w:rPr>
      </w:pPr>
      <w:r w:rsidRPr="00EF30E8">
        <w:rPr>
          <w:rFonts w:ascii="Lato" w:hAnsi="Lato"/>
          <w:iCs/>
          <w:sz w:val="20"/>
          <w:szCs w:val="20"/>
        </w:rPr>
        <w:t>Do działań promocyjnych, wydarzeń skierowanych do osób starszych wykorzyst</w:t>
      </w:r>
      <w:r w:rsidR="000D1387">
        <w:rPr>
          <w:rFonts w:ascii="Lato" w:hAnsi="Lato"/>
          <w:iCs/>
          <w:sz w:val="20"/>
          <w:szCs w:val="20"/>
        </w:rPr>
        <w:t>ywane są</w:t>
      </w:r>
      <w:r w:rsidRPr="00EF30E8">
        <w:rPr>
          <w:rFonts w:ascii="Lato" w:hAnsi="Lato"/>
          <w:iCs/>
          <w:sz w:val="20"/>
          <w:szCs w:val="20"/>
        </w:rPr>
        <w:t xml:space="preserve"> również media społecznościowe. W 2022 r. na </w:t>
      </w:r>
      <w:proofErr w:type="spellStart"/>
      <w:r w:rsidRPr="00EF30E8">
        <w:rPr>
          <w:rFonts w:ascii="Lato" w:hAnsi="Lato"/>
          <w:iCs/>
          <w:sz w:val="20"/>
          <w:szCs w:val="20"/>
        </w:rPr>
        <w:t>Twitterze</w:t>
      </w:r>
      <w:proofErr w:type="spellEnd"/>
      <w:r w:rsidRPr="00EF30E8">
        <w:rPr>
          <w:rFonts w:ascii="Lato" w:hAnsi="Lato"/>
          <w:iCs/>
          <w:sz w:val="20"/>
          <w:szCs w:val="20"/>
        </w:rPr>
        <w:t xml:space="preserve"> </w:t>
      </w:r>
      <w:r w:rsidRPr="00EF30E8">
        <w:rPr>
          <w:rFonts w:ascii="Lato" w:hAnsi="Lato"/>
          <w:sz w:val="20"/>
          <w:szCs w:val="20"/>
        </w:rPr>
        <w:t>relacjonowa</w:t>
      </w:r>
      <w:r w:rsidR="000D1387">
        <w:rPr>
          <w:rFonts w:ascii="Lato" w:hAnsi="Lato"/>
          <w:sz w:val="20"/>
          <w:szCs w:val="20"/>
        </w:rPr>
        <w:t xml:space="preserve">ne były </w:t>
      </w:r>
      <w:r w:rsidRPr="00EF30E8">
        <w:rPr>
          <w:rFonts w:ascii="Lato" w:hAnsi="Lato"/>
          <w:sz w:val="20"/>
          <w:szCs w:val="20"/>
        </w:rPr>
        <w:t xml:space="preserve">spotkania Członków Zarządu z organizacjami zrzeszającymi osoby starsze czy z powstańcami warszawskimi. </w:t>
      </w:r>
      <w:r w:rsidR="000D1387">
        <w:rPr>
          <w:rFonts w:ascii="Lato" w:hAnsi="Lato"/>
          <w:sz w:val="20"/>
          <w:szCs w:val="20"/>
        </w:rPr>
        <w:t>ZUS wspierał</w:t>
      </w:r>
      <w:r w:rsidRPr="00EF30E8">
        <w:rPr>
          <w:rFonts w:ascii="Lato" w:hAnsi="Lato"/>
          <w:sz w:val="20"/>
          <w:szCs w:val="20"/>
        </w:rPr>
        <w:t xml:space="preserve"> komunikacyjnie wydarzenia takie jak np. Dzień Seniora, czy kampania informacyjna dla seniorów: „Bezpiecznie, Zdrowo, Bezgotówkowo”. Na profilu ZUS publik</w:t>
      </w:r>
      <w:r w:rsidR="00993CDE">
        <w:rPr>
          <w:rFonts w:ascii="Lato" w:hAnsi="Lato"/>
          <w:sz w:val="20"/>
          <w:szCs w:val="20"/>
        </w:rPr>
        <w:t>owane są</w:t>
      </w:r>
      <w:r w:rsidRPr="00EF30E8">
        <w:rPr>
          <w:rFonts w:ascii="Lato" w:hAnsi="Lato"/>
          <w:sz w:val="20"/>
          <w:szCs w:val="20"/>
        </w:rPr>
        <w:t xml:space="preserve"> informacje merytoryczne istotne dla seniorów, np. limity w dorabianiu do emerytury czy renty, wysokości przysługujących świadczeń itp. Jest to komunikacja dwustronna – na bieżąco </w:t>
      </w:r>
      <w:r w:rsidR="00993CDE">
        <w:rPr>
          <w:rFonts w:ascii="Lato" w:hAnsi="Lato"/>
          <w:sz w:val="20"/>
          <w:szCs w:val="20"/>
        </w:rPr>
        <w:t>udzielane są odpowiedzi</w:t>
      </w:r>
      <w:r w:rsidRPr="00EF30E8">
        <w:rPr>
          <w:rFonts w:ascii="Lato" w:hAnsi="Lato"/>
          <w:sz w:val="20"/>
          <w:szCs w:val="20"/>
        </w:rPr>
        <w:t xml:space="preserve"> na pytania. </w:t>
      </w:r>
    </w:p>
    <w:p w14:paraId="07C95FE8" w14:textId="77777777" w:rsidR="00EF30E8" w:rsidRPr="00EF30E8" w:rsidRDefault="00EF30E8" w:rsidP="00E30EB9">
      <w:pPr>
        <w:spacing w:after="0" w:line="240" w:lineRule="auto"/>
        <w:jc w:val="both"/>
        <w:rPr>
          <w:rFonts w:ascii="Lato" w:hAnsi="Lato"/>
          <w:iCs/>
          <w:sz w:val="20"/>
          <w:szCs w:val="20"/>
        </w:rPr>
      </w:pPr>
    </w:p>
    <w:p w14:paraId="016FB90C" w14:textId="3A88644F" w:rsidR="00481200" w:rsidRPr="00EF30E8" w:rsidRDefault="00481200" w:rsidP="00E30EB9">
      <w:pPr>
        <w:spacing w:after="0" w:line="240" w:lineRule="auto"/>
        <w:jc w:val="both"/>
        <w:rPr>
          <w:rFonts w:ascii="Lato" w:hAnsi="Lato"/>
          <w:sz w:val="20"/>
          <w:szCs w:val="20"/>
        </w:rPr>
      </w:pPr>
      <w:r w:rsidRPr="00EF30E8">
        <w:rPr>
          <w:rFonts w:ascii="Lato" w:hAnsi="Lato"/>
          <w:iCs/>
          <w:sz w:val="20"/>
          <w:szCs w:val="20"/>
        </w:rPr>
        <w:t xml:space="preserve">Na stronie </w:t>
      </w:r>
      <w:hyperlink r:id="rId25" w:history="1">
        <w:r w:rsidRPr="00EF30E8">
          <w:rPr>
            <w:rFonts w:ascii="Lato" w:hAnsi="Lato"/>
            <w:iCs/>
            <w:color w:val="0000FF"/>
            <w:sz w:val="20"/>
            <w:szCs w:val="20"/>
            <w:u w:val="single"/>
          </w:rPr>
          <w:t>www.zus.pl</w:t>
        </w:r>
      </w:hyperlink>
      <w:r w:rsidRPr="00EF30E8">
        <w:rPr>
          <w:rFonts w:ascii="Lato" w:hAnsi="Lato"/>
          <w:iCs/>
          <w:sz w:val="20"/>
          <w:szCs w:val="20"/>
        </w:rPr>
        <w:t xml:space="preserve"> publik</w:t>
      </w:r>
      <w:r w:rsidR="00993CDE">
        <w:rPr>
          <w:rFonts w:ascii="Lato" w:hAnsi="Lato"/>
          <w:iCs/>
          <w:sz w:val="20"/>
          <w:szCs w:val="20"/>
        </w:rPr>
        <w:t>owane są</w:t>
      </w:r>
      <w:r w:rsidRPr="00EF30E8">
        <w:rPr>
          <w:rFonts w:ascii="Lato" w:hAnsi="Lato"/>
          <w:iCs/>
          <w:sz w:val="20"/>
          <w:szCs w:val="20"/>
        </w:rPr>
        <w:t xml:space="preserve"> </w:t>
      </w:r>
      <w:r w:rsidRPr="00EF30E8">
        <w:rPr>
          <w:rFonts w:ascii="Lato" w:hAnsi="Lato"/>
          <w:sz w:val="20"/>
          <w:szCs w:val="20"/>
        </w:rPr>
        <w:t>aktualności oraz kalendarium na temat obchodów Dnia Seniora, publikacja informacji merytorycznych dla seniorów, np. wysokości dodatków do emerytur i rent, kwoty maksymalnych przychodów a także informacji praktycznych, poradnikowych np. na temat ubankowienia.</w:t>
      </w:r>
    </w:p>
    <w:p w14:paraId="325B74B9" w14:textId="575A6D0A" w:rsidR="00586D97" w:rsidRPr="00333B6D" w:rsidRDefault="00586D97" w:rsidP="00CE7271">
      <w:pPr>
        <w:pStyle w:val="Nagwek1"/>
        <w:numPr>
          <w:ilvl w:val="0"/>
          <w:numId w:val="172"/>
        </w:numPr>
      </w:pPr>
      <w:bookmarkStart w:id="122" w:name="_Toc142565947"/>
      <w:r w:rsidRPr="00333B6D">
        <w:lastRenderedPageBreak/>
        <w:t>Polityka społeczna wobec osób starszych na szczeblu regionalnym</w:t>
      </w:r>
      <w:bookmarkEnd w:id="122"/>
    </w:p>
    <w:p w14:paraId="431601C2" w14:textId="7C898EDD" w:rsidR="00586D97" w:rsidRPr="002B0821" w:rsidRDefault="00586D97" w:rsidP="00CE7271">
      <w:pPr>
        <w:pStyle w:val="Nagwek2"/>
        <w:numPr>
          <w:ilvl w:val="1"/>
          <w:numId w:val="172"/>
        </w:numPr>
        <w:rPr>
          <w:b/>
          <w:bCs/>
        </w:rPr>
      </w:pPr>
      <w:bookmarkStart w:id="123" w:name="_Toc142565948"/>
      <w:r w:rsidRPr="002B0821">
        <w:rPr>
          <w:b/>
          <w:bCs/>
        </w:rPr>
        <w:t>Województwo dolnośląskie</w:t>
      </w:r>
      <w:bookmarkEnd w:id="123"/>
    </w:p>
    <w:p w14:paraId="5F5901A4" w14:textId="77777777" w:rsidR="00BA7CBC" w:rsidRDefault="006C160D" w:rsidP="00BA7CBC">
      <w:pPr>
        <w:spacing w:after="0" w:line="240" w:lineRule="auto"/>
        <w:jc w:val="both"/>
        <w:rPr>
          <w:rFonts w:ascii="Lato" w:hAnsi="Lato"/>
          <w:sz w:val="20"/>
          <w:szCs w:val="20"/>
        </w:rPr>
      </w:pPr>
      <w:hyperlink r:id="rId26" w:tooltip="Uchwała Sejmiku Województwa L/1790/18" w:history="1">
        <w:r w:rsidR="00BA7CBC" w:rsidRPr="00BA7CBC">
          <w:rPr>
            <w:rFonts w:ascii="Lato" w:hAnsi="Lato"/>
            <w:sz w:val="20"/>
            <w:szCs w:val="20"/>
          </w:rPr>
          <w:t>Uchwałą nr L/1790/18 Sejmiku Województwa Dolnośląskiego z dnia 20 września 2018 r.</w:t>
        </w:r>
      </w:hyperlink>
      <w:r w:rsidR="00BA7CBC" w:rsidRPr="00BA7CBC">
        <w:rPr>
          <w:rFonts w:ascii="Lato" w:hAnsi="Lato"/>
          <w:sz w:val="20"/>
          <w:szCs w:val="20"/>
        </w:rPr>
        <w:t xml:space="preserve"> przyjęto Strategię Rozwoju Województwa Dolnośląskiego 2030</w:t>
      </w:r>
    </w:p>
    <w:p w14:paraId="511DBAAE" w14:textId="6A52F134" w:rsidR="00BA7CBC" w:rsidRDefault="00BA7CBC" w:rsidP="00BA7CBC">
      <w:pPr>
        <w:spacing w:after="0" w:line="240" w:lineRule="auto"/>
        <w:jc w:val="both"/>
        <w:rPr>
          <w:rFonts w:ascii="Lato" w:hAnsi="Lato"/>
          <w:sz w:val="20"/>
          <w:szCs w:val="20"/>
        </w:rPr>
      </w:pPr>
    </w:p>
    <w:p w14:paraId="0AFC375A" w14:textId="1E3A3E0B" w:rsidR="003D7879" w:rsidRPr="003D7879" w:rsidRDefault="003D7879" w:rsidP="00BA7CBC">
      <w:pPr>
        <w:spacing w:after="0" w:line="240" w:lineRule="auto"/>
        <w:jc w:val="both"/>
        <w:rPr>
          <w:rFonts w:ascii="Lato" w:hAnsi="Lato"/>
          <w:b/>
          <w:color w:val="2F5496" w:themeColor="accent1" w:themeShade="BF"/>
          <w:sz w:val="20"/>
          <w:szCs w:val="20"/>
        </w:rPr>
      </w:pPr>
      <w:bookmarkStart w:id="124" w:name="_Hlk137799444"/>
      <w:r w:rsidRPr="00757CE7">
        <w:rPr>
          <w:rFonts w:ascii="Lato" w:hAnsi="Lato"/>
          <w:b/>
          <w:color w:val="2F5496" w:themeColor="accent1" w:themeShade="BF"/>
          <w:sz w:val="20"/>
          <w:szCs w:val="20"/>
        </w:rPr>
        <w:t>INICJATYWY DEDYKOWANE OSOBOM STARSZYM</w:t>
      </w:r>
      <w:bookmarkEnd w:id="124"/>
    </w:p>
    <w:p w14:paraId="606323E4" w14:textId="77777777" w:rsidR="00BA7CBC" w:rsidRDefault="00BA7CBC" w:rsidP="00BA7CBC">
      <w:pPr>
        <w:spacing w:after="0" w:line="240" w:lineRule="auto"/>
        <w:jc w:val="both"/>
        <w:rPr>
          <w:rFonts w:ascii="Lato" w:eastAsia="Calibri" w:hAnsi="Lato"/>
          <w:b/>
          <w:bCs/>
          <w:sz w:val="20"/>
          <w:szCs w:val="20"/>
        </w:rPr>
      </w:pPr>
      <w:r w:rsidRPr="00BA7CBC">
        <w:rPr>
          <w:rFonts w:ascii="Lato" w:eastAsia="Calibri" w:hAnsi="Lato"/>
          <w:b/>
          <w:bCs/>
          <w:sz w:val="20"/>
          <w:szCs w:val="20"/>
        </w:rPr>
        <w:t>Samorząd Województwa Dolnośląskiego kontynuował działania na rzecz seniorów</w:t>
      </w:r>
    </w:p>
    <w:p w14:paraId="2998F8BE" w14:textId="77777777" w:rsid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 xml:space="preserve">Zarząd Województwa Dolnośląskiego ogłosił otwarty konkurs ofert na realizację zadań publicznych dotyczących prowadzenia działań aktywizujących dolnośląskich seniorów w 2022 r., w ramach którego zlecono następujące zadania: 1) prowadzenie działań zapewniających wsparcie psychologiczne i środowiskowe seniorów, jako formy przeciwdziałania wykluczeniu społecznemu, a także wsparcie seniorów w czasie ogłoszonej pandemii; 2) udostępnienie usług asystenckich tj. wsparcie seniorów w wykonywaniu podstawowych czynności dnia codziennego, niezbędnych do aktywnego funkcjonowania społecznego (np. wsparcie w przemieszczaniu się do lekarza, punktów usługowych i innych miejsc publicznych oraz asysta w tych miejscach, spędzanie czasu wolnego; 3) wzmacnianie różnych form aktywności seniorów, w tym również wsparcie w sytuacjach kryzysowych, mających na celu przeciwdziałanie </w:t>
      </w:r>
      <w:proofErr w:type="spellStart"/>
      <w:r w:rsidRPr="00BA7CBC">
        <w:rPr>
          <w:rFonts w:ascii="Lato" w:hAnsi="Lato"/>
          <w:bCs/>
          <w:sz w:val="20"/>
          <w:szCs w:val="20"/>
        </w:rPr>
        <w:t>defaworyzacji</w:t>
      </w:r>
      <w:proofErr w:type="spellEnd"/>
      <w:r w:rsidRPr="00BA7CBC">
        <w:rPr>
          <w:rFonts w:ascii="Lato" w:hAnsi="Lato"/>
          <w:bCs/>
          <w:sz w:val="20"/>
          <w:szCs w:val="20"/>
        </w:rPr>
        <w:t xml:space="preserve"> oraz </w:t>
      </w:r>
      <w:proofErr w:type="spellStart"/>
      <w:r w:rsidRPr="00BA7CBC">
        <w:rPr>
          <w:rFonts w:ascii="Lato" w:hAnsi="Lato"/>
          <w:bCs/>
          <w:sz w:val="20"/>
          <w:szCs w:val="20"/>
        </w:rPr>
        <w:t>wykluczeniom</w:t>
      </w:r>
      <w:proofErr w:type="spellEnd"/>
      <w:r w:rsidRPr="00BA7CBC">
        <w:rPr>
          <w:rFonts w:ascii="Lato" w:hAnsi="Lato"/>
          <w:bCs/>
          <w:sz w:val="20"/>
          <w:szCs w:val="20"/>
        </w:rPr>
        <w:t xml:space="preserve"> społecznemu seniorów; 4) prowadzenie międzypokoleniowych działań integracyjnych seniorów z dziećmi i młodzieżą;</w:t>
      </w:r>
    </w:p>
    <w:p w14:paraId="68EAC747" w14:textId="77777777" w:rsid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Zorganizowano i przeprowadzono cykl forów Rad Senioralnych. Odbyły się one w czterech subregionach: jeleniogórskim, legnickim, wałbrzyskim oraz wrocławskim. Ich celem była wymiana wiedzy i doświadczeń Rad Seniorów w ramach subregionu, w zakresie prowadzonych działań na rzecz osób starszych, wymiana dobrych praktyk, integracji lokalnych Rad Seniorów, a także określenie potrzeb Rad Seniorów w zakresie wsparcia działalności w środowisku lokalnym.</w:t>
      </w:r>
    </w:p>
    <w:p w14:paraId="37742DC4" w14:textId="77777777" w:rsidR="00BA7CBC" w:rsidRP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Zorganizowano i przeprowadzono II Dolnośląskie Forum Rad Senioralnych, którego celem była wymiana wiedzy i doświadczeń Rad Seniorów z Dolnego Śląska w zakresie m.in. prowadzonych działań na rzecz osób starszych, wymiana dobrych praktyk, integracja Dolnośląskich Rad Seniorów, czy uświadamianie potrzeb partycypacji osób starszych w życiu obywatelskim. Na Forum poruszono aspekty innowacji w zarządzaniu politykami społecznymi oraz przedsiębiorczości seniorów. Odbył się także panel dyskusyjny nt. „Innowacje społeczne i przedsiębiorczość 60+ jako kluczowe czynniki rozwoju Dolnego Śląska”. Wydarzenie odbyło się w Subregionie Wałbrzyskim, gdzie wzięło udział ponad 240 osób, również było transmitowane na żywo na fanpage Dolnośląskiej Społecznej Rady Senioralnej.</w:t>
      </w:r>
    </w:p>
    <w:p w14:paraId="2FD05658" w14:textId="77777777" w:rsidR="00BA7CBC" w:rsidRP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Udzielono 17 dotacji w trybie art. 19a, których celem była m.in. integracja i aktywizacja dolnośląskich seniorów w czasie pandemii, wzmacniania ich kompetencji, wsparcie psychologiczne i informatyczne.</w:t>
      </w:r>
    </w:p>
    <w:p w14:paraId="1BF9068F" w14:textId="446BA4BD" w:rsidR="00BA7CBC" w:rsidRP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Udzielono 13 dotacji celowych z przeznaczeniem na wsparcie seniorów działających</w:t>
      </w:r>
      <w:r w:rsidR="000F3758">
        <w:rPr>
          <w:rFonts w:ascii="Lato" w:hAnsi="Lato"/>
          <w:bCs/>
          <w:sz w:val="20"/>
          <w:szCs w:val="20"/>
        </w:rPr>
        <w:t xml:space="preserve"> </w:t>
      </w:r>
      <w:r w:rsidRPr="00BA7CBC">
        <w:rPr>
          <w:rFonts w:ascii="Lato" w:hAnsi="Lato"/>
          <w:bCs/>
          <w:sz w:val="20"/>
          <w:szCs w:val="20"/>
        </w:rPr>
        <w:t>w Uniwersytetach Trzeciego Wieku dolnośląskich publicznych uczelni wyższych.</w:t>
      </w:r>
    </w:p>
    <w:p w14:paraId="241B6385" w14:textId="77777777" w:rsidR="00BA7CBC" w:rsidRP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 xml:space="preserve">Działania w ramach programu Nestor zrealizowane w 2022 r.: </w:t>
      </w:r>
    </w:p>
    <w:p w14:paraId="5F17775F" w14:textId="77777777" w:rsidR="00BA7CBC" w:rsidRPr="00BA7CBC" w:rsidRDefault="00BA7CBC" w:rsidP="00B73AF7">
      <w:pPr>
        <w:pStyle w:val="Akapitzlist"/>
        <w:numPr>
          <w:ilvl w:val="0"/>
          <w:numId w:val="41"/>
        </w:numPr>
        <w:spacing w:after="0" w:line="240" w:lineRule="auto"/>
        <w:ind w:left="723"/>
        <w:jc w:val="both"/>
        <w:rPr>
          <w:rFonts w:ascii="Lato" w:hAnsi="Lato"/>
          <w:bCs/>
          <w:sz w:val="20"/>
          <w:szCs w:val="20"/>
        </w:rPr>
      </w:pPr>
      <w:r w:rsidRPr="00BA7CBC">
        <w:rPr>
          <w:rFonts w:ascii="Lato" w:hAnsi="Lato"/>
          <w:bCs/>
          <w:sz w:val="20"/>
          <w:szCs w:val="20"/>
        </w:rPr>
        <w:t>Zainicjowanie działania na rzecz wspierania Domów Pomocy Społecznej (DPS) z terenu województwa dolnośląskiego w zapewnianiu dostępu mieszkańcom DPS o ograniczonej sprawności wzrokowej do uczestnictwa w kulturze i spędzania czasu wolnego. W ramach działania zakupiono 93 pozycje audiobooków dla 23 DPS, które zgłosiły chęć wsparcia swoich podopiecznych w takiej formie;</w:t>
      </w:r>
    </w:p>
    <w:p w14:paraId="4BB3A083" w14:textId="77777777" w:rsidR="00BA7CBC" w:rsidRPr="00BA7CBC" w:rsidRDefault="00BA7CBC" w:rsidP="00B73AF7">
      <w:pPr>
        <w:pStyle w:val="Akapitzlist"/>
        <w:numPr>
          <w:ilvl w:val="0"/>
          <w:numId w:val="41"/>
        </w:numPr>
        <w:spacing w:after="0" w:line="240" w:lineRule="auto"/>
        <w:ind w:left="723"/>
        <w:jc w:val="both"/>
        <w:rPr>
          <w:rFonts w:ascii="Lato" w:hAnsi="Lato"/>
          <w:bCs/>
          <w:sz w:val="20"/>
          <w:szCs w:val="20"/>
        </w:rPr>
      </w:pPr>
      <w:r w:rsidRPr="00BA7CBC">
        <w:rPr>
          <w:rFonts w:ascii="Lato" w:hAnsi="Lato"/>
          <w:bCs/>
          <w:sz w:val="20"/>
          <w:szCs w:val="20"/>
        </w:rPr>
        <w:t>Wsparcie oferty spędzania czasu wolnego przez seniorów. Cykliczna organizacja we współpracy z dolnośląskimi instytucjami kultury (m. in. Narodowym Forum Muzyki we Wrocławiu, Filharmonią Sudecką, Filharmonią Dolnośląską, Teatrem Dramatycznym w Wałbrzychu) przedsięwzięć kulturalnych (koncertów muzyki poważnej, spektakli) dla seniorów oraz ich rodzin, mająca na celu aktywizację kulturalną seniorów oraz ich integrację ze społeczeństwem. W roku 2022 zakupiono 1368 biletów dla seniorów na 7 przedsięwzięć kulturalnych organizowanych przez dolnośląskie instytucje kultury. Bilety przekazano dolnośląskim UTW oraz organizacjom pozarządowym, działającym na rzecz aktywizacji i wsparcia dolnośląskich seniorów.</w:t>
      </w:r>
    </w:p>
    <w:p w14:paraId="3C23BFDE" w14:textId="77777777" w:rsid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W zakresie wsparcia seniorów w ramach Klubów Seniora na Dolnym Śląsku, Inicjatywy dedykowane osobom starszym (60, 65+) - inne formy wsparcia osób starszych, finansowanych w ramach RPO WD z Europejskiego Funduszu Społecznego Urząd Marszałkowski Województwa Dolnośląskiego nadzorował poniższe projekty:</w:t>
      </w:r>
    </w:p>
    <w:p w14:paraId="29457F87" w14:textId="5667ABCF" w:rsidR="00BA7CBC" w:rsidRDefault="00BA7CBC" w:rsidP="00B73AF7">
      <w:pPr>
        <w:pStyle w:val="Akapitzlist"/>
        <w:numPr>
          <w:ilvl w:val="0"/>
          <w:numId w:val="42"/>
        </w:numPr>
        <w:spacing w:after="0" w:line="240" w:lineRule="auto"/>
        <w:jc w:val="both"/>
        <w:rPr>
          <w:rFonts w:ascii="Lato" w:hAnsi="Lato"/>
          <w:bCs/>
          <w:sz w:val="20"/>
          <w:szCs w:val="20"/>
        </w:rPr>
      </w:pPr>
      <w:r w:rsidRPr="00BA7CBC">
        <w:rPr>
          <w:rFonts w:ascii="Lato" w:hAnsi="Lato"/>
          <w:bCs/>
          <w:sz w:val="20"/>
          <w:szCs w:val="20"/>
        </w:rPr>
        <w:t xml:space="preserve">„Samodzielni niesamodzielni” </w:t>
      </w:r>
    </w:p>
    <w:p w14:paraId="03D8C2A3" w14:textId="77777777" w:rsidR="00BA7CBC" w:rsidRDefault="00BA7CBC" w:rsidP="00B73AF7">
      <w:pPr>
        <w:pStyle w:val="Akapitzlist"/>
        <w:numPr>
          <w:ilvl w:val="0"/>
          <w:numId w:val="42"/>
        </w:numPr>
        <w:spacing w:after="0" w:line="240" w:lineRule="auto"/>
        <w:jc w:val="both"/>
        <w:rPr>
          <w:rFonts w:ascii="Lato" w:hAnsi="Lato"/>
          <w:bCs/>
          <w:sz w:val="20"/>
          <w:szCs w:val="20"/>
        </w:rPr>
      </w:pPr>
      <w:r w:rsidRPr="00BA7CBC">
        <w:rPr>
          <w:rFonts w:ascii="Lato" w:hAnsi="Lato"/>
          <w:bCs/>
          <w:sz w:val="20"/>
          <w:szCs w:val="20"/>
        </w:rPr>
        <w:lastRenderedPageBreak/>
        <w:t xml:space="preserve">„Gmina Zgorzelec wspiera seniorów” </w:t>
      </w:r>
    </w:p>
    <w:p w14:paraId="1EC0CA59" w14:textId="77777777" w:rsidR="00BA7CBC" w:rsidRDefault="00BA7CBC" w:rsidP="00B73AF7">
      <w:pPr>
        <w:pStyle w:val="Akapitzlist"/>
        <w:numPr>
          <w:ilvl w:val="0"/>
          <w:numId w:val="42"/>
        </w:numPr>
        <w:spacing w:after="0" w:line="240" w:lineRule="auto"/>
        <w:jc w:val="both"/>
        <w:rPr>
          <w:rFonts w:ascii="Lato" w:hAnsi="Lato"/>
          <w:bCs/>
          <w:sz w:val="20"/>
          <w:szCs w:val="20"/>
        </w:rPr>
      </w:pPr>
      <w:r w:rsidRPr="00BA7CBC">
        <w:rPr>
          <w:rFonts w:ascii="Lato" w:hAnsi="Lato"/>
          <w:bCs/>
          <w:sz w:val="20"/>
          <w:szCs w:val="20"/>
        </w:rPr>
        <w:t>„Dobra pora na aktywne i edukacyjne życie Seniora w Gminie Kowary”</w:t>
      </w:r>
    </w:p>
    <w:p w14:paraId="3E0E46F4" w14:textId="77777777" w:rsidR="00BA7CBC" w:rsidRDefault="00BA7CBC" w:rsidP="00B73AF7">
      <w:pPr>
        <w:pStyle w:val="Akapitzlist"/>
        <w:numPr>
          <w:ilvl w:val="0"/>
          <w:numId w:val="42"/>
        </w:numPr>
        <w:spacing w:after="0" w:line="240" w:lineRule="auto"/>
        <w:jc w:val="both"/>
        <w:rPr>
          <w:rFonts w:ascii="Lato" w:hAnsi="Lato"/>
          <w:bCs/>
          <w:sz w:val="20"/>
          <w:szCs w:val="20"/>
        </w:rPr>
      </w:pPr>
      <w:r w:rsidRPr="00BA7CBC">
        <w:rPr>
          <w:rFonts w:ascii="Lato" w:hAnsi="Lato"/>
          <w:bCs/>
          <w:sz w:val="20"/>
          <w:szCs w:val="20"/>
        </w:rPr>
        <w:t xml:space="preserve">„Aktywni i Sprawni w Gminie Jerzmanowa” </w:t>
      </w:r>
    </w:p>
    <w:p w14:paraId="64107EA8" w14:textId="77777777" w:rsid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 xml:space="preserve">Na zlecenie Dolnośląskiego Wojewódzkiego Urzędu Pracy w 2022 r. zostało przygotowane badanie czynników warunkujących utrzymanie i powrót na rynek pracy osób ze starszych grup wiekowych na obszarze województwa dolnośląskiego </w:t>
      </w:r>
    </w:p>
    <w:p w14:paraId="34459D30" w14:textId="77777777" w:rsidR="00BA7CBC" w:rsidRDefault="00BA7CBC" w:rsidP="00B73AF7">
      <w:pPr>
        <w:pStyle w:val="Akapitzlist"/>
        <w:numPr>
          <w:ilvl w:val="0"/>
          <w:numId w:val="40"/>
        </w:numPr>
        <w:spacing w:after="0" w:line="240" w:lineRule="auto"/>
        <w:jc w:val="both"/>
        <w:rPr>
          <w:rFonts w:ascii="Lato" w:hAnsi="Lato"/>
          <w:bCs/>
          <w:sz w:val="20"/>
          <w:szCs w:val="20"/>
        </w:rPr>
      </w:pPr>
      <w:r w:rsidRPr="00BA7CBC">
        <w:rPr>
          <w:rFonts w:ascii="Lato" w:hAnsi="Lato"/>
          <w:bCs/>
          <w:sz w:val="20"/>
          <w:szCs w:val="20"/>
        </w:rPr>
        <w:t>W ramach działań skierowanych do seniorów w zakresie poradnictwa zawodowego koordynowanego przez Centra Informacji i Planowania Kariery Zawodowej w Dolnośląskim Wojewódzkim Urzędzie Pracy zrealizowano:</w:t>
      </w:r>
    </w:p>
    <w:p w14:paraId="3B6B5D61" w14:textId="77777777" w:rsidR="00BA7CBC" w:rsidRDefault="00BA7CBC" w:rsidP="00B73AF7">
      <w:pPr>
        <w:pStyle w:val="Akapitzlist"/>
        <w:numPr>
          <w:ilvl w:val="0"/>
          <w:numId w:val="43"/>
        </w:numPr>
        <w:spacing w:after="0" w:line="240" w:lineRule="auto"/>
        <w:jc w:val="both"/>
        <w:rPr>
          <w:rFonts w:ascii="Lato" w:hAnsi="Lato"/>
          <w:bCs/>
          <w:sz w:val="20"/>
          <w:szCs w:val="20"/>
        </w:rPr>
      </w:pPr>
      <w:r w:rsidRPr="00BA7CBC">
        <w:rPr>
          <w:rFonts w:ascii="Lato" w:hAnsi="Lato"/>
          <w:bCs/>
          <w:sz w:val="20"/>
          <w:szCs w:val="20"/>
        </w:rPr>
        <w:t>opracowano program działań na rzecz osób starszych pt. „Pora na Aktywnego Seniora - edycja 3A”, który ma na celu budowanie podmiotowości osób starszych poprzez odkrywanie własnych kompetencji, predyspozycji, pasji i możliwości dalszej aktywności zawodowej;</w:t>
      </w:r>
    </w:p>
    <w:p w14:paraId="4373268E" w14:textId="5D341CCA" w:rsidR="00BA7CBC" w:rsidRDefault="00BA7CBC" w:rsidP="00BA7CBC">
      <w:pPr>
        <w:pStyle w:val="Akapitzlist"/>
        <w:numPr>
          <w:ilvl w:val="0"/>
          <w:numId w:val="43"/>
        </w:numPr>
        <w:spacing w:after="0" w:line="240" w:lineRule="auto"/>
        <w:jc w:val="both"/>
        <w:rPr>
          <w:rFonts w:ascii="Lato" w:hAnsi="Lato"/>
          <w:bCs/>
          <w:sz w:val="20"/>
          <w:szCs w:val="20"/>
        </w:rPr>
      </w:pPr>
      <w:r w:rsidRPr="00BA7CBC">
        <w:rPr>
          <w:rFonts w:ascii="Lato" w:hAnsi="Lato"/>
          <w:bCs/>
          <w:sz w:val="20"/>
          <w:szCs w:val="20"/>
        </w:rPr>
        <w:t>realizowano projekt „SENIOR 3D - DOŚWIADCZENIE, DOJRZAŁOŚĆ, DETERMINACJA”</w:t>
      </w:r>
      <w:r>
        <w:rPr>
          <w:rFonts w:ascii="Lato" w:hAnsi="Lato"/>
          <w:bCs/>
          <w:sz w:val="20"/>
          <w:szCs w:val="20"/>
        </w:rPr>
        <w:t>.</w:t>
      </w:r>
    </w:p>
    <w:p w14:paraId="33414A40" w14:textId="77777777" w:rsidR="003D7879" w:rsidRPr="003D7879" w:rsidRDefault="003D7879" w:rsidP="003D7879">
      <w:pPr>
        <w:spacing w:after="0" w:line="240" w:lineRule="auto"/>
        <w:jc w:val="both"/>
        <w:rPr>
          <w:rFonts w:ascii="Lato" w:hAnsi="Lato"/>
          <w:bCs/>
          <w:sz w:val="20"/>
          <w:szCs w:val="20"/>
        </w:rPr>
      </w:pPr>
    </w:p>
    <w:p w14:paraId="711B4D92" w14:textId="6345C0E7" w:rsidR="00BA7CBC" w:rsidRPr="00757CE7" w:rsidRDefault="00757CE7" w:rsidP="00757CE7">
      <w:pPr>
        <w:spacing w:after="0" w:line="240" w:lineRule="auto"/>
        <w:jc w:val="both"/>
        <w:rPr>
          <w:rFonts w:ascii="Lato" w:hAnsi="Lato"/>
          <w:color w:val="2F5496" w:themeColor="accent1" w:themeShade="BF"/>
          <w:sz w:val="20"/>
          <w:szCs w:val="20"/>
        </w:rPr>
      </w:pPr>
      <w:bookmarkStart w:id="125" w:name="_Hlk137799452"/>
      <w:r w:rsidRPr="00757CE7">
        <w:rPr>
          <w:rFonts w:ascii="Lato" w:hAnsi="Lato"/>
          <w:b/>
          <w:color w:val="2F5496" w:themeColor="accent1" w:themeShade="BF"/>
          <w:sz w:val="20"/>
          <w:szCs w:val="20"/>
        </w:rPr>
        <w:t>PRZYKŁADY KILKU DOBRYCH PRAKTYK NA POZIOMIE POWIATU, GMINY</w:t>
      </w:r>
    </w:p>
    <w:bookmarkEnd w:id="125"/>
    <w:p w14:paraId="3F7BDF43"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Powiat Legnicki</w:t>
      </w:r>
    </w:p>
    <w:p w14:paraId="0E30E5AF"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Starostwo Powiatowe w Legnicy opracowało i opublikowało:</w:t>
      </w:r>
    </w:p>
    <w:p w14:paraId="03B8ABF0" w14:textId="7D7EED84" w:rsidR="00757CE7" w:rsidRDefault="00BA7CBC" w:rsidP="00B73AF7">
      <w:pPr>
        <w:pStyle w:val="Akapitzlist"/>
        <w:numPr>
          <w:ilvl w:val="0"/>
          <w:numId w:val="45"/>
        </w:numPr>
        <w:spacing w:after="0" w:line="240" w:lineRule="auto"/>
        <w:jc w:val="both"/>
        <w:rPr>
          <w:rFonts w:ascii="Lato" w:hAnsi="Lato"/>
          <w:sz w:val="20"/>
          <w:szCs w:val="20"/>
        </w:rPr>
      </w:pPr>
      <w:r w:rsidRPr="00757CE7">
        <w:rPr>
          <w:rFonts w:ascii="Lato" w:hAnsi="Lato"/>
          <w:sz w:val="20"/>
          <w:szCs w:val="20"/>
        </w:rPr>
        <w:t>„Informator seniora” poszerzający wiedzę seniorów na temat form opieki i wsparcia dostępnych w powiecie</w:t>
      </w:r>
      <w:r w:rsidR="00757CE7">
        <w:rPr>
          <w:rFonts w:ascii="Lato" w:hAnsi="Lato"/>
          <w:sz w:val="20"/>
          <w:szCs w:val="20"/>
        </w:rPr>
        <w:t xml:space="preserve"> </w:t>
      </w:r>
    </w:p>
    <w:p w14:paraId="58B8C02D" w14:textId="5EA8C2B2" w:rsidR="00BA7CBC" w:rsidRPr="00757CE7" w:rsidRDefault="00BA7CBC" w:rsidP="00B73AF7">
      <w:pPr>
        <w:pStyle w:val="Akapitzlist"/>
        <w:numPr>
          <w:ilvl w:val="0"/>
          <w:numId w:val="45"/>
        </w:numPr>
        <w:spacing w:after="0" w:line="240" w:lineRule="auto"/>
        <w:jc w:val="both"/>
        <w:rPr>
          <w:rFonts w:ascii="Lato" w:hAnsi="Lato"/>
          <w:sz w:val="20"/>
          <w:szCs w:val="20"/>
        </w:rPr>
      </w:pPr>
      <w:r w:rsidRPr="00757CE7">
        <w:rPr>
          <w:rFonts w:ascii="Lato" w:hAnsi="Lato"/>
          <w:sz w:val="20"/>
          <w:szCs w:val="20"/>
        </w:rPr>
        <w:t xml:space="preserve">e-biuletyn „Gdzie się leczyć w powiecie” poszerzający wiedzę w zakresie dostępności do opieki medycznej </w:t>
      </w:r>
    </w:p>
    <w:p w14:paraId="42B16B72" w14:textId="77777777" w:rsidR="00BA7CBC" w:rsidRPr="00BA7CBC" w:rsidRDefault="00BA7CBC" w:rsidP="00BA7CBC">
      <w:pPr>
        <w:pStyle w:val="Akapitzlist"/>
        <w:spacing w:after="0" w:line="240" w:lineRule="auto"/>
        <w:ind w:left="360"/>
        <w:jc w:val="both"/>
        <w:rPr>
          <w:rFonts w:ascii="Lato" w:hAnsi="Lato"/>
          <w:b/>
          <w:sz w:val="20"/>
          <w:szCs w:val="20"/>
        </w:rPr>
      </w:pPr>
    </w:p>
    <w:p w14:paraId="2B73B9E0"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Powiat Świdnicki</w:t>
      </w:r>
    </w:p>
    <w:p w14:paraId="11AE8877" w14:textId="0D31E18F"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Powiat Świdnicki jest członkiem Regionalnej Koalicji na Rzecz Zdrowego Starzenia Się. Misją Koalicji jest poprawa jakości zdrowego i aktywnego starzenia się w środowisku lokalnym. Utworzona została strona internetowa Koalicji, na której są aktualne programy i inicjatywy adresowane do seniorów</w:t>
      </w:r>
      <w:r w:rsidR="00757CE7">
        <w:rPr>
          <w:rFonts w:ascii="Lato" w:hAnsi="Lato"/>
          <w:sz w:val="20"/>
          <w:szCs w:val="20"/>
        </w:rPr>
        <w:t>.</w:t>
      </w:r>
    </w:p>
    <w:p w14:paraId="71DFD760" w14:textId="77777777" w:rsidR="00757CE7" w:rsidRDefault="00757CE7" w:rsidP="00757CE7">
      <w:pPr>
        <w:spacing w:after="0" w:line="240" w:lineRule="auto"/>
        <w:jc w:val="both"/>
        <w:rPr>
          <w:rFonts w:ascii="Lato" w:hAnsi="Lato"/>
          <w:b/>
          <w:sz w:val="20"/>
          <w:szCs w:val="20"/>
        </w:rPr>
      </w:pPr>
    </w:p>
    <w:p w14:paraId="3310D3B8" w14:textId="080CE5FD"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 xml:space="preserve">Gmina m. Wrocław </w:t>
      </w:r>
    </w:p>
    <w:p w14:paraId="27970466"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 xml:space="preserve">Akademia Rozwoju Seniora to organizowane w siedzibie Wrocławskiego Centrum Seniora cykliczne, jak i okazjonalne spotkania, warsztaty, prelekcje z zakresu kultury, edukacji, zdrowia, sportu i turystyki, np.: cykl Szczęśliwi w tańcu, Zdrowy kręgosłup i elementy karate dla seniorów, Zdrowie od kuchni - spotkanie z dietetyczką kliniczną, Psychologiczny poradnik, spotkania podróżnicze, spotkania z lekarzami i specjalistami, konsultacje cyfrowe, spotkania dotyczące polskich tradycji i obyczajów. Powstały nowe cykle zajęć: warsztaty fotograficzne, filozoficzne, makijaż i pielęgnacja, warsztaty międzykulturowe, zajęcia rękodzielnicze Pań z Ukrainy, </w:t>
      </w:r>
      <w:proofErr w:type="spellStart"/>
      <w:r w:rsidRPr="00757CE7">
        <w:rPr>
          <w:rFonts w:ascii="Lato" w:hAnsi="Lato"/>
          <w:sz w:val="20"/>
          <w:szCs w:val="20"/>
        </w:rPr>
        <w:t>Warsztatownia</w:t>
      </w:r>
      <w:proofErr w:type="spellEnd"/>
      <w:r w:rsidRPr="00757CE7">
        <w:rPr>
          <w:rFonts w:ascii="Lato" w:hAnsi="Lato"/>
          <w:sz w:val="20"/>
          <w:szCs w:val="20"/>
        </w:rPr>
        <w:t xml:space="preserve"> Uważności Seniora. W 2022 r. łącznie odbyło się 168 zajęć online (na platformie </w:t>
      </w:r>
      <w:proofErr w:type="spellStart"/>
      <w:r w:rsidRPr="00757CE7">
        <w:rPr>
          <w:rFonts w:ascii="Lato" w:hAnsi="Lato"/>
          <w:sz w:val="20"/>
          <w:szCs w:val="20"/>
        </w:rPr>
        <w:t>Korbanku</w:t>
      </w:r>
      <w:proofErr w:type="spellEnd"/>
      <w:r w:rsidRPr="00757CE7">
        <w:rPr>
          <w:rFonts w:ascii="Lato" w:hAnsi="Lato"/>
          <w:sz w:val="20"/>
          <w:szCs w:val="20"/>
        </w:rPr>
        <w:t>) oraz ok. 300 zajęć stacjonarnych.</w:t>
      </w:r>
    </w:p>
    <w:p w14:paraId="67908CA0" w14:textId="77777777" w:rsidR="00BA7CBC" w:rsidRPr="00BA7CBC" w:rsidRDefault="00BA7CBC" w:rsidP="00BA7CBC">
      <w:pPr>
        <w:pStyle w:val="Akapitzlist"/>
        <w:spacing w:after="0" w:line="240" w:lineRule="auto"/>
        <w:ind w:left="0" w:firstLine="360"/>
        <w:jc w:val="both"/>
        <w:rPr>
          <w:rFonts w:ascii="Lato" w:hAnsi="Lato"/>
          <w:sz w:val="20"/>
          <w:szCs w:val="20"/>
        </w:rPr>
      </w:pPr>
    </w:p>
    <w:p w14:paraId="2F6FD295"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 xml:space="preserve">Miejsca Przyjazne Seniorom. Wrocławskie Centrum Seniora honoruje miejsca szczególnie przyjazne osobom starszym. Mowa o takich, które są wolne od barier komunikacyjnych, architektonicznych lub też mają specjalną ofertę dla osób po 60. roku życia. Każde z nich może otrzymać certyfikat Miejsca Przyjaznego Seniorom. Do projektu mogą zgłaszać się właściciele miejsc, którzy uważają, że ich sklep, kawiarnia czy inny lokal przystosowany jest do potrzeb osób starszych. Przyjazne seniorom miejsca mogą być zgłaszane także przez grupę minimum piętnastu osób. Do tej pory przyznano 70 certyfikatów Miejsc Przyjaznych Seniorom. Program ,,Miejsca Przyjazne Seniorom” został zainicjowany w styczniu 2009 r. przez Wrocławskie Centrum Seniora. Powstał, by z jednej strony zachęcić osoby starsze do aktywnego spędzania wolnego czasu poza domem, a z drugiej strony by zachęcić właścicieli przyjaznych seniorom przestrzeni, do jeszcze większej dbałości o najstarszych mieszkańców miasta Wrocław. </w:t>
      </w:r>
    </w:p>
    <w:p w14:paraId="6FEE6CA7" w14:textId="77777777" w:rsidR="00BA7CBC" w:rsidRPr="00BA7CBC" w:rsidRDefault="00BA7CBC" w:rsidP="00BA7CBC">
      <w:pPr>
        <w:pStyle w:val="Akapitzlist"/>
        <w:spacing w:after="0" w:line="240" w:lineRule="auto"/>
        <w:ind w:left="360"/>
        <w:jc w:val="both"/>
        <w:rPr>
          <w:rFonts w:ascii="Lato" w:hAnsi="Lato"/>
          <w:sz w:val="20"/>
          <w:szCs w:val="20"/>
        </w:rPr>
      </w:pPr>
    </w:p>
    <w:p w14:paraId="28CB2A4C"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 xml:space="preserve">Zajęcia w przestrzeni miasta (m.in. zumba </w:t>
      </w:r>
      <w:proofErr w:type="spellStart"/>
      <w:r w:rsidRPr="00757CE7">
        <w:rPr>
          <w:rFonts w:ascii="Lato" w:hAnsi="Lato"/>
          <w:sz w:val="20"/>
          <w:szCs w:val="20"/>
        </w:rPr>
        <w:t>gold</w:t>
      </w:r>
      <w:proofErr w:type="spellEnd"/>
      <w:r w:rsidRPr="00757CE7">
        <w:rPr>
          <w:rFonts w:ascii="Lato" w:hAnsi="Lato"/>
          <w:sz w:val="20"/>
          <w:szCs w:val="20"/>
        </w:rPr>
        <w:t>, taniec nowoczesny) w ramach projektu „Synergia ciała i umysłu” ukierunkowane były na przeciwdziałanie uzależnieniom i samotności. Dodatkowo podejmowane działania miały na celu zmianę stereotypowego postrzegania seniorów a tym samym zmianę ich wizerunku. Otwarte zajęcia w plenerze umożliwiały uczestnictwo wszystkim mieszkańcom Wrocławia, niezależnie od wieku co idealnie wpisuje się w dobrą praktykę w zakresie integracji międzypokoleniowej. Wynikiem tych działań był wzrost zainteresowania osób starszych tymi formami aktywności, przełamaniem ich obaw i niepokojów oraz zapisaniem się na zajęcia sportowo-rekreacyjne większej ilości osób starszych. W efekcie skłoniło to organizatorów do zwiększenia ilości grup senioralnych.</w:t>
      </w:r>
    </w:p>
    <w:p w14:paraId="1522612E" w14:textId="77777777" w:rsidR="00BA7CBC" w:rsidRPr="00BA7CBC" w:rsidRDefault="00BA7CBC" w:rsidP="00BA7CBC">
      <w:pPr>
        <w:pStyle w:val="Akapitzlist"/>
        <w:spacing w:after="0" w:line="240" w:lineRule="auto"/>
        <w:ind w:left="360"/>
        <w:jc w:val="both"/>
        <w:rPr>
          <w:rFonts w:ascii="Lato" w:hAnsi="Lato"/>
          <w:sz w:val="20"/>
          <w:szCs w:val="20"/>
        </w:rPr>
      </w:pPr>
    </w:p>
    <w:p w14:paraId="62F6E4B2"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lastRenderedPageBreak/>
        <w:t>Rozwój wolontariatu senioralnego realizowanego we Wrocławskim Centrum Rozwoju Społecznego – Przestrzeń Trzeciego Wieku. W ramach wolontariatu grupa seniorów – wolontariuszy wspiera i aktywizuje seniorów z terenu Wrocławia. 2 psychologów-emerytów prowadzi bezpłatne, regularne porady psychologiczne dla seniorów i ich rodzin. Emerytowany pracownik socjalny udziela wsparcia w zakresie ustawy o pomocy społecznej (w tym szczególnie uzależnień). 90-letni pedagog prowadziła zajęcia ruchowe wspomagające percepcję i koordynację ruchową dla seniorów. 3 artystów plastyków-pedagogów bezpłatnie prowadziło warsztaty rękodzielnicze dla seniorów, dzieląc się swoją pasją. 3 seniorów różnej profesji organizuje różnego rodzaju wydarzenia kulturalne (m.in. senior dance, bale okolicznościowe, rejsy statkiem, wystawy). Seniorzy Ci stanowią swego rodzaju „ciało doradcze” w zakresie działań na rzecz najstarszych mieszkańców Wrocławia, służąc swoim doświadczeniem i wiedzą. Jest to także bardzo dobra praktyka w zakresie działań międzypokoleniowych oraz współpracy instytucji publicznej i osób fizycznych.</w:t>
      </w:r>
    </w:p>
    <w:p w14:paraId="34B06957" w14:textId="77777777" w:rsidR="00BA7CBC" w:rsidRPr="00BA7CBC" w:rsidRDefault="00BA7CBC" w:rsidP="00BA7CBC">
      <w:pPr>
        <w:pStyle w:val="Akapitzlist"/>
        <w:spacing w:after="0" w:line="240" w:lineRule="auto"/>
        <w:ind w:left="360"/>
        <w:jc w:val="both"/>
        <w:rPr>
          <w:rFonts w:ascii="Lato" w:hAnsi="Lato"/>
          <w:sz w:val="20"/>
          <w:szCs w:val="20"/>
        </w:rPr>
      </w:pPr>
    </w:p>
    <w:p w14:paraId="6EC5FEED"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 xml:space="preserve">Gmina m. Jelenia Góra </w:t>
      </w:r>
    </w:p>
    <w:p w14:paraId="3CD1BF83" w14:textId="2F299976"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W przeprowadzanym corocznie konkursie „Wolontariusz Roku”, również w 2022 r. Jeleniogórzanie przyznali nagrodę główną w kategorii „Wolontariat Senioralny”</w:t>
      </w:r>
      <w:r w:rsidR="00757CE7">
        <w:rPr>
          <w:rFonts w:ascii="Lato" w:hAnsi="Lato"/>
          <w:sz w:val="20"/>
          <w:szCs w:val="20"/>
        </w:rPr>
        <w:t>.</w:t>
      </w:r>
    </w:p>
    <w:p w14:paraId="55ACD057" w14:textId="77777777" w:rsidR="00BA7CBC" w:rsidRPr="00BA7CBC" w:rsidRDefault="00BA7CBC" w:rsidP="00BA7CBC">
      <w:pPr>
        <w:pStyle w:val="Akapitzlist"/>
        <w:spacing w:after="0" w:line="240" w:lineRule="auto"/>
        <w:ind w:left="360"/>
        <w:jc w:val="both"/>
        <w:rPr>
          <w:rFonts w:ascii="Lato" w:hAnsi="Lato"/>
          <w:color w:val="FF0000"/>
          <w:sz w:val="20"/>
          <w:szCs w:val="20"/>
        </w:rPr>
      </w:pPr>
    </w:p>
    <w:p w14:paraId="61C18BF2"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Gmina Oleśnica</w:t>
      </w:r>
    </w:p>
    <w:p w14:paraId="5922A3CC"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Oleśnicka Biblioteka Publiczna im. M. Reja dużą uwagę poświęca obsłudze specjalnych grup użytkowników bibliotek publicznych, zwłaszcza seniorom. Biblioteka posiada wydzielony dział, Fonotekę, który zaopatrywany jest w audiobooki oraz płyty z muzyką i dysponuje bezpłatną usługą dostarczania tych zbiorów do domów seniorów. W 2022 roku dostarczono 267 książek mówionych i 13 książek tradycyjnych, w tym również z dużą czcionką. Czytelnikom po 65 r.ż. nie nalicza się kar finansowych za przetrzymywanie wypożyczonych zbiorów.</w:t>
      </w:r>
    </w:p>
    <w:p w14:paraId="20F29DA1" w14:textId="77777777" w:rsidR="00BA7CBC" w:rsidRPr="00BA7CBC" w:rsidRDefault="00BA7CBC" w:rsidP="00BA7CBC">
      <w:pPr>
        <w:pStyle w:val="Akapitzlist"/>
        <w:spacing w:after="0" w:line="240" w:lineRule="auto"/>
        <w:ind w:left="360"/>
        <w:jc w:val="both"/>
        <w:rPr>
          <w:rFonts w:ascii="Lato" w:hAnsi="Lato"/>
          <w:sz w:val="20"/>
          <w:szCs w:val="20"/>
        </w:rPr>
      </w:pPr>
    </w:p>
    <w:p w14:paraId="1695FF22"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Gmina m. Głogów</w:t>
      </w:r>
    </w:p>
    <w:p w14:paraId="1369866F" w14:textId="729EEF99"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 xml:space="preserve">W Głogowie realizowany jest Program „Głogowska Karta Seniora”, którego celem jest włączenie seniorów do aktywnego życia społeczności lokalnej, zwiększenie dostępności dóbr kultury, sportu i rekreacji, a także propagowanie pozytywnego wizerunku głogowskich seniorów. Zadaniem programu jest ułatwienie osobom, które ukończyły 60 rok życia korzystania z produktów, usług i świadczeń na terenie </w:t>
      </w:r>
      <w:proofErr w:type="spellStart"/>
      <w:r w:rsidRPr="00757CE7">
        <w:rPr>
          <w:rFonts w:ascii="Lato" w:hAnsi="Lato"/>
          <w:sz w:val="20"/>
          <w:szCs w:val="20"/>
        </w:rPr>
        <w:t>m.Głogowa</w:t>
      </w:r>
      <w:proofErr w:type="spellEnd"/>
      <w:r w:rsidRPr="00757CE7">
        <w:rPr>
          <w:rFonts w:ascii="Lato" w:hAnsi="Lato"/>
          <w:sz w:val="20"/>
          <w:szCs w:val="20"/>
        </w:rPr>
        <w:t>, poprzez zapewnienie zniżek dla seniorów</w:t>
      </w:r>
      <w:r w:rsidR="00757CE7">
        <w:rPr>
          <w:rFonts w:ascii="Lato" w:hAnsi="Lato"/>
          <w:sz w:val="20"/>
          <w:szCs w:val="20"/>
        </w:rPr>
        <w:t>.</w:t>
      </w:r>
    </w:p>
    <w:p w14:paraId="525703F3" w14:textId="77777777" w:rsidR="00BA7CBC" w:rsidRPr="00BA7CBC" w:rsidRDefault="00BA7CBC" w:rsidP="00BA7CBC">
      <w:pPr>
        <w:pStyle w:val="Akapitzlist"/>
        <w:spacing w:after="0" w:line="240" w:lineRule="auto"/>
        <w:ind w:left="360"/>
        <w:jc w:val="both"/>
        <w:rPr>
          <w:rFonts w:ascii="Lato" w:hAnsi="Lato"/>
          <w:sz w:val="20"/>
          <w:szCs w:val="20"/>
        </w:rPr>
      </w:pPr>
    </w:p>
    <w:p w14:paraId="6F3F60E2" w14:textId="77777777" w:rsidR="00BA7CBC" w:rsidRPr="00BA7CBC" w:rsidRDefault="00BA7CBC" w:rsidP="00BA7CBC">
      <w:pPr>
        <w:pStyle w:val="Akapitzlist"/>
        <w:spacing w:after="0" w:line="240" w:lineRule="auto"/>
        <w:ind w:left="360"/>
        <w:jc w:val="both"/>
        <w:rPr>
          <w:rFonts w:ascii="Lato" w:hAnsi="Lato"/>
          <w:sz w:val="20"/>
          <w:szCs w:val="20"/>
        </w:rPr>
      </w:pPr>
    </w:p>
    <w:p w14:paraId="6D74B59C" w14:textId="5AF08A28" w:rsidR="00BA7CBC" w:rsidRPr="00757CE7" w:rsidRDefault="00757CE7" w:rsidP="00757CE7">
      <w:pPr>
        <w:spacing w:after="0" w:line="240" w:lineRule="auto"/>
        <w:jc w:val="both"/>
        <w:rPr>
          <w:rFonts w:ascii="Lato" w:hAnsi="Lato"/>
          <w:color w:val="2F5496" w:themeColor="accent1" w:themeShade="BF"/>
          <w:sz w:val="20"/>
          <w:szCs w:val="20"/>
        </w:rPr>
      </w:pPr>
      <w:bookmarkStart w:id="126" w:name="_Hlk137799458"/>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bookmarkEnd w:id="126"/>
    <w:p w14:paraId="31681716"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Powiat Lubiński</w:t>
      </w:r>
    </w:p>
    <w:p w14:paraId="014A72C0" w14:textId="77777777" w:rsidR="00BA7CBC" w:rsidRPr="00757CE7" w:rsidRDefault="00BA7CBC" w:rsidP="00757CE7">
      <w:pPr>
        <w:spacing w:after="0" w:line="240" w:lineRule="auto"/>
        <w:jc w:val="both"/>
        <w:rPr>
          <w:rFonts w:ascii="Lato" w:hAnsi="Lato"/>
          <w:sz w:val="20"/>
          <w:szCs w:val="20"/>
        </w:rPr>
      </w:pPr>
      <w:r w:rsidRPr="00757CE7">
        <w:rPr>
          <w:rFonts w:ascii="Lato" w:hAnsi="Lato"/>
          <w:sz w:val="20"/>
          <w:szCs w:val="20"/>
        </w:rPr>
        <w:t xml:space="preserve">Powiatowe Centrum Pomocy Rodzinie w Lubinie, wychodząc naprzeciw również osobom starszym, umożliwiło w 2022 r. składanie wniosków o dofinansowanie ze środków PFRON elektronicznie za pomocą nieodpłatnego Systemu Obsługi Wsparcia (SOW). W siedzibie PCPR funkcjonował Punkt Konsultacyjny, celem wdrożenia seniorów do samodzielnej obsługi systemu SOW i aplikowania wniosków w systemie. </w:t>
      </w:r>
    </w:p>
    <w:p w14:paraId="2020D55E" w14:textId="77777777" w:rsidR="00BA7CBC" w:rsidRPr="00BA7CBC" w:rsidRDefault="00BA7CBC" w:rsidP="00BA7CBC">
      <w:pPr>
        <w:pStyle w:val="Akapitzlist"/>
        <w:spacing w:after="0" w:line="240" w:lineRule="auto"/>
        <w:ind w:left="0" w:firstLine="360"/>
        <w:jc w:val="both"/>
        <w:rPr>
          <w:rFonts w:ascii="Lato" w:hAnsi="Lato"/>
          <w:b/>
          <w:sz w:val="20"/>
          <w:szCs w:val="20"/>
        </w:rPr>
      </w:pPr>
    </w:p>
    <w:p w14:paraId="26A631AC"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 xml:space="preserve">Gmina m. Wrocław </w:t>
      </w:r>
    </w:p>
    <w:p w14:paraId="50CC4D24" w14:textId="77777777" w:rsidR="00BA7CBC" w:rsidRPr="00BA7CBC" w:rsidRDefault="00BA7CBC" w:rsidP="00757CE7">
      <w:pPr>
        <w:spacing w:after="0" w:line="240" w:lineRule="auto"/>
        <w:jc w:val="both"/>
        <w:rPr>
          <w:rFonts w:ascii="Lato" w:hAnsi="Lato"/>
          <w:sz w:val="20"/>
          <w:szCs w:val="20"/>
        </w:rPr>
      </w:pPr>
      <w:r w:rsidRPr="00BA7CBC">
        <w:rPr>
          <w:rFonts w:ascii="Lato" w:hAnsi="Lato"/>
          <w:sz w:val="20"/>
          <w:szCs w:val="20"/>
        </w:rPr>
        <w:t xml:space="preserve">Dzienne Domy Pomocy (DDP) wykorzystują nowe technologie do zajęć terapeutycznych (treningi pamięci przy wykorzystaniu aplikacji MEMO), aplikacje wspomagające funkcje </w:t>
      </w:r>
      <w:proofErr w:type="spellStart"/>
      <w:r w:rsidRPr="00BA7CBC">
        <w:rPr>
          <w:rFonts w:ascii="Lato" w:hAnsi="Lato"/>
          <w:sz w:val="20"/>
          <w:szCs w:val="20"/>
        </w:rPr>
        <w:t>kongnitywne</w:t>
      </w:r>
      <w:proofErr w:type="spellEnd"/>
      <w:r w:rsidRPr="00BA7CBC">
        <w:rPr>
          <w:rFonts w:ascii="Lato" w:hAnsi="Lato"/>
          <w:sz w:val="20"/>
          <w:szCs w:val="20"/>
        </w:rPr>
        <w:t xml:space="preserve">. Niektóre DDP wyposażone są w nowoczesny, komputerowy systemem terapii zaburzeń poznawczych - </w:t>
      </w:r>
      <w:proofErr w:type="spellStart"/>
      <w:r w:rsidRPr="00BA7CBC">
        <w:rPr>
          <w:rFonts w:ascii="Lato" w:hAnsi="Lato"/>
          <w:sz w:val="20"/>
          <w:szCs w:val="20"/>
        </w:rPr>
        <w:t>RehaCom</w:t>
      </w:r>
      <w:proofErr w:type="spellEnd"/>
      <w:r w:rsidRPr="00BA7CBC">
        <w:rPr>
          <w:rFonts w:ascii="Lato" w:hAnsi="Lato"/>
          <w:sz w:val="20"/>
          <w:szCs w:val="20"/>
        </w:rPr>
        <w:t xml:space="preserve">. Dużą zaletą systemu </w:t>
      </w:r>
      <w:proofErr w:type="spellStart"/>
      <w:r w:rsidRPr="00BA7CBC">
        <w:rPr>
          <w:rFonts w:ascii="Lato" w:hAnsi="Lato"/>
          <w:sz w:val="20"/>
          <w:szCs w:val="20"/>
        </w:rPr>
        <w:t>RehaCom</w:t>
      </w:r>
      <w:proofErr w:type="spellEnd"/>
      <w:r w:rsidRPr="00BA7CBC">
        <w:rPr>
          <w:rFonts w:ascii="Lato" w:hAnsi="Lato"/>
          <w:sz w:val="20"/>
          <w:szCs w:val="20"/>
        </w:rPr>
        <w:t xml:space="preserve"> jest możliwość dostosowania treningu do potrzeb i możliwości każdego Klienta. Poprzez adaptację treningu do możliwości Klienta, dokładnie odpowiada jego potrzebom. To z kolei w optymalny sposób umożliwia poprawę funkcji mózgu.</w:t>
      </w:r>
    </w:p>
    <w:p w14:paraId="23EB32C8" w14:textId="77777777" w:rsidR="00757CE7" w:rsidRDefault="00757CE7" w:rsidP="00757CE7">
      <w:pPr>
        <w:spacing w:after="0" w:line="240" w:lineRule="auto"/>
        <w:jc w:val="both"/>
        <w:rPr>
          <w:rFonts w:ascii="Lato" w:hAnsi="Lato"/>
          <w:sz w:val="20"/>
          <w:szCs w:val="20"/>
        </w:rPr>
      </w:pPr>
    </w:p>
    <w:p w14:paraId="48B8425F" w14:textId="26E46B0A" w:rsidR="00BA7CBC" w:rsidRPr="00BA7CBC" w:rsidRDefault="00BA7CBC" w:rsidP="00757CE7">
      <w:pPr>
        <w:spacing w:after="0" w:line="240" w:lineRule="auto"/>
        <w:jc w:val="both"/>
        <w:rPr>
          <w:rFonts w:ascii="Lato" w:hAnsi="Lato"/>
          <w:sz w:val="20"/>
          <w:szCs w:val="20"/>
        </w:rPr>
      </w:pPr>
      <w:r w:rsidRPr="00BA7CBC">
        <w:rPr>
          <w:rFonts w:ascii="Lato" w:hAnsi="Lato"/>
          <w:sz w:val="20"/>
          <w:szCs w:val="20"/>
        </w:rPr>
        <w:t>W DDP wdrożony został Nowy Modelu Zapobiegania Następstwom Nieszczęśliwych Zdarzeń i ich skutkom (zwanego dalej NMZ) w ramach projektu „Każdego dnia bezpieczniej w dziennych domach pomocy”, współfinansowanego ze środków Programu Operacyjnego Wiedza Edukacja Rozwój. W ramach zarządzenia przyjęta została procedura wprowadzającą NMZ oraz wdrożone do stosowania karty: bezpieczeństwa Klienta DDP i bezpieczników nr 2 i nr 3: Karta bezpieczeństwa to ankieta wypełniana dla każdego Klienta DDP, po jego przyjęciu do DDP, umożliwiająca monitorowanie indywidualnego poziomu bezpieczeństwa w zakresie najczęściej występujących zagrożeń, takich jak: upadki, podatność na oszustwa czy wyłudzenia. Bezpieczniki to ulotki informacyjne wspierające działania w zakresie bezpieczeństwa w codziennym funkcjonowaniu Klienta DDP.</w:t>
      </w:r>
    </w:p>
    <w:p w14:paraId="7494C92F" w14:textId="77777777" w:rsidR="00757CE7" w:rsidRDefault="00757CE7" w:rsidP="00757CE7">
      <w:pPr>
        <w:spacing w:after="0" w:line="240" w:lineRule="auto"/>
        <w:jc w:val="both"/>
        <w:rPr>
          <w:rFonts w:ascii="Lato" w:hAnsi="Lato"/>
          <w:sz w:val="20"/>
          <w:szCs w:val="20"/>
        </w:rPr>
      </w:pPr>
    </w:p>
    <w:p w14:paraId="56761711" w14:textId="1107D576" w:rsidR="00BA7CBC" w:rsidRPr="00BA7CBC" w:rsidRDefault="00BA7CBC" w:rsidP="00757CE7">
      <w:pPr>
        <w:spacing w:after="0" w:line="240" w:lineRule="auto"/>
        <w:jc w:val="both"/>
        <w:rPr>
          <w:rFonts w:ascii="Lato" w:hAnsi="Lato"/>
          <w:sz w:val="20"/>
          <w:szCs w:val="20"/>
        </w:rPr>
      </w:pPr>
      <w:r w:rsidRPr="00BA7CBC">
        <w:rPr>
          <w:rFonts w:ascii="Lato" w:hAnsi="Lato"/>
          <w:sz w:val="20"/>
          <w:szCs w:val="20"/>
        </w:rPr>
        <w:lastRenderedPageBreak/>
        <w:t xml:space="preserve">Projekt </w:t>
      </w:r>
      <w:r w:rsidRPr="00BA7CBC">
        <w:rPr>
          <w:rFonts w:ascii="Lato" w:hAnsi="Lato"/>
          <w:i/>
          <w:sz w:val="20"/>
          <w:szCs w:val="20"/>
        </w:rPr>
        <w:t>„Cyfrowa Przestrzeń bez barier”</w:t>
      </w:r>
      <w:r w:rsidRPr="00BA7CBC">
        <w:rPr>
          <w:rFonts w:ascii="Lato" w:hAnsi="Lato"/>
          <w:sz w:val="20"/>
          <w:szCs w:val="20"/>
        </w:rPr>
        <w:t xml:space="preserve"> odbywający się w ramach Wrocławskiego Centrum Rozwoju Społecznego – Przestrzeń Trzeciego Wieku, w ramach którego prowadzone były cykliczne konsultacje cyfrowe dla seniorów oraz warsztaty (m.in. wsparcie przy nauce obsługi urządzeń cyfrowych, ustawienia sprzętu pod potrzeby i możliwości seniorów) prowadzone przez pracowników firmy </w:t>
      </w:r>
      <w:proofErr w:type="spellStart"/>
      <w:r w:rsidRPr="00BA7CBC">
        <w:rPr>
          <w:rFonts w:ascii="Lato" w:hAnsi="Lato"/>
          <w:sz w:val="20"/>
          <w:szCs w:val="20"/>
        </w:rPr>
        <w:t>ValueLogic</w:t>
      </w:r>
      <w:proofErr w:type="spellEnd"/>
      <w:r w:rsidRPr="00BA7CBC">
        <w:rPr>
          <w:rFonts w:ascii="Lato" w:hAnsi="Lato"/>
          <w:sz w:val="20"/>
          <w:szCs w:val="20"/>
        </w:rPr>
        <w:t xml:space="preserve">, specjalistę w zakresie nowych technologii oraz pracowników PTW WCRS. Celem projektu było wzmocnienie seniorów w zakresie posługiwania się nowymi technologiami, ułatwienie załatwiania spraw urzędowych za pośrednictwem platform, portali, możliwość korzystania z oferty zdalnej nauki i rozwoju swoich zainteresowań. Innowacyjność projektu polega na wykorzystaniu potencjału programistów i informatyków firm IT, którzy w sposób przystępny pomagają seniorom pokonać bariery mentalne i techniczne związane z cyfryzacją. Projekt zaowocował dwustronną wymianą bo jak sami pracownicy firmy stwierdzili, że projekt uświadomił ich, iż tworząc nowe technologie a tym samym rozwój cyfryzacji jednocześnie przyczyniają się do cyfrowego a tym samym i społecznego wykluczenia osób starszych. </w:t>
      </w:r>
    </w:p>
    <w:p w14:paraId="42F62870" w14:textId="77777777" w:rsidR="00757CE7" w:rsidRDefault="00757CE7" w:rsidP="00757CE7">
      <w:pPr>
        <w:spacing w:after="0" w:line="240" w:lineRule="auto"/>
        <w:jc w:val="both"/>
        <w:rPr>
          <w:rFonts w:ascii="Lato" w:hAnsi="Lato"/>
          <w:sz w:val="20"/>
          <w:szCs w:val="20"/>
        </w:rPr>
      </w:pPr>
    </w:p>
    <w:p w14:paraId="766506A0" w14:textId="3781D040" w:rsidR="00BA7CBC" w:rsidRPr="00BA7CBC" w:rsidRDefault="00BA7CBC" w:rsidP="00757CE7">
      <w:pPr>
        <w:spacing w:after="0" w:line="240" w:lineRule="auto"/>
        <w:jc w:val="both"/>
        <w:rPr>
          <w:rFonts w:ascii="Lato" w:hAnsi="Lato"/>
          <w:sz w:val="20"/>
          <w:szCs w:val="20"/>
        </w:rPr>
      </w:pPr>
      <w:r w:rsidRPr="00BA7CBC">
        <w:rPr>
          <w:rFonts w:ascii="Lato" w:hAnsi="Lato"/>
          <w:sz w:val="20"/>
          <w:szCs w:val="20"/>
        </w:rPr>
        <w:t xml:space="preserve">Senioralna eskorta zawodników piłki nożnej wprowadzających zawodników WKS Śląsk Wrocław i Warty Poznań na mecz ekstraklasy. Projekt we współpracy WKS Śląsk Wrocław, Fundacja Przyszłość Pokoleń, Tarczyński ARENA, WCRS. Projekt miał za zadanie zachęcić seniorów do angażowania się w działania społeczne, przeciwdziałając tym samym problemowi wykluczenia społecznego, które tak często dotyka osoby starsze. Poprzez Projekt przedstawiciele Fundacji oraz WKS Śląsk Wrocław pragnęli docenić aktywność i zaangażowanie społeczne wrocławskich seniorów i pokazać ich zapał szerszej publiczności. Było to unikalne wydarzenie w skali PKO BP Ekstraklasy i jednocześnie forma docenienia grupy 22 seniorów, którzy aktywnie angażują się w projekty poprawiające jakość życia osób starszych. Dodatkowo na trybunach Tarczyński Arena Wrocław na specjalne zaproszenie klubu zasiadło ponad 200 seniorów ze stolicy Dolnego Śląska. Była to niezwykle ciekawa inicjatywa, która wzbudziła wiele pozytywnych emocji, nie tylko wśród seniorów. Do dziś słychać emocjonujące opowieści seniorów biorących udział w tym wydarzeniu. Projekt pomógł z całą pewnością w odrzuceniu a przynajmniej zminimalizowaniu stereotypowego spojrzenia na seniora. </w:t>
      </w:r>
    </w:p>
    <w:p w14:paraId="1CBC2EB3" w14:textId="77777777" w:rsidR="00BA7CBC" w:rsidRPr="00BA7CBC" w:rsidRDefault="00BA7CBC" w:rsidP="00BA7CBC">
      <w:pPr>
        <w:spacing w:after="0" w:line="240" w:lineRule="auto"/>
        <w:ind w:left="360"/>
        <w:jc w:val="both"/>
        <w:rPr>
          <w:rFonts w:ascii="Lato" w:hAnsi="Lato"/>
          <w:sz w:val="20"/>
          <w:szCs w:val="20"/>
        </w:rPr>
      </w:pPr>
    </w:p>
    <w:p w14:paraId="7A584531" w14:textId="77777777" w:rsidR="00BA7CBC" w:rsidRPr="00757CE7" w:rsidRDefault="00BA7CBC" w:rsidP="00757CE7">
      <w:pPr>
        <w:spacing w:after="0" w:line="240" w:lineRule="auto"/>
        <w:jc w:val="both"/>
        <w:rPr>
          <w:rFonts w:ascii="Lato" w:hAnsi="Lato"/>
          <w:b/>
          <w:sz w:val="20"/>
          <w:szCs w:val="20"/>
        </w:rPr>
      </w:pPr>
      <w:r w:rsidRPr="00757CE7">
        <w:rPr>
          <w:rFonts w:ascii="Lato" w:hAnsi="Lato"/>
          <w:b/>
          <w:sz w:val="20"/>
          <w:szCs w:val="20"/>
        </w:rPr>
        <w:t xml:space="preserve">Gmina m. Jelenia Góra </w:t>
      </w:r>
    </w:p>
    <w:p w14:paraId="2AEE46A1" w14:textId="51A0654E" w:rsidR="00BA7CBC" w:rsidRPr="003D7879" w:rsidRDefault="00BA7CBC" w:rsidP="003D7879">
      <w:pPr>
        <w:spacing w:after="0" w:line="240" w:lineRule="auto"/>
        <w:jc w:val="both"/>
        <w:rPr>
          <w:rFonts w:ascii="Lato" w:hAnsi="Lato"/>
          <w:sz w:val="20"/>
          <w:szCs w:val="20"/>
        </w:rPr>
      </w:pPr>
      <w:r w:rsidRPr="00757CE7">
        <w:rPr>
          <w:rFonts w:ascii="Lato" w:hAnsi="Lato"/>
          <w:sz w:val="20"/>
          <w:szCs w:val="20"/>
        </w:rPr>
        <w:t xml:space="preserve">Sześćdziesięciu Jeleniogórzan w wieku senioralnym było w 2022 roku objętych całodobową opieką telecentrum medycznego za pośrednictwem opasek monitorujących firmy </w:t>
      </w:r>
      <w:proofErr w:type="spellStart"/>
      <w:r w:rsidRPr="00757CE7">
        <w:rPr>
          <w:rFonts w:ascii="Lato" w:hAnsi="Lato"/>
          <w:sz w:val="20"/>
          <w:szCs w:val="20"/>
        </w:rPr>
        <w:t>SiDLY</w:t>
      </w:r>
      <w:proofErr w:type="spellEnd"/>
      <w:r w:rsidRPr="00757CE7">
        <w:rPr>
          <w:rFonts w:ascii="Lato" w:hAnsi="Lato"/>
          <w:sz w:val="20"/>
          <w:szCs w:val="20"/>
        </w:rPr>
        <w:t>.</w:t>
      </w:r>
    </w:p>
    <w:p w14:paraId="12184963" w14:textId="77777777" w:rsidR="00BA7CBC" w:rsidRPr="00BA7CBC" w:rsidRDefault="00BA7CBC" w:rsidP="00BA7CBC">
      <w:pPr>
        <w:pStyle w:val="Akapitzlist"/>
        <w:spacing w:after="0" w:line="240" w:lineRule="auto"/>
        <w:ind w:left="0" w:firstLine="357"/>
        <w:jc w:val="both"/>
        <w:rPr>
          <w:rFonts w:ascii="Lato" w:hAnsi="Lato"/>
          <w:color w:val="FF0000"/>
          <w:sz w:val="20"/>
          <w:szCs w:val="20"/>
        </w:rPr>
      </w:pPr>
    </w:p>
    <w:p w14:paraId="48C40599" w14:textId="2DDC1D36" w:rsidR="00BA7CBC" w:rsidRPr="00757CE7" w:rsidRDefault="00757CE7" w:rsidP="00757CE7">
      <w:pPr>
        <w:spacing w:after="0" w:line="240" w:lineRule="auto"/>
        <w:jc w:val="both"/>
        <w:rPr>
          <w:rFonts w:ascii="Lato" w:hAnsi="Lato"/>
          <w:color w:val="2F5496" w:themeColor="accent1" w:themeShade="BF"/>
          <w:sz w:val="20"/>
          <w:szCs w:val="20"/>
        </w:rPr>
      </w:pPr>
      <w:bookmarkStart w:id="127" w:name="_Hlk137799463"/>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bookmarkEnd w:id="127"/>
    <w:p w14:paraId="2317A5FC" w14:textId="77777777" w:rsidR="00BA7CBC" w:rsidRPr="00E14C33" w:rsidRDefault="00BA7CBC" w:rsidP="00E14C33">
      <w:pPr>
        <w:spacing w:after="0" w:line="240" w:lineRule="auto"/>
        <w:jc w:val="both"/>
        <w:rPr>
          <w:rFonts w:ascii="Lato" w:hAnsi="Lato"/>
          <w:b/>
          <w:sz w:val="20"/>
          <w:szCs w:val="20"/>
        </w:rPr>
      </w:pPr>
      <w:r w:rsidRPr="00E14C33">
        <w:rPr>
          <w:rFonts w:ascii="Lato" w:hAnsi="Lato"/>
          <w:b/>
          <w:sz w:val="20"/>
          <w:szCs w:val="20"/>
        </w:rPr>
        <w:t xml:space="preserve">Gmina m. Lubin </w:t>
      </w:r>
    </w:p>
    <w:p w14:paraId="5D47817F" w14:textId="77777777" w:rsidR="00BA7CBC" w:rsidRPr="00E14C33" w:rsidRDefault="00BA7CBC" w:rsidP="00E14C33">
      <w:pPr>
        <w:spacing w:after="0" w:line="240" w:lineRule="auto"/>
        <w:jc w:val="both"/>
        <w:rPr>
          <w:rFonts w:ascii="Lato" w:hAnsi="Lato"/>
          <w:sz w:val="20"/>
          <w:szCs w:val="20"/>
        </w:rPr>
      </w:pPr>
      <w:r w:rsidRPr="00E14C33">
        <w:rPr>
          <w:rFonts w:ascii="Lato" w:hAnsi="Lato"/>
          <w:sz w:val="20"/>
          <w:szCs w:val="20"/>
        </w:rPr>
        <w:t>Dzięki inicjatywie Komendy Powiatowej Policji w Lubinie kontynuowano działania  profilaktyczne skierowane do osób starszych w formie cyklicznych, comiesięcznych, darmowych szkoleń odbywających się na platformie YouTube.pl – „Senior Online”. Spotkania miały na celu zapoznanie seniorów ze skutecznymi metodami zapobiegania negatywnym zjawiskom, takim jak oszustwa, kradzieże, rozboje oraz podniesienie świadomości osób starszych z zakresu własnego bezpieczeństwa. W spotkaniach uczestniczyli przedstawiciele policji oraz zaproszeni goście np. pracownicy Zakładu Ubezpieczeń Społecznych, Państwowej Straży Pożarnej, Poczty Polskiej.</w:t>
      </w:r>
    </w:p>
    <w:p w14:paraId="1B3FD3E2" w14:textId="77777777" w:rsidR="00BA7CBC" w:rsidRPr="00BA7CBC" w:rsidRDefault="00BA7CBC" w:rsidP="00BA7CBC">
      <w:pPr>
        <w:pStyle w:val="Akapitzlist"/>
        <w:spacing w:after="0" w:line="240" w:lineRule="auto"/>
        <w:ind w:left="360"/>
        <w:jc w:val="both"/>
        <w:rPr>
          <w:rFonts w:ascii="Lato" w:hAnsi="Lato"/>
          <w:b/>
          <w:color w:val="FF0000"/>
          <w:sz w:val="20"/>
          <w:szCs w:val="20"/>
        </w:rPr>
      </w:pPr>
    </w:p>
    <w:p w14:paraId="7AB04A68" w14:textId="77777777" w:rsidR="00BA7CBC" w:rsidRPr="00E14C33" w:rsidRDefault="00BA7CBC" w:rsidP="00E14C33">
      <w:pPr>
        <w:spacing w:after="0" w:line="240" w:lineRule="auto"/>
        <w:jc w:val="both"/>
        <w:rPr>
          <w:rFonts w:ascii="Lato" w:hAnsi="Lato"/>
          <w:b/>
          <w:sz w:val="20"/>
          <w:szCs w:val="20"/>
        </w:rPr>
      </w:pPr>
      <w:r w:rsidRPr="00E14C33">
        <w:rPr>
          <w:rFonts w:ascii="Lato" w:hAnsi="Lato"/>
          <w:b/>
          <w:sz w:val="20"/>
          <w:szCs w:val="20"/>
        </w:rPr>
        <w:t xml:space="preserve">Gmina m. Wrocław </w:t>
      </w:r>
    </w:p>
    <w:p w14:paraId="582378A8" w14:textId="77777777" w:rsidR="00BA7CBC" w:rsidRPr="00E14C33" w:rsidRDefault="00BA7CBC" w:rsidP="00E14C33">
      <w:pPr>
        <w:spacing w:after="0" w:line="240" w:lineRule="auto"/>
        <w:jc w:val="both"/>
        <w:rPr>
          <w:rFonts w:ascii="Lato" w:hAnsi="Lato"/>
          <w:sz w:val="20"/>
          <w:szCs w:val="20"/>
        </w:rPr>
      </w:pPr>
      <w:r w:rsidRPr="00E14C33">
        <w:rPr>
          <w:rFonts w:ascii="Lato" w:hAnsi="Lato"/>
          <w:sz w:val="20"/>
          <w:szCs w:val="20"/>
        </w:rPr>
        <w:t>Szkoła Liderów, w 2022 roku projekt ukończyło 6 nowych uczestników, Do tej pory, od 2018 r. odbyło się 6 edycji, certyfikat otrzymało ponad 70 osób, które realizują działania na rzecz aktywizacji i integracji wrocławskich seniorów oraz projekty międzypokoleniowe. Projekt ten jest odpowiedzią na zgłaszaną od wielu lat potrzebę kształcenia animatorów środowisk senioralnych, którzy swoją postawą, umiejętnościami i wiedzą będą motywowali i aktywizowali osoby starsze, a także inicjowali działania i projekty w mniej lub bardziej sformalizowanych grupach senioralnych. Projekt adresowany jest do przyszłych i obecnych animatorów środowisk senioralnych, zarówno tych młodych (studentów), osób w średnim wieku, jak i osób starszych (seniorów).</w:t>
      </w:r>
    </w:p>
    <w:p w14:paraId="44004547" w14:textId="77777777" w:rsidR="00E14C33" w:rsidRDefault="00E14C33" w:rsidP="00E14C33">
      <w:pPr>
        <w:spacing w:after="0" w:line="240" w:lineRule="auto"/>
        <w:jc w:val="both"/>
        <w:rPr>
          <w:rFonts w:ascii="Lato" w:hAnsi="Lato"/>
          <w:sz w:val="20"/>
          <w:szCs w:val="20"/>
        </w:rPr>
      </w:pPr>
    </w:p>
    <w:p w14:paraId="03470D5C" w14:textId="0E6928B4" w:rsidR="00BA7CBC" w:rsidRDefault="00BA7CBC" w:rsidP="00E14C33">
      <w:pPr>
        <w:spacing w:after="0" w:line="240" w:lineRule="auto"/>
        <w:jc w:val="both"/>
        <w:rPr>
          <w:rFonts w:ascii="Lato" w:hAnsi="Lato"/>
          <w:sz w:val="20"/>
          <w:szCs w:val="20"/>
        </w:rPr>
      </w:pPr>
      <w:r w:rsidRPr="00E14C33">
        <w:rPr>
          <w:rFonts w:ascii="Lato" w:hAnsi="Lato"/>
          <w:sz w:val="20"/>
          <w:szCs w:val="20"/>
        </w:rPr>
        <w:t>Szkoła Liderów to miejski projekt, będący wsparciem dla tych, którzy działają lub działać na rzecz mieszkańców 60+ m.in.: w Klubach Seniora, Uniwersytetach Trzeciego Wieku, Centrach Aktywności Lokalnej, klubach osiedlowych czy NGO.</w:t>
      </w:r>
    </w:p>
    <w:p w14:paraId="734B29DA" w14:textId="422A5186" w:rsidR="00E14C33" w:rsidRDefault="00E14C33" w:rsidP="00E14C33">
      <w:pPr>
        <w:spacing w:after="0" w:line="240" w:lineRule="auto"/>
        <w:jc w:val="both"/>
        <w:rPr>
          <w:rFonts w:ascii="Lato" w:hAnsi="Lato"/>
          <w:sz w:val="20"/>
          <w:szCs w:val="20"/>
        </w:rPr>
      </w:pPr>
    </w:p>
    <w:p w14:paraId="60066944" w14:textId="16C97015" w:rsidR="00F873EA" w:rsidRDefault="00F873EA" w:rsidP="00F873EA">
      <w:pPr>
        <w:pStyle w:val="Legenda"/>
        <w:keepNext/>
      </w:pPr>
      <w:bookmarkStart w:id="128" w:name="_Toc142566023"/>
      <w:r>
        <w:t xml:space="preserve">Tabela </w:t>
      </w:r>
      <w:fldSimple w:instr=" SEQ Tabela \* ARABIC ">
        <w:r w:rsidR="00AA385B">
          <w:rPr>
            <w:noProof/>
          </w:rPr>
          <w:t>60</w:t>
        </w:r>
      </w:fldSimple>
      <w:r>
        <w:t xml:space="preserve"> </w:t>
      </w:r>
      <w:bookmarkStart w:id="129" w:name="_Hlk140508166"/>
      <w:r>
        <w:t>Karta województwa dolnośląskiego za 2022 r.</w:t>
      </w:r>
      <w:bookmarkEnd w:id="128"/>
      <w:bookmarkEnd w:id="12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2439"/>
        <w:gridCol w:w="2439"/>
        <w:gridCol w:w="2441"/>
      </w:tblGrid>
      <w:tr w:rsidR="00456CDD" w:rsidRPr="00456CDD" w14:paraId="16C13B81" w14:textId="77777777" w:rsidTr="002B0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14F85AD4" w14:textId="77777777" w:rsidR="00456CDD" w:rsidRPr="00456CDD" w:rsidRDefault="00456CDD" w:rsidP="00CA4EC0">
            <w:pPr>
              <w:jc w:val="center"/>
              <w:rPr>
                <w:rFonts w:ascii="Lato" w:hAnsi="Lato" w:cs="Times New Roman"/>
                <w:color w:val="auto"/>
                <w:sz w:val="18"/>
                <w:szCs w:val="18"/>
              </w:rPr>
            </w:pPr>
            <w:r w:rsidRPr="00456CDD">
              <w:rPr>
                <w:rFonts w:ascii="Lato" w:hAnsi="Lato" w:cs="Times New Roman"/>
                <w:color w:val="auto"/>
                <w:sz w:val="18"/>
                <w:szCs w:val="18"/>
              </w:rPr>
              <w:t>WOJEWÓDZTWO DOLNOŚLĄSKIE</w:t>
            </w:r>
          </w:p>
        </w:tc>
      </w:tr>
      <w:tr w:rsidR="00456CDD" w:rsidRPr="00456CDD" w14:paraId="2B7FAA54" w14:textId="77777777" w:rsidTr="00F873EA">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E147817" w14:textId="77777777" w:rsidR="00456CDD" w:rsidRPr="00456CDD" w:rsidRDefault="00456CDD" w:rsidP="00CA4EC0">
            <w:pPr>
              <w:rPr>
                <w:rFonts w:ascii="Lato" w:hAnsi="Lato" w:cs="Times New Roman"/>
                <w:color w:val="auto"/>
                <w:sz w:val="18"/>
                <w:szCs w:val="18"/>
              </w:rPr>
            </w:pPr>
            <w:r w:rsidRPr="00456CDD">
              <w:rPr>
                <w:rFonts w:ascii="Lato" w:hAnsi="Lato" w:cs="Times New Roman"/>
                <w:color w:val="auto"/>
                <w:sz w:val="18"/>
                <w:szCs w:val="18"/>
              </w:rPr>
              <w:lastRenderedPageBreak/>
              <w:t>Informacja o regionie</w:t>
            </w:r>
          </w:p>
        </w:tc>
        <w:tc>
          <w:tcPr>
            <w:tcW w:w="1346" w:type="pct"/>
            <w:shd w:val="clear" w:color="auto" w:fill="auto"/>
          </w:tcPr>
          <w:p w14:paraId="424FD4FC"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Liczba gmin</w:t>
            </w:r>
          </w:p>
        </w:tc>
        <w:tc>
          <w:tcPr>
            <w:tcW w:w="2694" w:type="pct"/>
            <w:gridSpan w:val="2"/>
            <w:shd w:val="clear" w:color="auto" w:fill="auto"/>
          </w:tcPr>
          <w:p w14:paraId="0BAA9E18"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169</w:t>
            </w:r>
          </w:p>
        </w:tc>
      </w:tr>
      <w:tr w:rsidR="00F873EA" w:rsidRPr="00456CDD" w14:paraId="5B8E91D9" w14:textId="77777777" w:rsidTr="00F873EA">
        <w:trPr>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BB6276A" w14:textId="77777777" w:rsidR="00456CDD" w:rsidRPr="00456CDD" w:rsidRDefault="00456CDD" w:rsidP="00CA4EC0">
            <w:pPr>
              <w:rPr>
                <w:rFonts w:ascii="Lato" w:hAnsi="Lato" w:cs="Times New Roman"/>
                <w:color w:val="auto"/>
                <w:sz w:val="18"/>
                <w:szCs w:val="18"/>
              </w:rPr>
            </w:pPr>
          </w:p>
        </w:tc>
        <w:tc>
          <w:tcPr>
            <w:tcW w:w="1346" w:type="pct"/>
            <w:shd w:val="clear" w:color="auto" w:fill="auto"/>
          </w:tcPr>
          <w:p w14:paraId="7612F19C"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Liczba powiatów</w:t>
            </w:r>
          </w:p>
        </w:tc>
        <w:tc>
          <w:tcPr>
            <w:tcW w:w="2694" w:type="pct"/>
            <w:gridSpan w:val="2"/>
            <w:shd w:val="clear" w:color="auto" w:fill="auto"/>
          </w:tcPr>
          <w:p w14:paraId="4FCBE14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 xml:space="preserve"> 26 powiatów i 4 miasta na prawach powiatu</w:t>
            </w:r>
          </w:p>
        </w:tc>
      </w:tr>
      <w:tr w:rsidR="00456CDD" w:rsidRPr="00456CDD" w14:paraId="119C9C78" w14:textId="77777777" w:rsidTr="00F873EA">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077E13FE" w14:textId="77777777" w:rsidR="00456CDD" w:rsidRPr="00456CDD" w:rsidRDefault="00456CDD" w:rsidP="00CA4EC0">
            <w:pPr>
              <w:rPr>
                <w:rFonts w:ascii="Lato" w:hAnsi="Lato" w:cs="Times New Roman"/>
                <w:color w:val="auto"/>
                <w:sz w:val="18"/>
                <w:szCs w:val="18"/>
              </w:rPr>
            </w:pPr>
          </w:p>
        </w:tc>
        <w:tc>
          <w:tcPr>
            <w:tcW w:w="1346" w:type="pct"/>
            <w:shd w:val="clear" w:color="auto" w:fill="auto"/>
          </w:tcPr>
          <w:p w14:paraId="0AD1A8C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Powierzchnia</w:t>
            </w:r>
          </w:p>
        </w:tc>
        <w:tc>
          <w:tcPr>
            <w:tcW w:w="2694" w:type="pct"/>
            <w:gridSpan w:val="2"/>
            <w:shd w:val="clear" w:color="auto" w:fill="auto"/>
          </w:tcPr>
          <w:p w14:paraId="28459CC9"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19 947 km</w:t>
            </w:r>
            <w:r w:rsidRPr="00456CDD">
              <w:rPr>
                <w:rFonts w:ascii="Lato" w:hAnsi="Lato" w:cs="Times New Roman"/>
                <w:color w:val="auto"/>
                <w:sz w:val="18"/>
                <w:szCs w:val="18"/>
                <w:vertAlign w:val="superscript"/>
              </w:rPr>
              <w:t>2</w:t>
            </w:r>
          </w:p>
        </w:tc>
      </w:tr>
      <w:tr w:rsidR="00456CDD" w:rsidRPr="00456CDD" w14:paraId="5CDE15DA" w14:textId="77777777" w:rsidTr="002B0821">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402B6C14" w14:textId="77777777" w:rsidR="00456CDD" w:rsidRPr="00456CDD" w:rsidRDefault="00456CDD" w:rsidP="00CA4EC0">
            <w:pPr>
              <w:jc w:val="center"/>
              <w:rPr>
                <w:rFonts w:ascii="Lato" w:hAnsi="Lato" w:cs="Times New Roman"/>
                <w:b w:val="0"/>
                <w:color w:val="auto"/>
                <w:sz w:val="18"/>
                <w:szCs w:val="18"/>
              </w:rPr>
            </w:pPr>
            <w:r w:rsidRPr="00456CDD">
              <w:rPr>
                <w:rFonts w:ascii="Lato" w:hAnsi="Lato" w:cs="Times New Roman"/>
                <w:color w:val="auto"/>
                <w:sz w:val="18"/>
                <w:szCs w:val="18"/>
              </w:rPr>
              <w:t>DEMOGRAFIA</w:t>
            </w:r>
          </w:p>
        </w:tc>
      </w:tr>
      <w:tr w:rsidR="00456CDD" w:rsidRPr="00456CDD" w14:paraId="75CDF023"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EF93D30" w14:textId="77777777" w:rsidR="00456CDD" w:rsidRPr="00456CDD" w:rsidRDefault="00456CDD" w:rsidP="00CA4EC0">
            <w:pPr>
              <w:jc w:val="center"/>
              <w:rPr>
                <w:rFonts w:ascii="Lato" w:hAnsi="Lato" w:cs="Times New Roman"/>
                <w:b w:val="0"/>
                <w:color w:val="auto"/>
                <w:sz w:val="18"/>
                <w:szCs w:val="18"/>
                <w:lang w:eastAsia="pl-PL"/>
              </w:rPr>
            </w:pPr>
            <w:r w:rsidRPr="00456CDD">
              <w:rPr>
                <w:rFonts w:ascii="Lato" w:hAnsi="Lato" w:cs="Times New Roman"/>
                <w:color w:val="auto"/>
                <w:sz w:val="18"/>
                <w:szCs w:val="18"/>
                <w:lang w:eastAsia="pl-PL"/>
              </w:rPr>
              <w:t>Treść</w:t>
            </w:r>
          </w:p>
        </w:tc>
        <w:tc>
          <w:tcPr>
            <w:tcW w:w="1346" w:type="pct"/>
            <w:shd w:val="clear" w:color="auto" w:fill="auto"/>
          </w:tcPr>
          <w:p w14:paraId="4AAD30FB" w14:textId="77777777" w:rsidR="00456CDD" w:rsidRPr="00456CDD" w:rsidRDefault="00456CDD"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2020 r.</w:t>
            </w:r>
          </w:p>
        </w:tc>
        <w:tc>
          <w:tcPr>
            <w:tcW w:w="1346" w:type="pct"/>
            <w:shd w:val="clear" w:color="auto" w:fill="auto"/>
          </w:tcPr>
          <w:p w14:paraId="713CDF27" w14:textId="77777777" w:rsidR="00456CDD" w:rsidRPr="00456CDD" w:rsidRDefault="00456CDD"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2021 r.</w:t>
            </w:r>
          </w:p>
        </w:tc>
        <w:tc>
          <w:tcPr>
            <w:tcW w:w="1348" w:type="pct"/>
            <w:shd w:val="clear" w:color="auto" w:fill="auto"/>
          </w:tcPr>
          <w:p w14:paraId="4749D06E" w14:textId="77777777" w:rsidR="00456CDD" w:rsidRPr="00456CDD" w:rsidRDefault="00456CDD"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2022 r.</w:t>
            </w:r>
          </w:p>
        </w:tc>
      </w:tr>
      <w:tr w:rsidR="00456CDD" w:rsidRPr="00456CDD" w14:paraId="5578BAC5"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882694B"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Populacja ogółem</w:t>
            </w:r>
          </w:p>
        </w:tc>
        <w:tc>
          <w:tcPr>
            <w:tcW w:w="1346" w:type="pct"/>
            <w:shd w:val="clear" w:color="auto" w:fill="auto"/>
          </w:tcPr>
          <w:p w14:paraId="3E0E68BE"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2908378</w:t>
            </w:r>
          </w:p>
        </w:tc>
        <w:tc>
          <w:tcPr>
            <w:tcW w:w="1346" w:type="pct"/>
            <w:shd w:val="clear" w:color="auto" w:fill="auto"/>
          </w:tcPr>
          <w:p w14:paraId="49D51CA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2897737</w:t>
            </w:r>
          </w:p>
        </w:tc>
        <w:tc>
          <w:tcPr>
            <w:tcW w:w="1348" w:type="pct"/>
            <w:shd w:val="clear" w:color="auto" w:fill="auto"/>
          </w:tcPr>
          <w:p w14:paraId="0FB95EDB"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2888033</w:t>
            </w:r>
          </w:p>
        </w:tc>
      </w:tr>
      <w:tr w:rsidR="00456CDD" w:rsidRPr="00456CDD" w14:paraId="465258FB" w14:textId="77777777" w:rsidTr="00456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3A1EEC9" w14:textId="77777777" w:rsidR="00456CDD" w:rsidRPr="00456CDD" w:rsidRDefault="00456CDD" w:rsidP="00CA4EC0">
            <w:pPr>
              <w:rPr>
                <w:rFonts w:ascii="Lato" w:hAnsi="Lato" w:cs="Times New Roman"/>
                <w:color w:val="auto"/>
                <w:sz w:val="18"/>
                <w:szCs w:val="18"/>
              </w:rPr>
            </w:pPr>
          </w:p>
        </w:tc>
      </w:tr>
      <w:tr w:rsidR="00456CDD" w:rsidRPr="00456CDD" w14:paraId="21F9D5FF"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02C655B" w14:textId="77777777" w:rsidR="00456CDD" w:rsidRPr="00456CDD" w:rsidRDefault="00456CDD" w:rsidP="00CA4EC0">
            <w:pPr>
              <w:rPr>
                <w:rFonts w:ascii="Lato" w:hAnsi="Lato" w:cs="Times New Roman"/>
                <w:b w:val="0"/>
                <w:color w:val="auto"/>
                <w:sz w:val="18"/>
                <w:szCs w:val="18"/>
              </w:rPr>
            </w:pPr>
            <w:r w:rsidRPr="00456CDD">
              <w:rPr>
                <w:rFonts w:ascii="Lato" w:hAnsi="Lato" w:cs="Times New Roman"/>
                <w:color w:val="auto"/>
                <w:sz w:val="18"/>
                <w:szCs w:val="18"/>
                <w:lang w:eastAsia="pl-PL"/>
              </w:rPr>
              <w:t>w wieku 60 lat i więcej</w:t>
            </w:r>
          </w:p>
        </w:tc>
        <w:tc>
          <w:tcPr>
            <w:tcW w:w="1346" w:type="pct"/>
            <w:shd w:val="clear" w:color="auto" w:fill="auto"/>
          </w:tcPr>
          <w:p w14:paraId="22393B8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773658</w:t>
            </w:r>
          </w:p>
        </w:tc>
        <w:tc>
          <w:tcPr>
            <w:tcW w:w="1346" w:type="pct"/>
            <w:shd w:val="clear" w:color="auto" w:fill="auto"/>
          </w:tcPr>
          <w:p w14:paraId="08ADCAB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775163</w:t>
            </w:r>
          </w:p>
        </w:tc>
        <w:tc>
          <w:tcPr>
            <w:tcW w:w="1348" w:type="pct"/>
            <w:shd w:val="clear" w:color="auto" w:fill="auto"/>
          </w:tcPr>
          <w:p w14:paraId="0E45AC90"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777533</w:t>
            </w:r>
          </w:p>
        </w:tc>
      </w:tr>
      <w:tr w:rsidR="00456CDD" w:rsidRPr="00456CDD" w14:paraId="53BC1147"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8936EA2"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60–64 lata</w:t>
            </w:r>
          </w:p>
        </w:tc>
        <w:tc>
          <w:tcPr>
            <w:tcW w:w="1346" w:type="pct"/>
            <w:shd w:val="clear" w:color="auto" w:fill="auto"/>
          </w:tcPr>
          <w:p w14:paraId="1B07EBE9"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211531</w:t>
            </w:r>
          </w:p>
        </w:tc>
        <w:tc>
          <w:tcPr>
            <w:tcW w:w="1346" w:type="pct"/>
            <w:shd w:val="clear" w:color="auto" w:fill="auto"/>
          </w:tcPr>
          <w:p w14:paraId="19F1FFD2"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201063</w:t>
            </w:r>
          </w:p>
        </w:tc>
        <w:tc>
          <w:tcPr>
            <w:tcW w:w="1348" w:type="pct"/>
            <w:shd w:val="clear" w:color="auto" w:fill="auto"/>
          </w:tcPr>
          <w:p w14:paraId="73EFDB46"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189218</w:t>
            </w:r>
          </w:p>
        </w:tc>
      </w:tr>
      <w:tr w:rsidR="00456CDD" w:rsidRPr="00456CDD" w14:paraId="433BAA8D"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0EFAC94"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65–69</w:t>
            </w:r>
          </w:p>
        </w:tc>
        <w:tc>
          <w:tcPr>
            <w:tcW w:w="1346" w:type="pct"/>
            <w:shd w:val="clear" w:color="auto" w:fill="auto"/>
          </w:tcPr>
          <w:p w14:paraId="35BC972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208075</w:t>
            </w:r>
          </w:p>
        </w:tc>
        <w:tc>
          <w:tcPr>
            <w:tcW w:w="1346" w:type="pct"/>
            <w:shd w:val="clear" w:color="auto" w:fill="auto"/>
          </w:tcPr>
          <w:p w14:paraId="1EFFE13B"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207037</w:t>
            </w:r>
          </w:p>
        </w:tc>
        <w:tc>
          <w:tcPr>
            <w:tcW w:w="1348" w:type="pct"/>
            <w:shd w:val="clear" w:color="auto" w:fill="auto"/>
          </w:tcPr>
          <w:p w14:paraId="5970460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205650</w:t>
            </w:r>
          </w:p>
        </w:tc>
      </w:tr>
      <w:tr w:rsidR="00456CDD" w:rsidRPr="00456CDD" w14:paraId="253D9A37"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30AB08C"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70–74</w:t>
            </w:r>
          </w:p>
        </w:tc>
        <w:tc>
          <w:tcPr>
            <w:tcW w:w="1346" w:type="pct"/>
            <w:shd w:val="clear" w:color="auto" w:fill="auto"/>
          </w:tcPr>
          <w:p w14:paraId="2C23D615"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156621</w:t>
            </w:r>
          </w:p>
        </w:tc>
        <w:tc>
          <w:tcPr>
            <w:tcW w:w="1346" w:type="pct"/>
            <w:shd w:val="clear" w:color="auto" w:fill="auto"/>
          </w:tcPr>
          <w:p w14:paraId="75D8BAB1"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166646</w:t>
            </w:r>
          </w:p>
        </w:tc>
        <w:tc>
          <w:tcPr>
            <w:tcW w:w="1348" w:type="pct"/>
            <w:shd w:val="clear" w:color="auto" w:fill="auto"/>
          </w:tcPr>
          <w:p w14:paraId="167F1B0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173679</w:t>
            </w:r>
          </w:p>
        </w:tc>
      </w:tr>
      <w:tr w:rsidR="00456CDD" w:rsidRPr="00456CDD" w14:paraId="4A520513"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751F750"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75–79</w:t>
            </w:r>
          </w:p>
        </w:tc>
        <w:tc>
          <w:tcPr>
            <w:tcW w:w="1346" w:type="pct"/>
            <w:shd w:val="clear" w:color="auto" w:fill="auto"/>
          </w:tcPr>
          <w:p w14:paraId="2E898EE8"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70766</w:t>
            </w:r>
          </w:p>
        </w:tc>
        <w:tc>
          <w:tcPr>
            <w:tcW w:w="1346" w:type="pct"/>
            <w:shd w:val="clear" w:color="auto" w:fill="auto"/>
          </w:tcPr>
          <w:p w14:paraId="6E3C21C3"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76809</w:t>
            </w:r>
          </w:p>
        </w:tc>
        <w:tc>
          <w:tcPr>
            <w:tcW w:w="1348" w:type="pct"/>
            <w:shd w:val="clear" w:color="auto" w:fill="auto"/>
          </w:tcPr>
          <w:p w14:paraId="13E81A9F"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88210</w:t>
            </w:r>
          </w:p>
        </w:tc>
      </w:tr>
      <w:tr w:rsidR="00456CDD" w:rsidRPr="00456CDD" w14:paraId="71DBC9B1"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7999666"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80–84</w:t>
            </w:r>
          </w:p>
        </w:tc>
        <w:tc>
          <w:tcPr>
            <w:tcW w:w="1346" w:type="pct"/>
            <w:shd w:val="clear" w:color="auto" w:fill="auto"/>
          </w:tcPr>
          <w:p w14:paraId="6A2BA17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63822</w:t>
            </w:r>
          </w:p>
        </w:tc>
        <w:tc>
          <w:tcPr>
            <w:tcW w:w="1346" w:type="pct"/>
            <w:shd w:val="clear" w:color="auto" w:fill="auto"/>
          </w:tcPr>
          <w:p w14:paraId="26DF41D5"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61055</w:t>
            </w:r>
          </w:p>
        </w:tc>
        <w:tc>
          <w:tcPr>
            <w:tcW w:w="1348" w:type="pct"/>
            <w:shd w:val="clear" w:color="auto" w:fill="auto"/>
          </w:tcPr>
          <w:p w14:paraId="5DED40CC"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58165</w:t>
            </w:r>
          </w:p>
        </w:tc>
      </w:tr>
      <w:tr w:rsidR="00456CDD" w:rsidRPr="00456CDD" w14:paraId="74126AC5"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7D5879C"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85 lat i więcej</w:t>
            </w:r>
          </w:p>
        </w:tc>
        <w:tc>
          <w:tcPr>
            <w:tcW w:w="1346" w:type="pct"/>
            <w:shd w:val="clear" w:color="auto" w:fill="auto"/>
          </w:tcPr>
          <w:p w14:paraId="75C02C55"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62843</w:t>
            </w:r>
          </w:p>
        </w:tc>
        <w:tc>
          <w:tcPr>
            <w:tcW w:w="1346" w:type="pct"/>
            <w:shd w:val="clear" w:color="auto" w:fill="auto"/>
          </w:tcPr>
          <w:p w14:paraId="6871AFB7"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62553</w:t>
            </w:r>
          </w:p>
        </w:tc>
        <w:tc>
          <w:tcPr>
            <w:tcW w:w="1348" w:type="pct"/>
            <w:shd w:val="clear" w:color="auto" w:fill="auto"/>
          </w:tcPr>
          <w:p w14:paraId="6C6EDC9D"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62611</w:t>
            </w:r>
          </w:p>
        </w:tc>
      </w:tr>
      <w:tr w:rsidR="00456CDD" w:rsidRPr="00456CDD" w14:paraId="702FDCBF"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196EB9A"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Przeciętne dalsze trwanie życia</w:t>
            </w:r>
          </w:p>
        </w:tc>
        <w:tc>
          <w:tcPr>
            <w:tcW w:w="1346" w:type="pct"/>
            <w:shd w:val="clear" w:color="auto" w:fill="auto"/>
          </w:tcPr>
          <w:p w14:paraId="15D912F1"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męskiej – 72,1</w:t>
            </w:r>
          </w:p>
          <w:p w14:paraId="43B87088"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żeńskiej – 80,6</w:t>
            </w:r>
          </w:p>
          <w:p w14:paraId="15C1F39A"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Mężczyzna w wieku 60 lat -  17,6</w:t>
            </w:r>
          </w:p>
          <w:p w14:paraId="4CAB232D"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Kobieta w wieku 60 – 23,2</w:t>
            </w:r>
          </w:p>
        </w:tc>
        <w:tc>
          <w:tcPr>
            <w:tcW w:w="1346" w:type="pct"/>
            <w:shd w:val="clear" w:color="auto" w:fill="auto"/>
          </w:tcPr>
          <w:p w14:paraId="5C715315"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męskiej – 71,4</w:t>
            </w:r>
          </w:p>
          <w:p w14:paraId="028D2F63"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żeńskiej – 79,5</w:t>
            </w:r>
          </w:p>
          <w:p w14:paraId="7D5FABDF"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Mężczyzna w wieku 60 lat – 17,1</w:t>
            </w:r>
          </w:p>
          <w:p w14:paraId="5A519215"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Kobieta w wieku 60 – 22,5</w:t>
            </w:r>
          </w:p>
        </w:tc>
        <w:tc>
          <w:tcPr>
            <w:tcW w:w="1348" w:type="pct"/>
            <w:shd w:val="clear" w:color="auto" w:fill="auto"/>
          </w:tcPr>
          <w:p w14:paraId="065E1B28"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męskiej – 72,9</w:t>
            </w:r>
          </w:p>
          <w:p w14:paraId="634473B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Noworodek płci żeńskiej – 80,7</w:t>
            </w:r>
          </w:p>
          <w:p w14:paraId="5419324A"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Mężczyzna w wieku 60 lat – 18,3</w:t>
            </w:r>
          </w:p>
          <w:p w14:paraId="65AB1ACB"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Kobieta w wieku 60 – 23,3</w:t>
            </w:r>
          </w:p>
        </w:tc>
      </w:tr>
      <w:tr w:rsidR="00456CDD" w:rsidRPr="00456CDD" w14:paraId="5D4FBEC3"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7348704"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Współczynnik feminizacji</w:t>
            </w:r>
          </w:p>
        </w:tc>
        <w:tc>
          <w:tcPr>
            <w:tcW w:w="1346" w:type="pct"/>
            <w:shd w:val="clear" w:color="auto" w:fill="auto"/>
          </w:tcPr>
          <w:p w14:paraId="352C999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108</w:t>
            </w:r>
          </w:p>
        </w:tc>
        <w:tc>
          <w:tcPr>
            <w:tcW w:w="1346" w:type="pct"/>
            <w:shd w:val="clear" w:color="auto" w:fill="auto"/>
          </w:tcPr>
          <w:p w14:paraId="0B0C25EC"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108</w:t>
            </w:r>
          </w:p>
        </w:tc>
        <w:tc>
          <w:tcPr>
            <w:tcW w:w="1348" w:type="pct"/>
            <w:shd w:val="clear" w:color="auto" w:fill="auto"/>
          </w:tcPr>
          <w:p w14:paraId="6C1784D5"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108</w:t>
            </w:r>
          </w:p>
        </w:tc>
      </w:tr>
      <w:tr w:rsidR="00456CDD" w:rsidRPr="00456CDD" w14:paraId="5C6FBC4B" w14:textId="77777777" w:rsidTr="00F87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57562185"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Współczynnik obciążenia demograficznego osobami starszymi</w:t>
            </w:r>
          </w:p>
        </w:tc>
        <w:tc>
          <w:tcPr>
            <w:tcW w:w="1346" w:type="pct"/>
            <w:shd w:val="clear" w:color="auto" w:fill="auto"/>
            <w:vAlign w:val="bottom"/>
          </w:tcPr>
          <w:p w14:paraId="1E50CDA0"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29,3</w:t>
            </w:r>
          </w:p>
        </w:tc>
        <w:tc>
          <w:tcPr>
            <w:tcW w:w="1346" w:type="pct"/>
            <w:shd w:val="clear" w:color="auto" w:fill="auto"/>
            <w:vAlign w:val="bottom"/>
          </w:tcPr>
          <w:p w14:paraId="1CED3297"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30,3</w:t>
            </w:r>
          </w:p>
        </w:tc>
        <w:tc>
          <w:tcPr>
            <w:tcW w:w="1348" w:type="pct"/>
            <w:shd w:val="clear" w:color="auto" w:fill="auto"/>
            <w:vAlign w:val="bottom"/>
          </w:tcPr>
          <w:p w14:paraId="52BA9EED"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31,3</w:t>
            </w:r>
          </w:p>
        </w:tc>
      </w:tr>
      <w:tr w:rsidR="00456CDD" w:rsidRPr="00456CDD" w14:paraId="4919F1BC" w14:textId="77777777" w:rsidTr="00F873EA">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5976D0D"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Współczynnik zgonów</w:t>
            </w:r>
          </w:p>
        </w:tc>
        <w:tc>
          <w:tcPr>
            <w:tcW w:w="1346" w:type="pct"/>
            <w:shd w:val="clear" w:color="auto" w:fill="auto"/>
          </w:tcPr>
          <w:p w14:paraId="5D3F6376"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12,9</w:t>
            </w:r>
          </w:p>
        </w:tc>
        <w:tc>
          <w:tcPr>
            <w:tcW w:w="1346" w:type="pct"/>
            <w:shd w:val="clear" w:color="auto" w:fill="auto"/>
          </w:tcPr>
          <w:p w14:paraId="63D79A9B"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13,9</w:t>
            </w:r>
          </w:p>
        </w:tc>
        <w:tc>
          <w:tcPr>
            <w:tcW w:w="1348" w:type="pct"/>
            <w:shd w:val="clear" w:color="auto" w:fill="auto"/>
          </w:tcPr>
          <w:p w14:paraId="615305FF"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12,5</w:t>
            </w:r>
          </w:p>
        </w:tc>
      </w:tr>
      <w:tr w:rsidR="00456CDD" w:rsidRPr="00456CDD" w14:paraId="6C5369EF" w14:textId="77777777" w:rsidTr="002B082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35B9AEF" w14:textId="77777777" w:rsidR="00456CDD" w:rsidRPr="00456CDD" w:rsidRDefault="00456CDD" w:rsidP="00CA4EC0">
            <w:pPr>
              <w:jc w:val="center"/>
              <w:rPr>
                <w:rFonts w:ascii="Lato" w:hAnsi="Lato" w:cs="Times New Roman"/>
                <w:color w:val="auto"/>
                <w:sz w:val="18"/>
                <w:szCs w:val="18"/>
              </w:rPr>
            </w:pPr>
            <w:r w:rsidRPr="00456CDD">
              <w:rPr>
                <w:rFonts w:ascii="Lato" w:hAnsi="Lato" w:cs="Times New Roman"/>
                <w:color w:val="auto"/>
                <w:sz w:val="18"/>
                <w:szCs w:val="18"/>
                <w:lang w:eastAsia="pl-PL"/>
              </w:rPr>
              <w:t xml:space="preserve">AKTYWNOŚĆ EKONOMICZNA OSÓB STARSZYCH – DANE ZA 2022 R. </w:t>
            </w:r>
            <w:r w:rsidRPr="00456CDD">
              <w:rPr>
                <w:rFonts w:ascii="Lato" w:hAnsi="Lato" w:cs="Times New Roman"/>
                <w:color w:val="auto"/>
                <w:sz w:val="18"/>
                <w:szCs w:val="18"/>
                <w:vertAlign w:val="superscript"/>
                <w:lang w:eastAsia="pl-PL"/>
              </w:rPr>
              <w:t>1)</w:t>
            </w:r>
          </w:p>
        </w:tc>
      </w:tr>
      <w:tr w:rsidR="00456CDD" w:rsidRPr="00456CDD" w14:paraId="2584E185" w14:textId="77777777" w:rsidTr="00456CDD">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14:paraId="5713EEFB" w14:textId="77777777" w:rsidR="00456CDD" w:rsidRPr="00456CDD" w:rsidRDefault="00456CDD" w:rsidP="00CA4EC0">
            <w:pPr>
              <w:rPr>
                <w:rFonts w:ascii="Lato" w:hAnsi="Lato" w:cs="Times New Roman"/>
                <w:color w:val="auto"/>
                <w:sz w:val="18"/>
                <w:szCs w:val="18"/>
              </w:rPr>
            </w:pPr>
            <w:r w:rsidRPr="00456CDD">
              <w:rPr>
                <w:rFonts w:ascii="Lato" w:hAnsi="Lato" w:cs="Times New Roman"/>
                <w:color w:val="auto"/>
                <w:sz w:val="18"/>
                <w:szCs w:val="18"/>
              </w:rPr>
              <w:t>Podział</w:t>
            </w:r>
          </w:p>
        </w:tc>
        <w:tc>
          <w:tcPr>
            <w:tcW w:w="2694" w:type="pct"/>
            <w:gridSpan w:val="2"/>
            <w:shd w:val="clear" w:color="auto" w:fill="auto"/>
          </w:tcPr>
          <w:p w14:paraId="32C40873" w14:textId="77777777" w:rsidR="00456CDD" w:rsidRPr="00456CDD" w:rsidRDefault="00456CDD"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Liczba</w:t>
            </w:r>
          </w:p>
        </w:tc>
      </w:tr>
      <w:tr w:rsidR="00456CDD" w:rsidRPr="00456CDD" w14:paraId="611C330E" w14:textId="77777777" w:rsidTr="00F873E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5CC7891"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Osoby aktywne zawodowo razem (w tys.)</w:t>
            </w:r>
          </w:p>
        </w:tc>
        <w:tc>
          <w:tcPr>
            <w:tcW w:w="1346" w:type="pct"/>
            <w:shd w:val="clear" w:color="auto" w:fill="auto"/>
          </w:tcPr>
          <w:p w14:paraId="403A36E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145A23CD"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1297</w:t>
            </w:r>
          </w:p>
        </w:tc>
      </w:tr>
      <w:tr w:rsidR="00456CDD" w:rsidRPr="00456CDD" w14:paraId="6B517C6B" w14:textId="77777777" w:rsidTr="00F873EA">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1DF9A26" w14:textId="77777777" w:rsidR="00456CDD" w:rsidRPr="00456CDD" w:rsidRDefault="00456CDD" w:rsidP="00CA4EC0">
            <w:pPr>
              <w:rPr>
                <w:rFonts w:ascii="Lato" w:hAnsi="Lato" w:cs="Times New Roman"/>
                <w:b w:val="0"/>
                <w:color w:val="auto"/>
                <w:sz w:val="18"/>
                <w:szCs w:val="18"/>
                <w:lang w:eastAsia="pl-PL"/>
              </w:rPr>
            </w:pPr>
          </w:p>
        </w:tc>
        <w:tc>
          <w:tcPr>
            <w:tcW w:w="1346" w:type="pct"/>
            <w:shd w:val="clear" w:color="auto" w:fill="auto"/>
          </w:tcPr>
          <w:p w14:paraId="4A29532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60-89 lat</w:t>
            </w:r>
          </w:p>
        </w:tc>
        <w:tc>
          <w:tcPr>
            <w:tcW w:w="2694" w:type="pct"/>
            <w:gridSpan w:val="2"/>
            <w:shd w:val="clear" w:color="auto" w:fill="auto"/>
          </w:tcPr>
          <w:p w14:paraId="2E681DF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131</w:t>
            </w:r>
          </w:p>
        </w:tc>
      </w:tr>
      <w:tr w:rsidR="00456CDD" w:rsidRPr="00456CDD" w14:paraId="36002FAC" w14:textId="77777777" w:rsidTr="00F873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301EF4DB"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 xml:space="preserve">Osoby aktywne zawodowo </w:t>
            </w:r>
            <w:r w:rsidRPr="00456CDD">
              <w:rPr>
                <w:rFonts w:ascii="Lato" w:hAnsi="Lato" w:cs="Times New Roman"/>
                <w:color w:val="auto"/>
                <w:sz w:val="18"/>
                <w:szCs w:val="18"/>
                <w:lang w:eastAsia="pl-PL"/>
              </w:rPr>
              <w:br/>
              <w:t>– pracujący (w tys.)</w:t>
            </w:r>
          </w:p>
        </w:tc>
        <w:tc>
          <w:tcPr>
            <w:tcW w:w="1346" w:type="pct"/>
            <w:shd w:val="clear" w:color="auto" w:fill="auto"/>
          </w:tcPr>
          <w:p w14:paraId="2EA44343"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6EB522AD"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1251</w:t>
            </w:r>
          </w:p>
        </w:tc>
      </w:tr>
      <w:tr w:rsidR="00456CDD" w:rsidRPr="00456CDD" w14:paraId="628A6063" w14:textId="77777777" w:rsidTr="00F873EA">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031B7D2" w14:textId="77777777" w:rsidR="00456CDD" w:rsidRPr="00456CDD" w:rsidRDefault="00456CDD" w:rsidP="00CA4EC0">
            <w:pPr>
              <w:rPr>
                <w:rFonts w:ascii="Lato" w:hAnsi="Lato" w:cs="Times New Roman"/>
                <w:b w:val="0"/>
                <w:color w:val="auto"/>
                <w:sz w:val="18"/>
                <w:szCs w:val="18"/>
                <w:lang w:eastAsia="pl-PL"/>
              </w:rPr>
            </w:pPr>
          </w:p>
        </w:tc>
        <w:tc>
          <w:tcPr>
            <w:tcW w:w="1346" w:type="pct"/>
            <w:shd w:val="clear" w:color="auto" w:fill="auto"/>
          </w:tcPr>
          <w:p w14:paraId="4E65C110"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60-89 lat</w:t>
            </w:r>
          </w:p>
        </w:tc>
        <w:tc>
          <w:tcPr>
            <w:tcW w:w="2694" w:type="pct"/>
            <w:gridSpan w:val="2"/>
            <w:shd w:val="clear" w:color="auto" w:fill="auto"/>
          </w:tcPr>
          <w:p w14:paraId="30AC717C"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129</w:t>
            </w:r>
          </w:p>
        </w:tc>
      </w:tr>
      <w:tr w:rsidR="00456CDD" w:rsidRPr="00456CDD" w14:paraId="008CC759" w14:textId="77777777" w:rsidTr="00F873E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1A09499"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Osoby bierne zawodowo (w tys.)</w:t>
            </w:r>
          </w:p>
        </w:tc>
        <w:tc>
          <w:tcPr>
            <w:tcW w:w="1346" w:type="pct"/>
            <w:shd w:val="clear" w:color="auto" w:fill="auto"/>
          </w:tcPr>
          <w:p w14:paraId="38719B3B"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795D04C4"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934</w:t>
            </w:r>
          </w:p>
        </w:tc>
      </w:tr>
      <w:tr w:rsidR="00456CDD" w:rsidRPr="00456CDD" w14:paraId="7A8628BF" w14:textId="77777777" w:rsidTr="00F873EA">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3C8436D" w14:textId="77777777" w:rsidR="00456CDD" w:rsidRPr="00456CDD" w:rsidRDefault="00456CDD" w:rsidP="00CA4EC0">
            <w:pPr>
              <w:rPr>
                <w:rFonts w:ascii="Lato" w:hAnsi="Lato" w:cs="Times New Roman"/>
                <w:b w:val="0"/>
                <w:color w:val="auto"/>
                <w:sz w:val="18"/>
                <w:szCs w:val="18"/>
                <w:lang w:eastAsia="pl-PL"/>
              </w:rPr>
            </w:pPr>
          </w:p>
        </w:tc>
        <w:tc>
          <w:tcPr>
            <w:tcW w:w="1346" w:type="pct"/>
            <w:shd w:val="clear" w:color="auto" w:fill="auto"/>
          </w:tcPr>
          <w:p w14:paraId="24CF78E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60-89 lat</w:t>
            </w:r>
          </w:p>
        </w:tc>
        <w:tc>
          <w:tcPr>
            <w:tcW w:w="2694" w:type="pct"/>
            <w:gridSpan w:val="2"/>
            <w:shd w:val="clear" w:color="auto" w:fill="auto"/>
          </w:tcPr>
          <w:p w14:paraId="465D0B45"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614</w:t>
            </w:r>
          </w:p>
        </w:tc>
      </w:tr>
      <w:tr w:rsidR="00456CDD" w:rsidRPr="00456CDD" w14:paraId="1B814344" w14:textId="77777777" w:rsidTr="00F873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7D62545"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Współczynnik aktywności zawodowej %</w:t>
            </w:r>
          </w:p>
        </w:tc>
        <w:tc>
          <w:tcPr>
            <w:tcW w:w="1346" w:type="pct"/>
            <w:shd w:val="clear" w:color="auto" w:fill="auto"/>
          </w:tcPr>
          <w:p w14:paraId="3D608189"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3A564AD3"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58,1</w:t>
            </w:r>
          </w:p>
        </w:tc>
      </w:tr>
      <w:tr w:rsidR="00456CDD" w:rsidRPr="00456CDD" w14:paraId="7853152C" w14:textId="77777777" w:rsidTr="00F873EA">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8FE4D89" w14:textId="77777777" w:rsidR="00456CDD" w:rsidRPr="00456CDD" w:rsidRDefault="00456CDD" w:rsidP="00CA4EC0">
            <w:pPr>
              <w:rPr>
                <w:rFonts w:ascii="Lato" w:hAnsi="Lato" w:cs="Times New Roman"/>
                <w:b w:val="0"/>
                <w:color w:val="auto"/>
                <w:sz w:val="18"/>
                <w:szCs w:val="18"/>
                <w:lang w:eastAsia="pl-PL"/>
              </w:rPr>
            </w:pPr>
          </w:p>
        </w:tc>
        <w:tc>
          <w:tcPr>
            <w:tcW w:w="1346" w:type="pct"/>
            <w:shd w:val="clear" w:color="auto" w:fill="auto"/>
          </w:tcPr>
          <w:p w14:paraId="5EF165B2"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60-89 lat</w:t>
            </w:r>
          </w:p>
        </w:tc>
        <w:tc>
          <w:tcPr>
            <w:tcW w:w="2694" w:type="pct"/>
            <w:gridSpan w:val="2"/>
            <w:shd w:val="clear" w:color="auto" w:fill="auto"/>
          </w:tcPr>
          <w:p w14:paraId="6DD75133"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17,6</w:t>
            </w:r>
          </w:p>
        </w:tc>
      </w:tr>
      <w:tr w:rsidR="00456CDD" w:rsidRPr="00456CDD" w14:paraId="07A17270" w14:textId="77777777" w:rsidTr="00F873E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26603EBC" w14:textId="77777777" w:rsidR="00456CDD" w:rsidRPr="00456CDD" w:rsidRDefault="00456CDD" w:rsidP="00CA4EC0">
            <w:pPr>
              <w:rPr>
                <w:rFonts w:ascii="Lato" w:hAnsi="Lato" w:cs="Times New Roman"/>
                <w:b w:val="0"/>
                <w:color w:val="auto"/>
                <w:sz w:val="18"/>
                <w:szCs w:val="18"/>
                <w:lang w:eastAsia="pl-PL"/>
              </w:rPr>
            </w:pPr>
            <w:r w:rsidRPr="00456CDD">
              <w:rPr>
                <w:rFonts w:ascii="Lato" w:hAnsi="Lato" w:cs="Times New Roman"/>
                <w:color w:val="auto"/>
                <w:sz w:val="18"/>
                <w:szCs w:val="18"/>
                <w:lang w:eastAsia="pl-PL"/>
              </w:rPr>
              <w:t>Wskaźnik zatrudnienia %</w:t>
            </w:r>
          </w:p>
        </w:tc>
        <w:tc>
          <w:tcPr>
            <w:tcW w:w="1346" w:type="pct"/>
            <w:shd w:val="clear" w:color="auto" w:fill="auto"/>
          </w:tcPr>
          <w:p w14:paraId="55536E9D"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7CC75F56"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56,1</w:t>
            </w:r>
          </w:p>
        </w:tc>
      </w:tr>
      <w:tr w:rsidR="00456CDD" w:rsidRPr="00456CDD" w14:paraId="2A63BB03" w14:textId="77777777" w:rsidTr="00F873EA">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7AFE078" w14:textId="77777777" w:rsidR="00456CDD" w:rsidRPr="00456CDD" w:rsidRDefault="00456CDD" w:rsidP="00CA4EC0">
            <w:pPr>
              <w:rPr>
                <w:rFonts w:ascii="Lato" w:hAnsi="Lato" w:cs="Times New Roman"/>
                <w:b w:val="0"/>
                <w:color w:val="auto"/>
                <w:sz w:val="18"/>
                <w:szCs w:val="18"/>
                <w:lang w:eastAsia="pl-PL"/>
              </w:rPr>
            </w:pPr>
          </w:p>
        </w:tc>
        <w:tc>
          <w:tcPr>
            <w:tcW w:w="1346" w:type="pct"/>
            <w:shd w:val="clear" w:color="auto" w:fill="auto"/>
          </w:tcPr>
          <w:p w14:paraId="114334C3"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60-89 lat</w:t>
            </w:r>
          </w:p>
        </w:tc>
        <w:tc>
          <w:tcPr>
            <w:tcW w:w="2694" w:type="pct"/>
            <w:gridSpan w:val="2"/>
            <w:shd w:val="clear" w:color="auto" w:fill="auto"/>
          </w:tcPr>
          <w:p w14:paraId="5A4BD629"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17,3</w:t>
            </w:r>
          </w:p>
        </w:tc>
      </w:tr>
      <w:tr w:rsidR="00456CDD" w:rsidRPr="00456CDD" w14:paraId="59BDAEB2" w14:textId="77777777" w:rsidTr="00F873EA">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F0A2CF1" w14:textId="77777777" w:rsidR="00456CDD" w:rsidRPr="00456CDD" w:rsidRDefault="00456CDD" w:rsidP="00CA4EC0">
            <w:pPr>
              <w:rPr>
                <w:rFonts w:ascii="Lato" w:hAnsi="Lato" w:cs="Times New Roman"/>
                <w:b w:val="0"/>
                <w:color w:val="auto"/>
                <w:sz w:val="18"/>
                <w:szCs w:val="18"/>
                <w:lang w:eastAsia="pl-PL"/>
              </w:rPr>
            </w:pPr>
            <w:r w:rsidRPr="00456CDD">
              <w:rPr>
                <w:rFonts w:ascii="Lato" w:eastAsia="Times New Roman" w:hAnsi="Lato" w:cs="Times New Roman"/>
                <w:color w:val="auto"/>
                <w:sz w:val="18"/>
                <w:szCs w:val="18"/>
                <w:lang w:eastAsia="pl-PL"/>
              </w:rPr>
              <w:t xml:space="preserve">Osoby bierne zawodowo  w wieku 60-74 lata według wybranych przyczyn bierności </w:t>
            </w:r>
            <w:r w:rsidRPr="00456CDD">
              <w:rPr>
                <w:rFonts w:ascii="Lato" w:eastAsia="Times New Roman" w:hAnsi="Lato" w:cs="Times New Roman"/>
                <w:color w:val="auto"/>
                <w:sz w:val="18"/>
                <w:szCs w:val="18"/>
                <w:lang w:eastAsia="pl-PL"/>
              </w:rPr>
              <w:br/>
              <w:t>(w tys.)</w:t>
            </w:r>
          </w:p>
        </w:tc>
        <w:tc>
          <w:tcPr>
            <w:tcW w:w="1346" w:type="pct"/>
            <w:shd w:val="clear" w:color="auto" w:fill="auto"/>
          </w:tcPr>
          <w:p w14:paraId="546B04FF"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28AB969C"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451</w:t>
            </w:r>
          </w:p>
        </w:tc>
      </w:tr>
      <w:tr w:rsidR="00456CDD" w:rsidRPr="00456CDD" w14:paraId="56F42398" w14:textId="77777777" w:rsidTr="00F873EA">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CE3BC34"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27B7F30E"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p>
        </w:tc>
      </w:tr>
      <w:tr w:rsidR="00456CDD" w:rsidRPr="00456CDD" w14:paraId="15EE2019" w14:textId="77777777" w:rsidTr="00F873E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F06714E"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535BD89"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456CDD">
              <w:rPr>
                <w:rFonts w:ascii="Lato" w:eastAsia="Times New Roman" w:hAnsi="Lato" w:cs="Times New Roman"/>
                <w:color w:val="auto"/>
                <w:sz w:val="18"/>
                <w:szCs w:val="18"/>
                <w:lang w:eastAsia="pl-PL"/>
              </w:rPr>
              <w:t>osoby nieposzukujące pracy - razem</w:t>
            </w:r>
          </w:p>
        </w:tc>
        <w:tc>
          <w:tcPr>
            <w:tcW w:w="2694" w:type="pct"/>
            <w:gridSpan w:val="2"/>
            <w:shd w:val="clear" w:color="auto" w:fill="auto"/>
          </w:tcPr>
          <w:p w14:paraId="59B528E1"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451</w:t>
            </w:r>
          </w:p>
        </w:tc>
      </w:tr>
      <w:tr w:rsidR="00456CDD" w:rsidRPr="00456CDD" w14:paraId="712AEDA0" w14:textId="77777777" w:rsidTr="00F873EA">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B52292F"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A02E290"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eastAsia="Times New Roman" w:hAnsi="Lato" w:cs="Times New Roman"/>
                <w:color w:val="auto"/>
                <w:sz w:val="18"/>
                <w:szCs w:val="18"/>
                <w:lang w:eastAsia="pl-PL"/>
              </w:rPr>
              <w:t>osoby nieposzukujące pracy - emerytura</w:t>
            </w:r>
          </w:p>
        </w:tc>
        <w:tc>
          <w:tcPr>
            <w:tcW w:w="2694" w:type="pct"/>
            <w:gridSpan w:val="2"/>
            <w:shd w:val="clear" w:color="auto" w:fill="auto"/>
          </w:tcPr>
          <w:p w14:paraId="6BBA9D2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404</w:t>
            </w:r>
          </w:p>
        </w:tc>
      </w:tr>
      <w:tr w:rsidR="00456CDD" w:rsidRPr="00456CDD" w14:paraId="2B42DD36" w14:textId="77777777" w:rsidTr="00F873E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6EB1009"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2D2D4F4"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eastAsia="Times New Roman" w:hAnsi="Lato" w:cs="Times New Roman"/>
                <w:color w:val="auto"/>
                <w:sz w:val="18"/>
                <w:szCs w:val="18"/>
                <w:lang w:eastAsia="pl-PL"/>
              </w:rPr>
              <w:t>osoby nieposzukujące pracy - choroba, niepełnosprawność</w:t>
            </w:r>
          </w:p>
        </w:tc>
        <w:tc>
          <w:tcPr>
            <w:tcW w:w="2694" w:type="pct"/>
            <w:gridSpan w:val="2"/>
            <w:shd w:val="clear" w:color="auto" w:fill="auto"/>
          </w:tcPr>
          <w:p w14:paraId="7D406A81"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30</w:t>
            </w:r>
          </w:p>
        </w:tc>
      </w:tr>
      <w:tr w:rsidR="00456CDD" w:rsidRPr="00456CDD" w14:paraId="7BDF0709" w14:textId="77777777" w:rsidTr="00F873EA">
        <w:trPr>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3F2D2E51" w14:textId="77777777" w:rsidR="00456CDD" w:rsidRPr="00456CDD" w:rsidRDefault="00456CDD" w:rsidP="00CA4EC0">
            <w:pPr>
              <w:rPr>
                <w:rFonts w:ascii="Lato" w:eastAsia="Times New Roman" w:hAnsi="Lato" w:cs="Times New Roman"/>
                <w:b w:val="0"/>
                <w:bCs w:val="0"/>
                <w:color w:val="auto"/>
                <w:sz w:val="18"/>
                <w:szCs w:val="18"/>
                <w:lang w:eastAsia="pl-PL"/>
              </w:rPr>
            </w:pPr>
            <w:r w:rsidRPr="00456CDD">
              <w:rPr>
                <w:rFonts w:ascii="Lato" w:eastAsia="Times New Roman" w:hAnsi="Lato" w:cs="Times New Roman"/>
                <w:color w:val="auto"/>
                <w:sz w:val="18"/>
                <w:szCs w:val="18"/>
                <w:lang w:eastAsia="pl-PL"/>
              </w:rPr>
              <w:t xml:space="preserve">Osoby bezrobotne zarejestrowane w urzędach pracy (w tys.) </w:t>
            </w:r>
            <w:r w:rsidRPr="00456CDD">
              <w:rPr>
                <w:rFonts w:ascii="Lato" w:eastAsia="Times New Roman" w:hAnsi="Lato" w:cs="Times New Roman"/>
                <w:color w:val="auto"/>
                <w:sz w:val="18"/>
                <w:szCs w:val="18"/>
                <w:vertAlign w:val="superscript"/>
                <w:lang w:eastAsia="pl-PL"/>
              </w:rPr>
              <w:t>2)</w:t>
            </w:r>
          </w:p>
        </w:tc>
        <w:tc>
          <w:tcPr>
            <w:tcW w:w="1346" w:type="pct"/>
            <w:shd w:val="clear" w:color="auto" w:fill="auto"/>
          </w:tcPr>
          <w:p w14:paraId="4356C120"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Ogółem</w:t>
            </w:r>
          </w:p>
        </w:tc>
        <w:tc>
          <w:tcPr>
            <w:tcW w:w="2694" w:type="pct"/>
            <w:gridSpan w:val="2"/>
            <w:shd w:val="clear" w:color="auto" w:fill="auto"/>
          </w:tcPr>
          <w:p w14:paraId="723BD172"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54,0</w:t>
            </w:r>
          </w:p>
        </w:tc>
      </w:tr>
      <w:tr w:rsidR="00456CDD" w:rsidRPr="00456CDD" w14:paraId="6A23B0C1" w14:textId="77777777" w:rsidTr="00F873E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61DD197"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0FE684C"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w tym w wieku 60-64 lata</w:t>
            </w:r>
          </w:p>
        </w:tc>
        <w:tc>
          <w:tcPr>
            <w:tcW w:w="2694" w:type="pct"/>
            <w:gridSpan w:val="2"/>
            <w:shd w:val="clear" w:color="auto" w:fill="auto"/>
          </w:tcPr>
          <w:p w14:paraId="2AF3E84E"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4,7</w:t>
            </w:r>
          </w:p>
        </w:tc>
      </w:tr>
      <w:tr w:rsidR="00456CDD" w:rsidRPr="00456CDD" w14:paraId="7D36C41E" w14:textId="77777777" w:rsidTr="00F873EA">
        <w:trPr>
          <w:trHeight w:val="191"/>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640D3B2" w14:textId="77777777" w:rsidR="00456CDD" w:rsidRPr="00456CDD" w:rsidRDefault="00456CDD" w:rsidP="00CA4EC0">
            <w:pPr>
              <w:rPr>
                <w:rFonts w:ascii="Lato" w:eastAsia="Times New Roman" w:hAnsi="Lato" w:cs="Times New Roman"/>
                <w:b w:val="0"/>
                <w:bCs w:val="0"/>
                <w:color w:val="auto"/>
                <w:sz w:val="18"/>
                <w:szCs w:val="18"/>
                <w:lang w:eastAsia="pl-PL"/>
              </w:rPr>
            </w:pPr>
            <w:r w:rsidRPr="00456CDD">
              <w:rPr>
                <w:rFonts w:ascii="Lato" w:eastAsia="Times New Roman" w:hAnsi="Lato" w:cs="Times New Roman"/>
                <w:color w:val="auto"/>
                <w:sz w:val="18"/>
                <w:szCs w:val="18"/>
                <w:lang w:eastAsia="pl-PL"/>
              </w:rPr>
              <w:t xml:space="preserve">Osoby pobierające renty </w:t>
            </w:r>
            <w:r w:rsidRPr="00456CDD">
              <w:rPr>
                <w:rFonts w:ascii="Lato" w:eastAsia="Times New Roman" w:hAnsi="Lato" w:cs="Times New Roman"/>
                <w:color w:val="auto"/>
                <w:sz w:val="18"/>
                <w:szCs w:val="18"/>
                <w:lang w:eastAsia="pl-PL"/>
              </w:rPr>
              <w:br/>
              <w:t xml:space="preserve">i emerytury </w:t>
            </w:r>
          </w:p>
        </w:tc>
        <w:tc>
          <w:tcPr>
            <w:tcW w:w="4039" w:type="pct"/>
            <w:gridSpan w:val="3"/>
            <w:shd w:val="clear" w:color="auto" w:fill="auto"/>
          </w:tcPr>
          <w:p w14:paraId="30064FF9" w14:textId="77777777" w:rsidR="00456CDD" w:rsidRPr="00456CDD" w:rsidRDefault="00456CDD"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ZUS</w:t>
            </w:r>
          </w:p>
        </w:tc>
      </w:tr>
      <w:tr w:rsidR="00456CDD" w:rsidRPr="00456CDD" w14:paraId="061AB58D" w14:textId="77777777" w:rsidTr="00F873EA">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90EA9BC"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2926E70" w14:textId="77777777" w:rsidR="00456CDD" w:rsidRPr="00456CDD" w:rsidRDefault="00456CDD"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Rodzaj świadczenia</w:t>
            </w:r>
          </w:p>
        </w:tc>
        <w:tc>
          <w:tcPr>
            <w:tcW w:w="2694" w:type="pct"/>
            <w:gridSpan w:val="2"/>
            <w:shd w:val="clear" w:color="auto" w:fill="auto"/>
          </w:tcPr>
          <w:p w14:paraId="46A369B2" w14:textId="77777777" w:rsidR="00456CDD" w:rsidRPr="00456CDD" w:rsidRDefault="00456CDD"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Przeciętna miesięczna liczba emerytów i rencistów (w tys.)</w:t>
            </w:r>
          </w:p>
        </w:tc>
      </w:tr>
      <w:tr w:rsidR="00456CDD" w:rsidRPr="00456CDD" w14:paraId="0C7023B6" w14:textId="77777777" w:rsidTr="00F873EA">
        <w:trPr>
          <w:trHeight w:val="143"/>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9B38B35"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7F057CF"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Emerytury</w:t>
            </w:r>
          </w:p>
        </w:tc>
        <w:tc>
          <w:tcPr>
            <w:tcW w:w="2694" w:type="pct"/>
            <w:gridSpan w:val="2"/>
            <w:shd w:val="clear" w:color="auto" w:fill="auto"/>
          </w:tcPr>
          <w:p w14:paraId="2A6554BA"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504,2</w:t>
            </w:r>
          </w:p>
        </w:tc>
      </w:tr>
      <w:tr w:rsidR="00456CDD" w:rsidRPr="00456CDD" w14:paraId="48CB20DB" w14:textId="77777777" w:rsidTr="00F873EA">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516C32D"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54A68D2"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Renty z tytułu niezdolności do pracy</w:t>
            </w:r>
          </w:p>
        </w:tc>
        <w:tc>
          <w:tcPr>
            <w:tcW w:w="2694" w:type="pct"/>
            <w:gridSpan w:val="2"/>
            <w:shd w:val="clear" w:color="auto" w:fill="auto"/>
          </w:tcPr>
          <w:p w14:paraId="62A4011A"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42,7</w:t>
            </w:r>
          </w:p>
        </w:tc>
      </w:tr>
      <w:tr w:rsidR="00456CDD" w:rsidRPr="00456CDD" w14:paraId="607B16CD" w14:textId="77777777" w:rsidTr="00F873EA">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3B8464E"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F6DE285"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Renty rodzinne</w:t>
            </w:r>
          </w:p>
        </w:tc>
        <w:tc>
          <w:tcPr>
            <w:tcW w:w="2694" w:type="pct"/>
            <w:gridSpan w:val="2"/>
            <w:shd w:val="clear" w:color="auto" w:fill="auto"/>
          </w:tcPr>
          <w:p w14:paraId="7597ED64"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92,7</w:t>
            </w:r>
          </w:p>
        </w:tc>
      </w:tr>
      <w:tr w:rsidR="00456CDD" w:rsidRPr="00456CDD" w14:paraId="38903ADB" w14:textId="77777777" w:rsidTr="00F873E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D26B1E1"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0082E4CD" w14:textId="77777777" w:rsidR="00456CDD" w:rsidRPr="00456CDD" w:rsidRDefault="00456CDD"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KRUS</w:t>
            </w:r>
          </w:p>
        </w:tc>
      </w:tr>
      <w:tr w:rsidR="00456CDD" w:rsidRPr="00456CDD" w14:paraId="3D0F5D44" w14:textId="77777777" w:rsidTr="00F873EA">
        <w:trPr>
          <w:trHeight w:val="81"/>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02EA7BF"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8E61490" w14:textId="77777777" w:rsidR="00456CDD" w:rsidRPr="00456CDD" w:rsidRDefault="00456CDD"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Rodzaj świadczenia</w:t>
            </w:r>
          </w:p>
        </w:tc>
        <w:tc>
          <w:tcPr>
            <w:tcW w:w="2694" w:type="pct"/>
            <w:gridSpan w:val="2"/>
            <w:shd w:val="clear" w:color="auto" w:fill="auto"/>
          </w:tcPr>
          <w:p w14:paraId="5DAFD1C5" w14:textId="77777777" w:rsidR="00456CDD" w:rsidRPr="00456CDD" w:rsidRDefault="00456CDD"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56CDD">
              <w:rPr>
                <w:rFonts w:ascii="Lato" w:hAnsi="Lato" w:cs="Times New Roman"/>
                <w:b/>
                <w:color w:val="auto"/>
                <w:sz w:val="18"/>
                <w:szCs w:val="18"/>
              </w:rPr>
              <w:t>Przeciętna miesięczna liczba emerytów i rencistów (w tys.)</w:t>
            </w:r>
          </w:p>
        </w:tc>
      </w:tr>
      <w:tr w:rsidR="00456CDD" w:rsidRPr="00456CDD" w14:paraId="75ECD1A0" w14:textId="77777777" w:rsidTr="00F873E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179C65C"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7BB63EF"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Emerytury</w:t>
            </w:r>
          </w:p>
        </w:tc>
        <w:tc>
          <w:tcPr>
            <w:tcW w:w="2694" w:type="pct"/>
            <w:gridSpan w:val="2"/>
            <w:shd w:val="clear" w:color="auto" w:fill="auto"/>
          </w:tcPr>
          <w:p w14:paraId="3AF57741" w14:textId="77777777" w:rsidR="00456CDD" w:rsidRPr="00456CDD" w:rsidRDefault="00456CDD" w:rsidP="00CA4EC0">
            <w:pPr>
              <w:tabs>
                <w:tab w:val="left" w:pos="318"/>
              </w:tabs>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29,2</w:t>
            </w:r>
          </w:p>
        </w:tc>
      </w:tr>
      <w:tr w:rsidR="00456CDD" w:rsidRPr="00456CDD" w14:paraId="3D35F43C" w14:textId="77777777" w:rsidTr="00F873EA">
        <w:trPr>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932DF3D"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FAAE13B"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Renty z tytułu niezdolności do pracy</w:t>
            </w:r>
          </w:p>
        </w:tc>
        <w:tc>
          <w:tcPr>
            <w:tcW w:w="2694" w:type="pct"/>
            <w:gridSpan w:val="2"/>
            <w:shd w:val="clear" w:color="auto" w:fill="auto"/>
          </w:tcPr>
          <w:p w14:paraId="698F6581" w14:textId="77777777" w:rsidR="00456CDD" w:rsidRPr="00456CDD" w:rsidRDefault="00456CDD"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6,5</w:t>
            </w:r>
          </w:p>
        </w:tc>
      </w:tr>
      <w:tr w:rsidR="00456CDD" w:rsidRPr="00456CDD" w14:paraId="0EF7DFC2" w14:textId="77777777" w:rsidTr="00F873E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9E76AA0" w14:textId="77777777" w:rsidR="00456CDD" w:rsidRPr="00456CDD" w:rsidRDefault="00456CDD"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DF26B3F"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Renty rodzinne</w:t>
            </w:r>
          </w:p>
        </w:tc>
        <w:tc>
          <w:tcPr>
            <w:tcW w:w="2694" w:type="pct"/>
            <w:gridSpan w:val="2"/>
            <w:shd w:val="clear" w:color="auto" w:fill="auto"/>
          </w:tcPr>
          <w:p w14:paraId="780911AC" w14:textId="77777777" w:rsidR="00456CDD" w:rsidRPr="00456CDD" w:rsidRDefault="00456CDD"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56CDD">
              <w:rPr>
                <w:rFonts w:ascii="Lato" w:hAnsi="Lato" w:cs="Times New Roman"/>
                <w:color w:val="auto"/>
                <w:sz w:val="18"/>
                <w:szCs w:val="18"/>
              </w:rPr>
              <w:t>1,5</w:t>
            </w:r>
          </w:p>
        </w:tc>
      </w:tr>
      <w:tr w:rsidR="00456CDD" w:rsidRPr="00456CDD" w14:paraId="5094AB04" w14:textId="77777777" w:rsidTr="002B0821">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564FDB15" w14:textId="77777777" w:rsidR="00456CDD" w:rsidRPr="00456CDD" w:rsidRDefault="00456CDD" w:rsidP="00CA4EC0">
            <w:pPr>
              <w:jc w:val="center"/>
              <w:rPr>
                <w:rFonts w:ascii="Lato" w:hAnsi="Lato" w:cs="Times New Roman"/>
                <w:color w:val="auto"/>
                <w:sz w:val="18"/>
                <w:szCs w:val="18"/>
              </w:rPr>
            </w:pPr>
            <w:r w:rsidRPr="00456CDD">
              <w:rPr>
                <w:rFonts w:ascii="Lato" w:hAnsi="Lato" w:cs="Times New Roman"/>
                <w:color w:val="auto"/>
                <w:sz w:val="18"/>
                <w:szCs w:val="18"/>
              </w:rPr>
              <w:t xml:space="preserve">SYTUACJA DOCHODOWA, WARUNKI BYTU, W TYM WARUNKI MIESZKANIOWE – DANE ZA 2022 R. </w:t>
            </w:r>
          </w:p>
        </w:tc>
      </w:tr>
      <w:tr w:rsidR="00456CDD" w:rsidRPr="00456CDD" w14:paraId="57552DFF" w14:textId="77777777" w:rsidTr="00456CD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DDD2158" w14:textId="65B0EF23" w:rsidR="00456CDD" w:rsidRPr="00456CDD" w:rsidRDefault="00456CDD" w:rsidP="00CA4EC0">
            <w:pPr>
              <w:jc w:val="both"/>
              <w:rPr>
                <w:rFonts w:ascii="Lato" w:hAnsi="Lato" w:cs="Times New Roman"/>
                <w:b w:val="0"/>
                <w:bCs w:val="0"/>
                <w:color w:val="000000" w:themeColor="text1"/>
                <w:sz w:val="18"/>
                <w:szCs w:val="18"/>
              </w:rPr>
            </w:pPr>
            <w:r w:rsidRPr="00456CDD">
              <w:rPr>
                <w:rFonts w:ascii="Lato" w:hAnsi="Lato" w:cs="Times New Roman"/>
                <w:b w:val="0"/>
                <w:bCs w:val="0"/>
                <w:color w:val="000000" w:themeColor="text1"/>
                <w:sz w:val="18"/>
                <w:szCs w:val="18"/>
              </w:rPr>
              <w:t>W 2022 r. w województwie dolnośląskim przeciętny miesięczny dochód rozporządzalny przypadający na 1 osobę w gospodarstwach domowych wyniósł 2292,76 zł. Na dochód rozporządzalny gospodarstwa domowego składają się przede wszystkim dochody z pracy najemnej oraz dochody ze świadczeń społecznych. W 2022 r. ich udział w dochodzie rozporządzalnym wyniósł odpowiednio 54,2% i 29,2%. W 2022 r. przeciętne miesięczne wydatki na 1 osobę w gospodarstwach domowych wyniosły 1651,85 zł.  Na żywność i napoje bezalkoholowe gospodarstwa domowe przeznaczały przeciętnie 23,9% ogólnej kwoty wydatków, na opłaty z tytułu użytkowania mieszkania lub domu i za korzystanie z nośników energii - 18,4%, a na zdrowie – 5,8%.</w:t>
            </w:r>
            <w:r>
              <w:rPr>
                <w:rFonts w:ascii="Lato" w:hAnsi="Lato" w:cs="Times New Roman"/>
                <w:b w:val="0"/>
                <w:bCs w:val="0"/>
                <w:color w:val="000000" w:themeColor="text1"/>
                <w:sz w:val="18"/>
                <w:szCs w:val="18"/>
              </w:rPr>
              <w:t xml:space="preserve"> </w:t>
            </w:r>
            <w:r w:rsidRPr="00456CDD">
              <w:rPr>
                <w:rFonts w:ascii="Lato" w:hAnsi="Lato" w:cs="Times New Roman"/>
                <w:b w:val="0"/>
                <w:bCs w:val="0"/>
                <w:color w:val="auto"/>
                <w:sz w:val="18"/>
                <w:szCs w:val="18"/>
              </w:rPr>
              <w:t>W 2022 r. swoją sytuację materialną jako dobrą lub raczej dobrą oceniło 52,4% gospodarstw domowych. Udział gospodarstw określających swoją sytuację materialną jako przeciętną wyniósł 41,9%, a raczej złą lub złą ukształtował się na poziomie 5,7%.</w:t>
            </w:r>
            <w:r>
              <w:rPr>
                <w:rFonts w:ascii="Lato" w:hAnsi="Lato" w:cs="Times New Roman"/>
                <w:b w:val="0"/>
                <w:bCs w:val="0"/>
                <w:color w:val="auto"/>
                <w:sz w:val="18"/>
                <w:szCs w:val="18"/>
              </w:rPr>
              <w:t xml:space="preserve"> </w:t>
            </w:r>
            <w:r w:rsidRPr="00456CDD">
              <w:rPr>
                <w:rFonts w:ascii="Lato" w:hAnsi="Lato" w:cs="Times New Roman"/>
                <w:b w:val="0"/>
                <w:bCs w:val="0"/>
                <w:color w:val="auto"/>
                <w:sz w:val="18"/>
                <w:szCs w:val="18"/>
              </w:rPr>
              <w:t>W analizowanym roku przeciętna liczba osób w gospodarstwie domowym ukształtowała się na poziomie 2,41. Przeciętna powierzchnia użytkowa mieszkania zajmowana przez gospodarstwo domowe wyniosła 82,2 m</w:t>
            </w:r>
            <w:r w:rsidRPr="00456CDD">
              <w:rPr>
                <w:rFonts w:ascii="Lato" w:hAnsi="Lato" w:cs="Times New Roman"/>
                <w:b w:val="0"/>
                <w:bCs w:val="0"/>
                <w:color w:val="auto"/>
                <w:sz w:val="18"/>
                <w:szCs w:val="18"/>
                <w:vertAlign w:val="superscript"/>
              </w:rPr>
              <w:t>2</w:t>
            </w:r>
            <w:r w:rsidRPr="00456CDD">
              <w:rPr>
                <w:rFonts w:ascii="Lato" w:hAnsi="Lato" w:cs="Times New Roman"/>
                <w:b w:val="0"/>
                <w:bCs w:val="0"/>
                <w:color w:val="auto"/>
                <w:sz w:val="18"/>
                <w:szCs w:val="18"/>
              </w:rPr>
              <w:t>.</w:t>
            </w:r>
          </w:p>
        </w:tc>
      </w:tr>
    </w:tbl>
    <w:p w14:paraId="7A7CFA23" w14:textId="77777777" w:rsidR="00193229" w:rsidRPr="002A7F1A" w:rsidRDefault="00193229" w:rsidP="00193229">
      <w:pPr>
        <w:spacing w:after="0" w:line="240" w:lineRule="auto"/>
        <w:jc w:val="both"/>
        <w:rPr>
          <w:rFonts w:ascii="Lato" w:hAnsi="Lato" w:cs="Times New Roman"/>
          <w:sz w:val="16"/>
          <w:szCs w:val="16"/>
        </w:rPr>
      </w:pPr>
      <w:bookmarkStart w:id="130" w:name="_Hlk140508097"/>
      <w:r w:rsidRPr="002A7F1A">
        <w:rPr>
          <w:rFonts w:ascii="Lato" w:hAnsi="Lato" w:cs="Times New Roman"/>
          <w:sz w:val="16"/>
          <w:szCs w:val="16"/>
        </w:rPr>
        <w:t>Źródło: dane GUS</w:t>
      </w:r>
    </w:p>
    <w:p w14:paraId="27950AB3"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1BC843C8"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6C51B001" w14:textId="2C5E6147" w:rsidR="00193229" w:rsidRPr="00F873EA" w:rsidRDefault="00193229" w:rsidP="00193229">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4C895E77" w14:textId="1C86C434" w:rsidR="00BA7CBC" w:rsidRPr="002B0821" w:rsidRDefault="00586D97" w:rsidP="00B73AF7">
      <w:pPr>
        <w:pStyle w:val="Nagwek2"/>
        <w:numPr>
          <w:ilvl w:val="1"/>
          <w:numId w:val="44"/>
        </w:numPr>
        <w:rPr>
          <w:b/>
          <w:bCs/>
        </w:rPr>
      </w:pPr>
      <w:bookmarkStart w:id="131" w:name="_Toc142565949"/>
      <w:bookmarkEnd w:id="130"/>
      <w:r w:rsidRPr="002B0821">
        <w:rPr>
          <w:b/>
          <w:bCs/>
        </w:rPr>
        <w:t>Województwo kujawsko-pomorskie</w:t>
      </w:r>
      <w:bookmarkEnd w:id="131"/>
    </w:p>
    <w:p w14:paraId="2C0DE841" w14:textId="77777777" w:rsidR="00C4650B" w:rsidRDefault="00C4650B" w:rsidP="00C4650B">
      <w:pPr>
        <w:spacing w:after="0" w:line="240" w:lineRule="auto"/>
        <w:jc w:val="both"/>
      </w:pPr>
    </w:p>
    <w:p w14:paraId="18A77821" w14:textId="62490211" w:rsidR="00C4650B" w:rsidRPr="00450EAC" w:rsidRDefault="00C4650B" w:rsidP="00255EDE">
      <w:pPr>
        <w:spacing w:after="0" w:line="240" w:lineRule="auto"/>
        <w:jc w:val="both"/>
        <w:rPr>
          <w:rFonts w:ascii="Lato" w:hAnsi="Lato" w:cs="Times New Roman"/>
          <w:b/>
          <w:color w:val="2F5496" w:themeColor="accent1" w:themeShade="BF"/>
          <w:sz w:val="20"/>
          <w:szCs w:val="20"/>
        </w:rPr>
      </w:pPr>
      <w:r w:rsidRPr="00450EAC">
        <w:rPr>
          <w:rFonts w:ascii="Lato" w:hAnsi="Lato" w:cs="Times New Roman"/>
          <w:b/>
          <w:color w:val="2F5496" w:themeColor="accent1" w:themeShade="BF"/>
          <w:sz w:val="20"/>
          <w:szCs w:val="20"/>
        </w:rPr>
        <w:t>INICJATYWY DEDYKOWANE OSOBOM STARSZYM</w:t>
      </w:r>
    </w:p>
    <w:p w14:paraId="7E9D93D3" w14:textId="2CAADF60"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 xml:space="preserve">Strategia Rozwoju Województwa Kujawsko-Pomorskiego do roku 2030 </w:t>
      </w:r>
    </w:p>
    <w:p w14:paraId="7E3D01CE" w14:textId="34E78D74"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W ramach celu głównego „Zdrowe, aktywne i zamożne społeczeństwo" wyróżnione zostały cele szczegółowe takie jak: aktywność społeczna i rozwój społeczeństwa obywatelskiego oraz rozwój wrażliwy społecznie, w ramach których założona została realizacja następujących kierunków działań na rzecz poprawy sytuacji osób starszych w regionie: aktywizacja seniorów oraz integracja międzypokoleniowa, rozwój struktur instytucjonalnych oraz potencjału nieinstytucjonalnego w zakresie działalności opiekuńczych, adekwatnie</w:t>
      </w:r>
      <w:r w:rsidR="00450EAC">
        <w:rPr>
          <w:rFonts w:ascii="Lato" w:hAnsi="Lato" w:cs="Times New Roman"/>
          <w:sz w:val="20"/>
          <w:szCs w:val="20"/>
        </w:rPr>
        <w:t xml:space="preserve"> </w:t>
      </w:r>
      <w:r w:rsidRPr="00450EAC">
        <w:rPr>
          <w:rFonts w:ascii="Lato" w:hAnsi="Lato" w:cs="Times New Roman"/>
          <w:sz w:val="20"/>
          <w:szCs w:val="20"/>
        </w:rPr>
        <w:t xml:space="preserve">do zwiększających się potrzeb oraz dopasowanie liczby osób pracujących w obszarze pomocy społecznej i integracji, w tym w obszarze działalności </w:t>
      </w:r>
      <w:proofErr w:type="spellStart"/>
      <w:r w:rsidRPr="00450EAC">
        <w:rPr>
          <w:rFonts w:ascii="Lato" w:hAnsi="Lato" w:cs="Times New Roman"/>
          <w:sz w:val="20"/>
          <w:szCs w:val="20"/>
        </w:rPr>
        <w:t>opiekuńczychoraz</w:t>
      </w:r>
      <w:proofErr w:type="spellEnd"/>
      <w:r w:rsidRPr="00450EAC">
        <w:rPr>
          <w:rFonts w:ascii="Lato" w:hAnsi="Lato" w:cs="Times New Roman"/>
          <w:sz w:val="20"/>
          <w:szCs w:val="20"/>
        </w:rPr>
        <w:t xml:space="preserve"> kwalifikacji tych osób do rzeczywistych potrzeb społecznych. Natomiast w ramach celu głównego „Dostępna przestrzeń i czyste środowisko” wyodrębniony został cel szczegółowy jakim jest infrastruktura rozwoju społecznego, zakłada się wdrażanie działań ukierunkowanych na rozwój infrastruktury dla aktywności, integracji i włączenia społecznego (w tym miejsc aktywizacji i włączenia społecznego seniorów), a także zapewnienie komfortu i bezpieczeństwa zamieszkania seniorów</w:t>
      </w:r>
    </w:p>
    <w:p w14:paraId="057B3B4B" w14:textId="77777777" w:rsidR="00C4650B" w:rsidRPr="00450EAC" w:rsidRDefault="00C4650B" w:rsidP="00C4650B">
      <w:pPr>
        <w:spacing w:after="0" w:line="240" w:lineRule="auto"/>
        <w:jc w:val="both"/>
        <w:rPr>
          <w:rFonts w:ascii="Lato" w:hAnsi="Lato" w:cs="Times New Roman"/>
          <w:sz w:val="20"/>
          <w:szCs w:val="20"/>
        </w:rPr>
      </w:pPr>
    </w:p>
    <w:p w14:paraId="4DA2CFB0" w14:textId="04CE11BE"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Strategia Polityki Społecznej Województwa Kujawsko- Pomorskiego do roku 2030</w:t>
      </w:r>
    </w:p>
    <w:p w14:paraId="7A067FA8" w14:textId="765DE37F"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W 2022 r. opracowano dokument pn. „Strategia Polityki Społecznej Województwa Kujawsko-Pomorskiego do roku 2030”, w tym przeprowadzono szerokie konsultacje społeczne ww. dokumentu. Uchwałą Nr XLVII/629/22 Sejmiku Województwa Kujawsko-Pomorskiego z dnia 27 czerwca 2022 r. Sejmik Województwa Kujawsko-Pomorskiego przyjął Strategię Polityki Społecznej Województwa Kujawsko Pomorskiego do roku 2030</w:t>
      </w:r>
      <w:r w:rsidRPr="00450EAC">
        <w:rPr>
          <w:rStyle w:val="Odwoanieprzypisudolnego"/>
          <w:rFonts w:ascii="Lato" w:hAnsi="Lato" w:cs="Times New Roman"/>
          <w:sz w:val="20"/>
          <w:szCs w:val="20"/>
        </w:rPr>
        <w:footnoteReference w:id="17"/>
      </w:r>
      <w:r w:rsidRPr="00450EAC">
        <w:rPr>
          <w:rFonts w:ascii="Lato" w:hAnsi="Lato" w:cs="Times New Roman"/>
          <w:sz w:val="20"/>
          <w:szCs w:val="20"/>
        </w:rPr>
        <w:t>.</w:t>
      </w:r>
    </w:p>
    <w:p w14:paraId="665C3F5F" w14:textId="77777777" w:rsidR="00C4650B" w:rsidRPr="00450EAC" w:rsidRDefault="00C4650B" w:rsidP="00C4650B">
      <w:pPr>
        <w:spacing w:after="0" w:line="240" w:lineRule="auto"/>
        <w:ind w:left="20"/>
        <w:jc w:val="both"/>
        <w:rPr>
          <w:rFonts w:ascii="Lato" w:hAnsi="Lato" w:cs="Times New Roman"/>
          <w:sz w:val="20"/>
          <w:szCs w:val="20"/>
        </w:rPr>
      </w:pPr>
    </w:p>
    <w:p w14:paraId="78728652" w14:textId="5EC61062"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Regionalny plan rozwoju usług społecznych i deinstytucjonalizacji dla Województwa Kujawsko-Pomorskiego na lata 2023-2024 (RPDI)</w:t>
      </w:r>
    </w:p>
    <w:p w14:paraId="5C980314" w14:textId="64E68792"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noProof/>
          <w:sz w:val="20"/>
          <w:szCs w:val="20"/>
        </w:rPr>
        <w:lastRenderedPageBreak/>
        <w:drawing>
          <wp:anchor distT="0" distB="0" distL="114300" distR="114300" simplePos="0" relativeHeight="251659264" behindDoc="0" locked="0" layoutInCell="1" allowOverlap="0" wp14:anchorId="6692E79F" wp14:editId="71148056">
            <wp:simplePos x="0" y="0"/>
            <wp:positionH relativeFrom="page">
              <wp:posOffset>6948170</wp:posOffset>
            </wp:positionH>
            <wp:positionV relativeFrom="page">
              <wp:posOffset>8644890</wp:posOffset>
            </wp:positionV>
            <wp:extent cx="9525" cy="19685"/>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 cy="19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AC">
        <w:rPr>
          <w:rFonts w:ascii="Lato" w:hAnsi="Lato" w:cs="Times New Roman"/>
          <w:sz w:val="20"/>
          <w:szCs w:val="20"/>
        </w:rPr>
        <w:t>W 2022 r. Regionalny Ośrodek Polityki Społecznej w Toruniu rozpoczął prace nad opracowaniem Regionalnego planu rozwoju usług społecznych i deinstytucjonalizacji dla Województwa Kujawsko-Pomorskiego na lata 2023/2024, którego celem jest ustrukturyzowanie planowanych zmian w zakresie rozwoju usług społecznych zgodnie z wynikiem przeprowadzonej diagnozy regionalnej, a zawarte na tej podstawie rekomendacje będą służyły ustaleniu priorytetów wydatkowania środków w ramach programu Fundusze Europejskie dla Kujaw i Pomorza na lata 2021-2027. Nawiązując do zapisów krajowego dokumentu Strategii rozwoju usług społecznych, polityka publiczna do roku 2030 (z perspektywą do 2035 r.), w RPDI jeden z wyróżnionych zdiagnozowanych obszarów wskazujących grupy zagrożone wykluczeniem lub wymagające wsparcia w formie usług społecznych dotyczył osób starszych, z niepełnosprawnościami, w tym wymagających wsparcia w codziennym funkcjonowaniu. Dokument został przyjęty uchwałą Zarządu Województwa Kujawsko-Pomorskiego w dniu 24 maja 2023 roku.</w:t>
      </w:r>
    </w:p>
    <w:p w14:paraId="4EBB09E1" w14:textId="77777777" w:rsidR="00C4650B" w:rsidRPr="00450EAC" w:rsidRDefault="00C4650B" w:rsidP="00C4650B">
      <w:pPr>
        <w:spacing w:after="0" w:line="240" w:lineRule="auto"/>
        <w:ind w:left="20"/>
        <w:jc w:val="both"/>
        <w:rPr>
          <w:rFonts w:ascii="Lato" w:hAnsi="Lato" w:cs="Times New Roman"/>
          <w:sz w:val="20"/>
          <w:szCs w:val="20"/>
        </w:rPr>
      </w:pPr>
    </w:p>
    <w:p w14:paraId="03A24B77" w14:textId="6787675F"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Regionalny Program Operacyjny Województwa Kujawsko-Pomorskiego na lata 2014-2020 (RPO WK-P)</w:t>
      </w:r>
    </w:p>
    <w:p w14:paraId="1E91788C" w14:textId="1E7B1987" w:rsidR="00C4650B" w:rsidRPr="00450EAC" w:rsidRDefault="00C4650B" w:rsidP="00255EDE">
      <w:pPr>
        <w:spacing w:after="0" w:line="240" w:lineRule="auto"/>
        <w:ind w:left="20"/>
        <w:jc w:val="both"/>
        <w:rPr>
          <w:rFonts w:ascii="Lato" w:hAnsi="Lato" w:cs="Times New Roman"/>
          <w:sz w:val="20"/>
          <w:szCs w:val="20"/>
        </w:rPr>
      </w:pPr>
      <w:r w:rsidRPr="00450EAC">
        <w:rPr>
          <w:rFonts w:ascii="Lato" w:hAnsi="Lato" w:cs="Times New Roman"/>
          <w:sz w:val="20"/>
          <w:szCs w:val="20"/>
        </w:rPr>
        <w:t xml:space="preserve">Regionalny Program Operacyjny to dokument planistyczny dla działań jednostek </w:t>
      </w:r>
      <w:r w:rsidRPr="00450EAC">
        <w:rPr>
          <w:rFonts w:ascii="Lato" w:hAnsi="Lato" w:cs="Times New Roman"/>
          <w:noProof/>
          <w:sz w:val="20"/>
          <w:szCs w:val="20"/>
        </w:rPr>
        <w:drawing>
          <wp:inline distT="0" distB="0" distL="0" distR="0" wp14:anchorId="2CCCBF91" wp14:editId="4E953F24">
            <wp:extent cx="7620" cy="76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0EAC">
        <w:rPr>
          <w:rFonts w:ascii="Lato" w:hAnsi="Lato" w:cs="Times New Roman"/>
          <w:sz w:val="20"/>
          <w:szCs w:val="20"/>
        </w:rPr>
        <w:t>samorządu terytorialnego, które mają zostać podjęte w celu wsparcia województwa lub regionu. W ramach programu wyznaczono 13 osi priorytetowych, podzielonych według najważniejszych celów. Każda oś jest wewnętrznie pogrupowana wedle działań i poddziałań. W ramach osi priorytetowej 9 Solidarne społeczeństwo, realizowane działania mają na celu m.in. zwiększenie dostępu do usług opiekuńczych dla osób starszych, niesamodzielnych</w:t>
      </w:r>
      <w:r w:rsidR="00450EAC">
        <w:rPr>
          <w:rFonts w:ascii="Lato" w:hAnsi="Lato" w:cs="Times New Roman"/>
          <w:sz w:val="20"/>
          <w:szCs w:val="20"/>
        </w:rPr>
        <w:t xml:space="preserve"> </w:t>
      </w:r>
      <w:r w:rsidRPr="00450EAC">
        <w:rPr>
          <w:rFonts w:ascii="Lato" w:hAnsi="Lato" w:cs="Times New Roman"/>
          <w:sz w:val="20"/>
          <w:szCs w:val="20"/>
        </w:rPr>
        <w:t>i niepełnosprawnych.</w:t>
      </w:r>
    </w:p>
    <w:p w14:paraId="4DCA63B5" w14:textId="77777777" w:rsidR="00C4650B" w:rsidRPr="00450EAC" w:rsidRDefault="00C4650B" w:rsidP="00C4650B">
      <w:pPr>
        <w:spacing w:after="0" w:line="240" w:lineRule="auto"/>
        <w:ind w:left="20"/>
        <w:jc w:val="both"/>
        <w:rPr>
          <w:rFonts w:ascii="Lato" w:hAnsi="Lato" w:cs="Times New Roman"/>
          <w:sz w:val="20"/>
          <w:szCs w:val="20"/>
        </w:rPr>
      </w:pPr>
    </w:p>
    <w:p w14:paraId="5124EFE0" w14:textId="1113415D" w:rsidR="00450EAC"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 xml:space="preserve">Program profilaktyki zakażeń </w:t>
      </w:r>
      <w:proofErr w:type="spellStart"/>
      <w:r w:rsidRPr="00450EAC">
        <w:rPr>
          <w:rFonts w:ascii="Lato" w:hAnsi="Lato" w:cs="Times New Roman"/>
          <w:b/>
          <w:bCs/>
          <w:sz w:val="20"/>
          <w:szCs w:val="20"/>
        </w:rPr>
        <w:t>pneumokokowych</w:t>
      </w:r>
      <w:proofErr w:type="spellEnd"/>
      <w:r w:rsidRPr="00450EAC">
        <w:rPr>
          <w:rFonts w:ascii="Lato" w:hAnsi="Lato" w:cs="Times New Roman"/>
          <w:b/>
          <w:bCs/>
          <w:sz w:val="20"/>
          <w:szCs w:val="20"/>
        </w:rPr>
        <w:t xml:space="preserve"> wśród osób dorosłych w oparciu o szczepienia przeciwko pneumokokom w województwie kujawsko-pomorskim</w:t>
      </w:r>
    </w:p>
    <w:p w14:paraId="6E50AE05" w14:textId="5CD11D6E"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b/>
          <w:sz w:val="20"/>
          <w:szCs w:val="20"/>
        </w:rPr>
        <w:t>Kluczowy efekt:</w:t>
      </w:r>
      <w:r w:rsidRPr="00450EAC">
        <w:rPr>
          <w:rFonts w:ascii="Lato" w:hAnsi="Lato" w:cs="Times New Roman"/>
          <w:sz w:val="20"/>
          <w:szCs w:val="20"/>
        </w:rPr>
        <w:t xml:space="preserve"> zaszczepiono 2 382 osób po 65 roku życia. W 2022 r. program realizowany był w partnerstwie z 39 samorządami terytorialnymi. W ramach realizacji programu przygotowano i wydrukowano 22 000 szt. ulotek, 320 szt. plakatów, przeprowadzono szkolenie edukacyjne dla lekarzy i pielęgniarek, w którym wzięło udział 11 osób, przygotowano i 20-krotnie wyemitowano na antenie TVP Bydgoszcz spot informacyjno-promocyjny, prowadzono zakładkę poświęconą programowi na stronie internetowej www.program.wsoz.pl oraz profil na Facebooku. Program realizowany jest od 2016 r. W tym czasie zaszczepiono łącznie 9 477 osób.</w:t>
      </w:r>
    </w:p>
    <w:p w14:paraId="2830E310" w14:textId="77777777" w:rsidR="00C4650B" w:rsidRPr="00450EAC" w:rsidRDefault="00C4650B" w:rsidP="00C4650B">
      <w:pPr>
        <w:spacing w:after="0" w:line="240" w:lineRule="auto"/>
        <w:ind w:left="20"/>
        <w:jc w:val="both"/>
        <w:rPr>
          <w:rFonts w:ascii="Lato" w:hAnsi="Lato" w:cs="Times New Roman"/>
          <w:sz w:val="20"/>
          <w:szCs w:val="20"/>
        </w:rPr>
      </w:pPr>
    </w:p>
    <w:p w14:paraId="35118134" w14:textId="5D62FCD8"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Kujawsko-pomorski program badań przesiewowych w kierunku tętniaka aorty brzusznej</w:t>
      </w:r>
    </w:p>
    <w:p w14:paraId="7B968253" w14:textId="7777777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b/>
          <w:sz w:val="20"/>
          <w:szCs w:val="20"/>
        </w:rPr>
        <w:t>Kluczowy efekt:</w:t>
      </w:r>
      <w:r w:rsidRPr="00450EAC">
        <w:rPr>
          <w:rFonts w:ascii="Lato" w:hAnsi="Lato" w:cs="Times New Roman"/>
          <w:sz w:val="20"/>
          <w:szCs w:val="20"/>
        </w:rPr>
        <w:t xml:space="preserve"> wykonano 740 badań przesiewowych USG aorty brzusznej. W programie brali udział mężczyźni w wieku 65-74 lata, palący papierosy, będący mieszkańcami województwa kujawsko-pomorskiego. W ramach jego realizacji wykryto 43 tętniaki aorty brzusznej, udzielono 740 porad i rozmów edukacyjnych, a 8 osób skierowano na dalszą diagnostykę. Dodatkowo opracowano i wydrukowano 400 szt. plakatów i 2 000 szt. ulotek. Od początku realizacji programu tj. od 2012 r. przebadano 6 972 mężczyzn i wykryto 427 tętniaków.</w:t>
      </w:r>
    </w:p>
    <w:p w14:paraId="5812B392" w14:textId="77777777" w:rsidR="00C4650B" w:rsidRPr="00450EAC" w:rsidRDefault="00C4650B" w:rsidP="00C4650B">
      <w:pPr>
        <w:spacing w:after="0" w:line="240" w:lineRule="auto"/>
        <w:ind w:left="20"/>
        <w:jc w:val="both"/>
        <w:rPr>
          <w:rFonts w:ascii="Lato" w:hAnsi="Lato" w:cs="Times New Roman"/>
          <w:sz w:val="20"/>
          <w:szCs w:val="20"/>
          <w:u w:val="single"/>
        </w:rPr>
      </w:pPr>
    </w:p>
    <w:p w14:paraId="21011D9E" w14:textId="398ADC49"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Program zapobiegania upadkom dla seniorów w województwie kujawsko-pomorskim</w:t>
      </w:r>
    </w:p>
    <w:p w14:paraId="42DA0419" w14:textId="08756078"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b/>
          <w:sz w:val="20"/>
          <w:szCs w:val="20"/>
        </w:rPr>
        <w:t>Kluczowy efekt:</w:t>
      </w:r>
      <w:r w:rsidRPr="00450EAC">
        <w:rPr>
          <w:rFonts w:ascii="Lato" w:hAnsi="Lato" w:cs="Times New Roman"/>
          <w:sz w:val="20"/>
          <w:szCs w:val="20"/>
        </w:rPr>
        <w:t xml:space="preserve"> 848 seniorów objętych ćwiczeniami fizycznymi w ramach programu zapobiegania upadkom dla seniorów w województwie kujawsko-pomorskim. W roku 2022 realizowany w partnerstwie z 23 samorządami terytorialnymi. Koordynatorem programu wybranym przez Samorząd Województwa Kujawsko-Pomorskiego był Regionalny Ośrodek Medycyny Sportowej "SPORTVITA" Sp. z o.o. w Bydgoszczy, odpowiedzialny za szkolenie trenerów, edukację uczestników, badania kwalifikacyjne i kontrolne, oraz za promocję</w:t>
      </w:r>
      <w:r w:rsidR="00450EAC">
        <w:rPr>
          <w:rFonts w:ascii="Lato" w:hAnsi="Lato" w:cs="Times New Roman"/>
          <w:sz w:val="20"/>
          <w:szCs w:val="20"/>
        </w:rPr>
        <w:t xml:space="preserve"> </w:t>
      </w:r>
      <w:r w:rsidRPr="00450EAC">
        <w:rPr>
          <w:rFonts w:ascii="Lato" w:hAnsi="Lato" w:cs="Times New Roman"/>
          <w:sz w:val="20"/>
          <w:szCs w:val="20"/>
        </w:rPr>
        <w:t xml:space="preserve">i nadzór merytoryczny nad programem. W ramach programu badaniom kwalifikacyjnym poddano 873 seniorów, badaniom końcowym — 807 osób. Ponadto zorganizowano spotkania edukacyjne, w których udział wzięły 594 osoby, a do pracy z seniorami przeszkolono 26 trenerów. </w:t>
      </w:r>
    </w:p>
    <w:p w14:paraId="40DC1AC8" w14:textId="77777777" w:rsidR="00C4650B" w:rsidRPr="00450EAC" w:rsidRDefault="00C4650B" w:rsidP="00C4650B">
      <w:pPr>
        <w:spacing w:after="0" w:line="240" w:lineRule="auto"/>
        <w:ind w:left="20"/>
        <w:jc w:val="both"/>
        <w:rPr>
          <w:rFonts w:ascii="Lato" w:hAnsi="Lato" w:cs="Times New Roman"/>
          <w:sz w:val="20"/>
          <w:szCs w:val="20"/>
        </w:rPr>
      </w:pPr>
    </w:p>
    <w:p w14:paraId="291B73F2" w14:textId="1F78EE96"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Program „Opieka 75+”</w:t>
      </w:r>
    </w:p>
    <w:p w14:paraId="08DF952F" w14:textId="356AB9DD"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 xml:space="preserve">Według stanu na dzień 31.12.2022 r. rzeczywista liczba osób, którym przyznano decyzją usługi opiekuńcze w 2022 r. w ramach programu "Opieka 75+" wyniosła 885, z czego rzeczywista liczba osób w wieku 75 lat i więcej, które miały świadczone usługi opiekuńcze w ramach programu w latach poprzednich i były one kontynuowane w roku 2022, tzw. osoby kontynuujące to 505, natomiast rzeczywista liczba nowych osób w wieku 75 lat i więcej, którym w 2022 r. przyznano decyzją usługi opiekuńcze w ramach programu, a którym w roku 2020 usługi te nie były świadczone, tzw. osoby nowe to 324.W przypadku specjalistycznych usług opiekuńczych rzeczywista liczba osób, którym przyznano decyzją tego typu usługi </w:t>
      </w:r>
      <w:r w:rsidRPr="00450EAC">
        <w:rPr>
          <w:rFonts w:ascii="Lato" w:hAnsi="Lato" w:cs="Times New Roman"/>
          <w:sz w:val="20"/>
          <w:szCs w:val="20"/>
        </w:rPr>
        <w:lastRenderedPageBreak/>
        <w:t xml:space="preserve">w 2022 r. to 15 osób, 3 osoby miały świadczone specjalistyczne usługi opiekuńcze w ramach programu w latach poprzednich, zaś 12 to liczba osób nowych. </w:t>
      </w:r>
    </w:p>
    <w:p w14:paraId="046AE7DF" w14:textId="77777777" w:rsidR="00C4650B" w:rsidRPr="00450EAC" w:rsidRDefault="00C4650B" w:rsidP="00C4650B">
      <w:pPr>
        <w:spacing w:after="0" w:line="240" w:lineRule="auto"/>
        <w:ind w:left="20"/>
        <w:jc w:val="both"/>
        <w:rPr>
          <w:rFonts w:ascii="Lato" w:hAnsi="Lato" w:cs="Times New Roman"/>
          <w:sz w:val="20"/>
          <w:szCs w:val="20"/>
        </w:rPr>
      </w:pPr>
    </w:p>
    <w:p w14:paraId="10841573" w14:textId="5A691346"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Korpus Wsparcia Seniora</w:t>
      </w:r>
    </w:p>
    <w:p w14:paraId="0B63EDC6" w14:textId="7777777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 województwie kujawsko-pomorskim w module I rzeczywista liczba zarejestrowanych zgłoszeń osób wyniosła 1689, zaś wysokość środków przyznanych z Funduszu Przeciwdziałania Covid-19 na jego realizację wyniosła 1 155 056,00 zł. Do modułu II przystąpiło 1 127 osób. Kwota przyznanych środków wyniosła 1 367 265,00 zł.</w:t>
      </w:r>
    </w:p>
    <w:p w14:paraId="13A57928" w14:textId="77777777" w:rsidR="00C4650B" w:rsidRPr="00450EAC" w:rsidRDefault="00C4650B" w:rsidP="00C4650B">
      <w:pPr>
        <w:spacing w:after="0" w:line="240" w:lineRule="auto"/>
        <w:ind w:left="20"/>
        <w:jc w:val="both"/>
        <w:rPr>
          <w:rFonts w:ascii="Lato" w:hAnsi="Lato" w:cs="Times New Roman"/>
          <w:sz w:val="20"/>
          <w:szCs w:val="20"/>
        </w:rPr>
      </w:pPr>
    </w:p>
    <w:p w14:paraId="18FD0170" w14:textId="0E405892" w:rsidR="00C4650B" w:rsidRPr="00450EAC" w:rsidRDefault="00C4650B" w:rsidP="00C4650B">
      <w:pPr>
        <w:spacing w:after="0" w:line="240" w:lineRule="auto"/>
        <w:jc w:val="both"/>
        <w:rPr>
          <w:rFonts w:ascii="Lato" w:hAnsi="Lato" w:cs="Times New Roman"/>
          <w:b/>
          <w:bCs/>
          <w:sz w:val="20"/>
          <w:szCs w:val="20"/>
        </w:rPr>
      </w:pPr>
      <w:r w:rsidRPr="00450EAC">
        <w:rPr>
          <w:rFonts w:ascii="Lato" w:hAnsi="Lato" w:cs="Times New Roman"/>
          <w:b/>
          <w:bCs/>
          <w:sz w:val="20"/>
          <w:szCs w:val="20"/>
        </w:rPr>
        <w:t>Program „Senior+”</w:t>
      </w:r>
    </w:p>
    <w:p w14:paraId="24A76A5A" w14:textId="5854B051"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 2022 r. w ramach programu na terenie województwa kujawsko- pomorskiego funkcjonowało 26 Domów „Senior+”(700 miejsc, 626 osób korzystających), oraz 46 Klubów „Senior+” (1131 miejsc, 1021 osób korzystających). Ponadto przyznana kwota dofinansowania dla województwa w roku 2021 wyniosła 4.045.384,10 zł.</w:t>
      </w:r>
    </w:p>
    <w:p w14:paraId="09241DDD" w14:textId="77777777" w:rsidR="00255EDE" w:rsidRPr="00450EAC" w:rsidRDefault="00255EDE" w:rsidP="00450EAC">
      <w:pPr>
        <w:spacing w:after="0" w:line="240" w:lineRule="auto"/>
        <w:jc w:val="both"/>
        <w:rPr>
          <w:rFonts w:ascii="Lato" w:hAnsi="Lato" w:cs="Times New Roman"/>
          <w:sz w:val="20"/>
          <w:szCs w:val="20"/>
        </w:rPr>
      </w:pPr>
    </w:p>
    <w:p w14:paraId="2DACEA7E" w14:textId="0667B3BB" w:rsidR="00C4650B" w:rsidRPr="00450EAC" w:rsidRDefault="00C4650B" w:rsidP="00255EDE">
      <w:pPr>
        <w:spacing w:after="0" w:line="240" w:lineRule="auto"/>
        <w:ind w:left="20"/>
        <w:jc w:val="both"/>
        <w:rPr>
          <w:rFonts w:ascii="Lato" w:hAnsi="Lato" w:cs="Times New Roman"/>
          <w:b/>
          <w:sz w:val="20"/>
          <w:szCs w:val="20"/>
        </w:rPr>
      </w:pPr>
      <w:r w:rsidRPr="00450EAC">
        <w:rPr>
          <w:rFonts w:ascii="Lato" w:hAnsi="Lato" w:cs="Times New Roman"/>
          <w:bCs/>
          <w:sz w:val="20"/>
          <w:szCs w:val="20"/>
        </w:rPr>
        <w:t>Przykład</w:t>
      </w:r>
      <w:r w:rsidR="00255EDE" w:rsidRPr="00450EAC">
        <w:rPr>
          <w:rFonts w:ascii="Lato" w:hAnsi="Lato" w:cs="Times New Roman"/>
          <w:bCs/>
          <w:sz w:val="20"/>
          <w:szCs w:val="20"/>
        </w:rPr>
        <w:t>em</w:t>
      </w:r>
      <w:r w:rsidRPr="00450EAC">
        <w:rPr>
          <w:rFonts w:ascii="Lato" w:hAnsi="Lato" w:cs="Times New Roman"/>
          <w:bCs/>
          <w:sz w:val="20"/>
          <w:szCs w:val="20"/>
        </w:rPr>
        <w:t xml:space="preserve"> działań w zakresie przeciwdziałania dyskryminacji ze względu na wiek</w:t>
      </w:r>
      <w:r w:rsidR="00255EDE" w:rsidRPr="00450EAC">
        <w:rPr>
          <w:rFonts w:ascii="Lato" w:hAnsi="Lato" w:cs="Times New Roman"/>
          <w:bCs/>
          <w:sz w:val="20"/>
          <w:szCs w:val="20"/>
        </w:rPr>
        <w:t xml:space="preserve"> są warsztaty dotyczące dyskryminacji ze względu na wiek, zrealizowane w dniu </w:t>
      </w:r>
      <w:r w:rsidRPr="00450EAC">
        <w:rPr>
          <w:rFonts w:ascii="Lato" w:hAnsi="Lato" w:cs="Times New Roman"/>
          <w:bCs/>
          <w:sz w:val="20"/>
          <w:szCs w:val="20"/>
        </w:rPr>
        <w:t>23 maja 2022 r. w Bydgoszczy</w:t>
      </w:r>
      <w:r w:rsidR="00255EDE" w:rsidRPr="00450EAC">
        <w:rPr>
          <w:rFonts w:ascii="Lato" w:hAnsi="Lato" w:cs="Times New Roman"/>
          <w:sz w:val="20"/>
          <w:szCs w:val="20"/>
        </w:rPr>
        <w:t xml:space="preserve">. </w:t>
      </w:r>
      <w:r w:rsidRPr="00450EAC">
        <w:rPr>
          <w:rFonts w:ascii="Lato" w:hAnsi="Lato" w:cs="Times New Roman"/>
          <w:sz w:val="20"/>
          <w:szCs w:val="20"/>
        </w:rPr>
        <w:t>Podczas zajęć uczestnicy poznali odpowiedzi na pytania: Co to jest dyskryminacja? Jak jej przeciwdziałać? Jak nie wykluczać i nie być wykluczanym? Został również stworzony wspólnie Kodeks Otwartego Seniora. Wydarzenie nawiązywało także do obchodzonego wówczas w Bydgoszczy „Maja równości, różnorodności i praw człowieka”.</w:t>
      </w:r>
    </w:p>
    <w:p w14:paraId="5DACC1BB" w14:textId="77777777" w:rsidR="00C4650B" w:rsidRPr="00450EAC" w:rsidRDefault="00C4650B" w:rsidP="00C4650B">
      <w:pPr>
        <w:spacing w:after="0" w:line="240" w:lineRule="auto"/>
        <w:ind w:left="20"/>
        <w:jc w:val="both"/>
        <w:rPr>
          <w:rFonts w:ascii="Lato" w:hAnsi="Lato" w:cs="Times New Roman"/>
          <w:sz w:val="20"/>
          <w:szCs w:val="20"/>
        </w:rPr>
      </w:pPr>
    </w:p>
    <w:p w14:paraId="787BD2D1" w14:textId="41100489"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W 2022 r. kontynuowano projekt pn. Wsparcie osób starszych i kadry świadczącej usługi społeczne w zakresie przeciwdziałania rozprzestrzenianiu się COVID-19, łagodzenia jego skutków na terenie województwa kujawsko-pomorskiego, którego celem jest podjęcie działań, pozwalających w jak największym stopniu zminimalizować skutki COVID — 19 oraz ograniczyć rozprzestrzenianie się wirusa SARS-COV-2 na terenie województwa kujawsko-pomorskiego. Grupę docelową projektu stanowiły podmioty zaangażowane w realizacje usług społecznych, w tym opiekuńczych na rzecz osób potrzebujących wsparcia oraz wszystkie pozostałe podmioty, które z racji zakresu swoich działań (m.in. przedsiębiorcy i służby mundurowe) wymagają niezbędnych dla zachowania bezpieczeństwa środków ochrony osobistej, zabezpieczających przed COVID-19.</w:t>
      </w:r>
    </w:p>
    <w:p w14:paraId="41538C2B" w14:textId="77777777" w:rsidR="00C4650B" w:rsidRPr="00450EAC" w:rsidRDefault="00C4650B" w:rsidP="00C4650B">
      <w:pPr>
        <w:spacing w:after="0" w:line="240" w:lineRule="auto"/>
        <w:ind w:left="20"/>
        <w:jc w:val="both"/>
        <w:rPr>
          <w:rFonts w:ascii="Lato" w:hAnsi="Lato" w:cs="Times New Roman"/>
          <w:sz w:val="20"/>
          <w:szCs w:val="20"/>
        </w:rPr>
      </w:pPr>
    </w:p>
    <w:p w14:paraId="3D352B5B" w14:textId="15D7521F"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Kujawsko-Pomorskie Centrum Kompetencji Cyfrowych Sp. z o.o. w okresie pandemii COVID-19 było wykonawcą wysoko wyspecjalizowanej usługi uruchomienia i obsługi technicznej komunikacji polegającej na wytworzeniu pionierskiego, autorskiego rozwiązania komunikacyjnego na poziomie lekarz/personel szpitala - lekarz/pacjent szpitala w ramach projektu „Doposażenie szpitali w województwie kujawsko-pomorskim w związku z zapobieganiem, przeciwdziałaniem i zwalczaniem COVID-19”. System zdalnej komunikacji przy użyciu tabletu zamontowanego przy łóżku pacjenta pozwalał na transmisje w czasie rzeczywistym sygnału audio-wideo pomiędzy personelem medycznym, pacjentami zakażonymi oraz rodziną pacjentów. W ramach tego zadania Kujawsko-Pomorskie Centrum Kompetencji Cyfrowych współpracowało z czterema placówkami medycznymi regionu, dla których stworzono w sumie 176 stanowisk do zdalnej komunikacji.</w:t>
      </w:r>
    </w:p>
    <w:p w14:paraId="3BCD24D1" w14:textId="77777777" w:rsidR="00C4650B" w:rsidRPr="00450EAC" w:rsidRDefault="00C4650B" w:rsidP="00C4650B">
      <w:pPr>
        <w:spacing w:after="0" w:line="240" w:lineRule="auto"/>
        <w:ind w:left="20"/>
        <w:jc w:val="both"/>
        <w:rPr>
          <w:rFonts w:ascii="Lato" w:hAnsi="Lato" w:cs="Times New Roman"/>
          <w:sz w:val="20"/>
          <w:szCs w:val="20"/>
        </w:rPr>
      </w:pPr>
    </w:p>
    <w:p w14:paraId="480A28D6" w14:textId="6453576F"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Wystawa prac malarskich i rękodzielniczych „Kolorowe Impresje - co nam w duszy gra” zorganizowana przez Wojewodę Kujawsko-Pomorskiego Pana Mikołaja Bogdanowicza z okazji Międzynarodowego Dnia Osób Starszych w Urzędzie Wojewódzkim w Bydgoszczy, była przykładem nie tylko licznych talentów osób w wieku senioralnym. ale także dowodem na to, jak można pozostać aktywnym człowiekiem po zakończeniu swojej kariery zawodowej. Autorami obrazów byli słuchacze Toruńskiego Uniwersytet Trzeciego Wieku i Politechniki Bydgoskiej Trzeciego Wieku.</w:t>
      </w:r>
    </w:p>
    <w:p w14:paraId="48CD7B73" w14:textId="77777777" w:rsidR="00C4650B" w:rsidRPr="00450EAC" w:rsidRDefault="00C4650B" w:rsidP="00C4650B">
      <w:pPr>
        <w:spacing w:after="0" w:line="240" w:lineRule="auto"/>
        <w:jc w:val="both"/>
        <w:rPr>
          <w:rFonts w:ascii="Lato" w:hAnsi="Lato" w:cs="Times New Roman"/>
          <w:sz w:val="20"/>
          <w:szCs w:val="20"/>
        </w:rPr>
      </w:pPr>
    </w:p>
    <w:p w14:paraId="0D85BC63" w14:textId="67E68C22" w:rsidR="00C4650B" w:rsidRPr="00450EAC" w:rsidRDefault="00255EDE" w:rsidP="00255EDE">
      <w:pPr>
        <w:spacing w:after="0" w:line="240" w:lineRule="auto"/>
        <w:jc w:val="both"/>
        <w:rPr>
          <w:rFonts w:ascii="Lato" w:hAnsi="Lato"/>
          <w:color w:val="2F5496" w:themeColor="accent1" w:themeShade="BF"/>
          <w:sz w:val="20"/>
          <w:szCs w:val="20"/>
        </w:rPr>
      </w:pPr>
      <w:r w:rsidRPr="00450EAC">
        <w:rPr>
          <w:rFonts w:ascii="Lato" w:hAnsi="Lato"/>
          <w:b/>
          <w:color w:val="2F5496" w:themeColor="accent1" w:themeShade="BF"/>
          <w:sz w:val="20"/>
          <w:szCs w:val="20"/>
        </w:rPr>
        <w:t>PRZYKŁADY KILKU DOBRYCH PRAKTYK NA POZIOMIE POWIATU, GMINY</w:t>
      </w:r>
    </w:p>
    <w:p w14:paraId="5E98CACD" w14:textId="77777777" w:rsidR="00C4650B" w:rsidRPr="00450EAC" w:rsidRDefault="00C4650B" w:rsidP="00255EDE">
      <w:pPr>
        <w:spacing w:after="0" w:line="240" w:lineRule="auto"/>
        <w:jc w:val="both"/>
        <w:rPr>
          <w:rFonts w:ascii="Lato" w:hAnsi="Lato" w:cs="Times New Roman"/>
          <w:b/>
          <w:sz w:val="20"/>
          <w:szCs w:val="20"/>
        </w:rPr>
      </w:pPr>
      <w:r w:rsidRPr="00450EAC">
        <w:rPr>
          <w:rFonts w:ascii="Lato" w:hAnsi="Lato" w:cs="Times New Roman"/>
          <w:b/>
          <w:sz w:val="20"/>
          <w:szCs w:val="20"/>
        </w:rPr>
        <w:t>Cztery Osiedlowe Centra Seniora w Bydgoszczy</w:t>
      </w:r>
    </w:p>
    <w:p w14:paraId="26A8F417" w14:textId="5D2EE28F"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 xml:space="preserve">„Bydgoszcz Seniorom” pod takim hasłem rozpoczęły funkcjonowanie cztery Osiedlowe Centra Seniora. Osiedlowe Centra Seniora w Bydgoszczy oferowały starszym mieszkańcom poradnictwo indywidualne, a także szereg zajęć tematycznych. Wśród proponowanych usług znalazło się wypożyczanie kijków do </w:t>
      </w:r>
      <w:proofErr w:type="spellStart"/>
      <w:r w:rsidRPr="00450EAC">
        <w:rPr>
          <w:rFonts w:ascii="Lato" w:hAnsi="Lato" w:cs="Times New Roman"/>
          <w:sz w:val="20"/>
          <w:szCs w:val="20"/>
        </w:rPr>
        <w:t>nordic</w:t>
      </w:r>
      <w:proofErr w:type="spellEnd"/>
      <w:r w:rsidRPr="00450EAC">
        <w:rPr>
          <w:rFonts w:ascii="Lato" w:hAnsi="Lato" w:cs="Times New Roman"/>
          <w:sz w:val="20"/>
          <w:szCs w:val="20"/>
        </w:rPr>
        <w:t xml:space="preserve"> </w:t>
      </w:r>
      <w:proofErr w:type="spellStart"/>
      <w:r w:rsidRPr="00450EAC">
        <w:rPr>
          <w:rFonts w:ascii="Lato" w:hAnsi="Lato" w:cs="Times New Roman"/>
          <w:sz w:val="20"/>
          <w:szCs w:val="20"/>
        </w:rPr>
        <w:t>walkingu</w:t>
      </w:r>
      <w:proofErr w:type="spellEnd"/>
      <w:r w:rsidRPr="00450EAC">
        <w:rPr>
          <w:rFonts w:ascii="Lato" w:hAnsi="Lato" w:cs="Times New Roman"/>
          <w:sz w:val="20"/>
          <w:szCs w:val="20"/>
        </w:rPr>
        <w:t xml:space="preserve">, </w:t>
      </w:r>
      <w:r w:rsidRPr="00450EAC">
        <w:rPr>
          <w:rFonts w:ascii="Lato" w:hAnsi="Lato" w:cs="Times New Roman"/>
          <w:noProof/>
          <w:sz w:val="20"/>
          <w:szCs w:val="20"/>
        </w:rPr>
        <w:drawing>
          <wp:inline distT="0" distB="0" distL="0" distR="0" wp14:anchorId="45DDDA5E" wp14:editId="6099C88B">
            <wp:extent cx="7620" cy="76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0EAC">
        <w:rPr>
          <w:rFonts w:ascii="Lato" w:hAnsi="Lato" w:cs="Times New Roman"/>
          <w:sz w:val="20"/>
          <w:szCs w:val="20"/>
        </w:rPr>
        <w:t xml:space="preserve">kawiarenka senioralna oraz atrakcje takie jak wieczorki taneczne. Pilotaż projektu potrwał do końca roku. Każde z miejsc miało swój własny profil działalności, a prowadzenia każdego z nich </w:t>
      </w:r>
      <w:r w:rsidRPr="00450EAC">
        <w:rPr>
          <w:rFonts w:ascii="Lato" w:hAnsi="Lato" w:cs="Times New Roman"/>
          <w:sz w:val="20"/>
          <w:szCs w:val="20"/>
        </w:rPr>
        <w:lastRenderedPageBreak/>
        <w:t>podjęła się inna organizacja społeczna. W projekcie nie obowiązywała rejonizacja. Bydgoscy seniorzy bez względu</w:t>
      </w:r>
      <w:r w:rsidR="00255EDE" w:rsidRPr="00450EAC">
        <w:rPr>
          <w:rFonts w:ascii="Lato" w:hAnsi="Lato" w:cs="Times New Roman"/>
          <w:sz w:val="20"/>
          <w:szCs w:val="20"/>
        </w:rPr>
        <w:t xml:space="preserve"> </w:t>
      </w:r>
      <w:r w:rsidRPr="00450EAC">
        <w:rPr>
          <w:rFonts w:ascii="Lato" w:hAnsi="Lato" w:cs="Times New Roman"/>
          <w:sz w:val="20"/>
          <w:szCs w:val="20"/>
        </w:rPr>
        <w:t>na zamieszkiwane osiedle, mogli korzystać z oferty wszystkich centrów.</w:t>
      </w:r>
    </w:p>
    <w:p w14:paraId="3AA8D31F" w14:textId="77777777" w:rsidR="00C4650B" w:rsidRPr="00450EAC" w:rsidRDefault="00C4650B" w:rsidP="00C4650B">
      <w:pPr>
        <w:spacing w:after="0" w:line="240" w:lineRule="auto"/>
        <w:ind w:left="20"/>
        <w:jc w:val="both"/>
        <w:rPr>
          <w:rFonts w:ascii="Lato" w:hAnsi="Lato" w:cs="Times New Roman"/>
          <w:sz w:val="20"/>
          <w:szCs w:val="20"/>
        </w:rPr>
      </w:pPr>
    </w:p>
    <w:p w14:paraId="79B83203" w14:textId="77777777" w:rsidR="00C4650B" w:rsidRPr="00450EAC" w:rsidRDefault="00C4650B" w:rsidP="00255EDE">
      <w:pPr>
        <w:spacing w:after="0" w:line="240" w:lineRule="auto"/>
        <w:jc w:val="both"/>
        <w:rPr>
          <w:rFonts w:ascii="Lato" w:hAnsi="Lato" w:cs="Times New Roman"/>
          <w:b/>
          <w:sz w:val="20"/>
          <w:szCs w:val="20"/>
        </w:rPr>
      </w:pPr>
      <w:r w:rsidRPr="00450EAC">
        <w:rPr>
          <w:rFonts w:ascii="Lato" w:hAnsi="Lato" w:cs="Times New Roman"/>
          <w:b/>
          <w:sz w:val="20"/>
          <w:szCs w:val="20"/>
        </w:rPr>
        <w:t>Kawiarenka międzypokoleniowa we Włocławku</w:t>
      </w:r>
    </w:p>
    <w:p w14:paraId="2A63908E" w14:textId="108BED74"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Od grudnia 2022 r. w siedzibie Włocławskiego Centrum Organizacji Pozarządowych</w:t>
      </w:r>
      <w:r w:rsidR="00255EDE" w:rsidRPr="00450EAC">
        <w:rPr>
          <w:rFonts w:ascii="Lato" w:hAnsi="Lato" w:cs="Times New Roman"/>
          <w:sz w:val="20"/>
          <w:szCs w:val="20"/>
        </w:rPr>
        <w:t xml:space="preserve"> </w:t>
      </w:r>
      <w:r w:rsidRPr="00450EAC">
        <w:rPr>
          <w:rFonts w:ascii="Lato" w:hAnsi="Lato" w:cs="Times New Roman"/>
          <w:sz w:val="20"/>
          <w:szCs w:val="20"/>
        </w:rPr>
        <w:t xml:space="preserve">i Wolontariatu przy ul. Żabiej 12a działa kawiarenka międzypokoleniowa. W kawiarence odbywają się warsztaty mentalne z </w:t>
      </w:r>
      <w:proofErr w:type="spellStart"/>
      <w:r w:rsidRPr="00450EAC">
        <w:rPr>
          <w:rFonts w:ascii="Lato" w:hAnsi="Lato" w:cs="Times New Roman"/>
          <w:sz w:val="20"/>
          <w:szCs w:val="20"/>
        </w:rPr>
        <w:t>coachem</w:t>
      </w:r>
      <w:proofErr w:type="spellEnd"/>
      <w:r w:rsidRPr="00450EAC">
        <w:rPr>
          <w:rFonts w:ascii="Lato" w:hAnsi="Lato" w:cs="Times New Roman"/>
          <w:sz w:val="20"/>
          <w:szCs w:val="20"/>
        </w:rPr>
        <w:t xml:space="preserve"> motywacyjnym, warsztaty dietetyczne, filmowe, czytelnicze — promujące ideę bookcrossingu. W Centrum działa też Punkt Wymiany Ciepła oraz Punkt Adopcji Roślin. W planach jest seria spotkań otwartych: dotyczących profilaktyki zdrowia, tzw. </w:t>
      </w:r>
      <w:proofErr w:type="spellStart"/>
      <w:r w:rsidRPr="00450EAC">
        <w:rPr>
          <w:rFonts w:ascii="Lato" w:hAnsi="Lato" w:cs="Times New Roman"/>
          <w:sz w:val="20"/>
          <w:szCs w:val="20"/>
        </w:rPr>
        <w:t>aboratorium</w:t>
      </w:r>
      <w:proofErr w:type="spellEnd"/>
      <w:r w:rsidRPr="00450EAC">
        <w:rPr>
          <w:rFonts w:ascii="Lato" w:hAnsi="Lato" w:cs="Times New Roman"/>
          <w:sz w:val="20"/>
          <w:szCs w:val="20"/>
        </w:rPr>
        <w:t xml:space="preserve"> przypadku, czyli seria spotkań z barwnymi osobowościami (społecznikami, artystami), których celem będzie przeciwdziałanie dyskryminacji</w:t>
      </w:r>
      <w:r w:rsidR="00255EDE" w:rsidRPr="00450EAC">
        <w:rPr>
          <w:rFonts w:ascii="Lato" w:hAnsi="Lato" w:cs="Times New Roman"/>
          <w:sz w:val="20"/>
          <w:szCs w:val="20"/>
        </w:rPr>
        <w:t xml:space="preserve"> </w:t>
      </w:r>
      <w:r w:rsidRPr="00450EAC">
        <w:rPr>
          <w:rFonts w:ascii="Lato" w:hAnsi="Lato" w:cs="Times New Roman"/>
          <w:sz w:val="20"/>
          <w:szCs w:val="20"/>
        </w:rPr>
        <w:t xml:space="preserve">i wykluczeniu. Zaplanowane są również warsztaty manualne z wyplatania </w:t>
      </w:r>
      <w:proofErr w:type="spellStart"/>
      <w:r w:rsidRPr="00450EAC">
        <w:rPr>
          <w:rFonts w:ascii="Lato" w:hAnsi="Lato" w:cs="Times New Roman"/>
          <w:sz w:val="20"/>
          <w:szCs w:val="20"/>
        </w:rPr>
        <w:t>makram</w:t>
      </w:r>
      <w:proofErr w:type="spellEnd"/>
      <w:r w:rsidRPr="00450EAC">
        <w:rPr>
          <w:rFonts w:ascii="Lato" w:hAnsi="Lato" w:cs="Times New Roman"/>
          <w:sz w:val="20"/>
          <w:szCs w:val="20"/>
        </w:rPr>
        <w:t xml:space="preserve">, tworzenia </w:t>
      </w:r>
      <w:proofErr w:type="spellStart"/>
      <w:r w:rsidRPr="00450EAC">
        <w:rPr>
          <w:rFonts w:ascii="Lato" w:hAnsi="Lato" w:cs="Times New Roman"/>
          <w:sz w:val="20"/>
          <w:szCs w:val="20"/>
        </w:rPr>
        <w:t>eko</w:t>
      </w:r>
      <w:proofErr w:type="spellEnd"/>
      <w:r w:rsidRPr="00450EAC">
        <w:rPr>
          <w:rFonts w:ascii="Lato" w:hAnsi="Lato" w:cs="Times New Roman"/>
          <w:sz w:val="20"/>
          <w:szCs w:val="20"/>
        </w:rPr>
        <w:t xml:space="preserve">-obrazów, a także gimnastyki umysłu dla osób w każdym wieku. </w:t>
      </w:r>
    </w:p>
    <w:p w14:paraId="48AD6DFA" w14:textId="77777777" w:rsidR="00C4650B" w:rsidRPr="00450EAC" w:rsidRDefault="00C4650B" w:rsidP="00C4650B">
      <w:pPr>
        <w:spacing w:after="0" w:line="240" w:lineRule="auto"/>
        <w:ind w:left="20"/>
        <w:jc w:val="both"/>
        <w:rPr>
          <w:rFonts w:ascii="Lato" w:hAnsi="Lato" w:cs="Times New Roman"/>
          <w:b/>
          <w:sz w:val="20"/>
          <w:szCs w:val="20"/>
        </w:rPr>
      </w:pPr>
    </w:p>
    <w:p w14:paraId="4060FA38" w14:textId="77777777" w:rsidR="00C4650B" w:rsidRPr="00450EAC" w:rsidRDefault="00C4650B" w:rsidP="00255EDE">
      <w:pPr>
        <w:spacing w:after="0" w:line="240" w:lineRule="auto"/>
        <w:jc w:val="both"/>
        <w:rPr>
          <w:rFonts w:ascii="Lato" w:hAnsi="Lato" w:cs="Times New Roman"/>
          <w:b/>
          <w:sz w:val="20"/>
          <w:szCs w:val="20"/>
        </w:rPr>
      </w:pPr>
      <w:r w:rsidRPr="00450EAC">
        <w:rPr>
          <w:rFonts w:ascii="Lato" w:hAnsi="Lato" w:cs="Times New Roman"/>
          <w:b/>
          <w:sz w:val="20"/>
          <w:szCs w:val="20"/>
        </w:rPr>
        <w:t>Toruń — Poranek Seniora: „Śniadaniowy koncert muzyki klasycznej”</w:t>
      </w:r>
    </w:p>
    <w:p w14:paraId="636C0D7C" w14:textId="3627102D"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„Poranek seniora” to cykl koncertów organizowanych w Centrum Kultury Dwór Artusa</w:t>
      </w:r>
      <w:r w:rsidR="00255EDE" w:rsidRPr="00450EAC">
        <w:rPr>
          <w:rFonts w:ascii="Lato" w:hAnsi="Lato" w:cs="Times New Roman"/>
          <w:sz w:val="20"/>
          <w:szCs w:val="20"/>
        </w:rPr>
        <w:t xml:space="preserve"> </w:t>
      </w:r>
      <w:r w:rsidRPr="00450EAC">
        <w:rPr>
          <w:rFonts w:ascii="Lato" w:hAnsi="Lato" w:cs="Times New Roman"/>
          <w:sz w:val="20"/>
          <w:szCs w:val="20"/>
        </w:rPr>
        <w:t>w Toruniu we współpracy z Pomorskim Towarzystwem Muzycznym. Zadedykowany jest</w:t>
      </w:r>
      <w:r w:rsidR="00255EDE" w:rsidRPr="00450EAC">
        <w:rPr>
          <w:rFonts w:ascii="Lato" w:hAnsi="Lato" w:cs="Times New Roman"/>
          <w:sz w:val="20"/>
          <w:szCs w:val="20"/>
        </w:rPr>
        <w:t xml:space="preserve"> </w:t>
      </w:r>
      <w:r w:rsidRPr="00450EAC">
        <w:rPr>
          <w:rFonts w:ascii="Lato" w:hAnsi="Lato" w:cs="Times New Roman"/>
          <w:sz w:val="20"/>
          <w:szCs w:val="20"/>
        </w:rPr>
        <w:t>w szczególności seniorom, którzy na koncert mogą przybyć ze swoimi wnukami.</w:t>
      </w:r>
      <w:r w:rsidR="00255EDE" w:rsidRPr="00450EAC">
        <w:rPr>
          <w:rFonts w:ascii="Lato" w:hAnsi="Lato" w:cs="Times New Roman"/>
          <w:sz w:val="20"/>
          <w:szCs w:val="20"/>
        </w:rPr>
        <w:t xml:space="preserve"> </w:t>
      </w:r>
      <w:r w:rsidRPr="00450EAC">
        <w:rPr>
          <w:rFonts w:ascii="Lato" w:hAnsi="Lato" w:cs="Times New Roman"/>
          <w:sz w:val="20"/>
          <w:szCs w:val="20"/>
        </w:rPr>
        <w:t>W repertuarze koncertów dominuje muzyka klasyczna, piosenka literacka oraz własne kompozycje młodych artystów.</w:t>
      </w:r>
    </w:p>
    <w:p w14:paraId="434E3167" w14:textId="77777777" w:rsidR="00C4650B" w:rsidRPr="00450EAC" w:rsidRDefault="00C4650B" w:rsidP="00C4650B">
      <w:pPr>
        <w:spacing w:after="0" w:line="240" w:lineRule="auto"/>
        <w:ind w:left="20"/>
        <w:jc w:val="both"/>
        <w:rPr>
          <w:rFonts w:ascii="Lato" w:hAnsi="Lato" w:cs="Times New Roman"/>
          <w:b/>
          <w:sz w:val="20"/>
          <w:szCs w:val="20"/>
        </w:rPr>
      </w:pPr>
    </w:p>
    <w:p w14:paraId="29CA10B7" w14:textId="77777777" w:rsidR="00C4650B" w:rsidRPr="00450EAC" w:rsidRDefault="00C4650B" w:rsidP="00255EDE">
      <w:pPr>
        <w:spacing w:after="0" w:line="240" w:lineRule="auto"/>
        <w:jc w:val="both"/>
        <w:rPr>
          <w:rFonts w:ascii="Lato" w:hAnsi="Lato" w:cs="Times New Roman"/>
          <w:b/>
          <w:sz w:val="20"/>
          <w:szCs w:val="20"/>
        </w:rPr>
      </w:pPr>
      <w:r w:rsidRPr="00450EAC">
        <w:rPr>
          <w:rFonts w:ascii="Lato" w:hAnsi="Lato" w:cs="Times New Roman"/>
          <w:b/>
          <w:sz w:val="20"/>
          <w:szCs w:val="20"/>
        </w:rPr>
        <w:t>Centrum Opiekuńczo-Mieszkalne w Golubiu-Dobrzyniu</w:t>
      </w:r>
    </w:p>
    <w:p w14:paraId="47EFFD38" w14:textId="02D5C078"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Z dniem 1 października 2022 r. rozpoczęło działalność Powiatowe Centrum Opiekuńczo-Mieszkalne w Golubiu-Dobrzyniu. Centrum świadczy usługi zamieszkania dla 14 osób</w:t>
      </w:r>
      <w:r w:rsidR="00255EDE" w:rsidRPr="00450EAC">
        <w:rPr>
          <w:rFonts w:ascii="Lato" w:hAnsi="Lato" w:cs="Times New Roman"/>
          <w:sz w:val="20"/>
          <w:szCs w:val="20"/>
        </w:rPr>
        <w:t xml:space="preserve"> </w:t>
      </w:r>
      <w:r w:rsidRPr="00450EAC">
        <w:rPr>
          <w:rFonts w:ascii="Lato" w:hAnsi="Lato" w:cs="Times New Roman"/>
          <w:sz w:val="20"/>
          <w:szCs w:val="20"/>
        </w:rPr>
        <w:t>z niepełnosprawnością, w ramach pobytu całodobowego. Korzystając z usług Centrum osoba ma zapewnione wyżywienie, opiekę pielęgniarską, rehabilitację, pomoc opiekunów</w:t>
      </w:r>
      <w:r w:rsidR="00255EDE" w:rsidRPr="00450EAC">
        <w:rPr>
          <w:rFonts w:ascii="Lato" w:hAnsi="Lato" w:cs="Times New Roman"/>
          <w:sz w:val="20"/>
          <w:szCs w:val="20"/>
        </w:rPr>
        <w:t xml:space="preserve"> </w:t>
      </w:r>
      <w:r w:rsidRPr="00450EAC">
        <w:rPr>
          <w:rFonts w:ascii="Lato" w:hAnsi="Lato" w:cs="Times New Roman"/>
          <w:sz w:val="20"/>
          <w:szCs w:val="20"/>
        </w:rPr>
        <w:t>i organizację czasu wolnego. Z usług Centrum Opiekuńczo-Mieszkalnego mogą skorzystać dorosłe osoby z niepełnosprawnością, legitymujące się orzeczeniem o znacznym stopniu niepełnosprawności i niekorzystające z form wsparcia w innych ośrodkach. Pobyt w Centrum jest całkowicie bezpłatny.</w:t>
      </w:r>
    </w:p>
    <w:p w14:paraId="5CD224C9" w14:textId="77777777" w:rsidR="00C4650B" w:rsidRPr="00450EAC" w:rsidRDefault="00C4650B" w:rsidP="00C4650B">
      <w:pPr>
        <w:spacing w:after="0" w:line="240" w:lineRule="auto"/>
        <w:ind w:left="20"/>
        <w:jc w:val="both"/>
        <w:rPr>
          <w:rFonts w:ascii="Lato" w:hAnsi="Lato" w:cs="Times New Roman"/>
          <w:b/>
          <w:sz w:val="20"/>
          <w:szCs w:val="20"/>
        </w:rPr>
      </w:pPr>
    </w:p>
    <w:p w14:paraId="04DA0BE3" w14:textId="77777777" w:rsidR="00C4650B" w:rsidRPr="00450EAC" w:rsidRDefault="00C4650B" w:rsidP="00255EDE">
      <w:pPr>
        <w:spacing w:after="0" w:line="240" w:lineRule="auto"/>
        <w:jc w:val="both"/>
        <w:rPr>
          <w:rFonts w:ascii="Lato" w:hAnsi="Lato" w:cs="Times New Roman"/>
          <w:b/>
          <w:sz w:val="20"/>
          <w:szCs w:val="20"/>
        </w:rPr>
      </w:pPr>
      <w:r w:rsidRPr="00450EAC">
        <w:rPr>
          <w:rFonts w:ascii="Lato" w:hAnsi="Lato" w:cs="Times New Roman"/>
          <w:b/>
          <w:sz w:val="20"/>
          <w:szCs w:val="20"/>
        </w:rPr>
        <w:t>Warsztaty teatralne dla podopiecznych Dziennego Domu Pobytu Senior+ w Pakości</w:t>
      </w:r>
    </w:p>
    <w:p w14:paraId="3C06C747" w14:textId="397E7FDE"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Dzienny Dom Pobytu Senior+ w Pakości w ramach podejmowanych działań terapeutycznych adresowanych do swoich podopiecznych zrealizował w 2022 roku cykl warsztatów teatralnych prowadzonych przez aktora-psychologa. Początkowy opór i obawy seniorów zostały małymi krokami przezwyciężone i dzięki zaangażowaniu kierownika ośrodka</w:t>
      </w:r>
      <w:r w:rsidR="00255EDE" w:rsidRPr="00450EAC">
        <w:rPr>
          <w:rFonts w:ascii="Lato" w:hAnsi="Lato" w:cs="Times New Roman"/>
          <w:sz w:val="20"/>
          <w:szCs w:val="20"/>
        </w:rPr>
        <w:t xml:space="preserve"> </w:t>
      </w:r>
      <w:r w:rsidRPr="00450EAC">
        <w:rPr>
          <w:rFonts w:ascii="Lato" w:hAnsi="Lato" w:cs="Times New Roman"/>
          <w:sz w:val="20"/>
          <w:szCs w:val="20"/>
        </w:rPr>
        <w:t xml:space="preserve">i prowadzącego warsztaty, udało się osiągnąć wymierne efekty. Podstawowym zdiagnozowanym obszarem do pracy była samoakceptacja, co wiązało się z rozpoczęciem procesu akceptacji swoich ograniczeń, wad, cech osobowości oraz odkrywania własnych zasobów, możliwości i potencjału. Dzięki ćwiczeniom logopedyczno-teatralnym, seniorzy zaczęli się otwierać, zdobyli pewność siebie oraz podniosła się ich samoocena i motywacja do aktywności. Osiągnięte dzięki warsztatom efekty zostały przedstawione w trakcie obchodów Dnia Seniora w Pakości w ramach występu podopiecznych Dziennego Domu na dużej scenie przed 120-osobową publicznością. </w:t>
      </w:r>
    </w:p>
    <w:p w14:paraId="6B17B107" w14:textId="77777777" w:rsidR="00C4650B" w:rsidRPr="00450EAC" w:rsidRDefault="00C4650B" w:rsidP="00C4650B">
      <w:pPr>
        <w:spacing w:after="0" w:line="240" w:lineRule="auto"/>
        <w:ind w:left="20"/>
        <w:jc w:val="both"/>
        <w:rPr>
          <w:rFonts w:ascii="Lato" w:hAnsi="Lato" w:cs="Times New Roman"/>
          <w:sz w:val="20"/>
          <w:szCs w:val="20"/>
        </w:rPr>
      </w:pPr>
    </w:p>
    <w:p w14:paraId="24DA6296" w14:textId="38A0E761" w:rsidR="00C4650B" w:rsidRPr="00450EAC" w:rsidRDefault="00255EDE" w:rsidP="00255EDE">
      <w:pPr>
        <w:spacing w:after="0" w:line="240" w:lineRule="auto"/>
        <w:jc w:val="both"/>
        <w:rPr>
          <w:rFonts w:ascii="Lato" w:hAnsi="Lato"/>
          <w:color w:val="2F5496" w:themeColor="accent1" w:themeShade="BF"/>
          <w:sz w:val="20"/>
          <w:szCs w:val="20"/>
        </w:rPr>
      </w:pPr>
      <w:r w:rsidRPr="00450EAC">
        <w:rPr>
          <w:rFonts w:ascii="Lato" w:hAnsi="Lato"/>
          <w:b/>
          <w:color w:val="2F5496" w:themeColor="accent1" w:themeShade="BF"/>
          <w:sz w:val="20"/>
          <w:szCs w:val="20"/>
        </w:rPr>
        <w:t>PRZYKŁADY INNOWACYJNYCH ROZWIĄZAŃ</w:t>
      </w:r>
      <w:r w:rsidRPr="00450EAC">
        <w:rPr>
          <w:rFonts w:ascii="Lato" w:hAnsi="Lato"/>
          <w:color w:val="2F5496" w:themeColor="accent1" w:themeShade="BF"/>
          <w:sz w:val="20"/>
          <w:szCs w:val="20"/>
        </w:rPr>
        <w:t>.</w:t>
      </w:r>
    </w:p>
    <w:p w14:paraId="6904E6C3" w14:textId="1C5EE06B"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 xml:space="preserve">W 2022 r., w zakresie poprawy jakości życia osób starszych, prowadzono działania w ramach projektu pn. Kujawsko-Pomorska </w:t>
      </w:r>
      <w:proofErr w:type="spellStart"/>
      <w:r w:rsidRPr="00450EAC">
        <w:rPr>
          <w:rFonts w:ascii="Lato" w:hAnsi="Lato" w:cs="Times New Roman"/>
          <w:sz w:val="20"/>
          <w:szCs w:val="20"/>
        </w:rPr>
        <w:t>Teleopieka</w:t>
      </w:r>
      <w:proofErr w:type="spellEnd"/>
      <w:r w:rsidRPr="00450EAC">
        <w:rPr>
          <w:rFonts w:ascii="Lato" w:hAnsi="Lato" w:cs="Times New Roman"/>
          <w:sz w:val="20"/>
          <w:szCs w:val="20"/>
        </w:rPr>
        <w:t xml:space="preserve">, będącego kontynuacją pilotażowego projektu „Pogodna jesień życia na Kujawach i Pomorzu — projekt rozwoju pomocy środowiskowej dla seniorów”. Zadania w ramach projektu Kujawsko-Pomorska </w:t>
      </w:r>
      <w:proofErr w:type="spellStart"/>
      <w:r w:rsidRPr="00450EAC">
        <w:rPr>
          <w:rFonts w:ascii="Lato" w:hAnsi="Lato" w:cs="Times New Roman"/>
          <w:sz w:val="20"/>
          <w:szCs w:val="20"/>
        </w:rPr>
        <w:t>Teleopieka</w:t>
      </w:r>
      <w:proofErr w:type="spellEnd"/>
      <w:r w:rsidRPr="00450EAC">
        <w:rPr>
          <w:rFonts w:ascii="Lato" w:hAnsi="Lato" w:cs="Times New Roman"/>
          <w:sz w:val="20"/>
          <w:szCs w:val="20"/>
        </w:rPr>
        <w:t xml:space="preserve"> realizuje Regionalny Ośrodek Polityki Społecznej w Toruniu, w partnerstwie z Kujawsko-Pomorskim Centrum Kompetencji Cyfrowych sp. z o. o. oraz 87 gminami z terenu województwa kujawsko-pomorskiego. Projekt zakłada rozwój usług społecznych w środowisku, w postaci pomocy sąsiedzkiej oraz wolontariatu opiekuńczego dla 3000 osób potrzebujących wsparcia w codziennym funkcjonowaniu. Skierowany do mieszkańców województwa kujawsko-pomorskiego, którzy ze względu na stan zdrowia lub niepełnosprawność wymagają opieki lub wsparcia w związku z niemożnością samodzielnego wykonywania co najmniej jednej</w:t>
      </w:r>
      <w:r w:rsidR="00255EDE" w:rsidRPr="00450EAC">
        <w:rPr>
          <w:rFonts w:ascii="Lato" w:hAnsi="Lato" w:cs="Times New Roman"/>
          <w:sz w:val="20"/>
          <w:szCs w:val="20"/>
        </w:rPr>
        <w:t xml:space="preserve"> </w:t>
      </w:r>
      <w:r w:rsidRPr="00450EAC">
        <w:rPr>
          <w:rFonts w:ascii="Lato" w:hAnsi="Lato" w:cs="Times New Roman"/>
          <w:sz w:val="20"/>
          <w:szCs w:val="20"/>
        </w:rPr>
        <w:t xml:space="preserve">z podstawowych czynności dnia codziennego oraz nieprzebywającej w opiece całodobowej. W ramach projektu działa Kujawsko-Pomorskie Telecentrum, świadczące usługę </w:t>
      </w:r>
      <w:proofErr w:type="spellStart"/>
      <w:r w:rsidRPr="00450EAC">
        <w:rPr>
          <w:rFonts w:ascii="Lato" w:hAnsi="Lato" w:cs="Times New Roman"/>
          <w:sz w:val="20"/>
          <w:szCs w:val="20"/>
        </w:rPr>
        <w:t>teleopieki</w:t>
      </w:r>
      <w:proofErr w:type="spellEnd"/>
      <w:r w:rsidRPr="00450EAC">
        <w:rPr>
          <w:rFonts w:ascii="Lato" w:hAnsi="Lato" w:cs="Times New Roman"/>
          <w:sz w:val="20"/>
          <w:szCs w:val="20"/>
        </w:rPr>
        <w:t xml:space="preserve"> dla potrzebujących wsparcia.</w:t>
      </w:r>
    </w:p>
    <w:p w14:paraId="7C15B19C" w14:textId="77777777" w:rsidR="00C4650B" w:rsidRPr="00450EAC" w:rsidRDefault="00C4650B" w:rsidP="00C4650B">
      <w:pPr>
        <w:spacing w:after="0" w:line="240" w:lineRule="auto"/>
        <w:ind w:left="20"/>
        <w:jc w:val="both"/>
        <w:rPr>
          <w:rFonts w:ascii="Lato" w:hAnsi="Lato" w:cs="Times New Roman"/>
          <w:sz w:val="20"/>
          <w:szCs w:val="20"/>
        </w:rPr>
      </w:pPr>
    </w:p>
    <w:p w14:paraId="5C6BA6C8" w14:textId="63A4E3EC" w:rsidR="00C4650B" w:rsidRPr="00450EAC" w:rsidRDefault="00255EDE" w:rsidP="00255EDE">
      <w:pPr>
        <w:spacing w:after="0" w:line="240" w:lineRule="auto"/>
        <w:jc w:val="both"/>
        <w:rPr>
          <w:rFonts w:ascii="Lato" w:hAnsi="Lato"/>
          <w:color w:val="2F5496" w:themeColor="accent1" w:themeShade="BF"/>
          <w:sz w:val="20"/>
          <w:szCs w:val="20"/>
        </w:rPr>
      </w:pPr>
      <w:r w:rsidRPr="00450EAC">
        <w:rPr>
          <w:rFonts w:ascii="Lato" w:hAnsi="Lato"/>
          <w:b/>
          <w:color w:val="2F5496" w:themeColor="accent1" w:themeShade="BF"/>
          <w:sz w:val="20"/>
          <w:szCs w:val="20"/>
        </w:rPr>
        <w:t>DZIAŁANIA WSPIERAJĄCE</w:t>
      </w:r>
    </w:p>
    <w:p w14:paraId="28EA1CD3"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Infolinia Regionalnego Centrum Informacji Senioralnej</w:t>
      </w:r>
    </w:p>
    <w:p w14:paraId="3860A025" w14:textId="7C2E08EB"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lastRenderedPageBreak/>
        <w:t>Infolinia skierowana jest zarówno do osób starszych, jak i ich opiekunów. Można tutaj uzyskać informacje m.in. o ofercie pomocowej, kulturalnej, czy edukacyjnej, skierowanej do osób starszych oraz członków rodzin. Infolinia czynna jest od poniedziałku do piątku,</w:t>
      </w:r>
      <w:r w:rsidR="00255EDE" w:rsidRPr="00450EAC">
        <w:rPr>
          <w:rFonts w:ascii="Lato" w:hAnsi="Lato" w:cs="Times New Roman"/>
          <w:sz w:val="20"/>
          <w:szCs w:val="20"/>
        </w:rPr>
        <w:t xml:space="preserve"> </w:t>
      </w:r>
      <w:r w:rsidRPr="00450EAC">
        <w:rPr>
          <w:rFonts w:ascii="Lato" w:hAnsi="Lato" w:cs="Times New Roman"/>
          <w:sz w:val="20"/>
          <w:szCs w:val="20"/>
        </w:rPr>
        <w:t>w godz. 8:00 — 14:00, pod nr tel. 56 657 14 69.</w:t>
      </w:r>
    </w:p>
    <w:p w14:paraId="6DEC8EF2" w14:textId="77777777" w:rsidR="00C4650B" w:rsidRPr="00450EAC" w:rsidRDefault="00C4650B" w:rsidP="00C4650B">
      <w:pPr>
        <w:spacing w:after="0" w:line="240" w:lineRule="auto"/>
        <w:ind w:left="20"/>
        <w:jc w:val="both"/>
        <w:rPr>
          <w:rFonts w:ascii="Lato" w:hAnsi="Lato" w:cs="Times New Roman"/>
          <w:sz w:val="20"/>
          <w:szCs w:val="20"/>
        </w:rPr>
      </w:pPr>
    </w:p>
    <w:p w14:paraId="2734BC26"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Prowadzenie portalu informacyjnego dedykowanego osobom starszym i ich opiekunom</w:t>
      </w:r>
    </w:p>
    <w:p w14:paraId="5A6006F8" w14:textId="1A029331" w:rsidR="00C4650B" w:rsidRPr="00450EAC" w:rsidRDefault="00C4650B" w:rsidP="00450EAC">
      <w:pPr>
        <w:spacing w:after="0" w:line="240" w:lineRule="auto"/>
        <w:ind w:left="20"/>
        <w:jc w:val="both"/>
        <w:rPr>
          <w:rFonts w:ascii="Lato" w:hAnsi="Lato" w:cs="Times New Roman"/>
          <w:sz w:val="20"/>
          <w:szCs w:val="20"/>
        </w:rPr>
      </w:pPr>
      <w:r w:rsidRPr="00450EAC">
        <w:rPr>
          <w:rFonts w:ascii="Lato" w:hAnsi="Lato" w:cs="Times New Roman"/>
          <w:sz w:val="20"/>
          <w:szCs w:val="20"/>
        </w:rPr>
        <w:t>Kluczowy efekt: 311 informacji zamieszczonych w 2022 roku na portalu</w:t>
      </w:r>
      <w:r w:rsidR="00255EDE" w:rsidRPr="00450EAC">
        <w:rPr>
          <w:rFonts w:ascii="Lato" w:hAnsi="Lato" w:cs="Times New Roman"/>
          <w:sz w:val="20"/>
          <w:szCs w:val="20"/>
        </w:rPr>
        <w:t xml:space="preserve">. </w:t>
      </w:r>
      <w:r w:rsidRPr="00450EAC">
        <w:rPr>
          <w:rFonts w:ascii="Lato" w:hAnsi="Lato" w:cs="Times New Roman"/>
          <w:sz w:val="20"/>
          <w:szCs w:val="20"/>
        </w:rPr>
        <w:t>Bieżące przygotowywanie artykułów zamieszczanych na witrynie dot. m.in. tematyki: zdrowia, wydarzeń kulturalnych, sytuacji związanej z pandemią koronawirusa, szkoleń, konferencji, warsztatów, konkursów, publikacji itp. Strona Regionalnego Centrum Informacji Senioralnej dostępna jest pod linkiem: www.infosenior.rops.torun.pl</w:t>
      </w:r>
    </w:p>
    <w:p w14:paraId="30F83FCC"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Prowadzenie Fanpage Regionalnego Centrum Informacji Senioralnej</w:t>
      </w:r>
    </w:p>
    <w:p w14:paraId="3EB43792" w14:textId="7777777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 xml:space="preserve">Kluczowy efekt: 283 posty zamieszczone na </w:t>
      </w:r>
      <w:proofErr w:type="spellStart"/>
      <w:r w:rsidRPr="00450EAC">
        <w:rPr>
          <w:rFonts w:ascii="Lato" w:hAnsi="Lato" w:cs="Times New Roman"/>
          <w:sz w:val="20"/>
          <w:szCs w:val="20"/>
        </w:rPr>
        <w:t>Fanpage'u</w:t>
      </w:r>
      <w:proofErr w:type="spellEnd"/>
      <w:r w:rsidRPr="00450EAC">
        <w:rPr>
          <w:rFonts w:ascii="Lato" w:hAnsi="Lato" w:cs="Times New Roman"/>
          <w:sz w:val="20"/>
          <w:szCs w:val="20"/>
        </w:rPr>
        <w:t xml:space="preserve"> w 2022 roku, łączna liczba </w:t>
      </w:r>
      <w:proofErr w:type="spellStart"/>
      <w:r w:rsidRPr="00450EAC">
        <w:rPr>
          <w:rFonts w:ascii="Lato" w:hAnsi="Lato" w:cs="Times New Roman"/>
          <w:sz w:val="20"/>
          <w:szCs w:val="20"/>
        </w:rPr>
        <w:t>polubień</w:t>
      </w:r>
      <w:proofErr w:type="spellEnd"/>
      <w:r w:rsidRPr="00450EAC">
        <w:rPr>
          <w:rFonts w:ascii="Lato" w:hAnsi="Lato" w:cs="Times New Roman"/>
          <w:sz w:val="20"/>
          <w:szCs w:val="20"/>
        </w:rPr>
        <w:t xml:space="preserve"> Fanpage wyniosła ponad 3 tys. osób, natomiast łączna liczba obserwujących Fanpage wyniosła ponad 3,1 tys. osób.</w:t>
      </w:r>
    </w:p>
    <w:p w14:paraId="22C4BA4D" w14:textId="77777777" w:rsidR="00C4650B" w:rsidRPr="00450EAC" w:rsidRDefault="00C4650B" w:rsidP="00C4650B">
      <w:pPr>
        <w:spacing w:after="0" w:line="240" w:lineRule="auto"/>
        <w:ind w:left="20"/>
        <w:jc w:val="both"/>
        <w:rPr>
          <w:rFonts w:ascii="Lato" w:hAnsi="Lato" w:cs="Times New Roman"/>
          <w:sz w:val="20"/>
          <w:szCs w:val="20"/>
        </w:rPr>
      </w:pPr>
    </w:p>
    <w:p w14:paraId="702BE2C7"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Udział w V Ogólnopolskim Forum Seniora</w:t>
      </w:r>
    </w:p>
    <w:p w14:paraId="5EA7DF15" w14:textId="7777777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 xml:space="preserve">W dniu 13 września 2022 r. pracownicy Działu Inicjatyw Senioralnych ROPS w Toruniu wzięli udział w V Ogólnopolskim Forum Seniora, organizowanym przez Polska Press — Gazeta Pomorska na Auli UMK w Toruniu. Podczas wydarzenia dostępne było stoisko wystawiennicze ROPS-u, gdzie 600 seniorów miało możliwość zapoznania się z ideą usługi </w:t>
      </w:r>
      <w:proofErr w:type="spellStart"/>
      <w:r w:rsidRPr="00450EAC">
        <w:rPr>
          <w:rFonts w:ascii="Lato" w:hAnsi="Lato" w:cs="Times New Roman"/>
          <w:sz w:val="20"/>
          <w:szCs w:val="20"/>
        </w:rPr>
        <w:t>teleopieki</w:t>
      </w:r>
      <w:proofErr w:type="spellEnd"/>
      <w:r w:rsidRPr="00450EAC">
        <w:rPr>
          <w:rFonts w:ascii="Lato" w:hAnsi="Lato" w:cs="Times New Roman"/>
          <w:sz w:val="20"/>
          <w:szCs w:val="20"/>
        </w:rPr>
        <w:t xml:space="preserve"> wraz z oferowanym urządzeniem w postaci tzw. bransoletki życia.</w:t>
      </w:r>
    </w:p>
    <w:p w14:paraId="3F0D2242" w14:textId="77777777" w:rsidR="00255EDE" w:rsidRPr="00450EAC" w:rsidRDefault="00255EDE" w:rsidP="00255EDE">
      <w:pPr>
        <w:spacing w:after="0" w:line="240" w:lineRule="auto"/>
        <w:jc w:val="both"/>
        <w:rPr>
          <w:rFonts w:ascii="Lato" w:hAnsi="Lato" w:cs="Times New Roman"/>
          <w:sz w:val="20"/>
          <w:szCs w:val="20"/>
        </w:rPr>
      </w:pPr>
    </w:p>
    <w:p w14:paraId="73CBF528" w14:textId="02C79E36"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Opracowanie Kalendarza Wydarzeń związanych z obchodami Dni Alzheimerowskich w Województwie Kujawsko-Pomorskim</w:t>
      </w:r>
    </w:p>
    <w:p w14:paraId="7288FDC8" w14:textId="77777777" w:rsidR="00C4650B" w:rsidRPr="00450EAC" w:rsidRDefault="00C4650B" w:rsidP="00C4650B">
      <w:pPr>
        <w:spacing w:after="0" w:line="240" w:lineRule="auto"/>
        <w:jc w:val="both"/>
        <w:rPr>
          <w:rFonts w:ascii="Lato" w:hAnsi="Lato" w:cs="Times New Roman"/>
          <w:sz w:val="20"/>
          <w:szCs w:val="20"/>
        </w:rPr>
      </w:pPr>
      <w:r w:rsidRPr="00450EAC">
        <w:rPr>
          <w:rFonts w:ascii="Lato" w:hAnsi="Lato" w:cs="Times New Roman"/>
          <w:sz w:val="20"/>
          <w:szCs w:val="20"/>
        </w:rPr>
        <w:t xml:space="preserve">W związku z obchodami Światowego Dnia Choroby Alzheimera, we wrześniu 2022 r. przygotowano oraz udostępniono na </w:t>
      </w:r>
      <w:proofErr w:type="spellStart"/>
      <w:r w:rsidRPr="00450EAC">
        <w:rPr>
          <w:rFonts w:ascii="Lato" w:hAnsi="Lato" w:cs="Times New Roman"/>
          <w:sz w:val="20"/>
          <w:szCs w:val="20"/>
        </w:rPr>
        <w:t>fanpage'u</w:t>
      </w:r>
      <w:proofErr w:type="spellEnd"/>
      <w:r w:rsidRPr="00450EAC">
        <w:rPr>
          <w:rFonts w:ascii="Lato" w:hAnsi="Lato" w:cs="Times New Roman"/>
          <w:sz w:val="20"/>
          <w:szCs w:val="20"/>
        </w:rPr>
        <w:t xml:space="preserve"> </w:t>
      </w:r>
      <w:proofErr w:type="spellStart"/>
      <w:r w:rsidRPr="00450EAC">
        <w:rPr>
          <w:rFonts w:ascii="Lato" w:hAnsi="Lato" w:cs="Times New Roman"/>
          <w:sz w:val="20"/>
          <w:szCs w:val="20"/>
        </w:rPr>
        <w:t>OtępieNlE</w:t>
      </w:r>
      <w:proofErr w:type="spellEnd"/>
      <w:r w:rsidRPr="00450EAC">
        <w:rPr>
          <w:rFonts w:ascii="Lato" w:hAnsi="Lato" w:cs="Times New Roman"/>
          <w:sz w:val="20"/>
          <w:szCs w:val="20"/>
        </w:rPr>
        <w:t xml:space="preserve"> — 7 postów, których celem było zwiększenie świadomości społeczeństwa na temat choroby. Ponadto 21 września 2022 r. udostępniono również post z ulotką informacyjną, dotyczącą wszystkich organizacji zrzeszonych w ramach organizacji Alzheimer Polska.</w:t>
      </w:r>
    </w:p>
    <w:p w14:paraId="0C7CE469" w14:textId="77777777" w:rsidR="00C4650B" w:rsidRPr="00450EAC" w:rsidRDefault="00C4650B" w:rsidP="00C4650B">
      <w:pPr>
        <w:spacing w:after="0" w:line="240" w:lineRule="auto"/>
        <w:ind w:left="20"/>
        <w:jc w:val="both"/>
        <w:rPr>
          <w:rFonts w:ascii="Lato" w:hAnsi="Lato" w:cs="Times New Roman"/>
          <w:sz w:val="20"/>
          <w:szCs w:val="20"/>
        </w:rPr>
      </w:pPr>
    </w:p>
    <w:p w14:paraId="26945804"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„Informator dla Seniora”</w:t>
      </w:r>
    </w:p>
    <w:p w14:paraId="24015EA2" w14:textId="62E1015E"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 ostatnim kwartale 2022 r. rozpoczęto pracę nad IX wydaniem Informatora dla Seniora. Celem Informatora jest dostarczenie kujawsko—pomorskim seniorom niezbędnych informacji na temat dostępnych form wsparcia opiekuńczego, środowiskowego</w:t>
      </w:r>
      <w:r w:rsidR="00255EDE" w:rsidRPr="00450EAC">
        <w:rPr>
          <w:rFonts w:ascii="Lato" w:hAnsi="Lato" w:cs="Times New Roman"/>
          <w:sz w:val="20"/>
          <w:szCs w:val="20"/>
        </w:rPr>
        <w:t xml:space="preserve"> </w:t>
      </w:r>
      <w:r w:rsidRPr="00450EAC">
        <w:rPr>
          <w:rFonts w:ascii="Lato" w:hAnsi="Lato" w:cs="Times New Roman"/>
          <w:sz w:val="20"/>
          <w:szCs w:val="20"/>
        </w:rPr>
        <w:t>i instytucjonalnego, w tym również w obszarze ochrony zdrowia oraz informacji nt. różnych form aktywizacyjnych i kulturalnych.</w:t>
      </w:r>
    </w:p>
    <w:p w14:paraId="639823C6" w14:textId="77777777" w:rsidR="00C4650B" w:rsidRPr="00450EAC" w:rsidRDefault="00C4650B" w:rsidP="00C4650B">
      <w:pPr>
        <w:spacing w:after="0" w:line="240" w:lineRule="auto"/>
        <w:ind w:left="20"/>
        <w:jc w:val="both"/>
        <w:rPr>
          <w:rFonts w:ascii="Lato" w:hAnsi="Lato" w:cs="Times New Roman"/>
          <w:sz w:val="20"/>
          <w:szCs w:val="20"/>
        </w:rPr>
      </w:pPr>
    </w:p>
    <w:p w14:paraId="5EA1423D"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„Ocena zasobów pomocy społecznej za 2022 rok”</w:t>
      </w:r>
    </w:p>
    <w:p w14:paraId="6B76F9CC" w14:textId="75EA346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ROPS w Toruniu jak co roku opracował również raport pn. „Ocena Zasobów Pomocy Społecznej w Województwie Kujawsko-Pomorskim za rok 2022”. Raport sporządzony został w odniesieniu do poszczególnych grup odbiorców, w tym osób starszych. Zaprezentowano</w:t>
      </w:r>
      <w:r w:rsidR="00255EDE" w:rsidRPr="00450EAC">
        <w:rPr>
          <w:rFonts w:ascii="Lato" w:hAnsi="Lato" w:cs="Times New Roman"/>
          <w:sz w:val="20"/>
          <w:szCs w:val="20"/>
        </w:rPr>
        <w:t xml:space="preserve"> </w:t>
      </w:r>
      <w:r w:rsidRPr="00450EAC">
        <w:rPr>
          <w:rFonts w:ascii="Lato" w:hAnsi="Lato" w:cs="Times New Roman"/>
          <w:sz w:val="20"/>
          <w:szCs w:val="20"/>
        </w:rPr>
        <w:t>w nim informacje nt. stopnia realizacji pomocy środowiskowej, instytucjonalnej i zdrowotnej dla seniorów oraz dane dot. placówek aktywizujących osoby starsze, tj. klubów i świetlic, Raport zostanie przedstawiony w czerwcu br. na posiedzeniu Zarządu Województwa Kujawsko-Pomorskiego, posiedzeniu Komisji Pracy, Pomocy Społecznej I Bezpieczeństwa oraz na sesji Sejmiku Województwa Kujawsko-Pomorskiego.</w:t>
      </w:r>
    </w:p>
    <w:p w14:paraId="4E59E691" w14:textId="77777777" w:rsidR="00C4650B" w:rsidRPr="00450EAC" w:rsidRDefault="00C4650B" w:rsidP="00C4650B">
      <w:pPr>
        <w:spacing w:after="0" w:line="240" w:lineRule="auto"/>
        <w:ind w:left="20"/>
        <w:jc w:val="both"/>
        <w:rPr>
          <w:rFonts w:ascii="Lato" w:hAnsi="Lato" w:cs="Times New Roman"/>
          <w:sz w:val="20"/>
          <w:szCs w:val="20"/>
        </w:rPr>
      </w:pPr>
    </w:p>
    <w:p w14:paraId="69EF3266" w14:textId="77777777" w:rsidR="00C4650B" w:rsidRPr="00450EAC" w:rsidRDefault="00C4650B" w:rsidP="00255EDE">
      <w:pPr>
        <w:spacing w:after="0" w:line="240" w:lineRule="auto"/>
        <w:jc w:val="both"/>
        <w:rPr>
          <w:rFonts w:ascii="Lato" w:hAnsi="Lato" w:cs="Times New Roman"/>
          <w:b/>
          <w:bCs/>
          <w:sz w:val="20"/>
          <w:szCs w:val="20"/>
        </w:rPr>
      </w:pPr>
      <w:r w:rsidRPr="00450EAC">
        <w:rPr>
          <w:rFonts w:ascii="Lato" w:hAnsi="Lato" w:cs="Times New Roman"/>
          <w:b/>
          <w:bCs/>
          <w:sz w:val="20"/>
          <w:szCs w:val="20"/>
        </w:rPr>
        <w:t>Otwarty konkurs ofert na wykonywanie zadań publicznych związanych z realizacją zadań Samorządu Województwa w 2022 roku w zakresie pomocy społecznej, pod nazwą: „Wspieranie aktywizacji i integracji społecznej seniorów”</w:t>
      </w:r>
    </w:p>
    <w:p w14:paraId="186D5836" w14:textId="77777777"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 2022 r. na realizację zadania w ramach otwartego konkursu nr 8/2022 Wspieranie aktywizacji i integracji społecznej seniorów Samorząd Województwa przeznaczył w sumie 100.000,00 zł. Wsparcie w ramach otwartego konkursu ofert, na kwotę 90.000,00 zł, otrzymały 23 organizacje, natomiast w trybie uproszczonym wsparcie w kwocie 10.000,00 zł trafiło do 2 organizacji. Dofinansowanie przeznaczono na:</w:t>
      </w:r>
    </w:p>
    <w:p w14:paraId="368FBC12" w14:textId="77777777" w:rsidR="007F77CE" w:rsidRPr="00450EAC" w:rsidRDefault="00C4650B" w:rsidP="00B73AF7">
      <w:pPr>
        <w:pStyle w:val="Akapitzlist"/>
        <w:numPr>
          <w:ilvl w:val="0"/>
          <w:numId w:val="47"/>
        </w:numPr>
        <w:spacing w:after="0" w:line="240" w:lineRule="auto"/>
        <w:jc w:val="both"/>
        <w:rPr>
          <w:rFonts w:ascii="Lato" w:hAnsi="Lato" w:cs="Times New Roman"/>
          <w:sz w:val="20"/>
          <w:szCs w:val="20"/>
        </w:rPr>
      </w:pPr>
      <w:r w:rsidRPr="00450EAC">
        <w:rPr>
          <w:rFonts w:ascii="Lato" w:hAnsi="Lato" w:cs="Times New Roman"/>
          <w:sz w:val="20"/>
          <w:szCs w:val="20"/>
        </w:rPr>
        <w:t xml:space="preserve">warsztaty i inne inicjatywy mające na celu integrację osób starszych z młodszym pokoleniem (dziećmi i młodzieżą), </w:t>
      </w:r>
    </w:p>
    <w:p w14:paraId="78138DCF" w14:textId="77777777" w:rsidR="007F77CE" w:rsidRPr="00450EAC" w:rsidRDefault="00C4650B" w:rsidP="00B73AF7">
      <w:pPr>
        <w:pStyle w:val="Akapitzlist"/>
        <w:numPr>
          <w:ilvl w:val="0"/>
          <w:numId w:val="47"/>
        </w:numPr>
        <w:spacing w:after="0" w:line="240" w:lineRule="auto"/>
        <w:jc w:val="both"/>
        <w:rPr>
          <w:rFonts w:ascii="Lato" w:hAnsi="Lato" w:cs="Times New Roman"/>
          <w:sz w:val="20"/>
          <w:szCs w:val="20"/>
        </w:rPr>
      </w:pPr>
      <w:r w:rsidRPr="00450EAC">
        <w:rPr>
          <w:rFonts w:ascii="Lato" w:hAnsi="Lato" w:cs="Times New Roman"/>
          <w:sz w:val="20"/>
          <w:szCs w:val="20"/>
        </w:rPr>
        <w:t>działania mające na celu wspieranie aktywności społecznej osób starszych,</w:t>
      </w:r>
    </w:p>
    <w:p w14:paraId="4324F2B1" w14:textId="1D9BAB9E" w:rsidR="00C4650B" w:rsidRPr="00450EAC" w:rsidRDefault="00C4650B" w:rsidP="00B73AF7">
      <w:pPr>
        <w:pStyle w:val="Akapitzlist"/>
        <w:numPr>
          <w:ilvl w:val="0"/>
          <w:numId w:val="47"/>
        </w:numPr>
        <w:spacing w:after="0" w:line="240" w:lineRule="auto"/>
        <w:jc w:val="both"/>
        <w:rPr>
          <w:rFonts w:ascii="Lato" w:hAnsi="Lato" w:cs="Times New Roman"/>
          <w:sz w:val="20"/>
          <w:szCs w:val="20"/>
        </w:rPr>
      </w:pPr>
      <w:r w:rsidRPr="00450EAC">
        <w:rPr>
          <w:rFonts w:ascii="Lato" w:hAnsi="Lato" w:cs="Times New Roman"/>
          <w:sz w:val="20"/>
          <w:szCs w:val="20"/>
        </w:rPr>
        <w:t>realizowano także zajęcia aktywizacyjne, w tym międzypokoleniowe, m.in.: warsztaty rękodzielnicze, kulinarne, wikliniarskie, ogrodnicze, wyrobu ceramiki, konkursy artystyczne, spotkania literackie, muzyczne, spotkania z dietetykiem, lekarzem, spotkania z prawnikiem oraz zajęcia sportowe, kulturalne, spotkania integracyjne, wycieczki, pikniki, zajęcia komputerowe.</w:t>
      </w:r>
    </w:p>
    <w:p w14:paraId="7B7F415F" w14:textId="77777777" w:rsidR="00C4650B" w:rsidRPr="00450EAC" w:rsidRDefault="00C4650B" w:rsidP="00C4650B">
      <w:pPr>
        <w:spacing w:after="0" w:line="240" w:lineRule="auto"/>
        <w:ind w:left="20"/>
        <w:jc w:val="both"/>
        <w:rPr>
          <w:rFonts w:ascii="Lato" w:hAnsi="Lato" w:cs="Times New Roman"/>
          <w:sz w:val="20"/>
          <w:szCs w:val="20"/>
        </w:rPr>
      </w:pPr>
    </w:p>
    <w:p w14:paraId="5BFBC7E1" w14:textId="77777777" w:rsidR="00C4650B" w:rsidRPr="00450EAC" w:rsidRDefault="00C4650B" w:rsidP="007F77CE">
      <w:pPr>
        <w:spacing w:after="0" w:line="240" w:lineRule="auto"/>
        <w:jc w:val="both"/>
        <w:rPr>
          <w:rFonts w:ascii="Lato" w:hAnsi="Lato" w:cs="Times New Roman"/>
          <w:b/>
          <w:bCs/>
          <w:sz w:val="20"/>
          <w:szCs w:val="20"/>
        </w:rPr>
      </w:pPr>
      <w:r w:rsidRPr="00450EAC">
        <w:rPr>
          <w:rFonts w:ascii="Lato" w:hAnsi="Lato" w:cs="Times New Roman"/>
          <w:b/>
          <w:bCs/>
          <w:sz w:val="20"/>
          <w:szCs w:val="20"/>
        </w:rPr>
        <w:lastRenderedPageBreak/>
        <w:t xml:space="preserve">Otwarty konkurs ofert na wykonywanie zadań publicznych związanych z realizacją zadań Samorządu Województwa w 2022 roku, pod nazwą: „Wsparcie działań z zakresu opieki nad osobami przewlekle chorymi” </w:t>
      </w:r>
    </w:p>
    <w:p w14:paraId="7B640672" w14:textId="3D8F4F35" w:rsidR="00C4650B" w:rsidRPr="00450EAC" w:rsidRDefault="00C4650B" w:rsidP="007F77CE">
      <w:pPr>
        <w:spacing w:after="0" w:line="240" w:lineRule="auto"/>
        <w:ind w:left="20"/>
        <w:jc w:val="both"/>
        <w:rPr>
          <w:rFonts w:ascii="Lato" w:hAnsi="Lato" w:cs="Times New Roman"/>
          <w:sz w:val="20"/>
          <w:szCs w:val="20"/>
        </w:rPr>
      </w:pPr>
      <w:r w:rsidRPr="00450EAC">
        <w:rPr>
          <w:rFonts w:ascii="Lato" w:hAnsi="Lato" w:cs="Times New Roman"/>
          <w:sz w:val="20"/>
          <w:szCs w:val="20"/>
        </w:rPr>
        <w:t>W ramach konkursu pn. Wsparcie działań z zakresu opieki nad osobami przewlekle chorymi Samorząd Województwa przeznaczył 250 000,00 zł. Dofinansowanie otrzymało 19 organizacji. W ramach konkursu dofinansowywano zadania w obszarach takich jak:</w:t>
      </w:r>
      <w:r w:rsidR="007F77CE" w:rsidRPr="00450EAC">
        <w:rPr>
          <w:rFonts w:ascii="Lato" w:hAnsi="Lato" w:cs="Times New Roman"/>
          <w:sz w:val="20"/>
          <w:szCs w:val="20"/>
        </w:rPr>
        <w:t xml:space="preserve"> </w:t>
      </w:r>
      <w:r w:rsidRPr="00450EAC">
        <w:rPr>
          <w:rFonts w:ascii="Lato" w:hAnsi="Lato" w:cs="Times New Roman"/>
          <w:sz w:val="20"/>
          <w:szCs w:val="20"/>
        </w:rPr>
        <w:t>działania wspierające dla osób przewlekle chorych, działania wspierające dla opiekunów</w:t>
      </w:r>
      <w:r w:rsidR="007F77CE" w:rsidRPr="00450EAC">
        <w:rPr>
          <w:rFonts w:ascii="Lato" w:hAnsi="Lato" w:cs="Times New Roman"/>
          <w:sz w:val="20"/>
          <w:szCs w:val="20"/>
        </w:rPr>
        <w:t xml:space="preserve"> </w:t>
      </w:r>
      <w:r w:rsidRPr="00450EAC">
        <w:rPr>
          <w:rFonts w:ascii="Lato" w:hAnsi="Lato" w:cs="Times New Roman"/>
          <w:sz w:val="20"/>
          <w:szCs w:val="20"/>
        </w:rPr>
        <w:t>i rodzin osób przewlekle chorych.</w:t>
      </w:r>
    </w:p>
    <w:p w14:paraId="47584DCE" w14:textId="77777777" w:rsidR="00C4650B" w:rsidRPr="00450EAC" w:rsidRDefault="00C4650B" w:rsidP="00C4650B">
      <w:pPr>
        <w:spacing w:after="0" w:line="240" w:lineRule="auto"/>
        <w:jc w:val="both"/>
        <w:rPr>
          <w:rFonts w:ascii="Lato" w:hAnsi="Lato" w:cs="Times New Roman"/>
          <w:sz w:val="20"/>
          <w:szCs w:val="20"/>
        </w:rPr>
      </w:pPr>
    </w:p>
    <w:p w14:paraId="21ADC48F" w14:textId="77777777" w:rsidR="00C4650B" w:rsidRPr="00450EAC" w:rsidRDefault="00C4650B" w:rsidP="007F77CE">
      <w:pPr>
        <w:spacing w:after="0" w:line="240" w:lineRule="auto"/>
        <w:jc w:val="both"/>
        <w:rPr>
          <w:rFonts w:ascii="Lato" w:hAnsi="Lato" w:cs="Times New Roman"/>
          <w:b/>
          <w:bCs/>
          <w:sz w:val="20"/>
          <w:szCs w:val="20"/>
        </w:rPr>
      </w:pPr>
      <w:r w:rsidRPr="00450EAC">
        <w:rPr>
          <w:rFonts w:ascii="Lato" w:hAnsi="Lato" w:cs="Times New Roman"/>
          <w:b/>
          <w:bCs/>
          <w:sz w:val="20"/>
          <w:szCs w:val="20"/>
        </w:rPr>
        <w:t>Powołanie Pełnomocnika Wojewody Kujawsko-Pomorskiego ds. Polityki Senioralnej</w:t>
      </w:r>
    </w:p>
    <w:p w14:paraId="225A6AEE" w14:textId="349232B3"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Wojewoda Kujawsko-Pomorski Mikołaj Bogdanowicz z dniem 1 lutego 2022 roku powołał w osobie Mateusza Czarnowskiego Pełnomocnika do spraw Polityki Senioralnej. Podczas licznych wizyt w instytucjach i placówkach, których działalność skierowana jest na poprawę jakości życia osób starszych, pełnomocnik nie tylko rozpoznawał potrzeby seniorów</w:t>
      </w:r>
      <w:r w:rsidR="007F77CE" w:rsidRPr="00450EAC">
        <w:rPr>
          <w:rFonts w:ascii="Lato" w:hAnsi="Lato" w:cs="Times New Roman"/>
          <w:sz w:val="20"/>
          <w:szCs w:val="20"/>
        </w:rPr>
        <w:t xml:space="preserve"> </w:t>
      </w:r>
      <w:r w:rsidRPr="00450EAC">
        <w:rPr>
          <w:rFonts w:ascii="Lato" w:hAnsi="Lato" w:cs="Times New Roman"/>
          <w:sz w:val="20"/>
          <w:szCs w:val="20"/>
        </w:rPr>
        <w:t xml:space="preserve">w województwie, prowadził politykę informacyjną, promował rządowe programy na rzecz seniorów, ale także współpracował z organami samorządu terytorialnego i organizacjami społecznymi m.in. przy organizacji wystawy prac rękodzielniczo-malarskich w Urzędzie Wojewódzkim w Bydgoszczy. </w:t>
      </w:r>
    </w:p>
    <w:p w14:paraId="4C12F8ED" w14:textId="77777777" w:rsidR="00C4650B" w:rsidRPr="00450EAC" w:rsidRDefault="00C4650B" w:rsidP="007F77CE">
      <w:pPr>
        <w:spacing w:after="0" w:line="240" w:lineRule="auto"/>
        <w:jc w:val="both"/>
        <w:rPr>
          <w:rFonts w:ascii="Lato" w:hAnsi="Lato" w:cs="Times New Roman"/>
          <w:sz w:val="20"/>
          <w:szCs w:val="20"/>
        </w:rPr>
      </w:pPr>
    </w:p>
    <w:p w14:paraId="6CE6915C" w14:textId="4C5E8B98" w:rsidR="00C4650B" w:rsidRPr="00450EAC" w:rsidRDefault="00C4650B" w:rsidP="007F77CE">
      <w:pPr>
        <w:spacing w:after="0" w:line="240" w:lineRule="auto"/>
        <w:ind w:left="20"/>
        <w:jc w:val="both"/>
        <w:rPr>
          <w:rFonts w:ascii="Lato" w:hAnsi="Lato" w:cs="Times New Roman"/>
          <w:sz w:val="20"/>
          <w:szCs w:val="20"/>
        </w:rPr>
      </w:pPr>
      <w:r w:rsidRPr="00450EAC">
        <w:rPr>
          <w:rFonts w:ascii="Lato" w:hAnsi="Lato" w:cs="Times New Roman"/>
          <w:sz w:val="20"/>
          <w:szCs w:val="20"/>
        </w:rPr>
        <w:t>W ramach opracowania IX wydania „Informatora dla Seniora” dokonano aktualizacji danych teleadresowych Uniwersytetów Trzeciego Wieku, Klubów Seniora oraz Rad Seniorów</w:t>
      </w:r>
      <w:r w:rsidR="007F77CE" w:rsidRPr="00450EAC">
        <w:rPr>
          <w:rFonts w:ascii="Lato" w:hAnsi="Lato" w:cs="Times New Roman"/>
          <w:sz w:val="20"/>
          <w:szCs w:val="20"/>
        </w:rPr>
        <w:t xml:space="preserve"> </w:t>
      </w:r>
      <w:r w:rsidRPr="00450EAC">
        <w:rPr>
          <w:rFonts w:ascii="Lato" w:hAnsi="Lato" w:cs="Times New Roman"/>
          <w:sz w:val="20"/>
          <w:szCs w:val="20"/>
        </w:rPr>
        <w:t>z terenu województwa kujawsko-pomorskiego.</w:t>
      </w:r>
      <w:r w:rsidR="007F77CE" w:rsidRPr="00450EAC">
        <w:rPr>
          <w:rFonts w:ascii="Lato" w:hAnsi="Lato" w:cs="Times New Roman"/>
          <w:sz w:val="20"/>
          <w:szCs w:val="20"/>
        </w:rPr>
        <w:t xml:space="preserve"> </w:t>
      </w:r>
      <w:r w:rsidRPr="00450EAC">
        <w:rPr>
          <w:rFonts w:ascii="Lato" w:hAnsi="Lato" w:cs="Times New Roman"/>
          <w:sz w:val="20"/>
          <w:szCs w:val="20"/>
        </w:rPr>
        <w:t>Dane za 2022 r</w:t>
      </w:r>
      <w:r w:rsidR="007F77CE" w:rsidRPr="00450EAC">
        <w:rPr>
          <w:rFonts w:ascii="Lato" w:hAnsi="Lato" w:cs="Times New Roman"/>
          <w:sz w:val="20"/>
          <w:szCs w:val="20"/>
        </w:rPr>
        <w:t>. przedstawiają się następująco:</w:t>
      </w:r>
    </w:p>
    <w:p w14:paraId="568C8EFC" w14:textId="77777777" w:rsidR="007F77CE" w:rsidRPr="00450EAC" w:rsidRDefault="00C4650B" w:rsidP="00B73AF7">
      <w:pPr>
        <w:numPr>
          <w:ilvl w:val="0"/>
          <w:numId w:val="46"/>
        </w:numPr>
        <w:spacing w:after="0" w:line="240" w:lineRule="auto"/>
        <w:ind w:left="723"/>
        <w:jc w:val="both"/>
        <w:rPr>
          <w:rFonts w:ascii="Lato" w:hAnsi="Lato" w:cs="Times New Roman"/>
          <w:sz w:val="20"/>
          <w:szCs w:val="20"/>
        </w:rPr>
      </w:pPr>
      <w:r w:rsidRPr="00450EAC">
        <w:rPr>
          <w:rFonts w:ascii="Lato" w:hAnsi="Lato" w:cs="Times New Roman"/>
          <w:sz w:val="20"/>
          <w:szCs w:val="20"/>
        </w:rPr>
        <w:t>84 Uniwersytety Trzeciego Wieku, w tym 49 filii;</w:t>
      </w:r>
    </w:p>
    <w:p w14:paraId="063EFC9D" w14:textId="77777777" w:rsidR="007F77CE" w:rsidRPr="00450EAC" w:rsidRDefault="00C4650B" w:rsidP="00B73AF7">
      <w:pPr>
        <w:numPr>
          <w:ilvl w:val="0"/>
          <w:numId w:val="46"/>
        </w:numPr>
        <w:spacing w:after="0" w:line="240" w:lineRule="auto"/>
        <w:ind w:left="723"/>
        <w:jc w:val="both"/>
        <w:rPr>
          <w:rFonts w:ascii="Lato" w:hAnsi="Lato" w:cs="Times New Roman"/>
          <w:sz w:val="20"/>
          <w:szCs w:val="20"/>
        </w:rPr>
      </w:pPr>
      <w:r w:rsidRPr="00450EAC">
        <w:rPr>
          <w:rFonts w:ascii="Lato" w:hAnsi="Lato" w:cs="Times New Roman"/>
          <w:sz w:val="20"/>
          <w:szCs w:val="20"/>
        </w:rPr>
        <w:t>260 Klubów Seniora;</w:t>
      </w:r>
    </w:p>
    <w:p w14:paraId="69DE3C1A" w14:textId="5B271AE0" w:rsidR="00C4650B" w:rsidRPr="00450EAC" w:rsidRDefault="00C4650B" w:rsidP="00B73AF7">
      <w:pPr>
        <w:numPr>
          <w:ilvl w:val="0"/>
          <w:numId w:val="46"/>
        </w:numPr>
        <w:spacing w:after="0" w:line="240" w:lineRule="auto"/>
        <w:ind w:left="723"/>
        <w:jc w:val="both"/>
        <w:rPr>
          <w:rFonts w:ascii="Lato" w:hAnsi="Lato" w:cs="Times New Roman"/>
          <w:sz w:val="20"/>
          <w:szCs w:val="20"/>
        </w:rPr>
      </w:pPr>
      <w:r w:rsidRPr="00450EAC">
        <w:rPr>
          <w:rFonts w:ascii="Lato" w:hAnsi="Lato" w:cs="Times New Roman"/>
          <w:sz w:val="20"/>
          <w:szCs w:val="20"/>
        </w:rPr>
        <w:t>23 Rady Seniorów:</w:t>
      </w:r>
    </w:p>
    <w:p w14:paraId="0DB4A583" w14:textId="77777777" w:rsidR="00C4650B" w:rsidRPr="00450EAC" w:rsidRDefault="00C4650B" w:rsidP="00C4650B">
      <w:pPr>
        <w:spacing w:after="0" w:line="240" w:lineRule="auto"/>
        <w:ind w:left="740"/>
        <w:jc w:val="both"/>
        <w:rPr>
          <w:rFonts w:ascii="Lato" w:hAnsi="Lato" w:cs="Times New Roman"/>
          <w:sz w:val="20"/>
          <w:szCs w:val="20"/>
        </w:rPr>
      </w:pPr>
    </w:p>
    <w:p w14:paraId="663E53ED" w14:textId="77777777" w:rsidR="00C4650B" w:rsidRPr="00450EAC" w:rsidRDefault="00C4650B" w:rsidP="00C4650B">
      <w:pPr>
        <w:spacing w:after="0" w:line="240" w:lineRule="auto"/>
        <w:ind w:left="20"/>
        <w:jc w:val="both"/>
        <w:rPr>
          <w:rFonts w:ascii="Lato" w:hAnsi="Lato" w:cs="Times New Roman"/>
          <w:b/>
          <w:bCs/>
          <w:sz w:val="20"/>
          <w:szCs w:val="20"/>
        </w:rPr>
      </w:pPr>
      <w:r w:rsidRPr="00450EAC">
        <w:rPr>
          <w:rFonts w:ascii="Lato" w:hAnsi="Lato" w:cs="Times New Roman"/>
          <w:b/>
          <w:bCs/>
          <w:sz w:val="20"/>
          <w:szCs w:val="20"/>
        </w:rPr>
        <w:t>Wojewódzka Rada ds. Polityki Senioralnej</w:t>
      </w:r>
    </w:p>
    <w:p w14:paraId="002693ED" w14:textId="42CA283F" w:rsidR="00C4650B" w:rsidRPr="00450EAC" w:rsidRDefault="00C4650B" w:rsidP="00C4650B">
      <w:pPr>
        <w:spacing w:after="0" w:line="240" w:lineRule="auto"/>
        <w:ind w:left="20"/>
        <w:jc w:val="both"/>
        <w:rPr>
          <w:rFonts w:ascii="Lato" w:hAnsi="Lato" w:cs="Times New Roman"/>
          <w:sz w:val="20"/>
          <w:szCs w:val="20"/>
        </w:rPr>
      </w:pPr>
      <w:r w:rsidRPr="00450EAC">
        <w:rPr>
          <w:rFonts w:ascii="Lato" w:hAnsi="Lato" w:cs="Times New Roman"/>
          <w:sz w:val="20"/>
          <w:szCs w:val="20"/>
        </w:rPr>
        <w:t>Wojewódzka Rada ds. Polityki Senioralnej działa w oparciu o ustawę z dnia 5 czerwca 1998r. o samorządzie województwa (Dz. U. z 2022 r. poz. 2094 ze zm.) oraz uchwałę</w:t>
      </w:r>
      <w:r w:rsidR="007F77CE" w:rsidRPr="00450EAC">
        <w:rPr>
          <w:rFonts w:ascii="Lato" w:hAnsi="Lato" w:cs="Times New Roman"/>
          <w:sz w:val="20"/>
          <w:szCs w:val="20"/>
        </w:rPr>
        <w:t xml:space="preserve"> </w:t>
      </w:r>
      <w:r w:rsidRPr="00450EAC">
        <w:rPr>
          <w:rFonts w:ascii="Lato" w:hAnsi="Lato" w:cs="Times New Roman"/>
          <w:sz w:val="20"/>
          <w:szCs w:val="20"/>
        </w:rPr>
        <w:t>Nr 40/1347/14 Zarządu Województwa Kujawsko-Pomorskiego z dnia 1 października 2014 r. w sprawie powołania Wojewódzkiej Rady ds. Polityki Senioralnej przy Marszałku Województwa Kujawsko-Pomorskiego. Rada opiniowała m.in. program Fundusze Europejskie dla Kujaw i Pomorza 2021-2027 w zakresie zdefiniowanych w dokumencie kierunków i rodzaju działań dotyczących seniorów.</w:t>
      </w:r>
    </w:p>
    <w:p w14:paraId="36A32774" w14:textId="7BDDFF2A" w:rsidR="00C4650B" w:rsidRDefault="00C4650B" w:rsidP="00F95680">
      <w:pPr>
        <w:spacing w:after="0" w:line="240" w:lineRule="auto"/>
        <w:ind w:left="20"/>
        <w:jc w:val="both"/>
        <w:rPr>
          <w:rFonts w:ascii="Lato" w:hAnsi="Lato" w:cs="Times New Roman"/>
          <w:sz w:val="20"/>
          <w:szCs w:val="20"/>
        </w:rPr>
      </w:pPr>
      <w:r w:rsidRPr="00450EAC">
        <w:rPr>
          <w:rFonts w:ascii="Lato" w:hAnsi="Lato" w:cs="Times New Roman"/>
          <w:b/>
          <w:bCs/>
          <w:sz w:val="20"/>
          <w:szCs w:val="20"/>
        </w:rPr>
        <w:t>22 Gminne Rady Seniorów</w:t>
      </w:r>
      <w:r w:rsidRPr="00450EAC">
        <w:rPr>
          <w:rFonts w:ascii="Lato" w:hAnsi="Lato" w:cs="Times New Roman"/>
          <w:sz w:val="20"/>
          <w:szCs w:val="20"/>
        </w:rPr>
        <w:t xml:space="preserve"> (w Bydgoszczy, Grudziądzu, Toruniu, Włocławku, Ciechocinku, Koronowie, Chełmnie (miasto), Świeciu nad Osą, Inowrocławiu, Gniewkowie, Lipnie, Dąbrowie, Mogilnie, Kcyni, Nakle nad Notecią, Szubinie, Bytoniu, Chełmży (miasto), Cekcynie, Śliwicach, Kowalu (miasto), Barcinie.</w:t>
      </w:r>
    </w:p>
    <w:p w14:paraId="0E92EA91" w14:textId="77777777" w:rsidR="00F95680" w:rsidRPr="00F95680" w:rsidRDefault="00F95680" w:rsidP="00F95680">
      <w:pPr>
        <w:spacing w:after="0" w:line="240" w:lineRule="auto"/>
        <w:ind w:left="20"/>
        <w:jc w:val="both"/>
        <w:rPr>
          <w:rFonts w:ascii="Lato" w:hAnsi="Lato" w:cs="Times New Roman"/>
          <w:sz w:val="20"/>
          <w:szCs w:val="20"/>
        </w:rPr>
      </w:pPr>
    </w:p>
    <w:p w14:paraId="1107AB81" w14:textId="45BF13EA" w:rsidR="00193229" w:rsidRDefault="00193229" w:rsidP="00193229">
      <w:pPr>
        <w:pStyle w:val="Legenda"/>
        <w:keepNext/>
      </w:pPr>
      <w:bookmarkStart w:id="132" w:name="_Toc142566024"/>
      <w:r>
        <w:t xml:space="preserve">Tabela </w:t>
      </w:r>
      <w:fldSimple w:instr=" SEQ Tabela \* ARABIC ">
        <w:r w:rsidR="00AA385B">
          <w:rPr>
            <w:noProof/>
          </w:rPr>
          <w:t>61</w:t>
        </w:r>
      </w:fldSimple>
      <w:r>
        <w:t xml:space="preserve"> </w:t>
      </w:r>
      <w:r w:rsidRPr="00EC6FE2">
        <w:t xml:space="preserve">Karta województwa </w:t>
      </w:r>
      <w:r>
        <w:t>kujawsko-pomorskiego</w:t>
      </w:r>
      <w:r w:rsidRPr="00EC6FE2">
        <w:t xml:space="preserve"> za 2022 r.</w:t>
      </w:r>
      <w:bookmarkEnd w:id="132"/>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193229" w:rsidRPr="00F95680" w14:paraId="0461039F" w14:textId="77777777" w:rsidTr="002B0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167E3FC4" w14:textId="77777777" w:rsidR="00193229" w:rsidRPr="00F95680" w:rsidRDefault="00193229" w:rsidP="00CA4EC0">
            <w:pPr>
              <w:jc w:val="center"/>
              <w:rPr>
                <w:rFonts w:ascii="Lato" w:hAnsi="Lato" w:cs="Times New Roman"/>
                <w:color w:val="auto"/>
                <w:sz w:val="18"/>
                <w:szCs w:val="18"/>
              </w:rPr>
            </w:pPr>
            <w:r w:rsidRPr="00F95680">
              <w:rPr>
                <w:rFonts w:ascii="Lato" w:hAnsi="Lato" w:cs="Times New Roman"/>
                <w:color w:val="auto"/>
                <w:sz w:val="18"/>
                <w:szCs w:val="18"/>
              </w:rPr>
              <w:t>WOJEWÓDZTWO KUJAWSKO-POMORSKIE</w:t>
            </w:r>
          </w:p>
        </w:tc>
      </w:tr>
      <w:tr w:rsidR="00193229" w:rsidRPr="00F95680" w14:paraId="63F25E62" w14:textId="77777777" w:rsidTr="0019322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8D48DD5" w14:textId="77777777" w:rsidR="00193229" w:rsidRPr="00F95680" w:rsidRDefault="00193229" w:rsidP="00CA4EC0">
            <w:pPr>
              <w:rPr>
                <w:rFonts w:ascii="Lato" w:hAnsi="Lato" w:cs="Times New Roman"/>
                <w:color w:val="auto"/>
                <w:sz w:val="18"/>
                <w:szCs w:val="18"/>
              </w:rPr>
            </w:pPr>
            <w:r w:rsidRPr="00F95680">
              <w:rPr>
                <w:rFonts w:ascii="Lato" w:hAnsi="Lato" w:cs="Times New Roman"/>
                <w:color w:val="auto"/>
                <w:sz w:val="18"/>
                <w:szCs w:val="18"/>
              </w:rPr>
              <w:t>Informacja o regionie</w:t>
            </w:r>
          </w:p>
        </w:tc>
        <w:tc>
          <w:tcPr>
            <w:tcW w:w="1346" w:type="pct"/>
            <w:shd w:val="clear" w:color="auto" w:fill="auto"/>
          </w:tcPr>
          <w:p w14:paraId="2D51D828"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Liczba gmin</w:t>
            </w:r>
          </w:p>
        </w:tc>
        <w:tc>
          <w:tcPr>
            <w:tcW w:w="2693" w:type="pct"/>
            <w:gridSpan w:val="2"/>
            <w:shd w:val="clear" w:color="auto" w:fill="auto"/>
          </w:tcPr>
          <w:p w14:paraId="37DE3DB7"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144</w:t>
            </w:r>
          </w:p>
        </w:tc>
      </w:tr>
      <w:tr w:rsidR="00193229" w:rsidRPr="00F95680" w14:paraId="2D4D0D40" w14:textId="77777777" w:rsidTr="0019322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41BCBB0" w14:textId="77777777" w:rsidR="00193229" w:rsidRPr="00F95680" w:rsidRDefault="00193229" w:rsidP="00CA4EC0">
            <w:pPr>
              <w:rPr>
                <w:rFonts w:ascii="Lato" w:hAnsi="Lato" w:cs="Times New Roman"/>
                <w:color w:val="auto"/>
                <w:sz w:val="18"/>
                <w:szCs w:val="18"/>
              </w:rPr>
            </w:pPr>
          </w:p>
        </w:tc>
        <w:tc>
          <w:tcPr>
            <w:tcW w:w="1346" w:type="pct"/>
            <w:shd w:val="clear" w:color="auto" w:fill="auto"/>
          </w:tcPr>
          <w:p w14:paraId="196202F8"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Liczba powiatów</w:t>
            </w:r>
          </w:p>
        </w:tc>
        <w:tc>
          <w:tcPr>
            <w:tcW w:w="2693" w:type="pct"/>
            <w:gridSpan w:val="2"/>
            <w:shd w:val="clear" w:color="auto" w:fill="auto"/>
          </w:tcPr>
          <w:p w14:paraId="6018AA60"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19 powiatów i 4 miasta na prawach powiatów</w:t>
            </w:r>
          </w:p>
        </w:tc>
      </w:tr>
      <w:tr w:rsidR="00193229" w:rsidRPr="00F95680" w14:paraId="76EF269E" w14:textId="77777777" w:rsidTr="0019322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0022B11" w14:textId="77777777" w:rsidR="00193229" w:rsidRPr="00F95680" w:rsidRDefault="00193229" w:rsidP="00CA4EC0">
            <w:pPr>
              <w:rPr>
                <w:rFonts w:ascii="Lato" w:hAnsi="Lato" w:cs="Times New Roman"/>
                <w:color w:val="auto"/>
                <w:sz w:val="18"/>
                <w:szCs w:val="18"/>
              </w:rPr>
            </w:pPr>
          </w:p>
        </w:tc>
        <w:tc>
          <w:tcPr>
            <w:tcW w:w="1346" w:type="pct"/>
            <w:shd w:val="clear" w:color="auto" w:fill="auto"/>
          </w:tcPr>
          <w:p w14:paraId="6E3AE458"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Powierzchnia</w:t>
            </w:r>
          </w:p>
        </w:tc>
        <w:tc>
          <w:tcPr>
            <w:tcW w:w="2693" w:type="pct"/>
            <w:gridSpan w:val="2"/>
            <w:shd w:val="clear" w:color="auto" w:fill="auto"/>
          </w:tcPr>
          <w:p w14:paraId="6456F483"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17 972 km</w:t>
            </w:r>
            <w:r w:rsidRPr="00F95680">
              <w:rPr>
                <w:rFonts w:ascii="Lato" w:hAnsi="Lato" w:cs="Times New Roman"/>
                <w:color w:val="auto"/>
                <w:sz w:val="18"/>
                <w:szCs w:val="18"/>
                <w:vertAlign w:val="superscript"/>
              </w:rPr>
              <w:t>2</w:t>
            </w:r>
          </w:p>
        </w:tc>
      </w:tr>
      <w:tr w:rsidR="00193229" w:rsidRPr="00F95680" w14:paraId="354225E5" w14:textId="77777777" w:rsidTr="002B0821">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4FA98438" w14:textId="77777777" w:rsidR="00193229" w:rsidRPr="00F95680" w:rsidRDefault="00193229" w:rsidP="00CA4EC0">
            <w:pPr>
              <w:jc w:val="center"/>
              <w:rPr>
                <w:rFonts w:ascii="Lato" w:hAnsi="Lato" w:cs="Times New Roman"/>
                <w:b w:val="0"/>
                <w:color w:val="auto"/>
                <w:sz w:val="18"/>
                <w:szCs w:val="18"/>
              </w:rPr>
            </w:pPr>
            <w:r w:rsidRPr="00F95680">
              <w:rPr>
                <w:rFonts w:ascii="Lato" w:hAnsi="Lato" w:cs="Times New Roman"/>
                <w:color w:val="auto"/>
                <w:sz w:val="18"/>
                <w:szCs w:val="18"/>
              </w:rPr>
              <w:t>DEMOGRAFIA</w:t>
            </w:r>
          </w:p>
        </w:tc>
      </w:tr>
      <w:tr w:rsidR="00193229" w:rsidRPr="00F95680" w14:paraId="71EE11DB"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5B49BF5" w14:textId="77777777" w:rsidR="00193229" w:rsidRPr="00F95680" w:rsidRDefault="00193229" w:rsidP="00CA4EC0">
            <w:pPr>
              <w:jc w:val="center"/>
              <w:rPr>
                <w:rFonts w:ascii="Lato" w:hAnsi="Lato" w:cs="Times New Roman"/>
                <w:b w:val="0"/>
                <w:color w:val="auto"/>
                <w:sz w:val="18"/>
                <w:szCs w:val="18"/>
                <w:lang w:eastAsia="pl-PL"/>
              </w:rPr>
            </w:pPr>
            <w:r w:rsidRPr="00F95680">
              <w:rPr>
                <w:rFonts w:ascii="Lato" w:hAnsi="Lato" w:cs="Times New Roman"/>
                <w:color w:val="auto"/>
                <w:sz w:val="18"/>
                <w:szCs w:val="18"/>
                <w:lang w:eastAsia="pl-PL"/>
              </w:rPr>
              <w:t>Treść</w:t>
            </w:r>
          </w:p>
        </w:tc>
        <w:tc>
          <w:tcPr>
            <w:tcW w:w="1346" w:type="pct"/>
            <w:shd w:val="clear" w:color="auto" w:fill="auto"/>
          </w:tcPr>
          <w:p w14:paraId="3CCFD0B5" w14:textId="77777777" w:rsidR="00193229" w:rsidRPr="00F95680"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2020 r.</w:t>
            </w:r>
          </w:p>
        </w:tc>
        <w:tc>
          <w:tcPr>
            <w:tcW w:w="1346" w:type="pct"/>
            <w:shd w:val="clear" w:color="auto" w:fill="auto"/>
          </w:tcPr>
          <w:p w14:paraId="0B868D45" w14:textId="77777777" w:rsidR="00193229" w:rsidRPr="00F95680"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2021 r.</w:t>
            </w:r>
          </w:p>
        </w:tc>
        <w:tc>
          <w:tcPr>
            <w:tcW w:w="1347" w:type="pct"/>
            <w:shd w:val="clear" w:color="auto" w:fill="auto"/>
          </w:tcPr>
          <w:p w14:paraId="43E6378E" w14:textId="77777777" w:rsidR="00193229" w:rsidRPr="00F95680"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2022 r.</w:t>
            </w:r>
          </w:p>
        </w:tc>
      </w:tr>
      <w:tr w:rsidR="00193229" w:rsidRPr="00F95680" w14:paraId="55BBC84F"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5300581"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Populacja ogółem</w:t>
            </w:r>
          </w:p>
        </w:tc>
        <w:tc>
          <w:tcPr>
            <w:tcW w:w="1346" w:type="pct"/>
            <w:shd w:val="clear" w:color="auto" w:fill="auto"/>
          </w:tcPr>
          <w:p w14:paraId="2E5004F3"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2031550</w:t>
            </w:r>
          </w:p>
        </w:tc>
        <w:tc>
          <w:tcPr>
            <w:tcW w:w="1346" w:type="pct"/>
            <w:shd w:val="clear" w:color="auto" w:fill="auto"/>
          </w:tcPr>
          <w:p w14:paraId="4EDAA502"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2017720</w:t>
            </w:r>
          </w:p>
        </w:tc>
        <w:tc>
          <w:tcPr>
            <w:tcW w:w="1347" w:type="pct"/>
            <w:shd w:val="clear" w:color="auto" w:fill="auto"/>
          </w:tcPr>
          <w:p w14:paraId="34F9298D"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2006876</w:t>
            </w:r>
          </w:p>
        </w:tc>
      </w:tr>
      <w:tr w:rsidR="00193229" w:rsidRPr="00F95680" w14:paraId="49822A19"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000607C" w14:textId="77777777" w:rsidR="00193229" w:rsidRPr="00F95680" w:rsidRDefault="00193229" w:rsidP="00CA4EC0">
            <w:pPr>
              <w:rPr>
                <w:rFonts w:ascii="Lato" w:hAnsi="Lato" w:cs="Times New Roman"/>
                <w:b w:val="0"/>
                <w:color w:val="auto"/>
                <w:sz w:val="18"/>
                <w:szCs w:val="18"/>
              </w:rPr>
            </w:pPr>
          </w:p>
        </w:tc>
      </w:tr>
      <w:tr w:rsidR="00193229" w:rsidRPr="00F95680" w14:paraId="02155E1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195CBA3" w14:textId="77777777" w:rsidR="00193229" w:rsidRPr="00F95680" w:rsidRDefault="00193229" w:rsidP="00CA4EC0">
            <w:pPr>
              <w:rPr>
                <w:rFonts w:ascii="Lato" w:hAnsi="Lato" w:cs="Times New Roman"/>
                <w:b w:val="0"/>
                <w:color w:val="auto"/>
                <w:sz w:val="18"/>
                <w:szCs w:val="18"/>
              </w:rPr>
            </w:pPr>
            <w:r w:rsidRPr="00F95680">
              <w:rPr>
                <w:rFonts w:ascii="Lato" w:hAnsi="Lato" w:cs="Times New Roman"/>
                <w:color w:val="auto"/>
                <w:sz w:val="18"/>
                <w:szCs w:val="18"/>
                <w:lang w:eastAsia="pl-PL"/>
              </w:rPr>
              <w:t>w wieku 60 lat i więcej</w:t>
            </w:r>
          </w:p>
        </w:tc>
        <w:tc>
          <w:tcPr>
            <w:tcW w:w="1346" w:type="pct"/>
            <w:shd w:val="clear" w:color="auto" w:fill="auto"/>
          </w:tcPr>
          <w:p w14:paraId="0AB1FBC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521391</w:t>
            </w:r>
          </w:p>
        </w:tc>
        <w:tc>
          <w:tcPr>
            <w:tcW w:w="1346" w:type="pct"/>
            <w:shd w:val="clear" w:color="auto" w:fill="auto"/>
          </w:tcPr>
          <w:p w14:paraId="69154A79"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522951</w:t>
            </w:r>
          </w:p>
        </w:tc>
        <w:tc>
          <w:tcPr>
            <w:tcW w:w="1347" w:type="pct"/>
            <w:shd w:val="clear" w:color="auto" w:fill="auto"/>
          </w:tcPr>
          <w:p w14:paraId="70D6F8D8"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527289</w:t>
            </w:r>
          </w:p>
        </w:tc>
      </w:tr>
      <w:tr w:rsidR="00193229" w:rsidRPr="00F95680" w14:paraId="57911B48"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8C7A0A7"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60–64 lata</w:t>
            </w:r>
          </w:p>
        </w:tc>
        <w:tc>
          <w:tcPr>
            <w:tcW w:w="1346" w:type="pct"/>
            <w:shd w:val="clear" w:color="auto" w:fill="auto"/>
          </w:tcPr>
          <w:p w14:paraId="6D6AE9A7"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146660</w:t>
            </w:r>
          </w:p>
        </w:tc>
        <w:tc>
          <w:tcPr>
            <w:tcW w:w="1346" w:type="pct"/>
            <w:shd w:val="clear" w:color="auto" w:fill="auto"/>
          </w:tcPr>
          <w:p w14:paraId="3992AB56"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140930</w:t>
            </w:r>
          </w:p>
        </w:tc>
        <w:tc>
          <w:tcPr>
            <w:tcW w:w="1347" w:type="pct"/>
            <w:shd w:val="clear" w:color="auto" w:fill="auto"/>
          </w:tcPr>
          <w:p w14:paraId="4AC3E0BA"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134658</w:t>
            </w:r>
          </w:p>
        </w:tc>
      </w:tr>
      <w:tr w:rsidR="00193229" w:rsidRPr="00F95680" w14:paraId="5A43D386"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4D07F95"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65–69</w:t>
            </w:r>
          </w:p>
        </w:tc>
        <w:tc>
          <w:tcPr>
            <w:tcW w:w="1346" w:type="pct"/>
            <w:shd w:val="clear" w:color="auto" w:fill="auto"/>
          </w:tcPr>
          <w:p w14:paraId="7DBB5C94"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134017</w:t>
            </w:r>
          </w:p>
        </w:tc>
        <w:tc>
          <w:tcPr>
            <w:tcW w:w="1346" w:type="pct"/>
            <w:shd w:val="clear" w:color="auto" w:fill="auto"/>
          </w:tcPr>
          <w:p w14:paraId="17DB97DF"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135239</w:t>
            </w:r>
          </w:p>
        </w:tc>
        <w:tc>
          <w:tcPr>
            <w:tcW w:w="1347" w:type="pct"/>
            <w:shd w:val="clear" w:color="auto" w:fill="auto"/>
          </w:tcPr>
          <w:p w14:paraId="5E5E1476"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137233</w:t>
            </w:r>
          </w:p>
        </w:tc>
      </w:tr>
      <w:tr w:rsidR="00193229" w:rsidRPr="00F95680" w14:paraId="0CD52D36"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716A1A7"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70–74</w:t>
            </w:r>
          </w:p>
        </w:tc>
        <w:tc>
          <w:tcPr>
            <w:tcW w:w="1346" w:type="pct"/>
            <w:shd w:val="clear" w:color="auto" w:fill="auto"/>
          </w:tcPr>
          <w:p w14:paraId="3A448C0A"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106497</w:t>
            </w:r>
          </w:p>
        </w:tc>
        <w:tc>
          <w:tcPr>
            <w:tcW w:w="1346" w:type="pct"/>
            <w:shd w:val="clear" w:color="auto" w:fill="auto"/>
          </w:tcPr>
          <w:p w14:paraId="72BD2596"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109186</w:t>
            </w:r>
          </w:p>
        </w:tc>
        <w:tc>
          <w:tcPr>
            <w:tcW w:w="1347" w:type="pct"/>
            <w:shd w:val="clear" w:color="auto" w:fill="auto"/>
          </w:tcPr>
          <w:p w14:paraId="5D57D00B"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111967</w:t>
            </w:r>
          </w:p>
        </w:tc>
      </w:tr>
      <w:tr w:rsidR="00193229" w:rsidRPr="00F95680" w14:paraId="2C473973"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93423B7"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75–79</w:t>
            </w:r>
          </w:p>
        </w:tc>
        <w:tc>
          <w:tcPr>
            <w:tcW w:w="1346" w:type="pct"/>
            <w:shd w:val="clear" w:color="auto" w:fill="auto"/>
          </w:tcPr>
          <w:p w14:paraId="104B1F0A"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51551</w:t>
            </w:r>
          </w:p>
        </w:tc>
        <w:tc>
          <w:tcPr>
            <w:tcW w:w="1346" w:type="pct"/>
            <w:shd w:val="clear" w:color="auto" w:fill="auto"/>
          </w:tcPr>
          <w:p w14:paraId="2CF28A44"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56583</w:t>
            </w:r>
          </w:p>
        </w:tc>
        <w:tc>
          <w:tcPr>
            <w:tcW w:w="1347" w:type="pct"/>
            <w:shd w:val="clear" w:color="auto" w:fill="auto"/>
          </w:tcPr>
          <w:p w14:paraId="6FAF1F0D"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62928</w:t>
            </w:r>
          </w:p>
        </w:tc>
      </w:tr>
      <w:tr w:rsidR="00193229" w:rsidRPr="00F95680" w14:paraId="5300E4C1"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373B0D7"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80–84</w:t>
            </w:r>
          </w:p>
        </w:tc>
        <w:tc>
          <w:tcPr>
            <w:tcW w:w="1346" w:type="pct"/>
            <w:shd w:val="clear" w:color="auto" w:fill="auto"/>
          </w:tcPr>
          <w:p w14:paraId="48540D8F"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42675</w:t>
            </w:r>
          </w:p>
        </w:tc>
        <w:tc>
          <w:tcPr>
            <w:tcW w:w="1346" w:type="pct"/>
            <w:shd w:val="clear" w:color="auto" w:fill="auto"/>
          </w:tcPr>
          <w:p w14:paraId="5B98FE8A"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41662</w:t>
            </w:r>
          </w:p>
        </w:tc>
        <w:tc>
          <w:tcPr>
            <w:tcW w:w="1347" w:type="pct"/>
            <w:shd w:val="clear" w:color="auto" w:fill="auto"/>
          </w:tcPr>
          <w:p w14:paraId="1769DAF0"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40812</w:t>
            </w:r>
          </w:p>
        </w:tc>
      </w:tr>
      <w:tr w:rsidR="00193229" w:rsidRPr="00F95680" w14:paraId="07E5504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454A976"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85 lat i więcej</w:t>
            </w:r>
          </w:p>
        </w:tc>
        <w:tc>
          <w:tcPr>
            <w:tcW w:w="1346" w:type="pct"/>
            <w:shd w:val="clear" w:color="auto" w:fill="auto"/>
          </w:tcPr>
          <w:p w14:paraId="1EF5FC8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39991</w:t>
            </w:r>
          </w:p>
        </w:tc>
        <w:tc>
          <w:tcPr>
            <w:tcW w:w="1346" w:type="pct"/>
            <w:shd w:val="clear" w:color="auto" w:fill="auto"/>
          </w:tcPr>
          <w:p w14:paraId="5DE630D1"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39351</w:t>
            </w:r>
          </w:p>
        </w:tc>
        <w:tc>
          <w:tcPr>
            <w:tcW w:w="1347" w:type="pct"/>
            <w:shd w:val="clear" w:color="auto" w:fill="auto"/>
          </w:tcPr>
          <w:p w14:paraId="62EBB756"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39691</w:t>
            </w:r>
          </w:p>
        </w:tc>
      </w:tr>
      <w:tr w:rsidR="00193229" w:rsidRPr="00F95680" w14:paraId="61C0F80B"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345C588"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Przeciętne dalsze trwanie życia</w:t>
            </w:r>
          </w:p>
        </w:tc>
        <w:tc>
          <w:tcPr>
            <w:tcW w:w="1346" w:type="pct"/>
            <w:shd w:val="clear" w:color="auto" w:fill="auto"/>
          </w:tcPr>
          <w:p w14:paraId="26B7B10C"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męskiej – 72,4</w:t>
            </w:r>
          </w:p>
          <w:p w14:paraId="700FED81"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żeńskiej – 80,4</w:t>
            </w:r>
          </w:p>
          <w:p w14:paraId="2E175E08"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Mężczyzna w wieku 60 lat – 17,8</w:t>
            </w:r>
          </w:p>
          <w:p w14:paraId="517F2F9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Kobieta w wieku 60 – 22,9</w:t>
            </w:r>
          </w:p>
        </w:tc>
        <w:tc>
          <w:tcPr>
            <w:tcW w:w="1346" w:type="pct"/>
            <w:shd w:val="clear" w:color="auto" w:fill="auto"/>
          </w:tcPr>
          <w:p w14:paraId="1751E07E"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męskiej – 71,3</w:t>
            </w:r>
          </w:p>
          <w:p w14:paraId="3B1E086E"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żeńskiej – 78,9</w:t>
            </w:r>
          </w:p>
          <w:p w14:paraId="0A3648D1"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Mężczyzna w wieku 60 lat – 17,0</w:t>
            </w:r>
          </w:p>
          <w:p w14:paraId="5F944022"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Kobieta w wieku 60 – 21,9</w:t>
            </w:r>
          </w:p>
        </w:tc>
        <w:tc>
          <w:tcPr>
            <w:tcW w:w="1347" w:type="pct"/>
            <w:shd w:val="clear" w:color="auto" w:fill="auto"/>
          </w:tcPr>
          <w:p w14:paraId="556D39C2"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męskiej – 73,3</w:t>
            </w:r>
          </w:p>
          <w:p w14:paraId="5A4DA66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Noworodek płci żeńskiej – 80,2</w:t>
            </w:r>
          </w:p>
          <w:p w14:paraId="6FF5E94D"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 xml:space="preserve">Mężczyzna w wieku 60 lat – 18,5 </w:t>
            </w:r>
          </w:p>
          <w:p w14:paraId="4804230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Kobieta w wieku 60 – 23,0</w:t>
            </w:r>
          </w:p>
        </w:tc>
      </w:tr>
      <w:tr w:rsidR="00193229" w:rsidRPr="00F95680" w14:paraId="5E35DD86"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2F8ADCA"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lastRenderedPageBreak/>
              <w:t>Współczynnik feminizacji</w:t>
            </w:r>
          </w:p>
        </w:tc>
        <w:tc>
          <w:tcPr>
            <w:tcW w:w="1346" w:type="pct"/>
            <w:shd w:val="clear" w:color="auto" w:fill="auto"/>
          </w:tcPr>
          <w:p w14:paraId="592FF885"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107</w:t>
            </w:r>
          </w:p>
        </w:tc>
        <w:tc>
          <w:tcPr>
            <w:tcW w:w="1346" w:type="pct"/>
            <w:shd w:val="clear" w:color="auto" w:fill="auto"/>
          </w:tcPr>
          <w:p w14:paraId="205DF3DD"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107</w:t>
            </w:r>
          </w:p>
        </w:tc>
        <w:tc>
          <w:tcPr>
            <w:tcW w:w="1347" w:type="pct"/>
            <w:shd w:val="clear" w:color="auto" w:fill="auto"/>
          </w:tcPr>
          <w:p w14:paraId="4F612E31"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107</w:t>
            </w:r>
          </w:p>
        </w:tc>
      </w:tr>
      <w:tr w:rsidR="00193229" w:rsidRPr="00F95680" w14:paraId="12ED6F56"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38041B5"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7A65A966"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27,9</w:t>
            </w:r>
          </w:p>
        </w:tc>
        <w:tc>
          <w:tcPr>
            <w:tcW w:w="1346" w:type="pct"/>
            <w:shd w:val="clear" w:color="auto" w:fill="auto"/>
          </w:tcPr>
          <w:p w14:paraId="2920966E"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28,9</w:t>
            </w:r>
          </w:p>
        </w:tc>
        <w:tc>
          <w:tcPr>
            <w:tcW w:w="1347" w:type="pct"/>
            <w:shd w:val="clear" w:color="auto" w:fill="auto"/>
          </w:tcPr>
          <w:p w14:paraId="6237D4D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30,0</w:t>
            </w:r>
          </w:p>
        </w:tc>
      </w:tr>
      <w:tr w:rsidR="00193229" w:rsidRPr="00F95680" w14:paraId="4000C96E"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9D4FC4D"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Współczynnik zgonów</w:t>
            </w:r>
          </w:p>
        </w:tc>
        <w:tc>
          <w:tcPr>
            <w:tcW w:w="1346" w:type="pct"/>
            <w:shd w:val="clear" w:color="auto" w:fill="auto"/>
          </w:tcPr>
          <w:p w14:paraId="3ADFE972"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12,5</w:t>
            </w:r>
          </w:p>
        </w:tc>
        <w:tc>
          <w:tcPr>
            <w:tcW w:w="1346" w:type="pct"/>
            <w:shd w:val="clear" w:color="auto" w:fill="auto"/>
          </w:tcPr>
          <w:p w14:paraId="3B0B7B3A"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14,0</w:t>
            </w:r>
          </w:p>
        </w:tc>
        <w:tc>
          <w:tcPr>
            <w:tcW w:w="1347" w:type="pct"/>
            <w:shd w:val="clear" w:color="auto" w:fill="auto"/>
          </w:tcPr>
          <w:p w14:paraId="42833E7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12,0</w:t>
            </w:r>
          </w:p>
        </w:tc>
      </w:tr>
      <w:tr w:rsidR="00193229" w:rsidRPr="00F95680" w14:paraId="18358186" w14:textId="77777777" w:rsidTr="002B082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93C4524" w14:textId="77777777" w:rsidR="00193229" w:rsidRPr="00F95680" w:rsidRDefault="00193229" w:rsidP="00CA4EC0">
            <w:pPr>
              <w:jc w:val="center"/>
              <w:rPr>
                <w:rFonts w:ascii="Lato" w:hAnsi="Lato" w:cs="Times New Roman"/>
                <w:color w:val="auto"/>
                <w:sz w:val="18"/>
                <w:szCs w:val="18"/>
              </w:rPr>
            </w:pPr>
            <w:r w:rsidRPr="00F95680">
              <w:rPr>
                <w:rFonts w:ascii="Lato" w:hAnsi="Lato" w:cs="Times New Roman"/>
                <w:color w:val="auto"/>
                <w:sz w:val="18"/>
                <w:szCs w:val="18"/>
                <w:lang w:eastAsia="pl-PL"/>
              </w:rPr>
              <w:t xml:space="preserve">AKTYWNOŚĆ EKONOMICZNA OSÓB STARSZYCH – DANE ZA 2022 R. </w:t>
            </w:r>
            <w:r w:rsidRPr="00F95680">
              <w:rPr>
                <w:rFonts w:ascii="Lato" w:hAnsi="Lato" w:cs="Times New Roman"/>
                <w:color w:val="auto"/>
                <w:sz w:val="18"/>
                <w:szCs w:val="18"/>
                <w:vertAlign w:val="superscript"/>
                <w:lang w:eastAsia="pl-PL"/>
              </w:rPr>
              <w:t>1)</w:t>
            </w:r>
          </w:p>
        </w:tc>
      </w:tr>
      <w:tr w:rsidR="00193229" w:rsidRPr="00F95680" w14:paraId="4DF63350"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57B6A681" w14:textId="77777777" w:rsidR="00193229" w:rsidRPr="00F95680" w:rsidRDefault="00193229" w:rsidP="00CA4EC0">
            <w:pPr>
              <w:rPr>
                <w:rFonts w:ascii="Lato" w:hAnsi="Lato" w:cs="Times New Roman"/>
                <w:color w:val="auto"/>
                <w:sz w:val="18"/>
                <w:szCs w:val="18"/>
              </w:rPr>
            </w:pPr>
            <w:r w:rsidRPr="00F95680">
              <w:rPr>
                <w:rFonts w:ascii="Lato" w:hAnsi="Lato" w:cs="Times New Roman"/>
                <w:color w:val="auto"/>
                <w:sz w:val="18"/>
                <w:szCs w:val="18"/>
              </w:rPr>
              <w:t>Podział</w:t>
            </w:r>
          </w:p>
        </w:tc>
        <w:tc>
          <w:tcPr>
            <w:tcW w:w="2693" w:type="pct"/>
            <w:gridSpan w:val="2"/>
            <w:shd w:val="clear" w:color="auto" w:fill="auto"/>
          </w:tcPr>
          <w:p w14:paraId="151E7EE1" w14:textId="77777777" w:rsidR="00193229" w:rsidRPr="00F95680"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Liczba</w:t>
            </w:r>
          </w:p>
        </w:tc>
      </w:tr>
      <w:tr w:rsidR="00193229" w:rsidRPr="00F95680" w14:paraId="781A0BCD"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91B5907"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Osoby aktywne zawodowo razem (w tys.)</w:t>
            </w:r>
          </w:p>
        </w:tc>
        <w:tc>
          <w:tcPr>
            <w:tcW w:w="1346" w:type="pct"/>
            <w:shd w:val="clear" w:color="auto" w:fill="auto"/>
          </w:tcPr>
          <w:p w14:paraId="293360FF"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331CEF6E"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938</w:t>
            </w:r>
          </w:p>
        </w:tc>
      </w:tr>
      <w:tr w:rsidR="00193229" w:rsidRPr="00F95680" w14:paraId="555AEF26"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A43A432" w14:textId="77777777" w:rsidR="00193229" w:rsidRPr="00F95680" w:rsidRDefault="00193229" w:rsidP="00CA4EC0">
            <w:pPr>
              <w:rPr>
                <w:rFonts w:ascii="Lato" w:hAnsi="Lato" w:cs="Times New Roman"/>
                <w:b w:val="0"/>
                <w:color w:val="auto"/>
                <w:sz w:val="18"/>
                <w:szCs w:val="18"/>
                <w:lang w:eastAsia="pl-PL"/>
              </w:rPr>
            </w:pPr>
          </w:p>
        </w:tc>
        <w:tc>
          <w:tcPr>
            <w:tcW w:w="1346" w:type="pct"/>
            <w:shd w:val="clear" w:color="auto" w:fill="auto"/>
          </w:tcPr>
          <w:p w14:paraId="2FFEDB38"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60-89 lat</w:t>
            </w:r>
          </w:p>
        </w:tc>
        <w:tc>
          <w:tcPr>
            <w:tcW w:w="2693" w:type="pct"/>
            <w:gridSpan w:val="2"/>
            <w:shd w:val="clear" w:color="auto" w:fill="auto"/>
          </w:tcPr>
          <w:p w14:paraId="5F2CD101"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76</w:t>
            </w:r>
          </w:p>
        </w:tc>
      </w:tr>
      <w:tr w:rsidR="00193229" w:rsidRPr="00F95680" w14:paraId="31D5C1BF"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C957234"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 xml:space="preserve">Osoby aktywne zawodowo </w:t>
            </w:r>
            <w:r w:rsidRPr="00F95680">
              <w:rPr>
                <w:rFonts w:ascii="Lato" w:hAnsi="Lato" w:cs="Times New Roman"/>
                <w:color w:val="auto"/>
                <w:sz w:val="18"/>
                <w:szCs w:val="18"/>
                <w:lang w:eastAsia="pl-PL"/>
              </w:rPr>
              <w:br/>
              <w:t>– pracujący (w tys.)</w:t>
            </w:r>
          </w:p>
        </w:tc>
        <w:tc>
          <w:tcPr>
            <w:tcW w:w="1346" w:type="pct"/>
            <w:shd w:val="clear" w:color="auto" w:fill="auto"/>
          </w:tcPr>
          <w:p w14:paraId="2C4AEFDC"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51E0A2E3"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902</w:t>
            </w:r>
          </w:p>
        </w:tc>
      </w:tr>
      <w:tr w:rsidR="00193229" w:rsidRPr="00F95680" w14:paraId="10E408BF"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07689B6" w14:textId="77777777" w:rsidR="00193229" w:rsidRPr="00F95680" w:rsidRDefault="00193229" w:rsidP="00CA4EC0">
            <w:pPr>
              <w:rPr>
                <w:rFonts w:ascii="Lato" w:hAnsi="Lato" w:cs="Times New Roman"/>
                <w:b w:val="0"/>
                <w:color w:val="auto"/>
                <w:sz w:val="18"/>
                <w:szCs w:val="18"/>
                <w:lang w:eastAsia="pl-PL"/>
              </w:rPr>
            </w:pPr>
          </w:p>
        </w:tc>
        <w:tc>
          <w:tcPr>
            <w:tcW w:w="1346" w:type="pct"/>
            <w:shd w:val="clear" w:color="auto" w:fill="auto"/>
          </w:tcPr>
          <w:p w14:paraId="0E8DF658"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60-89 lat</w:t>
            </w:r>
          </w:p>
        </w:tc>
        <w:tc>
          <w:tcPr>
            <w:tcW w:w="2693" w:type="pct"/>
            <w:gridSpan w:val="2"/>
            <w:shd w:val="clear" w:color="auto" w:fill="auto"/>
          </w:tcPr>
          <w:p w14:paraId="77303EBE"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74</w:t>
            </w:r>
          </w:p>
        </w:tc>
      </w:tr>
      <w:tr w:rsidR="00193229" w:rsidRPr="00F95680" w14:paraId="6ACB7B51"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7303578"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Osoby bierne zawodowo (w tys.)</w:t>
            </w:r>
          </w:p>
        </w:tc>
        <w:tc>
          <w:tcPr>
            <w:tcW w:w="1346" w:type="pct"/>
            <w:shd w:val="clear" w:color="auto" w:fill="auto"/>
          </w:tcPr>
          <w:p w14:paraId="2F800B45"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5E3D2544"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674</w:t>
            </w:r>
          </w:p>
        </w:tc>
      </w:tr>
      <w:tr w:rsidR="00193229" w:rsidRPr="00F95680" w14:paraId="486CFBF7"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B46B58F" w14:textId="77777777" w:rsidR="00193229" w:rsidRPr="00F95680" w:rsidRDefault="00193229" w:rsidP="00CA4EC0">
            <w:pPr>
              <w:rPr>
                <w:rFonts w:ascii="Lato" w:hAnsi="Lato" w:cs="Times New Roman"/>
                <w:b w:val="0"/>
                <w:color w:val="auto"/>
                <w:sz w:val="18"/>
                <w:szCs w:val="18"/>
                <w:lang w:eastAsia="pl-PL"/>
              </w:rPr>
            </w:pPr>
          </w:p>
        </w:tc>
        <w:tc>
          <w:tcPr>
            <w:tcW w:w="1346" w:type="pct"/>
            <w:shd w:val="clear" w:color="auto" w:fill="auto"/>
          </w:tcPr>
          <w:p w14:paraId="02AFEE6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60-89 lat</w:t>
            </w:r>
          </w:p>
        </w:tc>
        <w:tc>
          <w:tcPr>
            <w:tcW w:w="2693" w:type="pct"/>
            <w:gridSpan w:val="2"/>
            <w:shd w:val="clear" w:color="auto" w:fill="auto"/>
          </w:tcPr>
          <w:p w14:paraId="325A2C94"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428</w:t>
            </w:r>
          </w:p>
        </w:tc>
      </w:tr>
      <w:tr w:rsidR="00193229" w:rsidRPr="00F95680" w14:paraId="3715FBEE"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80B072D"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Współczynnik aktywności zawodowej %</w:t>
            </w:r>
          </w:p>
        </w:tc>
        <w:tc>
          <w:tcPr>
            <w:tcW w:w="1346" w:type="pct"/>
            <w:shd w:val="clear" w:color="auto" w:fill="auto"/>
          </w:tcPr>
          <w:p w14:paraId="7A1F1805"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15E96D62"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58,2</w:t>
            </w:r>
          </w:p>
        </w:tc>
      </w:tr>
      <w:tr w:rsidR="00193229" w:rsidRPr="00F95680" w14:paraId="50F17870"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16E9D32" w14:textId="77777777" w:rsidR="00193229" w:rsidRPr="00F95680" w:rsidRDefault="00193229" w:rsidP="00CA4EC0">
            <w:pPr>
              <w:rPr>
                <w:rFonts w:ascii="Lato" w:hAnsi="Lato" w:cs="Times New Roman"/>
                <w:b w:val="0"/>
                <w:color w:val="auto"/>
                <w:sz w:val="18"/>
                <w:szCs w:val="18"/>
                <w:lang w:eastAsia="pl-PL"/>
              </w:rPr>
            </w:pPr>
          </w:p>
        </w:tc>
        <w:tc>
          <w:tcPr>
            <w:tcW w:w="1346" w:type="pct"/>
            <w:shd w:val="clear" w:color="auto" w:fill="auto"/>
          </w:tcPr>
          <w:p w14:paraId="6B9168C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60-89 lat</w:t>
            </w:r>
          </w:p>
        </w:tc>
        <w:tc>
          <w:tcPr>
            <w:tcW w:w="2693" w:type="pct"/>
            <w:gridSpan w:val="2"/>
            <w:shd w:val="clear" w:color="auto" w:fill="auto"/>
          </w:tcPr>
          <w:p w14:paraId="446E2796"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15,1</w:t>
            </w:r>
          </w:p>
        </w:tc>
      </w:tr>
      <w:tr w:rsidR="00193229" w:rsidRPr="00F95680" w14:paraId="0B0B1026" w14:textId="77777777" w:rsidTr="0019322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AA63D73" w14:textId="77777777" w:rsidR="00193229" w:rsidRPr="00F95680" w:rsidRDefault="00193229" w:rsidP="00CA4EC0">
            <w:pPr>
              <w:rPr>
                <w:rFonts w:ascii="Lato" w:hAnsi="Lato" w:cs="Times New Roman"/>
                <w:b w:val="0"/>
                <w:color w:val="auto"/>
                <w:sz w:val="18"/>
                <w:szCs w:val="18"/>
                <w:lang w:eastAsia="pl-PL"/>
              </w:rPr>
            </w:pPr>
            <w:r w:rsidRPr="00F95680">
              <w:rPr>
                <w:rFonts w:ascii="Lato" w:hAnsi="Lato" w:cs="Times New Roman"/>
                <w:color w:val="auto"/>
                <w:sz w:val="18"/>
                <w:szCs w:val="18"/>
                <w:lang w:eastAsia="pl-PL"/>
              </w:rPr>
              <w:t>Wskaźnik zatrudnienia %</w:t>
            </w:r>
          </w:p>
        </w:tc>
        <w:tc>
          <w:tcPr>
            <w:tcW w:w="1346" w:type="pct"/>
            <w:shd w:val="clear" w:color="auto" w:fill="auto"/>
          </w:tcPr>
          <w:p w14:paraId="369039AC"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56014D9B"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56,0</w:t>
            </w:r>
          </w:p>
        </w:tc>
      </w:tr>
      <w:tr w:rsidR="00193229" w:rsidRPr="00F95680" w14:paraId="6785FB7B"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277374E" w14:textId="77777777" w:rsidR="00193229" w:rsidRPr="00F95680" w:rsidRDefault="00193229" w:rsidP="00CA4EC0">
            <w:pPr>
              <w:rPr>
                <w:rFonts w:ascii="Lato" w:hAnsi="Lato" w:cs="Times New Roman"/>
                <w:b w:val="0"/>
                <w:color w:val="auto"/>
                <w:sz w:val="18"/>
                <w:szCs w:val="18"/>
                <w:lang w:eastAsia="pl-PL"/>
              </w:rPr>
            </w:pPr>
          </w:p>
        </w:tc>
        <w:tc>
          <w:tcPr>
            <w:tcW w:w="1346" w:type="pct"/>
            <w:shd w:val="clear" w:color="auto" w:fill="auto"/>
          </w:tcPr>
          <w:p w14:paraId="72917955"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60-89 lat</w:t>
            </w:r>
          </w:p>
        </w:tc>
        <w:tc>
          <w:tcPr>
            <w:tcW w:w="2693" w:type="pct"/>
            <w:gridSpan w:val="2"/>
            <w:shd w:val="clear" w:color="auto" w:fill="auto"/>
          </w:tcPr>
          <w:p w14:paraId="51E8B574"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14,7</w:t>
            </w:r>
          </w:p>
        </w:tc>
      </w:tr>
      <w:tr w:rsidR="00193229" w:rsidRPr="00F95680" w14:paraId="2DD0013D" w14:textId="77777777" w:rsidTr="0019322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A0D7D72" w14:textId="77777777" w:rsidR="00193229" w:rsidRPr="00F95680" w:rsidRDefault="00193229" w:rsidP="00CA4EC0">
            <w:pPr>
              <w:rPr>
                <w:rFonts w:ascii="Lato" w:hAnsi="Lato" w:cs="Times New Roman"/>
                <w:b w:val="0"/>
                <w:color w:val="auto"/>
                <w:sz w:val="18"/>
                <w:szCs w:val="18"/>
                <w:lang w:eastAsia="pl-PL"/>
              </w:rPr>
            </w:pPr>
            <w:r w:rsidRPr="00F95680">
              <w:rPr>
                <w:rFonts w:ascii="Lato" w:eastAsia="Times New Roman" w:hAnsi="Lato" w:cs="Times New Roman"/>
                <w:color w:val="auto"/>
                <w:sz w:val="18"/>
                <w:szCs w:val="18"/>
                <w:lang w:eastAsia="pl-PL"/>
              </w:rPr>
              <w:t>Osoby bierne zawodowo  w wieku 60-74 lata według wybranych przyczyn bierności (w tys.)</w:t>
            </w:r>
          </w:p>
        </w:tc>
        <w:tc>
          <w:tcPr>
            <w:tcW w:w="1346" w:type="pct"/>
            <w:shd w:val="clear" w:color="auto" w:fill="auto"/>
          </w:tcPr>
          <w:p w14:paraId="12923723"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0E5A0073"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310</w:t>
            </w:r>
          </w:p>
        </w:tc>
      </w:tr>
      <w:tr w:rsidR="00193229" w:rsidRPr="00F95680" w14:paraId="0445E08A"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FCC4340"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7A3CA9AA"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w:t>
            </w:r>
          </w:p>
        </w:tc>
      </w:tr>
      <w:tr w:rsidR="00193229" w:rsidRPr="00F95680" w14:paraId="2F05FA5C"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7C3B254"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99CE9B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F95680">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13BF5AAA"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310</w:t>
            </w:r>
          </w:p>
        </w:tc>
      </w:tr>
      <w:tr w:rsidR="00193229" w:rsidRPr="00F95680" w14:paraId="65E13E42"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36263A8"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095DB67"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500EE12C"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282</w:t>
            </w:r>
          </w:p>
        </w:tc>
      </w:tr>
      <w:tr w:rsidR="00193229" w:rsidRPr="00F95680" w14:paraId="484FBBF9"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D1E4BB0"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E4A4D04"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6379877D"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21</w:t>
            </w:r>
          </w:p>
        </w:tc>
      </w:tr>
      <w:tr w:rsidR="00193229" w:rsidRPr="00F95680" w14:paraId="6F472979" w14:textId="77777777" w:rsidTr="0019322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5EB1912" w14:textId="77777777" w:rsidR="00193229" w:rsidRPr="00F95680" w:rsidRDefault="00193229" w:rsidP="00CA4EC0">
            <w:pPr>
              <w:rPr>
                <w:rFonts w:ascii="Lato" w:eastAsia="Times New Roman" w:hAnsi="Lato" w:cs="Times New Roman"/>
                <w:b w:val="0"/>
                <w:bCs w:val="0"/>
                <w:color w:val="auto"/>
                <w:sz w:val="18"/>
                <w:szCs w:val="18"/>
                <w:lang w:eastAsia="pl-PL"/>
              </w:rPr>
            </w:pPr>
            <w:r w:rsidRPr="00F95680">
              <w:rPr>
                <w:rFonts w:ascii="Lato" w:eastAsia="Times New Roman" w:hAnsi="Lato" w:cs="Times New Roman"/>
                <w:color w:val="auto"/>
                <w:sz w:val="18"/>
                <w:szCs w:val="18"/>
                <w:lang w:eastAsia="pl-PL"/>
              </w:rPr>
              <w:t xml:space="preserve">Osoby bezrobotne zarejestrowane w urzędach pracy (w tys.) </w:t>
            </w:r>
            <w:r w:rsidRPr="00F95680">
              <w:rPr>
                <w:rFonts w:ascii="Lato" w:eastAsia="Times New Roman" w:hAnsi="Lato" w:cs="Times New Roman"/>
                <w:color w:val="auto"/>
                <w:sz w:val="18"/>
                <w:szCs w:val="18"/>
                <w:vertAlign w:val="superscript"/>
                <w:lang w:eastAsia="pl-PL"/>
              </w:rPr>
              <w:t>2)</w:t>
            </w:r>
          </w:p>
        </w:tc>
        <w:tc>
          <w:tcPr>
            <w:tcW w:w="1346" w:type="pct"/>
            <w:shd w:val="clear" w:color="auto" w:fill="auto"/>
          </w:tcPr>
          <w:p w14:paraId="172DAAAC"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Ogółem</w:t>
            </w:r>
          </w:p>
        </w:tc>
        <w:tc>
          <w:tcPr>
            <w:tcW w:w="2693" w:type="pct"/>
            <w:gridSpan w:val="2"/>
            <w:shd w:val="clear" w:color="auto" w:fill="auto"/>
          </w:tcPr>
          <w:p w14:paraId="4DF947E0"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56,5</w:t>
            </w:r>
          </w:p>
        </w:tc>
      </w:tr>
      <w:tr w:rsidR="00193229" w:rsidRPr="00F95680" w14:paraId="43D8ADDF"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80F03A4"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30B67A6"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w tym w wieku 60-64 lata</w:t>
            </w:r>
          </w:p>
        </w:tc>
        <w:tc>
          <w:tcPr>
            <w:tcW w:w="2693" w:type="pct"/>
            <w:gridSpan w:val="2"/>
            <w:shd w:val="clear" w:color="auto" w:fill="auto"/>
          </w:tcPr>
          <w:p w14:paraId="37940034"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3,1</w:t>
            </w:r>
          </w:p>
        </w:tc>
      </w:tr>
      <w:tr w:rsidR="00193229" w:rsidRPr="00F95680" w14:paraId="0699C3FE" w14:textId="77777777" w:rsidTr="0019322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A931BD3" w14:textId="77777777" w:rsidR="00193229" w:rsidRPr="00F95680" w:rsidRDefault="00193229" w:rsidP="00CA4EC0">
            <w:pPr>
              <w:rPr>
                <w:rFonts w:ascii="Lato" w:eastAsia="Times New Roman" w:hAnsi="Lato" w:cs="Times New Roman"/>
                <w:b w:val="0"/>
                <w:bCs w:val="0"/>
                <w:color w:val="auto"/>
                <w:sz w:val="18"/>
                <w:szCs w:val="18"/>
                <w:lang w:eastAsia="pl-PL"/>
              </w:rPr>
            </w:pPr>
            <w:r w:rsidRPr="00F95680">
              <w:rPr>
                <w:rFonts w:ascii="Lato" w:eastAsia="Times New Roman" w:hAnsi="Lato" w:cs="Times New Roman"/>
                <w:color w:val="auto"/>
                <w:sz w:val="18"/>
                <w:szCs w:val="18"/>
                <w:lang w:eastAsia="pl-PL"/>
              </w:rPr>
              <w:t xml:space="preserve">Osoby pobierające renty </w:t>
            </w:r>
            <w:r w:rsidRPr="00F95680">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289F695C" w14:textId="77777777" w:rsidR="00193229" w:rsidRPr="00F95680" w:rsidRDefault="0019322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ZUS</w:t>
            </w:r>
          </w:p>
        </w:tc>
      </w:tr>
      <w:tr w:rsidR="00193229" w:rsidRPr="00F95680" w14:paraId="5B83CE5D" w14:textId="77777777" w:rsidTr="0019322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400AB62"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8BBACB6" w14:textId="77777777" w:rsidR="00193229" w:rsidRPr="00F95680"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Rodzaj świadczenia</w:t>
            </w:r>
          </w:p>
        </w:tc>
        <w:tc>
          <w:tcPr>
            <w:tcW w:w="2693" w:type="pct"/>
            <w:gridSpan w:val="2"/>
            <w:shd w:val="clear" w:color="auto" w:fill="auto"/>
          </w:tcPr>
          <w:p w14:paraId="12DDA15B" w14:textId="77777777" w:rsidR="00193229" w:rsidRPr="00F95680"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Przeciętna miesięczna liczba emerytów i rencistów (w tys.)</w:t>
            </w:r>
          </w:p>
        </w:tc>
      </w:tr>
      <w:tr w:rsidR="00193229" w:rsidRPr="00F95680" w14:paraId="25561416" w14:textId="77777777" w:rsidTr="0019322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A90A95D"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ABE3DFC"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Emerytury</w:t>
            </w:r>
          </w:p>
        </w:tc>
        <w:tc>
          <w:tcPr>
            <w:tcW w:w="2693" w:type="pct"/>
            <w:gridSpan w:val="2"/>
            <w:shd w:val="clear" w:color="auto" w:fill="auto"/>
          </w:tcPr>
          <w:p w14:paraId="7F5CC748"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308,9</w:t>
            </w:r>
          </w:p>
        </w:tc>
      </w:tr>
      <w:tr w:rsidR="00193229" w:rsidRPr="00F95680" w14:paraId="4DA3D5AE" w14:textId="77777777" w:rsidTr="0019322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24D5E70"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D2CF5B6"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Renty z tytułu niezdolności do pracy</w:t>
            </w:r>
          </w:p>
        </w:tc>
        <w:tc>
          <w:tcPr>
            <w:tcW w:w="2693" w:type="pct"/>
            <w:gridSpan w:val="2"/>
            <w:shd w:val="clear" w:color="auto" w:fill="auto"/>
          </w:tcPr>
          <w:p w14:paraId="60DB06E1"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40,4</w:t>
            </w:r>
          </w:p>
        </w:tc>
      </w:tr>
      <w:tr w:rsidR="00193229" w:rsidRPr="00F95680" w14:paraId="24F07062"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1495C4A"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66641D3"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Renty rodzinne</w:t>
            </w:r>
          </w:p>
        </w:tc>
        <w:tc>
          <w:tcPr>
            <w:tcW w:w="2693" w:type="pct"/>
            <w:gridSpan w:val="2"/>
            <w:shd w:val="clear" w:color="auto" w:fill="auto"/>
          </w:tcPr>
          <w:p w14:paraId="6BF8054E"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65,9</w:t>
            </w:r>
          </w:p>
        </w:tc>
      </w:tr>
      <w:tr w:rsidR="00193229" w:rsidRPr="00F95680" w14:paraId="1A1AA8A5"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7141A92"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194C2B02" w14:textId="77777777" w:rsidR="00193229" w:rsidRPr="00F95680" w:rsidRDefault="0019322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KRUS</w:t>
            </w:r>
          </w:p>
        </w:tc>
      </w:tr>
      <w:tr w:rsidR="00193229" w:rsidRPr="00F95680" w14:paraId="49C834A5" w14:textId="77777777" w:rsidTr="0019322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BC48F45"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EB90EEE" w14:textId="77777777" w:rsidR="00193229" w:rsidRPr="00F95680"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Rodzaj świadczenia</w:t>
            </w:r>
          </w:p>
        </w:tc>
        <w:tc>
          <w:tcPr>
            <w:tcW w:w="2693" w:type="pct"/>
            <w:gridSpan w:val="2"/>
            <w:shd w:val="clear" w:color="auto" w:fill="auto"/>
          </w:tcPr>
          <w:p w14:paraId="6C7E7129" w14:textId="77777777" w:rsidR="00193229" w:rsidRPr="00F95680"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F95680">
              <w:rPr>
                <w:rFonts w:ascii="Lato" w:hAnsi="Lato" w:cs="Times New Roman"/>
                <w:b/>
                <w:color w:val="auto"/>
                <w:sz w:val="18"/>
                <w:szCs w:val="18"/>
              </w:rPr>
              <w:t>Przeciętna miesięczna liczba emerytów i rencistów (w tys.)</w:t>
            </w:r>
          </w:p>
        </w:tc>
      </w:tr>
      <w:tr w:rsidR="00193229" w:rsidRPr="00F95680" w14:paraId="75362EDB"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98766F"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40447A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Emerytury</w:t>
            </w:r>
          </w:p>
        </w:tc>
        <w:tc>
          <w:tcPr>
            <w:tcW w:w="2693" w:type="pct"/>
            <w:gridSpan w:val="2"/>
            <w:shd w:val="clear" w:color="auto" w:fill="auto"/>
          </w:tcPr>
          <w:p w14:paraId="033DCEE1"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52,4</w:t>
            </w:r>
          </w:p>
        </w:tc>
      </w:tr>
      <w:tr w:rsidR="00193229" w:rsidRPr="00F95680" w14:paraId="76BF8CA0" w14:textId="77777777" w:rsidTr="0019322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AB06C57"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D391BDA"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Renty z tytułu niezdolności do pracy</w:t>
            </w:r>
          </w:p>
        </w:tc>
        <w:tc>
          <w:tcPr>
            <w:tcW w:w="2693" w:type="pct"/>
            <w:gridSpan w:val="2"/>
            <w:shd w:val="clear" w:color="auto" w:fill="auto"/>
          </w:tcPr>
          <w:p w14:paraId="32EE304B" w14:textId="77777777" w:rsidR="00193229" w:rsidRPr="00F95680"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12,6</w:t>
            </w:r>
          </w:p>
        </w:tc>
      </w:tr>
      <w:tr w:rsidR="00193229" w:rsidRPr="00F95680" w14:paraId="0A49B2F8"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D82DF18" w14:textId="77777777" w:rsidR="00193229" w:rsidRPr="00F95680"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0B5770F"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Renty rodzinne</w:t>
            </w:r>
          </w:p>
        </w:tc>
        <w:tc>
          <w:tcPr>
            <w:tcW w:w="2693" w:type="pct"/>
            <w:gridSpan w:val="2"/>
            <w:shd w:val="clear" w:color="auto" w:fill="auto"/>
          </w:tcPr>
          <w:p w14:paraId="1CA53E09" w14:textId="77777777" w:rsidR="00193229" w:rsidRPr="00F95680"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F95680">
              <w:rPr>
                <w:rFonts w:ascii="Lato" w:hAnsi="Lato" w:cs="Times New Roman"/>
                <w:color w:val="auto"/>
                <w:sz w:val="18"/>
                <w:szCs w:val="18"/>
              </w:rPr>
              <w:t>2,4</w:t>
            </w:r>
          </w:p>
        </w:tc>
      </w:tr>
      <w:tr w:rsidR="00193229" w:rsidRPr="00F95680" w14:paraId="2CB6A4D3" w14:textId="77777777" w:rsidTr="002B0821">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48638373" w14:textId="77777777" w:rsidR="00193229" w:rsidRPr="00F95680" w:rsidRDefault="00193229" w:rsidP="00CA4EC0">
            <w:pPr>
              <w:jc w:val="center"/>
              <w:rPr>
                <w:rFonts w:ascii="Lato" w:hAnsi="Lato" w:cs="Times New Roman"/>
                <w:color w:val="auto"/>
                <w:sz w:val="18"/>
                <w:szCs w:val="18"/>
              </w:rPr>
            </w:pPr>
            <w:r w:rsidRPr="00F95680">
              <w:rPr>
                <w:rFonts w:ascii="Lato" w:hAnsi="Lato" w:cs="Times New Roman"/>
                <w:color w:val="auto"/>
                <w:sz w:val="18"/>
                <w:szCs w:val="18"/>
              </w:rPr>
              <w:t xml:space="preserve">SYTUACJA DOCHODOWA, WARUNKI BYTU, W TYM WARUNKI MIESZKANIOWE – DANE ZA 2022 R. </w:t>
            </w:r>
          </w:p>
        </w:tc>
      </w:tr>
      <w:tr w:rsidR="00193229" w:rsidRPr="00F95680" w14:paraId="22562F30"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3D375AC" w14:textId="78AB33C9" w:rsidR="00193229" w:rsidRPr="00F95680" w:rsidRDefault="00193229" w:rsidP="00CA4EC0">
            <w:pPr>
              <w:tabs>
                <w:tab w:val="left" w:pos="5655"/>
              </w:tabs>
              <w:jc w:val="both"/>
              <w:rPr>
                <w:rFonts w:ascii="Lato" w:eastAsia="Times New Roman" w:hAnsi="Lato" w:cs="Times New Roman"/>
                <w:b w:val="0"/>
                <w:bCs w:val="0"/>
                <w:color w:val="auto"/>
                <w:sz w:val="18"/>
                <w:szCs w:val="18"/>
                <w:lang w:eastAsia="pl-PL"/>
              </w:rPr>
            </w:pPr>
            <w:r w:rsidRPr="00F95680">
              <w:rPr>
                <w:rFonts w:ascii="Lato" w:eastAsia="Times New Roman" w:hAnsi="Lato" w:cs="Times New Roman"/>
                <w:b w:val="0"/>
                <w:bCs w:val="0"/>
                <w:color w:val="auto"/>
                <w:sz w:val="18"/>
                <w:szCs w:val="18"/>
                <w:lang w:eastAsia="pl-PL"/>
              </w:rPr>
              <w:t>W 2022 r. w województwie kujawsko-pomorskim przeciętny miesięczny dochód rozporządzalny przypadający na 1 osobę w gospodarstwach domowych wyniósł 2140,49 zł. Na dochód rozporządzalny gospodarstwa domowego składają się przede wszystkim dochody z pracy najemnej oraz dochody ze świadczeń społecznych. W 2022 r. ich udział w dochodzie rozporządzalnym wyniósł odpowiednio 50,9% i 33,1%. W 2022 r. przeciętne miesięczne wydatki na 1 osobę w gospodarstwach domowych wyniosły 1481,05 zł.  Na żywność i napoje bezalkoholowe gospodarstwa domowe przeznaczały przeciętnie 26,8% ogólnej kwoty wydatków, na opłaty z tytułu użytkowania mieszkania lub domu i za korzystanie z nośników energii - 19,7%, a na zdrowie – 5,0%.</w:t>
            </w:r>
            <w:r w:rsidR="00F95680" w:rsidRPr="00F95680">
              <w:rPr>
                <w:rFonts w:ascii="Lato" w:eastAsia="Times New Roman" w:hAnsi="Lato" w:cs="Times New Roman"/>
                <w:b w:val="0"/>
                <w:bCs w:val="0"/>
                <w:color w:val="auto"/>
                <w:sz w:val="18"/>
                <w:szCs w:val="18"/>
                <w:lang w:eastAsia="pl-PL"/>
              </w:rPr>
              <w:t xml:space="preserve"> </w:t>
            </w:r>
            <w:r w:rsidRPr="00F95680">
              <w:rPr>
                <w:rFonts w:ascii="Lato" w:eastAsia="Times New Roman" w:hAnsi="Lato" w:cs="Times New Roman"/>
                <w:b w:val="0"/>
                <w:bCs w:val="0"/>
                <w:color w:val="auto"/>
                <w:sz w:val="18"/>
                <w:szCs w:val="18"/>
                <w:lang w:eastAsia="pl-PL"/>
              </w:rPr>
              <w:t>W 2022 r. swoją sytuację materialną jako dobrą lub raczej dobrą oceniło 40,4% gospodarstw domowych. Udział gospodarstw określających swoją sytuację materialną jako przeciętną wyniósł 53,9%, a raczej złą lub złą ukształtował się na poziomie 5,7%.</w:t>
            </w:r>
            <w:r w:rsidR="00F95680" w:rsidRPr="00F95680">
              <w:rPr>
                <w:rFonts w:ascii="Lato" w:eastAsia="Times New Roman" w:hAnsi="Lato" w:cs="Times New Roman"/>
                <w:b w:val="0"/>
                <w:bCs w:val="0"/>
                <w:color w:val="auto"/>
                <w:sz w:val="18"/>
                <w:szCs w:val="18"/>
                <w:lang w:eastAsia="pl-PL"/>
              </w:rPr>
              <w:t xml:space="preserve"> </w:t>
            </w:r>
            <w:r w:rsidRPr="00F95680">
              <w:rPr>
                <w:rFonts w:ascii="Lato" w:eastAsia="Times New Roman" w:hAnsi="Lato" w:cs="Times New Roman"/>
                <w:b w:val="0"/>
                <w:bCs w:val="0"/>
                <w:color w:val="auto"/>
                <w:sz w:val="18"/>
                <w:szCs w:val="18"/>
                <w:lang w:eastAsia="pl-PL"/>
              </w:rPr>
              <w:t>W analizowanym roku przeciętna liczba osób w gospodarstwie domowym ukształtowała się na poziomie 2,52. Przeciętna powierzchnia użytkowa mieszkania zajmowana przez gospodarstwo domowe wyniosła 80,0 m</w:t>
            </w:r>
            <w:r w:rsidRPr="00F95680">
              <w:rPr>
                <w:rFonts w:ascii="Lato" w:eastAsia="Times New Roman" w:hAnsi="Lato" w:cs="Times New Roman"/>
                <w:b w:val="0"/>
                <w:bCs w:val="0"/>
                <w:color w:val="auto"/>
                <w:sz w:val="18"/>
                <w:szCs w:val="18"/>
                <w:vertAlign w:val="superscript"/>
                <w:lang w:eastAsia="pl-PL"/>
              </w:rPr>
              <w:t>2</w:t>
            </w:r>
            <w:r w:rsidRPr="00F95680">
              <w:rPr>
                <w:rFonts w:ascii="Lato" w:eastAsia="Times New Roman" w:hAnsi="Lato" w:cs="Times New Roman"/>
                <w:b w:val="0"/>
                <w:bCs w:val="0"/>
                <w:color w:val="auto"/>
                <w:sz w:val="18"/>
                <w:szCs w:val="18"/>
                <w:lang w:eastAsia="pl-PL"/>
              </w:rPr>
              <w:t>.</w:t>
            </w:r>
          </w:p>
        </w:tc>
      </w:tr>
    </w:tbl>
    <w:p w14:paraId="16ED3A44" w14:textId="77777777" w:rsidR="00193229" w:rsidRPr="002A7F1A" w:rsidRDefault="00193229" w:rsidP="00193229">
      <w:pPr>
        <w:spacing w:after="0" w:line="240" w:lineRule="auto"/>
        <w:jc w:val="both"/>
        <w:rPr>
          <w:rFonts w:ascii="Lato" w:hAnsi="Lato" w:cs="Times New Roman"/>
          <w:sz w:val="16"/>
          <w:szCs w:val="16"/>
        </w:rPr>
      </w:pPr>
      <w:bookmarkStart w:id="133" w:name="_Hlk140508218"/>
      <w:r w:rsidRPr="002A7F1A">
        <w:rPr>
          <w:rFonts w:ascii="Lato" w:hAnsi="Lato" w:cs="Times New Roman"/>
          <w:sz w:val="16"/>
          <w:szCs w:val="16"/>
        </w:rPr>
        <w:t>Źródło: dane GUS</w:t>
      </w:r>
    </w:p>
    <w:p w14:paraId="25E10C6F"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lastRenderedPageBreak/>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45A6CDF9"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546454BE" w14:textId="6B8F0F36" w:rsidR="00193229" w:rsidRPr="00193229" w:rsidRDefault="00193229" w:rsidP="00C4650B">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bookmarkEnd w:id="133"/>
    </w:p>
    <w:p w14:paraId="4844D72C" w14:textId="7A39206C" w:rsidR="00450EAC" w:rsidRPr="002B0821" w:rsidRDefault="00586D97" w:rsidP="00B73AF7">
      <w:pPr>
        <w:pStyle w:val="Nagwek2"/>
        <w:numPr>
          <w:ilvl w:val="1"/>
          <w:numId w:val="44"/>
        </w:numPr>
        <w:rPr>
          <w:b/>
          <w:bCs/>
        </w:rPr>
      </w:pPr>
      <w:bookmarkStart w:id="134" w:name="_Toc142565950"/>
      <w:r w:rsidRPr="002B0821">
        <w:rPr>
          <w:b/>
          <w:bCs/>
        </w:rPr>
        <w:t>Województwo lubelskie</w:t>
      </w:r>
      <w:bookmarkEnd w:id="134"/>
    </w:p>
    <w:p w14:paraId="36B16DFC" w14:textId="2BB39441" w:rsidR="00450EAC" w:rsidRPr="00450EAC" w:rsidRDefault="00450EAC" w:rsidP="00450EAC">
      <w:p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Wojewoda Lubelski działając na podstawie art. 95a ust. 5 </w:t>
      </w:r>
      <w:hyperlink r:id="rId30" w:history="1">
        <w:r w:rsidRPr="00450EAC">
          <w:rPr>
            <w:rStyle w:val="Hipercze"/>
            <w:rFonts w:ascii="Lato" w:eastAsia="Calibri" w:hAnsi="Lato" w:cs="Times New Roman"/>
            <w:color w:val="auto"/>
            <w:sz w:val="20"/>
            <w:szCs w:val="20"/>
            <w:u w:val="none"/>
          </w:rPr>
          <w:t>ustawy z dnia 27 sierpnia 2004 r. o</w:t>
        </w:r>
        <w:r>
          <w:rPr>
            <w:rStyle w:val="Hipercze"/>
            <w:rFonts w:ascii="Lato" w:eastAsia="Calibri" w:hAnsi="Lato" w:cs="Times New Roman"/>
            <w:color w:val="auto"/>
            <w:sz w:val="20"/>
            <w:szCs w:val="20"/>
            <w:u w:val="none"/>
          </w:rPr>
          <w:t xml:space="preserve"> </w:t>
        </w:r>
        <w:r w:rsidRPr="00450EAC">
          <w:rPr>
            <w:rStyle w:val="Hipercze"/>
            <w:rFonts w:ascii="Lato" w:eastAsia="Calibri" w:hAnsi="Lato" w:cs="Times New Roman"/>
            <w:color w:val="auto"/>
            <w:sz w:val="20"/>
            <w:szCs w:val="20"/>
            <w:u w:val="none"/>
          </w:rPr>
          <w:t>świadczeniach opieki zdrowotnej finansowanych ze środków publicznych</w:t>
        </w:r>
      </w:hyperlink>
      <w:r w:rsidRPr="00450EAC">
        <w:rPr>
          <w:rFonts w:ascii="Lato" w:eastAsia="Calibri" w:hAnsi="Lato" w:cs="Times New Roman"/>
          <w:sz w:val="20"/>
          <w:szCs w:val="20"/>
        </w:rPr>
        <w:t xml:space="preserve"> (Dz. U. z 2022 r., poz. 2561 z </w:t>
      </w:r>
      <w:proofErr w:type="spellStart"/>
      <w:r w:rsidRPr="00450EAC">
        <w:rPr>
          <w:rFonts w:ascii="Lato" w:eastAsia="Calibri" w:hAnsi="Lato" w:cs="Times New Roman"/>
          <w:sz w:val="20"/>
          <w:szCs w:val="20"/>
        </w:rPr>
        <w:t>późn</w:t>
      </w:r>
      <w:proofErr w:type="spellEnd"/>
      <w:r w:rsidRPr="00450EAC">
        <w:rPr>
          <w:rFonts w:ascii="Lato" w:eastAsia="Calibri" w:hAnsi="Lato" w:cs="Times New Roman"/>
          <w:sz w:val="20"/>
          <w:szCs w:val="20"/>
        </w:rPr>
        <w:t xml:space="preserve">. zm.) określił w </w:t>
      </w:r>
      <w:hyperlink r:id="rId31" w:history="1">
        <w:r w:rsidRPr="00450EAC">
          <w:rPr>
            <w:rStyle w:val="Hipercze"/>
            <w:rFonts w:ascii="Lato" w:eastAsia="Calibri" w:hAnsi="Lato" w:cs="Times New Roman"/>
            <w:color w:val="auto"/>
            <w:sz w:val="20"/>
            <w:szCs w:val="20"/>
            <w:u w:val="none"/>
          </w:rPr>
          <w:t>Mapie Potrzeb Zdrowotnych na okres od 1 stycznia 2022 r. do 31 grudnia 2026 r. (MPZ)</w:t>
        </w:r>
      </w:hyperlink>
      <w:r w:rsidRPr="00450EAC">
        <w:rPr>
          <w:rFonts w:ascii="Lato" w:eastAsia="Calibri" w:hAnsi="Lato" w:cs="Times New Roman"/>
          <w:sz w:val="20"/>
          <w:szCs w:val="20"/>
        </w:rPr>
        <w:t xml:space="preserve"> „Wyzwania systemu opieki zdrowotnej i rekomendowane kierunki działań na terenie województwa lubelskiego na podstawie danych za 2019 r.” stanowiące załącznik nr 3 do MPZ.</w:t>
      </w:r>
      <w:r>
        <w:rPr>
          <w:rFonts w:ascii="Lato" w:eastAsia="Calibri" w:hAnsi="Lato" w:cs="Times New Roman"/>
          <w:sz w:val="20"/>
          <w:szCs w:val="20"/>
        </w:rPr>
        <w:t xml:space="preserve"> </w:t>
      </w:r>
      <w:r w:rsidRPr="00450EAC">
        <w:rPr>
          <w:rFonts w:ascii="Lato" w:eastAsia="Calibri" w:hAnsi="Lato" w:cs="Times New Roman"/>
          <w:sz w:val="20"/>
          <w:szCs w:val="20"/>
        </w:rPr>
        <w:t>Rekomendowane kierunki działań skierowane do osób starszych zostały określone w obszarach:</w:t>
      </w:r>
    </w:p>
    <w:p w14:paraId="3B3ECF71" w14:textId="77777777" w:rsidR="00450EAC" w:rsidRPr="00450EAC" w:rsidRDefault="00450EAC" w:rsidP="00B73AF7">
      <w:pPr>
        <w:pStyle w:val="Akapitzlist"/>
        <w:numPr>
          <w:ilvl w:val="0"/>
          <w:numId w:val="52"/>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Czynniki ryzyka i profilaktyka: </w:t>
      </w:r>
      <w:r w:rsidRPr="00450EAC">
        <w:rPr>
          <w:rFonts w:ascii="Lato" w:eastAsia="Calibri" w:hAnsi="Lato" w:cs="Times New Roman"/>
          <w:b/>
          <w:i/>
          <w:sz w:val="20"/>
          <w:szCs w:val="20"/>
        </w:rPr>
        <w:t>rekomendacja 3.5</w:t>
      </w:r>
      <w:r w:rsidRPr="00450EAC">
        <w:rPr>
          <w:rFonts w:ascii="Lato" w:eastAsia="Calibri" w:hAnsi="Lato" w:cs="Times New Roman"/>
          <w:i/>
          <w:sz w:val="20"/>
          <w:szCs w:val="20"/>
        </w:rPr>
        <w:t>.,</w:t>
      </w:r>
    </w:p>
    <w:p w14:paraId="4BD88D58" w14:textId="77777777" w:rsidR="00450EAC" w:rsidRPr="00450EAC" w:rsidRDefault="00450EAC" w:rsidP="00B73AF7">
      <w:pPr>
        <w:pStyle w:val="Akapitzlist"/>
        <w:numPr>
          <w:ilvl w:val="0"/>
          <w:numId w:val="52"/>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Ambulatoryjna opieka specjalistyczna: </w:t>
      </w:r>
      <w:r w:rsidRPr="00450EAC">
        <w:rPr>
          <w:rFonts w:ascii="Lato" w:eastAsia="Calibri" w:hAnsi="Lato" w:cs="Times New Roman"/>
          <w:b/>
          <w:i/>
          <w:sz w:val="20"/>
          <w:szCs w:val="20"/>
        </w:rPr>
        <w:t>rekomendacja 5.4.</w:t>
      </w:r>
      <w:r w:rsidRPr="00450EAC">
        <w:rPr>
          <w:rFonts w:ascii="Lato" w:eastAsia="Calibri" w:hAnsi="Lato" w:cs="Times New Roman"/>
          <w:i/>
          <w:sz w:val="20"/>
          <w:szCs w:val="20"/>
        </w:rPr>
        <w:t>,</w:t>
      </w:r>
    </w:p>
    <w:p w14:paraId="5AD665AE" w14:textId="77777777" w:rsidR="00450EAC" w:rsidRPr="00450EAC" w:rsidRDefault="00450EAC" w:rsidP="00B73AF7">
      <w:pPr>
        <w:pStyle w:val="Akapitzlist"/>
        <w:numPr>
          <w:ilvl w:val="0"/>
          <w:numId w:val="52"/>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Leczenie szpitalne: </w:t>
      </w:r>
      <w:r w:rsidRPr="00450EAC">
        <w:rPr>
          <w:rFonts w:ascii="Lato" w:eastAsia="Calibri" w:hAnsi="Lato" w:cs="Times New Roman"/>
          <w:b/>
          <w:i/>
          <w:sz w:val="20"/>
          <w:szCs w:val="20"/>
        </w:rPr>
        <w:t>rekomendacja 6.6.</w:t>
      </w:r>
      <w:r w:rsidRPr="00450EAC">
        <w:rPr>
          <w:rFonts w:ascii="Lato" w:eastAsia="Calibri" w:hAnsi="Lato" w:cs="Times New Roman"/>
          <w:i/>
          <w:sz w:val="20"/>
          <w:szCs w:val="20"/>
        </w:rPr>
        <w:t>,</w:t>
      </w:r>
    </w:p>
    <w:p w14:paraId="61B06679" w14:textId="77777777" w:rsidR="00450EAC" w:rsidRPr="00450EAC" w:rsidRDefault="00450EAC" w:rsidP="00B73AF7">
      <w:pPr>
        <w:pStyle w:val="Akapitzlist"/>
        <w:numPr>
          <w:ilvl w:val="0"/>
          <w:numId w:val="52"/>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Opieka długoterminowa: </w:t>
      </w:r>
      <w:r w:rsidRPr="00450EAC">
        <w:rPr>
          <w:rFonts w:ascii="Lato" w:eastAsia="Calibri" w:hAnsi="Lato" w:cs="Times New Roman"/>
          <w:b/>
          <w:i/>
          <w:sz w:val="20"/>
          <w:szCs w:val="20"/>
        </w:rPr>
        <w:t>rekomendacje 9.1-9.6, 9.9, 9.11.</w:t>
      </w:r>
      <w:r w:rsidRPr="00450EAC">
        <w:rPr>
          <w:rFonts w:ascii="Lato" w:eastAsia="Calibri" w:hAnsi="Lato" w:cs="Times New Roman"/>
          <w:i/>
          <w:sz w:val="20"/>
          <w:szCs w:val="20"/>
        </w:rPr>
        <w:t>,</w:t>
      </w:r>
    </w:p>
    <w:p w14:paraId="43903C04" w14:textId="23146D43" w:rsidR="00450EAC" w:rsidRPr="00450EAC" w:rsidRDefault="00450EAC" w:rsidP="00B73AF7">
      <w:pPr>
        <w:pStyle w:val="Akapitzlist"/>
        <w:numPr>
          <w:ilvl w:val="0"/>
          <w:numId w:val="52"/>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Opieka paliatywna i hospicyjna: </w:t>
      </w:r>
      <w:r w:rsidRPr="00450EAC">
        <w:rPr>
          <w:rFonts w:ascii="Lato" w:eastAsia="Calibri" w:hAnsi="Lato" w:cs="Times New Roman"/>
          <w:b/>
          <w:i/>
          <w:sz w:val="20"/>
          <w:szCs w:val="20"/>
        </w:rPr>
        <w:t>rekomendacje 10.1-10.8.</w:t>
      </w:r>
    </w:p>
    <w:p w14:paraId="0F5B3DB9" w14:textId="77777777" w:rsidR="00450EAC" w:rsidRPr="00450EAC" w:rsidRDefault="00450EAC" w:rsidP="00450EAC">
      <w:pPr>
        <w:spacing w:after="0" w:line="240" w:lineRule="auto"/>
        <w:jc w:val="both"/>
        <w:rPr>
          <w:rFonts w:ascii="Lato" w:eastAsia="Calibri" w:hAnsi="Lato" w:cs="Times New Roman"/>
          <w:sz w:val="20"/>
          <w:szCs w:val="20"/>
        </w:rPr>
      </w:pPr>
    </w:p>
    <w:p w14:paraId="5551C353" w14:textId="77777777" w:rsidR="00450EAC" w:rsidRDefault="00450EAC" w:rsidP="00450EAC">
      <w:p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Na podstawie wyzwań systemu opieki zdrowotnej i rekomendowanych kierunków działań na terenie województwa lubelskiego określonych w MPZ, zgodnie z art. 95c ustawy o świadczeniach opieki zdrowotnej finansowanych ze środków publicznych, Wojewoda Lubelski ustalił dla obszaru województwa </w:t>
      </w:r>
      <w:hyperlink r:id="rId32" w:history="1">
        <w:r w:rsidRPr="00450EAC">
          <w:rPr>
            <w:rStyle w:val="Hipercze"/>
            <w:rFonts w:ascii="Lato" w:eastAsia="Calibri" w:hAnsi="Lato" w:cs="Times New Roman"/>
            <w:b/>
            <w:color w:val="auto"/>
            <w:sz w:val="20"/>
            <w:szCs w:val="20"/>
            <w:u w:val="none"/>
          </w:rPr>
          <w:t>Wojewódzki Plan Transformacji dla województwa lubelskiego na lata 2022-2026 (WPT)</w:t>
        </w:r>
      </w:hyperlink>
      <w:r w:rsidRPr="00450EAC">
        <w:rPr>
          <w:rFonts w:ascii="Lato" w:eastAsia="Calibri" w:hAnsi="Lato" w:cs="Times New Roman"/>
          <w:sz w:val="20"/>
          <w:szCs w:val="20"/>
        </w:rPr>
        <w:t>.</w:t>
      </w:r>
      <w:r>
        <w:rPr>
          <w:rFonts w:ascii="Lato" w:eastAsia="Calibri" w:hAnsi="Lato" w:cs="Times New Roman"/>
          <w:sz w:val="20"/>
          <w:szCs w:val="20"/>
        </w:rPr>
        <w:t xml:space="preserve"> </w:t>
      </w:r>
      <w:r w:rsidRPr="00450EAC">
        <w:rPr>
          <w:rFonts w:ascii="Lato" w:eastAsia="Calibri" w:hAnsi="Lato" w:cs="Times New Roman"/>
          <w:sz w:val="20"/>
          <w:szCs w:val="20"/>
        </w:rPr>
        <w:t>Działania wymagające koordynowania na poziomie województwa skierowane do osób starszych zostały określone w obszarach:</w:t>
      </w:r>
    </w:p>
    <w:p w14:paraId="03CCCA04" w14:textId="77777777" w:rsidR="00450EAC" w:rsidRDefault="00450EAC" w:rsidP="00B73AF7">
      <w:pPr>
        <w:pStyle w:val="Akapitzlist"/>
        <w:numPr>
          <w:ilvl w:val="0"/>
          <w:numId w:val="53"/>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Czynniki ryzyka i profilaktyka: </w:t>
      </w:r>
      <w:r w:rsidRPr="00450EAC">
        <w:rPr>
          <w:rFonts w:ascii="Lato" w:eastAsia="Calibri" w:hAnsi="Lato" w:cs="Times New Roman"/>
          <w:b/>
          <w:sz w:val="20"/>
          <w:szCs w:val="20"/>
        </w:rPr>
        <w:t>działanie 3.5.1.</w:t>
      </w:r>
      <w:r w:rsidRPr="00450EAC">
        <w:rPr>
          <w:rFonts w:ascii="Lato" w:eastAsia="Calibri" w:hAnsi="Lato" w:cs="Times New Roman"/>
          <w:sz w:val="20"/>
          <w:szCs w:val="20"/>
        </w:rPr>
        <w:t>,</w:t>
      </w:r>
    </w:p>
    <w:p w14:paraId="6397D4A0" w14:textId="77777777" w:rsidR="00450EAC" w:rsidRDefault="00450EAC" w:rsidP="00B73AF7">
      <w:pPr>
        <w:pStyle w:val="Akapitzlist"/>
        <w:numPr>
          <w:ilvl w:val="0"/>
          <w:numId w:val="53"/>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Ambulatoryjna opieka specjalistyczna: </w:t>
      </w:r>
      <w:r w:rsidRPr="00450EAC">
        <w:rPr>
          <w:rFonts w:ascii="Lato" w:eastAsia="Calibri" w:hAnsi="Lato" w:cs="Times New Roman"/>
          <w:b/>
          <w:sz w:val="20"/>
          <w:szCs w:val="20"/>
        </w:rPr>
        <w:t>działanie 5.4.1.</w:t>
      </w:r>
      <w:r w:rsidRPr="00450EAC">
        <w:rPr>
          <w:rFonts w:ascii="Lato" w:eastAsia="Calibri" w:hAnsi="Lato" w:cs="Times New Roman"/>
          <w:sz w:val="20"/>
          <w:szCs w:val="20"/>
        </w:rPr>
        <w:t>,</w:t>
      </w:r>
    </w:p>
    <w:p w14:paraId="686A7035" w14:textId="77777777" w:rsidR="00450EAC" w:rsidRDefault="00450EAC" w:rsidP="00B73AF7">
      <w:pPr>
        <w:pStyle w:val="Akapitzlist"/>
        <w:numPr>
          <w:ilvl w:val="0"/>
          <w:numId w:val="53"/>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Leczenie szpitalne:</w:t>
      </w:r>
      <w:r w:rsidRPr="00450EAC">
        <w:rPr>
          <w:rFonts w:ascii="Lato" w:eastAsia="Calibri" w:hAnsi="Lato" w:cs="Times New Roman"/>
          <w:b/>
          <w:sz w:val="20"/>
          <w:szCs w:val="20"/>
        </w:rPr>
        <w:t xml:space="preserve"> działanie 6.6.1.</w:t>
      </w:r>
      <w:r w:rsidRPr="00450EAC">
        <w:rPr>
          <w:rFonts w:ascii="Lato" w:eastAsia="Calibri" w:hAnsi="Lato" w:cs="Times New Roman"/>
          <w:sz w:val="20"/>
          <w:szCs w:val="20"/>
        </w:rPr>
        <w:t>,</w:t>
      </w:r>
    </w:p>
    <w:p w14:paraId="5E9BD3EF" w14:textId="77777777" w:rsidR="00450EAC" w:rsidRDefault="00450EAC" w:rsidP="00B73AF7">
      <w:pPr>
        <w:pStyle w:val="Akapitzlist"/>
        <w:numPr>
          <w:ilvl w:val="0"/>
          <w:numId w:val="53"/>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Opieka długoterminowa: </w:t>
      </w:r>
      <w:r w:rsidRPr="00450EAC">
        <w:rPr>
          <w:rFonts w:ascii="Lato" w:eastAsia="Calibri" w:hAnsi="Lato" w:cs="Times New Roman"/>
          <w:b/>
          <w:sz w:val="20"/>
          <w:szCs w:val="20"/>
        </w:rPr>
        <w:t>działanie 9.4.1.</w:t>
      </w:r>
      <w:r w:rsidRPr="00450EAC">
        <w:rPr>
          <w:rFonts w:ascii="Lato" w:eastAsia="Calibri" w:hAnsi="Lato" w:cs="Times New Roman"/>
          <w:sz w:val="20"/>
          <w:szCs w:val="20"/>
        </w:rPr>
        <w:t>,</w:t>
      </w:r>
      <w:r w:rsidRPr="00450EAC">
        <w:rPr>
          <w:rFonts w:ascii="Lato" w:eastAsia="Calibri" w:hAnsi="Lato" w:cs="Times New Roman"/>
          <w:b/>
          <w:sz w:val="20"/>
          <w:szCs w:val="20"/>
        </w:rPr>
        <w:t xml:space="preserve"> 9.5.1.</w:t>
      </w:r>
      <w:r w:rsidRPr="00450EAC">
        <w:rPr>
          <w:rFonts w:ascii="Lato" w:eastAsia="Calibri" w:hAnsi="Lato" w:cs="Times New Roman"/>
          <w:sz w:val="20"/>
          <w:szCs w:val="20"/>
        </w:rPr>
        <w:t>,</w:t>
      </w:r>
      <w:r w:rsidRPr="00450EAC">
        <w:rPr>
          <w:rFonts w:ascii="Lato" w:eastAsia="Calibri" w:hAnsi="Lato" w:cs="Times New Roman"/>
          <w:b/>
          <w:sz w:val="20"/>
          <w:szCs w:val="20"/>
        </w:rPr>
        <w:t xml:space="preserve"> 9.6.1.</w:t>
      </w:r>
      <w:r w:rsidRPr="00450EAC">
        <w:rPr>
          <w:rFonts w:ascii="Lato" w:eastAsia="Calibri" w:hAnsi="Lato" w:cs="Times New Roman"/>
          <w:sz w:val="20"/>
          <w:szCs w:val="20"/>
        </w:rPr>
        <w:t>,</w:t>
      </w:r>
      <w:r w:rsidRPr="00450EAC">
        <w:rPr>
          <w:rFonts w:ascii="Lato" w:eastAsia="Calibri" w:hAnsi="Lato" w:cs="Times New Roman"/>
          <w:b/>
          <w:sz w:val="20"/>
          <w:szCs w:val="20"/>
        </w:rPr>
        <w:t xml:space="preserve"> 9.9.1.</w:t>
      </w:r>
      <w:r w:rsidRPr="00450EAC">
        <w:rPr>
          <w:rFonts w:ascii="Lato" w:eastAsia="Calibri" w:hAnsi="Lato" w:cs="Times New Roman"/>
          <w:sz w:val="20"/>
          <w:szCs w:val="20"/>
        </w:rPr>
        <w:t>,</w:t>
      </w:r>
      <w:r w:rsidRPr="00450EAC">
        <w:rPr>
          <w:rFonts w:ascii="Lato" w:eastAsia="Calibri" w:hAnsi="Lato" w:cs="Times New Roman"/>
          <w:b/>
          <w:sz w:val="20"/>
          <w:szCs w:val="20"/>
        </w:rPr>
        <w:t xml:space="preserve"> 9.11.1.</w:t>
      </w:r>
      <w:r w:rsidRPr="00450EAC">
        <w:rPr>
          <w:rFonts w:ascii="Lato" w:eastAsia="Calibri" w:hAnsi="Lato" w:cs="Times New Roman"/>
          <w:sz w:val="20"/>
          <w:szCs w:val="20"/>
        </w:rPr>
        <w:t>,</w:t>
      </w:r>
    </w:p>
    <w:p w14:paraId="452E340B" w14:textId="53E04AA1" w:rsidR="00450EAC" w:rsidRPr="00450EAC" w:rsidRDefault="00450EAC" w:rsidP="00B73AF7">
      <w:pPr>
        <w:pStyle w:val="Akapitzlist"/>
        <w:numPr>
          <w:ilvl w:val="0"/>
          <w:numId w:val="53"/>
        </w:numPr>
        <w:suppressAutoHyphens/>
        <w:spacing w:after="0" w:line="240" w:lineRule="auto"/>
        <w:jc w:val="both"/>
        <w:rPr>
          <w:rFonts w:ascii="Lato" w:eastAsia="Calibri" w:hAnsi="Lato" w:cs="Times New Roman"/>
          <w:sz w:val="20"/>
          <w:szCs w:val="20"/>
        </w:rPr>
      </w:pPr>
      <w:r w:rsidRPr="00450EAC">
        <w:rPr>
          <w:rFonts w:ascii="Lato" w:eastAsia="Calibri" w:hAnsi="Lato" w:cs="Times New Roman"/>
          <w:sz w:val="20"/>
          <w:szCs w:val="20"/>
        </w:rPr>
        <w:t xml:space="preserve">Opieka paliatywna i hospicyjna: </w:t>
      </w:r>
      <w:r w:rsidRPr="00450EAC">
        <w:rPr>
          <w:rFonts w:ascii="Lato" w:eastAsia="Calibri" w:hAnsi="Lato" w:cs="Times New Roman"/>
          <w:b/>
          <w:sz w:val="20"/>
          <w:szCs w:val="20"/>
        </w:rPr>
        <w:t>działanie 10.3.1.</w:t>
      </w:r>
      <w:r w:rsidRPr="00450EAC">
        <w:rPr>
          <w:rFonts w:ascii="Lato" w:eastAsia="Calibri" w:hAnsi="Lato" w:cs="Times New Roman"/>
          <w:sz w:val="20"/>
          <w:szCs w:val="20"/>
        </w:rPr>
        <w:t>,</w:t>
      </w:r>
      <w:r w:rsidRPr="00450EAC">
        <w:rPr>
          <w:rFonts w:ascii="Lato" w:eastAsia="Calibri" w:hAnsi="Lato" w:cs="Times New Roman"/>
          <w:b/>
          <w:sz w:val="20"/>
          <w:szCs w:val="20"/>
        </w:rPr>
        <w:t xml:space="preserve"> 10.5.1.</w:t>
      </w:r>
      <w:r w:rsidRPr="00450EAC">
        <w:rPr>
          <w:rFonts w:ascii="Lato" w:eastAsia="Calibri" w:hAnsi="Lato" w:cs="Times New Roman"/>
          <w:sz w:val="20"/>
          <w:szCs w:val="20"/>
        </w:rPr>
        <w:t>,</w:t>
      </w:r>
      <w:r w:rsidRPr="00450EAC">
        <w:rPr>
          <w:rFonts w:ascii="Lato" w:eastAsia="Calibri" w:hAnsi="Lato" w:cs="Times New Roman"/>
          <w:b/>
          <w:sz w:val="20"/>
          <w:szCs w:val="20"/>
        </w:rPr>
        <w:t xml:space="preserve"> 10.6.1.</w:t>
      </w:r>
    </w:p>
    <w:p w14:paraId="57B0541D" w14:textId="77777777" w:rsidR="00450EAC" w:rsidRDefault="00450EAC" w:rsidP="00450EAC">
      <w:pPr>
        <w:spacing w:after="0" w:line="240" w:lineRule="auto"/>
        <w:jc w:val="both"/>
        <w:rPr>
          <w:rFonts w:ascii="Lato" w:eastAsia="Calibri" w:hAnsi="Lato" w:cs="Times New Roman"/>
          <w:sz w:val="20"/>
          <w:szCs w:val="20"/>
        </w:rPr>
      </w:pPr>
    </w:p>
    <w:p w14:paraId="343EAFE3" w14:textId="77777777" w:rsidR="00450EAC" w:rsidRDefault="00450EAC" w:rsidP="00450EAC">
      <w:pPr>
        <w:spacing w:after="0" w:line="240" w:lineRule="auto"/>
        <w:jc w:val="both"/>
        <w:rPr>
          <w:rFonts w:ascii="Lato" w:eastAsia="Calibri" w:hAnsi="Lato" w:cs="Times New Roman"/>
          <w:sz w:val="20"/>
          <w:szCs w:val="20"/>
        </w:rPr>
      </w:pPr>
    </w:p>
    <w:p w14:paraId="6E0C56CE" w14:textId="77777777" w:rsidR="00450EAC" w:rsidRPr="00757CE7" w:rsidRDefault="00450EAC" w:rsidP="00450EAC">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13E047A0" w14:textId="77777777" w:rsidR="00450EAC" w:rsidRDefault="00450EAC" w:rsidP="00450EAC">
      <w:pPr>
        <w:spacing w:after="0" w:line="240" w:lineRule="auto"/>
        <w:jc w:val="both"/>
        <w:rPr>
          <w:rFonts w:ascii="Lato" w:hAnsi="Lato" w:cs="Times New Roman"/>
          <w:sz w:val="20"/>
          <w:szCs w:val="20"/>
          <w:lang w:eastAsia="pl-PL"/>
        </w:rPr>
      </w:pPr>
      <w:r w:rsidRPr="00450EAC">
        <w:rPr>
          <w:rFonts w:ascii="Lato" w:hAnsi="Lato" w:cs="Times New Roman"/>
          <w:sz w:val="20"/>
          <w:szCs w:val="20"/>
          <w:lang w:eastAsia="pl-PL"/>
        </w:rPr>
        <w:t xml:space="preserve">Zgodnie z art. 12 ust. 2 </w:t>
      </w:r>
      <w:hyperlink r:id="rId33" w:history="1">
        <w:r w:rsidRPr="00450EAC">
          <w:rPr>
            <w:rStyle w:val="Hipercze"/>
            <w:rFonts w:ascii="Lato" w:hAnsi="Lato" w:cs="Times New Roman"/>
            <w:color w:val="auto"/>
            <w:sz w:val="20"/>
            <w:szCs w:val="20"/>
            <w:u w:val="none"/>
            <w:lang w:eastAsia="pl-PL"/>
          </w:rPr>
          <w:t>ustawy z dnia 11 września 2015 r. o zdrowiu publicznym</w:t>
        </w:r>
      </w:hyperlink>
      <w:r w:rsidRPr="00450EAC">
        <w:rPr>
          <w:rFonts w:ascii="Lato" w:hAnsi="Lato" w:cs="Times New Roman"/>
          <w:sz w:val="20"/>
          <w:szCs w:val="20"/>
          <w:lang w:eastAsia="pl-PL"/>
        </w:rPr>
        <w:t xml:space="preserve"> jednostki samorządu terytorialnego zobowiązane są do przekazania wojewodzie rocznej informacji o zrealizowanych lub podjętych zadaniach z zakresu zdrowia publicznego.</w:t>
      </w:r>
      <w:r>
        <w:rPr>
          <w:rFonts w:ascii="Lato" w:hAnsi="Lato" w:cs="Times New Roman"/>
          <w:sz w:val="20"/>
          <w:szCs w:val="20"/>
          <w:lang w:eastAsia="pl-PL"/>
        </w:rPr>
        <w:t xml:space="preserve"> </w:t>
      </w:r>
    </w:p>
    <w:p w14:paraId="361D505B" w14:textId="3DBA6C40" w:rsidR="00450EAC" w:rsidRPr="00450EAC" w:rsidRDefault="00450EAC" w:rsidP="00450EAC">
      <w:pPr>
        <w:spacing w:after="0" w:line="240" w:lineRule="auto"/>
        <w:jc w:val="both"/>
        <w:rPr>
          <w:rFonts w:ascii="Lato" w:hAnsi="Lato" w:cs="Times New Roman"/>
          <w:sz w:val="20"/>
          <w:szCs w:val="20"/>
          <w:lang w:eastAsia="pl-PL"/>
        </w:rPr>
      </w:pPr>
      <w:r w:rsidRPr="00450EAC">
        <w:rPr>
          <w:rFonts w:ascii="Lato" w:hAnsi="Lato" w:cs="Times New Roman"/>
          <w:sz w:val="20"/>
          <w:szCs w:val="20"/>
          <w:lang w:eastAsia="pl-PL"/>
        </w:rPr>
        <w:t xml:space="preserve">Według informacji za 2022 r., będących w posiadaniu Wydziału Zdrowia Lubelskiego Urzędu Wojewódzkiego w Lublinie - stan na dzień 30 maja 2023 r., jednostki samorządu terytorialnego nie realizowały programów polityki zdrowotnej w wyżej wymienionym zakresie, natomiast realizowały zadania z zakresu zdrowia publicznego. Sprawozdano 26 zadań w systemie sprawozdawczym </w:t>
      </w:r>
      <w:proofErr w:type="spellStart"/>
      <w:r w:rsidRPr="00450EAC">
        <w:rPr>
          <w:rFonts w:ascii="Lato" w:hAnsi="Lato" w:cs="Times New Roman"/>
          <w:sz w:val="20"/>
          <w:szCs w:val="20"/>
          <w:lang w:eastAsia="pl-PL"/>
        </w:rPr>
        <w:t>ProfiBaza</w:t>
      </w:r>
      <w:proofErr w:type="spellEnd"/>
      <w:r w:rsidRPr="00450EAC">
        <w:rPr>
          <w:rFonts w:ascii="Lato" w:hAnsi="Lato" w:cs="Times New Roman"/>
          <w:sz w:val="20"/>
          <w:szCs w:val="20"/>
          <w:lang w:eastAsia="pl-PL"/>
        </w:rPr>
        <w:t>, które są w trakcie weryfikacji przez koordynatora wojewódzkiego.</w:t>
      </w:r>
      <w:r>
        <w:rPr>
          <w:rFonts w:ascii="Lato" w:hAnsi="Lato" w:cs="Times New Roman"/>
          <w:sz w:val="20"/>
          <w:szCs w:val="20"/>
          <w:lang w:eastAsia="pl-PL"/>
        </w:rPr>
        <w:t xml:space="preserve"> </w:t>
      </w:r>
      <w:r w:rsidRPr="00450EAC">
        <w:rPr>
          <w:rFonts w:ascii="Lato" w:hAnsi="Lato" w:cs="Times New Roman"/>
          <w:sz w:val="20"/>
          <w:szCs w:val="20"/>
          <w:lang w:eastAsia="pl-PL"/>
        </w:rPr>
        <w:t>Poniżej przykłady realizowanych przez JST zadań z zakresu zdrowia publicznego:</w:t>
      </w:r>
    </w:p>
    <w:p w14:paraId="3D3DB369" w14:textId="6E297241" w:rsidR="00450EAC" w:rsidRPr="00450EAC" w:rsidRDefault="00450EAC" w:rsidP="00B73AF7">
      <w:pPr>
        <w:numPr>
          <w:ilvl w:val="0"/>
          <w:numId w:val="48"/>
        </w:numPr>
        <w:suppressAutoHyphens/>
        <w:spacing w:after="0" w:line="240" w:lineRule="auto"/>
        <w:ind w:left="360"/>
        <w:jc w:val="both"/>
        <w:rPr>
          <w:rFonts w:ascii="Lato" w:hAnsi="Lato" w:cs="Times New Roman"/>
          <w:sz w:val="20"/>
          <w:szCs w:val="20"/>
          <w:lang w:eastAsia="pl-PL"/>
        </w:rPr>
      </w:pPr>
      <w:r w:rsidRPr="00450EAC">
        <w:rPr>
          <w:rFonts w:ascii="Lato" w:hAnsi="Lato" w:cs="Times New Roman"/>
          <w:sz w:val="20"/>
          <w:szCs w:val="20"/>
          <w:lang w:eastAsia="pl-PL"/>
        </w:rPr>
        <w:t>Urząd Gminy Serniki</w:t>
      </w:r>
      <w:r>
        <w:rPr>
          <w:rFonts w:ascii="Lato" w:hAnsi="Lato" w:cs="Times New Roman"/>
          <w:sz w:val="20"/>
          <w:szCs w:val="20"/>
          <w:lang w:eastAsia="pl-PL"/>
        </w:rPr>
        <w:t xml:space="preserve"> - z</w:t>
      </w:r>
      <w:r w:rsidRPr="00450EAC">
        <w:rPr>
          <w:rFonts w:ascii="Lato" w:hAnsi="Lato" w:cs="Times New Roman"/>
          <w:sz w:val="20"/>
          <w:szCs w:val="20"/>
          <w:lang w:eastAsia="pl-PL"/>
        </w:rPr>
        <w:t>ajęcia z kultury fizycznej w Klubie Seniora</w:t>
      </w:r>
      <w:r>
        <w:rPr>
          <w:rFonts w:ascii="Lato" w:hAnsi="Lato" w:cs="Times New Roman"/>
          <w:sz w:val="20"/>
          <w:szCs w:val="20"/>
          <w:lang w:eastAsia="pl-PL"/>
        </w:rPr>
        <w:t xml:space="preserve">, </w:t>
      </w:r>
      <w:r w:rsidRPr="00450EAC">
        <w:rPr>
          <w:rFonts w:ascii="Lato" w:hAnsi="Lato" w:cs="Times New Roman"/>
          <w:bCs/>
          <w:sz w:val="20"/>
          <w:szCs w:val="20"/>
          <w:lang w:eastAsia="pl-PL"/>
        </w:rPr>
        <w:t>miejsce realizacji: Serniki (gmina wiejska</w:t>
      </w:r>
      <w:r>
        <w:rPr>
          <w:rFonts w:ascii="Lato" w:hAnsi="Lato" w:cs="Times New Roman"/>
          <w:bCs/>
          <w:sz w:val="20"/>
          <w:szCs w:val="20"/>
          <w:lang w:eastAsia="pl-PL"/>
        </w:rPr>
        <w:t xml:space="preserve">), </w:t>
      </w:r>
      <w:r w:rsidRPr="00450EAC">
        <w:rPr>
          <w:rFonts w:ascii="Lato" w:hAnsi="Lato" w:cs="Times New Roman"/>
          <w:bCs/>
          <w:sz w:val="20"/>
          <w:szCs w:val="20"/>
          <w:lang w:eastAsia="pl-PL"/>
        </w:rPr>
        <w:t>liczba osób: 12</w:t>
      </w:r>
      <w:r>
        <w:rPr>
          <w:rFonts w:ascii="Lato" w:hAnsi="Lato" w:cs="Times New Roman"/>
          <w:bCs/>
          <w:sz w:val="20"/>
          <w:szCs w:val="20"/>
          <w:lang w:eastAsia="pl-PL"/>
        </w:rPr>
        <w:t>;</w:t>
      </w:r>
    </w:p>
    <w:p w14:paraId="54A17B6F" w14:textId="0F05C2BB" w:rsidR="00450EAC" w:rsidRPr="00450EAC" w:rsidRDefault="00450EAC" w:rsidP="00B73AF7">
      <w:pPr>
        <w:numPr>
          <w:ilvl w:val="0"/>
          <w:numId w:val="48"/>
        </w:numPr>
        <w:suppressAutoHyphens/>
        <w:spacing w:after="0" w:line="240" w:lineRule="auto"/>
        <w:ind w:left="360"/>
        <w:jc w:val="both"/>
        <w:rPr>
          <w:rFonts w:ascii="Lato" w:hAnsi="Lato" w:cs="Times New Roman"/>
          <w:sz w:val="20"/>
          <w:szCs w:val="20"/>
          <w:lang w:eastAsia="pl-PL"/>
        </w:rPr>
      </w:pPr>
      <w:r w:rsidRPr="00450EAC">
        <w:rPr>
          <w:rFonts w:ascii="Lato" w:hAnsi="Lato" w:cs="Times New Roman"/>
          <w:sz w:val="20"/>
          <w:szCs w:val="20"/>
          <w:lang w:eastAsia="pl-PL"/>
        </w:rPr>
        <w:t xml:space="preserve">Urząd Miasta Kraśnik </w:t>
      </w:r>
      <w:r>
        <w:rPr>
          <w:rFonts w:ascii="Lato" w:hAnsi="Lato" w:cs="Times New Roman"/>
          <w:sz w:val="20"/>
          <w:szCs w:val="20"/>
          <w:lang w:eastAsia="pl-PL"/>
        </w:rPr>
        <w:t xml:space="preserve">- </w:t>
      </w:r>
      <w:r w:rsidRPr="00450EAC">
        <w:rPr>
          <w:rFonts w:ascii="Lato" w:hAnsi="Lato" w:cs="Times New Roman"/>
          <w:sz w:val="20"/>
          <w:szCs w:val="20"/>
          <w:lang w:eastAsia="pl-PL"/>
        </w:rPr>
        <w:t xml:space="preserve">MOSiR </w:t>
      </w:r>
      <w:r>
        <w:rPr>
          <w:rFonts w:ascii="Lato" w:hAnsi="Lato" w:cs="Times New Roman"/>
          <w:sz w:val="20"/>
          <w:szCs w:val="20"/>
          <w:lang w:eastAsia="pl-PL"/>
        </w:rPr>
        <w:t>z</w:t>
      </w:r>
      <w:r w:rsidRPr="00450EAC">
        <w:rPr>
          <w:rFonts w:ascii="Lato" w:hAnsi="Lato" w:cs="Times New Roman"/>
          <w:sz w:val="20"/>
          <w:szCs w:val="20"/>
          <w:lang w:eastAsia="pl-PL"/>
        </w:rPr>
        <w:t>ajęcia sportowe aktywny senior</w:t>
      </w:r>
      <w:r>
        <w:rPr>
          <w:rFonts w:ascii="Lato" w:hAnsi="Lato" w:cs="Times New Roman"/>
          <w:sz w:val="20"/>
          <w:szCs w:val="20"/>
          <w:lang w:eastAsia="pl-PL"/>
        </w:rPr>
        <w:t xml:space="preserve">, </w:t>
      </w:r>
      <w:r w:rsidRPr="00450EAC">
        <w:rPr>
          <w:rFonts w:ascii="Lato" w:hAnsi="Lato" w:cs="Times New Roman"/>
          <w:bCs/>
          <w:sz w:val="20"/>
          <w:szCs w:val="20"/>
          <w:lang w:eastAsia="pl-PL"/>
        </w:rPr>
        <w:t>miejsce realizacji: Kraśnik</w:t>
      </w:r>
      <w:r>
        <w:rPr>
          <w:rFonts w:ascii="Lato" w:hAnsi="Lato" w:cs="Times New Roman"/>
          <w:sz w:val="20"/>
          <w:szCs w:val="20"/>
          <w:lang w:eastAsia="pl-PL"/>
        </w:rPr>
        <w:t xml:space="preserve">, </w:t>
      </w:r>
      <w:r w:rsidRPr="00450EAC">
        <w:rPr>
          <w:rFonts w:ascii="Lato" w:hAnsi="Lato" w:cs="Times New Roman"/>
          <w:bCs/>
          <w:sz w:val="20"/>
          <w:szCs w:val="20"/>
          <w:lang w:eastAsia="pl-PL"/>
        </w:rPr>
        <w:t>liczba osób: 25</w:t>
      </w:r>
      <w:r>
        <w:rPr>
          <w:rFonts w:ascii="Lato" w:hAnsi="Lato" w:cs="Times New Roman"/>
          <w:bCs/>
          <w:sz w:val="20"/>
          <w:szCs w:val="20"/>
          <w:lang w:eastAsia="pl-PL"/>
        </w:rPr>
        <w:t>;</w:t>
      </w:r>
    </w:p>
    <w:p w14:paraId="6FAC705C" w14:textId="3E0C7210" w:rsidR="00450EAC" w:rsidRPr="00450EAC" w:rsidRDefault="00450EAC" w:rsidP="00B73AF7">
      <w:pPr>
        <w:numPr>
          <w:ilvl w:val="0"/>
          <w:numId w:val="48"/>
        </w:numPr>
        <w:suppressAutoHyphens/>
        <w:spacing w:after="0" w:line="240" w:lineRule="auto"/>
        <w:ind w:left="360"/>
        <w:jc w:val="both"/>
        <w:rPr>
          <w:rFonts w:ascii="Lato" w:hAnsi="Lato" w:cs="Times New Roman"/>
          <w:sz w:val="20"/>
          <w:szCs w:val="20"/>
          <w:lang w:eastAsia="pl-PL"/>
        </w:rPr>
      </w:pPr>
      <w:r w:rsidRPr="00450EAC">
        <w:rPr>
          <w:rFonts w:ascii="Lato" w:hAnsi="Lato" w:cs="Times New Roman"/>
          <w:sz w:val="20"/>
          <w:szCs w:val="20"/>
          <w:lang w:eastAsia="pl-PL"/>
        </w:rPr>
        <w:t>Urząd Gminy Trzebieszów</w:t>
      </w:r>
      <w:r>
        <w:rPr>
          <w:rFonts w:ascii="Lato" w:hAnsi="Lato" w:cs="Times New Roman"/>
          <w:sz w:val="20"/>
          <w:szCs w:val="20"/>
          <w:lang w:eastAsia="pl-PL"/>
        </w:rPr>
        <w:t xml:space="preserve"> - w</w:t>
      </w:r>
      <w:r w:rsidRPr="00450EAC">
        <w:rPr>
          <w:rFonts w:ascii="Lato" w:hAnsi="Lato" w:cs="Times New Roman"/>
          <w:sz w:val="20"/>
          <w:szCs w:val="20"/>
          <w:lang w:eastAsia="pl-PL"/>
        </w:rPr>
        <w:t>arsztaty zdrowego żywienia Seniorów</w:t>
      </w:r>
      <w:r>
        <w:rPr>
          <w:rFonts w:ascii="Lato" w:hAnsi="Lato" w:cs="Times New Roman"/>
          <w:sz w:val="20"/>
          <w:szCs w:val="20"/>
          <w:lang w:eastAsia="pl-PL"/>
        </w:rPr>
        <w:t xml:space="preserve">, </w:t>
      </w:r>
      <w:r w:rsidRPr="00450EAC">
        <w:rPr>
          <w:rFonts w:ascii="Lato" w:hAnsi="Lato" w:cs="Times New Roman"/>
          <w:bCs/>
          <w:sz w:val="20"/>
          <w:szCs w:val="20"/>
          <w:lang w:eastAsia="pl-PL"/>
        </w:rPr>
        <w:t>miejsce realizacji:</w:t>
      </w:r>
      <w:r w:rsidRPr="00450EAC">
        <w:rPr>
          <w:rFonts w:ascii="Lato" w:hAnsi="Lato" w:cs="Times New Roman"/>
          <w:sz w:val="20"/>
          <w:szCs w:val="20"/>
          <w:lang w:eastAsia="pl-PL"/>
        </w:rPr>
        <w:t xml:space="preserve"> Trzebieszów (gmina wiejska)</w:t>
      </w:r>
      <w:r>
        <w:rPr>
          <w:rFonts w:ascii="Lato" w:hAnsi="Lato" w:cs="Times New Roman"/>
          <w:sz w:val="20"/>
          <w:szCs w:val="20"/>
          <w:lang w:eastAsia="pl-PL"/>
        </w:rPr>
        <w:t xml:space="preserve">, </w:t>
      </w:r>
      <w:r w:rsidRPr="00450EAC">
        <w:rPr>
          <w:rFonts w:ascii="Lato" w:hAnsi="Lato" w:cs="Times New Roman"/>
          <w:sz w:val="20"/>
          <w:szCs w:val="20"/>
          <w:lang w:eastAsia="pl-PL"/>
        </w:rPr>
        <w:t>liczba osób: 43</w:t>
      </w:r>
      <w:r>
        <w:rPr>
          <w:rFonts w:ascii="Lato" w:hAnsi="Lato" w:cs="Times New Roman"/>
          <w:sz w:val="20"/>
          <w:szCs w:val="20"/>
          <w:lang w:eastAsia="pl-PL"/>
        </w:rPr>
        <w:t>.</w:t>
      </w:r>
    </w:p>
    <w:p w14:paraId="455F5D4D" w14:textId="77777777" w:rsidR="00450EAC" w:rsidRPr="00450EAC" w:rsidRDefault="00450EAC" w:rsidP="00450EAC">
      <w:pPr>
        <w:spacing w:after="0" w:line="240" w:lineRule="auto"/>
        <w:jc w:val="both"/>
        <w:rPr>
          <w:rFonts w:ascii="Lato" w:hAnsi="Lato" w:cs="Times New Roman"/>
          <w:b/>
          <w:sz w:val="20"/>
          <w:szCs w:val="20"/>
        </w:rPr>
      </w:pPr>
    </w:p>
    <w:p w14:paraId="6B04490B" w14:textId="1361397E" w:rsidR="00450EAC" w:rsidRPr="00450EAC" w:rsidRDefault="00450EAC" w:rsidP="00450EAC">
      <w:pPr>
        <w:spacing w:after="0" w:line="240" w:lineRule="auto"/>
        <w:jc w:val="both"/>
        <w:rPr>
          <w:rFonts w:ascii="Lato" w:eastAsia="Times New Roman" w:hAnsi="Lato" w:cs="Times New Roman"/>
          <w:b/>
          <w:bCs/>
          <w:sz w:val="20"/>
          <w:szCs w:val="20"/>
          <w:lang w:eastAsia="pl-PL"/>
        </w:rPr>
      </w:pPr>
      <w:r w:rsidRPr="00450EAC">
        <w:rPr>
          <w:rFonts w:ascii="Lato" w:eastAsia="Times New Roman" w:hAnsi="Lato" w:cs="Times New Roman"/>
          <w:sz w:val="20"/>
          <w:szCs w:val="20"/>
          <w:lang w:eastAsia="pl-PL"/>
        </w:rPr>
        <w:t>Kierunki</w:t>
      </w:r>
      <w:r>
        <w:rPr>
          <w:rFonts w:ascii="Lato" w:eastAsia="Times New Roman" w:hAnsi="Lato" w:cs="Times New Roman"/>
          <w:sz w:val="20"/>
          <w:szCs w:val="20"/>
          <w:lang w:eastAsia="pl-PL"/>
        </w:rPr>
        <w:t xml:space="preserve"> działań</w:t>
      </w:r>
      <w:r w:rsidRPr="00450EAC">
        <w:rPr>
          <w:rFonts w:ascii="Lato" w:eastAsia="Times New Roman" w:hAnsi="Lato" w:cs="Times New Roman"/>
          <w:sz w:val="20"/>
          <w:szCs w:val="20"/>
          <w:lang w:eastAsia="pl-PL"/>
        </w:rPr>
        <w:t xml:space="preserve"> zmierzając</w:t>
      </w:r>
      <w:r>
        <w:rPr>
          <w:rFonts w:ascii="Lato" w:eastAsia="Times New Roman" w:hAnsi="Lato" w:cs="Times New Roman"/>
          <w:sz w:val="20"/>
          <w:szCs w:val="20"/>
          <w:lang w:eastAsia="pl-PL"/>
        </w:rPr>
        <w:t>ych</w:t>
      </w:r>
      <w:r w:rsidRPr="00450EAC">
        <w:rPr>
          <w:rFonts w:ascii="Lato" w:eastAsia="Times New Roman" w:hAnsi="Lato" w:cs="Times New Roman"/>
          <w:sz w:val="20"/>
          <w:szCs w:val="20"/>
          <w:lang w:eastAsia="pl-PL"/>
        </w:rPr>
        <w:t xml:space="preserve"> do poprawy jakości życia osób starszych zostały określone w </w:t>
      </w:r>
      <w:r w:rsidRPr="00450EAC">
        <w:rPr>
          <w:rFonts w:ascii="Lato" w:eastAsia="Times New Roman" w:hAnsi="Lato" w:cs="Times New Roman"/>
          <w:b/>
          <w:bCs/>
          <w:sz w:val="20"/>
          <w:szCs w:val="20"/>
          <w:lang w:eastAsia="pl-PL"/>
        </w:rPr>
        <w:t>Strategii Polityki Społecznej Województwa Lubelskiego na lata 2021-2030</w:t>
      </w:r>
      <w:r>
        <w:rPr>
          <w:rFonts w:ascii="Lato" w:eastAsia="Times New Roman" w:hAnsi="Lato" w:cs="Times New Roman"/>
          <w:b/>
          <w:bCs/>
          <w:sz w:val="20"/>
          <w:szCs w:val="20"/>
          <w:lang w:eastAsia="pl-PL"/>
        </w:rPr>
        <w:t xml:space="preserve">. </w:t>
      </w:r>
      <w:r w:rsidRPr="00450EAC">
        <w:rPr>
          <w:rFonts w:ascii="Lato" w:eastAsia="Times New Roman" w:hAnsi="Lato" w:cs="Times New Roman"/>
          <w:sz w:val="20"/>
          <w:szCs w:val="20"/>
          <w:lang w:eastAsia="pl-PL"/>
        </w:rPr>
        <w:t xml:space="preserve">Doprecyzowaniem i uszczegółowieniem zapisów Strategii Polityki Społecznej Województwa Lubelskiego na lata 2021 – 2030 w obszarze Starzejące się społeczeństwo jest </w:t>
      </w:r>
      <w:r w:rsidRPr="00450EAC">
        <w:rPr>
          <w:rFonts w:ascii="Lato" w:eastAsia="Times New Roman" w:hAnsi="Lato" w:cs="Times New Roman"/>
          <w:b/>
          <w:bCs/>
          <w:sz w:val="20"/>
          <w:szCs w:val="20"/>
          <w:lang w:eastAsia="pl-PL"/>
        </w:rPr>
        <w:t>Wojewódzki Program na Rzecz Osób Starszych na lata 2021-2025</w:t>
      </w:r>
      <w:r w:rsidRPr="00450EAC">
        <w:rPr>
          <w:rFonts w:ascii="Lato" w:eastAsia="Times New Roman" w:hAnsi="Lato" w:cs="Times New Roman"/>
          <w:sz w:val="20"/>
          <w:szCs w:val="20"/>
          <w:lang w:eastAsia="pl-PL"/>
        </w:rPr>
        <w:t>,</w:t>
      </w:r>
      <w:r w:rsidRPr="00450EAC">
        <w:rPr>
          <w:rFonts w:ascii="Lato" w:eastAsia="Times New Roman" w:hAnsi="Lato" w:cs="Times New Roman"/>
          <w:bCs/>
          <w:sz w:val="20"/>
          <w:szCs w:val="20"/>
          <w:lang w:eastAsia="pl-PL"/>
        </w:rPr>
        <w:t xml:space="preserve"> który został przyjęty </w:t>
      </w:r>
      <w:bookmarkStart w:id="135" w:name="_Hlk104190920"/>
      <w:r w:rsidRPr="00450EAC">
        <w:rPr>
          <w:rFonts w:ascii="Lato" w:eastAsia="Times New Roman" w:hAnsi="Lato" w:cs="Times New Roman"/>
          <w:bCs/>
          <w:sz w:val="20"/>
          <w:szCs w:val="20"/>
          <w:lang w:eastAsia="pl-PL"/>
        </w:rPr>
        <w:t>uchwałą Nr XXIII/386/2021 Sejmiku Województwa Lubelskiego z dnia 19 lutego 2021 r</w:t>
      </w:r>
      <w:bookmarkEnd w:id="135"/>
      <w:r w:rsidRPr="00450EAC">
        <w:rPr>
          <w:rFonts w:ascii="Lato" w:eastAsia="Times New Roman" w:hAnsi="Lato" w:cs="Times New Roman"/>
          <w:bCs/>
          <w:sz w:val="20"/>
          <w:szCs w:val="20"/>
          <w:lang w:eastAsia="pl-PL"/>
        </w:rPr>
        <w:t xml:space="preserve">. </w:t>
      </w:r>
    </w:p>
    <w:p w14:paraId="1E731ADE" w14:textId="77777777" w:rsidR="00450EAC" w:rsidRPr="00450EAC" w:rsidRDefault="00450EAC" w:rsidP="00450EAC">
      <w:pPr>
        <w:spacing w:after="0" w:line="240" w:lineRule="auto"/>
        <w:ind w:firstLine="567"/>
        <w:jc w:val="both"/>
        <w:rPr>
          <w:rFonts w:ascii="Lato" w:eastAsia="Times New Roman" w:hAnsi="Lato" w:cs="Times New Roman"/>
          <w:sz w:val="20"/>
          <w:szCs w:val="20"/>
          <w:highlight w:val="yellow"/>
          <w:lang w:eastAsia="pl-PL"/>
        </w:rPr>
      </w:pPr>
    </w:p>
    <w:p w14:paraId="78F10218" w14:textId="2A6BD2AF" w:rsidR="00450EAC" w:rsidRPr="00450EAC" w:rsidRDefault="00450EAC" w:rsidP="00450EAC">
      <w:pPr>
        <w:spacing w:after="0" w:line="240" w:lineRule="auto"/>
        <w:contextualSpacing/>
        <w:jc w:val="both"/>
        <w:rPr>
          <w:rFonts w:ascii="Lato" w:eastAsia="Times New Roman" w:hAnsi="Lato" w:cs="Times New Roman"/>
          <w:bCs/>
          <w:sz w:val="20"/>
          <w:szCs w:val="20"/>
          <w:lang w:eastAsia="pl-PL"/>
        </w:rPr>
      </w:pPr>
      <w:r w:rsidRPr="00450EAC">
        <w:rPr>
          <w:rFonts w:ascii="Lato" w:eastAsia="Times New Roman" w:hAnsi="Lato" w:cs="Times New Roman"/>
          <w:b/>
          <w:bCs/>
          <w:sz w:val="20"/>
          <w:szCs w:val="20"/>
          <w:lang w:eastAsia="pl-PL"/>
        </w:rPr>
        <w:lastRenderedPageBreak/>
        <w:t>Współpraca z Wojewódzką Radą ds. Polityki Senioralnej przy Marszałku Województwa Lubelskiego</w:t>
      </w:r>
      <w:r w:rsidRPr="00450EAC">
        <w:rPr>
          <w:rFonts w:ascii="Lato" w:eastAsia="Times New Roman" w:hAnsi="Lato" w:cs="Times New Roman"/>
          <w:bCs/>
          <w:sz w:val="20"/>
          <w:szCs w:val="20"/>
          <w:lang w:eastAsia="pl-PL"/>
        </w:rPr>
        <w:t>, p</w:t>
      </w:r>
      <w:r w:rsidRPr="00450EAC">
        <w:rPr>
          <w:rFonts w:ascii="Lato" w:eastAsia="Times New Roman" w:hAnsi="Lato" w:cs="Times New Roman"/>
          <w:sz w:val="20"/>
          <w:szCs w:val="20"/>
          <w:lang w:eastAsia="pl-PL"/>
        </w:rPr>
        <w:t>owołaną w dniu 15 lipca 2014 r. przez Zarząd Województwa Lubelskiego.</w:t>
      </w:r>
      <w:r>
        <w:rPr>
          <w:rFonts w:ascii="Lato" w:eastAsia="Times New Roman" w:hAnsi="Lato" w:cs="Times New Roman"/>
          <w:bCs/>
          <w:sz w:val="20"/>
          <w:szCs w:val="20"/>
          <w:lang w:eastAsia="pl-PL"/>
        </w:rPr>
        <w:t xml:space="preserve"> </w:t>
      </w:r>
      <w:r w:rsidRPr="00450EAC">
        <w:rPr>
          <w:rFonts w:ascii="Lato" w:eastAsia="Times New Roman" w:hAnsi="Lato" w:cs="Times New Roman"/>
          <w:bCs/>
          <w:sz w:val="20"/>
          <w:szCs w:val="20"/>
          <w:lang w:eastAsia="pl-PL"/>
        </w:rPr>
        <w:t>Głównym zadaniem Wojewódzkiej Rady ds. Polityki Senioralnej jest:</w:t>
      </w:r>
    </w:p>
    <w:p w14:paraId="50EA44FC"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współtworzenie kierunków polityki senioralnej w województwie lubelskim,</w:t>
      </w:r>
    </w:p>
    <w:p w14:paraId="46655189"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opiniowanie projektów programów kierowanych do osób starszych,</w:t>
      </w:r>
    </w:p>
    <w:p w14:paraId="37F5D461"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wspieranie rozwoju i działań organizacji pozarządowych, </w:t>
      </w:r>
    </w:p>
    <w:p w14:paraId="6CE15E62"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wspieranie działalności klubów i uniwersytetów dla osób 60+,</w:t>
      </w:r>
    </w:p>
    <w:p w14:paraId="1CEECAF1"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monitorowanie realizacji programów polityki senioralnej w województwie lubelskim,</w:t>
      </w:r>
    </w:p>
    <w:p w14:paraId="0FEC446A" w14:textId="77777777" w:rsidR="00450EAC" w:rsidRPr="00450EAC" w:rsidRDefault="00450EAC" w:rsidP="00B73AF7">
      <w:pPr>
        <w:numPr>
          <w:ilvl w:val="0"/>
          <w:numId w:val="50"/>
        </w:num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inicjowanie propozycji rozwiązań na rzecz środowiska seniorów oraz wymiany i komunikacji międzypokoleniowej.</w:t>
      </w:r>
    </w:p>
    <w:p w14:paraId="76094735" w14:textId="77777777" w:rsidR="00450EAC" w:rsidRPr="00450EAC" w:rsidRDefault="00450EAC" w:rsidP="00450EAC">
      <w:pPr>
        <w:spacing w:after="0" w:line="240" w:lineRule="auto"/>
        <w:ind w:left="360"/>
        <w:jc w:val="both"/>
        <w:rPr>
          <w:rFonts w:ascii="Lato" w:eastAsia="Times New Roman" w:hAnsi="Lato" w:cs="Times New Roman"/>
          <w:sz w:val="20"/>
          <w:szCs w:val="20"/>
          <w:lang w:eastAsia="pl-PL"/>
        </w:rPr>
      </w:pPr>
    </w:p>
    <w:p w14:paraId="5CFDBF01" w14:textId="77777777" w:rsidR="00450EAC" w:rsidRPr="00450EAC" w:rsidRDefault="00450EAC" w:rsidP="00450EAC">
      <w:pPr>
        <w:spacing w:after="0" w:line="240" w:lineRule="auto"/>
        <w:jc w:val="both"/>
        <w:rPr>
          <w:rFonts w:ascii="Lato" w:hAnsi="Lato" w:cs="Times New Roman"/>
          <w:sz w:val="20"/>
          <w:szCs w:val="20"/>
        </w:rPr>
      </w:pPr>
      <w:r w:rsidRPr="00450EAC">
        <w:rPr>
          <w:rFonts w:ascii="Lato" w:hAnsi="Lato" w:cs="Times New Roman"/>
          <w:sz w:val="20"/>
          <w:szCs w:val="20"/>
        </w:rPr>
        <w:t>Rada cyklicznie współpracuje z Regionalnym Ośrodkiem Polityki Społecznej w Lublinie w zakresie organizacji obchodów Wojewódzkiego Dnia Seniora/Wojewódzkiego Dnia Rodzin – członkowie Rady pośredniczą w kontaktach z lokalnymi artystami, zgłaszają propozycje tematyki prelekcji itp.</w:t>
      </w:r>
    </w:p>
    <w:p w14:paraId="376AFE1C" w14:textId="77777777" w:rsidR="00450EAC" w:rsidRDefault="00450EAC" w:rsidP="00450EAC">
      <w:pPr>
        <w:spacing w:after="0" w:line="240" w:lineRule="auto"/>
        <w:jc w:val="both"/>
        <w:rPr>
          <w:rFonts w:ascii="Lato" w:hAnsi="Lato" w:cs="Times New Roman"/>
          <w:sz w:val="20"/>
          <w:szCs w:val="20"/>
        </w:rPr>
      </w:pPr>
    </w:p>
    <w:p w14:paraId="0D9561DB" w14:textId="4178192F" w:rsidR="00450EAC" w:rsidRPr="00450EAC" w:rsidRDefault="00450EAC" w:rsidP="00450EAC">
      <w:pPr>
        <w:spacing w:after="0" w:line="240" w:lineRule="auto"/>
        <w:jc w:val="both"/>
        <w:rPr>
          <w:rFonts w:ascii="Lato" w:hAnsi="Lato" w:cs="Times New Roman"/>
          <w:sz w:val="20"/>
          <w:szCs w:val="20"/>
        </w:rPr>
      </w:pPr>
      <w:r w:rsidRPr="00450EAC">
        <w:rPr>
          <w:rFonts w:ascii="Lato" w:hAnsi="Lato" w:cs="Times New Roman"/>
          <w:sz w:val="20"/>
          <w:szCs w:val="20"/>
        </w:rPr>
        <w:t>Przedstawiciele Rady zasiadają w komisji konkursowej wyłaniającej laureatów konkursów „Gmina przyjazna Seniorom” oraz „Aktywny Senior”.</w:t>
      </w:r>
    </w:p>
    <w:p w14:paraId="43497709" w14:textId="77777777" w:rsidR="00450EAC" w:rsidRDefault="00450EAC" w:rsidP="00450EAC">
      <w:pPr>
        <w:spacing w:after="0" w:line="240" w:lineRule="auto"/>
        <w:jc w:val="both"/>
        <w:rPr>
          <w:rFonts w:ascii="Lato" w:hAnsi="Lato" w:cs="Times New Roman"/>
          <w:sz w:val="20"/>
          <w:szCs w:val="20"/>
        </w:rPr>
      </w:pPr>
    </w:p>
    <w:p w14:paraId="36D7D5E4" w14:textId="7468790C" w:rsidR="00450EAC" w:rsidRPr="00450EAC" w:rsidRDefault="00450EAC" w:rsidP="00450EAC">
      <w:pPr>
        <w:spacing w:after="0" w:line="240" w:lineRule="auto"/>
        <w:jc w:val="both"/>
        <w:rPr>
          <w:rFonts w:ascii="Lato" w:hAnsi="Lato" w:cs="Times New Roman"/>
          <w:sz w:val="20"/>
          <w:szCs w:val="20"/>
        </w:rPr>
      </w:pPr>
      <w:r w:rsidRPr="00450EAC">
        <w:rPr>
          <w:rFonts w:ascii="Lato" w:hAnsi="Lato" w:cs="Times New Roman"/>
          <w:sz w:val="20"/>
          <w:szCs w:val="20"/>
        </w:rPr>
        <w:t>Rada aktywnie włączała się w proces wprowadzania na terenie województwa lubelskiego Ogólnopolskiej Karty Seniora i stale rekomenduje ją w swoim środowisku.</w:t>
      </w:r>
    </w:p>
    <w:p w14:paraId="113562AC" w14:textId="77777777" w:rsidR="00450EAC" w:rsidRPr="00450EAC" w:rsidRDefault="00450EAC" w:rsidP="00450EAC">
      <w:pPr>
        <w:spacing w:after="0" w:line="240" w:lineRule="auto"/>
        <w:jc w:val="both"/>
        <w:rPr>
          <w:rFonts w:ascii="Lato" w:hAnsi="Lato" w:cs="Times New Roman"/>
          <w:sz w:val="20"/>
          <w:szCs w:val="20"/>
        </w:rPr>
      </w:pPr>
    </w:p>
    <w:p w14:paraId="481727F7" w14:textId="77777777" w:rsidR="00450EAC" w:rsidRPr="00450EAC" w:rsidRDefault="00450EAC" w:rsidP="0046766A">
      <w:pPr>
        <w:spacing w:after="0" w:line="240" w:lineRule="auto"/>
        <w:jc w:val="both"/>
        <w:rPr>
          <w:rFonts w:ascii="Lato" w:hAnsi="Lato" w:cs="Times New Roman"/>
          <w:sz w:val="20"/>
          <w:szCs w:val="20"/>
        </w:rPr>
      </w:pPr>
      <w:r w:rsidRPr="00450EAC">
        <w:rPr>
          <w:rFonts w:ascii="Lato" w:hAnsi="Lato" w:cs="Times New Roman"/>
          <w:sz w:val="20"/>
          <w:szCs w:val="20"/>
        </w:rPr>
        <w:t>Przedstawiciel Rady włączył się w prace Zespołu ds. opracowania Regionalnego Programu Rozwoju Usług Społecznych i Deinstytucjonalizacji dla Województwa Lubelskiego na lata 2023-2024. Dokument ten obejmuje swym zakresem kluczowe działania Samorządu Województwa Lubelskiego na rzecz rozwoju usług społecznych w środowisku lokalnym, w tym dla osób starszych i wymagających wsparcia w codziennym funkcjonowaniu.</w:t>
      </w:r>
    </w:p>
    <w:p w14:paraId="3B651382" w14:textId="77777777" w:rsidR="00450EAC" w:rsidRPr="00450EAC" w:rsidRDefault="00450EAC" w:rsidP="00450EAC">
      <w:pPr>
        <w:spacing w:after="0" w:line="240" w:lineRule="auto"/>
        <w:jc w:val="both"/>
        <w:rPr>
          <w:rFonts w:ascii="Lato" w:eastAsia="Times New Roman" w:hAnsi="Lato" w:cs="Times New Roman"/>
          <w:sz w:val="20"/>
          <w:szCs w:val="20"/>
          <w:lang w:eastAsia="pl-PL"/>
        </w:rPr>
      </w:pPr>
    </w:p>
    <w:p w14:paraId="3292758B" w14:textId="15AF0025" w:rsidR="00450EAC" w:rsidRPr="0046766A" w:rsidRDefault="00450EAC" w:rsidP="0046766A">
      <w:pPr>
        <w:spacing w:after="0" w:line="240" w:lineRule="auto"/>
        <w:jc w:val="both"/>
        <w:rPr>
          <w:rFonts w:ascii="Lato" w:eastAsia="Times New Roman" w:hAnsi="Lato" w:cs="Times New Roman"/>
          <w:bCs/>
          <w:sz w:val="20"/>
          <w:szCs w:val="20"/>
          <w:lang w:eastAsia="pl-PL"/>
        </w:rPr>
      </w:pPr>
      <w:r w:rsidRPr="0046766A">
        <w:rPr>
          <w:rFonts w:ascii="Lato" w:eastAsiaTheme="minorEastAsia" w:hAnsi="Lato" w:cs="Times New Roman"/>
          <w:b/>
          <w:sz w:val="20"/>
          <w:szCs w:val="20"/>
          <w:lang w:eastAsia="pl-PL"/>
        </w:rPr>
        <w:t>Wspieranie organizacji pozarządowych realizujących projekty na rzecz</w:t>
      </w:r>
      <w:r w:rsidRPr="0046766A">
        <w:rPr>
          <w:rFonts w:ascii="Lato" w:eastAsia="Times New Roman" w:hAnsi="Lato" w:cs="Times New Roman"/>
          <w:b/>
          <w:bCs/>
          <w:i/>
          <w:iCs/>
          <w:sz w:val="20"/>
          <w:szCs w:val="20"/>
          <w:lang w:eastAsia="pl-PL"/>
        </w:rPr>
        <w:t xml:space="preserve">  </w:t>
      </w:r>
      <w:r w:rsidRPr="0046766A">
        <w:rPr>
          <w:rFonts w:ascii="Lato" w:eastAsia="Times New Roman" w:hAnsi="Lato" w:cs="Times New Roman"/>
          <w:b/>
          <w:bCs/>
          <w:sz w:val="20"/>
          <w:szCs w:val="20"/>
          <w:lang w:eastAsia="pl-PL"/>
        </w:rPr>
        <w:t>przeciwdziałania wykluczeniu społecznemu osób starszych</w:t>
      </w:r>
      <w:r w:rsidRPr="0046766A">
        <w:rPr>
          <w:rFonts w:ascii="Lato" w:eastAsia="Times New Roman" w:hAnsi="Lato" w:cs="Times New Roman"/>
          <w:sz w:val="20"/>
          <w:szCs w:val="20"/>
          <w:lang w:eastAsia="pl-PL"/>
        </w:rPr>
        <w:t xml:space="preserve"> poprzez wspieranie różnorodnych form ich aktywizacji</w:t>
      </w:r>
      <w:r w:rsidRPr="0046766A">
        <w:rPr>
          <w:rFonts w:ascii="Lato" w:eastAsiaTheme="minorEastAsia" w:hAnsi="Lato" w:cs="Times New Roman"/>
          <w:b/>
          <w:sz w:val="20"/>
          <w:szCs w:val="20"/>
          <w:lang w:eastAsia="pl-PL"/>
        </w:rPr>
        <w:t xml:space="preserve"> – </w:t>
      </w:r>
      <w:r w:rsidRPr="0046766A">
        <w:rPr>
          <w:rFonts w:ascii="Lato" w:eastAsiaTheme="minorEastAsia" w:hAnsi="Lato" w:cs="Times New Roman"/>
          <w:bCs/>
          <w:sz w:val="20"/>
          <w:szCs w:val="20"/>
          <w:lang w:eastAsia="pl-PL"/>
        </w:rPr>
        <w:t>zlecanie zadań w ramach konkursów ofert oraz w trybie pozakonkursowym.</w:t>
      </w:r>
      <w:r w:rsidR="0046766A">
        <w:rPr>
          <w:rFonts w:ascii="Lato" w:eastAsia="Times New Roman" w:hAnsi="Lato" w:cs="Times New Roman"/>
          <w:bCs/>
          <w:sz w:val="20"/>
          <w:szCs w:val="20"/>
          <w:lang w:eastAsia="pl-PL"/>
        </w:rPr>
        <w:t xml:space="preserve"> </w:t>
      </w:r>
      <w:r w:rsidRPr="00450EAC">
        <w:rPr>
          <w:rFonts w:ascii="Lato" w:eastAsia="Times New Roman" w:hAnsi="Lato" w:cs="Times New Roman"/>
          <w:sz w:val="20"/>
          <w:szCs w:val="20"/>
          <w:lang w:eastAsia="pl-PL"/>
        </w:rPr>
        <w:t>W 2022 r. dotacja w wysokości 119 570,81 zł została przekazana 14 organizacjom, które działaniami projektowymi objęły 872 seniorów z terenu województwa lubelskiego.</w:t>
      </w:r>
    </w:p>
    <w:p w14:paraId="60968197" w14:textId="77777777" w:rsidR="0046766A" w:rsidRDefault="0046766A" w:rsidP="0046766A">
      <w:pPr>
        <w:spacing w:after="0" w:line="240" w:lineRule="auto"/>
        <w:jc w:val="both"/>
        <w:rPr>
          <w:rFonts w:ascii="Lato" w:eastAsia="Times New Roman" w:hAnsi="Lato" w:cs="Times New Roman"/>
          <w:sz w:val="20"/>
          <w:szCs w:val="20"/>
          <w:lang w:eastAsia="pl-PL"/>
        </w:rPr>
      </w:pPr>
    </w:p>
    <w:p w14:paraId="37B4340E" w14:textId="75A546B5"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Województwo Lubelskie dofinansowało m.in.:</w:t>
      </w:r>
    </w:p>
    <w:p w14:paraId="3EC9171D" w14:textId="77777777" w:rsidR="0046766A" w:rsidRDefault="00450EAC" w:rsidP="00B73AF7">
      <w:pPr>
        <w:pStyle w:val="Akapitzlist"/>
        <w:numPr>
          <w:ilvl w:val="0"/>
          <w:numId w:val="54"/>
        </w:numPr>
        <w:spacing w:after="0" w:line="240" w:lineRule="auto"/>
        <w:jc w:val="both"/>
        <w:rPr>
          <w:rFonts w:ascii="Lato" w:hAnsi="Lato" w:cs="Times New Roman"/>
          <w:sz w:val="20"/>
          <w:szCs w:val="20"/>
        </w:rPr>
      </w:pPr>
      <w:r w:rsidRPr="0046766A">
        <w:rPr>
          <w:rFonts w:ascii="Lato" w:hAnsi="Lato" w:cs="Times New Roman"/>
          <w:sz w:val="20"/>
          <w:szCs w:val="20"/>
        </w:rPr>
        <w:t>prowadzenie działań na rzecz osób starszych, poradnictwo psychologiczne, prawne, zajęcia muzyczne, teatralne, cyfrowe, warsztaty plastyczne, kulinarne, koszty wycieczek, wyjazdów integracyjnych,</w:t>
      </w:r>
    </w:p>
    <w:p w14:paraId="4E7CFACA" w14:textId="77777777" w:rsidR="0046766A" w:rsidRDefault="00450EAC" w:rsidP="00B73AF7">
      <w:pPr>
        <w:pStyle w:val="Akapitzlist"/>
        <w:numPr>
          <w:ilvl w:val="0"/>
          <w:numId w:val="54"/>
        </w:numPr>
        <w:spacing w:after="0" w:line="240" w:lineRule="auto"/>
        <w:jc w:val="both"/>
        <w:rPr>
          <w:rFonts w:ascii="Lato" w:hAnsi="Lato" w:cs="Times New Roman"/>
          <w:sz w:val="20"/>
          <w:szCs w:val="20"/>
        </w:rPr>
      </w:pPr>
      <w:r w:rsidRPr="0046766A">
        <w:rPr>
          <w:rFonts w:ascii="Lato" w:hAnsi="Lato" w:cs="Times New Roman"/>
          <w:sz w:val="20"/>
          <w:szCs w:val="20"/>
        </w:rPr>
        <w:t>wynagrodzenia psychologa prowadzącego indywidualne porady i poradnictwo rodzinne, wynagrodzenia prowadzących warsztaty kulinarne, aktywizacji osób starszych, cyfrowe, muzyczne, teatralne,</w:t>
      </w:r>
    </w:p>
    <w:p w14:paraId="725D5DC5" w14:textId="77777777" w:rsidR="0046766A" w:rsidRDefault="00450EAC" w:rsidP="00B73AF7">
      <w:pPr>
        <w:pStyle w:val="Akapitzlist"/>
        <w:numPr>
          <w:ilvl w:val="0"/>
          <w:numId w:val="54"/>
        </w:numPr>
        <w:spacing w:after="0" w:line="240" w:lineRule="auto"/>
        <w:jc w:val="both"/>
        <w:rPr>
          <w:rFonts w:ascii="Lato" w:hAnsi="Lato" w:cs="Times New Roman"/>
          <w:sz w:val="20"/>
          <w:szCs w:val="20"/>
        </w:rPr>
      </w:pPr>
      <w:r w:rsidRPr="0046766A">
        <w:rPr>
          <w:rFonts w:ascii="Lato" w:hAnsi="Lato" w:cs="Times New Roman"/>
          <w:sz w:val="20"/>
          <w:szCs w:val="20"/>
        </w:rPr>
        <w:t>zakup materiałów na zajęcia, materiałów biurowych, biletów wstępu na imprezy kulturalne, biletów wstępu do teatru, artykułów spożywczych,</w:t>
      </w:r>
    </w:p>
    <w:p w14:paraId="60CF8E27" w14:textId="7B832CDF" w:rsidR="00450EAC" w:rsidRPr="0046766A" w:rsidRDefault="00450EAC" w:rsidP="00B73AF7">
      <w:pPr>
        <w:pStyle w:val="Akapitzlist"/>
        <w:numPr>
          <w:ilvl w:val="0"/>
          <w:numId w:val="54"/>
        </w:numPr>
        <w:spacing w:after="0" w:line="240" w:lineRule="auto"/>
        <w:jc w:val="both"/>
        <w:rPr>
          <w:rFonts w:ascii="Lato" w:hAnsi="Lato" w:cs="Times New Roman"/>
          <w:sz w:val="20"/>
          <w:szCs w:val="20"/>
        </w:rPr>
      </w:pPr>
      <w:r w:rsidRPr="0046766A">
        <w:rPr>
          <w:rFonts w:ascii="Lato" w:hAnsi="Lato" w:cs="Times New Roman"/>
          <w:sz w:val="20"/>
          <w:szCs w:val="20"/>
        </w:rPr>
        <w:t>koszty poczęstunku podczas warsztatów, transportu, noclegu, wyżywienia, nagród, dyplomów.</w:t>
      </w:r>
    </w:p>
    <w:p w14:paraId="158D66BB" w14:textId="77777777" w:rsidR="00450EAC" w:rsidRPr="00450EAC" w:rsidRDefault="00450EAC" w:rsidP="00450EAC">
      <w:pPr>
        <w:spacing w:after="0" w:line="240" w:lineRule="auto"/>
        <w:jc w:val="both"/>
        <w:rPr>
          <w:rFonts w:ascii="Lato" w:eastAsia="Times New Roman" w:hAnsi="Lato" w:cs="Times New Roman"/>
          <w:sz w:val="20"/>
          <w:szCs w:val="20"/>
          <w:lang w:eastAsia="pl-PL"/>
        </w:rPr>
      </w:pPr>
    </w:p>
    <w:p w14:paraId="742AA440" w14:textId="77777777" w:rsidR="0046766A" w:rsidRDefault="00450EAC" w:rsidP="0046766A">
      <w:pPr>
        <w:autoSpaceDE w:val="0"/>
        <w:autoSpaceDN w:val="0"/>
        <w:adjustRightInd w:val="0"/>
        <w:spacing w:after="0" w:line="240" w:lineRule="auto"/>
        <w:jc w:val="both"/>
        <w:rPr>
          <w:rFonts w:ascii="Lato" w:hAnsi="Lato" w:cs="Times New Roman"/>
          <w:sz w:val="20"/>
          <w:szCs w:val="20"/>
        </w:rPr>
      </w:pPr>
      <w:r w:rsidRPr="00450EAC">
        <w:rPr>
          <w:rFonts w:ascii="Lato" w:eastAsiaTheme="minorEastAsia" w:hAnsi="Lato" w:cs="Times New Roman"/>
          <w:b/>
          <w:sz w:val="20"/>
          <w:szCs w:val="20"/>
        </w:rPr>
        <w:t xml:space="preserve">Realizacja </w:t>
      </w:r>
      <w:r w:rsidRPr="00450EAC">
        <w:rPr>
          <w:rFonts w:ascii="Lato" w:hAnsi="Lato" w:cs="Times New Roman"/>
          <w:b/>
          <w:bCs/>
          <w:sz w:val="20"/>
          <w:szCs w:val="20"/>
        </w:rPr>
        <w:t>Wojewódzkiego Programu na Rzecz Osób Starszych na lata 2021 – 2025</w:t>
      </w:r>
      <w:r w:rsidRPr="00450EAC">
        <w:rPr>
          <w:rFonts w:ascii="Lato" w:hAnsi="Lato" w:cs="Times New Roman"/>
          <w:bCs/>
          <w:sz w:val="20"/>
          <w:szCs w:val="20"/>
        </w:rPr>
        <w:t>, przyjętego uchwałą.</w:t>
      </w:r>
      <w:r w:rsidRPr="00450EAC">
        <w:rPr>
          <w:rFonts w:ascii="Lato" w:eastAsia="Times New Roman" w:hAnsi="Lato" w:cs="Times New Roman"/>
          <w:bCs/>
          <w:sz w:val="20"/>
          <w:szCs w:val="20"/>
          <w:lang w:eastAsia="pl-PL"/>
        </w:rPr>
        <w:t xml:space="preserve"> uchwałą Nr XXIII/386/2021 Sejmiku Województwa Lubelskiego z dnia 19 lutego 2021 r.</w:t>
      </w:r>
      <w:r w:rsidR="0046766A">
        <w:rPr>
          <w:rFonts w:ascii="Lato" w:hAnsi="Lato" w:cs="Times New Roman"/>
          <w:sz w:val="20"/>
          <w:szCs w:val="20"/>
        </w:rPr>
        <w:t xml:space="preserve"> </w:t>
      </w:r>
      <w:r w:rsidRPr="00450EAC">
        <w:rPr>
          <w:rFonts w:ascii="Lato" w:hAnsi="Lato" w:cs="Times New Roman"/>
          <w:sz w:val="20"/>
          <w:szCs w:val="20"/>
        </w:rPr>
        <w:t>Celami strategicznymi Programu są:</w:t>
      </w:r>
    </w:p>
    <w:p w14:paraId="6BC193F1" w14:textId="77777777" w:rsidR="0046766A" w:rsidRPr="0046766A" w:rsidRDefault="00450EAC" w:rsidP="00B73AF7">
      <w:pPr>
        <w:pStyle w:val="Akapitzlist"/>
        <w:numPr>
          <w:ilvl w:val="0"/>
          <w:numId w:val="55"/>
        </w:numPr>
        <w:autoSpaceDE w:val="0"/>
        <w:autoSpaceDN w:val="0"/>
        <w:adjustRightInd w:val="0"/>
        <w:spacing w:after="0" w:line="240" w:lineRule="auto"/>
        <w:jc w:val="both"/>
        <w:rPr>
          <w:rFonts w:ascii="Lato" w:hAnsi="Lato" w:cs="Times New Roman"/>
          <w:sz w:val="20"/>
          <w:szCs w:val="20"/>
        </w:rPr>
      </w:pPr>
      <w:r w:rsidRPr="0046766A">
        <w:rPr>
          <w:rFonts w:ascii="Lato" w:hAnsi="Lato" w:cs="Times New Roman"/>
          <w:bCs/>
          <w:sz w:val="20"/>
          <w:szCs w:val="20"/>
        </w:rPr>
        <w:t>poprawa jakości i dostępności świadczeń opieki zdrowotnej,</w:t>
      </w:r>
    </w:p>
    <w:p w14:paraId="06469D56" w14:textId="77777777" w:rsidR="0046766A" w:rsidRDefault="00450EAC" w:rsidP="00B73AF7">
      <w:pPr>
        <w:pStyle w:val="Akapitzlist"/>
        <w:numPr>
          <w:ilvl w:val="0"/>
          <w:numId w:val="55"/>
        </w:numPr>
        <w:autoSpaceDE w:val="0"/>
        <w:autoSpaceDN w:val="0"/>
        <w:adjustRightInd w:val="0"/>
        <w:spacing w:after="0" w:line="240" w:lineRule="auto"/>
        <w:jc w:val="both"/>
        <w:rPr>
          <w:rFonts w:ascii="Lato" w:hAnsi="Lato" w:cs="Times New Roman"/>
          <w:sz w:val="20"/>
          <w:szCs w:val="20"/>
        </w:rPr>
      </w:pPr>
      <w:r w:rsidRPr="0046766A">
        <w:rPr>
          <w:rFonts w:ascii="Lato" w:hAnsi="Lato" w:cs="Times New Roman"/>
          <w:bCs/>
          <w:sz w:val="20"/>
          <w:szCs w:val="20"/>
        </w:rPr>
        <w:t>z</w:t>
      </w:r>
      <w:r w:rsidRPr="0046766A">
        <w:rPr>
          <w:rFonts w:ascii="Lato" w:hAnsi="Lato" w:cs="Times New Roman"/>
          <w:sz w:val="20"/>
          <w:szCs w:val="20"/>
        </w:rPr>
        <w:t>apewnienie kompleksowego i wysokiego poziomu usług społecznych skierowanych do osób starszych,</w:t>
      </w:r>
    </w:p>
    <w:p w14:paraId="770D8216" w14:textId="77777777" w:rsidR="0046766A" w:rsidRPr="0046766A" w:rsidRDefault="00450EAC" w:rsidP="00B73AF7">
      <w:pPr>
        <w:pStyle w:val="Akapitzlist"/>
        <w:numPr>
          <w:ilvl w:val="0"/>
          <w:numId w:val="55"/>
        </w:numPr>
        <w:autoSpaceDE w:val="0"/>
        <w:autoSpaceDN w:val="0"/>
        <w:adjustRightInd w:val="0"/>
        <w:spacing w:after="0" w:line="240" w:lineRule="auto"/>
        <w:jc w:val="both"/>
        <w:rPr>
          <w:rFonts w:ascii="Lato" w:hAnsi="Lato" w:cs="Times New Roman"/>
          <w:sz w:val="20"/>
          <w:szCs w:val="20"/>
        </w:rPr>
      </w:pPr>
      <w:r w:rsidRPr="0046766A">
        <w:rPr>
          <w:rFonts w:ascii="Lato" w:hAnsi="Lato" w:cs="Times New Roman"/>
          <w:bCs/>
          <w:sz w:val="20"/>
          <w:szCs w:val="20"/>
        </w:rPr>
        <w:t xml:space="preserve">rozwój aktywności społecznej, kulturalnej i edukacyjnej osób starszych, </w:t>
      </w:r>
    </w:p>
    <w:p w14:paraId="3107403A" w14:textId="77777777" w:rsidR="0046766A" w:rsidRPr="0046766A" w:rsidRDefault="00450EAC" w:rsidP="00B73AF7">
      <w:pPr>
        <w:pStyle w:val="Akapitzlist"/>
        <w:numPr>
          <w:ilvl w:val="0"/>
          <w:numId w:val="55"/>
        </w:numPr>
        <w:autoSpaceDE w:val="0"/>
        <w:autoSpaceDN w:val="0"/>
        <w:adjustRightInd w:val="0"/>
        <w:spacing w:after="0" w:line="240" w:lineRule="auto"/>
        <w:jc w:val="both"/>
        <w:rPr>
          <w:rFonts w:ascii="Lato" w:hAnsi="Lato" w:cs="Times New Roman"/>
          <w:sz w:val="20"/>
          <w:szCs w:val="20"/>
        </w:rPr>
      </w:pPr>
      <w:r w:rsidRPr="0046766A">
        <w:rPr>
          <w:rFonts w:ascii="Lato" w:hAnsi="Lato" w:cs="Times New Roman"/>
          <w:bCs/>
          <w:iCs/>
          <w:sz w:val="20"/>
          <w:szCs w:val="20"/>
        </w:rPr>
        <w:t>wzrost aktywności zawodowej osób starszych,</w:t>
      </w:r>
    </w:p>
    <w:p w14:paraId="4BC7CD9D" w14:textId="0428EC8B" w:rsidR="00450EAC" w:rsidRPr="0046766A" w:rsidRDefault="00450EAC" w:rsidP="00B73AF7">
      <w:pPr>
        <w:pStyle w:val="Akapitzlist"/>
        <w:numPr>
          <w:ilvl w:val="0"/>
          <w:numId w:val="55"/>
        </w:numPr>
        <w:autoSpaceDE w:val="0"/>
        <w:autoSpaceDN w:val="0"/>
        <w:adjustRightInd w:val="0"/>
        <w:spacing w:after="0" w:line="240" w:lineRule="auto"/>
        <w:jc w:val="both"/>
        <w:rPr>
          <w:rFonts w:ascii="Lato" w:hAnsi="Lato" w:cs="Times New Roman"/>
          <w:sz w:val="20"/>
          <w:szCs w:val="20"/>
        </w:rPr>
      </w:pPr>
      <w:r w:rsidRPr="0046766A">
        <w:rPr>
          <w:rFonts w:ascii="Lato" w:hAnsi="Lato" w:cs="Times New Roman"/>
          <w:bCs/>
          <w:iCs/>
          <w:sz w:val="20"/>
          <w:szCs w:val="20"/>
        </w:rPr>
        <w:t>zapobieganie zjawisku przemocy i dyskryminacji wobec osób starszych.</w:t>
      </w:r>
    </w:p>
    <w:p w14:paraId="3BBE11D8" w14:textId="77777777" w:rsidR="0046766A" w:rsidRDefault="0046766A" w:rsidP="0046766A">
      <w:pPr>
        <w:autoSpaceDE w:val="0"/>
        <w:autoSpaceDN w:val="0"/>
        <w:adjustRightInd w:val="0"/>
        <w:spacing w:after="0" w:line="240" w:lineRule="auto"/>
        <w:jc w:val="both"/>
        <w:rPr>
          <w:rFonts w:ascii="Lato" w:hAnsi="Lato" w:cs="Times New Roman"/>
          <w:sz w:val="20"/>
          <w:szCs w:val="20"/>
        </w:rPr>
      </w:pPr>
    </w:p>
    <w:p w14:paraId="53F22BA1" w14:textId="7E37BF97" w:rsidR="00450EAC" w:rsidRPr="00450EAC" w:rsidRDefault="00450EAC" w:rsidP="0046766A">
      <w:pPr>
        <w:autoSpaceDE w:val="0"/>
        <w:autoSpaceDN w:val="0"/>
        <w:adjustRightInd w:val="0"/>
        <w:spacing w:after="0" w:line="240" w:lineRule="auto"/>
        <w:jc w:val="both"/>
        <w:rPr>
          <w:rFonts w:ascii="Lato" w:hAnsi="Lato" w:cs="Times New Roman"/>
          <w:sz w:val="20"/>
          <w:szCs w:val="20"/>
        </w:rPr>
      </w:pPr>
      <w:r w:rsidRPr="00450EAC">
        <w:rPr>
          <w:rFonts w:ascii="Lato" w:hAnsi="Lato" w:cs="Times New Roman"/>
          <w:sz w:val="20"/>
          <w:szCs w:val="20"/>
        </w:rPr>
        <w:t>Program monitorowany jest w cyklu dwuletnim. Monitorowanie pozwoli ocenić postępy podejmowanych działań, zweryfikuje kierunek zmian, a także pozwoli na modyfikację działań i dostosowanie ich do zmieniających się warunków.</w:t>
      </w:r>
    </w:p>
    <w:p w14:paraId="0C80B342" w14:textId="77777777" w:rsidR="00450EAC" w:rsidRPr="00450EAC" w:rsidRDefault="00450EAC" w:rsidP="00450EAC">
      <w:pPr>
        <w:autoSpaceDE w:val="0"/>
        <w:autoSpaceDN w:val="0"/>
        <w:adjustRightInd w:val="0"/>
        <w:spacing w:after="0" w:line="240" w:lineRule="auto"/>
        <w:jc w:val="both"/>
        <w:rPr>
          <w:rFonts w:ascii="Lato" w:hAnsi="Lato" w:cs="Times New Roman"/>
          <w:sz w:val="20"/>
          <w:szCs w:val="20"/>
        </w:rPr>
      </w:pPr>
    </w:p>
    <w:p w14:paraId="40699071" w14:textId="77777777" w:rsidR="00450EAC" w:rsidRPr="00450EAC" w:rsidRDefault="00450EAC" w:rsidP="0046766A">
      <w:p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b/>
          <w:sz w:val="20"/>
          <w:szCs w:val="20"/>
          <w:lang w:eastAsia="pl-PL"/>
        </w:rPr>
        <w:lastRenderedPageBreak/>
        <w:t xml:space="preserve">Monitorowanie sytuacji w zakresie rozwoju usług społecznych skierowanych do seniorów </w:t>
      </w:r>
      <w:r w:rsidRPr="00450EAC">
        <w:rPr>
          <w:rFonts w:ascii="Lato" w:eastAsia="Times New Roman" w:hAnsi="Lato" w:cs="Times New Roman"/>
          <w:sz w:val="20"/>
          <w:szCs w:val="20"/>
          <w:lang w:eastAsia="pl-PL"/>
        </w:rPr>
        <w:t>(m.in. usługi opiekuńcze, dzienne domy pomocy, świetlice, kluby seniora) w ramach sporządzanej corocznie Oceny Zasobów Pomocy Społecznej.</w:t>
      </w:r>
    </w:p>
    <w:p w14:paraId="2CD711FF" w14:textId="77777777" w:rsidR="00450EAC" w:rsidRPr="00450EAC" w:rsidRDefault="00450EAC" w:rsidP="00450EAC">
      <w:pPr>
        <w:spacing w:after="0" w:line="240" w:lineRule="auto"/>
        <w:jc w:val="both"/>
        <w:rPr>
          <w:rFonts w:ascii="Lato" w:eastAsia="Times New Roman" w:hAnsi="Lato" w:cs="Times New Roman"/>
          <w:sz w:val="20"/>
          <w:szCs w:val="20"/>
          <w:lang w:eastAsia="pl-PL"/>
        </w:rPr>
      </w:pPr>
    </w:p>
    <w:p w14:paraId="46520566" w14:textId="58F83537" w:rsidR="00450EAC" w:rsidRPr="00450EAC" w:rsidRDefault="00450EAC" w:rsidP="0046766A">
      <w:p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b/>
          <w:sz w:val="20"/>
          <w:szCs w:val="20"/>
          <w:lang w:eastAsia="pl-PL"/>
        </w:rPr>
        <w:t>W  2017 r. Województwo Lubelskie przystąpiło do programu pt</w:t>
      </w:r>
      <w:r w:rsidRPr="00450EAC">
        <w:rPr>
          <w:rFonts w:ascii="Lato" w:eastAsia="Times New Roman" w:hAnsi="Lato" w:cs="Times New Roman"/>
          <w:sz w:val="20"/>
          <w:szCs w:val="20"/>
          <w:lang w:eastAsia="pl-PL"/>
        </w:rPr>
        <w:t xml:space="preserve">. </w:t>
      </w:r>
      <w:r w:rsidRPr="00450EAC">
        <w:rPr>
          <w:rFonts w:ascii="Lato" w:eastAsia="Times New Roman" w:hAnsi="Lato" w:cs="Times New Roman"/>
          <w:b/>
          <w:sz w:val="20"/>
          <w:szCs w:val="20"/>
          <w:lang w:eastAsia="pl-PL"/>
        </w:rPr>
        <w:t>„Ogólnopolska Karta Seniora”</w:t>
      </w:r>
      <w:r w:rsidRPr="00450EAC">
        <w:rPr>
          <w:rFonts w:ascii="Lato" w:eastAsia="Times New Roman" w:hAnsi="Lato" w:cs="Times New Roman"/>
          <w:sz w:val="20"/>
          <w:szCs w:val="20"/>
          <w:lang w:eastAsia="pl-PL"/>
        </w:rPr>
        <w:t xml:space="preserve"> (Uchwała Nr CLXIX/3437/2017 Zarządu Województwa Lubelskiego z dnia 21 marca 2017 r.).</w:t>
      </w:r>
      <w:r w:rsidR="0046766A">
        <w:rPr>
          <w:rFonts w:ascii="Lato" w:eastAsia="Times New Roman" w:hAnsi="Lato" w:cs="Times New Roman"/>
          <w:sz w:val="20"/>
          <w:szCs w:val="20"/>
          <w:lang w:eastAsia="pl-PL"/>
        </w:rPr>
        <w:t xml:space="preserve"> </w:t>
      </w:r>
      <w:r w:rsidRPr="00450EAC">
        <w:rPr>
          <w:rFonts w:ascii="Lato" w:eastAsia="Times New Roman" w:hAnsi="Lato" w:cs="Times New Roman"/>
          <w:sz w:val="20"/>
          <w:szCs w:val="20"/>
          <w:lang w:eastAsia="pl-PL"/>
        </w:rPr>
        <w:t xml:space="preserve">Organizatorem programu jest Stowarzyszenie MANKO z siedzibą przy ul. Siarczki 16, 30-698 Kraków. Program „Ogólnopolska Karta Seniora” przeznaczony jest dla seniorów zamieszkałych na terenie całej Polski, którzy dzięki posiadaniu karty mogą skorzystać z promocji przygotowanych przez partnerów programu. W program zaangażowały się m.in.: uzdrowiska, ośrodki </w:t>
      </w:r>
      <w:proofErr w:type="spellStart"/>
      <w:r w:rsidRPr="00450EAC">
        <w:rPr>
          <w:rFonts w:ascii="Lato" w:eastAsia="Times New Roman" w:hAnsi="Lato" w:cs="Times New Roman"/>
          <w:sz w:val="20"/>
          <w:szCs w:val="20"/>
          <w:lang w:eastAsia="pl-PL"/>
        </w:rPr>
        <w:t>zdrowotno</w:t>
      </w:r>
      <w:proofErr w:type="spellEnd"/>
      <w:r w:rsidRPr="00450EAC">
        <w:rPr>
          <w:rFonts w:ascii="Lato" w:eastAsia="Times New Roman" w:hAnsi="Lato" w:cs="Times New Roman"/>
          <w:sz w:val="20"/>
          <w:szCs w:val="20"/>
          <w:lang w:eastAsia="pl-PL"/>
        </w:rPr>
        <w:t xml:space="preserve"> – medyczne, instytucje kulturalne, sportowe, rekreacyjne. Karta Seniora jest bezpłatna i bezterminowa a jedynym warunkiem jej otrzymania jest ukończone 60 lat.</w:t>
      </w:r>
      <w:r w:rsidR="0046766A">
        <w:rPr>
          <w:rFonts w:ascii="Lato" w:eastAsia="Times New Roman" w:hAnsi="Lato" w:cs="Times New Roman"/>
          <w:sz w:val="20"/>
          <w:szCs w:val="20"/>
          <w:lang w:eastAsia="pl-PL"/>
        </w:rPr>
        <w:t xml:space="preserve"> </w:t>
      </w:r>
      <w:r w:rsidRPr="00450EAC">
        <w:rPr>
          <w:rFonts w:ascii="Lato" w:eastAsia="Times New Roman" w:hAnsi="Lato" w:cs="Times New Roman"/>
          <w:sz w:val="20"/>
          <w:szCs w:val="20"/>
          <w:lang w:eastAsia="pl-PL"/>
        </w:rPr>
        <w:t>Przystąpienie do programu „Ogólnopolska Karta Seniora” jest elementem polityki społecznej realizowanej przez Województwo Lubelskie i ma przede wszystkim na celu aktywizację i integrację społeczną seniorów oraz poprawę społecznego wizerunku starości. Ogólnopolską Kartę Seniora wydano dla 7 307 seniorów z województwa lubelskiego, w tym dla 3 453 w 2022 r.</w:t>
      </w:r>
    </w:p>
    <w:p w14:paraId="53A5F6E4" w14:textId="77777777" w:rsidR="00450EAC" w:rsidRPr="00450EAC" w:rsidRDefault="00450EAC" w:rsidP="00450EAC">
      <w:pPr>
        <w:spacing w:after="0" w:line="240" w:lineRule="auto"/>
        <w:contextualSpacing/>
        <w:jc w:val="both"/>
        <w:rPr>
          <w:rFonts w:ascii="Lato" w:eastAsia="Times New Roman" w:hAnsi="Lato" w:cs="Times New Roman"/>
          <w:sz w:val="20"/>
          <w:szCs w:val="20"/>
          <w:lang w:eastAsia="pl-PL"/>
        </w:rPr>
      </w:pPr>
    </w:p>
    <w:p w14:paraId="7FD40934" w14:textId="77777777" w:rsidR="0046766A"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Instytucje kulturalne podległe Samorządowi Województwa Lubelskiego w organizowały liczne wydarzenia skierowane do seniorów:</w:t>
      </w:r>
    </w:p>
    <w:p w14:paraId="64A16F2E" w14:textId="3BCE9918" w:rsidR="00450EAC" w:rsidRPr="0046766A" w:rsidRDefault="00450EAC" w:rsidP="00B73AF7">
      <w:pPr>
        <w:pStyle w:val="Akapitzlist"/>
        <w:numPr>
          <w:ilvl w:val="0"/>
          <w:numId w:val="56"/>
        </w:numPr>
        <w:spacing w:after="0" w:line="240" w:lineRule="auto"/>
        <w:jc w:val="both"/>
        <w:rPr>
          <w:rFonts w:ascii="Lato" w:eastAsia="Times New Roman" w:hAnsi="Lato" w:cs="Times New Roman"/>
          <w:sz w:val="20"/>
          <w:szCs w:val="20"/>
          <w:lang w:eastAsia="pl-PL"/>
        </w:rPr>
      </w:pPr>
      <w:r w:rsidRPr="0046766A">
        <w:rPr>
          <w:rFonts w:ascii="Lato" w:eastAsia="Times New Roman" w:hAnsi="Lato" w:cs="Times New Roman"/>
          <w:sz w:val="20"/>
          <w:szCs w:val="20"/>
          <w:lang w:eastAsia="pl-PL"/>
        </w:rPr>
        <w:t>Ośrodek Praktyk Teatralnych „Gardzienice” w Gardzienicach,</w:t>
      </w:r>
    </w:p>
    <w:p w14:paraId="2033366B"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Muzeum Zamoyskich w Kozłówce,</w:t>
      </w:r>
    </w:p>
    <w:p w14:paraId="67BB6044"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Muzeum Nadwiślańskie w Kazimierzu Dolnym,</w:t>
      </w:r>
    </w:p>
    <w:p w14:paraId="1A68EFCA"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Muzeum Wsi Lubelskiej w Lublinie,</w:t>
      </w:r>
    </w:p>
    <w:p w14:paraId="46C3DF1D"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Teatr Muzyczny w Lublinie,</w:t>
      </w:r>
    </w:p>
    <w:p w14:paraId="6353475B"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Centrum Spotkania Kultur w Lublinie,</w:t>
      </w:r>
    </w:p>
    <w:p w14:paraId="0CE55683" w14:textId="77777777" w:rsidR="00450EAC" w:rsidRPr="00450EAC"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Filharmonia Lubelska im. Henryka Wieniawskiego w Lublinie,</w:t>
      </w:r>
    </w:p>
    <w:p w14:paraId="4FB9A540" w14:textId="77777777" w:rsidR="00F93408"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450EAC">
        <w:rPr>
          <w:rFonts w:ascii="Lato" w:eastAsia="Times New Roman" w:hAnsi="Lato" w:cs="Times New Roman"/>
          <w:bCs/>
          <w:sz w:val="20"/>
          <w:szCs w:val="20"/>
          <w:lang w:eastAsia="pl-PL"/>
        </w:rPr>
        <w:t>Wojewódzki Ośrodek Kultury w Lublinie,</w:t>
      </w:r>
    </w:p>
    <w:p w14:paraId="1EA1E45C" w14:textId="77777777" w:rsidR="00F93408" w:rsidRDefault="00450EAC" w:rsidP="00B73AF7">
      <w:pPr>
        <w:numPr>
          <w:ilvl w:val="0"/>
          <w:numId w:val="49"/>
        </w:numPr>
        <w:spacing w:after="0" w:line="240" w:lineRule="auto"/>
        <w:contextualSpacing/>
        <w:jc w:val="both"/>
        <w:rPr>
          <w:rFonts w:ascii="Lato" w:eastAsia="Times New Roman" w:hAnsi="Lato" w:cs="Times New Roman"/>
          <w:sz w:val="20"/>
          <w:szCs w:val="20"/>
          <w:lang w:eastAsia="pl-PL"/>
        </w:rPr>
      </w:pPr>
      <w:r w:rsidRPr="00F93408">
        <w:rPr>
          <w:rFonts w:ascii="Lato" w:eastAsia="Times New Roman" w:hAnsi="Lato" w:cs="Times New Roman"/>
          <w:sz w:val="20"/>
          <w:szCs w:val="20"/>
          <w:lang w:eastAsia="pl-PL"/>
        </w:rPr>
        <w:t xml:space="preserve">Wojewódzka </w:t>
      </w:r>
      <w:r w:rsidRPr="00F93408">
        <w:rPr>
          <w:rFonts w:ascii="Lato" w:eastAsia="Times New Roman" w:hAnsi="Lato" w:cs="Times New Roman"/>
          <w:spacing w:val="-8"/>
          <w:sz w:val="20"/>
          <w:szCs w:val="20"/>
          <w:lang w:eastAsia="pl-PL"/>
        </w:rPr>
        <w:t>Biblioteka Publiczna im. Hieronima Łopacińskiego w Lublinie.</w:t>
      </w:r>
    </w:p>
    <w:p w14:paraId="14BCAA28" w14:textId="77777777" w:rsidR="00F93408" w:rsidRDefault="00F93408" w:rsidP="00F93408">
      <w:pPr>
        <w:spacing w:after="0" w:line="240" w:lineRule="auto"/>
        <w:contextualSpacing/>
        <w:jc w:val="both"/>
        <w:rPr>
          <w:rFonts w:ascii="Lato" w:eastAsia="Times New Roman" w:hAnsi="Lato" w:cs="Times New Roman"/>
          <w:sz w:val="20"/>
          <w:szCs w:val="20"/>
          <w:lang w:eastAsia="pl-PL"/>
        </w:rPr>
      </w:pPr>
    </w:p>
    <w:p w14:paraId="73B5986C" w14:textId="43C26C2C" w:rsidR="00450EAC" w:rsidRPr="00F93408" w:rsidRDefault="00450EAC" w:rsidP="00F93408">
      <w:pPr>
        <w:spacing w:after="0" w:line="240" w:lineRule="auto"/>
        <w:contextualSpacing/>
        <w:jc w:val="both"/>
        <w:rPr>
          <w:rFonts w:ascii="Lato" w:eastAsia="Times New Roman" w:hAnsi="Lato" w:cs="Times New Roman"/>
          <w:sz w:val="20"/>
          <w:szCs w:val="20"/>
          <w:lang w:eastAsia="pl-PL"/>
        </w:rPr>
      </w:pPr>
      <w:r w:rsidRPr="00F93408">
        <w:rPr>
          <w:rFonts w:ascii="Lato" w:eastAsia="Times New Roman" w:hAnsi="Lato" w:cs="Times New Roman"/>
          <w:sz w:val="20"/>
          <w:szCs w:val="20"/>
          <w:lang w:eastAsia="pl-PL"/>
        </w:rPr>
        <w:t>Powyższe instytucje zapewniają osobom starszym możliwość nieodpłatnego korzystania ze zbiorów bibliotecznych, jak również organizowanych przez siebie wydarzeń kulturalnych. Większość z nich posiada certyfikat „Miejsce przyjazne seniorom” oraz hon</w:t>
      </w:r>
      <w:bookmarkStart w:id="136" w:name="_Hlk104192953"/>
      <w:r w:rsidRPr="00F93408">
        <w:rPr>
          <w:rFonts w:ascii="Lato" w:eastAsia="Times New Roman" w:hAnsi="Lato" w:cs="Times New Roman"/>
          <w:sz w:val="20"/>
          <w:szCs w:val="20"/>
          <w:lang w:eastAsia="pl-PL"/>
        </w:rPr>
        <w:t>oruje „Lubelską Kartę Seniora”.</w:t>
      </w:r>
    </w:p>
    <w:p w14:paraId="31A0E9D3" w14:textId="77777777" w:rsidR="0046766A" w:rsidRDefault="0046766A" w:rsidP="0046766A">
      <w:pPr>
        <w:pStyle w:val="Akapitzlist"/>
        <w:spacing w:after="0" w:line="240" w:lineRule="auto"/>
        <w:ind w:left="0"/>
        <w:jc w:val="both"/>
        <w:rPr>
          <w:rFonts w:ascii="Lato" w:hAnsi="Lato" w:cs="Times New Roman"/>
          <w:b/>
          <w:bCs/>
          <w:sz w:val="20"/>
          <w:szCs w:val="20"/>
        </w:rPr>
      </w:pPr>
    </w:p>
    <w:p w14:paraId="1FE2A527" w14:textId="2DE942A8" w:rsidR="00450EAC" w:rsidRPr="00450EAC" w:rsidRDefault="00450EAC" w:rsidP="0046766A">
      <w:pPr>
        <w:pStyle w:val="Akapitzlist"/>
        <w:spacing w:after="0" w:line="240" w:lineRule="auto"/>
        <w:ind w:left="0"/>
        <w:jc w:val="both"/>
        <w:rPr>
          <w:rFonts w:ascii="Lato" w:hAnsi="Lato" w:cs="Times New Roman"/>
          <w:sz w:val="20"/>
          <w:szCs w:val="20"/>
        </w:rPr>
      </w:pPr>
      <w:r w:rsidRPr="00450EAC">
        <w:rPr>
          <w:rFonts w:ascii="Lato" w:hAnsi="Lato" w:cs="Times New Roman"/>
          <w:b/>
          <w:bCs/>
          <w:sz w:val="20"/>
          <w:szCs w:val="20"/>
        </w:rPr>
        <w:t>W dniu 21.09.2022 r. pracownicy Regionalnego Ośrodka Polityki Społecznej w Lublinie uczestniczyli w IX Międzynarodowych SENIORALIACH w Krakowie</w:t>
      </w:r>
      <w:r w:rsidRPr="00450EAC">
        <w:rPr>
          <w:rFonts w:ascii="Lato" w:hAnsi="Lato" w:cs="Times New Roman"/>
          <w:sz w:val="20"/>
          <w:szCs w:val="20"/>
        </w:rPr>
        <w:t>, w tym w konferencji dla liderów i koordynatorów polityki senioralnej poświęconej dobrym praktykom w zakresie rozwoju działalności na rzecz seniorów w gminach.</w:t>
      </w:r>
      <w:r w:rsidR="0046766A">
        <w:rPr>
          <w:rFonts w:ascii="Lato" w:hAnsi="Lato" w:cs="Times New Roman"/>
          <w:sz w:val="20"/>
          <w:szCs w:val="20"/>
        </w:rPr>
        <w:t xml:space="preserve"> </w:t>
      </w:r>
      <w:r w:rsidRPr="00450EAC">
        <w:rPr>
          <w:rFonts w:ascii="Lato" w:hAnsi="Lato" w:cs="Times New Roman"/>
          <w:sz w:val="20"/>
          <w:szCs w:val="20"/>
        </w:rPr>
        <w:t>Międzynarodowe SENIORALIA organizowane są przez Stowarzyszenie Manko – „Głos Seniora”. W przedsięwzięciu uczestniczą seniorzy, członkowie Rad Seniorów, Uniwersytetów Trzeciego Wieku, organizacji seniorskich, instytucji publicznych, społecznych i prywatnych oraz przedstawiciele miast partnerskich i władz samorządowych z całej Polski.</w:t>
      </w:r>
    </w:p>
    <w:p w14:paraId="54E6808A" w14:textId="77777777" w:rsidR="00450EAC" w:rsidRPr="00450EAC" w:rsidRDefault="00450EAC" w:rsidP="00450EAC">
      <w:pPr>
        <w:tabs>
          <w:tab w:val="left" w:pos="6064"/>
        </w:tabs>
        <w:spacing w:after="0" w:line="240" w:lineRule="auto"/>
        <w:jc w:val="both"/>
        <w:rPr>
          <w:rFonts w:ascii="Lato" w:hAnsi="Lato" w:cs="Times New Roman"/>
          <w:sz w:val="20"/>
          <w:szCs w:val="20"/>
        </w:rPr>
      </w:pPr>
    </w:p>
    <w:p w14:paraId="29DE10E4" w14:textId="239F0E6F" w:rsidR="00450EAC" w:rsidRPr="0046766A" w:rsidRDefault="00450EAC" w:rsidP="0046766A">
      <w:pPr>
        <w:tabs>
          <w:tab w:val="left" w:pos="6064"/>
        </w:tabs>
        <w:spacing w:after="0" w:line="240" w:lineRule="auto"/>
        <w:jc w:val="both"/>
        <w:rPr>
          <w:rFonts w:ascii="Lato" w:eastAsia="Times New Roman" w:hAnsi="Lato" w:cs="Times New Roman"/>
          <w:sz w:val="20"/>
          <w:szCs w:val="20"/>
          <w:lang w:eastAsia="pl-PL"/>
        </w:rPr>
      </w:pPr>
      <w:r w:rsidRPr="0046766A">
        <w:rPr>
          <w:rFonts w:ascii="Lato" w:eastAsia="Times New Roman" w:hAnsi="Lato" w:cs="Times New Roman"/>
          <w:b/>
          <w:bCs/>
          <w:sz w:val="20"/>
          <w:szCs w:val="20"/>
          <w:lang w:eastAsia="pl-PL"/>
        </w:rPr>
        <w:t>Wojewódzki Dzień Rodzin 2022</w:t>
      </w:r>
    </w:p>
    <w:p w14:paraId="473ABDBD" w14:textId="77777777" w:rsidR="00450EAC" w:rsidRPr="00450EAC" w:rsidRDefault="00450EAC" w:rsidP="0046766A">
      <w:pPr>
        <w:pStyle w:val="Akapitzlist"/>
        <w:tabs>
          <w:tab w:val="left" w:pos="6064"/>
        </w:tabs>
        <w:spacing w:after="0" w:line="240" w:lineRule="auto"/>
        <w:ind w:left="0"/>
        <w:jc w:val="both"/>
        <w:rPr>
          <w:rFonts w:ascii="Lato" w:eastAsia="Times New Roman" w:hAnsi="Lato" w:cs="Times New Roman"/>
          <w:sz w:val="20"/>
          <w:szCs w:val="20"/>
          <w:lang w:eastAsia="pl-PL"/>
        </w:rPr>
      </w:pPr>
      <w:r w:rsidRPr="00450EAC">
        <w:rPr>
          <w:rFonts w:ascii="Lato" w:hAnsi="Lato" w:cs="Times New Roman"/>
          <w:sz w:val="20"/>
          <w:szCs w:val="20"/>
          <w:shd w:val="clear" w:color="auto" w:fill="FFFFFF"/>
        </w:rPr>
        <w:t xml:space="preserve">W dniu </w:t>
      </w:r>
      <w:r w:rsidRPr="00450EAC">
        <w:rPr>
          <w:rFonts w:ascii="Lato" w:hAnsi="Lato" w:cs="Times New Roman"/>
          <w:sz w:val="20"/>
          <w:szCs w:val="20"/>
        </w:rPr>
        <w:t>7 września 2022 r</w:t>
      </w:r>
      <w:r w:rsidRPr="00450EAC">
        <w:rPr>
          <w:rFonts w:ascii="Lato" w:hAnsi="Lato" w:cs="Times New Roman"/>
          <w:sz w:val="20"/>
          <w:szCs w:val="20"/>
          <w:shd w:val="clear" w:color="auto" w:fill="FFFFFF"/>
        </w:rPr>
        <w:t>. miało miejsce wydarzenie „Wojewódzki Dzień Rodzin” zorganizowane przez Marszałka Województwa Lubelskiego, przy udziale Regionalnego Ośrodka Polityki Społecznej w Lublinie w Muzeum Wsi Lubelskiej w Lublinie.</w:t>
      </w:r>
      <w:r w:rsidRPr="00450EAC">
        <w:rPr>
          <w:rFonts w:ascii="Lato" w:eastAsia="Times New Roman" w:hAnsi="Lato" w:cs="Times New Roman"/>
          <w:sz w:val="20"/>
          <w:szCs w:val="20"/>
          <w:lang w:eastAsia="pl-PL"/>
        </w:rPr>
        <w:t xml:space="preserve"> </w:t>
      </w:r>
      <w:r w:rsidRPr="00450EAC">
        <w:rPr>
          <w:rFonts w:ascii="Lato" w:hAnsi="Lato" w:cs="Times New Roman"/>
          <w:sz w:val="20"/>
          <w:szCs w:val="20"/>
        </w:rPr>
        <w:t xml:space="preserve">Wojewódzki Dzień Rodzin to spotkanie seniorów, rodzin zastępczych i rodzin adopcyjnych województwa lubelskiego, którego celem jest promowanie wartości rodziny, integracji międzypokoleniowej, promowanie gmin na </w:t>
      </w:r>
      <w:r w:rsidRPr="00450EAC">
        <w:rPr>
          <w:rFonts w:ascii="Lato" w:eastAsia="Times New Roman" w:hAnsi="Lato" w:cs="Times New Roman"/>
          <w:sz w:val="20"/>
          <w:szCs w:val="20"/>
          <w:lang w:eastAsia="pl-PL"/>
        </w:rPr>
        <w:t xml:space="preserve">terenie których prowadzone są cenne inicjatywy na rzecz osób starszych oraz podkreślenie aktywności seniorów uczestniczących </w:t>
      </w:r>
      <w:r w:rsidRPr="00450EAC">
        <w:rPr>
          <w:rFonts w:ascii="Lato" w:eastAsia="Times New Roman" w:hAnsi="Lato" w:cs="Times New Roman"/>
          <w:sz w:val="20"/>
          <w:szCs w:val="20"/>
          <w:lang w:eastAsia="pl-PL"/>
        </w:rPr>
        <w:br/>
        <w:t>w życiu społeczności lokalnej. Podczas „Wojewódzkiego Dnia Rodzin” uhonorowani zostali laureaci konkursów pt. „Gmina przyjazna Seniorom” oraz „Aktywny Senior” ogłaszanych przez Regionalny Ośrodek Polityki Społecznej w Lublinie. Dyplomy uznania Marszałka Województwa Lubelskiego otrzymały rodziny zastępcze oraz prowadzący rodzinny dom dziecka.</w:t>
      </w:r>
    </w:p>
    <w:p w14:paraId="2B3E3462" w14:textId="77777777" w:rsidR="0046766A" w:rsidRDefault="0046766A" w:rsidP="0046766A">
      <w:pPr>
        <w:pStyle w:val="Akapitzlist"/>
        <w:tabs>
          <w:tab w:val="left" w:pos="6064"/>
        </w:tabs>
        <w:spacing w:after="0" w:line="240" w:lineRule="auto"/>
        <w:ind w:left="0"/>
        <w:jc w:val="both"/>
        <w:rPr>
          <w:rFonts w:ascii="Lato" w:eastAsia="Times New Roman" w:hAnsi="Lato" w:cs="Times New Roman"/>
          <w:sz w:val="20"/>
          <w:szCs w:val="20"/>
          <w:lang w:eastAsia="pl-PL"/>
        </w:rPr>
      </w:pPr>
    </w:p>
    <w:p w14:paraId="338DDD5E" w14:textId="31DB5155" w:rsidR="00450EAC" w:rsidRPr="00450EAC" w:rsidRDefault="00450EAC" w:rsidP="0046766A">
      <w:pPr>
        <w:pStyle w:val="Akapitzlist"/>
        <w:tabs>
          <w:tab w:val="left" w:pos="6064"/>
        </w:tabs>
        <w:spacing w:after="0" w:line="240" w:lineRule="auto"/>
        <w:ind w:left="0"/>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Wydarzenie, w którym </w:t>
      </w:r>
      <w:r w:rsidRPr="00450EAC">
        <w:rPr>
          <w:rFonts w:ascii="Lato" w:hAnsi="Lato" w:cs="Times New Roman"/>
          <w:sz w:val="20"/>
          <w:szCs w:val="20"/>
        </w:rPr>
        <w:t xml:space="preserve">wzięło udział ponad 500 osób </w:t>
      </w:r>
      <w:r w:rsidRPr="00450EAC">
        <w:rPr>
          <w:rFonts w:ascii="Lato" w:eastAsia="Times New Roman" w:hAnsi="Lato" w:cs="Times New Roman"/>
          <w:sz w:val="20"/>
          <w:szCs w:val="20"/>
          <w:lang w:eastAsia="pl-PL"/>
        </w:rPr>
        <w:t xml:space="preserve">spotkało się z dużym zainteresowaniem odbiorców. </w:t>
      </w:r>
      <w:r w:rsidRPr="00450EAC">
        <w:rPr>
          <w:rFonts w:ascii="Lato" w:hAnsi="Lato" w:cs="Times New Roman"/>
          <w:sz w:val="20"/>
          <w:szCs w:val="20"/>
          <w:shd w:val="clear" w:color="auto" w:fill="FFFFFF"/>
        </w:rPr>
        <w:t xml:space="preserve">Spotkanie uświetniły występy taneczne </w:t>
      </w:r>
      <w:r w:rsidR="0046766A">
        <w:rPr>
          <w:rFonts w:ascii="Lato" w:hAnsi="Lato" w:cs="Times New Roman"/>
          <w:sz w:val="20"/>
          <w:szCs w:val="20"/>
          <w:shd w:val="clear" w:color="auto" w:fill="FFFFFF"/>
        </w:rPr>
        <w:t xml:space="preserve"> </w:t>
      </w:r>
      <w:r w:rsidRPr="00450EAC">
        <w:rPr>
          <w:rFonts w:ascii="Lato" w:hAnsi="Lato" w:cs="Times New Roman"/>
          <w:sz w:val="20"/>
          <w:szCs w:val="20"/>
          <w:shd w:val="clear" w:color="auto" w:fill="FFFFFF"/>
        </w:rPr>
        <w:t xml:space="preserve">i muzyczne dzieci i młodzieży, w tym młodego geniusza – Miłosza </w:t>
      </w:r>
      <w:proofErr w:type="spellStart"/>
      <w:r w:rsidRPr="00450EAC">
        <w:rPr>
          <w:rFonts w:ascii="Lato" w:hAnsi="Lato" w:cs="Times New Roman"/>
          <w:sz w:val="20"/>
          <w:szCs w:val="20"/>
          <w:shd w:val="clear" w:color="auto" w:fill="FFFFFF"/>
        </w:rPr>
        <w:t>Bachonko</w:t>
      </w:r>
      <w:proofErr w:type="spellEnd"/>
      <w:r w:rsidRPr="00450EAC">
        <w:rPr>
          <w:rFonts w:ascii="Lato" w:hAnsi="Lato" w:cs="Times New Roman"/>
          <w:sz w:val="20"/>
          <w:szCs w:val="20"/>
          <w:shd w:val="clear" w:color="auto" w:fill="FFFFFF"/>
        </w:rPr>
        <w:t xml:space="preserve">, grającego na akordeonie oraz wystawa prac plastycznych wykonanych przez najmłodszych Uczestników. Oprawę muzyczną zapewnili artyści lokalnych kapel i zespołów artystycznych. W programie wydarzenia przewidziane były m.in.: gry i zabawy dla dzieci, warsztaty, wspólne grillowanie oraz podziwianie niezwykle urokliwego i pięknego Muzeum Wsi Lubelskiej. Wspaniałą atrakcją dla dzieci były </w:t>
      </w:r>
      <w:r w:rsidRPr="00450EAC">
        <w:rPr>
          <w:rFonts w:ascii="Lato" w:hAnsi="Lato" w:cs="Times New Roman"/>
          <w:sz w:val="20"/>
          <w:szCs w:val="20"/>
          <w:shd w:val="clear" w:color="auto" w:fill="FFFFFF"/>
        </w:rPr>
        <w:lastRenderedPageBreak/>
        <w:t>przejażdżki konne i kontakt z przyrodą, a dla osób starszych udział w warsztatach – m.in. robienia biżuterii dawnej lub pająków.</w:t>
      </w:r>
    </w:p>
    <w:p w14:paraId="64723397" w14:textId="77777777" w:rsidR="00450EAC" w:rsidRPr="00450EAC" w:rsidRDefault="00450EAC" w:rsidP="00450EAC">
      <w:pPr>
        <w:pStyle w:val="Akapitzlist"/>
        <w:spacing w:after="0" w:line="240" w:lineRule="auto"/>
        <w:ind w:left="0"/>
        <w:jc w:val="both"/>
        <w:rPr>
          <w:rFonts w:ascii="Lato" w:eastAsia="Times New Roman" w:hAnsi="Lato" w:cs="Times New Roman"/>
          <w:sz w:val="20"/>
          <w:szCs w:val="20"/>
          <w:lang w:eastAsia="pl-PL"/>
        </w:rPr>
      </w:pPr>
    </w:p>
    <w:bookmarkEnd w:id="136"/>
    <w:p w14:paraId="3AA77E4A" w14:textId="77777777" w:rsidR="0046766A" w:rsidRDefault="00450EAC" w:rsidP="0046766A">
      <w:pPr>
        <w:spacing w:after="0" w:line="240" w:lineRule="auto"/>
        <w:jc w:val="both"/>
        <w:rPr>
          <w:rFonts w:ascii="Lato" w:eastAsia="Times New Roman" w:hAnsi="Lato" w:cs="Times New Roman"/>
          <w:sz w:val="20"/>
          <w:szCs w:val="20"/>
          <w:lang w:eastAsia="pl-PL"/>
        </w:rPr>
      </w:pPr>
      <w:r w:rsidRPr="0046766A">
        <w:rPr>
          <w:rFonts w:ascii="Lato" w:eastAsia="Times New Roman" w:hAnsi="Lato" w:cs="Times New Roman"/>
          <w:b/>
          <w:sz w:val="20"/>
          <w:szCs w:val="20"/>
          <w:lang w:eastAsia="pl-PL"/>
        </w:rPr>
        <w:t>Promowanie aktywności samorządów lokalnych oraz aktywności Seniorów w środowisku lokalnym poprzez organizację konkursów.</w:t>
      </w:r>
      <w:r w:rsidR="0046766A">
        <w:rPr>
          <w:rFonts w:ascii="Lato" w:eastAsia="Times New Roman" w:hAnsi="Lato" w:cs="Times New Roman"/>
          <w:sz w:val="20"/>
          <w:szCs w:val="20"/>
          <w:lang w:eastAsia="pl-PL"/>
        </w:rPr>
        <w:t xml:space="preserve"> </w:t>
      </w:r>
    </w:p>
    <w:p w14:paraId="798B4C63" w14:textId="40F2B8C7" w:rsidR="00450EAC" w:rsidRPr="0046766A" w:rsidRDefault="00450EAC" w:rsidP="0046766A">
      <w:pPr>
        <w:spacing w:after="0" w:line="240" w:lineRule="auto"/>
        <w:jc w:val="both"/>
        <w:rPr>
          <w:rFonts w:ascii="Lato" w:eastAsia="Times New Roman" w:hAnsi="Lato" w:cs="Times New Roman"/>
          <w:sz w:val="20"/>
          <w:szCs w:val="20"/>
          <w:lang w:eastAsia="pl-PL"/>
        </w:rPr>
      </w:pPr>
      <w:r w:rsidRPr="00450EAC">
        <w:rPr>
          <w:rFonts w:ascii="Lato" w:hAnsi="Lato" w:cs="Times New Roman"/>
          <w:sz w:val="20"/>
          <w:szCs w:val="20"/>
        </w:rPr>
        <w:t xml:space="preserve">Podobnie jak w latach ubiegłych w 2022 r. Regionalny Ośrodek Polityki Społecznej w Lublinie ogłosił 2 konkursy: „Gmina przyjazna Seniorom” i „Aktywny Senior”. Celem konkursów jest promowanie innowacyjnych, wielozakresowych, działań na rzecz osób starszych przez gminy województwa lubelskiego oraz promowanie Seniorów aktywnie uczestniczących w życiu społeczności lokalnej. Zgłoszeń kandydatów do konkursów dokonywały </w:t>
      </w:r>
      <w:r w:rsidRPr="00450EAC">
        <w:rPr>
          <w:rFonts w:ascii="Lato" w:eastAsia="Times New Roman" w:hAnsi="Lato" w:cs="Times New Roman"/>
          <w:sz w:val="20"/>
          <w:szCs w:val="20"/>
          <w:lang w:eastAsia="pl-PL"/>
        </w:rPr>
        <w:t>osoby fizyczne, organizacje pozarządowe, jednostki samorządu terytorialnego oraz samorządowe jednostki organizacyjne z terenu województwa lubelskiego.</w:t>
      </w:r>
    </w:p>
    <w:p w14:paraId="6FFE71F1" w14:textId="77777777" w:rsidR="00450EAC" w:rsidRPr="00450EAC" w:rsidRDefault="00450EAC" w:rsidP="00450EAC">
      <w:pPr>
        <w:tabs>
          <w:tab w:val="left" w:pos="426"/>
        </w:tabs>
        <w:suppressAutoHyphens/>
        <w:autoSpaceDN w:val="0"/>
        <w:spacing w:after="0" w:line="240" w:lineRule="auto"/>
        <w:jc w:val="both"/>
        <w:rPr>
          <w:rFonts w:ascii="Lato" w:hAnsi="Lato" w:cs="Times New Roman"/>
          <w:sz w:val="20"/>
          <w:szCs w:val="20"/>
        </w:rPr>
      </w:pPr>
      <w:r w:rsidRPr="00450EAC">
        <w:rPr>
          <w:rFonts w:ascii="Lato" w:hAnsi="Lato" w:cs="Times New Roman"/>
          <w:sz w:val="20"/>
          <w:szCs w:val="20"/>
        </w:rPr>
        <w:tab/>
        <w:t>W kategorii „Gmina przyjazna Seniorom” wyłoniono 5 gmin, natomiast w kategorii „Aktywny Senior” laureatami konkursu zostało 5 osób.</w:t>
      </w:r>
    </w:p>
    <w:p w14:paraId="5807AECA" w14:textId="77777777" w:rsidR="0046766A" w:rsidRDefault="0046766A" w:rsidP="0046766A">
      <w:pPr>
        <w:pStyle w:val="Akapitzlist"/>
        <w:tabs>
          <w:tab w:val="left" w:pos="426"/>
        </w:tabs>
        <w:suppressAutoHyphens/>
        <w:autoSpaceDN w:val="0"/>
        <w:spacing w:after="0" w:line="240" w:lineRule="auto"/>
        <w:ind w:left="0"/>
        <w:jc w:val="both"/>
        <w:rPr>
          <w:rFonts w:ascii="Lato" w:eastAsia="Calibri" w:hAnsi="Lato" w:cs="Times New Roman"/>
          <w:b/>
          <w:bCs/>
          <w:sz w:val="20"/>
          <w:szCs w:val="20"/>
        </w:rPr>
      </w:pPr>
    </w:p>
    <w:p w14:paraId="5927B20A" w14:textId="22DB7441" w:rsidR="00450EAC" w:rsidRPr="00450EAC" w:rsidRDefault="00450EAC" w:rsidP="0046766A">
      <w:pPr>
        <w:pStyle w:val="Akapitzlist"/>
        <w:tabs>
          <w:tab w:val="left" w:pos="426"/>
        </w:tabs>
        <w:suppressAutoHyphens/>
        <w:autoSpaceDN w:val="0"/>
        <w:spacing w:after="0" w:line="240" w:lineRule="auto"/>
        <w:ind w:left="0"/>
        <w:jc w:val="both"/>
        <w:rPr>
          <w:rFonts w:ascii="Lato" w:hAnsi="Lato" w:cs="Times New Roman"/>
          <w:b/>
          <w:bCs/>
          <w:sz w:val="20"/>
          <w:szCs w:val="20"/>
        </w:rPr>
      </w:pPr>
      <w:r w:rsidRPr="00450EAC">
        <w:rPr>
          <w:rFonts w:ascii="Lato" w:eastAsia="Calibri" w:hAnsi="Lato" w:cs="Times New Roman"/>
          <w:b/>
          <w:bCs/>
          <w:sz w:val="20"/>
          <w:szCs w:val="20"/>
        </w:rPr>
        <w:t>Rola badawcza Regionalnego Ośrodka Polityki Społecznej w Lublinie.</w:t>
      </w:r>
    </w:p>
    <w:p w14:paraId="62E5FDB3" w14:textId="39C958AB" w:rsidR="00450EAC" w:rsidRPr="00450EAC" w:rsidRDefault="00450EAC" w:rsidP="00450EAC">
      <w:pPr>
        <w:pStyle w:val="Akapitzlist"/>
        <w:tabs>
          <w:tab w:val="left" w:pos="426"/>
        </w:tabs>
        <w:suppressAutoHyphens/>
        <w:autoSpaceDN w:val="0"/>
        <w:spacing w:after="0" w:line="240" w:lineRule="auto"/>
        <w:ind w:left="0"/>
        <w:jc w:val="both"/>
        <w:rPr>
          <w:rFonts w:ascii="Lato" w:hAnsi="Lato" w:cs="Times New Roman"/>
          <w:sz w:val="20"/>
          <w:szCs w:val="20"/>
        </w:rPr>
      </w:pPr>
      <w:r w:rsidRPr="00450EAC">
        <w:rPr>
          <w:rFonts w:ascii="Lato" w:eastAsia="Calibri" w:hAnsi="Lato" w:cs="Times New Roman"/>
          <w:sz w:val="20"/>
          <w:szCs w:val="20"/>
        </w:rPr>
        <w:t>Działające w Regionalnym Ośrodku Polityki Społecznej w Lublinie Lubelskie Obserwatorium Polityki Społecznej w 2022 roku zleciło badanie pod nazwą „</w:t>
      </w:r>
      <w:r w:rsidRPr="00450EAC">
        <w:rPr>
          <w:rFonts w:ascii="Lato" w:hAnsi="Lato" w:cs="Times New Roman"/>
          <w:sz w:val="20"/>
          <w:szCs w:val="20"/>
        </w:rPr>
        <w:t>Rola centrów usług społecznych w organizowaniu usług społecznych odpowiadających potrzebom seniorów w wieku 65 lat i więcej na terenie województwa lubelskiego”. Wnioski płynące z raportu stanowią ważny głos w projektowaniu usług na rzecz środowiska senioralnego zarówno przez centra usług społecznych jak i inne podmioty działające w tym zakresie.</w:t>
      </w:r>
    </w:p>
    <w:p w14:paraId="2C42B497" w14:textId="77777777" w:rsidR="00450EAC" w:rsidRPr="00450EAC" w:rsidRDefault="00450EAC" w:rsidP="00450EAC">
      <w:pPr>
        <w:pStyle w:val="Akapitzlist"/>
        <w:tabs>
          <w:tab w:val="left" w:pos="426"/>
        </w:tabs>
        <w:suppressAutoHyphens/>
        <w:autoSpaceDN w:val="0"/>
        <w:spacing w:after="0" w:line="240" w:lineRule="auto"/>
        <w:ind w:left="0"/>
        <w:jc w:val="both"/>
        <w:rPr>
          <w:rFonts w:ascii="Lato" w:hAnsi="Lato" w:cs="Times New Roman"/>
          <w:sz w:val="20"/>
          <w:szCs w:val="20"/>
        </w:rPr>
      </w:pPr>
    </w:p>
    <w:p w14:paraId="0228B55B" w14:textId="395E821F" w:rsidR="00450EAC" w:rsidRPr="0046766A" w:rsidRDefault="0046766A" w:rsidP="0046766A">
      <w:pPr>
        <w:spacing w:after="0" w:line="240" w:lineRule="auto"/>
        <w:jc w:val="both"/>
        <w:rPr>
          <w:rFonts w:ascii="Lato" w:hAnsi="Lato"/>
          <w:color w:val="2F5496" w:themeColor="accent1" w:themeShade="BF"/>
          <w:sz w:val="20"/>
          <w:szCs w:val="20"/>
        </w:rPr>
      </w:pPr>
      <w:bookmarkStart w:id="137" w:name="_Hlk137799579"/>
      <w:r w:rsidRPr="00757CE7">
        <w:rPr>
          <w:rFonts w:ascii="Lato" w:hAnsi="Lato"/>
          <w:b/>
          <w:color w:val="2F5496" w:themeColor="accent1" w:themeShade="BF"/>
          <w:sz w:val="20"/>
          <w:szCs w:val="20"/>
        </w:rPr>
        <w:t>PRZYKŁADY KILKU DOBRYCH PRAKTYK NA POZIOMIE POWIATU, GMINY</w:t>
      </w:r>
      <w:bookmarkEnd w:id="137"/>
    </w:p>
    <w:p w14:paraId="6EC20C11" w14:textId="77777777" w:rsidR="00450EAC" w:rsidRPr="00450EAC" w:rsidRDefault="00450EAC" w:rsidP="00450EAC">
      <w:pPr>
        <w:tabs>
          <w:tab w:val="left" w:pos="0"/>
        </w:tabs>
        <w:spacing w:after="0" w:line="240" w:lineRule="auto"/>
        <w:jc w:val="both"/>
        <w:rPr>
          <w:rFonts w:ascii="Lato" w:hAnsi="Lato" w:cs="Times New Roman"/>
          <w:b/>
          <w:sz w:val="20"/>
          <w:szCs w:val="20"/>
        </w:rPr>
      </w:pPr>
      <w:r w:rsidRPr="00450EAC">
        <w:rPr>
          <w:rFonts w:ascii="Lato" w:hAnsi="Lato" w:cs="Times New Roman"/>
          <w:b/>
          <w:sz w:val="20"/>
          <w:szCs w:val="20"/>
        </w:rPr>
        <w:t>Miasto na prawach powiatu Biała Podlaska podejmowała następujące działania:</w:t>
      </w:r>
    </w:p>
    <w:p w14:paraId="6BBAFA2B" w14:textId="77777777" w:rsidR="00450EAC" w:rsidRPr="00450EAC" w:rsidRDefault="00450EAC" w:rsidP="00450EAC">
      <w:pPr>
        <w:pStyle w:val="Akapitzlist"/>
        <w:spacing w:after="0" w:line="240" w:lineRule="auto"/>
        <w:ind w:left="0"/>
        <w:jc w:val="both"/>
        <w:rPr>
          <w:rFonts w:ascii="Lato" w:hAnsi="Lato" w:cs="Times New Roman"/>
          <w:sz w:val="20"/>
          <w:szCs w:val="20"/>
        </w:rPr>
      </w:pPr>
      <w:r w:rsidRPr="00450EAC">
        <w:rPr>
          <w:rFonts w:ascii="Lato" w:eastAsia="Times New Roman" w:hAnsi="Lato" w:cs="Times New Roman"/>
          <w:b/>
          <w:sz w:val="20"/>
          <w:szCs w:val="20"/>
          <w:lang w:eastAsia="pl-PL"/>
        </w:rPr>
        <w:t xml:space="preserve">1. </w:t>
      </w:r>
      <w:r w:rsidRPr="00450EAC">
        <w:rPr>
          <w:rFonts w:ascii="Lato" w:eastAsia="Times New Roman" w:hAnsi="Lato" w:cs="Times New Roman"/>
          <w:sz w:val="20"/>
          <w:szCs w:val="20"/>
          <w:lang w:eastAsia="pl-PL"/>
        </w:rPr>
        <w:t>Kontynuacja realizacji</w:t>
      </w:r>
      <w:r w:rsidRPr="00450EAC">
        <w:rPr>
          <w:rFonts w:ascii="Lato" w:eastAsia="Times New Roman" w:hAnsi="Lato" w:cs="Times New Roman"/>
          <w:b/>
          <w:sz w:val="20"/>
          <w:szCs w:val="20"/>
          <w:lang w:eastAsia="pl-PL"/>
        </w:rPr>
        <w:t xml:space="preserve"> Programu Wsparcia i Aktywizacji Seniorów na terenie miasta Biała Podlaska.</w:t>
      </w:r>
      <w:r w:rsidRPr="00450EAC">
        <w:rPr>
          <w:rFonts w:ascii="Lato" w:eastAsia="Times New Roman" w:hAnsi="Lato" w:cs="Times New Roman"/>
          <w:sz w:val="20"/>
          <w:szCs w:val="20"/>
          <w:lang w:eastAsia="pl-PL"/>
        </w:rPr>
        <w:t xml:space="preserve"> Program został</w:t>
      </w:r>
      <w:r w:rsidRPr="00450EAC">
        <w:rPr>
          <w:rFonts w:ascii="Lato" w:eastAsia="Times New Roman" w:hAnsi="Lato" w:cs="Times New Roman"/>
          <w:b/>
          <w:sz w:val="20"/>
          <w:szCs w:val="20"/>
          <w:lang w:eastAsia="pl-PL"/>
        </w:rPr>
        <w:t xml:space="preserve"> </w:t>
      </w:r>
      <w:r w:rsidRPr="00450EAC">
        <w:rPr>
          <w:rFonts w:ascii="Lato" w:eastAsia="Times New Roman" w:hAnsi="Lato" w:cs="Times New Roman"/>
          <w:sz w:val="20"/>
          <w:szCs w:val="20"/>
          <w:lang w:eastAsia="pl-PL"/>
        </w:rPr>
        <w:t xml:space="preserve">przyjęty uchwałą nr XXXVII/366/14 Rady Miasta Biała Podlaska z dnia 11 sierpnia 2014 r. Skierowany jest do ponad 11 tys. mieszkańców miasta Białej Podlaskiej w wieku 60+, szczegółowy opis Programu znajduje się na stronie: </w:t>
      </w:r>
      <w:hyperlink r:id="rId34" w:history="1">
        <w:r w:rsidRPr="00450EAC">
          <w:rPr>
            <w:rStyle w:val="Hipercze"/>
            <w:rFonts w:ascii="Lato" w:eastAsia="Times New Roman" w:hAnsi="Lato" w:cs="Times New Roman"/>
            <w:color w:val="auto"/>
            <w:sz w:val="20"/>
            <w:szCs w:val="20"/>
            <w:lang w:eastAsia="pl-PL"/>
          </w:rPr>
          <w:t>www.um.bialapodlaska.pl</w:t>
        </w:r>
      </w:hyperlink>
      <w:r w:rsidRPr="00450EAC">
        <w:rPr>
          <w:rFonts w:ascii="Lato" w:eastAsia="Times New Roman" w:hAnsi="Lato" w:cs="Times New Roman"/>
          <w:sz w:val="20"/>
          <w:szCs w:val="20"/>
          <w:lang w:eastAsia="pl-PL"/>
        </w:rPr>
        <w:t xml:space="preserve">. </w:t>
      </w:r>
      <w:r w:rsidRPr="00450EAC">
        <w:rPr>
          <w:rFonts w:ascii="Lato" w:hAnsi="Lato" w:cs="Times New Roman"/>
          <w:sz w:val="20"/>
          <w:szCs w:val="20"/>
        </w:rPr>
        <w:t xml:space="preserve">Obejmuje zadania wykraczające poza obligatoryjną działalność samorządu, tworząc pakiet działań skierowanych do starszych mieszkańców. Udział w Programie nie jest uwarunkowany sytuacją dochodową. Seniorzy mogą korzystać z ofert przygotowanych przez firmy i instytucje. Realizacja różnorodnych działań pozwala na aktywniejszy udział seniorów w życiu miasta oraz zachowanie zdrowia i dobrej kondycji. Przebiega w dwóch kierunkach: pierwszy zakłada podejmowanie działań sprzyjających aktywizacji życia seniorów, realizowanych poprzez aktywność społeczną, kulturalną, edukacyjną, </w:t>
      </w:r>
      <w:proofErr w:type="spellStart"/>
      <w:r w:rsidRPr="00450EAC">
        <w:rPr>
          <w:rFonts w:ascii="Lato" w:hAnsi="Lato" w:cs="Times New Roman"/>
          <w:sz w:val="20"/>
          <w:szCs w:val="20"/>
        </w:rPr>
        <w:t>turystyczno</w:t>
      </w:r>
      <w:proofErr w:type="spellEnd"/>
      <w:r w:rsidRPr="00450EAC">
        <w:rPr>
          <w:rFonts w:ascii="Lato" w:hAnsi="Lato" w:cs="Times New Roman"/>
          <w:sz w:val="20"/>
          <w:szCs w:val="20"/>
        </w:rPr>
        <w:t xml:space="preserve"> – rekreacyjną, drugi to Karta Seniora, uprawniająca do wielu zniżek, szczególnie w sklepach i zakładach usługowych na terenie Białej Podlaskiej. W 2022 r. przyjęto i pozytywnie zweryfikowano 456 wniosków o kartę, wydano 432 kart beneficjentom Programu. Liczba partnerów oferujących zniżki w Strefie Seniora wynosiła 44.</w:t>
      </w:r>
    </w:p>
    <w:p w14:paraId="7F1C428C" w14:textId="77777777" w:rsidR="00450EAC" w:rsidRPr="00450EAC" w:rsidRDefault="00450EAC" w:rsidP="00450EAC">
      <w:pPr>
        <w:pStyle w:val="Akapitzlist"/>
        <w:spacing w:after="0" w:line="240" w:lineRule="auto"/>
        <w:ind w:left="0"/>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W ramach Programu w 2022 r. wspierano aktywność kulturalną seniorów poprzez powstałe kluby seniora oraz inne formy działające przy Bialskim Centrum Kultury </w:t>
      </w:r>
      <w:hyperlink r:id="rId35" w:history="1">
        <w:r w:rsidRPr="00450EAC">
          <w:rPr>
            <w:rStyle w:val="Hipercze"/>
            <w:rFonts w:ascii="Lato" w:eastAsia="Times New Roman" w:hAnsi="Lato" w:cs="Times New Roman"/>
            <w:color w:val="auto"/>
            <w:sz w:val="20"/>
            <w:szCs w:val="20"/>
            <w:lang w:eastAsia="pl-PL"/>
          </w:rPr>
          <w:t>https://bck24.pl/</w:t>
        </w:r>
      </w:hyperlink>
      <w:r w:rsidRPr="00450EAC">
        <w:rPr>
          <w:rFonts w:ascii="Lato" w:eastAsia="Times New Roman" w:hAnsi="Lato" w:cs="Times New Roman"/>
          <w:sz w:val="20"/>
          <w:szCs w:val="20"/>
          <w:lang w:eastAsia="pl-PL"/>
        </w:rPr>
        <w:t>:</w:t>
      </w:r>
    </w:p>
    <w:p w14:paraId="7A31E9AB" w14:textId="77777777" w:rsidR="00450EAC" w:rsidRPr="00450EAC" w:rsidRDefault="00450EAC" w:rsidP="00450EAC">
      <w:pPr>
        <w:pStyle w:val="Akapitzlist"/>
        <w:spacing w:after="0" w:line="240" w:lineRule="auto"/>
        <w:ind w:left="0"/>
        <w:jc w:val="both"/>
        <w:rPr>
          <w:rFonts w:ascii="Lato" w:eastAsia="Times New Roman" w:hAnsi="Lato" w:cs="Times New Roman"/>
          <w:sz w:val="20"/>
          <w:szCs w:val="20"/>
          <w:lang w:eastAsia="pl-PL"/>
        </w:rPr>
      </w:pPr>
    </w:p>
    <w:tbl>
      <w:tblPr>
        <w:tblpPr w:leftFromText="141" w:rightFromText="141" w:bottomFromText="200" w:vertAnchor="text" w:horzAnchor="margin" w:tblpXSpec="center" w:tblpY="1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8390"/>
      </w:tblGrid>
      <w:tr w:rsidR="00450EAC" w:rsidRPr="00450EAC" w14:paraId="75C52FDA" w14:textId="77777777" w:rsidTr="0046766A">
        <w:trPr>
          <w:trHeight w:val="274"/>
        </w:trPr>
        <w:tc>
          <w:tcPr>
            <w:tcW w:w="371" w:type="pct"/>
            <w:tcBorders>
              <w:top w:val="single" w:sz="4" w:space="0" w:color="000000"/>
              <w:left w:val="single" w:sz="4" w:space="0" w:color="000000"/>
              <w:bottom w:val="single" w:sz="4" w:space="0" w:color="000000"/>
              <w:right w:val="single" w:sz="4" w:space="0" w:color="000000"/>
            </w:tcBorders>
            <w:shd w:val="clear" w:color="auto" w:fill="FFFFFF"/>
            <w:hideMark/>
          </w:tcPr>
          <w:p w14:paraId="67DE4C37" w14:textId="77777777" w:rsidR="00450EAC" w:rsidRPr="00450EAC" w:rsidRDefault="00450EAC" w:rsidP="0046766A">
            <w:pPr>
              <w:spacing w:after="0" w:line="240" w:lineRule="auto"/>
              <w:jc w:val="both"/>
              <w:rPr>
                <w:rFonts w:ascii="Lato" w:eastAsia="Times New Roman" w:hAnsi="Lato" w:cs="Times New Roman"/>
                <w:b/>
                <w:sz w:val="20"/>
                <w:szCs w:val="20"/>
                <w:lang w:eastAsia="pl-PL"/>
              </w:rPr>
            </w:pPr>
            <w:r w:rsidRPr="00450EAC">
              <w:rPr>
                <w:rFonts w:ascii="Lato" w:eastAsia="Times New Roman" w:hAnsi="Lato" w:cs="Times New Roman"/>
                <w:b/>
                <w:sz w:val="20"/>
                <w:szCs w:val="20"/>
                <w:lang w:eastAsia="pl-PL"/>
              </w:rPr>
              <w:t>Lp.</w:t>
            </w:r>
          </w:p>
        </w:tc>
        <w:tc>
          <w:tcPr>
            <w:tcW w:w="4629" w:type="pct"/>
            <w:tcBorders>
              <w:top w:val="single" w:sz="4" w:space="0" w:color="000000"/>
              <w:left w:val="single" w:sz="4" w:space="0" w:color="000000"/>
              <w:bottom w:val="single" w:sz="4" w:space="0" w:color="000000"/>
              <w:right w:val="single" w:sz="4" w:space="0" w:color="000000"/>
            </w:tcBorders>
            <w:shd w:val="clear" w:color="auto" w:fill="FFFFFF"/>
            <w:hideMark/>
          </w:tcPr>
          <w:p w14:paraId="561EC700" w14:textId="77777777" w:rsidR="00450EAC" w:rsidRPr="00450EAC" w:rsidRDefault="00450EAC" w:rsidP="0046766A">
            <w:pPr>
              <w:spacing w:after="0" w:line="240" w:lineRule="auto"/>
              <w:jc w:val="both"/>
              <w:rPr>
                <w:rFonts w:ascii="Lato" w:eastAsia="Times New Roman" w:hAnsi="Lato" w:cs="Times New Roman"/>
                <w:b/>
                <w:sz w:val="20"/>
                <w:szCs w:val="20"/>
                <w:lang w:eastAsia="pl-PL"/>
              </w:rPr>
            </w:pPr>
            <w:r w:rsidRPr="00450EAC">
              <w:rPr>
                <w:rFonts w:ascii="Lato" w:eastAsia="Times New Roman" w:hAnsi="Lato" w:cs="Times New Roman"/>
                <w:b/>
                <w:sz w:val="20"/>
                <w:szCs w:val="20"/>
                <w:lang w:eastAsia="pl-PL"/>
              </w:rPr>
              <w:t>Nazwa formy, liczba uczestników</w:t>
            </w:r>
          </w:p>
        </w:tc>
      </w:tr>
      <w:tr w:rsidR="00450EAC" w:rsidRPr="00450EAC" w14:paraId="7DD8D979" w14:textId="77777777" w:rsidTr="0046766A">
        <w:trPr>
          <w:trHeight w:val="134"/>
        </w:trPr>
        <w:tc>
          <w:tcPr>
            <w:tcW w:w="371" w:type="pct"/>
            <w:tcBorders>
              <w:top w:val="single" w:sz="4" w:space="0" w:color="000000"/>
              <w:left w:val="single" w:sz="4" w:space="0" w:color="000000"/>
              <w:bottom w:val="single" w:sz="4" w:space="0" w:color="000000"/>
              <w:right w:val="single" w:sz="4" w:space="0" w:color="000000"/>
            </w:tcBorders>
            <w:hideMark/>
          </w:tcPr>
          <w:p w14:paraId="28C9AAC5"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w:t>
            </w:r>
          </w:p>
        </w:tc>
        <w:tc>
          <w:tcPr>
            <w:tcW w:w="4629" w:type="pct"/>
            <w:tcBorders>
              <w:top w:val="single" w:sz="4" w:space="0" w:color="000000"/>
              <w:left w:val="single" w:sz="4" w:space="0" w:color="000000"/>
              <w:bottom w:val="single" w:sz="4" w:space="0" w:color="000000"/>
              <w:right w:val="single" w:sz="4" w:space="0" w:color="000000"/>
            </w:tcBorders>
            <w:hideMark/>
          </w:tcPr>
          <w:p w14:paraId="5BA902AF" w14:textId="77777777" w:rsidR="00450EAC" w:rsidRPr="00450EAC" w:rsidRDefault="00450EAC" w:rsidP="0046766A">
            <w:pPr>
              <w:spacing w:after="0" w:line="240" w:lineRule="auto"/>
              <w:jc w:val="both"/>
              <w:rPr>
                <w:rFonts w:ascii="Lato" w:eastAsia="Calibri" w:hAnsi="Lato" w:cs="Times New Roman"/>
                <w:sz w:val="20"/>
                <w:szCs w:val="20"/>
              </w:rPr>
            </w:pPr>
            <w:r w:rsidRPr="00450EAC">
              <w:rPr>
                <w:rFonts w:ascii="Lato" w:eastAsia="Times New Roman" w:hAnsi="Lato" w:cs="Times New Roman"/>
                <w:sz w:val="20"/>
                <w:szCs w:val="20"/>
                <w:lang w:eastAsia="pl-PL"/>
              </w:rPr>
              <w:t xml:space="preserve">Klub Seniora „ Promyk” </w:t>
            </w:r>
            <w:r w:rsidRPr="00450EAC">
              <w:rPr>
                <w:rFonts w:ascii="Lato" w:eastAsia="Calibri" w:hAnsi="Lato" w:cs="Times New Roman"/>
                <w:sz w:val="20"/>
                <w:szCs w:val="20"/>
              </w:rPr>
              <w:t xml:space="preserve">– ilość uczestników: 65 osób </w:t>
            </w:r>
          </w:p>
        </w:tc>
      </w:tr>
      <w:tr w:rsidR="00450EAC" w:rsidRPr="00450EAC" w14:paraId="05435F31" w14:textId="77777777" w:rsidTr="0046766A">
        <w:trPr>
          <w:trHeight w:val="266"/>
        </w:trPr>
        <w:tc>
          <w:tcPr>
            <w:tcW w:w="371" w:type="pct"/>
            <w:tcBorders>
              <w:top w:val="single" w:sz="4" w:space="0" w:color="000000"/>
              <w:left w:val="single" w:sz="4" w:space="0" w:color="000000"/>
              <w:bottom w:val="single" w:sz="4" w:space="0" w:color="000000"/>
              <w:right w:val="single" w:sz="4" w:space="0" w:color="000000"/>
            </w:tcBorders>
            <w:hideMark/>
          </w:tcPr>
          <w:p w14:paraId="031BF85D"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2.</w:t>
            </w:r>
          </w:p>
        </w:tc>
        <w:tc>
          <w:tcPr>
            <w:tcW w:w="4629" w:type="pct"/>
            <w:tcBorders>
              <w:top w:val="single" w:sz="4" w:space="0" w:color="000000"/>
              <w:left w:val="single" w:sz="4" w:space="0" w:color="000000"/>
              <w:bottom w:val="single" w:sz="4" w:space="0" w:color="000000"/>
              <w:right w:val="single" w:sz="4" w:space="0" w:color="000000"/>
            </w:tcBorders>
            <w:hideMark/>
          </w:tcPr>
          <w:p w14:paraId="6313AF92" w14:textId="77777777" w:rsidR="00450EAC" w:rsidRPr="00450EAC" w:rsidRDefault="00450EAC" w:rsidP="0046766A">
            <w:pPr>
              <w:spacing w:after="0" w:line="240" w:lineRule="auto"/>
              <w:jc w:val="both"/>
              <w:rPr>
                <w:rFonts w:ascii="Lato" w:eastAsia="Calibri" w:hAnsi="Lato" w:cs="Times New Roman"/>
                <w:sz w:val="20"/>
                <w:szCs w:val="20"/>
              </w:rPr>
            </w:pPr>
            <w:r w:rsidRPr="00450EAC">
              <w:rPr>
                <w:rFonts w:ascii="Lato" w:eastAsia="Times New Roman" w:hAnsi="Lato" w:cs="Times New Roman"/>
                <w:sz w:val="20"/>
                <w:szCs w:val="20"/>
                <w:lang w:eastAsia="pl-PL"/>
              </w:rPr>
              <w:t xml:space="preserve">Klub Seniora  „Zacisze” </w:t>
            </w:r>
            <w:r w:rsidRPr="00450EAC">
              <w:rPr>
                <w:rFonts w:ascii="Lato" w:eastAsia="Calibri" w:hAnsi="Lato" w:cs="Times New Roman"/>
                <w:sz w:val="20"/>
                <w:szCs w:val="20"/>
              </w:rPr>
              <w:t>- ilość uczestników: 45 osób</w:t>
            </w:r>
          </w:p>
        </w:tc>
      </w:tr>
      <w:tr w:rsidR="00450EAC" w:rsidRPr="00450EAC" w14:paraId="7A15E444" w14:textId="77777777" w:rsidTr="0046766A">
        <w:trPr>
          <w:trHeight w:val="142"/>
        </w:trPr>
        <w:tc>
          <w:tcPr>
            <w:tcW w:w="371" w:type="pct"/>
            <w:tcBorders>
              <w:top w:val="single" w:sz="4" w:space="0" w:color="000000"/>
              <w:left w:val="single" w:sz="4" w:space="0" w:color="000000"/>
              <w:bottom w:val="single" w:sz="4" w:space="0" w:color="000000"/>
              <w:right w:val="single" w:sz="4" w:space="0" w:color="000000"/>
            </w:tcBorders>
            <w:hideMark/>
          </w:tcPr>
          <w:p w14:paraId="04A79B8B"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3.</w:t>
            </w:r>
          </w:p>
        </w:tc>
        <w:tc>
          <w:tcPr>
            <w:tcW w:w="4629" w:type="pct"/>
            <w:tcBorders>
              <w:top w:val="single" w:sz="4" w:space="0" w:color="000000"/>
              <w:left w:val="single" w:sz="4" w:space="0" w:color="000000"/>
              <w:bottom w:val="single" w:sz="4" w:space="0" w:color="000000"/>
              <w:right w:val="single" w:sz="4" w:space="0" w:color="000000"/>
            </w:tcBorders>
            <w:hideMark/>
          </w:tcPr>
          <w:p w14:paraId="2D06D493" w14:textId="77777777" w:rsidR="00450EAC" w:rsidRPr="00450EAC" w:rsidRDefault="00450EAC" w:rsidP="0046766A">
            <w:pPr>
              <w:spacing w:after="0" w:line="240" w:lineRule="auto"/>
              <w:jc w:val="both"/>
              <w:rPr>
                <w:rFonts w:ascii="Lato" w:eastAsia="Calibri" w:hAnsi="Lato" w:cs="Times New Roman"/>
                <w:sz w:val="20"/>
                <w:szCs w:val="20"/>
              </w:rPr>
            </w:pPr>
            <w:r w:rsidRPr="00450EAC">
              <w:rPr>
                <w:rFonts w:ascii="Lato" w:eastAsia="Times New Roman" w:hAnsi="Lato" w:cs="Times New Roman"/>
                <w:sz w:val="20"/>
                <w:szCs w:val="20"/>
                <w:lang w:eastAsia="pl-PL"/>
              </w:rPr>
              <w:t xml:space="preserve">Klub Seniora „Wrzos” </w:t>
            </w:r>
            <w:r w:rsidRPr="00450EAC">
              <w:rPr>
                <w:rFonts w:ascii="Lato" w:eastAsia="Calibri" w:hAnsi="Lato" w:cs="Times New Roman"/>
                <w:sz w:val="20"/>
                <w:szCs w:val="20"/>
              </w:rPr>
              <w:t>- ilość uczestników: 60 osób</w:t>
            </w:r>
          </w:p>
        </w:tc>
      </w:tr>
      <w:tr w:rsidR="00450EAC" w:rsidRPr="00450EAC" w14:paraId="02EFF30D" w14:textId="77777777" w:rsidTr="0046766A">
        <w:trPr>
          <w:trHeight w:val="201"/>
        </w:trPr>
        <w:tc>
          <w:tcPr>
            <w:tcW w:w="371" w:type="pct"/>
            <w:tcBorders>
              <w:top w:val="single" w:sz="4" w:space="0" w:color="000000"/>
              <w:left w:val="single" w:sz="4" w:space="0" w:color="000000"/>
              <w:bottom w:val="single" w:sz="4" w:space="0" w:color="000000"/>
              <w:right w:val="single" w:sz="4" w:space="0" w:color="000000"/>
            </w:tcBorders>
            <w:hideMark/>
          </w:tcPr>
          <w:p w14:paraId="34E2EEE1"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4.</w:t>
            </w:r>
          </w:p>
        </w:tc>
        <w:tc>
          <w:tcPr>
            <w:tcW w:w="4629" w:type="pct"/>
            <w:tcBorders>
              <w:top w:val="single" w:sz="4" w:space="0" w:color="000000"/>
              <w:left w:val="single" w:sz="4" w:space="0" w:color="000000"/>
              <w:bottom w:val="single" w:sz="4" w:space="0" w:color="000000"/>
              <w:right w:val="single" w:sz="4" w:space="0" w:color="000000"/>
            </w:tcBorders>
            <w:hideMark/>
          </w:tcPr>
          <w:p w14:paraId="00F2F00E" w14:textId="77777777" w:rsidR="00450EAC" w:rsidRPr="00450EAC" w:rsidRDefault="00450EAC" w:rsidP="0046766A">
            <w:pPr>
              <w:spacing w:after="0" w:line="240" w:lineRule="auto"/>
              <w:jc w:val="both"/>
              <w:rPr>
                <w:rFonts w:ascii="Lato" w:eastAsia="Calibri" w:hAnsi="Lato" w:cs="Times New Roman"/>
                <w:sz w:val="20"/>
                <w:szCs w:val="20"/>
              </w:rPr>
            </w:pPr>
            <w:r w:rsidRPr="00450EAC">
              <w:rPr>
                <w:rFonts w:ascii="Lato" w:eastAsia="Times New Roman" w:hAnsi="Lato" w:cs="Times New Roman"/>
                <w:sz w:val="20"/>
                <w:szCs w:val="20"/>
                <w:lang w:eastAsia="pl-PL"/>
              </w:rPr>
              <w:t xml:space="preserve">Klub Seniora „Wola” </w:t>
            </w:r>
            <w:r w:rsidRPr="00450EAC">
              <w:rPr>
                <w:rFonts w:ascii="Lato" w:eastAsia="Calibri" w:hAnsi="Lato" w:cs="Times New Roman"/>
                <w:sz w:val="20"/>
                <w:szCs w:val="20"/>
              </w:rPr>
              <w:t xml:space="preserve">- ilość uczestników: 30 osób </w:t>
            </w:r>
          </w:p>
        </w:tc>
      </w:tr>
      <w:tr w:rsidR="00450EAC" w:rsidRPr="00450EAC" w14:paraId="2BBB05D9" w14:textId="77777777" w:rsidTr="0046766A">
        <w:trPr>
          <w:trHeight w:val="106"/>
        </w:trPr>
        <w:tc>
          <w:tcPr>
            <w:tcW w:w="371" w:type="pct"/>
            <w:tcBorders>
              <w:top w:val="single" w:sz="4" w:space="0" w:color="000000"/>
              <w:left w:val="single" w:sz="4" w:space="0" w:color="000000"/>
              <w:bottom w:val="single" w:sz="4" w:space="0" w:color="000000"/>
              <w:right w:val="single" w:sz="4" w:space="0" w:color="000000"/>
            </w:tcBorders>
            <w:hideMark/>
          </w:tcPr>
          <w:p w14:paraId="4A4BE269"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5.</w:t>
            </w:r>
          </w:p>
        </w:tc>
        <w:tc>
          <w:tcPr>
            <w:tcW w:w="4629" w:type="pct"/>
            <w:tcBorders>
              <w:top w:val="single" w:sz="4" w:space="0" w:color="000000"/>
              <w:left w:val="single" w:sz="4" w:space="0" w:color="000000"/>
              <w:bottom w:val="single" w:sz="4" w:space="0" w:color="000000"/>
              <w:right w:val="single" w:sz="4" w:space="0" w:color="000000"/>
            </w:tcBorders>
            <w:hideMark/>
          </w:tcPr>
          <w:p w14:paraId="5C39AD52"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Klub Seniora „ Złoty Wiek” - </w:t>
            </w:r>
            <w:r w:rsidRPr="00450EAC">
              <w:rPr>
                <w:rFonts w:ascii="Lato" w:eastAsia="Calibri" w:hAnsi="Lato" w:cs="Times New Roman"/>
                <w:sz w:val="20"/>
                <w:szCs w:val="20"/>
              </w:rPr>
              <w:t>ilość uczestników: 35 osób</w:t>
            </w:r>
          </w:p>
        </w:tc>
      </w:tr>
      <w:tr w:rsidR="00450EAC" w:rsidRPr="00450EAC" w14:paraId="208F7BB0" w14:textId="77777777" w:rsidTr="0046766A">
        <w:trPr>
          <w:trHeight w:val="137"/>
        </w:trPr>
        <w:tc>
          <w:tcPr>
            <w:tcW w:w="371" w:type="pct"/>
            <w:tcBorders>
              <w:top w:val="single" w:sz="4" w:space="0" w:color="000000"/>
              <w:left w:val="single" w:sz="4" w:space="0" w:color="000000"/>
              <w:bottom w:val="single" w:sz="4" w:space="0" w:color="000000"/>
              <w:right w:val="single" w:sz="4" w:space="0" w:color="000000"/>
            </w:tcBorders>
            <w:hideMark/>
          </w:tcPr>
          <w:p w14:paraId="40DC0E41"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6.</w:t>
            </w:r>
          </w:p>
        </w:tc>
        <w:tc>
          <w:tcPr>
            <w:tcW w:w="4629" w:type="pct"/>
            <w:tcBorders>
              <w:top w:val="single" w:sz="4" w:space="0" w:color="000000"/>
              <w:left w:val="single" w:sz="4" w:space="0" w:color="000000"/>
              <w:bottom w:val="single" w:sz="4" w:space="0" w:color="000000"/>
              <w:right w:val="single" w:sz="4" w:space="0" w:color="000000"/>
            </w:tcBorders>
            <w:hideMark/>
          </w:tcPr>
          <w:p w14:paraId="551BA4D6"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Zespół Wokalny Klubu Seniora „Maki” – ilość uczestników: 7 osób</w:t>
            </w:r>
          </w:p>
        </w:tc>
      </w:tr>
      <w:tr w:rsidR="00450EAC" w:rsidRPr="00450EAC" w14:paraId="0CF5D6F8" w14:textId="77777777" w:rsidTr="0046766A">
        <w:trPr>
          <w:trHeight w:val="156"/>
        </w:trPr>
        <w:tc>
          <w:tcPr>
            <w:tcW w:w="371" w:type="pct"/>
            <w:tcBorders>
              <w:top w:val="single" w:sz="4" w:space="0" w:color="000000"/>
              <w:left w:val="single" w:sz="4" w:space="0" w:color="000000"/>
              <w:bottom w:val="single" w:sz="4" w:space="0" w:color="000000"/>
              <w:right w:val="single" w:sz="4" w:space="0" w:color="000000"/>
            </w:tcBorders>
            <w:hideMark/>
          </w:tcPr>
          <w:p w14:paraId="3B88CF87"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7.</w:t>
            </w:r>
          </w:p>
        </w:tc>
        <w:tc>
          <w:tcPr>
            <w:tcW w:w="4629" w:type="pct"/>
            <w:tcBorders>
              <w:top w:val="single" w:sz="4" w:space="0" w:color="000000"/>
              <w:left w:val="single" w:sz="4" w:space="0" w:color="000000"/>
              <w:bottom w:val="single" w:sz="4" w:space="0" w:color="000000"/>
              <w:right w:val="single" w:sz="4" w:space="0" w:color="000000"/>
            </w:tcBorders>
            <w:hideMark/>
          </w:tcPr>
          <w:p w14:paraId="0A8E378D"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Zespół Wokalny „Chłopcy z </w:t>
            </w:r>
            <w:proofErr w:type="spellStart"/>
            <w:r w:rsidRPr="00450EAC">
              <w:rPr>
                <w:rFonts w:ascii="Lato" w:eastAsia="Times New Roman" w:hAnsi="Lato" w:cs="Times New Roman"/>
                <w:sz w:val="20"/>
                <w:szCs w:val="20"/>
                <w:lang w:eastAsia="pl-PL"/>
              </w:rPr>
              <w:t>Wrzosa</w:t>
            </w:r>
            <w:proofErr w:type="spellEnd"/>
            <w:r w:rsidRPr="00450EAC">
              <w:rPr>
                <w:rFonts w:ascii="Lato" w:eastAsia="Times New Roman" w:hAnsi="Lato" w:cs="Times New Roman"/>
                <w:sz w:val="20"/>
                <w:szCs w:val="20"/>
                <w:lang w:eastAsia="pl-PL"/>
              </w:rPr>
              <w:t>” – ilość uczestników: 8 osób</w:t>
            </w:r>
          </w:p>
        </w:tc>
      </w:tr>
      <w:tr w:rsidR="00450EAC" w:rsidRPr="00450EAC" w14:paraId="75B185C3" w14:textId="77777777" w:rsidTr="0046766A">
        <w:trPr>
          <w:trHeight w:val="188"/>
        </w:trPr>
        <w:tc>
          <w:tcPr>
            <w:tcW w:w="371" w:type="pct"/>
            <w:tcBorders>
              <w:top w:val="single" w:sz="4" w:space="0" w:color="000000"/>
              <w:left w:val="single" w:sz="4" w:space="0" w:color="000000"/>
              <w:bottom w:val="single" w:sz="4" w:space="0" w:color="000000"/>
              <w:right w:val="single" w:sz="4" w:space="0" w:color="000000"/>
            </w:tcBorders>
            <w:hideMark/>
          </w:tcPr>
          <w:p w14:paraId="4E44AB27"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8.</w:t>
            </w:r>
          </w:p>
        </w:tc>
        <w:tc>
          <w:tcPr>
            <w:tcW w:w="4629" w:type="pct"/>
            <w:tcBorders>
              <w:top w:val="single" w:sz="4" w:space="0" w:color="000000"/>
              <w:left w:val="single" w:sz="4" w:space="0" w:color="000000"/>
              <w:bottom w:val="single" w:sz="4" w:space="0" w:color="000000"/>
              <w:right w:val="single" w:sz="4" w:space="0" w:color="000000"/>
            </w:tcBorders>
            <w:hideMark/>
          </w:tcPr>
          <w:p w14:paraId="3B66E6D0"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Klub „Puszystych” – ilość uczestników: 15 osób</w:t>
            </w:r>
          </w:p>
        </w:tc>
      </w:tr>
      <w:tr w:rsidR="00450EAC" w:rsidRPr="00450EAC" w14:paraId="57718FB5" w14:textId="77777777" w:rsidTr="0046766A">
        <w:trPr>
          <w:trHeight w:val="91"/>
        </w:trPr>
        <w:tc>
          <w:tcPr>
            <w:tcW w:w="371" w:type="pct"/>
            <w:tcBorders>
              <w:top w:val="single" w:sz="4" w:space="0" w:color="000000"/>
              <w:left w:val="single" w:sz="4" w:space="0" w:color="000000"/>
              <w:bottom w:val="single" w:sz="4" w:space="0" w:color="000000"/>
              <w:right w:val="single" w:sz="4" w:space="0" w:color="000000"/>
            </w:tcBorders>
            <w:hideMark/>
          </w:tcPr>
          <w:p w14:paraId="36657FA1"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9.</w:t>
            </w:r>
          </w:p>
        </w:tc>
        <w:tc>
          <w:tcPr>
            <w:tcW w:w="4629" w:type="pct"/>
            <w:tcBorders>
              <w:top w:val="single" w:sz="4" w:space="0" w:color="000000"/>
              <w:left w:val="single" w:sz="4" w:space="0" w:color="000000"/>
              <w:bottom w:val="single" w:sz="4" w:space="0" w:color="000000"/>
              <w:right w:val="single" w:sz="4" w:space="0" w:color="000000"/>
            </w:tcBorders>
            <w:hideMark/>
          </w:tcPr>
          <w:p w14:paraId="6EDE0BA4"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Klub „ Aktywnych” - ilość uczestników: 35 osób</w:t>
            </w:r>
          </w:p>
        </w:tc>
      </w:tr>
      <w:tr w:rsidR="00450EAC" w:rsidRPr="00450EAC" w14:paraId="763D54F9" w14:textId="77777777" w:rsidTr="0046766A">
        <w:trPr>
          <w:trHeight w:val="123"/>
        </w:trPr>
        <w:tc>
          <w:tcPr>
            <w:tcW w:w="371" w:type="pct"/>
            <w:tcBorders>
              <w:top w:val="single" w:sz="4" w:space="0" w:color="000000"/>
              <w:left w:val="single" w:sz="4" w:space="0" w:color="000000"/>
              <w:bottom w:val="single" w:sz="4" w:space="0" w:color="000000"/>
              <w:right w:val="single" w:sz="4" w:space="0" w:color="000000"/>
            </w:tcBorders>
            <w:hideMark/>
          </w:tcPr>
          <w:p w14:paraId="3AA2F9C8"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10.</w:t>
            </w:r>
          </w:p>
        </w:tc>
        <w:tc>
          <w:tcPr>
            <w:tcW w:w="4629" w:type="pct"/>
            <w:tcBorders>
              <w:top w:val="single" w:sz="4" w:space="0" w:color="000000"/>
              <w:left w:val="single" w:sz="4" w:space="0" w:color="000000"/>
              <w:bottom w:val="single" w:sz="4" w:space="0" w:color="000000"/>
              <w:right w:val="single" w:sz="4" w:space="0" w:color="000000"/>
            </w:tcBorders>
            <w:hideMark/>
          </w:tcPr>
          <w:p w14:paraId="19553E22"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Rękodzieło Artystyczne – ilość uczestników: 16 osób</w:t>
            </w:r>
          </w:p>
        </w:tc>
      </w:tr>
      <w:tr w:rsidR="00450EAC" w:rsidRPr="00450EAC" w14:paraId="798E9D41" w14:textId="77777777" w:rsidTr="0046766A">
        <w:trPr>
          <w:trHeight w:val="154"/>
        </w:trPr>
        <w:tc>
          <w:tcPr>
            <w:tcW w:w="371" w:type="pct"/>
            <w:tcBorders>
              <w:top w:val="single" w:sz="4" w:space="0" w:color="000000"/>
              <w:left w:val="single" w:sz="4" w:space="0" w:color="000000"/>
              <w:bottom w:val="single" w:sz="4" w:space="0" w:color="000000"/>
              <w:right w:val="single" w:sz="4" w:space="0" w:color="000000"/>
            </w:tcBorders>
            <w:hideMark/>
          </w:tcPr>
          <w:p w14:paraId="29F1BE42"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11.</w:t>
            </w:r>
          </w:p>
        </w:tc>
        <w:tc>
          <w:tcPr>
            <w:tcW w:w="4629" w:type="pct"/>
            <w:tcBorders>
              <w:top w:val="single" w:sz="4" w:space="0" w:color="000000"/>
              <w:left w:val="single" w:sz="4" w:space="0" w:color="000000"/>
              <w:bottom w:val="single" w:sz="4" w:space="0" w:color="000000"/>
              <w:right w:val="single" w:sz="4" w:space="0" w:color="000000"/>
            </w:tcBorders>
            <w:hideMark/>
          </w:tcPr>
          <w:p w14:paraId="3A1CAFBC"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Koło Osób Niepełnosprawnych „Nadzieja” – ilość uczestników: 15 osób</w:t>
            </w:r>
          </w:p>
        </w:tc>
      </w:tr>
      <w:tr w:rsidR="00450EAC" w:rsidRPr="00450EAC" w14:paraId="2EDAAC62" w14:textId="77777777" w:rsidTr="0046766A">
        <w:trPr>
          <w:trHeight w:val="187"/>
        </w:trPr>
        <w:tc>
          <w:tcPr>
            <w:tcW w:w="371" w:type="pct"/>
            <w:tcBorders>
              <w:top w:val="single" w:sz="4" w:space="0" w:color="000000"/>
              <w:left w:val="single" w:sz="4" w:space="0" w:color="000000"/>
              <w:bottom w:val="single" w:sz="4" w:space="0" w:color="000000"/>
              <w:right w:val="single" w:sz="4" w:space="0" w:color="000000"/>
            </w:tcBorders>
            <w:hideMark/>
          </w:tcPr>
          <w:p w14:paraId="6F33BE45"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12.</w:t>
            </w:r>
          </w:p>
        </w:tc>
        <w:tc>
          <w:tcPr>
            <w:tcW w:w="4629" w:type="pct"/>
            <w:tcBorders>
              <w:top w:val="single" w:sz="4" w:space="0" w:color="000000"/>
              <w:left w:val="single" w:sz="4" w:space="0" w:color="000000"/>
              <w:bottom w:val="single" w:sz="4" w:space="0" w:color="000000"/>
              <w:right w:val="single" w:sz="4" w:space="0" w:color="000000"/>
            </w:tcBorders>
            <w:hideMark/>
          </w:tcPr>
          <w:p w14:paraId="2F17606B"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 xml:space="preserve">Klub Muzyczny Seniora – ilość uczestników: </w:t>
            </w:r>
            <w:r w:rsidRPr="00450EAC">
              <w:rPr>
                <w:rFonts w:ascii="Lato" w:hAnsi="Lato" w:cs="Times New Roman"/>
                <w:sz w:val="20"/>
                <w:szCs w:val="20"/>
              </w:rPr>
              <w:t>12 osób</w:t>
            </w:r>
          </w:p>
        </w:tc>
      </w:tr>
      <w:tr w:rsidR="00450EAC" w:rsidRPr="00450EAC" w14:paraId="55BDDCBB" w14:textId="77777777" w:rsidTr="0046766A">
        <w:trPr>
          <w:trHeight w:val="232"/>
        </w:trPr>
        <w:tc>
          <w:tcPr>
            <w:tcW w:w="371" w:type="pct"/>
            <w:tcBorders>
              <w:top w:val="single" w:sz="4" w:space="0" w:color="000000"/>
              <w:left w:val="single" w:sz="4" w:space="0" w:color="000000"/>
              <w:bottom w:val="single" w:sz="4" w:space="0" w:color="000000"/>
              <w:right w:val="single" w:sz="4" w:space="0" w:color="000000"/>
            </w:tcBorders>
            <w:hideMark/>
          </w:tcPr>
          <w:p w14:paraId="1613F855"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13.</w:t>
            </w:r>
          </w:p>
        </w:tc>
        <w:tc>
          <w:tcPr>
            <w:tcW w:w="4629" w:type="pct"/>
            <w:tcBorders>
              <w:top w:val="single" w:sz="4" w:space="0" w:color="000000"/>
              <w:left w:val="single" w:sz="4" w:space="0" w:color="000000"/>
              <w:bottom w:val="single" w:sz="4" w:space="0" w:color="000000"/>
              <w:right w:val="single" w:sz="4" w:space="0" w:color="000000"/>
            </w:tcBorders>
            <w:hideMark/>
          </w:tcPr>
          <w:p w14:paraId="172A885C"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rPr>
              <w:t xml:space="preserve">Teatr „Euforia” – ilość uczestników: </w:t>
            </w:r>
            <w:r w:rsidRPr="00450EAC">
              <w:rPr>
                <w:rFonts w:ascii="Lato" w:hAnsi="Lato" w:cs="Times New Roman"/>
                <w:sz w:val="20"/>
                <w:szCs w:val="20"/>
              </w:rPr>
              <w:t>13 osób</w:t>
            </w:r>
          </w:p>
        </w:tc>
      </w:tr>
      <w:tr w:rsidR="00450EAC" w:rsidRPr="00450EAC" w14:paraId="67CA3DFD" w14:textId="77777777" w:rsidTr="0046766A">
        <w:trPr>
          <w:trHeight w:val="251"/>
        </w:trPr>
        <w:tc>
          <w:tcPr>
            <w:tcW w:w="371" w:type="pct"/>
            <w:tcBorders>
              <w:top w:val="single" w:sz="4" w:space="0" w:color="000000"/>
              <w:left w:val="single" w:sz="4" w:space="0" w:color="000000"/>
              <w:bottom w:val="single" w:sz="4" w:space="0" w:color="000000"/>
              <w:right w:val="single" w:sz="4" w:space="0" w:color="000000"/>
            </w:tcBorders>
            <w:hideMark/>
          </w:tcPr>
          <w:p w14:paraId="6FC9CB52" w14:textId="77777777" w:rsidR="00450EAC" w:rsidRPr="00450EAC" w:rsidRDefault="00450EAC" w:rsidP="0046766A">
            <w:pPr>
              <w:spacing w:after="0" w:line="240" w:lineRule="auto"/>
              <w:jc w:val="both"/>
              <w:rPr>
                <w:rFonts w:ascii="Lato" w:eastAsia="Times New Roman" w:hAnsi="Lato" w:cs="Times New Roman"/>
                <w:sz w:val="20"/>
                <w:szCs w:val="20"/>
                <w:lang w:eastAsia="pl-PL"/>
              </w:rPr>
            </w:pPr>
            <w:r w:rsidRPr="00450EAC">
              <w:rPr>
                <w:rFonts w:ascii="Lato" w:eastAsia="Times New Roman" w:hAnsi="Lato" w:cs="Times New Roman"/>
                <w:sz w:val="20"/>
                <w:szCs w:val="20"/>
                <w:lang w:eastAsia="pl-PL"/>
              </w:rPr>
              <w:t>14.</w:t>
            </w:r>
          </w:p>
        </w:tc>
        <w:tc>
          <w:tcPr>
            <w:tcW w:w="4629" w:type="pct"/>
            <w:tcBorders>
              <w:top w:val="single" w:sz="4" w:space="0" w:color="000000"/>
              <w:left w:val="single" w:sz="4" w:space="0" w:color="000000"/>
              <w:bottom w:val="single" w:sz="4" w:space="0" w:color="000000"/>
              <w:right w:val="single" w:sz="4" w:space="0" w:color="000000"/>
            </w:tcBorders>
            <w:hideMark/>
          </w:tcPr>
          <w:p w14:paraId="2B89FD61" w14:textId="77777777" w:rsidR="00450EAC" w:rsidRPr="00450EAC" w:rsidRDefault="00450EAC" w:rsidP="0046766A">
            <w:pPr>
              <w:spacing w:after="0" w:line="240" w:lineRule="auto"/>
              <w:jc w:val="both"/>
              <w:rPr>
                <w:rFonts w:ascii="Lato" w:eastAsia="Times New Roman" w:hAnsi="Lato" w:cs="Times New Roman"/>
                <w:sz w:val="20"/>
                <w:szCs w:val="20"/>
              </w:rPr>
            </w:pPr>
            <w:r w:rsidRPr="00450EAC">
              <w:rPr>
                <w:rFonts w:ascii="Lato" w:eastAsia="Times New Roman" w:hAnsi="Lato" w:cs="Times New Roman"/>
                <w:sz w:val="20"/>
                <w:szCs w:val="20"/>
              </w:rPr>
              <w:t>TKKF „Krzna” - ilość uczestników: 30 osób</w:t>
            </w:r>
          </w:p>
        </w:tc>
      </w:tr>
    </w:tbl>
    <w:p w14:paraId="2B058295" w14:textId="55772A76" w:rsidR="00450EAC" w:rsidRPr="00450EAC" w:rsidRDefault="00450EAC" w:rsidP="00F93408">
      <w:pPr>
        <w:spacing w:after="0" w:line="240" w:lineRule="auto"/>
        <w:jc w:val="both"/>
        <w:rPr>
          <w:rFonts w:ascii="Lato" w:hAnsi="Lato" w:cs="Times New Roman"/>
          <w:sz w:val="20"/>
          <w:szCs w:val="20"/>
        </w:rPr>
      </w:pPr>
      <w:r w:rsidRPr="00450EAC">
        <w:rPr>
          <w:rFonts w:ascii="Lato" w:hAnsi="Lato" w:cs="Times New Roman"/>
          <w:b/>
          <w:sz w:val="20"/>
          <w:szCs w:val="20"/>
        </w:rPr>
        <w:t>Bialskie Centrum Kultury</w:t>
      </w:r>
      <w:r w:rsidRPr="00450EAC">
        <w:rPr>
          <w:rFonts w:ascii="Lato" w:hAnsi="Lato" w:cs="Times New Roman"/>
          <w:sz w:val="20"/>
          <w:szCs w:val="20"/>
        </w:rPr>
        <w:t xml:space="preserve"> - prowadziło regularne spotkania klubów seniora, zorganizowało zabawy taneczne i inne spotkania integracyjne: z okazji świąt, ogniska, wycieczki, wyjścia do kina oraz wyjazdy do </w:t>
      </w:r>
      <w:r w:rsidRPr="00450EAC">
        <w:rPr>
          <w:rFonts w:ascii="Lato" w:hAnsi="Lato" w:cs="Times New Roman"/>
          <w:sz w:val="20"/>
          <w:szCs w:val="20"/>
        </w:rPr>
        <w:lastRenderedPageBreak/>
        <w:t>teatru. Poza klubami Centrum prowadziło senioralne zespoły wokalne, taneczne, teatralne, plastyczne, muzyczne i rękodzielnicze. BCK udostępniło pomieszczenia w Klubie Kultury „SCENA” organizacji Polski Czerwony Krzyż Odział w Lublinie, która prowadziła dodatkowy Klub Seniora "Czas”, zwiększając ofertę zajęć i sposobu spędzania wolnego czasu bialskich seniorów.</w:t>
      </w:r>
    </w:p>
    <w:p w14:paraId="5EF35879" w14:textId="77777777" w:rsidR="00F93408" w:rsidRDefault="00F93408" w:rsidP="00F93408">
      <w:pPr>
        <w:spacing w:after="0" w:line="240" w:lineRule="auto"/>
        <w:jc w:val="both"/>
        <w:rPr>
          <w:rFonts w:ascii="Lato" w:eastAsia="Calibri" w:hAnsi="Lato" w:cs="Times New Roman"/>
          <w:b/>
          <w:sz w:val="20"/>
          <w:szCs w:val="20"/>
          <w:lang w:eastAsia="pl-PL"/>
        </w:rPr>
      </w:pPr>
    </w:p>
    <w:p w14:paraId="176CBC5B" w14:textId="77777777" w:rsidR="00F93408" w:rsidRDefault="00450EAC" w:rsidP="00F93408">
      <w:pPr>
        <w:spacing w:after="0" w:line="240" w:lineRule="auto"/>
        <w:jc w:val="both"/>
        <w:rPr>
          <w:rFonts w:ascii="Lato" w:hAnsi="Lato" w:cs="Times New Roman"/>
          <w:sz w:val="20"/>
          <w:szCs w:val="20"/>
        </w:rPr>
      </w:pPr>
      <w:r w:rsidRPr="00450EAC">
        <w:rPr>
          <w:rFonts w:ascii="Lato" w:eastAsia="Calibri" w:hAnsi="Lato" w:cs="Times New Roman"/>
          <w:b/>
          <w:sz w:val="20"/>
          <w:szCs w:val="20"/>
          <w:lang w:eastAsia="pl-PL"/>
        </w:rPr>
        <w:t>Miejska Biblioteka Publiczna</w:t>
      </w:r>
      <w:r w:rsidRPr="00450EAC">
        <w:rPr>
          <w:rFonts w:ascii="Lato" w:eastAsia="Calibri" w:hAnsi="Lato" w:cs="Times New Roman"/>
          <w:sz w:val="20"/>
          <w:szCs w:val="20"/>
          <w:lang w:eastAsia="pl-PL"/>
        </w:rPr>
        <w:t xml:space="preserve"> to kolejny realizator działań na rzez seniorów. W 2022 r. przeprowadzono w bibliotece inicjatywy </w:t>
      </w:r>
      <w:r w:rsidRPr="00450EAC">
        <w:rPr>
          <w:rFonts w:ascii="Lato" w:hAnsi="Lato" w:cs="Times New Roman"/>
          <w:sz w:val="20"/>
          <w:szCs w:val="20"/>
        </w:rPr>
        <w:t xml:space="preserve">edukacyjne - upowszechniające czytelnictwo oraz inne działania kulturalne na rzecz środowiska seniorów, m.in.: organizację wywiadu z autorem publikacji „9 Dywizja Piechoty i Południowe Podlasie w wojnie polsko-sowieckiej 1919-1920” z dr. Pawłem Borkiem (spotkanie online), organizację spotkania z Jakubem </w:t>
      </w:r>
      <w:proofErr w:type="spellStart"/>
      <w:r w:rsidRPr="00450EAC">
        <w:rPr>
          <w:rFonts w:ascii="Lato" w:hAnsi="Lato" w:cs="Times New Roman"/>
          <w:sz w:val="20"/>
          <w:szCs w:val="20"/>
        </w:rPr>
        <w:t>Piestą</w:t>
      </w:r>
      <w:proofErr w:type="spellEnd"/>
      <w:r w:rsidRPr="00450EAC">
        <w:rPr>
          <w:rFonts w:ascii="Lato" w:hAnsi="Lato" w:cs="Times New Roman"/>
          <w:sz w:val="20"/>
          <w:szCs w:val="20"/>
        </w:rPr>
        <w:t>, autorem debiutanckiej książki fantastycznej pt. „</w:t>
      </w:r>
      <w:proofErr w:type="spellStart"/>
      <w:r w:rsidRPr="00450EAC">
        <w:rPr>
          <w:rFonts w:ascii="Lato" w:hAnsi="Lato" w:cs="Times New Roman"/>
          <w:sz w:val="20"/>
          <w:szCs w:val="20"/>
        </w:rPr>
        <w:t>Malleus</w:t>
      </w:r>
      <w:proofErr w:type="spellEnd"/>
      <w:r w:rsidRPr="00450EAC">
        <w:rPr>
          <w:rFonts w:ascii="Lato" w:hAnsi="Lato" w:cs="Times New Roman"/>
          <w:sz w:val="20"/>
          <w:szCs w:val="20"/>
        </w:rPr>
        <w:t xml:space="preserve"> </w:t>
      </w:r>
      <w:proofErr w:type="spellStart"/>
      <w:r w:rsidRPr="00450EAC">
        <w:rPr>
          <w:rFonts w:ascii="Lato" w:hAnsi="Lato" w:cs="Times New Roman"/>
          <w:sz w:val="20"/>
          <w:szCs w:val="20"/>
        </w:rPr>
        <w:t>Królikarum</w:t>
      </w:r>
      <w:proofErr w:type="spellEnd"/>
      <w:r w:rsidRPr="00450EAC">
        <w:rPr>
          <w:rFonts w:ascii="Lato" w:hAnsi="Lato" w:cs="Times New Roman"/>
          <w:sz w:val="20"/>
          <w:szCs w:val="20"/>
        </w:rPr>
        <w:t xml:space="preserve">, czyli młot na króliki” (spotkanie online), organizację XIX Ogólnopolskiego Tygodnia Bibliotek, pod hasłem „Biblioteka świat w jednym miejscu”, zorganizowany przez Stowarzyszenie Bibliotekarzy Polskich. Biblioteka prowadziła także Dyskusyjne Kluby Książki, działające również w Filii nr 3 i Filii nr 6, Klub Genealogiczny „W poszukiwaniu korzeni” - zrzeszający pasjonatów wiedzy historycznej, zorganizowała wydarzenia pn. ”Znani i nieznani z Podlasia - biografie naszych babć i dziadków”, wystawę żołnierzyków ze zbiorów Andrzeja </w:t>
      </w:r>
      <w:proofErr w:type="spellStart"/>
      <w:r w:rsidRPr="00450EAC">
        <w:rPr>
          <w:rFonts w:ascii="Lato" w:hAnsi="Lato" w:cs="Times New Roman"/>
          <w:sz w:val="20"/>
          <w:szCs w:val="20"/>
        </w:rPr>
        <w:t>Olichwiruka</w:t>
      </w:r>
      <w:proofErr w:type="spellEnd"/>
      <w:r w:rsidRPr="00450EAC">
        <w:rPr>
          <w:rFonts w:ascii="Lato" w:hAnsi="Lato" w:cs="Times New Roman"/>
          <w:sz w:val="20"/>
          <w:szCs w:val="20"/>
        </w:rPr>
        <w:t xml:space="preserve"> oraz dr. Pawła Borka „Gdy byłem chłopcem chciałem być żołnierzem” , XI Narodowe Czytanie „Ballady i romanse Adama Mickiewicza”, Noc Bibliotek pn. „To się musi powieść”, w których licznie uczestniczyli seniorzy</w:t>
      </w:r>
      <w:r w:rsidR="00F93408">
        <w:rPr>
          <w:rFonts w:ascii="Lato" w:hAnsi="Lato" w:cs="Times New Roman"/>
          <w:sz w:val="20"/>
          <w:szCs w:val="20"/>
        </w:rPr>
        <w:t xml:space="preserve">. </w:t>
      </w:r>
    </w:p>
    <w:p w14:paraId="4D464F2F" w14:textId="77777777" w:rsidR="00F93408" w:rsidRDefault="00F93408" w:rsidP="00F93408">
      <w:pPr>
        <w:spacing w:after="0" w:line="240" w:lineRule="auto"/>
        <w:jc w:val="both"/>
        <w:rPr>
          <w:rFonts w:ascii="Lato" w:hAnsi="Lato" w:cs="Times New Roman"/>
          <w:b/>
          <w:sz w:val="20"/>
          <w:szCs w:val="20"/>
        </w:rPr>
      </w:pPr>
    </w:p>
    <w:p w14:paraId="630A0208" w14:textId="56E5E9C7" w:rsidR="00F93408" w:rsidRDefault="00450EAC" w:rsidP="00F93408">
      <w:pPr>
        <w:spacing w:after="0" w:line="240" w:lineRule="auto"/>
        <w:jc w:val="both"/>
        <w:rPr>
          <w:rFonts w:ascii="Lato" w:eastAsia="Calibri" w:hAnsi="Lato" w:cs="Times New Roman"/>
          <w:sz w:val="20"/>
          <w:szCs w:val="20"/>
          <w:lang w:eastAsia="pl-PL"/>
        </w:rPr>
      </w:pPr>
      <w:r w:rsidRPr="00450EAC">
        <w:rPr>
          <w:rFonts w:ascii="Lato" w:hAnsi="Lato" w:cs="Times New Roman"/>
          <w:b/>
          <w:sz w:val="20"/>
          <w:szCs w:val="20"/>
        </w:rPr>
        <w:t>Muzeum Południowego Podlasia</w:t>
      </w:r>
      <w:r w:rsidRPr="00450EAC">
        <w:rPr>
          <w:rFonts w:ascii="Lato" w:hAnsi="Lato" w:cs="Times New Roman"/>
          <w:sz w:val="20"/>
          <w:szCs w:val="20"/>
        </w:rPr>
        <w:t xml:space="preserve"> zorganizowało akcję „Noc Muzeów”, wystawy stałe i czasowe,</w:t>
      </w:r>
      <w:r w:rsidRPr="00450EAC">
        <w:rPr>
          <w:rFonts w:ascii="Lato" w:eastAsia="Calibri" w:hAnsi="Lato" w:cs="Times New Roman"/>
          <w:sz w:val="20"/>
          <w:szCs w:val="20"/>
          <w:lang w:eastAsia="pl-PL"/>
        </w:rPr>
        <w:t xml:space="preserve"> warsztaty, konkursy i prelekcje</w:t>
      </w:r>
      <w:r w:rsidRPr="00450EAC">
        <w:rPr>
          <w:rFonts w:ascii="Lato" w:hAnsi="Lato" w:cs="Times New Roman"/>
          <w:sz w:val="20"/>
          <w:szCs w:val="20"/>
        </w:rPr>
        <w:t xml:space="preserve">. Muzeum działając na rzecz seniorów wzięło udział w ogólnopolskich akcjach </w:t>
      </w:r>
      <w:proofErr w:type="spellStart"/>
      <w:r w:rsidRPr="00450EAC">
        <w:rPr>
          <w:rFonts w:ascii="Lato" w:hAnsi="Lato" w:cs="Times New Roman"/>
          <w:sz w:val="20"/>
          <w:szCs w:val="20"/>
        </w:rPr>
        <w:t>MKiDN</w:t>
      </w:r>
      <w:proofErr w:type="spellEnd"/>
      <w:r w:rsidRPr="00450EAC">
        <w:rPr>
          <w:rFonts w:ascii="Lato" w:hAnsi="Lato" w:cs="Times New Roman"/>
          <w:sz w:val="20"/>
          <w:szCs w:val="20"/>
        </w:rPr>
        <w:t>: 60+Kultura, "Weekend Seniora z Kulturą" oraz w Ogólnopolskim Dniu Seniora</w:t>
      </w:r>
      <w:r w:rsidR="00F93408">
        <w:rPr>
          <w:rFonts w:ascii="Lato" w:eastAsia="Calibri" w:hAnsi="Lato" w:cs="Times New Roman"/>
          <w:sz w:val="20"/>
          <w:szCs w:val="20"/>
          <w:lang w:eastAsia="pl-PL"/>
        </w:rPr>
        <w:t>.</w:t>
      </w:r>
    </w:p>
    <w:p w14:paraId="2C1BEB19" w14:textId="77777777" w:rsidR="00F93408" w:rsidRDefault="00F93408" w:rsidP="00F93408">
      <w:pPr>
        <w:spacing w:after="0" w:line="240" w:lineRule="auto"/>
        <w:jc w:val="both"/>
        <w:rPr>
          <w:rFonts w:ascii="Lato" w:eastAsia="Calibri" w:hAnsi="Lato" w:cs="Times New Roman"/>
          <w:sz w:val="20"/>
          <w:szCs w:val="20"/>
          <w:lang w:eastAsia="pl-PL"/>
        </w:rPr>
      </w:pPr>
    </w:p>
    <w:p w14:paraId="6651C752" w14:textId="5E0BE2FC" w:rsidR="00F93408" w:rsidRDefault="00450EAC" w:rsidP="00F93408">
      <w:pPr>
        <w:spacing w:after="0" w:line="240" w:lineRule="auto"/>
        <w:jc w:val="both"/>
        <w:rPr>
          <w:rFonts w:ascii="Lato" w:eastAsia="Calibri" w:hAnsi="Lato" w:cs="Times New Roman"/>
          <w:sz w:val="20"/>
          <w:szCs w:val="20"/>
          <w:lang w:eastAsia="pl-PL"/>
        </w:rPr>
      </w:pPr>
      <w:r w:rsidRPr="00450EAC">
        <w:rPr>
          <w:rFonts w:ascii="Lato" w:eastAsia="Times New Roman" w:hAnsi="Lato" w:cs="Times New Roman"/>
          <w:b/>
          <w:sz w:val="20"/>
          <w:szCs w:val="20"/>
          <w:lang w:eastAsia="pl-PL"/>
        </w:rPr>
        <w:t xml:space="preserve">Bialska Rada Seniorów </w:t>
      </w:r>
      <w:r w:rsidR="00F93408">
        <w:rPr>
          <w:rFonts w:ascii="Lato" w:eastAsia="Times New Roman" w:hAnsi="Lato" w:cs="Times New Roman"/>
          <w:b/>
          <w:sz w:val="20"/>
          <w:szCs w:val="20"/>
          <w:lang w:eastAsia="pl-PL"/>
        </w:rPr>
        <w:t>–</w:t>
      </w:r>
      <w:r w:rsidRPr="00450EAC">
        <w:rPr>
          <w:rFonts w:ascii="Lato" w:eastAsia="Times New Roman" w:hAnsi="Lato" w:cs="Times New Roman"/>
          <w:b/>
          <w:sz w:val="20"/>
          <w:szCs w:val="20"/>
          <w:lang w:eastAsia="pl-PL"/>
        </w:rPr>
        <w:t xml:space="preserve"> współpraca</w:t>
      </w:r>
    </w:p>
    <w:p w14:paraId="4CCB0DE6" w14:textId="77777777" w:rsidR="00F93408" w:rsidRDefault="00450EAC" w:rsidP="00F93408">
      <w:pPr>
        <w:spacing w:after="0" w:line="240" w:lineRule="auto"/>
        <w:jc w:val="both"/>
        <w:rPr>
          <w:rFonts w:ascii="Lato" w:eastAsia="Calibri" w:hAnsi="Lato" w:cs="Times New Roman"/>
          <w:sz w:val="20"/>
          <w:szCs w:val="20"/>
          <w:lang w:eastAsia="pl-PL"/>
        </w:rPr>
      </w:pPr>
      <w:r w:rsidRPr="00450EAC">
        <w:rPr>
          <w:rFonts w:ascii="Lato" w:eastAsia="Times New Roman" w:hAnsi="Lato" w:cs="Times New Roman"/>
          <w:sz w:val="20"/>
          <w:szCs w:val="20"/>
          <w:lang w:eastAsia="pl-PL"/>
        </w:rPr>
        <w:t xml:space="preserve">Rada została powołana uchwałą nr XXXIV/327/14 Rady Miasta Biała Podlaska z dnia 24 lutego 2014 r. w sprawie powołania Bialskiej Rady Seniorów oraz </w:t>
      </w:r>
      <w:r w:rsidRPr="00450EAC">
        <w:rPr>
          <w:rFonts w:ascii="Lato" w:hAnsi="Lato" w:cs="Times New Roman"/>
          <w:sz w:val="20"/>
          <w:szCs w:val="20"/>
        </w:rPr>
        <w:t>zarządzeniem nr 125/22 z dnia 31 maja 2022 r. Prezydenta Miasta Biała Podlaska, w którym powołano nowy skład Rady na kadencję 2022–2026. Aktywność członków, istniejącej od 2014 roku Bialskiej Rady Seniorów, reprezentujących 18 podmiotów działających na rzecz osób starszych jest dużym wsparciem działań na rzecz swojego środowiska. Podczas regularnych posiedzeń Rada analizuje potrzeby i inicjuje wydarzenia kulturalne dedykowane seniorom, wykorzystując m.in. pomieszczenia piwnicy Urzędu Miasta</w:t>
      </w:r>
      <w:r w:rsidR="00F93408">
        <w:rPr>
          <w:rFonts w:ascii="Lato" w:hAnsi="Lato" w:cs="Times New Roman"/>
          <w:b/>
          <w:sz w:val="20"/>
          <w:szCs w:val="20"/>
        </w:rPr>
        <w:t>.</w:t>
      </w:r>
      <w:r w:rsidR="00F93408" w:rsidRPr="00450EAC">
        <w:rPr>
          <w:rFonts w:ascii="Lato" w:hAnsi="Lato" w:cs="Times New Roman"/>
          <w:sz w:val="20"/>
          <w:szCs w:val="20"/>
          <w:u w:val="single"/>
        </w:rPr>
        <w:t xml:space="preserve"> </w:t>
      </w:r>
    </w:p>
    <w:p w14:paraId="693BAC25" w14:textId="77777777" w:rsidR="00F93408" w:rsidRDefault="00F93408" w:rsidP="00F93408">
      <w:pPr>
        <w:spacing w:after="0" w:line="240" w:lineRule="auto"/>
        <w:jc w:val="both"/>
        <w:rPr>
          <w:rFonts w:ascii="Lato" w:eastAsia="Calibri" w:hAnsi="Lato" w:cs="Times New Roman"/>
          <w:sz w:val="20"/>
          <w:szCs w:val="20"/>
          <w:lang w:eastAsia="pl-PL"/>
        </w:rPr>
      </w:pPr>
    </w:p>
    <w:p w14:paraId="69353BFD" w14:textId="77777777" w:rsidR="00F93408" w:rsidRDefault="00450EAC" w:rsidP="00F93408">
      <w:pPr>
        <w:spacing w:after="0" w:line="240" w:lineRule="auto"/>
        <w:jc w:val="both"/>
        <w:rPr>
          <w:rFonts w:ascii="Lato" w:eastAsia="Calibri" w:hAnsi="Lato" w:cs="Times New Roman"/>
          <w:sz w:val="20"/>
          <w:szCs w:val="20"/>
          <w:lang w:eastAsia="pl-PL"/>
        </w:rPr>
      </w:pPr>
      <w:r w:rsidRPr="00450EAC">
        <w:rPr>
          <w:rFonts w:ascii="Lato" w:hAnsi="Lato" w:cs="Times New Roman"/>
          <w:sz w:val="20"/>
          <w:szCs w:val="20"/>
        </w:rPr>
        <w:t xml:space="preserve">W 2022 r. z inicjatywy Prezydenta Miasta Biała Podlaska, uwzględniającej prośby środowisk senioralnych oraz po analizie epidemiologicznej, został przygotowany </w:t>
      </w:r>
      <w:r w:rsidRPr="00450EAC">
        <w:rPr>
          <w:rFonts w:ascii="Lato" w:hAnsi="Lato" w:cs="Times New Roman"/>
          <w:b/>
          <w:sz w:val="20"/>
          <w:szCs w:val="20"/>
        </w:rPr>
        <w:t xml:space="preserve">Program profilaktyki zakażeń </w:t>
      </w:r>
      <w:proofErr w:type="spellStart"/>
      <w:r w:rsidRPr="00450EAC">
        <w:rPr>
          <w:rFonts w:ascii="Lato" w:hAnsi="Lato" w:cs="Times New Roman"/>
          <w:b/>
          <w:sz w:val="20"/>
          <w:szCs w:val="20"/>
        </w:rPr>
        <w:t>pneumokokowych</w:t>
      </w:r>
      <w:proofErr w:type="spellEnd"/>
      <w:r w:rsidRPr="00450EAC">
        <w:rPr>
          <w:rFonts w:ascii="Lato" w:hAnsi="Lato" w:cs="Times New Roman"/>
          <w:sz w:val="20"/>
          <w:szCs w:val="20"/>
        </w:rPr>
        <w:t xml:space="preserve"> skierowany do mieszkańców miasta Biała Podlaska w wieku 60+, realizowany w latach 2022-2025 r., który umożliwi zaszczepienie 1 400 osób w wieku 60+. W 2022 r. zaszczepionych zostało 200 osób, w kolejnych latach szczepionych będzie po 400 osób. </w:t>
      </w:r>
    </w:p>
    <w:p w14:paraId="77C8FDA7" w14:textId="77777777" w:rsidR="00F93408" w:rsidRDefault="00F93408" w:rsidP="00F93408">
      <w:pPr>
        <w:spacing w:after="0" w:line="240" w:lineRule="auto"/>
        <w:jc w:val="both"/>
        <w:rPr>
          <w:rFonts w:ascii="Lato" w:eastAsia="Calibri" w:hAnsi="Lato" w:cs="Times New Roman"/>
          <w:sz w:val="20"/>
          <w:szCs w:val="20"/>
          <w:lang w:eastAsia="pl-PL"/>
        </w:rPr>
      </w:pPr>
    </w:p>
    <w:p w14:paraId="1B06AB38" w14:textId="74B7E454" w:rsidR="00F93408" w:rsidRPr="00F93408" w:rsidRDefault="00450EAC" w:rsidP="00F93408">
      <w:pPr>
        <w:spacing w:after="0" w:line="240" w:lineRule="auto"/>
        <w:jc w:val="both"/>
        <w:rPr>
          <w:rFonts w:ascii="Lato" w:eastAsia="Calibri" w:hAnsi="Lato" w:cs="Times New Roman"/>
          <w:sz w:val="20"/>
          <w:szCs w:val="20"/>
          <w:lang w:eastAsia="pl-PL"/>
        </w:rPr>
      </w:pPr>
      <w:r w:rsidRPr="00450EAC">
        <w:rPr>
          <w:rFonts w:ascii="Lato" w:hAnsi="Lato" w:cs="Times New Roman"/>
          <w:b/>
          <w:sz w:val="20"/>
          <w:szCs w:val="20"/>
        </w:rPr>
        <w:t>W 2022 r. wprowadzono tzw. „opiekę na odległość</w:t>
      </w:r>
      <w:r w:rsidRPr="00450EAC">
        <w:rPr>
          <w:rFonts w:ascii="Lato" w:hAnsi="Lato" w:cs="Times New Roman"/>
          <w:sz w:val="20"/>
          <w:szCs w:val="20"/>
        </w:rPr>
        <w:t xml:space="preserve">”. Do programu kwalifikowano seniorów w wieku powyżej 65. lat, mających problemy z samodzielnym funkcjonowaniem ze względu na stan zdrowia, prowadzących samodzielne gospodarstwa domowe. W ramach działań zakupiono 200 </w:t>
      </w:r>
      <w:proofErr w:type="spellStart"/>
      <w:r w:rsidRPr="00450EAC">
        <w:rPr>
          <w:rFonts w:ascii="Lato" w:hAnsi="Lato" w:cs="Times New Roman"/>
          <w:sz w:val="20"/>
          <w:szCs w:val="20"/>
        </w:rPr>
        <w:t>teleopasek</w:t>
      </w:r>
      <w:proofErr w:type="spellEnd"/>
      <w:r w:rsidRPr="00450EAC">
        <w:rPr>
          <w:rFonts w:ascii="Lato" w:hAnsi="Lato" w:cs="Times New Roman"/>
          <w:sz w:val="20"/>
          <w:szCs w:val="20"/>
        </w:rPr>
        <w:t xml:space="preserve"> wraz z usługą polegającą na sprawowaniu nad seniorami całodobowej opieki na odległość przez centrum monitoringu</w:t>
      </w:r>
      <w:r w:rsidR="00F93408">
        <w:rPr>
          <w:rFonts w:ascii="Lato" w:hAnsi="Lato" w:cs="Times New Roman"/>
          <w:sz w:val="20"/>
          <w:szCs w:val="20"/>
        </w:rPr>
        <w:t>.</w:t>
      </w:r>
    </w:p>
    <w:p w14:paraId="24C7B283" w14:textId="77777777" w:rsidR="00F93408" w:rsidRDefault="00F93408" w:rsidP="00F93408">
      <w:pPr>
        <w:spacing w:after="0" w:line="240" w:lineRule="auto"/>
        <w:jc w:val="both"/>
        <w:rPr>
          <w:rFonts w:ascii="Lato" w:eastAsia="Times New Roman" w:hAnsi="Lato" w:cs="Times New Roman"/>
          <w:b/>
          <w:sz w:val="20"/>
          <w:szCs w:val="20"/>
          <w:lang w:eastAsia="pl-PL"/>
        </w:rPr>
      </w:pPr>
    </w:p>
    <w:p w14:paraId="43638AFD" w14:textId="0F324817" w:rsidR="00450EAC" w:rsidRPr="00450EAC" w:rsidRDefault="00450EAC" w:rsidP="00F93408">
      <w:pPr>
        <w:spacing w:after="0" w:line="240" w:lineRule="auto"/>
        <w:jc w:val="both"/>
        <w:rPr>
          <w:rFonts w:ascii="Lato" w:eastAsia="Calibri" w:hAnsi="Lato" w:cs="Times New Roman"/>
          <w:sz w:val="20"/>
          <w:szCs w:val="20"/>
          <w:lang w:eastAsia="pl-PL"/>
        </w:rPr>
      </w:pPr>
      <w:r w:rsidRPr="00450EAC">
        <w:rPr>
          <w:rFonts w:ascii="Lato" w:eastAsia="Times New Roman" w:hAnsi="Lato" w:cs="Times New Roman"/>
          <w:b/>
          <w:sz w:val="20"/>
          <w:szCs w:val="20"/>
          <w:lang w:eastAsia="pl-PL"/>
        </w:rPr>
        <w:t>Współpraca z organizacjami pozarządowymi na rzecz osób starszych</w:t>
      </w:r>
      <w:r w:rsidR="00F93408">
        <w:rPr>
          <w:rFonts w:ascii="Lato" w:eastAsia="Calibri" w:hAnsi="Lato" w:cs="Times New Roman"/>
          <w:sz w:val="20"/>
          <w:szCs w:val="20"/>
          <w:lang w:eastAsia="pl-PL"/>
        </w:rPr>
        <w:t xml:space="preserve">. </w:t>
      </w:r>
      <w:r w:rsidRPr="00450EAC">
        <w:rPr>
          <w:rFonts w:ascii="Lato" w:eastAsia="Times New Roman" w:hAnsi="Lato" w:cs="Times New Roman"/>
          <w:sz w:val="20"/>
          <w:szCs w:val="20"/>
          <w:lang w:eastAsia="pl-PL"/>
        </w:rPr>
        <w:t xml:space="preserve">W 2022 r. współpracowano na rzecz seniorów z Centrum Integracji Społecznej, prowadzonym przez Caritas Diecezji Siedleckiej w Białej Podlaskiej w zakresie pomocy żywnościowej na święta oraz ze </w:t>
      </w:r>
      <w:r w:rsidRPr="00450EAC">
        <w:rPr>
          <w:rFonts w:ascii="Lato" w:eastAsia="Calibri" w:hAnsi="Lato" w:cs="Times New Roman"/>
          <w:sz w:val="20"/>
          <w:szCs w:val="20"/>
        </w:rPr>
        <w:t>Związkiem Emerytów, Rencistów i Inwalidów, Odział Biała Podlaska (skupiającym ok. 800 seniorów z Białej Podlaskiej), który organizował imprezy integracyjne, wycieczki, festyny i inne imprezy kulturalne, korzystając z pozafinansowej pomocy samorządu.</w:t>
      </w:r>
    </w:p>
    <w:p w14:paraId="5CD7EF43" w14:textId="77777777" w:rsidR="00450EAC" w:rsidRPr="00450EAC" w:rsidRDefault="00450EAC" w:rsidP="00450EAC">
      <w:pPr>
        <w:pStyle w:val="Akapitzlist"/>
        <w:tabs>
          <w:tab w:val="left" w:pos="426"/>
        </w:tabs>
        <w:suppressAutoHyphens/>
        <w:autoSpaceDN w:val="0"/>
        <w:spacing w:after="0" w:line="240" w:lineRule="auto"/>
        <w:ind w:left="0"/>
        <w:jc w:val="both"/>
        <w:rPr>
          <w:rFonts w:ascii="Lato" w:hAnsi="Lato" w:cs="Times New Roman"/>
          <w:b/>
          <w:sz w:val="20"/>
          <w:szCs w:val="20"/>
        </w:rPr>
      </w:pPr>
    </w:p>
    <w:p w14:paraId="7F2538BC" w14:textId="733F5624" w:rsidR="00450EAC" w:rsidRPr="00450EAC" w:rsidRDefault="00450EAC" w:rsidP="00F93408">
      <w:pPr>
        <w:tabs>
          <w:tab w:val="left" w:pos="0"/>
        </w:tabs>
        <w:spacing w:after="0" w:line="240" w:lineRule="auto"/>
        <w:jc w:val="both"/>
        <w:rPr>
          <w:rFonts w:ascii="Lato" w:hAnsi="Lato" w:cs="Times New Roman"/>
          <w:b/>
          <w:sz w:val="20"/>
          <w:szCs w:val="20"/>
        </w:rPr>
      </w:pPr>
      <w:r w:rsidRPr="00450EAC">
        <w:rPr>
          <w:rFonts w:ascii="Lato" w:hAnsi="Lato" w:cs="Times New Roman"/>
          <w:b/>
          <w:sz w:val="20"/>
          <w:szCs w:val="20"/>
        </w:rPr>
        <w:t>Gmina miejska Bełżyce podejmowała następujące działania:</w:t>
      </w:r>
    </w:p>
    <w:p w14:paraId="51FE821A" w14:textId="60D1CCFC" w:rsidR="00450EAC" w:rsidRPr="00F93408" w:rsidRDefault="00450EAC" w:rsidP="00B73AF7">
      <w:pPr>
        <w:pStyle w:val="Akapitzlist"/>
        <w:numPr>
          <w:ilvl w:val="0"/>
          <w:numId w:val="51"/>
        </w:numPr>
        <w:spacing w:after="0" w:line="240" w:lineRule="auto"/>
        <w:ind w:left="360"/>
        <w:jc w:val="both"/>
        <w:rPr>
          <w:rFonts w:ascii="Lato" w:hAnsi="Lato" w:cs="Times New Roman"/>
          <w:sz w:val="20"/>
          <w:szCs w:val="20"/>
        </w:rPr>
      </w:pPr>
      <w:r w:rsidRPr="00F93408">
        <w:rPr>
          <w:rFonts w:ascii="Lato" w:hAnsi="Lato" w:cs="Times New Roman"/>
          <w:sz w:val="20"/>
          <w:szCs w:val="20"/>
        </w:rPr>
        <w:t>Funkcjonowanie zespołów śpiewaczych wykonujących repertuar pieśni religijnych, biesiadnych i okolicznościowych w czasie  imprezy okolicznościowe na terenie gminy Bełżyce  prowadzone są przez instruktora MDK</w:t>
      </w:r>
    </w:p>
    <w:p w14:paraId="2BD1F863" w14:textId="77777777" w:rsidR="00450EAC" w:rsidRPr="00450EAC" w:rsidRDefault="00450EAC" w:rsidP="00B73AF7">
      <w:pPr>
        <w:pStyle w:val="Akapitzlist"/>
        <w:numPr>
          <w:ilvl w:val="0"/>
          <w:numId w:val="51"/>
        </w:numPr>
        <w:spacing w:after="0" w:line="240" w:lineRule="auto"/>
        <w:ind w:left="426" w:hanging="426"/>
        <w:jc w:val="both"/>
        <w:rPr>
          <w:rFonts w:ascii="Lato" w:hAnsi="Lato" w:cs="Times New Roman"/>
          <w:sz w:val="20"/>
          <w:szCs w:val="20"/>
        </w:rPr>
      </w:pPr>
      <w:r w:rsidRPr="00450EAC">
        <w:rPr>
          <w:rFonts w:ascii="Lato" w:hAnsi="Lato" w:cs="Times New Roman"/>
          <w:sz w:val="20"/>
          <w:szCs w:val="20"/>
        </w:rPr>
        <w:t xml:space="preserve">Klub Kobiet przy Miejskim Domu Kultury w Bełżycach – gdzie seniorzy rozwijają swoje pasje, nawiązują nowe, pozytywne relacje. Spotkania seniorów odbywające się dwa razy w miesiącu owocują we wspólnie spędzony czas, wymianę doświadczeń, przepisów kulinarnych oraz tworzone </w:t>
      </w:r>
      <w:r w:rsidRPr="00450EAC">
        <w:rPr>
          <w:rFonts w:ascii="Lato" w:hAnsi="Lato" w:cs="Times New Roman"/>
          <w:sz w:val="20"/>
          <w:szCs w:val="20"/>
        </w:rPr>
        <w:lastRenderedPageBreak/>
        <w:t>rękodzieło – od dziergania serwetek przez ozdabianie kartek świątecznych do przygotowania smacznych potraw.</w:t>
      </w:r>
    </w:p>
    <w:p w14:paraId="3132B8BF" w14:textId="77777777" w:rsidR="00450EAC" w:rsidRPr="00450EAC" w:rsidRDefault="00450EAC" w:rsidP="00B73AF7">
      <w:pPr>
        <w:pStyle w:val="Akapitzlist"/>
        <w:numPr>
          <w:ilvl w:val="0"/>
          <w:numId w:val="51"/>
        </w:numPr>
        <w:spacing w:after="0" w:line="240" w:lineRule="auto"/>
        <w:ind w:left="426" w:hanging="426"/>
        <w:jc w:val="both"/>
        <w:rPr>
          <w:rFonts w:ascii="Lato" w:hAnsi="Lato" w:cs="Times New Roman"/>
          <w:sz w:val="20"/>
          <w:szCs w:val="20"/>
        </w:rPr>
      </w:pPr>
      <w:r w:rsidRPr="00450EAC">
        <w:rPr>
          <w:rFonts w:ascii="Lato" w:hAnsi="Lato" w:cs="Times New Roman"/>
          <w:sz w:val="20"/>
          <w:szCs w:val="20"/>
        </w:rPr>
        <w:t>Działalność organizacji pozarządowych działających (Polski Związek Emerytów, Rencistów i Inwalidów Oddział w Bełżycach stowarzyszenia, koła gospodyń wiejskich)</w:t>
      </w:r>
    </w:p>
    <w:p w14:paraId="01E63582" w14:textId="77777777" w:rsidR="00450EAC" w:rsidRPr="00450EAC" w:rsidRDefault="00450EAC" w:rsidP="00450EAC">
      <w:pPr>
        <w:spacing w:after="0" w:line="240" w:lineRule="auto"/>
        <w:jc w:val="both"/>
        <w:rPr>
          <w:rFonts w:ascii="Lato" w:hAnsi="Lato" w:cs="Times New Roman"/>
          <w:sz w:val="20"/>
          <w:szCs w:val="20"/>
        </w:rPr>
      </w:pPr>
    </w:p>
    <w:p w14:paraId="779F5F97" w14:textId="17044571" w:rsidR="00450EAC" w:rsidRDefault="00450EAC" w:rsidP="00450EAC">
      <w:pPr>
        <w:pStyle w:val="Akapitzlist"/>
        <w:spacing w:after="0" w:line="240" w:lineRule="auto"/>
        <w:ind w:left="0"/>
        <w:jc w:val="both"/>
        <w:rPr>
          <w:rFonts w:ascii="Lato" w:hAnsi="Lato" w:cs="Times New Roman"/>
          <w:sz w:val="20"/>
          <w:szCs w:val="20"/>
        </w:rPr>
      </w:pPr>
      <w:r w:rsidRPr="00450EAC">
        <w:rPr>
          <w:rFonts w:ascii="Lato" w:hAnsi="Lato" w:cs="Times New Roman"/>
          <w:sz w:val="20"/>
          <w:szCs w:val="20"/>
        </w:rPr>
        <w:t>Polski Związek Emerytów, Rencistów i Inwalidów Oddział w Bełżycach - integrowanie i aktywizowanie emerytów, rencistów i inwalidów poprzez organizowanie różnych form życia kulturalnego, artystycznego, sportowego i turystycznego. Najczęściej są to wyjazdy do teatru, spotkania z seniorami.</w:t>
      </w:r>
    </w:p>
    <w:p w14:paraId="19E8C48A" w14:textId="77777777" w:rsidR="00F93408" w:rsidRPr="00450EAC" w:rsidRDefault="00F93408" w:rsidP="00450EAC">
      <w:pPr>
        <w:pStyle w:val="Akapitzlist"/>
        <w:spacing w:after="0" w:line="240" w:lineRule="auto"/>
        <w:ind w:left="0"/>
        <w:jc w:val="both"/>
        <w:rPr>
          <w:rFonts w:ascii="Lato" w:hAnsi="Lato" w:cs="Times New Roman"/>
          <w:sz w:val="20"/>
          <w:szCs w:val="20"/>
        </w:rPr>
      </w:pPr>
    </w:p>
    <w:p w14:paraId="382319DF" w14:textId="77777777" w:rsidR="00450EAC" w:rsidRPr="00450EAC" w:rsidRDefault="00450EAC" w:rsidP="00450EAC">
      <w:pPr>
        <w:pStyle w:val="Akapitzlist"/>
        <w:spacing w:after="0" w:line="240" w:lineRule="auto"/>
        <w:ind w:left="0"/>
        <w:jc w:val="both"/>
        <w:rPr>
          <w:rFonts w:ascii="Lato" w:hAnsi="Lato" w:cs="Times New Roman"/>
          <w:sz w:val="20"/>
          <w:szCs w:val="20"/>
        </w:rPr>
      </w:pPr>
      <w:r w:rsidRPr="00450EAC">
        <w:rPr>
          <w:rFonts w:ascii="Lato" w:hAnsi="Lato" w:cs="Times New Roman"/>
          <w:sz w:val="20"/>
          <w:szCs w:val="20"/>
        </w:rPr>
        <w:t xml:space="preserve">Koła Gospodyń Wiejskich – podejmują działania na rzecz seniorów o charakterze lokalnym, są to warsztaty, wyjazdy, organizacja dnia babci, dziadka, spotkania </w:t>
      </w:r>
      <w:proofErr w:type="spellStart"/>
      <w:r w:rsidRPr="00450EAC">
        <w:rPr>
          <w:rFonts w:ascii="Lato" w:hAnsi="Lato" w:cs="Times New Roman"/>
          <w:sz w:val="20"/>
          <w:szCs w:val="20"/>
        </w:rPr>
        <w:t>okolicznościow</w:t>
      </w:r>
      <w:proofErr w:type="spellEnd"/>
      <w:r w:rsidRPr="00450EAC">
        <w:rPr>
          <w:rFonts w:ascii="Lato" w:hAnsi="Lato" w:cs="Times New Roman"/>
          <w:sz w:val="20"/>
          <w:szCs w:val="20"/>
        </w:rPr>
        <w:t xml:space="preserve"> z udziałem seniorów.</w:t>
      </w:r>
    </w:p>
    <w:p w14:paraId="35A44DB7" w14:textId="11C8965C" w:rsidR="00450EAC" w:rsidRDefault="00450EAC" w:rsidP="00450EAC">
      <w:pPr>
        <w:pStyle w:val="Akapitzlist"/>
        <w:spacing w:after="0" w:line="240" w:lineRule="auto"/>
        <w:ind w:left="0"/>
        <w:jc w:val="both"/>
        <w:rPr>
          <w:rFonts w:ascii="Lato" w:hAnsi="Lato" w:cs="Times New Roman"/>
          <w:sz w:val="20"/>
          <w:szCs w:val="20"/>
        </w:rPr>
      </w:pPr>
      <w:r w:rsidRPr="00450EAC">
        <w:rPr>
          <w:rFonts w:ascii="Lato" w:hAnsi="Lato" w:cs="Times New Roman"/>
          <w:sz w:val="20"/>
          <w:szCs w:val="20"/>
        </w:rPr>
        <w:t>Stowarzyszenie Kreatywnych Kobiet „Stokrotka” – spotkania aktywizujące seniorów, integracja międzypokoleniowa, wyjazdy do teatru, poznawcze z udziałem seniorów.</w:t>
      </w:r>
    </w:p>
    <w:p w14:paraId="573D120D" w14:textId="77777777" w:rsidR="00F93408" w:rsidRPr="00450EAC" w:rsidRDefault="00F93408" w:rsidP="00450EAC">
      <w:pPr>
        <w:pStyle w:val="Akapitzlist"/>
        <w:spacing w:after="0" w:line="240" w:lineRule="auto"/>
        <w:ind w:left="0"/>
        <w:jc w:val="both"/>
        <w:rPr>
          <w:rFonts w:ascii="Lato" w:hAnsi="Lato" w:cs="Times New Roman"/>
          <w:sz w:val="20"/>
          <w:szCs w:val="20"/>
        </w:rPr>
      </w:pPr>
    </w:p>
    <w:p w14:paraId="634558B9" w14:textId="77777777" w:rsidR="00F93408" w:rsidRDefault="00450EAC" w:rsidP="00B73AF7">
      <w:pPr>
        <w:pStyle w:val="Akapitzlist"/>
        <w:numPr>
          <w:ilvl w:val="0"/>
          <w:numId w:val="57"/>
        </w:numPr>
        <w:spacing w:after="0" w:line="240" w:lineRule="auto"/>
        <w:jc w:val="both"/>
        <w:rPr>
          <w:rFonts w:ascii="Lato" w:hAnsi="Lato" w:cs="Times New Roman"/>
          <w:sz w:val="20"/>
          <w:szCs w:val="20"/>
        </w:rPr>
      </w:pPr>
      <w:r w:rsidRPr="00450EAC">
        <w:rPr>
          <w:rFonts w:ascii="Lato" w:hAnsi="Lato" w:cs="Times New Roman"/>
          <w:sz w:val="20"/>
          <w:szCs w:val="20"/>
        </w:rPr>
        <w:t xml:space="preserve">Realizacja zadania publicznego pn.: ”Z historią i tradycją” obejmująca wyjazd edukacyjno-poznawczy do Warszawy (zwiedzanie Muzeum </w:t>
      </w:r>
      <w:proofErr w:type="spellStart"/>
      <w:r w:rsidRPr="00450EAC">
        <w:rPr>
          <w:rFonts w:ascii="Lato" w:hAnsi="Lato" w:cs="Times New Roman"/>
          <w:sz w:val="20"/>
          <w:szCs w:val="20"/>
        </w:rPr>
        <w:t>Polin</w:t>
      </w:r>
      <w:proofErr w:type="spellEnd"/>
      <w:r w:rsidRPr="00450EAC">
        <w:rPr>
          <w:rFonts w:ascii="Lato" w:hAnsi="Lato" w:cs="Times New Roman"/>
          <w:sz w:val="20"/>
          <w:szCs w:val="20"/>
        </w:rPr>
        <w:t>, Wilanów, Fryderyka Chopina), Warsztaty „Dawnych smaków czar”. Rezultaty: aktywizacja osób starszych, integracja międzypokoleniowa.</w:t>
      </w:r>
    </w:p>
    <w:p w14:paraId="1C829ABE" w14:textId="77777777" w:rsidR="00F93408" w:rsidRDefault="00450EAC" w:rsidP="00B73AF7">
      <w:pPr>
        <w:pStyle w:val="Akapitzlist"/>
        <w:numPr>
          <w:ilvl w:val="0"/>
          <w:numId w:val="57"/>
        </w:numPr>
        <w:spacing w:after="0" w:line="240" w:lineRule="auto"/>
        <w:jc w:val="both"/>
        <w:rPr>
          <w:rFonts w:ascii="Lato" w:hAnsi="Lato" w:cs="Times New Roman"/>
          <w:sz w:val="20"/>
          <w:szCs w:val="20"/>
        </w:rPr>
      </w:pPr>
      <w:r w:rsidRPr="00F93408">
        <w:rPr>
          <w:rFonts w:ascii="Lato" w:hAnsi="Lato" w:cs="Times New Roman"/>
          <w:sz w:val="20"/>
          <w:szCs w:val="20"/>
        </w:rPr>
        <w:t>Realizacja zadania publicznego pn.: „Twórczo, aktywnie i pozytywnie”. Podejmowane działania: warsztaty o różnej tematyce, wieczór literacki z udziałem seniorów oraz dzieci, spotkania towarzyskie międzypokoleniowe z udziałem seniorów, wyjazd edukacyjny do Rozalina dla grupy seniorów (15 osób).</w:t>
      </w:r>
    </w:p>
    <w:p w14:paraId="6EED5D5F" w14:textId="77777777" w:rsidR="00F93408" w:rsidRDefault="00450EAC" w:rsidP="00B73AF7">
      <w:pPr>
        <w:pStyle w:val="Akapitzlist"/>
        <w:numPr>
          <w:ilvl w:val="0"/>
          <w:numId w:val="57"/>
        </w:numPr>
        <w:spacing w:after="0" w:line="240" w:lineRule="auto"/>
        <w:jc w:val="both"/>
        <w:rPr>
          <w:rFonts w:ascii="Lato" w:hAnsi="Lato" w:cs="Times New Roman"/>
          <w:sz w:val="20"/>
          <w:szCs w:val="20"/>
        </w:rPr>
      </w:pPr>
      <w:r w:rsidRPr="00F93408">
        <w:rPr>
          <w:rFonts w:ascii="Lato" w:hAnsi="Lato" w:cs="Times New Roman"/>
          <w:sz w:val="20"/>
          <w:szCs w:val="20"/>
        </w:rPr>
        <w:t>Realizacja zadania publicznego pn.: „Spotkanie z kulturą”, działania: wyjazd do Teatru Muzycznego w Lublinie (50 osób). Rezultaty: wzrost aktywności społecznej osób starszych, poprawa samooceny, poprawa wizerunku seniora w możliwości uczestniczenia w życiu kulturalnym.</w:t>
      </w:r>
    </w:p>
    <w:p w14:paraId="7A691836" w14:textId="77777777" w:rsidR="00F93408" w:rsidRDefault="00450EAC" w:rsidP="00B73AF7">
      <w:pPr>
        <w:pStyle w:val="Akapitzlist"/>
        <w:numPr>
          <w:ilvl w:val="0"/>
          <w:numId w:val="57"/>
        </w:numPr>
        <w:spacing w:after="0" w:line="240" w:lineRule="auto"/>
        <w:jc w:val="both"/>
        <w:rPr>
          <w:rFonts w:ascii="Lato" w:hAnsi="Lato" w:cs="Times New Roman"/>
          <w:sz w:val="20"/>
          <w:szCs w:val="20"/>
        </w:rPr>
      </w:pPr>
      <w:r w:rsidRPr="00F93408">
        <w:rPr>
          <w:rFonts w:ascii="Lato" w:hAnsi="Lato" w:cs="Times New Roman"/>
          <w:sz w:val="20"/>
          <w:szCs w:val="20"/>
        </w:rPr>
        <w:t>Realizacja zadania publicznego pn.: „Kreatywni seniorzy w gminie Bełżyce”. Działania: zajęcia teatralne, realizacja widowiska teatralnego, wyjazd do teatru, warsztaty plastyczne, spotkanie szkoleniowe dot. radzenia sobie z tremą na scenie. Rezultaty: wzrost pewności siebie, poczucia ważności i odwagi do wystąpień, wzrost poczucia zaktywizowania i zintegrowania z innymi.</w:t>
      </w:r>
    </w:p>
    <w:p w14:paraId="527EB57B" w14:textId="77777777" w:rsidR="00F93408" w:rsidRDefault="00450EAC" w:rsidP="00B73AF7">
      <w:pPr>
        <w:pStyle w:val="Akapitzlist"/>
        <w:numPr>
          <w:ilvl w:val="0"/>
          <w:numId w:val="57"/>
        </w:numPr>
        <w:spacing w:after="0" w:line="240" w:lineRule="auto"/>
        <w:jc w:val="both"/>
        <w:rPr>
          <w:rFonts w:ascii="Lato" w:hAnsi="Lato" w:cs="Times New Roman"/>
          <w:sz w:val="20"/>
          <w:szCs w:val="20"/>
        </w:rPr>
      </w:pPr>
      <w:r w:rsidRPr="00F93408">
        <w:rPr>
          <w:rFonts w:ascii="Lato" w:hAnsi="Lato" w:cs="Times New Roman"/>
          <w:sz w:val="20"/>
          <w:szCs w:val="20"/>
        </w:rPr>
        <w:t>Realizacja zadania publicznego pn.: „Cudze chwalicie swego nie znacie”. Działania: wyjazd do Czarnolasu i do Kazimierza nad Wisłą.</w:t>
      </w:r>
    </w:p>
    <w:p w14:paraId="78536587" w14:textId="5EEA02EA" w:rsidR="00450EAC" w:rsidRPr="00F93408" w:rsidRDefault="00450EAC" w:rsidP="00B73AF7">
      <w:pPr>
        <w:pStyle w:val="Akapitzlist"/>
        <w:numPr>
          <w:ilvl w:val="0"/>
          <w:numId w:val="57"/>
        </w:numPr>
        <w:spacing w:after="0" w:line="240" w:lineRule="auto"/>
        <w:jc w:val="both"/>
        <w:rPr>
          <w:rFonts w:ascii="Lato" w:hAnsi="Lato" w:cs="Times New Roman"/>
          <w:sz w:val="20"/>
          <w:szCs w:val="20"/>
        </w:rPr>
      </w:pPr>
      <w:r w:rsidRPr="00F93408">
        <w:rPr>
          <w:rFonts w:ascii="Lato" w:hAnsi="Lato" w:cs="Times New Roman"/>
          <w:sz w:val="20"/>
          <w:szCs w:val="20"/>
        </w:rPr>
        <w:t>Realizacja zadania publicznego pn. „Emeryt w akcji szuka inspiracji”. Działania: wyjazd poznawczy m.in. do gospodarstwa agroturystycznego w Mikołajówce połączony z warsztatami, w większości dla osób w wieku emerytalnym.</w:t>
      </w:r>
    </w:p>
    <w:p w14:paraId="76EF03FA" w14:textId="77777777" w:rsidR="00F93408" w:rsidRDefault="00F93408" w:rsidP="00450EAC">
      <w:pPr>
        <w:pStyle w:val="Akapitzlist"/>
        <w:spacing w:after="0" w:line="240" w:lineRule="auto"/>
        <w:ind w:left="0"/>
        <w:jc w:val="both"/>
        <w:rPr>
          <w:rFonts w:ascii="Lato" w:hAnsi="Lato" w:cs="Times New Roman"/>
          <w:sz w:val="20"/>
          <w:szCs w:val="20"/>
        </w:rPr>
      </w:pPr>
    </w:p>
    <w:p w14:paraId="326AEFC5" w14:textId="0D26F6EE" w:rsidR="00450EAC" w:rsidRDefault="00450EAC" w:rsidP="00450EAC">
      <w:pPr>
        <w:pStyle w:val="Akapitzlist"/>
        <w:spacing w:after="0" w:line="240" w:lineRule="auto"/>
        <w:ind w:left="0"/>
        <w:jc w:val="both"/>
        <w:rPr>
          <w:rFonts w:ascii="Lato" w:hAnsi="Lato"/>
          <w:sz w:val="20"/>
          <w:szCs w:val="20"/>
        </w:rPr>
      </w:pPr>
      <w:r w:rsidRPr="00450EAC">
        <w:rPr>
          <w:rFonts w:ascii="Lato" w:hAnsi="Lato" w:cs="Times New Roman"/>
          <w:sz w:val="20"/>
          <w:szCs w:val="20"/>
        </w:rPr>
        <w:t xml:space="preserve">Budowa siłowni zewnętrznej w Bełżycach przy ul. Fabrycznej, której odbiorcami są również osoby starsze. Celem był rozwój potencjału </w:t>
      </w:r>
      <w:proofErr w:type="spellStart"/>
      <w:r w:rsidRPr="00450EAC">
        <w:rPr>
          <w:rFonts w:ascii="Lato" w:hAnsi="Lato" w:cs="Times New Roman"/>
          <w:sz w:val="20"/>
          <w:szCs w:val="20"/>
        </w:rPr>
        <w:t>rekreacyjno</w:t>
      </w:r>
      <w:proofErr w:type="spellEnd"/>
      <w:r w:rsidRPr="00450EAC">
        <w:rPr>
          <w:rFonts w:ascii="Lato" w:hAnsi="Lato" w:cs="Times New Roman"/>
          <w:sz w:val="20"/>
          <w:szCs w:val="20"/>
        </w:rPr>
        <w:t xml:space="preserve"> – wypoczynkowego gminy Bełżyce poprzez budowę siłowni zewnętrznej w Bełżycach ul. Fabryczna, co pozwoliło na zwiększenie aktywności rekreacyjnej mieszkańców gminy. Zakres operacji: montaż  10 urządzeń, w tym dwa (motyl rewers integracyjny oraz kołowrotek) przystosowane są dla osób poruszających się na wózkach inwalidzkich. Pozostałe to </w:t>
      </w:r>
      <w:proofErr w:type="spellStart"/>
      <w:r w:rsidRPr="00450EAC">
        <w:rPr>
          <w:rFonts w:ascii="Lato" w:hAnsi="Lato" w:cs="Times New Roman"/>
          <w:sz w:val="20"/>
          <w:szCs w:val="20"/>
        </w:rPr>
        <w:t>orbitrek</w:t>
      </w:r>
      <w:proofErr w:type="spellEnd"/>
      <w:r w:rsidRPr="00450EAC">
        <w:rPr>
          <w:rFonts w:ascii="Lato" w:hAnsi="Lato" w:cs="Times New Roman"/>
          <w:sz w:val="20"/>
          <w:szCs w:val="20"/>
        </w:rPr>
        <w:t xml:space="preserve">, motyl rewers, drabinka, koła tai chi i ster, wyciąg górny podwójny, </w:t>
      </w:r>
      <w:proofErr w:type="spellStart"/>
      <w:r w:rsidRPr="00450EAC">
        <w:rPr>
          <w:rFonts w:ascii="Lato" w:hAnsi="Lato" w:cs="Times New Roman"/>
          <w:sz w:val="20"/>
          <w:szCs w:val="20"/>
        </w:rPr>
        <w:t>steper</w:t>
      </w:r>
      <w:proofErr w:type="spellEnd"/>
      <w:r w:rsidRPr="00450EAC">
        <w:rPr>
          <w:rFonts w:ascii="Lato" w:hAnsi="Lato" w:cs="Times New Roman"/>
          <w:sz w:val="20"/>
          <w:szCs w:val="20"/>
        </w:rPr>
        <w:t xml:space="preserve"> i twister, biegacz i </w:t>
      </w:r>
      <w:proofErr w:type="spellStart"/>
      <w:r w:rsidRPr="00450EAC">
        <w:rPr>
          <w:rFonts w:ascii="Lato" w:hAnsi="Lato" w:cs="Times New Roman"/>
          <w:sz w:val="20"/>
          <w:szCs w:val="20"/>
        </w:rPr>
        <w:t>orbitrek</w:t>
      </w:r>
      <w:proofErr w:type="spellEnd"/>
      <w:r w:rsidRPr="00450EAC">
        <w:rPr>
          <w:rFonts w:ascii="Lato" w:hAnsi="Lato" w:cs="Times New Roman"/>
          <w:sz w:val="20"/>
          <w:szCs w:val="20"/>
        </w:rPr>
        <w:t xml:space="preserve"> oraz </w:t>
      </w:r>
      <w:proofErr w:type="spellStart"/>
      <w:r w:rsidRPr="00450EAC">
        <w:rPr>
          <w:rFonts w:ascii="Lato" w:hAnsi="Lato" w:cs="Times New Roman"/>
          <w:sz w:val="20"/>
          <w:szCs w:val="20"/>
        </w:rPr>
        <w:t>masażer</w:t>
      </w:r>
      <w:proofErr w:type="spellEnd"/>
      <w:r w:rsidRPr="00450EAC">
        <w:rPr>
          <w:rFonts w:ascii="Lato" w:hAnsi="Lato" w:cs="Times New Roman"/>
          <w:sz w:val="20"/>
          <w:szCs w:val="20"/>
        </w:rPr>
        <w:t xml:space="preserve"> poziomy i pionowy. Inwestycja miała charakter niekomercyjny. Jest ogólnodostępna i bezpłatna. Pozwoliła na stworzenie miejsca rekreacji i wypoczynku dla mieszkańców, w tym osób w wieku od 15 do 35 roku życia, osób pow. 50 lat, osób niepełnosprawnych, zarówno samodzielnych jak i z opiekunem. Link: </w:t>
      </w:r>
    </w:p>
    <w:p w14:paraId="2ADBB2DF" w14:textId="77777777" w:rsidR="00F93408" w:rsidRPr="00450EAC" w:rsidRDefault="00F93408" w:rsidP="00450EAC">
      <w:pPr>
        <w:pStyle w:val="Akapitzlist"/>
        <w:spacing w:after="0" w:line="240" w:lineRule="auto"/>
        <w:ind w:left="0"/>
        <w:jc w:val="both"/>
        <w:rPr>
          <w:rFonts w:ascii="Lato" w:hAnsi="Lato" w:cs="Times New Roman"/>
          <w:sz w:val="20"/>
          <w:szCs w:val="20"/>
        </w:rPr>
      </w:pPr>
    </w:p>
    <w:p w14:paraId="4B7D18A1" w14:textId="77777777" w:rsidR="00450EAC" w:rsidRPr="00450EAC" w:rsidRDefault="00450EAC" w:rsidP="00450EAC">
      <w:pPr>
        <w:pStyle w:val="Akapitzlist"/>
        <w:spacing w:after="0" w:line="240" w:lineRule="auto"/>
        <w:ind w:left="0"/>
        <w:jc w:val="both"/>
        <w:rPr>
          <w:rFonts w:ascii="Lato" w:hAnsi="Lato" w:cs="Times New Roman"/>
          <w:sz w:val="20"/>
          <w:szCs w:val="20"/>
        </w:rPr>
      </w:pPr>
      <w:r w:rsidRPr="00450EAC">
        <w:rPr>
          <w:rFonts w:ascii="Lato" w:hAnsi="Lato" w:cs="Times New Roman"/>
          <w:sz w:val="20"/>
          <w:szCs w:val="20"/>
        </w:rPr>
        <w:t xml:space="preserve">Ponadto osobom starszym była udzielana pomoc finansowa oraz udzielane wsparcie w formie usług opiekuńczych z Centrum Usług Społecznych w Bełżycach na zasadach określonych w ustawie z dnia 12 marca 2004 r. o pomocy społecznej. Osoby starsze korzystały również ze wsparcia </w:t>
      </w:r>
      <w:r w:rsidRPr="00450EAC">
        <w:rPr>
          <w:rFonts w:ascii="Lato" w:hAnsi="Lato" w:cs="Times New Roman"/>
          <w:sz w:val="20"/>
          <w:szCs w:val="20"/>
        </w:rPr>
        <w:br/>
        <w:t>w formie bezpłatnych usług asystencko- wspierających świadczonych w miejscu zamieszkania (24 osoby).</w:t>
      </w:r>
    </w:p>
    <w:p w14:paraId="1926BDF2" w14:textId="5D9A7275" w:rsidR="00450EAC" w:rsidRPr="00450EAC" w:rsidRDefault="00450EAC" w:rsidP="00450EAC">
      <w:pPr>
        <w:pStyle w:val="Akapitzlist"/>
        <w:spacing w:after="0" w:line="240" w:lineRule="auto"/>
        <w:ind w:left="0"/>
        <w:jc w:val="both"/>
        <w:rPr>
          <w:rFonts w:ascii="Lato" w:hAnsi="Lato" w:cs="Times New Roman"/>
          <w:sz w:val="20"/>
          <w:szCs w:val="20"/>
        </w:rPr>
      </w:pPr>
      <w:r w:rsidRPr="00450EAC">
        <w:rPr>
          <w:rFonts w:ascii="Lato" w:hAnsi="Lato" w:cs="Times New Roman"/>
          <w:sz w:val="20"/>
          <w:szCs w:val="20"/>
        </w:rPr>
        <w:t>W ramach usług społecznych działa również Klub Aktywności Lokalnej, którego celem jest podniesienie poziomu aktywności mieszkańców w zakresie poprawy sytuacji osobistej i integracji lokalnej społeczności oraz poprawa jakości życia rodzin, rozwój wolontariatu i działań samopomocowych. W ramach usługi społecznej uczestnik otrzymuje możliwość udziału w zajęciach pobudzających do aktywności obywatelskich, kulturalnych i sportowo- rekreacyjnych, a także zmniejszenie barier społecznych poprzez podniesienie motywacji do działania i zaufania we własne siły, członkami Klubu było 44 seniorów.</w:t>
      </w:r>
    </w:p>
    <w:p w14:paraId="7E519E23" w14:textId="77777777" w:rsidR="00450EAC" w:rsidRPr="00450EAC" w:rsidRDefault="00450EAC" w:rsidP="00450EAC">
      <w:pPr>
        <w:pStyle w:val="Akapitzlist"/>
        <w:tabs>
          <w:tab w:val="left" w:pos="426"/>
        </w:tabs>
        <w:suppressAutoHyphens/>
        <w:autoSpaceDN w:val="0"/>
        <w:spacing w:after="0" w:line="240" w:lineRule="auto"/>
        <w:ind w:left="0"/>
        <w:jc w:val="both"/>
        <w:rPr>
          <w:rFonts w:ascii="Lato" w:hAnsi="Lato" w:cs="Times New Roman"/>
          <w:b/>
          <w:sz w:val="20"/>
          <w:szCs w:val="20"/>
        </w:rPr>
      </w:pPr>
    </w:p>
    <w:p w14:paraId="1C2CB1E2" w14:textId="77777777" w:rsidR="00450EAC" w:rsidRPr="00450EAC" w:rsidRDefault="00450EAC" w:rsidP="00450EAC">
      <w:pPr>
        <w:pStyle w:val="Akapitzlist"/>
        <w:tabs>
          <w:tab w:val="left" w:pos="426"/>
        </w:tabs>
        <w:suppressAutoHyphens/>
        <w:autoSpaceDN w:val="0"/>
        <w:spacing w:after="0" w:line="240" w:lineRule="auto"/>
        <w:ind w:left="0"/>
        <w:jc w:val="both"/>
        <w:rPr>
          <w:rFonts w:ascii="Lato" w:hAnsi="Lato" w:cs="Times New Roman"/>
          <w:b/>
          <w:sz w:val="20"/>
          <w:szCs w:val="20"/>
        </w:rPr>
      </w:pPr>
      <w:r w:rsidRPr="00450EAC">
        <w:rPr>
          <w:rFonts w:ascii="Lato" w:hAnsi="Lato" w:cs="Times New Roman"/>
          <w:b/>
          <w:sz w:val="20"/>
          <w:szCs w:val="20"/>
        </w:rPr>
        <w:t>Gmina Stanin podejmowała następujące działania:</w:t>
      </w:r>
    </w:p>
    <w:p w14:paraId="79B0E6AB" w14:textId="040F01DD" w:rsidR="00450EAC" w:rsidRPr="00450EAC" w:rsidRDefault="00450EAC" w:rsidP="00450EAC">
      <w:pPr>
        <w:pStyle w:val="Akapitzlist"/>
        <w:tabs>
          <w:tab w:val="left" w:pos="426"/>
        </w:tabs>
        <w:suppressAutoHyphens/>
        <w:autoSpaceDN w:val="0"/>
        <w:spacing w:after="0" w:line="240" w:lineRule="auto"/>
        <w:ind w:left="0"/>
        <w:jc w:val="both"/>
        <w:rPr>
          <w:rFonts w:ascii="Lato" w:hAnsi="Lato"/>
          <w:sz w:val="20"/>
          <w:szCs w:val="20"/>
        </w:rPr>
      </w:pPr>
      <w:r w:rsidRPr="00450EAC">
        <w:rPr>
          <w:rFonts w:ascii="Lato" w:hAnsi="Lato"/>
          <w:sz w:val="20"/>
          <w:szCs w:val="20"/>
        </w:rPr>
        <w:lastRenderedPageBreak/>
        <w:t xml:space="preserve">Gminny Ośrodek Pomocy Społecznej w Staninie nadmienia, iż w roku 2022 realizował szereg działań na rzecz seniorów. Między innymi realizowano projekt „Aktywna jesień życia w Gminie </w:t>
      </w:r>
      <w:proofErr w:type="spellStart"/>
      <w:r w:rsidRPr="00450EAC">
        <w:rPr>
          <w:rFonts w:ascii="Lato" w:hAnsi="Lato"/>
          <w:sz w:val="20"/>
          <w:szCs w:val="20"/>
        </w:rPr>
        <w:t>Stanin”w</w:t>
      </w:r>
      <w:proofErr w:type="spellEnd"/>
      <w:r w:rsidRPr="00450EAC">
        <w:rPr>
          <w:rFonts w:ascii="Lato" w:hAnsi="Lato"/>
          <w:sz w:val="20"/>
          <w:szCs w:val="20"/>
        </w:rPr>
        <w:t xml:space="preserve"> ramach którego świadczono usługi opiekuńcze w miejscu zamieszkania dla 41 osób w wieku poprodukcyjnym, potrzebujących wsparcia w codziennym funkcjonowaniu; organizowano zajęcia w klubie seniora w dwóch lokalizacjach na terenie Gminy Stanin: Świetlica Wiejska w Sarnowie Sarnów 48B oraz Centrum Społeczno- Kulturalne w Staninie Stanin 105- łącznie dla 119 osób (zajęcia kulinarne, rękodzielnicze, muzyczne/taneczne, gimnastyka rekreacyjna, porady prawne, zajęcia z wolontariuszem animatorem). </w:t>
      </w:r>
      <w:r w:rsidRPr="00450EAC">
        <w:rPr>
          <w:rFonts w:ascii="Lato" w:hAnsi="Lato"/>
          <w:sz w:val="20"/>
          <w:szCs w:val="20"/>
        </w:rPr>
        <w:br/>
        <w:t xml:space="preserve">W 2022 roku zrealizowano 734 godziny zajęć warsztatowych oraz 240 godzin zajęć z animatorami- wolontariuszami. Uczestnicy klubu seniora to osoby w wieku poprodukcyjnym, zagrożone wykluczeniem społecznym z uwagi na swój wiek, zamieszkujące na ternie Gminy Stanin. Seniorzy byli dowożeni na zajęcia ze swojego miejsca zamieszkania do miejsca realizacji zajęć. Ponadto GOPS w Staninie w partnerstwie </w:t>
      </w:r>
      <w:r w:rsidRPr="00450EAC">
        <w:rPr>
          <w:rFonts w:ascii="Lato" w:hAnsi="Lato"/>
          <w:sz w:val="20"/>
          <w:szCs w:val="20"/>
        </w:rPr>
        <w:br/>
        <w:t>z Gminą Krzywda, Gminą Gościeradów, Gminą Urzędów oraz Regionalnym Ośrodkiem Polityki Społecznej w Lublinie realizował projekt „Środowisko lokalne motorem rozwoju usług społecznych</w:t>
      </w:r>
      <w:r w:rsidR="00F93408">
        <w:rPr>
          <w:rFonts w:ascii="Lato" w:hAnsi="Lato"/>
          <w:sz w:val="20"/>
          <w:szCs w:val="20"/>
        </w:rPr>
        <w:t xml:space="preserve"> </w:t>
      </w:r>
      <w:r w:rsidRPr="00450EAC">
        <w:rPr>
          <w:rFonts w:ascii="Lato" w:hAnsi="Lato"/>
          <w:sz w:val="20"/>
          <w:szCs w:val="20"/>
        </w:rPr>
        <w:t xml:space="preserve"> w ramach którego funkcjonuje Wypożyczalnia Sprzętu Rehabilitacyjnego dla mieszkańców powiatu łukowskiego. Świadczono usługi opiekuńcze w miejscu zamieszkania dla 10 osób (seniorów). Z uwagi na niewystarczające rozwiązania w zakresie wspierania opiekunów osób z niepełnosprawnością przeprowadzono specjalistyczne szkolenia dla 15 opiekunów faktycznych osób niepełnosprawnych w celu udoskonalenia jakości świadczonej opieki dla ich bliskich, z których 7 osób to seniorzy powyżej 60 r. ż. Szkolenia przeprowadzone były przez ratownika medycznego oraz psychologa. Realizowany był również program Korpus Wsparcia Seniorów w ramach którego wyposażono w opaski bezpieczeństwa 20 seniorów. Celem programu było </w:t>
      </w:r>
      <w:r w:rsidRPr="00450EAC">
        <w:rPr>
          <w:rFonts w:ascii="Lato" w:eastAsia="Times New Roman" w:hAnsi="Lato"/>
          <w:sz w:val="20"/>
          <w:szCs w:val="20"/>
          <w:lang w:eastAsia="pl-PL"/>
        </w:rPr>
        <w:t xml:space="preserve">zapewnienie usługi wsparcia na rzecz osób w wieku </w:t>
      </w:r>
      <w:r w:rsidRPr="00450EAC">
        <w:rPr>
          <w:rFonts w:ascii="Lato" w:eastAsia="Times New Roman" w:hAnsi="Lato"/>
          <w:bCs/>
          <w:sz w:val="20"/>
          <w:szCs w:val="20"/>
          <w:lang w:eastAsia="pl-PL"/>
        </w:rPr>
        <w:t>65 lat i więcej</w:t>
      </w:r>
      <w:r w:rsidRPr="00450EAC">
        <w:rPr>
          <w:rFonts w:ascii="Lato" w:eastAsia="Times New Roman" w:hAnsi="Lato"/>
          <w:sz w:val="20"/>
          <w:szCs w:val="20"/>
          <w:lang w:eastAsia="pl-PL"/>
        </w:rPr>
        <w:t xml:space="preserve"> poprzez świadczenie usług „całodobowej opieki na odległość „ przez centrum monitoringu” oraz poprawa poczucia bezpieczeństwa i możliwości samodzielnego funkcjonowania w miejscu zamieszkania osób starszych i samotnych poprzez dostęp do tzw. „opieki na odległość.” Dodatkowo w ramach trwałości zrealizowanego projektu „Niesamodzielni i niepełnosprawni mają wsparcie w Gminie Stanin” funkcjonuje Wypożyczalnia Sprzętu Rehabilitacyjnego dla opiekunów faktycznych osób niepełnosprawnych lub niesamodzielnych w tym seniorów zamieszkujących na terenie Gminy Stanin. Ponadto Gminny Ośrodek Pomocy Społecznej w Staninie zorganizował spotkania integracyjne dla seniorów, tj. Dzień Seniora oraz spotkanie Wigilijne dla podopiecznych Ośrodka i seniorów </w:t>
      </w:r>
    </w:p>
    <w:p w14:paraId="128E1779" w14:textId="77777777" w:rsidR="00450EAC" w:rsidRPr="00450EAC" w:rsidRDefault="00450EAC" w:rsidP="00450EAC">
      <w:pPr>
        <w:pStyle w:val="Akapitzlist"/>
        <w:tabs>
          <w:tab w:val="left" w:pos="426"/>
        </w:tabs>
        <w:suppressAutoHyphens/>
        <w:autoSpaceDN w:val="0"/>
        <w:spacing w:after="0" w:line="240" w:lineRule="auto"/>
        <w:ind w:left="0"/>
        <w:jc w:val="both"/>
        <w:rPr>
          <w:rFonts w:ascii="Lato" w:hAnsi="Lato"/>
          <w:sz w:val="20"/>
          <w:szCs w:val="20"/>
        </w:rPr>
      </w:pPr>
    </w:p>
    <w:p w14:paraId="2CB8CA22" w14:textId="473B943B" w:rsidR="00450EAC" w:rsidRPr="00F93408" w:rsidRDefault="00F93408" w:rsidP="00F93408">
      <w:pPr>
        <w:spacing w:after="0" w:line="240" w:lineRule="auto"/>
        <w:jc w:val="both"/>
        <w:rPr>
          <w:rFonts w:ascii="Lato" w:hAnsi="Lato"/>
          <w:color w:val="2F5496" w:themeColor="accent1" w:themeShade="BF"/>
          <w:sz w:val="20"/>
          <w:szCs w:val="20"/>
        </w:rPr>
      </w:pPr>
      <w:bookmarkStart w:id="138" w:name="_Hlk137799624"/>
      <w:r w:rsidRPr="00757CE7">
        <w:rPr>
          <w:rFonts w:ascii="Lato" w:hAnsi="Lato"/>
          <w:b/>
          <w:color w:val="2F5496" w:themeColor="accent1" w:themeShade="BF"/>
          <w:sz w:val="20"/>
          <w:szCs w:val="20"/>
        </w:rPr>
        <w:t>PRZYKŁADY INNOWACYJNYCH ROZWIĄZAŃ</w:t>
      </w:r>
      <w:bookmarkEnd w:id="138"/>
    </w:p>
    <w:p w14:paraId="482F414F" w14:textId="5772FFDC" w:rsidR="00450EAC" w:rsidRDefault="00450EAC" w:rsidP="00450EAC">
      <w:pPr>
        <w:tabs>
          <w:tab w:val="left" w:pos="426"/>
        </w:tabs>
        <w:suppressAutoHyphens/>
        <w:autoSpaceDN w:val="0"/>
        <w:spacing w:after="0" w:line="240" w:lineRule="auto"/>
        <w:jc w:val="both"/>
        <w:rPr>
          <w:rFonts w:ascii="Lato" w:hAnsi="Lato" w:cs="Times New Roman"/>
          <w:sz w:val="20"/>
          <w:szCs w:val="20"/>
        </w:rPr>
      </w:pPr>
      <w:r w:rsidRPr="00F93408">
        <w:rPr>
          <w:rFonts w:ascii="Lato" w:hAnsi="Lato" w:cs="Times New Roman"/>
          <w:b/>
          <w:bCs/>
          <w:sz w:val="20"/>
          <w:szCs w:val="20"/>
        </w:rPr>
        <w:t>Miasto Kraśnik Program „Złota Rączka dla seniora 70+”</w:t>
      </w:r>
      <w:r w:rsidRPr="00450EAC">
        <w:rPr>
          <w:rFonts w:ascii="Lato" w:hAnsi="Lato" w:cs="Times New Roman"/>
          <w:sz w:val="20"/>
          <w:szCs w:val="20"/>
        </w:rPr>
        <w:t xml:space="preserve"> − świadczenie drobnych, bezpłatnych usług naprawczych w domu seniora. W 2022 roku z usług Złotej Rączki skorzystało 442 Seniorów.  Celem projektu było zwiększenie poziomu bezpieczeństwa osobistego i samodzielności osób starszych zgodnie z ich potrzebami obejmującymi poradnictwo i  świadczenie pomocy w nieskomplikowanych pracach technicznych. Miasto Kraśnik w ramach konkursu ofert na realizację zadań publicznych z zakresu działalności na rzecz osób w wieku emerytalnym w 2022 roku przeznaczyło łącznie kwotę 50 000,00 zł. Realizatorem usług było Centrum Wolontariatu w Kraśniku.</w:t>
      </w:r>
    </w:p>
    <w:p w14:paraId="71CE7F79" w14:textId="77777777" w:rsidR="00F93408" w:rsidRPr="00450EAC" w:rsidRDefault="00F93408" w:rsidP="00450EAC">
      <w:pPr>
        <w:tabs>
          <w:tab w:val="left" w:pos="426"/>
        </w:tabs>
        <w:suppressAutoHyphens/>
        <w:autoSpaceDN w:val="0"/>
        <w:spacing w:after="0" w:line="240" w:lineRule="auto"/>
        <w:jc w:val="both"/>
        <w:rPr>
          <w:rFonts w:ascii="Lato" w:hAnsi="Lato" w:cs="Times New Roman"/>
          <w:sz w:val="20"/>
          <w:szCs w:val="20"/>
        </w:rPr>
      </w:pPr>
    </w:p>
    <w:p w14:paraId="7061E916" w14:textId="5BDD271D" w:rsidR="00450EAC" w:rsidRDefault="00450EAC" w:rsidP="00193229">
      <w:pPr>
        <w:pStyle w:val="Akapitzlist"/>
        <w:tabs>
          <w:tab w:val="left" w:pos="426"/>
        </w:tabs>
        <w:suppressAutoHyphens/>
        <w:autoSpaceDN w:val="0"/>
        <w:spacing w:after="0" w:line="240" w:lineRule="auto"/>
        <w:ind w:left="0"/>
        <w:jc w:val="both"/>
        <w:rPr>
          <w:rFonts w:ascii="Lato" w:hAnsi="Lato" w:cs="Times New Roman"/>
          <w:sz w:val="20"/>
          <w:szCs w:val="20"/>
        </w:rPr>
      </w:pPr>
      <w:r w:rsidRPr="00450EAC">
        <w:rPr>
          <w:rFonts w:ascii="Lato" w:hAnsi="Lato" w:cs="Times New Roman"/>
          <w:sz w:val="20"/>
          <w:szCs w:val="20"/>
        </w:rPr>
        <w:t xml:space="preserve">Gminny Ośrodek Pomocy Społecznej we Włodawie współpracuje z Powiatowym Urzędem Pracy we Włodawie w zakresie prac społecznie użytecznych. Jest to instrument rynku pracy skierowany do osób bezrobotnych bez prawa do zasiłku korzystających ze świadczeń pomocy społecznej oraz osób uczestniczących w kontrakcie socjalnym, indywidualnym programie usamodzielniania, lokalnym programie pomocy społecznej lub indywidualnym programie zatrudnienia socjalnego. W 2022 r. w w/w programie uczestniczyło łącznie 25 osób, które korzystały z pomocy ośrodka i były zarejestrowane w urzędzie pracy. Osoby te w ramach wykonywania prac społecznie użytecznych wykonywały prace porządkowe oraz świadczyły usługi opiekuńcze na rzecz osób starszych, samotnych i niepełnosprawnych z terenu Gminy Włodawa. Usługi te obejmowały pomoc w zaspokajaniu niezbędnych potrzeb życiowych (np. pomoc w utrzymaniu higieny osobistej i czynnościach pielęgnacyjnych, przygotowywanie posiłków, zakupy artykułów spożywczych, itp.) oraz wsparcie w prowadzeniu gospodarstwa domowego, wsparcie </w:t>
      </w:r>
      <w:r w:rsidRPr="00450EAC">
        <w:rPr>
          <w:rFonts w:ascii="Lato" w:hAnsi="Lato" w:cs="Times New Roman"/>
          <w:sz w:val="20"/>
          <w:szCs w:val="20"/>
        </w:rPr>
        <w:br/>
        <w:t>w podejmowaniu różnych aktywności życiowych. W 2022 r. na rzecz 10 osób starszych były świadczone usługi opiekuńcze w ramach prac społecznie użytecznych.</w:t>
      </w:r>
    </w:p>
    <w:p w14:paraId="4E326085" w14:textId="77777777" w:rsidR="00193229" w:rsidRPr="00193229" w:rsidRDefault="00193229" w:rsidP="00193229">
      <w:pPr>
        <w:pStyle w:val="Akapitzlist"/>
        <w:tabs>
          <w:tab w:val="left" w:pos="426"/>
        </w:tabs>
        <w:suppressAutoHyphens/>
        <w:autoSpaceDN w:val="0"/>
        <w:spacing w:after="0" w:line="240" w:lineRule="auto"/>
        <w:ind w:left="0"/>
        <w:jc w:val="both"/>
        <w:rPr>
          <w:rFonts w:ascii="Lato" w:hAnsi="Lato" w:cs="Times New Roman"/>
          <w:sz w:val="20"/>
          <w:szCs w:val="20"/>
        </w:rPr>
      </w:pPr>
    </w:p>
    <w:p w14:paraId="4578D365" w14:textId="6EF9385B" w:rsidR="00193229" w:rsidRDefault="00193229" w:rsidP="00193229">
      <w:pPr>
        <w:pStyle w:val="Legenda"/>
        <w:keepNext/>
      </w:pPr>
      <w:bookmarkStart w:id="139" w:name="_Toc142566025"/>
      <w:r>
        <w:t xml:space="preserve">Tabela </w:t>
      </w:r>
      <w:fldSimple w:instr=" SEQ Tabela \* ARABIC ">
        <w:r w:rsidR="00AA385B">
          <w:rPr>
            <w:noProof/>
          </w:rPr>
          <w:t>62</w:t>
        </w:r>
      </w:fldSimple>
      <w:r>
        <w:t xml:space="preserve"> Karta województwa lubelskiego za 2022 r.</w:t>
      </w:r>
      <w:bookmarkEnd w:id="13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193229" w:rsidRPr="007F3D80" w14:paraId="147924E6" w14:textId="77777777" w:rsidTr="00F956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6219D7D0"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WOJEWÓDZTWO LUBELSKIE</w:t>
            </w:r>
          </w:p>
        </w:tc>
      </w:tr>
      <w:tr w:rsidR="00193229" w:rsidRPr="007F3D80" w14:paraId="0953ADEE" w14:textId="77777777" w:rsidTr="0019322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6895956"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Informacja o regionie</w:t>
            </w:r>
          </w:p>
        </w:tc>
        <w:tc>
          <w:tcPr>
            <w:tcW w:w="1346" w:type="pct"/>
            <w:shd w:val="clear" w:color="auto" w:fill="auto"/>
          </w:tcPr>
          <w:p w14:paraId="5E34DA2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gmin</w:t>
            </w:r>
          </w:p>
        </w:tc>
        <w:tc>
          <w:tcPr>
            <w:tcW w:w="2693" w:type="pct"/>
            <w:gridSpan w:val="2"/>
            <w:shd w:val="clear" w:color="auto" w:fill="auto"/>
          </w:tcPr>
          <w:p w14:paraId="2CA321C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213</w:t>
            </w:r>
          </w:p>
        </w:tc>
      </w:tr>
      <w:tr w:rsidR="00193229" w:rsidRPr="007F3D80" w14:paraId="7423E912" w14:textId="77777777" w:rsidTr="0019322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A4446BF"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585AEB9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powiatów</w:t>
            </w:r>
          </w:p>
        </w:tc>
        <w:tc>
          <w:tcPr>
            <w:tcW w:w="2693" w:type="pct"/>
            <w:gridSpan w:val="2"/>
            <w:shd w:val="clear" w:color="auto" w:fill="auto"/>
          </w:tcPr>
          <w:p w14:paraId="330C263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 powiatów i 4 miasta na prawach powiatu</w:t>
            </w:r>
          </w:p>
        </w:tc>
      </w:tr>
      <w:tr w:rsidR="00193229" w:rsidRPr="007F3D80" w14:paraId="40F519A6" w14:textId="77777777" w:rsidTr="0019322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B13B7F"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4A44369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Powierzchnia</w:t>
            </w:r>
          </w:p>
        </w:tc>
        <w:tc>
          <w:tcPr>
            <w:tcW w:w="2693" w:type="pct"/>
            <w:gridSpan w:val="2"/>
            <w:shd w:val="clear" w:color="auto" w:fill="auto"/>
          </w:tcPr>
          <w:p w14:paraId="35EF860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25 122 km</w:t>
            </w:r>
            <w:r w:rsidRPr="00193229">
              <w:rPr>
                <w:rFonts w:ascii="Lato" w:hAnsi="Lato" w:cs="Times New Roman"/>
                <w:color w:val="auto"/>
                <w:sz w:val="18"/>
                <w:szCs w:val="18"/>
                <w:vertAlign w:val="superscript"/>
              </w:rPr>
              <w:t>2</w:t>
            </w:r>
          </w:p>
        </w:tc>
      </w:tr>
      <w:tr w:rsidR="00193229" w:rsidRPr="007F3D80" w14:paraId="2DC6DEEA" w14:textId="77777777" w:rsidTr="00F95680">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5E5D91D" w14:textId="77777777" w:rsidR="00193229" w:rsidRPr="00193229" w:rsidRDefault="00193229" w:rsidP="00CA4EC0">
            <w:pPr>
              <w:jc w:val="center"/>
              <w:rPr>
                <w:rFonts w:ascii="Lato" w:hAnsi="Lato" w:cs="Times New Roman"/>
                <w:b w:val="0"/>
                <w:color w:val="auto"/>
                <w:sz w:val="18"/>
                <w:szCs w:val="18"/>
              </w:rPr>
            </w:pPr>
            <w:r w:rsidRPr="00193229">
              <w:rPr>
                <w:rFonts w:ascii="Lato" w:hAnsi="Lato" w:cs="Times New Roman"/>
                <w:color w:val="auto"/>
                <w:sz w:val="18"/>
                <w:szCs w:val="18"/>
              </w:rPr>
              <w:t>DEMOGRAFIA</w:t>
            </w:r>
          </w:p>
        </w:tc>
      </w:tr>
      <w:tr w:rsidR="00193229" w:rsidRPr="007F3D80" w14:paraId="13932768"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1628562" w14:textId="77777777" w:rsidR="00193229" w:rsidRPr="00193229" w:rsidRDefault="00193229" w:rsidP="00CA4EC0">
            <w:pPr>
              <w:jc w:val="center"/>
              <w:rPr>
                <w:rFonts w:ascii="Lato" w:hAnsi="Lato" w:cs="Times New Roman"/>
                <w:b w:val="0"/>
                <w:color w:val="auto"/>
                <w:sz w:val="18"/>
                <w:szCs w:val="18"/>
                <w:lang w:eastAsia="pl-PL"/>
              </w:rPr>
            </w:pPr>
            <w:r w:rsidRPr="00193229">
              <w:rPr>
                <w:rFonts w:ascii="Lato" w:hAnsi="Lato" w:cs="Times New Roman"/>
                <w:color w:val="auto"/>
                <w:sz w:val="18"/>
                <w:szCs w:val="18"/>
                <w:lang w:eastAsia="pl-PL"/>
              </w:rPr>
              <w:t>Treść</w:t>
            </w:r>
          </w:p>
        </w:tc>
        <w:tc>
          <w:tcPr>
            <w:tcW w:w="1346" w:type="pct"/>
            <w:shd w:val="clear" w:color="auto" w:fill="auto"/>
          </w:tcPr>
          <w:p w14:paraId="7BA3DA4A"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2020 r.</w:t>
            </w:r>
          </w:p>
        </w:tc>
        <w:tc>
          <w:tcPr>
            <w:tcW w:w="1346" w:type="pct"/>
            <w:shd w:val="clear" w:color="auto" w:fill="auto"/>
          </w:tcPr>
          <w:p w14:paraId="57FA32FB"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2021 r.</w:t>
            </w:r>
          </w:p>
        </w:tc>
        <w:tc>
          <w:tcPr>
            <w:tcW w:w="1347" w:type="pct"/>
            <w:shd w:val="clear" w:color="auto" w:fill="auto"/>
          </w:tcPr>
          <w:p w14:paraId="3482A8D1"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2022 r.</w:t>
            </w:r>
          </w:p>
        </w:tc>
      </w:tr>
      <w:tr w:rsidR="00193229" w:rsidRPr="007F3D80" w14:paraId="5FF5B20B"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F5B6D38"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Populacja ogółem</w:t>
            </w:r>
          </w:p>
        </w:tc>
        <w:tc>
          <w:tcPr>
            <w:tcW w:w="1346" w:type="pct"/>
            <w:shd w:val="clear" w:color="auto" w:fill="auto"/>
          </w:tcPr>
          <w:p w14:paraId="4179A5C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2056908</w:t>
            </w:r>
          </w:p>
        </w:tc>
        <w:tc>
          <w:tcPr>
            <w:tcW w:w="1346" w:type="pct"/>
            <w:shd w:val="clear" w:color="auto" w:fill="auto"/>
          </w:tcPr>
          <w:p w14:paraId="72DAACF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2038299</w:t>
            </w:r>
          </w:p>
        </w:tc>
        <w:tc>
          <w:tcPr>
            <w:tcW w:w="1347" w:type="pct"/>
            <w:shd w:val="clear" w:color="auto" w:fill="auto"/>
          </w:tcPr>
          <w:p w14:paraId="4A2A9DD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2024637</w:t>
            </w:r>
          </w:p>
        </w:tc>
      </w:tr>
      <w:tr w:rsidR="00193229" w:rsidRPr="007F3D80" w14:paraId="236F47F5"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FBC3CA4" w14:textId="77777777" w:rsidR="00193229" w:rsidRPr="00193229" w:rsidRDefault="00193229" w:rsidP="00CA4EC0">
            <w:pPr>
              <w:rPr>
                <w:rFonts w:ascii="Lato" w:hAnsi="Lato" w:cs="Times New Roman"/>
                <w:b w:val="0"/>
                <w:color w:val="auto"/>
                <w:sz w:val="18"/>
                <w:szCs w:val="18"/>
              </w:rPr>
            </w:pPr>
          </w:p>
        </w:tc>
      </w:tr>
      <w:tr w:rsidR="00193229" w:rsidRPr="007F3D80" w14:paraId="6F583C47"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F283686" w14:textId="77777777" w:rsidR="00193229" w:rsidRPr="00193229" w:rsidRDefault="00193229" w:rsidP="00CA4EC0">
            <w:pPr>
              <w:rPr>
                <w:rFonts w:ascii="Lato" w:hAnsi="Lato" w:cs="Times New Roman"/>
                <w:b w:val="0"/>
                <w:color w:val="auto"/>
                <w:sz w:val="18"/>
                <w:szCs w:val="18"/>
              </w:rPr>
            </w:pPr>
            <w:r w:rsidRPr="00193229">
              <w:rPr>
                <w:rFonts w:ascii="Lato" w:hAnsi="Lato" w:cs="Times New Roman"/>
                <w:color w:val="auto"/>
                <w:sz w:val="18"/>
                <w:szCs w:val="18"/>
                <w:lang w:eastAsia="pl-PL"/>
              </w:rPr>
              <w:t>w wieku 60 lat i więcej</w:t>
            </w:r>
          </w:p>
        </w:tc>
        <w:tc>
          <w:tcPr>
            <w:tcW w:w="1346" w:type="pct"/>
            <w:shd w:val="clear" w:color="auto" w:fill="auto"/>
          </w:tcPr>
          <w:p w14:paraId="44C0BF8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543609</w:t>
            </w:r>
          </w:p>
        </w:tc>
        <w:tc>
          <w:tcPr>
            <w:tcW w:w="1346" w:type="pct"/>
            <w:shd w:val="clear" w:color="auto" w:fill="auto"/>
          </w:tcPr>
          <w:p w14:paraId="318123E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542899</w:t>
            </w:r>
          </w:p>
        </w:tc>
        <w:tc>
          <w:tcPr>
            <w:tcW w:w="1347" w:type="pct"/>
            <w:shd w:val="clear" w:color="auto" w:fill="auto"/>
          </w:tcPr>
          <w:p w14:paraId="424BC1D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546452</w:t>
            </w:r>
          </w:p>
        </w:tc>
      </w:tr>
      <w:tr w:rsidR="00193229" w:rsidRPr="007F3D80" w14:paraId="660FA863"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70D7491"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60–64 lata</w:t>
            </w:r>
          </w:p>
        </w:tc>
        <w:tc>
          <w:tcPr>
            <w:tcW w:w="1346" w:type="pct"/>
            <w:shd w:val="clear" w:color="auto" w:fill="auto"/>
          </w:tcPr>
          <w:p w14:paraId="4A3DB36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145408</w:t>
            </w:r>
          </w:p>
        </w:tc>
        <w:tc>
          <w:tcPr>
            <w:tcW w:w="1346" w:type="pct"/>
            <w:shd w:val="clear" w:color="auto" w:fill="auto"/>
          </w:tcPr>
          <w:p w14:paraId="3C18FA6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140125</w:t>
            </w:r>
          </w:p>
        </w:tc>
        <w:tc>
          <w:tcPr>
            <w:tcW w:w="1347" w:type="pct"/>
            <w:shd w:val="clear" w:color="auto" w:fill="auto"/>
          </w:tcPr>
          <w:p w14:paraId="254BBFF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133904</w:t>
            </w:r>
          </w:p>
        </w:tc>
      </w:tr>
      <w:tr w:rsidR="00193229" w:rsidRPr="007F3D80" w14:paraId="5F349D8F"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1BBD960"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65–69</w:t>
            </w:r>
          </w:p>
        </w:tc>
        <w:tc>
          <w:tcPr>
            <w:tcW w:w="1346" w:type="pct"/>
            <w:shd w:val="clear" w:color="auto" w:fill="auto"/>
          </w:tcPr>
          <w:p w14:paraId="1E8EF19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135875</w:t>
            </w:r>
          </w:p>
        </w:tc>
        <w:tc>
          <w:tcPr>
            <w:tcW w:w="1346" w:type="pct"/>
            <w:shd w:val="clear" w:color="auto" w:fill="auto"/>
          </w:tcPr>
          <w:p w14:paraId="6CD642A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136484</w:t>
            </w:r>
          </w:p>
        </w:tc>
        <w:tc>
          <w:tcPr>
            <w:tcW w:w="1347" w:type="pct"/>
            <w:shd w:val="clear" w:color="auto" w:fill="auto"/>
          </w:tcPr>
          <w:p w14:paraId="72C7347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138337</w:t>
            </w:r>
          </w:p>
        </w:tc>
      </w:tr>
      <w:tr w:rsidR="00193229" w:rsidRPr="007F3D80" w14:paraId="458A8F27"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08D592F"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70–74</w:t>
            </w:r>
          </w:p>
        </w:tc>
        <w:tc>
          <w:tcPr>
            <w:tcW w:w="1346" w:type="pct"/>
            <w:shd w:val="clear" w:color="auto" w:fill="auto"/>
          </w:tcPr>
          <w:p w14:paraId="49A3189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102943</w:t>
            </w:r>
          </w:p>
        </w:tc>
        <w:tc>
          <w:tcPr>
            <w:tcW w:w="1346" w:type="pct"/>
            <w:shd w:val="clear" w:color="auto" w:fill="auto"/>
          </w:tcPr>
          <w:p w14:paraId="10F2713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108086</w:t>
            </w:r>
          </w:p>
        </w:tc>
        <w:tc>
          <w:tcPr>
            <w:tcW w:w="1347" w:type="pct"/>
            <w:shd w:val="clear" w:color="auto" w:fill="auto"/>
          </w:tcPr>
          <w:p w14:paraId="3FEEC1B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111597</w:t>
            </w:r>
          </w:p>
        </w:tc>
      </w:tr>
      <w:tr w:rsidR="00193229" w:rsidRPr="007F3D80" w14:paraId="0161D7F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FA2A6CD"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75–79</w:t>
            </w:r>
          </w:p>
        </w:tc>
        <w:tc>
          <w:tcPr>
            <w:tcW w:w="1346" w:type="pct"/>
            <w:shd w:val="clear" w:color="auto" w:fill="auto"/>
          </w:tcPr>
          <w:p w14:paraId="4DE60C4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61602</w:t>
            </w:r>
          </w:p>
        </w:tc>
        <w:tc>
          <w:tcPr>
            <w:tcW w:w="1346" w:type="pct"/>
            <w:shd w:val="clear" w:color="auto" w:fill="auto"/>
          </w:tcPr>
          <w:p w14:paraId="0D7282F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63110</w:t>
            </w:r>
          </w:p>
        </w:tc>
        <w:tc>
          <w:tcPr>
            <w:tcW w:w="1347" w:type="pct"/>
            <w:shd w:val="clear" w:color="auto" w:fill="auto"/>
          </w:tcPr>
          <w:p w14:paraId="7D17493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69103</w:t>
            </w:r>
          </w:p>
        </w:tc>
      </w:tr>
      <w:tr w:rsidR="00193229" w:rsidRPr="007F3D80" w14:paraId="25ABF17F"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1A71618"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80–84</w:t>
            </w:r>
          </w:p>
        </w:tc>
        <w:tc>
          <w:tcPr>
            <w:tcW w:w="1346" w:type="pct"/>
            <w:shd w:val="clear" w:color="auto" w:fill="auto"/>
          </w:tcPr>
          <w:p w14:paraId="220757C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49675</w:t>
            </w:r>
          </w:p>
        </w:tc>
        <w:tc>
          <w:tcPr>
            <w:tcW w:w="1346" w:type="pct"/>
            <w:shd w:val="clear" w:color="auto" w:fill="auto"/>
          </w:tcPr>
          <w:p w14:paraId="0EBE85E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48596</w:t>
            </w:r>
          </w:p>
        </w:tc>
        <w:tc>
          <w:tcPr>
            <w:tcW w:w="1347" w:type="pct"/>
            <w:shd w:val="clear" w:color="auto" w:fill="auto"/>
          </w:tcPr>
          <w:p w14:paraId="3E24D27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47127</w:t>
            </w:r>
          </w:p>
        </w:tc>
      </w:tr>
      <w:tr w:rsidR="00193229" w:rsidRPr="007F3D80" w14:paraId="5381C9A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05C5C78"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85 lat i więcej</w:t>
            </w:r>
          </w:p>
        </w:tc>
        <w:tc>
          <w:tcPr>
            <w:tcW w:w="1346" w:type="pct"/>
            <w:shd w:val="clear" w:color="auto" w:fill="auto"/>
          </w:tcPr>
          <w:p w14:paraId="02543E71"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48106</w:t>
            </w:r>
          </w:p>
        </w:tc>
        <w:tc>
          <w:tcPr>
            <w:tcW w:w="1346" w:type="pct"/>
            <w:shd w:val="clear" w:color="auto" w:fill="auto"/>
          </w:tcPr>
          <w:p w14:paraId="74EC162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46498</w:t>
            </w:r>
          </w:p>
        </w:tc>
        <w:tc>
          <w:tcPr>
            <w:tcW w:w="1347" w:type="pct"/>
            <w:shd w:val="clear" w:color="auto" w:fill="auto"/>
          </w:tcPr>
          <w:p w14:paraId="201B546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46384</w:t>
            </w:r>
          </w:p>
        </w:tc>
      </w:tr>
      <w:tr w:rsidR="00193229" w:rsidRPr="007F3D80" w14:paraId="175B7EED" w14:textId="77777777" w:rsidTr="00193229">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52234DB"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Przeciętne dalsze trwanie życia</w:t>
            </w:r>
          </w:p>
        </w:tc>
        <w:tc>
          <w:tcPr>
            <w:tcW w:w="1346" w:type="pct"/>
            <w:shd w:val="clear" w:color="auto" w:fill="auto"/>
          </w:tcPr>
          <w:p w14:paraId="7C5294F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męskiej – 72,3</w:t>
            </w:r>
          </w:p>
          <w:p w14:paraId="0728C42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żeńskiej – 81,1</w:t>
            </w:r>
          </w:p>
          <w:p w14:paraId="41FA0DD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17,8</w:t>
            </w:r>
          </w:p>
          <w:p w14:paraId="30F2E79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60 -23,7</w:t>
            </w:r>
          </w:p>
        </w:tc>
        <w:tc>
          <w:tcPr>
            <w:tcW w:w="1346" w:type="pct"/>
            <w:shd w:val="clear" w:color="auto" w:fill="auto"/>
          </w:tcPr>
          <w:p w14:paraId="71ABAC4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męskiej – 71,3</w:t>
            </w:r>
          </w:p>
          <w:p w14:paraId="61FCF58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żeńskiej – 79,5</w:t>
            </w:r>
          </w:p>
          <w:p w14:paraId="406374A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17,1</w:t>
            </w:r>
          </w:p>
          <w:p w14:paraId="427E671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60 -22,4</w:t>
            </w:r>
          </w:p>
        </w:tc>
        <w:tc>
          <w:tcPr>
            <w:tcW w:w="1347" w:type="pct"/>
            <w:shd w:val="clear" w:color="auto" w:fill="auto"/>
          </w:tcPr>
          <w:p w14:paraId="0645709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Noworodek płci męskiej – </w:t>
            </w:r>
            <w:r w:rsidRPr="00193229">
              <w:rPr>
                <w:rFonts w:ascii="Lato" w:hAnsi="Lato"/>
                <w:sz w:val="18"/>
                <w:szCs w:val="18"/>
              </w:rPr>
              <w:t xml:space="preserve"> </w:t>
            </w:r>
            <w:r w:rsidRPr="00193229">
              <w:rPr>
                <w:rFonts w:ascii="Lato" w:hAnsi="Lato" w:cs="Times New Roman"/>
                <w:color w:val="auto"/>
                <w:sz w:val="18"/>
                <w:szCs w:val="18"/>
              </w:rPr>
              <w:t>73,2</w:t>
            </w:r>
          </w:p>
          <w:p w14:paraId="30FE04A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Noworodek płci żeńskiej –  </w:t>
            </w:r>
            <w:r w:rsidRPr="00193229">
              <w:rPr>
                <w:rFonts w:ascii="Lato" w:hAnsi="Lato"/>
                <w:sz w:val="18"/>
                <w:szCs w:val="18"/>
              </w:rPr>
              <w:t xml:space="preserve"> </w:t>
            </w:r>
            <w:r w:rsidRPr="00193229">
              <w:rPr>
                <w:rFonts w:ascii="Lato" w:hAnsi="Lato" w:cs="Times New Roman"/>
                <w:color w:val="auto"/>
                <w:sz w:val="18"/>
                <w:szCs w:val="18"/>
              </w:rPr>
              <w:t>81,7</w:t>
            </w:r>
          </w:p>
          <w:p w14:paraId="1C05A82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Mężczyzna w wieku 60 lat – </w:t>
            </w:r>
            <w:r w:rsidRPr="00193229">
              <w:rPr>
                <w:rFonts w:ascii="Lato" w:hAnsi="Lato"/>
                <w:sz w:val="18"/>
                <w:szCs w:val="18"/>
              </w:rPr>
              <w:t xml:space="preserve"> </w:t>
            </w:r>
            <w:r w:rsidRPr="00193229">
              <w:rPr>
                <w:rFonts w:ascii="Lato" w:hAnsi="Lato" w:cs="Times New Roman"/>
                <w:color w:val="auto"/>
                <w:sz w:val="18"/>
                <w:szCs w:val="18"/>
              </w:rPr>
              <w:t>18,8</w:t>
            </w:r>
          </w:p>
          <w:p w14:paraId="200FC09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Kobieta w wieku 60 - </w:t>
            </w:r>
            <w:r w:rsidRPr="00193229">
              <w:rPr>
                <w:rFonts w:ascii="Lato" w:hAnsi="Lato"/>
                <w:sz w:val="18"/>
                <w:szCs w:val="18"/>
              </w:rPr>
              <w:t xml:space="preserve"> </w:t>
            </w:r>
            <w:r w:rsidRPr="00193229">
              <w:rPr>
                <w:rFonts w:ascii="Lato" w:hAnsi="Lato" w:cs="Times New Roman"/>
                <w:color w:val="auto"/>
                <w:sz w:val="18"/>
                <w:szCs w:val="18"/>
              </w:rPr>
              <w:t>24,1</w:t>
            </w:r>
          </w:p>
        </w:tc>
      </w:tr>
      <w:tr w:rsidR="00193229" w:rsidRPr="007F3D80" w14:paraId="16CA1042"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C21146E"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feminizacji</w:t>
            </w:r>
          </w:p>
        </w:tc>
        <w:tc>
          <w:tcPr>
            <w:tcW w:w="1346" w:type="pct"/>
            <w:shd w:val="clear" w:color="auto" w:fill="auto"/>
          </w:tcPr>
          <w:p w14:paraId="0C197AA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107</w:t>
            </w:r>
          </w:p>
        </w:tc>
        <w:tc>
          <w:tcPr>
            <w:tcW w:w="1346" w:type="pct"/>
            <w:shd w:val="clear" w:color="auto" w:fill="auto"/>
          </w:tcPr>
          <w:p w14:paraId="488254F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107</w:t>
            </w:r>
          </w:p>
        </w:tc>
        <w:tc>
          <w:tcPr>
            <w:tcW w:w="1347" w:type="pct"/>
            <w:shd w:val="clear" w:color="auto" w:fill="auto"/>
          </w:tcPr>
          <w:p w14:paraId="4B019551"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107</w:t>
            </w:r>
          </w:p>
        </w:tc>
      </w:tr>
      <w:tr w:rsidR="00193229" w:rsidRPr="007F3D80" w14:paraId="58390A74"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0DE608F"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4E2B2AB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29,6</w:t>
            </w:r>
          </w:p>
        </w:tc>
        <w:tc>
          <w:tcPr>
            <w:tcW w:w="1346" w:type="pct"/>
            <w:shd w:val="clear" w:color="auto" w:fill="auto"/>
          </w:tcPr>
          <w:p w14:paraId="69125D0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30,4</w:t>
            </w:r>
          </w:p>
        </w:tc>
        <w:tc>
          <w:tcPr>
            <w:tcW w:w="1347" w:type="pct"/>
            <w:shd w:val="clear" w:color="auto" w:fill="auto"/>
          </w:tcPr>
          <w:p w14:paraId="00870E3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31,5</w:t>
            </w:r>
          </w:p>
        </w:tc>
      </w:tr>
      <w:tr w:rsidR="00193229" w:rsidRPr="007F3D80" w14:paraId="7ABE2B9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F52E002"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zgonów</w:t>
            </w:r>
          </w:p>
        </w:tc>
        <w:tc>
          <w:tcPr>
            <w:tcW w:w="1346" w:type="pct"/>
            <w:shd w:val="clear" w:color="auto" w:fill="auto"/>
          </w:tcPr>
          <w:p w14:paraId="49685FD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13,2</w:t>
            </w:r>
          </w:p>
        </w:tc>
        <w:tc>
          <w:tcPr>
            <w:tcW w:w="1346" w:type="pct"/>
            <w:shd w:val="clear" w:color="auto" w:fill="auto"/>
          </w:tcPr>
          <w:p w14:paraId="44311D3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14,9</w:t>
            </w:r>
          </w:p>
        </w:tc>
        <w:tc>
          <w:tcPr>
            <w:tcW w:w="1347" w:type="pct"/>
            <w:shd w:val="clear" w:color="auto" w:fill="auto"/>
          </w:tcPr>
          <w:p w14:paraId="2B3A6840"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12,3</w:t>
            </w:r>
          </w:p>
        </w:tc>
      </w:tr>
      <w:tr w:rsidR="00193229" w:rsidRPr="007F3D80" w14:paraId="26FBE6C4" w14:textId="77777777" w:rsidTr="00F9568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C9B904E"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lang w:eastAsia="pl-PL"/>
              </w:rPr>
              <w:t>AKTYWNOŚĆ EKONOMICZNA OSÓB STARSZYCH – DANE ZA 2022 R.</w:t>
            </w:r>
            <w:r w:rsidRPr="00193229">
              <w:rPr>
                <w:rFonts w:ascii="Lato" w:hAnsi="Lato" w:cs="Times New Roman"/>
                <w:color w:val="auto"/>
                <w:sz w:val="18"/>
                <w:szCs w:val="18"/>
                <w:vertAlign w:val="superscript"/>
                <w:lang w:eastAsia="pl-PL"/>
              </w:rPr>
              <w:t>1)</w:t>
            </w:r>
          </w:p>
        </w:tc>
      </w:tr>
      <w:tr w:rsidR="00193229" w:rsidRPr="007F3D80" w14:paraId="62FDB26F"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28D0AC5F"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Podział</w:t>
            </w:r>
          </w:p>
        </w:tc>
        <w:tc>
          <w:tcPr>
            <w:tcW w:w="2693" w:type="pct"/>
            <w:gridSpan w:val="2"/>
            <w:shd w:val="clear" w:color="auto" w:fill="auto"/>
          </w:tcPr>
          <w:p w14:paraId="687170B5"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Liczba</w:t>
            </w:r>
          </w:p>
        </w:tc>
      </w:tr>
      <w:tr w:rsidR="00193229" w:rsidRPr="007F3D80" w14:paraId="4DCB3155"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9B32EA1"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aktywne zawodowo razem (w tys.)</w:t>
            </w:r>
          </w:p>
        </w:tc>
        <w:tc>
          <w:tcPr>
            <w:tcW w:w="1346" w:type="pct"/>
            <w:shd w:val="clear" w:color="auto" w:fill="auto"/>
          </w:tcPr>
          <w:p w14:paraId="2A10BC5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5F15437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937</w:t>
            </w:r>
          </w:p>
        </w:tc>
      </w:tr>
      <w:tr w:rsidR="00193229" w:rsidRPr="007F3D80" w14:paraId="4F549929"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7306DB0"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67ECAA50"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7D4EB3C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78</w:t>
            </w:r>
          </w:p>
        </w:tc>
      </w:tr>
      <w:tr w:rsidR="00193229" w:rsidRPr="007F3D80" w14:paraId="361F4A7A"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B84A411"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 xml:space="preserve">Osoby aktywne zawodowo </w:t>
            </w:r>
            <w:r w:rsidRPr="00193229">
              <w:rPr>
                <w:rFonts w:ascii="Lato" w:hAnsi="Lato" w:cs="Times New Roman"/>
                <w:color w:val="auto"/>
                <w:sz w:val="18"/>
                <w:szCs w:val="18"/>
                <w:lang w:eastAsia="pl-PL"/>
              </w:rPr>
              <w:br/>
              <w:t>– pracujący (w tys.)</w:t>
            </w:r>
          </w:p>
        </w:tc>
        <w:tc>
          <w:tcPr>
            <w:tcW w:w="1346" w:type="pct"/>
            <w:shd w:val="clear" w:color="auto" w:fill="auto"/>
          </w:tcPr>
          <w:p w14:paraId="2A9708C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7F3883A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893</w:t>
            </w:r>
          </w:p>
        </w:tc>
      </w:tr>
      <w:tr w:rsidR="00193229" w:rsidRPr="007F3D80" w14:paraId="51593178"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978F5C5"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6079836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30B2AB0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76</w:t>
            </w:r>
          </w:p>
        </w:tc>
      </w:tr>
      <w:tr w:rsidR="00193229" w:rsidRPr="007F3D80" w14:paraId="32E47A89"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5CBAC52"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bierne zawodowo (w tys.)</w:t>
            </w:r>
          </w:p>
        </w:tc>
        <w:tc>
          <w:tcPr>
            <w:tcW w:w="1346" w:type="pct"/>
            <w:shd w:val="clear" w:color="auto" w:fill="auto"/>
          </w:tcPr>
          <w:p w14:paraId="519EBCE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51C2A29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691</w:t>
            </w:r>
          </w:p>
        </w:tc>
      </w:tr>
      <w:tr w:rsidR="00193229" w:rsidRPr="007F3D80" w14:paraId="3D5A025D"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23DA108"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1157596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5F0E297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432</w:t>
            </w:r>
          </w:p>
        </w:tc>
      </w:tr>
      <w:tr w:rsidR="00193229" w:rsidRPr="007F3D80" w14:paraId="191FCE8F"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11989D8"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aktywności zawodowej %</w:t>
            </w:r>
          </w:p>
        </w:tc>
        <w:tc>
          <w:tcPr>
            <w:tcW w:w="1346" w:type="pct"/>
            <w:shd w:val="clear" w:color="auto" w:fill="auto"/>
          </w:tcPr>
          <w:p w14:paraId="0BC9F81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5E3E5A6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57,6</w:t>
            </w:r>
          </w:p>
        </w:tc>
      </w:tr>
      <w:tr w:rsidR="00193229" w:rsidRPr="007F3D80" w14:paraId="56BE4A18"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443F7F2"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6E8C015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0C1D2FC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15,3</w:t>
            </w:r>
          </w:p>
        </w:tc>
      </w:tr>
      <w:tr w:rsidR="00193229" w:rsidRPr="007F3D80" w14:paraId="64D2F115" w14:textId="77777777" w:rsidTr="0019322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D2D5707"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Wskaźnik zatrudnienia %</w:t>
            </w:r>
          </w:p>
        </w:tc>
        <w:tc>
          <w:tcPr>
            <w:tcW w:w="1346" w:type="pct"/>
            <w:shd w:val="clear" w:color="auto" w:fill="auto"/>
          </w:tcPr>
          <w:p w14:paraId="2F709F5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0E9E2A8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57,6</w:t>
            </w:r>
          </w:p>
        </w:tc>
      </w:tr>
      <w:tr w:rsidR="00193229" w:rsidRPr="007F3D80" w14:paraId="57458899"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B77A3A0"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07CCE14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59EC3F4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15,3</w:t>
            </w:r>
          </w:p>
        </w:tc>
      </w:tr>
      <w:tr w:rsidR="00193229" w:rsidRPr="007F3D80" w14:paraId="3D03747D" w14:textId="77777777" w:rsidTr="0019322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19639B0" w14:textId="77777777" w:rsidR="00193229" w:rsidRPr="00193229" w:rsidRDefault="00193229" w:rsidP="00CA4EC0">
            <w:pPr>
              <w:rPr>
                <w:rFonts w:ascii="Lato" w:hAnsi="Lato" w:cs="Times New Roman"/>
                <w:b w:val="0"/>
                <w:color w:val="auto"/>
                <w:sz w:val="18"/>
                <w:szCs w:val="18"/>
                <w:lang w:eastAsia="pl-PL"/>
              </w:rPr>
            </w:pPr>
            <w:r w:rsidRPr="00193229">
              <w:rPr>
                <w:rFonts w:ascii="Lato" w:eastAsia="Times New Roman" w:hAnsi="Lato" w:cs="Times New Roman"/>
                <w:color w:val="auto"/>
                <w:sz w:val="18"/>
                <w:szCs w:val="18"/>
                <w:lang w:eastAsia="pl-PL"/>
              </w:rPr>
              <w:t xml:space="preserve">Osoby bierne zawodowo  w wieku 60-74 lata według wybranych przyczyn bierności (w tys.) </w:t>
            </w:r>
          </w:p>
        </w:tc>
        <w:tc>
          <w:tcPr>
            <w:tcW w:w="1346" w:type="pct"/>
            <w:shd w:val="clear" w:color="auto" w:fill="auto"/>
          </w:tcPr>
          <w:p w14:paraId="1B2FE23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17052FB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308</w:t>
            </w:r>
          </w:p>
        </w:tc>
      </w:tr>
      <w:tr w:rsidR="00193229" w:rsidRPr="007F3D80" w14:paraId="0B3C3EF5"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898BB6C"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265AFA2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w:t>
            </w:r>
          </w:p>
        </w:tc>
      </w:tr>
      <w:tr w:rsidR="00193229" w:rsidRPr="007F3D80" w14:paraId="08DAE3FA"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147EFBC"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FC4B1A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193229">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17E0098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308</w:t>
            </w:r>
          </w:p>
        </w:tc>
      </w:tr>
      <w:tr w:rsidR="00193229" w:rsidRPr="007F3D80" w14:paraId="49F01B44"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068B66D"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C2B4DC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0454F2B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279</w:t>
            </w:r>
          </w:p>
        </w:tc>
      </w:tr>
      <w:tr w:rsidR="00193229" w:rsidRPr="007F3D80" w14:paraId="3D9058F5"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B52CFCE"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2FACBF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7A70343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w:t>
            </w:r>
          </w:p>
        </w:tc>
      </w:tr>
      <w:tr w:rsidR="00193229" w:rsidRPr="007F3D80" w14:paraId="1A00BB37" w14:textId="77777777" w:rsidTr="0019322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5B1785B"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bezrobotne zarejestrowane w urzędach pracy (w tys.) </w:t>
            </w:r>
            <w:r w:rsidRPr="00193229">
              <w:rPr>
                <w:rFonts w:ascii="Lato" w:eastAsia="Times New Roman" w:hAnsi="Lato" w:cs="Times New Roman"/>
                <w:color w:val="auto"/>
                <w:sz w:val="18"/>
                <w:szCs w:val="18"/>
                <w:vertAlign w:val="superscript"/>
                <w:lang w:eastAsia="pl-PL"/>
              </w:rPr>
              <w:t>2)</w:t>
            </w:r>
          </w:p>
        </w:tc>
        <w:tc>
          <w:tcPr>
            <w:tcW w:w="1346" w:type="pct"/>
            <w:shd w:val="clear" w:color="auto" w:fill="auto"/>
          </w:tcPr>
          <w:p w14:paraId="6463349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4CE5768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61,3</w:t>
            </w:r>
          </w:p>
        </w:tc>
      </w:tr>
      <w:tr w:rsidR="00193229" w:rsidRPr="007F3D80" w14:paraId="7D42740A"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91AD9DD"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624C58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60-64 lata</w:t>
            </w:r>
          </w:p>
        </w:tc>
        <w:tc>
          <w:tcPr>
            <w:tcW w:w="2693" w:type="pct"/>
            <w:gridSpan w:val="2"/>
            <w:shd w:val="clear" w:color="auto" w:fill="auto"/>
          </w:tcPr>
          <w:p w14:paraId="4BBBC35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3,6</w:t>
            </w:r>
          </w:p>
        </w:tc>
      </w:tr>
      <w:tr w:rsidR="00193229" w:rsidRPr="007F3D80" w14:paraId="0F7BD607" w14:textId="77777777" w:rsidTr="0019322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96A98BE"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pobierające renty </w:t>
            </w:r>
            <w:r w:rsidRPr="00193229">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0972ADA2" w14:textId="77777777" w:rsidR="00193229" w:rsidRPr="00193229" w:rsidRDefault="0019322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ZUS</w:t>
            </w:r>
          </w:p>
        </w:tc>
      </w:tr>
      <w:tr w:rsidR="00193229" w:rsidRPr="007F3D80" w14:paraId="7990EB8E" w14:textId="77777777" w:rsidTr="0019322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CCE8A89"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AA561E4"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75A9438A"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7F3D80" w14:paraId="28109712" w14:textId="77777777" w:rsidTr="0019322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7A9B27A"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430D0F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6FCD0A4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302,5</w:t>
            </w:r>
          </w:p>
        </w:tc>
      </w:tr>
      <w:tr w:rsidR="00193229" w:rsidRPr="007F3D80" w14:paraId="1041A257" w14:textId="77777777" w:rsidTr="0019322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F804D75"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82832A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592C36D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35,8</w:t>
            </w:r>
          </w:p>
        </w:tc>
      </w:tr>
      <w:tr w:rsidR="00193229" w:rsidRPr="007F3D80" w14:paraId="55AFDFF8"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0FDA638"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DDE782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3AB53B4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52,7</w:t>
            </w:r>
          </w:p>
        </w:tc>
      </w:tr>
      <w:tr w:rsidR="00193229" w:rsidRPr="007F3D80" w14:paraId="67A0787F"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7300A61"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690B0A8B" w14:textId="77777777" w:rsidR="00193229" w:rsidRPr="00193229" w:rsidRDefault="0019322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KRUS</w:t>
            </w:r>
          </w:p>
        </w:tc>
      </w:tr>
      <w:tr w:rsidR="00193229" w:rsidRPr="007F3D80" w14:paraId="610B6CB0" w14:textId="77777777" w:rsidTr="0019322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23B7F99"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F9AD3CC"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41BBE9F6"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7F3D80" w14:paraId="380CFE26"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E55927A"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3E1137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6CB35D3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99,1</w:t>
            </w:r>
          </w:p>
        </w:tc>
      </w:tr>
      <w:tr w:rsidR="00193229" w:rsidRPr="007F3D80" w14:paraId="788B457A" w14:textId="77777777" w:rsidTr="0019322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57EBD90"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A3B1B4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58921DB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23,0</w:t>
            </w:r>
          </w:p>
        </w:tc>
      </w:tr>
      <w:tr w:rsidR="00193229" w:rsidRPr="007F3D80" w14:paraId="6966AD70"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1F5628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DD12BE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2C8E47D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5,1</w:t>
            </w:r>
          </w:p>
        </w:tc>
      </w:tr>
      <w:tr w:rsidR="00193229" w:rsidRPr="007F3D80" w14:paraId="00E27235" w14:textId="77777777" w:rsidTr="00F95680">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23189395"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 xml:space="preserve">SYTUACJA DOCHODOWA, WARUNKI BYTU, W TYM WARUNKI MIESZKANIOWE – DANE ZA 2022 R. </w:t>
            </w:r>
          </w:p>
        </w:tc>
      </w:tr>
      <w:tr w:rsidR="00193229" w:rsidRPr="007F3D80" w14:paraId="5C729623"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D1291DC" w14:textId="2D696CA5" w:rsidR="00193229" w:rsidRPr="00193229" w:rsidRDefault="00193229" w:rsidP="00F95680">
            <w:pPr>
              <w:jc w:val="both"/>
              <w:rPr>
                <w:rFonts w:ascii="Lato" w:hAnsi="Lato" w:cs="Times New Roman"/>
                <w:b w:val="0"/>
                <w:color w:val="auto"/>
                <w:sz w:val="18"/>
                <w:szCs w:val="18"/>
              </w:rPr>
            </w:pPr>
            <w:r w:rsidRPr="00193229">
              <w:rPr>
                <w:rFonts w:ascii="Lato" w:hAnsi="Lato" w:cs="Times New Roman"/>
                <w:b w:val="0"/>
                <w:color w:val="auto"/>
                <w:sz w:val="18"/>
                <w:szCs w:val="18"/>
              </w:rPr>
              <w:t>W 2022 r. w województwie lubelskim przeciętny miesięczny dochód rozporządzalny przypadający na 1 osobę w gospodarstwach domowych wyniósł 2088,43 zł. Na dochód rozporządzalny gospodarstwa domowego składają się przede wszystkim dochody z pracy najemnej oraz dochody ze świadczeń społecznych. W 2022 r. ich udział w dochodzie rozporządzalnym wyniósł odpowiednio 49,3% i 34,5%. W 2022 r. przeciętne miesięczne wydatki na 1 osobę w gospodarstwach domowych wyniosły 1399,56 zł.  Na żywność i napoje bezalkoholowe gospodarstwa domowe przeznaczały przeciętnie 27,0% ogólnej kwoty wydatków, na opłaty z tytułu użytkowania mieszkania lub domu i za korzystanie z nośników energii - 17,0%, a na zdrowie – 5,3%.</w:t>
            </w:r>
            <w:r w:rsidR="00F95680">
              <w:rPr>
                <w:rFonts w:ascii="Lato" w:hAnsi="Lato" w:cs="Times New Roman"/>
                <w:b w:val="0"/>
                <w:color w:val="auto"/>
                <w:sz w:val="18"/>
                <w:szCs w:val="18"/>
              </w:rPr>
              <w:t xml:space="preserve"> </w:t>
            </w:r>
            <w:r w:rsidRPr="00193229">
              <w:rPr>
                <w:rFonts w:ascii="Lato" w:hAnsi="Lato" w:cs="Times New Roman"/>
                <w:b w:val="0"/>
                <w:color w:val="auto"/>
                <w:sz w:val="18"/>
                <w:szCs w:val="18"/>
              </w:rPr>
              <w:t>W 2022 r. swoją sytuację materialną jako dobrą lub raczej dobrą oceniło 43,2% gospodarstw domowych. Udział gospodarstw określających swoją sytuację materialną jako przeciętną wyniósł 49,7%, a raczej złą lub złą ukształtował się na poziomie 7,1%.</w:t>
            </w:r>
            <w:r w:rsidR="00F95680">
              <w:rPr>
                <w:rFonts w:ascii="Lato" w:hAnsi="Lato" w:cs="Times New Roman"/>
                <w:b w:val="0"/>
                <w:color w:val="auto"/>
                <w:sz w:val="18"/>
                <w:szCs w:val="18"/>
              </w:rPr>
              <w:t xml:space="preserve"> </w:t>
            </w:r>
            <w:r w:rsidRPr="00193229">
              <w:rPr>
                <w:rFonts w:ascii="Lato" w:hAnsi="Lato" w:cs="Times New Roman"/>
                <w:b w:val="0"/>
                <w:color w:val="auto"/>
                <w:sz w:val="18"/>
                <w:szCs w:val="18"/>
              </w:rPr>
              <w:t>W analizowanym roku przeciętna liczba osób w gospodarstwie domowym ukształtowała się na poziomie 2,60. Przeciętna powierzchnia użytkowa mieszkania zajmowana przez gospodarstwo domowe wyniosła 96,3 m</w:t>
            </w:r>
            <w:r w:rsidRPr="00193229">
              <w:rPr>
                <w:rFonts w:ascii="Lato" w:hAnsi="Lato" w:cs="Times New Roman"/>
                <w:b w:val="0"/>
                <w:color w:val="auto"/>
                <w:sz w:val="18"/>
                <w:szCs w:val="18"/>
                <w:vertAlign w:val="superscript"/>
              </w:rPr>
              <w:t>2</w:t>
            </w:r>
            <w:r w:rsidRPr="00193229">
              <w:rPr>
                <w:rFonts w:ascii="Lato" w:hAnsi="Lato" w:cs="Times New Roman"/>
                <w:b w:val="0"/>
                <w:color w:val="auto"/>
                <w:sz w:val="18"/>
                <w:szCs w:val="18"/>
              </w:rPr>
              <w:t>.</w:t>
            </w:r>
            <w:r w:rsidRPr="00193229">
              <w:rPr>
                <w:rFonts w:ascii="Lato" w:hAnsi="Lato" w:cs="Times New Roman"/>
                <w:b w:val="0"/>
                <w:color w:val="auto"/>
                <w:sz w:val="18"/>
                <w:szCs w:val="18"/>
              </w:rPr>
              <w:tab/>
            </w:r>
          </w:p>
        </w:tc>
      </w:tr>
    </w:tbl>
    <w:p w14:paraId="64DC4AD7"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722FFD4F"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3615AC6C"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7F0F38C9" w14:textId="68A33F4A" w:rsidR="00193229" w:rsidRPr="00193229" w:rsidRDefault="00193229" w:rsidP="00450EAC">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0A4434E" w14:textId="1C1493C5" w:rsidR="002C3705" w:rsidRPr="002B0821" w:rsidRDefault="00586D97" w:rsidP="00B73AF7">
      <w:pPr>
        <w:pStyle w:val="Nagwek2"/>
        <w:numPr>
          <w:ilvl w:val="1"/>
          <w:numId w:val="44"/>
        </w:numPr>
        <w:rPr>
          <w:b/>
          <w:bCs/>
        </w:rPr>
      </w:pPr>
      <w:bookmarkStart w:id="140" w:name="_Toc142565951"/>
      <w:r w:rsidRPr="002B0821">
        <w:rPr>
          <w:b/>
          <w:bCs/>
        </w:rPr>
        <w:t>Województwo lubuskie</w:t>
      </w:r>
      <w:bookmarkEnd w:id="140"/>
    </w:p>
    <w:p w14:paraId="6A197DBD" w14:textId="4A7637E5" w:rsidR="002C3705" w:rsidRPr="002C3705" w:rsidRDefault="002C3705" w:rsidP="002C3705">
      <w:pPr>
        <w:widowControl w:val="0"/>
        <w:spacing w:after="0" w:line="240" w:lineRule="auto"/>
        <w:jc w:val="both"/>
        <w:rPr>
          <w:rFonts w:ascii="Lato" w:eastAsia="Century Gothic" w:hAnsi="Lato" w:cs="Century Gothic"/>
          <w:sz w:val="20"/>
          <w:szCs w:val="20"/>
        </w:rPr>
      </w:pPr>
      <w:r w:rsidRPr="002C3705">
        <w:rPr>
          <w:rFonts w:ascii="Lato" w:eastAsia="Century Gothic" w:hAnsi="Lato" w:cs="Century Gothic"/>
          <w:sz w:val="20"/>
          <w:szCs w:val="20"/>
        </w:rPr>
        <w:t>„</w:t>
      </w:r>
      <w:r w:rsidRPr="002C3705">
        <w:rPr>
          <w:rFonts w:ascii="Lato" w:eastAsia="Century Gothic" w:hAnsi="Lato" w:cs="Century Gothic"/>
          <w:b/>
          <w:bCs/>
          <w:sz w:val="20"/>
          <w:szCs w:val="20"/>
        </w:rPr>
        <w:t>Wojewódzki Plan Transformacji województwa lubuskiego na lata 2022-2026 - Obwieszczenie Wojewody Lubuskiego z 21 grudnia 2021 r</w:t>
      </w:r>
      <w:r w:rsidRPr="002C3705">
        <w:rPr>
          <w:rFonts w:ascii="Lato" w:eastAsia="Century Gothic" w:hAnsi="Lato" w:cs="Century Gothic"/>
          <w:sz w:val="20"/>
          <w:szCs w:val="20"/>
        </w:rPr>
        <w:t>.</w:t>
      </w:r>
      <w:r>
        <w:rPr>
          <w:rFonts w:ascii="Lato" w:eastAsia="Century Gothic" w:hAnsi="Lato" w:cs="Century Gothic"/>
          <w:sz w:val="20"/>
          <w:szCs w:val="20"/>
        </w:rPr>
        <w:t xml:space="preserve"> obejmuje</w:t>
      </w:r>
      <w:r w:rsidRPr="002C3705">
        <w:rPr>
          <w:rFonts w:ascii="Lato" w:eastAsia="Century Gothic" w:hAnsi="Lato" w:cs="Century Gothic"/>
          <w:sz w:val="20"/>
          <w:szCs w:val="20"/>
        </w:rPr>
        <w:t xml:space="preserve"> m.in.:</w:t>
      </w:r>
    </w:p>
    <w:p w14:paraId="3801A67F" w14:textId="77777777" w:rsid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sz w:val="20"/>
          <w:szCs w:val="20"/>
        </w:rPr>
        <w:t>Opracowanie i wdrożenie programów zdrowotnych i programów polityki zdrowotnej ukierunkowanych na czynniki ryzyka chorobowego i rozpoznane potrzeby zdrowotne, głównie: (…) program „ Zdrowy kręgosłup” dla osób 65+;</w:t>
      </w:r>
    </w:p>
    <w:p w14:paraId="671FDFE3"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 xml:space="preserve">Utworzenie poradni geriatrycznych równomiernie rozmieszczonych na terenie województwa w podmiotach z odpowiednim potencjałem kadrowym; </w:t>
      </w:r>
    </w:p>
    <w:p w14:paraId="0748F69F"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 xml:space="preserve">Utworzenie Ośrodka Geriatrii przy szpitalu w Torzymiu w zakresie kompleksowej opieki nad osobami starszymi, diagnostyki, oddział/pododdział geriatrii (25 -30 łóżek), poradnia geriatryczna, rehabilitacja geriatryczna, opieka długoterminowa (30-35 łóżek), przyszpitalne formy opieki dziennej (10-15 miejsc) i środowiskowej, poradnictwo dla opiekunów osób starszych oraz wprowadzenie programu całodobowej </w:t>
      </w:r>
      <w:proofErr w:type="spellStart"/>
      <w:r w:rsidRPr="002C3705">
        <w:rPr>
          <w:rFonts w:ascii="Lato" w:hAnsi="Lato" w:cstheme="minorHAnsi"/>
          <w:sz w:val="20"/>
          <w:szCs w:val="20"/>
        </w:rPr>
        <w:t>pozaszpitalnej</w:t>
      </w:r>
      <w:proofErr w:type="spellEnd"/>
      <w:r w:rsidRPr="002C3705">
        <w:rPr>
          <w:rFonts w:ascii="Lato" w:hAnsi="Lato" w:cstheme="minorHAnsi"/>
          <w:sz w:val="20"/>
          <w:szCs w:val="20"/>
        </w:rPr>
        <w:t xml:space="preserve"> opieki;</w:t>
      </w:r>
    </w:p>
    <w:p w14:paraId="4355789F"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Centralizacja oddziałów szpitalnych w Szpitalu na Wyspie w Żarach poprzez rozbudowę infrastruktury na potrzeby geriatrii (z 23 do 29 łóżek), interny (z 27 do 30 łóżek), rehabilitacji, centralnej izby przyjęć. Zwiększenie liczby łóżek geriatrycznych (sale bez barier architektonicznych);</w:t>
      </w:r>
    </w:p>
    <w:p w14:paraId="28A9FBE9"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Realizacja programów polityki zdrowotnej i programów zdrowotnych w celu objęcia regularną rehabilitacją osób w wieku geriatrycznym. Kontrola wydolności fizycznej osób na określonym terenie. Objęcie opieką rehabilitacyjną osób na danym terenie poprzez regularne zapraszanie na zajęcia po identyfikacji deficytów;</w:t>
      </w:r>
    </w:p>
    <w:p w14:paraId="36D542AC"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Opracowanie wojewódzkiego programu kompleksowej opieki nad osobą starszą (także nieformalnej);</w:t>
      </w:r>
    </w:p>
    <w:p w14:paraId="0D8D4529" w14:textId="77777777"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Motywowanie pomocy sąsiedzkiej niesprawnym i starszym osobom oraz wsparcie finansowe wolontariuszy (ochotników) zarejestrowanych przez pomoc społeczną (a wcześniej zaakceptowanych) zabezpieczające socjalnie i pozwalające opiekunom godzić pracę zawodową ze sprawowaniem opieki.</w:t>
      </w:r>
    </w:p>
    <w:p w14:paraId="687CB08F" w14:textId="56A4DBB3" w:rsidR="002C3705" w:rsidRPr="002C3705" w:rsidRDefault="002C3705" w:rsidP="00B73AF7">
      <w:pPr>
        <w:pStyle w:val="Akapitzlist"/>
        <w:numPr>
          <w:ilvl w:val="0"/>
          <w:numId w:val="58"/>
        </w:numPr>
        <w:spacing w:after="0" w:line="240" w:lineRule="auto"/>
        <w:jc w:val="both"/>
        <w:rPr>
          <w:rFonts w:ascii="Lato" w:hAnsi="Lato"/>
          <w:sz w:val="20"/>
          <w:szCs w:val="20"/>
        </w:rPr>
      </w:pPr>
      <w:r w:rsidRPr="002C3705">
        <w:rPr>
          <w:rFonts w:ascii="Lato" w:hAnsi="Lato" w:cstheme="minorHAnsi"/>
          <w:sz w:val="20"/>
          <w:szCs w:val="20"/>
        </w:rPr>
        <w:t>Opracowanie i realizacja programu polityki zdrowotnej mającego na celu wsparcie psychologiczne opiekunów osób starszych i niepełnosprawnych.</w:t>
      </w:r>
    </w:p>
    <w:p w14:paraId="762724BB" w14:textId="77777777" w:rsidR="002C3705" w:rsidRPr="002C3705" w:rsidRDefault="002C3705" w:rsidP="002C3705">
      <w:pPr>
        <w:spacing w:after="0" w:line="240" w:lineRule="auto"/>
        <w:jc w:val="both"/>
        <w:rPr>
          <w:rFonts w:ascii="Lato" w:hAnsi="Lato"/>
          <w:sz w:val="20"/>
          <w:szCs w:val="20"/>
        </w:rPr>
      </w:pPr>
    </w:p>
    <w:p w14:paraId="03DA2858" w14:textId="77777777" w:rsidR="004E0068" w:rsidRDefault="002C3705" w:rsidP="004E0068">
      <w:pPr>
        <w:widowControl w:val="0"/>
        <w:spacing w:after="0" w:line="240" w:lineRule="auto"/>
        <w:jc w:val="both"/>
        <w:rPr>
          <w:rFonts w:ascii="Lato" w:hAnsi="Lato"/>
          <w:b/>
          <w:color w:val="FF0000"/>
          <w:sz w:val="20"/>
          <w:szCs w:val="20"/>
        </w:rPr>
      </w:pPr>
      <w:r w:rsidRPr="002C3705">
        <w:rPr>
          <w:rFonts w:ascii="Lato" w:eastAsia="Century Gothic" w:hAnsi="Lato" w:cs="Century Gothic"/>
          <w:b/>
          <w:sz w:val="20"/>
          <w:szCs w:val="20"/>
        </w:rPr>
        <w:t xml:space="preserve">Regionalny Ośrodek Polityki Społecznej </w:t>
      </w:r>
      <w:r w:rsidRPr="002C3705">
        <w:rPr>
          <w:rFonts w:ascii="Lato" w:eastAsia="Century Gothic" w:hAnsi="Lato" w:cs="Century Gothic"/>
          <w:sz w:val="20"/>
          <w:szCs w:val="20"/>
        </w:rPr>
        <w:t xml:space="preserve">opracował „Wojewódzki Program na rzecz Osób Starszych”, </w:t>
      </w:r>
      <w:r>
        <w:rPr>
          <w:rFonts w:ascii="Lato" w:eastAsia="Century Gothic" w:hAnsi="Lato" w:cs="Century Gothic"/>
          <w:sz w:val="20"/>
          <w:szCs w:val="20"/>
        </w:rPr>
        <w:t>opracowany przez Regionalny Ośrodek Polityki Społecznej</w:t>
      </w:r>
      <w:r w:rsidRPr="002C3705">
        <w:rPr>
          <w:rFonts w:ascii="Lato" w:eastAsia="Century Gothic" w:hAnsi="Lato" w:cs="Century Gothic"/>
          <w:sz w:val="20"/>
          <w:szCs w:val="20"/>
        </w:rPr>
        <w:t xml:space="preserve"> obowiązuje od 2018 r. </w:t>
      </w:r>
      <w:r w:rsidR="004E0068">
        <w:rPr>
          <w:rFonts w:ascii="Lato" w:eastAsia="Century Gothic" w:hAnsi="Lato" w:cs="Century Gothic"/>
          <w:sz w:val="20"/>
          <w:szCs w:val="20"/>
        </w:rPr>
        <w:t xml:space="preserve">i zakłada realizację </w:t>
      </w:r>
      <w:r w:rsidR="004E0068">
        <w:rPr>
          <w:rFonts w:ascii="Lato" w:eastAsia="Century Gothic" w:hAnsi="Lato" w:cs="Century Gothic"/>
          <w:sz w:val="20"/>
          <w:szCs w:val="20"/>
        </w:rPr>
        <w:lastRenderedPageBreak/>
        <w:t>licznych programów dotyczących:</w:t>
      </w:r>
    </w:p>
    <w:p w14:paraId="7B255709" w14:textId="77777777" w:rsidR="004E0068" w:rsidRPr="004E0068" w:rsidRDefault="002C3705" w:rsidP="00B73AF7">
      <w:pPr>
        <w:pStyle w:val="Akapitzlist"/>
        <w:widowControl w:val="0"/>
        <w:numPr>
          <w:ilvl w:val="0"/>
          <w:numId w:val="59"/>
        </w:numPr>
        <w:spacing w:after="0" w:line="240" w:lineRule="auto"/>
        <w:jc w:val="both"/>
        <w:rPr>
          <w:rFonts w:ascii="Lato" w:hAnsi="Lato"/>
          <w:b/>
          <w:color w:val="FF0000"/>
          <w:sz w:val="20"/>
          <w:szCs w:val="20"/>
        </w:rPr>
      </w:pPr>
      <w:r w:rsidRPr="004E0068">
        <w:rPr>
          <w:rFonts w:ascii="Lato" w:eastAsia="Century Gothic" w:hAnsi="Lato" w:cs="Century Gothic"/>
          <w:sz w:val="20"/>
          <w:szCs w:val="20"/>
        </w:rPr>
        <w:t>Poprawy jakości i dostępności usług medycznych.</w:t>
      </w:r>
    </w:p>
    <w:p w14:paraId="46A84389" w14:textId="77777777" w:rsidR="004E0068" w:rsidRPr="004E0068" w:rsidRDefault="002C3705" w:rsidP="00B73AF7">
      <w:pPr>
        <w:pStyle w:val="Akapitzlist"/>
        <w:widowControl w:val="0"/>
        <w:numPr>
          <w:ilvl w:val="0"/>
          <w:numId w:val="59"/>
        </w:numPr>
        <w:spacing w:after="0" w:line="240" w:lineRule="auto"/>
        <w:jc w:val="both"/>
        <w:rPr>
          <w:rFonts w:ascii="Lato" w:hAnsi="Lato"/>
          <w:b/>
          <w:color w:val="FF0000"/>
          <w:sz w:val="20"/>
          <w:szCs w:val="20"/>
        </w:rPr>
      </w:pPr>
      <w:r w:rsidRPr="004E0068">
        <w:rPr>
          <w:rFonts w:ascii="Lato" w:eastAsia="Century Gothic" w:hAnsi="Lato" w:cs="Century Gothic"/>
          <w:sz w:val="20"/>
          <w:szCs w:val="20"/>
        </w:rPr>
        <w:t>Przeciwdziałania wykluczeniu społecznemu osób starszych i ich rodzin.</w:t>
      </w:r>
    </w:p>
    <w:p w14:paraId="6246992E" w14:textId="77777777" w:rsidR="004E0068" w:rsidRPr="004E0068" w:rsidRDefault="002C3705" w:rsidP="00B73AF7">
      <w:pPr>
        <w:pStyle w:val="Akapitzlist"/>
        <w:widowControl w:val="0"/>
        <w:numPr>
          <w:ilvl w:val="0"/>
          <w:numId w:val="59"/>
        </w:numPr>
        <w:spacing w:after="0" w:line="240" w:lineRule="auto"/>
        <w:jc w:val="both"/>
        <w:rPr>
          <w:rFonts w:ascii="Lato" w:hAnsi="Lato"/>
          <w:b/>
          <w:color w:val="FF0000"/>
          <w:sz w:val="20"/>
          <w:szCs w:val="20"/>
        </w:rPr>
      </w:pPr>
      <w:r w:rsidRPr="004E0068">
        <w:rPr>
          <w:rFonts w:ascii="Lato" w:eastAsia="Century Gothic" w:hAnsi="Lato" w:cs="Century Gothic"/>
          <w:sz w:val="20"/>
          <w:szCs w:val="20"/>
        </w:rPr>
        <w:t>Rozwoju aktywności społecznej, kulturalnej i edukacyjnej osób starszych oraz przeciwdziałania izolacji społecznej.</w:t>
      </w:r>
    </w:p>
    <w:p w14:paraId="566117BC" w14:textId="77777777" w:rsidR="004E0068" w:rsidRPr="004E0068" w:rsidRDefault="002C3705" w:rsidP="00B73AF7">
      <w:pPr>
        <w:pStyle w:val="Akapitzlist"/>
        <w:widowControl w:val="0"/>
        <w:numPr>
          <w:ilvl w:val="0"/>
          <w:numId w:val="59"/>
        </w:numPr>
        <w:spacing w:after="0" w:line="240" w:lineRule="auto"/>
        <w:jc w:val="both"/>
        <w:rPr>
          <w:rFonts w:ascii="Lato" w:hAnsi="Lato"/>
          <w:b/>
          <w:color w:val="FF0000"/>
          <w:sz w:val="20"/>
          <w:szCs w:val="20"/>
        </w:rPr>
      </w:pPr>
      <w:r w:rsidRPr="004E0068">
        <w:rPr>
          <w:rFonts w:ascii="Lato" w:eastAsia="Century Gothic" w:hAnsi="Lato" w:cs="Century Gothic"/>
          <w:sz w:val="20"/>
          <w:szCs w:val="20"/>
        </w:rPr>
        <w:t>Wzrostu aktywności zawodowej osób starszych.</w:t>
      </w:r>
    </w:p>
    <w:p w14:paraId="4D9909FC" w14:textId="1C544A36" w:rsidR="002C3705" w:rsidRPr="004E0068" w:rsidRDefault="002C3705" w:rsidP="00B73AF7">
      <w:pPr>
        <w:pStyle w:val="Akapitzlist"/>
        <w:widowControl w:val="0"/>
        <w:numPr>
          <w:ilvl w:val="0"/>
          <w:numId w:val="59"/>
        </w:numPr>
        <w:spacing w:after="0" w:line="240" w:lineRule="auto"/>
        <w:jc w:val="both"/>
        <w:rPr>
          <w:rStyle w:val="Hipercze"/>
          <w:rFonts w:ascii="Lato" w:hAnsi="Lato"/>
          <w:b/>
          <w:color w:val="FF0000"/>
          <w:sz w:val="20"/>
          <w:szCs w:val="20"/>
          <w:u w:val="none"/>
        </w:rPr>
      </w:pPr>
      <w:r w:rsidRPr="004E0068">
        <w:rPr>
          <w:rFonts w:ascii="Lato" w:eastAsia="Century Gothic" w:hAnsi="Lato" w:cs="Century Gothic"/>
          <w:sz w:val="20"/>
          <w:szCs w:val="20"/>
        </w:rPr>
        <w:t>Zapobiegania przemocy i dyskryminacji wobec osób starszych.</w:t>
      </w:r>
    </w:p>
    <w:p w14:paraId="0320F892" w14:textId="77777777" w:rsidR="002C3705" w:rsidRPr="002C3705"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b/>
          <w:sz w:val="20"/>
          <w:szCs w:val="20"/>
        </w:rPr>
        <w:t>Samorząd Województwa Lubuskiego</w:t>
      </w:r>
      <w:r w:rsidRPr="002C3705">
        <w:rPr>
          <w:rFonts w:ascii="Lato" w:eastAsia="Century Gothic" w:hAnsi="Lato" w:cs="Century Gothic"/>
          <w:sz w:val="20"/>
          <w:szCs w:val="20"/>
        </w:rPr>
        <w:t xml:space="preserve"> opracował i przyjął Strategię Polityki Społecznej Województwa Lubuskiego na lata 2021-2030, której jednym z głównych celów jest „Poprawa jakości życia seniorów” poprzez opracowanie systemu zindywidualizowanych i wysokiej jakości usług społecznych, dostępnych w środowiskach lokalnych i miejscu zamieszkania (realizacja zadań w obszarze deinstytucjonalizacji usług użyteczności publicznej). </w:t>
      </w:r>
    </w:p>
    <w:p w14:paraId="6A10D33E" w14:textId="68AFB675" w:rsidR="002C3705" w:rsidRPr="002C3705" w:rsidRDefault="002C3705" w:rsidP="002C3705">
      <w:pPr>
        <w:spacing w:after="0" w:line="240" w:lineRule="auto"/>
        <w:jc w:val="both"/>
        <w:rPr>
          <w:rFonts w:ascii="Lato" w:eastAsia="Century Gothic" w:hAnsi="Lato" w:cs="Century Gothic"/>
          <w:b/>
          <w:color w:val="FF0000"/>
          <w:sz w:val="20"/>
          <w:szCs w:val="20"/>
        </w:rPr>
      </w:pPr>
    </w:p>
    <w:p w14:paraId="316E17A2" w14:textId="77777777" w:rsidR="004E0068"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b/>
          <w:sz w:val="20"/>
          <w:szCs w:val="20"/>
        </w:rPr>
        <w:t>Zarząd Województwa Lubuskiego</w:t>
      </w:r>
      <w:r w:rsidRPr="002C3705">
        <w:rPr>
          <w:rFonts w:ascii="Lato" w:eastAsia="Century Gothic" w:hAnsi="Lato" w:cs="Century Gothic"/>
          <w:sz w:val="20"/>
          <w:szCs w:val="20"/>
        </w:rPr>
        <w:t xml:space="preserve">: uchwałą nr 33/471/19 z dnia 6 maja 2019 roku uchwalił zasady przyznawania i użytkowania Lubuskiej Karty Seniora, wydawanej przez Regionalny Ośrodek Polityki Społecznej od lipca 2019 r.   </w:t>
      </w:r>
    </w:p>
    <w:p w14:paraId="5C8E740A" w14:textId="483842F9" w:rsidR="002C3705" w:rsidRPr="002C3705" w:rsidRDefault="002C3705" w:rsidP="002C3705">
      <w:pPr>
        <w:spacing w:after="0" w:line="240" w:lineRule="auto"/>
        <w:jc w:val="both"/>
        <w:rPr>
          <w:rStyle w:val="Hipercze"/>
          <w:rFonts w:ascii="Lato" w:hAnsi="Lato"/>
          <w:sz w:val="20"/>
          <w:szCs w:val="20"/>
        </w:rPr>
      </w:pPr>
      <w:r w:rsidRPr="002C3705">
        <w:rPr>
          <w:rFonts w:ascii="Lato" w:eastAsia="Century Gothic" w:hAnsi="Lato" w:cs="Century Gothic"/>
          <w:sz w:val="20"/>
          <w:szCs w:val="20"/>
        </w:rPr>
        <w:t xml:space="preserve">                                                                          </w:t>
      </w:r>
    </w:p>
    <w:p w14:paraId="60069765" w14:textId="3B2C5763" w:rsidR="002C3705" w:rsidRPr="004E0068" w:rsidRDefault="004E0068" w:rsidP="002C3705">
      <w:pPr>
        <w:spacing w:after="0" w:line="240" w:lineRule="auto"/>
        <w:jc w:val="both"/>
        <w:rPr>
          <w:rStyle w:val="Hipercze"/>
          <w:rFonts w:ascii="Lato" w:hAnsi="Lato"/>
          <w:color w:val="auto"/>
          <w:sz w:val="20"/>
          <w:szCs w:val="20"/>
          <w:u w:val="none"/>
        </w:rPr>
      </w:pPr>
      <w:r w:rsidRPr="004E0068">
        <w:rPr>
          <w:rStyle w:val="Hipercze"/>
          <w:rFonts w:ascii="Lato" w:hAnsi="Lato"/>
          <w:color w:val="auto"/>
          <w:sz w:val="20"/>
          <w:szCs w:val="20"/>
          <w:u w:val="none"/>
        </w:rPr>
        <w:t>U</w:t>
      </w:r>
      <w:r w:rsidR="002C3705" w:rsidRPr="004E0068">
        <w:rPr>
          <w:rStyle w:val="Hipercze"/>
          <w:rFonts w:ascii="Lato" w:hAnsi="Lato"/>
          <w:color w:val="auto"/>
          <w:sz w:val="20"/>
          <w:szCs w:val="20"/>
          <w:u w:val="none"/>
        </w:rPr>
        <w:t xml:space="preserve">chwałą nr 121/1570/16 z dnia 1 sierpnia 2016 roku powołał </w:t>
      </w:r>
      <w:r w:rsidR="002C3705" w:rsidRPr="004E0068">
        <w:rPr>
          <w:rStyle w:val="Hipercze"/>
          <w:rFonts w:ascii="Lato" w:hAnsi="Lato"/>
          <w:b/>
          <w:bCs/>
          <w:color w:val="auto"/>
          <w:sz w:val="20"/>
          <w:szCs w:val="20"/>
          <w:u w:val="none"/>
        </w:rPr>
        <w:t>Lubuską Społeczną Radę Seniorów</w:t>
      </w:r>
      <w:r w:rsidR="002C3705" w:rsidRPr="004E0068">
        <w:rPr>
          <w:rStyle w:val="Hipercze"/>
          <w:rFonts w:ascii="Lato" w:hAnsi="Lato"/>
          <w:color w:val="auto"/>
          <w:sz w:val="20"/>
          <w:szCs w:val="20"/>
          <w:u w:val="none"/>
        </w:rPr>
        <w:t>. Rada jest organem konsultacyjnym, doradczym i inicjatywnym, działającym przy Marszałku Województwa Lubuskiego na rzecz wzmocnienia i rozwoju regionalnej polityki senioralnej. Powołanie Rady przyczynia się do zwiększenia zaangażowania starszych mieszkańców województwa w życie społeczne regionu, zapewnia seniorom wpływ na sprawy dotyczące jakości ich życia, wzmacnia więzi międzypokoleniowe, a w szerszym zakresie-podejmując różne inicjatywy, przeciwdziała wykluczeniu społecznemu osób starszych. Obsługą Rady zajmuje się Regionalny Ośrodek Polityki Społecznej.</w:t>
      </w:r>
    </w:p>
    <w:p w14:paraId="27DB7991" w14:textId="77777777" w:rsidR="004E0068" w:rsidRDefault="004E0068" w:rsidP="002C3705">
      <w:pPr>
        <w:spacing w:after="0" w:line="240" w:lineRule="auto"/>
        <w:jc w:val="both"/>
        <w:rPr>
          <w:rStyle w:val="Hipercze"/>
          <w:rFonts w:ascii="Lato" w:hAnsi="Lato"/>
          <w:sz w:val="20"/>
          <w:szCs w:val="20"/>
        </w:rPr>
      </w:pPr>
    </w:p>
    <w:p w14:paraId="0B01840D" w14:textId="2F21342D" w:rsidR="002C3705" w:rsidRPr="002C3705"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b/>
          <w:sz w:val="20"/>
          <w:szCs w:val="20"/>
        </w:rPr>
        <w:t xml:space="preserve">Urząd Marszałkowski Województwa Lubuskiego </w:t>
      </w:r>
      <w:r w:rsidRPr="002C3705">
        <w:rPr>
          <w:rFonts w:ascii="Lato" w:eastAsia="Century Gothic" w:hAnsi="Lato" w:cs="Century Gothic"/>
          <w:sz w:val="20"/>
          <w:szCs w:val="20"/>
        </w:rPr>
        <w:t xml:space="preserve">w 2022 r. w ramach regionalnego Programu Operacyjnego - Lubskie 2020 realizował i wspierał 25 projektów skierowanych dla osób starszych w województwie lubuskim. Głównym celem projektów było m.in. wsparcie osób wykluczonych, zagrożonych ubóstwem, zwiększenie dostępności do wysokiej jakości usług i specjalistycznych usług opiekuńczych świadczonych w miejscu zamieszkania </w:t>
      </w:r>
      <w:proofErr w:type="spellStart"/>
      <w:r w:rsidRPr="002C3705">
        <w:rPr>
          <w:rFonts w:ascii="Lato" w:eastAsia="Century Gothic" w:hAnsi="Lato" w:cs="Century Gothic"/>
          <w:sz w:val="20"/>
          <w:szCs w:val="20"/>
        </w:rPr>
        <w:t>t.j</w:t>
      </w:r>
      <w:proofErr w:type="spellEnd"/>
      <w:r w:rsidRPr="002C3705">
        <w:rPr>
          <w:rFonts w:ascii="Lato" w:eastAsia="Century Gothic" w:hAnsi="Lato" w:cs="Century Gothic"/>
          <w:sz w:val="20"/>
          <w:szCs w:val="20"/>
        </w:rPr>
        <w:t>. Kluby Seniora, Dzienne Domy Pobytu, m.in. (gmina Szlichtyngowa, Sława). Kontynuował projekty „Parasol” włącznie z utworzeniem miejsc w Dziennym Domu Pobytu (Krosno Odrzańskie), utworzenie Gminnego Domu Pobytu w Kożuchowie, kontynuował projekt „Pierwszy Dzienny Dom Seniora w Nowej Soli”, „Pokoleniowy most – czyli od juniora do seniora” (m. Gorzów Wlkp.), „Pora seniora – Wsparcie rozwoju usług opiekuńczych na terenie gminy Strzelce Krajeńskie”, „Twój dom przyjaznym miejscem opieki” (gmina miejska i wiejska Żary i Lubsko”, „Rozwój usług społecznych w gminie Kargowa”, „Harcerski Klub Seniora” miasto Zielona Góra.</w:t>
      </w:r>
    </w:p>
    <w:p w14:paraId="5F1F8908" w14:textId="77777777" w:rsidR="004E0068" w:rsidRDefault="004E0068" w:rsidP="002C3705">
      <w:pPr>
        <w:tabs>
          <w:tab w:val="left" w:pos="851"/>
        </w:tabs>
        <w:spacing w:after="0" w:line="240" w:lineRule="auto"/>
        <w:jc w:val="both"/>
        <w:rPr>
          <w:rFonts w:ascii="Lato" w:eastAsia="Century Gothic" w:hAnsi="Lato" w:cs="Century Gothic"/>
          <w:b/>
          <w:sz w:val="20"/>
          <w:szCs w:val="20"/>
        </w:rPr>
      </w:pPr>
    </w:p>
    <w:p w14:paraId="3909837A" w14:textId="625DB9DD" w:rsidR="004E0068" w:rsidRPr="004E0068" w:rsidRDefault="004E0068" w:rsidP="004E0068">
      <w:pPr>
        <w:spacing w:after="0" w:line="240" w:lineRule="auto"/>
        <w:jc w:val="both"/>
        <w:rPr>
          <w:rFonts w:ascii="Lato" w:hAnsi="Lato"/>
          <w:b/>
          <w:color w:val="2F5496" w:themeColor="accent1" w:themeShade="BF"/>
          <w:sz w:val="20"/>
          <w:szCs w:val="20"/>
        </w:rPr>
      </w:pPr>
      <w:bookmarkStart w:id="141" w:name="_Hlk137800082"/>
      <w:r w:rsidRPr="00757CE7">
        <w:rPr>
          <w:rFonts w:ascii="Lato" w:hAnsi="Lato"/>
          <w:b/>
          <w:color w:val="2F5496" w:themeColor="accent1" w:themeShade="BF"/>
          <w:sz w:val="20"/>
          <w:szCs w:val="20"/>
        </w:rPr>
        <w:t>INICJATYWY DEDYKOWANE OSOBOM STARSZYM</w:t>
      </w:r>
      <w:bookmarkEnd w:id="141"/>
    </w:p>
    <w:p w14:paraId="5B226306" w14:textId="57D8F3B0"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color w:val="000000"/>
          <w:sz w:val="20"/>
          <w:szCs w:val="20"/>
        </w:rPr>
      </w:pPr>
      <w:r w:rsidRPr="002C3705">
        <w:rPr>
          <w:rFonts w:ascii="Lato" w:eastAsia="Times New Roman" w:hAnsi="Lato" w:cs="Tahoma"/>
          <w:color w:val="000000"/>
          <w:sz w:val="20"/>
          <w:szCs w:val="20"/>
        </w:rPr>
        <w:t>Lubuskie gminy realizują wiele programów przeznaczonych dla seniorów. Inicjatorem projektów były m.in. samorządy, instytucje kultury, organizacje pozarządowe, jednostki policji oraz lokalna społeczność. Projekty były odpowiedzią na potrzeby tej grupy wiekowej, w obliczu dynamicznie zmieniającej się rzeczywistości.</w:t>
      </w:r>
    </w:p>
    <w:p w14:paraId="513DD18B"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Arial"/>
          <w:b/>
          <w:color w:val="333333"/>
          <w:sz w:val="20"/>
          <w:szCs w:val="20"/>
        </w:rPr>
      </w:pPr>
    </w:p>
    <w:p w14:paraId="4B9C9EB5" w14:textId="50633AD2"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color w:val="000000"/>
          <w:sz w:val="20"/>
          <w:szCs w:val="20"/>
        </w:rPr>
      </w:pPr>
      <w:r w:rsidRPr="002C3705">
        <w:rPr>
          <w:rFonts w:ascii="Lato" w:eastAsia="Times New Roman" w:hAnsi="Lato" w:cs="Arial"/>
          <w:b/>
          <w:color w:val="333333"/>
          <w:sz w:val="20"/>
          <w:szCs w:val="20"/>
        </w:rPr>
        <w:t>Świebodzin</w:t>
      </w:r>
      <w:r w:rsidRPr="002C3705">
        <w:rPr>
          <w:rFonts w:ascii="Lato" w:eastAsia="Times New Roman" w:hAnsi="Lato" w:cs="Arial"/>
          <w:color w:val="333333"/>
          <w:sz w:val="20"/>
          <w:szCs w:val="20"/>
        </w:rPr>
        <w:t xml:space="preserve"> – „</w:t>
      </w:r>
      <w:r w:rsidRPr="002C3705">
        <w:rPr>
          <w:rFonts w:ascii="Lato" w:eastAsia="Times New Roman" w:hAnsi="Lato" w:cs="Tahoma"/>
          <w:color w:val="000000"/>
          <w:sz w:val="20"/>
          <w:szCs w:val="20"/>
        </w:rPr>
        <w:t>Aktywna trzecia młodość” – projekt realizowany we współpracy ze Stowarzyszeniem Alter ego w Świebodzinie, w okresie od 02.05.2022 r. do 30.11.2022 r. W ramach projektu seniorzy uczestniczyli w warsztatach florystycznych, psychologicznych oraz kulinarnych. Wzięli także udział w wyjeździe do zamku w Międzyrzeczu. Projektem objętych zostało 25 seniorów, w tym 15 seniorów z Dziennego Domu Senior+ w Świebodzinie oraz 10 osób starszych zamieszkujących teren Gminy Świebodzin. Zajęcia w ramach projektu odbywały się na terenie ww. placówki.</w:t>
      </w:r>
    </w:p>
    <w:p w14:paraId="48039E7A"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Arial"/>
          <w:color w:val="333333"/>
          <w:sz w:val="20"/>
          <w:szCs w:val="20"/>
        </w:rPr>
      </w:pPr>
    </w:p>
    <w:p w14:paraId="4DE38D67" w14:textId="09D4616F" w:rsidR="002C3705" w:rsidRPr="002C3705" w:rsidRDefault="002C3705" w:rsidP="002C3705">
      <w:pPr>
        <w:pStyle w:val="HTML-wstpniesformatowany"/>
        <w:jc w:val="both"/>
        <w:rPr>
          <w:rFonts w:ascii="Lato" w:hAnsi="Lato"/>
        </w:rPr>
      </w:pPr>
      <w:r w:rsidRPr="002C3705">
        <w:rPr>
          <w:rFonts w:ascii="Lato" w:hAnsi="Lato" w:cs="Tahoma"/>
          <w:b/>
          <w:color w:val="000000"/>
        </w:rPr>
        <w:t>Santok</w:t>
      </w:r>
      <w:r w:rsidRPr="002C3705">
        <w:rPr>
          <w:rFonts w:ascii="Lato" w:hAnsi="Lato" w:cs="Tahoma"/>
          <w:color w:val="000000"/>
        </w:rPr>
        <w:t xml:space="preserve"> – „Fałszywy Telefon – zagrożenie oszczędności” – zadanie realizowane w ramach projektu Komendy Wojewódzkiej Policji w Gorzowie Wlkp. Projekt obejmował cykl spotkań edukacyjnych, prowadzonych przez dzielnicowych w 3 Klubach Seniora, mieszczących się na terenie Gminy. </w:t>
      </w:r>
      <w:r w:rsidRPr="002C3705">
        <w:rPr>
          <w:rFonts w:ascii="Lato" w:hAnsi="Lato" w:cs="Arial"/>
          <w:color w:val="020202"/>
        </w:rPr>
        <w:t>Głównym założeniem programu było uświadomienie osób starszych przed grożącym im niebezpieczeństwem, ze strony oszustów wyłudzających śr. pieniężne. Podczas spotkania szczegółowo omówiono pojęcie bezpieczeństwa. Funkcjonariusze przedstawili sposoby działania przestępców i techniki manipulacji, jakie są przez nich wykorzystane.</w:t>
      </w:r>
    </w:p>
    <w:p w14:paraId="03D8AE6A" w14:textId="77777777" w:rsidR="002C3705" w:rsidRPr="002C3705" w:rsidRDefault="002C3705" w:rsidP="002C3705">
      <w:pPr>
        <w:pStyle w:val="HTML-wstpniesformatowany"/>
        <w:jc w:val="both"/>
        <w:rPr>
          <w:rFonts w:ascii="Lato" w:hAnsi="Lato" w:cs="Arial"/>
          <w:color w:val="020202"/>
        </w:rPr>
      </w:pPr>
    </w:p>
    <w:p w14:paraId="2AA7DA99" w14:textId="77777777" w:rsidR="002C3705" w:rsidRPr="002C3705" w:rsidRDefault="002C3705" w:rsidP="002C3705">
      <w:pPr>
        <w:pStyle w:val="HTML-wstpniesformatowany"/>
        <w:jc w:val="both"/>
        <w:rPr>
          <w:rFonts w:ascii="Lato" w:hAnsi="Lato"/>
        </w:rPr>
      </w:pPr>
      <w:r w:rsidRPr="002C3705">
        <w:rPr>
          <w:rFonts w:ascii="Lato" w:hAnsi="Lato" w:cs="Tahoma"/>
          <w:b/>
          <w:color w:val="000000"/>
        </w:rPr>
        <w:lastRenderedPageBreak/>
        <w:t xml:space="preserve">Gorzów Wlkp. </w:t>
      </w:r>
      <w:r w:rsidRPr="002C3705">
        <w:rPr>
          <w:rFonts w:ascii="Lato" w:hAnsi="Lato" w:cs="Tahoma"/>
          <w:color w:val="000000"/>
        </w:rPr>
        <w:t>– „Złota Rączka dla Seniora”</w:t>
      </w:r>
      <w:r w:rsidRPr="002C3705">
        <w:rPr>
          <w:rFonts w:ascii="Lato" w:hAnsi="Lato" w:cs="Tahoma"/>
          <w:b/>
          <w:color w:val="000000"/>
        </w:rPr>
        <w:t xml:space="preserve"> </w:t>
      </w:r>
      <w:r w:rsidRPr="002C3705">
        <w:rPr>
          <w:rFonts w:ascii="Lato" w:hAnsi="Lato" w:cs="Tahoma"/>
          <w:color w:val="000000"/>
        </w:rPr>
        <w:t>– cykliczny program zlecany organizacji pozarządowej w ramach otwartego konkursu ofert. Celem projektu jest</w:t>
      </w:r>
      <w:r w:rsidRPr="002C3705">
        <w:rPr>
          <w:rFonts w:ascii="Lato" w:hAnsi="Lato" w:cs="Tahoma"/>
          <w:b/>
          <w:color w:val="000000"/>
        </w:rPr>
        <w:t xml:space="preserve"> </w:t>
      </w:r>
      <w:r w:rsidRPr="002C3705">
        <w:rPr>
          <w:rFonts w:ascii="Lato" w:hAnsi="Lato" w:cs="Tahoma"/>
          <w:color w:val="000000"/>
        </w:rPr>
        <w:t>zapewnienie nieodpłatnej pomocy gorzowskim seniorom w drobnych, domowych naprawach. W 2022 r. zakres pomocy obejmował drobne naprawy, niewymagające natychmiastowej interwencji, specjalistycznej wiedzy lub uprawnień, jak również niepociągające za sobą dużych nakładów finansowych. Naprawy wykonywane były wyłącznie w lokalu zamieszkiwanym przez osobę ubiegającą się o pomoc. W roku 2022 wykonano 406 usług.</w:t>
      </w:r>
      <w:r w:rsidRPr="002C3705">
        <w:rPr>
          <w:rFonts w:ascii="Lato" w:hAnsi="Lato"/>
        </w:rPr>
        <w:t xml:space="preserve"> </w:t>
      </w:r>
    </w:p>
    <w:p w14:paraId="51D36A69"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b/>
          <w:color w:val="000000"/>
          <w:sz w:val="20"/>
          <w:szCs w:val="20"/>
        </w:rPr>
      </w:pPr>
    </w:p>
    <w:p w14:paraId="20684863" w14:textId="59050B5B"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color w:val="000000"/>
          <w:sz w:val="20"/>
          <w:szCs w:val="20"/>
          <w:u w:val="single"/>
        </w:rPr>
      </w:pPr>
      <w:r w:rsidRPr="002C3705">
        <w:rPr>
          <w:rFonts w:ascii="Lato" w:eastAsia="Times New Roman" w:hAnsi="Lato" w:cs="Tahoma"/>
          <w:b/>
          <w:color w:val="000000"/>
          <w:sz w:val="20"/>
          <w:szCs w:val="20"/>
        </w:rPr>
        <w:t>Zielona Góra</w:t>
      </w:r>
      <w:r w:rsidRPr="002C3705">
        <w:rPr>
          <w:rFonts w:ascii="Lato" w:eastAsia="Times New Roman" w:hAnsi="Lato" w:cs="Tahoma"/>
          <w:color w:val="000000"/>
          <w:sz w:val="20"/>
          <w:szCs w:val="20"/>
        </w:rPr>
        <w:t xml:space="preserve"> - „Czytelnia bez granic" - </w:t>
      </w:r>
      <w:r w:rsidRPr="002C3705">
        <w:rPr>
          <w:rFonts w:ascii="Lato" w:hAnsi="Lato" w:cs="Tahoma"/>
          <w:color w:val="000000"/>
          <w:sz w:val="20"/>
          <w:szCs w:val="20"/>
        </w:rPr>
        <w:t>c</w:t>
      </w:r>
      <w:r w:rsidRPr="002C3705">
        <w:rPr>
          <w:rFonts w:ascii="Lato" w:eastAsia="Times New Roman" w:hAnsi="Lato" w:cs="Tahoma"/>
          <w:color w:val="000000"/>
          <w:sz w:val="20"/>
          <w:szCs w:val="20"/>
        </w:rPr>
        <w:t xml:space="preserve">oroczny projekt organizowany </w:t>
      </w:r>
      <w:r w:rsidRPr="002C3705">
        <w:rPr>
          <w:rFonts w:ascii="Lato" w:hAnsi="Lato" w:cs="Tahoma"/>
          <w:color w:val="000000"/>
          <w:sz w:val="20"/>
          <w:szCs w:val="20"/>
        </w:rPr>
        <w:t xml:space="preserve">przez Wojewódzką i Miejską Bibliotekę Publiczną wspólnie z Klubem Emerytów i Rencistów w Zielonej Górze. Program zakłada realizację cyklu spotkań, podczas których zaproszeni Seniorzy prezentowali wybraną przez siebie opowieść i wspólnie z dziećmi bawili się przy niej. Celem spotkań było popularyzowanie literatury wśród dzieci oraz budowanie międzypokoleniowej więzi, tolerancji i wzajemnego szacunku dzieci i osób starszych. W 2022 roku odbyło się 10 spotkań, w których uczestniczyło łącznie 12 Seniorów i 200 dzieci. </w:t>
      </w:r>
      <w:r w:rsidRPr="002C3705">
        <w:rPr>
          <w:rFonts w:ascii="Lato" w:hAnsi="Lato" w:cs="Tahoma"/>
          <w:color w:val="000000"/>
          <w:sz w:val="20"/>
          <w:szCs w:val="20"/>
        </w:rPr>
        <w:br/>
      </w:r>
    </w:p>
    <w:p w14:paraId="5BADD40E" w14:textId="77777777" w:rsidR="002C3705" w:rsidRPr="002C3705" w:rsidRDefault="002C3705" w:rsidP="002C3705">
      <w:pPr>
        <w:pStyle w:val="HTML-wstpniesformatowany"/>
        <w:jc w:val="both"/>
        <w:rPr>
          <w:rFonts w:ascii="Lato" w:hAnsi="Lato" w:cs="Tahoma"/>
          <w:color w:val="000000"/>
        </w:rPr>
      </w:pPr>
      <w:r w:rsidRPr="002C3705">
        <w:rPr>
          <w:rFonts w:ascii="Lato" w:hAnsi="Lato" w:cs="Tahoma"/>
          <w:b/>
          <w:color w:val="000000"/>
        </w:rPr>
        <w:t>Żary</w:t>
      </w:r>
      <w:r w:rsidRPr="002C3705">
        <w:rPr>
          <w:rFonts w:ascii="Lato" w:hAnsi="Lato" w:cs="Tahoma"/>
          <w:color w:val="000000"/>
        </w:rPr>
        <w:t xml:space="preserve"> – „Aktywny senior bez uzależnień”- projekt realizowany w ramach obchodów Lubuskiego Tygodnia Seniora, dofinansowany przez Burmistrza Miasta. Głównym celem projektu było wyposażenie seniorów w wiedzę dotyczącą nadużywania alkoholu, uzależnień behawioralnych, środków psychoaktywnych, oraz w umiejętności niezbędne do podejmowania właściwych decyzji, asertywnego odmawiania i wykształcenia nawyku zdrowego stylu życia. Programem było objętych 82 seniorów uczestników Dziennego Domu "Senior+" oraz mieszkańców Żar w wieku 60 - 90 lat, którzy skorzystali z oferty Lubuskiego Tygodnia Seniora.</w:t>
      </w:r>
    </w:p>
    <w:p w14:paraId="28976516" w14:textId="77777777" w:rsidR="002C3705" w:rsidRPr="002C3705" w:rsidRDefault="002C3705" w:rsidP="002C3705">
      <w:pPr>
        <w:pStyle w:val="HTML-wstpniesformatowany"/>
        <w:jc w:val="both"/>
        <w:rPr>
          <w:rFonts w:ascii="Lato" w:hAnsi="Lato" w:cs="Tahoma"/>
          <w:color w:val="000000"/>
        </w:rPr>
      </w:pPr>
    </w:p>
    <w:p w14:paraId="530DB87C" w14:textId="352599E9"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color w:val="000000"/>
          <w:sz w:val="20"/>
          <w:szCs w:val="20"/>
        </w:rPr>
      </w:pPr>
      <w:r w:rsidRPr="002C3705">
        <w:rPr>
          <w:rFonts w:ascii="Lato" w:eastAsia="Times New Roman" w:hAnsi="Lato" w:cs="Tahoma"/>
          <w:b/>
          <w:color w:val="000000"/>
          <w:sz w:val="20"/>
          <w:szCs w:val="20"/>
        </w:rPr>
        <w:t>Wschowa</w:t>
      </w:r>
      <w:r w:rsidRPr="002C3705">
        <w:rPr>
          <w:rFonts w:ascii="Lato" w:eastAsia="Times New Roman" w:hAnsi="Lato" w:cs="Tahoma"/>
          <w:color w:val="000000"/>
          <w:sz w:val="20"/>
          <w:szCs w:val="20"/>
        </w:rPr>
        <w:t xml:space="preserve"> - projekt Senior Taxi - zainicjowany przez Urząd Miasta i Gminy Wschowa. Z projektu mogli bezpłatnie skorzystać mieszkańcy gminy Wschowa, którzy mają ukończone 65 lat i więcej. Beneficjentami programu były głównie osoby samotne, znajdujące się w trudnej sytuacji życiowej lub dysponujące niskim dochodem oraz mieszkańcy, których niepełnosprawność jest widoczna lub w zaawansowanej chorobie. Projekt obejmował przejazdy do urzędów, placówek medycznych na umówioną wizytę lekarską na terenie gminy Wschowa. W szczególnie uzasadnionych sytuacjach do placówki medycznej położonej na terenie ościennego miasta nie dalej niż 30 km od granicy gminy Wschowa.</w:t>
      </w:r>
    </w:p>
    <w:p w14:paraId="1B1CF3A4" w14:textId="7E8E41E1" w:rsidR="002C3705" w:rsidRPr="002C3705" w:rsidRDefault="002C3705" w:rsidP="002C3705">
      <w:pPr>
        <w:spacing w:after="0" w:line="240" w:lineRule="auto"/>
        <w:jc w:val="both"/>
        <w:rPr>
          <w:rFonts w:ascii="Lato" w:eastAsia="Century Gothic" w:hAnsi="Lato" w:cs="Century Gothic"/>
          <w:b/>
          <w:sz w:val="20"/>
          <w:szCs w:val="20"/>
        </w:rPr>
      </w:pPr>
    </w:p>
    <w:p w14:paraId="40BBAD26" w14:textId="4A890FC0" w:rsidR="002C3705"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sz w:val="20"/>
          <w:szCs w:val="20"/>
        </w:rPr>
        <w:t xml:space="preserve">Na obszarze woj. lubuskiego funkcjonują Kluby Seniora, regularnie organizowane są obchody dni seniora, wyjazdy integracyjne, prelekcje o charakterze edukacyjnym oraz cykliczne lub jednorazowe akcje świadczące nieodpłatne wsparcie. Tego typu praktyki przeciwdziałają marginalizacji osób starszych, jednocześnie przyczyniając się do poprawy kondycji psychofizycznej tej grupy społecznej. Działalność placówek jak i propozycje form aktywności dostosowane były do ograniczeń wynikających ze stanu epidemii. Przykładowy działań, programów realizowanych przez lubuskie gminy i powiaty znajdują się w punkcie </w:t>
      </w:r>
      <w:r w:rsidRPr="002C3705">
        <w:rPr>
          <w:rFonts w:ascii="Lato" w:eastAsia="Century Gothic" w:hAnsi="Lato" w:cs="Century Gothic"/>
          <w:b/>
          <w:sz w:val="20"/>
          <w:szCs w:val="20"/>
        </w:rPr>
        <w:t>2.2, 3.1 i 3.2 informacji.</w:t>
      </w:r>
      <w:r w:rsidRPr="002C3705">
        <w:rPr>
          <w:rFonts w:ascii="Lato" w:eastAsia="Century Gothic" w:hAnsi="Lato" w:cs="Century Gothic"/>
          <w:sz w:val="20"/>
          <w:szCs w:val="20"/>
        </w:rPr>
        <w:t xml:space="preserve"> </w:t>
      </w:r>
    </w:p>
    <w:p w14:paraId="072E0B06" w14:textId="77777777" w:rsidR="004E0068" w:rsidRPr="002C3705" w:rsidRDefault="004E0068" w:rsidP="002C3705">
      <w:pPr>
        <w:spacing w:after="0" w:line="240" w:lineRule="auto"/>
        <w:jc w:val="both"/>
        <w:rPr>
          <w:rFonts w:ascii="Lato" w:eastAsia="Century Gothic" w:hAnsi="Lato" w:cs="Century Gothic"/>
          <w:sz w:val="20"/>
          <w:szCs w:val="20"/>
        </w:rPr>
      </w:pPr>
    </w:p>
    <w:p w14:paraId="278F147E" w14:textId="77777777" w:rsidR="002C3705" w:rsidRPr="002C3705"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sz w:val="20"/>
          <w:szCs w:val="20"/>
        </w:rPr>
        <w:t xml:space="preserve">W lubuskich gminach funkcjonują zorganizowane lub nieformalne grupy wsparcia dla osób starszych, np.: </w:t>
      </w:r>
    </w:p>
    <w:p w14:paraId="6BAF25FE" w14:textId="77777777" w:rsidR="004E0068" w:rsidRDefault="002C3705" w:rsidP="00B73AF7">
      <w:pPr>
        <w:pStyle w:val="Akapitzlist"/>
        <w:numPr>
          <w:ilvl w:val="0"/>
          <w:numId w:val="60"/>
        </w:numPr>
        <w:spacing w:after="0" w:line="240" w:lineRule="auto"/>
        <w:jc w:val="both"/>
        <w:rPr>
          <w:rFonts w:ascii="Lato" w:eastAsia="Century Gothic" w:hAnsi="Lato" w:cs="Century Gothic"/>
          <w:sz w:val="20"/>
          <w:szCs w:val="20"/>
        </w:rPr>
      </w:pPr>
      <w:r w:rsidRPr="004E0068">
        <w:rPr>
          <w:rFonts w:ascii="Lato" w:eastAsia="Century Gothic" w:hAnsi="Lato" w:cs="Century Gothic"/>
          <w:b/>
          <w:sz w:val="20"/>
          <w:szCs w:val="20"/>
        </w:rPr>
        <w:t xml:space="preserve">Uniwersytety Trzeciego Wieku </w:t>
      </w:r>
      <w:r w:rsidRPr="004E0068">
        <w:rPr>
          <w:rFonts w:ascii="Lato" w:eastAsia="Century Gothic" w:hAnsi="Lato" w:cs="Century Gothic"/>
          <w:sz w:val="20"/>
          <w:szCs w:val="20"/>
        </w:rPr>
        <w:t>są powszechnym sposobem realizacji aktywności edukacyjnej osób starszych. Celem działalności UTW jest stworzenie możliwości zdobycia wiedzy przez osoby w podeszłym wieku, które chciałyby dalej kontynuować naukę. Seniorzy mają możliwość samokształcenia, poznawania środowiska, poszerzania wiedzy i umiejętności, wykonywania społecznie użytecznych działań, wypełnienia wolnego czasu, utrzymywania więzi towarzyskich oraz stymulacji psychicznej i fizycznej. W województwie Lubuskim funkcjonuje 20 Uniwersytetów Trzeciego Wieku oraz ich filii.</w:t>
      </w:r>
    </w:p>
    <w:p w14:paraId="21B8ADB3" w14:textId="77777777" w:rsidR="004E0068" w:rsidRDefault="002C3705" w:rsidP="00B73AF7">
      <w:pPr>
        <w:pStyle w:val="Akapitzlist"/>
        <w:numPr>
          <w:ilvl w:val="0"/>
          <w:numId w:val="60"/>
        </w:numPr>
        <w:spacing w:after="0" w:line="240" w:lineRule="auto"/>
        <w:jc w:val="both"/>
        <w:rPr>
          <w:rFonts w:ascii="Lato" w:eastAsia="Century Gothic" w:hAnsi="Lato" w:cs="Century Gothic"/>
          <w:sz w:val="20"/>
          <w:szCs w:val="20"/>
        </w:rPr>
      </w:pPr>
      <w:r w:rsidRPr="004E0068">
        <w:rPr>
          <w:rFonts w:ascii="Lato" w:eastAsia="Century Gothic" w:hAnsi="Lato" w:cs="Century Gothic"/>
          <w:b/>
          <w:sz w:val="20"/>
          <w:szCs w:val="20"/>
        </w:rPr>
        <w:t xml:space="preserve">Domy Dziennego Pobytu </w:t>
      </w:r>
      <w:r w:rsidRPr="004E0068">
        <w:rPr>
          <w:rFonts w:ascii="Lato" w:eastAsia="Century Gothic" w:hAnsi="Lato" w:cs="Century Gothic"/>
          <w:sz w:val="20"/>
          <w:szCs w:val="20"/>
        </w:rPr>
        <w:t>wspierają osoby, które ze względu na wiek, choroby lub niepełnosprawność wymagają częściowej opieki w zaspokojeniu niezbędnych potrzeb życiowych. W ramach Programu Wieloletniego „Senior+” na terenie województwa lubuskiego powstały</w:t>
      </w:r>
      <w:r w:rsidRPr="002C3705">
        <w:rPr>
          <w:vertAlign w:val="superscript"/>
        </w:rPr>
        <w:footnoteReference w:id="18"/>
      </w:r>
      <w:r w:rsidRPr="004E0068">
        <w:rPr>
          <w:rFonts w:ascii="Lato" w:eastAsia="Century Gothic" w:hAnsi="Lato" w:cs="Century Gothic"/>
          <w:sz w:val="20"/>
          <w:szCs w:val="20"/>
        </w:rPr>
        <w:t xml:space="preserve"> 49 placówki „Senior+” oferujące ogółem 1140 miejsc (31 klubów oraz 17 dziennych domów). Liczba tych placówek, w stosunku do roku 2021 r., wzrosła            o 4, a liczba oferowanych miejsc o 99. Placówki te pozwalają seniorom na aktywne spędzanie czasu wolnego, zaktywizowanie i zaangażowanie w działania samopomocowe oraz na rzecz środowiska lokalnego.</w:t>
      </w:r>
    </w:p>
    <w:p w14:paraId="009B3625" w14:textId="10F853EF" w:rsidR="002C3705" w:rsidRPr="004E0068" w:rsidRDefault="002C3705" w:rsidP="00B73AF7">
      <w:pPr>
        <w:pStyle w:val="Akapitzlist"/>
        <w:numPr>
          <w:ilvl w:val="0"/>
          <w:numId w:val="60"/>
        </w:numPr>
        <w:spacing w:after="0" w:line="240" w:lineRule="auto"/>
        <w:jc w:val="both"/>
        <w:rPr>
          <w:rFonts w:ascii="Lato" w:eastAsia="Century Gothic" w:hAnsi="Lato" w:cs="Century Gothic"/>
          <w:sz w:val="20"/>
          <w:szCs w:val="20"/>
        </w:rPr>
      </w:pPr>
      <w:r w:rsidRPr="004E0068">
        <w:rPr>
          <w:rFonts w:ascii="Lato" w:eastAsia="Century Gothic" w:hAnsi="Lato" w:cs="Century Gothic"/>
          <w:b/>
          <w:sz w:val="20"/>
          <w:szCs w:val="20"/>
        </w:rPr>
        <w:lastRenderedPageBreak/>
        <w:t>Rady Seniorów</w:t>
      </w:r>
      <w:r w:rsidRPr="004E0068">
        <w:rPr>
          <w:rFonts w:ascii="Lato" w:eastAsia="Century Gothic" w:hAnsi="Lato" w:cs="Century Gothic"/>
          <w:sz w:val="20"/>
          <w:szCs w:val="20"/>
        </w:rPr>
        <w:t>, które są zespołami o charakterze konsultacyjnym, doradczym i inicjatywnym, współpracującymi z organami samorządu gminnego, powiatowego i wojewódzkiego w obszarze spraw lokalnych, w szczególności dotyczących planowania i realizacji polityki senioralnej.</w:t>
      </w:r>
      <w:r w:rsidRPr="004E0068">
        <w:rPr>
          <w:rFonts w:ascii="Lato" w:eastAsia="Century Gothic" w:hAnsi="Lato" w:cs="Century Gothic"/>
          <w:sz w:val="20"/>
          <w:szCs w:val="20"/>
        </w:rPr>
        <w:br/>
        <w:t xml:space="preserve">W skład rad wchodzą zwykle przedstawiciele osób starszych oraz przedstawiciele podmiotów działających na rzecz seniorów, organizacji pozarządowych oraz podmiotów prowadzących uniwersytety trzeciego wieku, w szczególności przedstawiciele organizacji pozarządowych oraz podmiotów prowadzących uniwersytety trzeciego wieku. </w:t>
      </w:r>
    </w:p>
    <w:p w14:paraId="3E8B21D5" w14:textId="77777777" w:rsidR="004E0068" w:rsidRDefault="004E0068" w:rsidP="002C3705">
      <w:pPr>
        <w:pBdr>
          <w:top w:val="nil"/>
          <w:left w:val="nil"/>
          <w:bottom w:val="nil"/>
          <w:right w:val="nil"/>
          <w:between w:val="nil"/>
        </w:pBdr>
        <w:spacing w:after="0" w:line="240" w:lineRule="auto"/>
        <w:jc w:val="both"/>
        <w:rPr>
          <w:rFonts w:ascii="Lato" w:eastAsia="Century Gothic" w:hAnsi="Lato" w:cs="Century Gothic"/>
          <w:sz w:val="20"/>
          <w:szCs w:val="20"/>
        </w:rPr>
      </w:pPr>
    </w:p>
    <w:p w14:paraId="5D78C7B6" w14:textId="44EC7682" w:rsidR="002C3705" w:rsidRPr="002C3705" w:rsidRDefault="002C3705" w:rsidP="002C3705">
      <w:pPr>
        <w:pBdr>
          <w:top w:val="nil"/>
          <w:left w:val="nil"/>
          <w:bottom w:val="nil"/>
          <w:right w:val="nil"/>
          <w:between w:val="nil"/>
        </w:pBdr>
        <w:spacing w:after="0" w:line="240" w:lineRule="auto"/>
        <w:jc w:val="both"/>
        <w:rPr>
          <w:rFonts w:ascii="Lato" w:eastAsia="Century Gothic" w:hAnsi="Lato" w:cs="Century Gothic"/>
          <w:sz w:val="20"/>
          <w:szCs w:val="20"/>
        </w:rPr>
      </w:pPr>
      <w:r w:rsidRPr="002C3705">
        <w:rPr>
          <w:rFonts w:ascii="Lato" w:eastAsia="Century Gothic" w:hAnsi="Lato" w:cs="Century Gothic"/>
          <w:sz w:val="20"/>
          <w:szCs w:val="20"/>
        </w:rPr>
        <w:t>Na terenie województwa lubuskiego funkcjonują:</w:t>
      </w:r>
    </w:p>
    <w:p w14:paraId="57B1AC9C" w14:textId="77777777" w:rsidR="004E0068" w:rsidRPr="004E0068" w:rsidRDefault="002C3705" w:rsidP="00B73AF7">
      <w:pPr>
        <w:pStyle w:val="Akapitzlist"/>
        <w:numPr>
          <w:ilvl w:val="0"/>
          <w:numId w:val="61"/>
        </w:numPr>
        <w:pBdr>
          <w:top w:val="nil"/>
          <w:left w:val="nil"/>
          <w:bottom w:val="nil"/>
          <w:right w:val="nil"/>
          <w:between w:val="nil"/>
        </w:pBdr>
        <w:spacing w:after="0" w:line="240" w:lineRule="auto"/>
        <w:jc w:val="both"/>
        <w:rPr>
          <w:rFonts w:ascii="Lato" w:hAnsi="Lato"/>
          <w:sz w:val="20"/>
          <w:szCs w:val="20"/>
        </w:rPr>
      </w:pPr>
      <w:r w:rsidRPr="004E0068">
        <w:rPr>
          <w:rFonts w:ascii="Lato" w:eastAsia="Century Gothic" w:hAnsi="Lato" w:cs="Century Gothic"/>
          <w:sz w:val="20"/>
          <w:szCs w:val="20"/>
        </w:rPr>
        <w:t>wojewódzka rada seniorów – Lubuska Społeczna Rada Seniorów;</w:t>
      </w:r>
    </w:p>
    <w:p w14:paraId="34DDD22D" w14:textId="77777777" w:rsidR="004E0068" w:rsidRPr="004E0068" w:rsidRDefault="002C3705" w:rsidP="00B73AF7">
      <w:pPr>
        <w:pStyle w:val="Akapitzlist"/>
        <w:numPr>
          <w:ilvl w:val="0"/>
          <w:numId w:val="61"/>
        </w:numPr>
        <w:pBdr>
          <w:top w:val="nil"/>
          <w:left w:val="nil"/>
          <w:bottom w:val="nil"/>
          <w:right w:val="nil"/>
          <w:between w:val="nil"/>
        </w:pBdr>
        <w:spacing w:after="0" w:line="240" w:lineRule="auto"/>
        <w:jc w:val="both"/>
        <w:rPr>
          <w:rFonts w:ascii="Lato" w:hAnsi="Lato"/>
          <w:sz w:val="20"/>
          <w:szCs w:val="20"/>
        </w:rPr>
      </w:pPr>
      <w:r w:rsidRPr="004E0068">
        <w:rPr>
          <w:rFonts w:ascii="Lato" w:eastAsia="Century Gothic" w:hAnsi="Lato" w:cs="Century Gothic"/>
          <w:sz w:val="20"/>
          <w:szCs w:val="20"/>
        </w:rPr>
        <w:t>4 powiatowe rady seniorów;</w:t>
      </w:r>
    </w:p>
    <w:p w14:paraId="0C2D4719" w14:textId="2E84B9EF" w:rsidR="002C3705" w:rsidRPr="004E0068" w:rsidRDefault="002C3705" w:rsidP="00B73AF7">
      <w:pPr>
        <w:pStyle w:val="Akapitzlist"/>
        <w:numPr>
          <w:ilvl w:val="0"/>
          <w:numId w:val="61"/>
        </w:numPr>
        <w:pBdr>
          <w:top w:val="nil"/>
          <w:left w:val="nil"/>
          <w:bottom w:val="nil"/>
          <w:right w:val="nil"/>
          <w:between w:val="nil"/>
        </w:pBdr>
        <w:spacing w:after="0" w:line="240" w:lineRule="auto"/>
        <w:jc w:val="both"/>
        <w:rPr>
          <w:rFonts w:ascii="Lato" w:hAnsi="Lato"/>
          <w:sz w:val="20"/>
          <w:szCs w:val="20"/>
        </w:rPr>
      </w:pPr>
      <w:r w:rsidRPr="004E0068">
        <w:rPr>
          <w:rFonts w:ascii="Lato" w:eastAsia="Century Gothic" w:hAnsi="Lato" w:cs="Century Gothic"/>
          <w:sz w:val="20"/>
          <w:szCs w:val="20"/>
        </w:rPr>
        <w:t>19 gminnych rad seniorów.</w:t>
      </w:r>
    </w:p>
    <w:p w14:paraId="4E7D3708" w14:textId="77777777" w:rsidR="004E0068" w:rsidRDefault="004E0068" w:rsidP="002C3705">
      <w:pPr>
        <w:pStyle w:val="HTML-wstpniesformatowany"/>
        <w:jc w:val="both"/>
        <w:rPr>
          <w:rFonts w:ascii="Lato" w:eastAsia="Century Gothic" w:hAnsi="Lato" w:cs="Century Gothic"/>
          <w:b/>
        </w:rPr>
      </w:pPr>
    </w:p>
    <w:p w14:paraId="400D4B58" w14:textId="3CD4E5B5" w:rsidR="002C3705" w:rsidRPr="002C3705" w:rsidRDefault="002C3705" w:rsidP="002C3705">
      <w:pPr>
        <w:pStyle w:val="HTML-wstpniesformatowany"/>
        <w:jc w:val="both"/>
        <w:rPr>
          <w:rFonts w:ascii="Lato" w:eastAsia="Century Gothic" w:hAnsi="Lato" w:cs="Century Gothic"/>
        </w:rPr>
      </w:pPr>
      <w:r w:rsidRPr="002C3705">
        <w:rPr>
          <w:rFonts w:ascii="Lato" w:eastAsia="Century Gothic" w:hAnsi="Lato" w:cs="Century Gothic"/>
          <w:b/>
        </w:rPr>
        <w:t xml:space="preserve">Organizacje pozarządowe </w:t>
      </w:r>
      <w:r w:rsidRPr="002C3705">
        <w:rPr>
          <w:rFonts w:ascii="Lato" w:eastAsia="Century Gothic" w:hAnsi="Lato" w:cs="Century Gothic"/>
        </w:rPr>
        <w:t>– lubuskie gminy współpracują z lokalnymi organizacjami pozarządowymi. Stowarzyszenia, fundacje pomagają osobom starszym w codziennym funkcjonowaniu, stwarzają możliwość aktywnego uczestnictwa w życiu społecznym, integrują seniorów.</w:t>
      </w:r>
    </w:p>
    <w:p w14:paraId="591050D3" w14:textId="77777777" w:rsidR="002C3705" w:rsidRPr="002C3705" w:rsidRDefault="002C3705" w:rsidP="002C3705">
      <w:pPr>
        <w:spacing w:after="0" w:line="240" w:lineRule="auto"/>
        <w:jc w:val="both"/>
        <w:rPr>
          <w:rFonts w:ascii="Lato" w:eastAsia="Century Gothic" w:hAnsi="Lato" w:cs="Century Gothic"/>
          <w:sz w:val="20"/>
          <w:szCs w:val="20"/>
        </w:rPr>
      </w:pPr>
      <w:r w:rsidRPr="002C3705">
        <w:rPr>
          <w:rFonts w:ascii="Lato" w:eastAsia="Century Gothic" w:hAnsi="Lato" w:cs="Century Gothic"/>
          <w:sz w:val="20"/>
          <w:szCs w:val="20"/>
        </w:rPr>
        <w:t>W województwie lubuskim prężnie funkcjonują liczne koła gospodyń wiejskich i lokalne grupy działania.</w:t>
      </w:r>
    </w:p>
    <w:p w14:paraId="61F99108"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Century Gothic" w:hAnsi="Lato" w:cs="Century Gothic"/>
          <w:sz w:val="20"/>
          <w:szCs w:val="20"/>
        </w:rPr>
      </w:pPr>
    </w:p>
    <w:p w14:paraId="21E7A46E" w14:textId="3B639CBC" w:rsidR="004E0068" w:rsidRPr="004E0068" w:rsidRDefault="004E0068" w:rsidP="004E0068">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4E03738B" w14:textId="5E09DCAC" w:rsidR="004E0068" w:rsidRP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b/>
          <w:bCs/>
          <w:sz w:val="20"/>
          <w:szCs w:val="20"/>
        </w:rPr>
      </w:pPr>
      <w:r w:rsidRPr="004E0068">
        <w:rPr>
          <w:rFonts w:ascii="Lato" w:eastAsia="Times New Roman" w:hAnsi="Lato" w:cs="Tahoma"/>
          <w:b/>
          <w:bCs/>
          <w:sz w:val="20"/>
          <w:szCs w:val="20"/>
        </w:rPr>
        <w:t>Gmina Zbąszynek</w:t>
      </w:r>
    </w:p>
    <w:p w14:paraId="1F9DE012" w14:textId="1C4C38F5" w:rsidR="004E0068" w:rsidRP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b/>
          <w:bCs/>
          <w:sz w:val="20"/>
          <w:szCs w:val="20"/>
        </w:rPr>
      </w:pPr>
      <w:r w:rsidRPr="004E0068">
        <w:rPr>
          <w:rFonts w:ascii="Lato" w:eastAsia="Times New Roman" w:hAnsi="Lato" w:cs="Tahoma"/>
          <w:sz w:val="20"/>
          <w:szCs w:val="20"/>
        </w:rPr>
        <w:t>Zbąszynecka Karta Seniora 65+</w:t>
      </w:r>
      <w:r>
        <w:rPr>
          <w:rFonts w:ascii="Lato" w:eastAsia="Times New Roman" w:hAnsi="Lato" w:cs="Tahoma"/>
          <w:b/>
          <w:bCs/>
          <w:sz w:val="20"/>
          <w:szCs w:val="20"/>
        </w:rPr>
        <w:t xml:space="preserve"> - </w:t>
      </w:r>
      <w:r>
        <w:rPr>
          <w:rFonts w:ascii="Lato" w:eastAsia="Times New Roman" w:hAnsi="Lato" w:cs="Tahoma"/>
          <w:sz w:val="20"/>
          <w:szCs w:val="20"/>
        </w:rPr>
        <w:t>W</w:t>
      </w:r>
      <w:r w:rsidRPr="002C3705">
        <w:rPr>
          <w:rFonts w:ascii="Lato" w:eastAsia="Times New Roman" w:hAnsi="Lato" w:cs="Tahoma"/>
          <w:sz w:val="20"/>
          <w:szCs w:val="20"/>
        </w:rPr>
        <w:t>sparcie osób starszych poprzez dostęp do zniżek na towary i usługi. Do końca 2022 roku wydano 892 karty</w:t>
      </w:r>
      <w:r>
        <w:rPr>
          <w:rFonts w:ascii="Lato" w:eastAsia="Times New Roman" w:hAnsi="Lato" w:cs="Tahoma"/>
          <w:sz w:val="20"/>
          <w:szCs w:val="20"/>
        </w:rPr>
        <w:t>, 92 beneficjentów.</w:t>
      </w:r>
    </w:p>
    <w:p w14:paraId="106D571B" w14:textId="7780A180" w:rsid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sz w:val="20"/>
          <w:szCs w:val="20"/>
        </w:rPr>
      </w:pPr>
    </w:p>
    <w:p w14:paraId="1CC09719" w14:textId="03FC89BA" w:rsidR="004E0068" w:rsidRP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b/>
          <w:bCs/>
          <w:sz w:val="20"/>
          <w:szCs w:val="20"/>
        </w:rPr>
      </w:pPr>
      <w:r w:rsidRPr="004E0068">
        <w:rPr>
          <w:rFonts w:ascii="Lato" w:eastAsia="Times New Roman" w:hAnsi="Lato" w:cs="Tahoma"/>
          <w:b/>
          <w:bCs/>
          <w:sz w:val="20"/>
          <w:szCs w:val="20"/>
        </w:rPr>
        <w:t>Gmina Babimost</w:t>
      </w:r>
    </w:p>
    <w:p w14:paraId="237652E8" w14:textId="65536295" w:rsid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sz w:val="20"/>
          <w:szCs w:val="20"/>
        </w:rPr>
      </w:pPr>
      <w:r>
        <w:rPr>
          <w:rFonts w:ascii="Lato" w:eastAsia="Times New Roman" w:hAnsi="Lato" w:cs="Tahoma"/>
          <w:sz w:val="20"/>
          <w:szCs w:val="20"/>
        </w:rPr>
        <w:t>Senior z kulturą - p</w:t>
      </w:r>
      <w:r w:rsidRPr="002C3705">
        <w:rPr>
          <w:rFonts w:ascii="Lato" w:eastAsia="Times New Roman" w:hAnsi="Lato" w:cs="Tahoma"/>
          <w:sz w:val="20"/>
          <w:szCs w:val="20"/>
        </w:rPr>
        <w:t>odnoszenie kompetencji artystycznych, prozdrowotnych, budowanie własnej wartości, wzrost aktywności społecznej, integracja społeczna.</w:t>
      </w:r>
      <w:r>
        <w:rPr>
          <w:rFonts w:ascii="Lato" w:eastAsia="Times New Roman" w:hAnsi="Lato" w:cs="Tahoma"/>
          <w:sz w:val="20"/>
          <w:szCs w:val="20"/>
        </w:rPr>
        <w:t xml:space="preserve"> </w:t>
      </w:r>
      <w:r w:rsidRPr="002C3705">
        <w:rPr>
          <w:rFonts w:ascii="Lato" w:eastAsia="Times New Roman" w:hAnsi="Lato" w:cs="Tahoma"/>
          <w:sz w:val="20"/>
          <w:szCs w:val="20"/>
        </w:rPr>
        <w:t>Zrealizowane zostały warsztaty wikliniarskie, malowania na jedwabiu, ceramiczne, warsztaty z psychologiem</w:t>
      </w:r>
      <w:r>
        <w:rPr>
          <w:rFonts w:ascii="Lato" w:eastAsia="Times New Roman" w:hAnsi="Lato" w:cs="Tahoma"/>
          <w:sz w:val="20"/>
          <w:szCs w:val="20"/>
        </w:rPr>
        <w:t>, 15 beneficjentów.</w:t>
      </w:r>
    </w:p>
    <w:p w14:paraId="4AF9D933" w14:textId="77777777" w:rsid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sz w:val="20"/>
          <w:szCs w:val="20"/>
        </w:rPr>
      </w:pPr>
    </w:p>
    <w:p w14:paraId="0EDD805B" w14:textId="03D376BE" w:rsid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sz w:val="20"/>
          <w:szCs w:val="20"/>
        </w:rPr>
      </w:pPr>
      <w:r>
        <w:rPr>
          <w:rFonts w:ascii="Lato" w:eastAsia="Times New Roman" w:hAnsi="Lato" w:cs="Tahoma"/>
          <w:sz w:val="20"/>
          <w:szCs w:val="20"/>
        </w:rPr>
        <w:t>Gmina Świebodzin</w:t>
      </w:r>
    </w:p>
    <w:p w14:paraId="627F1656" w14:textId="6BC169DF" w:rsidR="004E0068" w:rsidRDefault="004E0068" w:rsidP="004E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ahoma"/>
          <w:sz w:val="20"/>
          <w:szCs w:val="20"/>
        </w:rPr>
      </w:pPr>
      <w:r w:rsidRPr="002C3705">
        <w:rPr>
          <w:rFonts w:ascii="Lato" w:eastAsia="Times New Roman" w:hAnsi="Lato" w:cs="Tahoma"/>
          <w:sz w:val="20"/>
          <w:szCs w:val="20"/>
        </w:rPr>
        <w:t xml:space="preserve">Program Senioralny „Taxi Senior 60 Plus" </w:t>
      </w:r>
      <w:r>
        <w:rPr>
          <w:rFonts w:ascii="Lato" w:eastAsia="Times New Roman" w:hAnsi="Lato" w:cs="Tahoma"/>
          <w:sz w:val="20"/>
          <w:szCs w:val="20"/>
        </w:rPr>
        <w:t xml:space="preserve"> - </w:t>
      </w:r>
      <w:r w:rsidRPr="002C3705">
        <w:rPr>
          <w:rFonts w:ascii="Lato" w:eastAsia="Times New Roman" w:hAnsi="Lato" w:cs="Tahoma"/>
          <w:sz w:val="20"/>
          <w:szCs w:val="20"/>
        </w:rPr>
        <w:t>Wsparcie seniorów poprzez świadczenie bezpłatnych usług transportowych do lekarza na terenie Gminy Świebodzin.</w:t>
      </w:r>
      <w:r>
        <w:rPr>
          <w:rFonts w:ascii="Lato" w:eastAsia="Times New Roman" w:hAnsi="Lato" w:cs="Tahoma"/>
          <w:sz w:val="20"/>
          <w:szCs w:val="20"/>
        </w:rPr>
        <w:t xml:space="preserve"> </w:t>
      </w:r>
      <w:r w:rsidRPr="002C3705">
        <w:rPr>
          <w:rFonts w:ascii="Lato" w:eastAsia="Times New Roman" w:hAnsi="Lato" w:cs="Tahoma"/>
          <w:sz w:val="20"/>
          <w:szCs w:val="20"/>
        </w:rPr>
        <w:t>Adresatami programu byli seniorzy, którzy ukończyli 60 rok życia, zamieszkujący na terenie Gminy Świebodzin:</w:t>
      </w:r>
      <w:r>
        <w:rPr>
          <w:rFonts w:ascii="Lato" w:eastAsia="Times New Roman" w:hAnsi="Lato" w:cs="Tahoma"/>
          <w:sz w:val="20"/>
          <w:szCs w:val="20"/>
        </w:rPr>
        <w:t xml:space="preserve"> </w:t>
      </w:r>
      <w:r w:rsidRPr="002C3705">
        <w:rPr>
          <w:rFonts w:ascii="Lato" w:eastAsia="Times New Roman" w:hAnsi="Lato" w:cs="Tahoma"/>
          <w:sz w:val="20"/>
          <w:szCs w:val="20"/>
        </w:rPr>
        <w:t>osoby samotne, chore, niepełnosprawne</w:t>
      </w:r>
      <w:r>
        <w:rPr>
          <w:rFonts w:ascii="Lato" w:eastAsia="Times New Roman" w:hAnsi="Lato" w:cs="Tahoma"/>
          <w:sz w:val="20"/>
          <w:szCs w:val="20"/>
        </w:rPr>
        <w:t>; 1 615 beneficjentów.</w:t>
      </w:r>
    </w:p>
    <w:p w14:paraId="3E401267" w14:textId="77777777" w:rsidR="004E0068" w:rsidRDefault="004E0068" w:rsidP="002C3705">
      <w:pPr>
        <w:tabs>
          <w:tab w:val="left" w:pos="851"/>
        </w:tabs>
        <w:spacing w:after="0" w:line="240" w:lineRule="auto"/>
        <w:jc w:val="both"/>
        <w:rPr>
          <w:rFonts w:ascii="Lato" w:eastAsia="Century Gothic" w:hAnsi="Lato" w:cs="Century Gothic"/>
          <w:b/>
          <w:sz w:val="20"/>
          <w:szCs w:val="20"/>
        </w:rPr>
      </w:pPr>
    </w:p>
    <w:p w14:paraId="7C6343E1" w14:textId="048CAFAB" w:rsidR="002C3705" w:rsidRDefault="004E0068" w:rsidP="002C3705">
      <w:pPr>
        <w:tabs>
          <w:tab w:val="left" w:pos="1134"/>
        </w:tabs>
        <w:spacing w:after="0" w:line="240" w:lineRule="auto"/>
        <w:jc w:val="both"/>
        <w:rPr>
          <w:rFonts w:ascii="Lato" w:eastAsia="Century Gothic" w:hAnsi="Lato" w:cs="Century Gothic"/>
          <w:b/>
          <w:sz w:val="20"/>
          <w:szCs w:val="20"/>
        </w:rPr>
      </w:pPr>
      <w:r>
        <w:rPr>
          <w:rFonts w:ascii="Lato" w:eastAsia="Century Gothic" w:hAnsi="Lato" w:cs="Century Gothic"/>
          <w:b/>
          <w:sz w:val="20"/>
          <w:szCs w:val="20"/>
        </w:rPr>
        <w:t>Miasto Gorzów Wielkopolski</w:t>
      </w:r>
    </w:p>
    <w:p w14:paraId="10ABFD80" w14:textId="354C8E73" w:rsidR="004E0068" w:rsidRDefault="004E0068" w:rsidP="002C3705">
      <w:pPr>
        <w:tabs>
          <w:tab w:val="left" w:pos="1134"/>
        </w:tabs>
        <w:spacing w:after="0" w:line="240" w:lineRule="auto"/>
        <w:jc w:val="both"/>
        <w:rPr>
          <w:rFonts w:ascii="Lato" w:eastAsia="Times New Roman" w:hAnsi="Lato" w:cs="Tahoma"/>
          <w:sz w:val="20"/>
          <w:szCs w:val="20"/>
        </w:rPr>
      </w:pPr>
      <w:r w:rsidRPr="002C3705">
        <w:rPr>
          <w:rFonts w:ascii="Lato" w:eastAsia="Times New Roman" w:hAnsi="Lato" w:cs="Tahoma"/>
          <w:sz w:val="20"/>
          <w:szCs w:val="20"/>
        </w:rPr>
        <w:t>Projekt socjalny Zdrowie i Higiena</w:t>
      </w:r>
      <w:r>
        <w:rPr>
          <w:rFonts w:ascii="Lato" w:eastAsia="Times New Roman" w:hAnsi="Lato" w:cs="Tahoma"/>
          <w:sz w:val="20"/>
          <w:szCs w:val="20"/>
        </w:rPr>
        <w:t xml:space="preserve"> - </w:t>
      </w:r>
      <w:r w:rsidRPr="002C3705">
        <w:rPr>
          <w:rFonts w:ascii="Lato" w:eastAsia="Times New Roman" w:hAnsi="Lato" w:cs="Tahoma"/>
          <w:sz w:val="20"/>
          <w:szCs w:val="20"/>
        </w:rPr>
        <w:t>Edukacja prozdrowotna z zakresu zdrowia i higieny. Uczestnicy projektu pozyskali wiedzę na temat przeciwdziałania chorobom nowotworowym, uczyli się samobadania na fantomach. Najważniejszym działaniem w projekcie była prelekcja i prezentacja przeprowadzona przez pracowników Wojewódzkiej Stacji Sanitarno-Epidemiologicznej</w:t>
      </w:r>
      <w:r>
        <w:rPr>
          <w:rFonts w:ascii="Lato" w:eastAsia="Times New Roman" w:hAnsi="Lato" w:cs="Tahoma"/>
          <w:sz w:val="20"/>
          <w:szCs w:val="20"/>
        </w:rPr>
        <w:t>; 20 beneficjentów.</w:t>
      </w:r>
    </w:p>
    <w:p w14:paraId="5501AFA9" w14:textId="3CBCD716" w:rsidR="004E0068" w:rsidRDefault="004E0068" w:rsidP="002C3705">
      <w:pPr>
        <w:tabs>
          <w:tab w:val="left" w:pos="1134"/>
        </w:tabs>
        <w:spacing w:after="0" w:line="240" w:lineRule="auto"/>
        <w:jc w:val="both"/>
        <w:rPr>
          <w:rFonts w:ascii="Lato" w:eastAsia="Times New Roman" w:hAnsi="Lato" w:cs="Tahoma"/>
          <w:sz w:val="20"/>
          <w:szCs w:val="20"/>
        </w:rPr>
      </w:pPr>
    </w:p>
    <w:p w14:paraId="33944807" w14:textId="28DDD3C2" w:rsidR="004E0068" w:rsidRPr="004E0068" w:rsidRDefault="004E0068" w:rsidP="002C3705">
      <w:pPr>
        <w:tabs>
          <w:tab w:val="left" w:pos="1134"/>
        </w:tabs>
        <w:spacing w:after="0" w:line="240" w:lineRule="auto"/>
        <w:jc w:val="both"/>
        <w:rPr>
          <w:rFonts w:ascii="Lato" w:eastAsia="Times New Roman" w:hAnsi="Lato" w:cs="Tahoma"/>
          <w:b/>
          <w:bCs/>
          <w:sz w:val="20"/>
          <w:szCs w:val="20"/>
        </w:rPr>
      </w:pPr>
      <w:r w:rsidRPr="004E0068">
        <w:rPr>
          <w:rFonts w:ascii="Lato" w:eastAsia="Times New Roman" w:hAnsi="Lato" w:cs="Tahoma"/>
          <w:b/>
          <w:bCs/>
          <w:sz w:val="20"/>
          <w:szCs w:val="20"/>
        </w:rPr>
        <w:t>Miasto Zielona Góra</w:t>
      </w:r>
    </w:p>
    <w:p w14:paraId="78C8A0B3" w14:textId="3CF150DC" w:rsidR="004E0068" w:rsidRDefault="004E0068" w:rsidP="002C3705">
      <w:pPr>
        <w:tabs>
          <w:tab w:val="left" w:pos="1134"/>
        </w:tabs>
        <w:spacing w:after="0" w:line="240" w:lineRule="auto"/>
        <w:jc w:val="both"/>
        <w:rPr>
          <w:rFonts w:ascii="Lato" w:eastAsia="Times New Roman" w:hAnsi="Lato" w:cs="Tahoma"/>
          <w:sz w:val="20"/>
          <w:szCs w:val="20"/>
        </w:rPr>
      </w:pPr>
      <w:proofErr w:type="spellStart"/>
      <w:r w:rsidRPr="002C3705">
        <w:rPr>
          <w:rFonts w:ascii="Lato" w:eastAsia="Times New Roman" w:hAnsi="Lato" w:cs="Tahoma"/>
          <w:sz w:val="20"/>
          <w:szCs w:val="20"/>
        </w:rPr>
        <w:t>ZGrani</w:t>
      </w:r>
      <w:proofErr w:type="spellEnd"/>
      <w:r w:rsidRPr="002C3705">
        <w:rPr>
          <w:rFonts w:ascii="Lato" w:eastAsia="Times New Roman" w:hAnsi="Lato" w:cs="Tahoma"/>
          <w:sz w:val="20"/>
          <w:szCs w:val="20"/>
        </w:rPr>
        <w:t xml:space="preserve"> Zielonogórzanie 50+</w:t>
      </w:r>
      <w:r>
        <w:rPr>
          <w:rFonts w:ascii="Lato" w:eastAsia="Times New Roman" w:hAnsi="Lato" w:cs="Tahoma"/>
          <w:sz w:val="20"/>
          <w:szCs w:val="20"/>
        </w:rPr>
        <w:t xml:space="preserve"> - </w:t>
      </w:r>
      <w:proofErr w:type="spellStart"/>
      <w:r w:rsidRPr="002C3705">
        <w:rPr>
          <w:rFonts w:ascii="Lato" w:eastAsia="Times New Roman" w:hAnsi="Lato" w:cs="Tahoma"/>
          <w:sz w:val="20"/>
          <w:szCs w:val="20"/>
        </w:rPr>
        <w:t>ZGrani</w:t>
      </w:r>
      <w:proofErr w:type="spellEnd"/>
      <w:r w:rsidRPr="002C3705">
        <w:rPr>
          <w:rFonts w:ascii="Lato" w:eastAsia="Times New Roman" w:hAnsi="Lato" w:cs="Tahoma"/>
          <w:sz w:val="20"/>
          <w:szCs w:val="20"/>
        </w:rPr>
        <w:t xml:space="preserve"> Zielonogórzanie 50+ to miejski program lojalnościowo  rabatowy. Celem Programu jest aktywizacja osób po 50 roku życia, wspieranie lokalnych przedsiębiorców, a także promowanie spędzania wolnego czasu przez dziadków z wnukami</w:t>
      </w:r>
      <w:r>
        <w:rPr>
          <w:rFonts w:ascii="Lato" w:eastAsia="Times New Roman" w:hAnsi="Lato" w:cs="Tahoma"/>
          <w:sz w:val="20"/>
          <w:szCs w:val="20"/>
        </w:rPr>
        <w:t>; 1 060 beneficjentów.</w:t>
      </w:r>
    </w:p>
    <w:p w14:paraId="10B7D088" w14:textId="77777777" w:rsidR="004E0068" w:rsidRPr="002C3705" w:rsidRDefault="004E0068" w:rsidP="002C3705">
      <w:pPr>
        <w:tabs>
          <w:tab w:val="left" w:pos="1134"/>
        </w:tabs>
        <w:spacing w:after="0" w:line="240" w:lineRule="auto"/>
        <w:jc w:val="both"/>
        <w:rPr>
          <w:rFonts w:ascii="Lato" w:eastAsia="Century Gothic" w:hAnsi="Lato" w:cs="Century Gothic"/>
          <w:b/>
          <w:sz w:val="20"/>
          <w:szCs w:val="20"/>
        </w:rPr>
      </w:pPr>
    </w:p>
    <w:p w14:paraId="3221BBF9" w14:textId="2697F114" w:rsidR="002C3705" w:rsidRPr="004E0068" w:rsidRDefault="004E0068" w:rsidP="004E0068">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533501C5" w14:textId="3A2F63B4" w:rsidR="002C3705" w:rsidRDefault="002C3705" w:rsidP="002C3705">
      <w:pPr>
        <w:spacing w:after="0" w:line="240" w:lineRule="auto"/>
        <w:jc w:val="both"/>
        <w:rPr>
          <w:rFonts w:ascii="Lato" w:hAnsi="Lato"/>
          <w:sz w:val="20"/>
          <w:szCs w:val="20"/>
          <w:shd w:val="clear" w:color="auto" w:fill="FFFFFF"/>
        </w:rPr>
      </w:pPr>
      <w:r w:rsidRPr="002C3705">
        <w:rPr>
          <w:rFonts w:ascii="Lato" w:eastAsia="Century Gothic" w:hAnsi="Lato" w:cs="Century Gothic"/>
          <w:b/>
          <w:sz w:val="20"/>
          <w:szCs w:val="20"/>
        </w:rPr>
        <w:t xml:space="preserve">Gmina Trzciel </w:t>
      </w:r>
      <w:r w:rsidRPr="002C3705">
        <w:rPr>
          <w:rFonts w:ascii="Lato" w:eastAsia="Century Gothic" w:hAnsi="Lato" w:cs="Century Gothic"/>
          <w:sz w:val="20"/>
          <w:szCs w:val="20"/>
        </w:rPr>
        <w:t xml:space="preserve">– „Zielone Gospodarstwo Opiekuńcze" to program skierowany do seniorów </w:t>
      </w:r>
      <w:r w:rsidRPr="002C3705">
        <w:rPr>
          <w:rFonts w:ascii="Lato" w:hAnsi="Lato"/>
          <w:bCs/>
          <w:sz w:val="20"/>
          <w:szCs w:val="20"/>
          <w:shd w:val="clear" w:color="auto" w:fill="FFFFFF"/>
        </w:rPr>
        <w:t xml:space="preserve">dający możliwość spędzania czasu w gospodarstwach wiejskich, integrację, ciekawe zajęcia i usługi zdrowotne. </w:t>
      </w:r>
      <w:r w:rsidRPr="002C3705">
        <w:rPr>
          <w:rFonts w:ascii="Lato" w:hAnsi="Lato"/>
          <w:sz w:val="20"/>
          <w:szCs w:val="20"/>
          <w:shd w:val="clear" w:color="auto" w:fill="FFFFFF"/>
        </w:rPr>
        <w:t>Inicjatywa ma wspierać seniorów w codziennych czynnościach i aktywizować ich.</w:t>
      </w:r>
    </w:p>
    <w:p w14:paraId="4710B254" w14:textId="77777777" w:rsidR="004E0068" w:rsidRPr="002C3705" w:rsidRDefault="004E0068" w:rsidP="002C3705">
      <w:pPr>
        <w:spacing w:after="0" w:line="240" w:lineRule="auto"/>
        <w:jc w:val="both"/>
        <w:rPr>
          <w:rFonts w:ascii="Lato" w:hAnsi="Lato"/>
          <w:sz w:val="20"/>
          <w:szCs w:val="20"/>
          <w:shd w:val="clear" w:color="auto" w:fill="FFFFFF"/>
        </w:rPr>
      </w:pPr>
    </w:p>
    <w:p w14:paraId="3391B2E4" w14:textId="2E085612" w:rsidR="002C3705" w:rsidRDefault="002C3705" w:rsidP="002C3705">
      <w:pPr>
        <w:spacing w:after="0" w:line="240" w:lineRule="auto"/>
        <w:jc w:val="both"/>
        <w:rPr>
          <w:rFonts w:ascii="Lato" w:hAnsi="Lato" w:cs="Arial"/>
          <w:sz w:val="20"/>
          <w:szCs w:val="20"/>
        </w:rPr>
      </w:pPr>
      <w:r w:rsidRPr="002C3705">
        <w:rPr>
          <w:rFonts w:ascii="Lato" w:eastAsia="Century Gothic" w:hAnsi="Lato" w:cs="Century Gothic"/>
          <w:b/>
          <w:sz w:val="20"/>
          <w:szCs w:val="20"/>
        </w:rPr>
        <w:t>Gmina Międzyrzecz</w:t>
      </w:r>
      <w:r w:rsidRPr="002C3705">
        <w:rPr>
          <w:rFonts w:ascii="Lato" w:eastAsia="Century Gothic" w:hAnsi="Lato" w:cs="Century Gothic"/>
          <w:sz w:val="20"/>
          <w:szCs w:val="20"/>
        </w:rPr>
        <w:t xml:space="preserve"> - w</w:t>
      </w:r>
      <w:r w:rsidRPr="002C3705">
        <w:rPr>
          <w:rFonts w:ascii="Lato" w:hAnsi="Lato" w:cs="Arial"/>
          <w:sz w:val="20"/>
          <w:szCs w:val="20"/>
        </w:rPr>
        <w:t xml:space="preserve"> ramach Programu osłonowego " Wsparcie seniorów 2022" zakupiono 60 „opasek bezpieczeństwa". Ta forma wsparcia polegająca na zapewnieniu opieki na odległość za pomocą opaski bezpieczeństwa wpłynęła na poprawę bezpieczeństwa oraz zapewnienie możliwości samodzielnego funkcjonowania Seniorów w ich w miejscu zamieszkania poprzez zwiększenie dostępu do tzw. ,,opieki na odległość". Jest to nowoczesna forma sprawowania opieki nad osobami starszymi, chorymi, po przebytych zabiegach medycznych, z niepełnosprawnościami, którzy czasowo lub na stałe wymagają wsparcia w codziennym funkcjonowaniu.</w:t>
      </w:r>
    </w:p>
    <w:p w14:paraId="10DAC729" w14:textId="77777777" w:rsidR="004E0068" w:rsidRPr="002C3705" w:rsidRDefault="004E0068" w:rsidP="002C3705">
      <w:pPr>
        <w:spacing w:after="0" w:line="240" w:lineRule="auto"/>
        <w:jc w:val="both"/>
        <w:rPr>
          <w:rFonts w:ascii="Lato" w:eastAsia="Century Gothic" w:hAnsi="Lato" w:cs="Century Gothic"/>
          <w:sz w:val="20"/>
          <w:szCs w:val="20"/>
        </w:rPr>
      </w:pPr>
    </w:p>
    <w:p w14:paraId="7788A3E0" w14:textId="77777777" w:rsidR="002C3705" w:rsidRPr="002C3705" w:rsidRDefault="002C3705" w:rsidP="002C3705">
      <w:pPr>
        <w:pBdr>
          <w:top w:val="nil"/>
          <w:left w:val="nil"/>
          <w:bottom w:val="nil"/>
          <w:right w:val="nil"/>
          <w:between w:val="nil"/>
        </w:pBdr>
        <w:spacing w:after="0" w:line="240" w:lineRule="auto"/>
        <w:jc w:val="both"/>
        <w:rPr>
          <w:rFonts w:ascii="Lato" w:eastAsia="Century Gothic" w:hAnsi="Lato" w:cs="Century Gothic"/>
          <w:sz w:val="20"/>
          <w:szCs w:val="20"/>
        </w:rPr>
      </w:pPr>
      <w:r w:rsidRPr="002C3705">
        <w:rPr>
          <w:rFonts w:ascii="Lato" w:eastAsia="Century Gothic" w:hAnsi="Lato" w:cs="Century Gothic"/>
          <w:b/>
          <w:sz w:val="20"/>
          <w:szCs w:val="20"/>
        </w:rPr>
        <w:lastRenderedPageBreak/>
        <w:t xml:space="preserve">Gmina Kolsko </w:t>
      </w:r>
      <w:r w:rsidRPr="002C3705">
        <w:rPr>
          <w:rFonts w:ascii="Lato" w:eastAsia="Century Gothic" w:hAnsi="Lato" w:cs="Century Gothic"/>
          <w:sz w:val="20"/>
          <w:szCs w:val="20"/>
        </w:rPr>
        <w:t>–</w:t>
      </w:r>
      <w:r w:rsidRPr="002C3705">
        <w:rPr>
          <w:rFonts w:ascii="Lato" w:eastAsia="Century Gothic" w:hAnsi="Lato" w:cs="Century Gothic"/>
          <w:b/>
          <w:sz w:val="20"/>
          <w:szCs w:val="20"/>
        </w:rPr>
        <w:t xml:space="preserve"> </w:t>
      </w:r>
      <w:r w:rsidRPr="002C3705">
        <w:rPr>
          <w:rFonts w:ascii="Lato" w:hAnsi="Lato" w:cs="Arial"/>
          <w:sz w:val="20"/>
          <w:szCs w:val="20"/>
        </w:rPr>
        <w:t xml:space="preserve">na potrzeby seniorów wyposażono Klub ,,Senior+" w komputery i stały dostęp do </w:t>
      </w:r>
      <w:proofErr w:type="spellStart"/>
      <w:r w:rsidRPr="002C3705">
        <w:rPr>
          <w:rFonts w:ascii="Lato" w:hAnsi="Lato" w:cs="Arial"/>
          <w:sz w:val="20"/>
          <w:szCs w:val="20"/>
        </w:rPr>
        <w:t>internetu</w:t>
      </w:r>
      <w:proofErr w:type="spellEnd"/>
      <w:r w:rsidRPr="002C3705">
        <w:rPr>
          <w:rFonts w:ascii="Lato" w:hAnsi="Lato" w:cs="Arial"/>
          <w:sz w:val="20"/>
          <w:szCs w:val="20"/>
        </w:rPr>
        <w:t>, z którego mogą bez ograniczeń korzystać w ramach funkcjonowania Klub</w:t>
      </w:r>
      <w:r w:rsidRPr="002C3705">
        <w:rPr>
          <w:rFonts w:ascii="Lato" w:eastAsia="Century Gothic" w:hAnsi="Lato" w:cs="Century Gothic"/>
          <w:sz w:val="20"/>
          <w:szCs w:val="20"/>
        </w:rPr>
        <w:t>u.</w:t>
      </w:r>
    </w:p>
    <w:p w14:paraId="5003BA6A" w14:textId="77777777" w:rsidR="002C3705" w:rsidRPr="002C3705" w:rsidRDefault="002C3705" w:rsidP="002C3705">
      <w:pPr>
        <w:pBdr>
          <w:top w:val="nil"/>
          <w:left w:val="nil"/>
          <w:bottom w:val="nil"/>
          <w:right w:val="nil"/>
          <w:between w:val="nil"/>
        </w:pBdr>
        <w:spacing w:after="0" w:line="240" w:lineRule="auto"/>
        <w:jc w:val="both"/>
        <w:rPr>
          <w:rFonts w:ascii="Lato" w:eastAsia="Century Gothic" w:hAnsi="Lato" w:cs="Century Gothic"/>
          <w:color w:val="FF0000"/>
          <w:sz w:val="20"/>
          <w:szCs w:val="20"/>
        </w:rPr>
      </w:pPr>
    </w:p>
    <w:p w14:paraId="37DEFAAF" w14:textId="38F814D5" w:rsidR="002C3705" w:rsidRPr="004E0068" w:rsidRDefault="004E0068" w:rsidP="002C3705">
      <w:pPr>
        <w:spacing w:after="0" w:line="240" w:lineRule="auto"/>
        <w:jc w:val="both"/>
        <w:rPr>
          <w:rFonts w:ascii="Lato" w:hAnsi="Lato"/>
          <w:color w:val="2F5496" w:themeColor="accent1" w:themeShade="BF"/>
          <w:sz w:val="20"/>
          <w:szCs w:val="20"/>
        </w:rPr>
      </w:pPr>
      <w:bookmarkStart w:id="142" w:name="_Hlk137799635"/>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bookmarkEnd w:id="142"/>
    </w:p>
    <w:p w14:paraId="0043EE55" w14:textId="77777777" w:rsidR="002C3705" w:rsidRPr="002C3705" w:rsidRDefault="002C3705" w:rsidP="002C3705">
      <w:pPr>
        <w:spacing w:after="0" w:line="240" w:lineRule="auto"/>
        <w:jc w:val="both"/>
        <w:rPr>
          <w:rFonts w:ascii="Lato" w:eastAsia="Times New Roman" w:hAnsi="Lato"/>
          <w:sz w:val="20"/>
          <w:szCs w:val="20"/>
        </w:rPr>
      </w:pPr>
      <w:r w:rsidRPr="002C3705">
        <w:rPr>
          <w:rFonts w:ascii="Lato" w:eastAsia="Century Gothic" w:hAnsi="Lato" w:cs="Century Gothic"/>
          <w:color w:val="000000" w:themeColor="text1"/>
          <w:sz w:val="20"/>
          <w:szCs w:val="20"/>
        </w:rPr>
        <w:t xml:space="preserve">Województwo lubuskie liczy 82 gminy i 14 powiatów (w tym 2 miasta na prawach powiatu). Wszystkie jednostki - samodzielnie czy w ramach współpracy z podmiotami lokalnymi - realizują założenia przyjętego – 26 października 2018 r.- przez Radę Ministrów dokumentu pt. </w:t>
      </w:r>
      <w:r w:rsidRPr="002C3705">
        <w:rPr>
          <w:rFonts w:ascii="Lato" w:eastAsia="Century Gothic" w:hAnsi="Lato" w:cs="Century Gothic"/>
          <w:b/>
          <w:color w:val="000000" w:themeColor="text1"/>
          <w:sz w:val="20"/>
          <w:szCs w:val="20"/>
        </w:rPr>
        <w:t>„Polityka społeczna wobec osób starszych 2030. Bezpieczeństwo – Uczestnictwo – Solidarność”.</w:t>
      </w:r>
      <w:r w:rsidRPr="002C3705">
        <w:rPr>
          <w:rFonts w:ascii="Lato" w:eastAsia="Century Gothic" w:hAnsi="Lato" w:cs="Century Gothic"/>
          <w:color w:val="000000" w:themeColor="text1"/>
          <w:sz w:val="20"/>
          <w:szCs w:val="20"/>
        </w:rPr>
        <w:t xml:space="preserve"> </w:t>
      </w:r>
      <w:r w:rsidRPr="002C3705">
        <w:rPr>
          <w:rFonts w:ascii="Lato" w:eastAsia="Times New Roman" w:hAnsi="Lato"/>
          <w:sz w:val="20"/>
          <w:szCs w:val="20"/>
        </w:rPr>
        <w:t xml:space="preserve">W województwie lubuskim od kilku lat obserwujemy </w:t>
      </w:r>
      <w:r w:rsidRPr="002C3705">
        <w:rPr>
          <w:rFonts w:ascii="Lato" w:eastAsia="Times New Roman" w:hAnsi="Lato"/>
          <w:b/>
          <w:sz w:val="20"/>
          <w:szCs w:val="20"/>
        </w:rPr>
        <w:t xml:space="preserve">wzrost zapotrzebowania na pomoc osobom starszym. </w:t>
      </w:r>
      <w:r w:rsidRPr="002C3705">
        <w:rPr>
          <w:rFonts w:ascii="Lato" w:eastAsia="Times New Roman" w:hAnsi="Lato"/>
          <w:sz w:val="20"/>
          <w:szCs w:val="20"/>
        </w:rPr>
        <w:t>Zmienia się również profil klienta, który korzystają z pomocy społecznej. Niepełnosprawność i długotrwała choroba - zaraz za ubóstwem - są głównym powodem przyznawania pomocy.</w:t>
      </w:r>
    </w:p>
    <w:p w14:paraId="491AF5CA" w14:textId="77777777" w:rsidR="002C3705" w:rsidRPr="002C3705" w:rsidRDefault="002C3705" w:rsidP="002C3705">
      <w:pPr>
        <w:spacing w:after="0" w:line="240" w:lineRule="auto"/>
        <w:jc w:val="both"/>
        <w:rPr>
          <w:rFonts w:ascii="Lato" w:eastAsia="Times New Roman" w:hAnsi="Lato"/>
          <w:sz w:val="20"/>
          <w:szCs w:val="20"/>
        </w:rPr>
      </w:pPr>
    </w:p>
    <w:p w14:paraId="720DCFF7" w14:textId="77777777" w:rsidR="004E0068" w:rsidRDefault="002C3705" w:rsidP="004E0068">
      <w:pPr>
        <w:spacing w:after="0" w:line="240" w:lineRule="auto"/>
        <w:jc w:val="both"/>
        <w:rPr>
          <w:rFonts w:ascii="Lato" w:hAnsi="Lato" w:cs="Times New Roman"/>
          <w:b/>
          <w:color w:val="000000" w:themeColor="text1"/>
          <w:sz w:val="20"/>
          <w:szCs w:val="20"/>
        </w:rPr>
      </w:pPr>
      <w:r w:rsidRPr="002C3705">
        <w:rPr>
          <w:rFonts w:ascii="Lato" w:hAnsi="Lato" w:cs="Times New Roman"/>
          <w:b/>
          <w:color w:val="000000" w:themeColor="text1"/>
          <w:sz w:val="20"/>
          <w:szCs w:val="20"/>
        </w:rPr>
        <w:t xml:space="preserve">W woj. lubuskim podejmowane były szerokie formy wsparcia i działań na rzecz osób starszych, które obejmowały między innymi: </w:t>
      </w:r>
    </w:p>
    <w:p w14:paraId="0744FD0B" w14:textId="77777777" w:rsidR="004E0068"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hAnsi="Lato"/>
          <w:color w:val="000000" w:themeColor="text1"/>
          <w:sz w:val="20"/>
          <w:szCs w:val="20"/>
        </w:rPr>
        <w:t>włączanie seniorów w sprawy społeczności lokalnej poprzez ich aktywizację społeczną, kulturalną i rekreacyjną;</w:t>
      </w:r>
    </w:p>
    <w:p w14:paraId="4329B9F2" w14:textId="77777777" w:rsidR="004E0068"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eastAsia="Times New Roman" w:hAnsi="Lato" w:cs="Times New Roman"/>
          <w:color w:val="000000" w:themeColor="text1"/>
          <w:sz w:val="20"/>
          <w:szCs w:val="20"/>
        </w:rPr>
        <w:t xml:space="preserve">realizację programów skierowanych wyłącznie do seniorów, </w:t>
      </w:r>
      <w:proofErr w:type="spellStart"/>
      <w:r w:rsidRPr="004E0068">
        <w:rPr>
          <w:rFonts w:ascii="Lato" w:eastAsia="Times New Roman" w:hAnsi="Lato" w:cs="Times New Roman"/>
          <w:color w:val="000000" w:themeColor="text1"/>
          <w:sz w:val="20"/>
          <w:szCs w:val="20"/>
        </w:rPr>
        <w:t>tj</w:t>
      </w:r>
      <w:proofErr w:type="spellEnd"/>
      <w:r w:rsidRPr="004E0068">
        <w:rPr>
          <w:rFonts w:ascii="Lato" w:eastAsia="Times New Roman" w:hAnsi="Lato" w:cs="Times New Roman"/>
          <w:color w:val="000000" w:themeColor="text1"/>
          <w:sz w:val="20"/>
          <w:szCs w:val="20"/>
        </w:rPr>
        <w:t xml:space="preserve">: Karta Seniora, Złota rączka, Karta bezpieczeństwa seniora, opaska bezpieczeństwa, </w:t>
      </w:r>
      <w:proofErr w:type="spellStart"/>
      <w:r w:rsidRPr="004E0068">
        <w:rPr>
          <w:rFonts w:ascii="Lato" w:eastAsia="Times New Roman" w:hAnsi="Lato" w:cs="Times New Roman"/>
          <w:color w:val="000000" w:themeColor="text1"/>
          <w:sz w:val="20"/>
          <w:szCs w:val="20"/>
        </w:rPr>
        <w:t>Teleopieka</w:t>
      </w:r>
      <w:proofErr w:type="spellEnd"/>
      <w:r w:rsidRPr="004E0068">
        <w:rPr>
          <w:rFonts w:ascii="Lato" w:eastAsia="Times New Roman" w:hAnsi="Lato" w:cs="Times New Roman"/>
          <w:color w:val="000000" w:themeColor="text1"/>
          <w:sz w:val="20"/>
          <w:szCs w:val="20"/>
        </w:rPr>
        <w:t>, Gminna Karta Seniora, domowe SOS, Koperta Życia, TAXI Senior 60 Plus;</w:t>
      </w:r>
    </w:p>
    <w:p w14:paraId="26C89027" w14:textId="77777777" w:rsidR="004E0068"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hAnsi="Lato"/>
          <w:color w:val="000000" w:themeColor="text1"/>
          <w:sz w:val="20"/>
          <w:szCs w:val="20"/>
        </w:rPr>
        <w:t>ułatwienie dostępu do świadczeń zdrowotnych, profilaktyki chorób, diagnostyki, leczenia i rehabilitacji, przeciwdziałanie zaniedbaniom wobec osób starszych, promocja zdrowia;</w:t>
      </w:r>
    </w:p>
    <w:p w14:paraId="3B4C7DFD" w14:textId="77777777" w:rsidR="004E0068"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hAnsi="Lato"/>
          <w:color w:val="000000" w:themeColor="text1"/>
          <w:sz w:val="20"/>
          <w:szCs w:val="20"/>
        </w:rPr>
        <w:t xml:space="preserve">zwiększanie bezpieczeństwa i przeciwdziałania przemocy; spotkania profilaktyczne </w:t>
      </w:r>
      <w:r w:rsidRPr="004E0068">
        <w:rPr>
          <w:rFonts w:ascii="Lato" w:hAnsi="Lato"/>
          <w:color w:val="000000" w:themeColor="text1"/>
          <w:sz w:val="20"/>
          <w:szCs w:val="20"/>
        </w:rPr>
        <w:br/>
        <w:t>ze służbami mundurowymi na szczeblu lokalnym;</w:t>
      </w:r>
    </w:p>
    <w:p w14:paraId="2A5589E9" w14:textId="77777777" w:rsidR="004E0068"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eastAsia="Times New Roman" w:hAnsi="Lato" w:cs="Times New Roman"/>
          <w:color w:val="000000" w:themeColor="text1"/>
          <w:sz w:val="20"/>
          <w:szCs w:val="20"/>
        </w:rPr>
        <w:t xml:space="preserve">organizacja spotkań integracyjnych i międzypokoleniowych, </w:t>
      </w:r>
      <w:r w:rsidRPr="004E0068">
        <w:rPr>
          <w:rFonts w:ascii="Lato" w:hAnsi="Lato"/>
          <w:color w:val="000000" w:themeColor="text1"/>
          <w:sz w:val="20"/>
          <w:szCs w:val="20"/>
        </w:rPr>
        <w:t>włączanie młodego pokolenia do aktywności osób starszych;</w:t>
      </w:r>
    </w:p>
    <w:p w14:paraId="20A31C79" w14:textId="4EE10A50" w:rsidR="002C3705" w:rsidRPr="004E0068" w:rsidRDefault="002C3705" w:rsidP="00B73AF7">
      <w:pPr>
        <w:pStyle w:val="Akapitzlist"/>
        <w:numPr>
          <w:ilvl w:val="0"/>
          <w:numId w:val="62"/>
        </w:numPr>
        <w:spacing w:after="0" w:line="240" w:lineRule="auto"/>
        <w:jc w:val="both"/>
        <w:rPr>
          <w:rFonts w:ascii="Lato" w:hAnsi="Lato" w:cs="Times New Roman"/>
          <w:b/>
          <w:color w:val="000000" w:themeColor="text1"/>
          <w:sz w:val="20"/>
          <w:szCs w:val="20"/>
        </w:rPr>
      </w:pPr>
      <w:r w:rsidRPr="004E0068">
        <w:rPr>
          <w:rFonts w:ascii="Lato" w:hAnsi="Lato"/>
          <w:color w:val="000000" w:themeColor="text1"/>
          <w:sz w:val="20"/>
          <w:szCs w:val="20"/>
        </w:rPr>
        <w:t xml:space="preserve">udzielane wsparcie w ramach realizowanych rządowych programów tj. </w:t>
      </w:r>
      <w:r w:rsidRPr="004E0068">
        <w:rPr>
          <w:rFonts w:ascii="Lato" w:hAnsi="Lato" w:cs="Times New Roman"/>
          <w:color w:val="000000" w:themeColor="text1"/>
          <w:sz w:val="20"/>
          <w:szCs w:val="20"/>
        </w:rPr>
        <w:t xml:space="preserve">Asystent Osobisty Osoby Niepełnosprawnej, Opieka 75+, Korpus Wsparcia Seniora, Opieka </w:t>
      </w:r>
      <w:proofErr w:type="spellStart"/>
      <w:r w:rsidRPr="004E0068">
        <w:rPr>
          <w:rFonts w:ascii="Lato" w:hAnsi="Lato" w:cs="Times New Roman"/>
          <w:color w:val="000000" w:themeColor="text1"/>
          <w:sz w:val="20"/>
          <w:szCs w:val="20"/>
        </w:rPr>
        <w:t>Wytchnieniowa</w:t>
      </w:r>
      <w:proofErr w:type="spellEnd"/>
      <w:r w:rsidRPr="004E0068">
        <w:rPr>
          <w:rFonts w:ascii="Lato" w:hAnsi="Lato" w:cs="Times New Roman"/>
          <w:color w:val="000000" w:themeColor="text1"/>
          <w:sz w:val="20"/>
          <w:szCs w:val="20"/>
        </w:rPr>
        <w:t>, Program Operacyjny Pomoc Żywnościowa.</w:t>
      </w:r>
    </w:p>
    <w:p w14:paraId="2C882267"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jc w:val="both"/>
        <w:rPr>
          <w:rFonts w:ascii="Lato" w:hAnsi="Lato"/>
          <w:color w:val="000000" w:themeColor="text1"/>
          <w:sz w:val="20"/>
          <w:szCs w:val="20"/>
        </w:rPr>
      </w:pPr>
    </w:p>
    <w:p w14:paraId="7D9C9817"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color w:val="000000" w:themeColor="text1"/>
          <w:sz w:val="20"/>
          <w:szCs w:val="20"/>
        </w:rPr>
      </w:pPr>
      <w:r w:rsidRPr="002C3705">
        <w:rPr>
          <w:rFonts w:ascii="Lato" w:hAnsi="Lato"/>
          <w:color w:val="000000" w:themeColor="text1"/>
          <w:sz w:val="20"/>
          <w:szCs w:val="20"/>
        </w:rPr>
        <w:t xml:space="preserve">Na uwagę zasługuje fakt </w:t>
      </w:r>
      <w:r w:rsidRPr="002C3705">
        <w:rPr>
          <w:rFonts w:ascii="Lato" w:hAnsi="Lato"/>
          <w:b/>
          <w:color w:val="000000" w:themeColor="text1"/>
          <w:sz w:val="20"/>
          <w:szCs w:val="20"/>
        </w:rPr>
        <w:t xml:space="preserve">wzrostu </w:t>
      </w:r>
      <w:r w:rsidRPr="002C3705">
        <w:rPr>
          <w:rFonts w:ascii="Lato" w:eastAsia="Century Gothic" w:hAnsi="Lato" w:cs="Century Gothic"/>
          <w:b/>
          <w:color w:val="000000" w:themeColor="text1"/>
          <w:sz w:val="20"/>
          <w:szCs w:val="20"/>
        </w:rPr>
        <w:t>dostępności usług opiekuńczych</w:t>
      </w:r>
      <w:r w:rsidRPr="002C3705">
        <w:rPr>
          <w:rFonts w:ascii="Lato" w:eastAsia="Century Gothic" w:hAnsi="Lato" w:cs="Century Gothic"/>
          <w:color w:val="000000" w:themeColor="text1"/>
          <w:sz w:val="20"/>
          <w:szCs w:val="20"/>
        </w:rPr>
        <w:t xml:space="preserve"> oraz innych form wsparcia </w:t>
      </w:r>
      <w:r w:rsidRPr="002C3705">
        <w:rPr>
          <w:rFonts w:ascii="Lato" w:hAnsi="Lato" w:cs="Times New Roman"/>
          <w:color w:val="000000" w:themeColor="text1"/>
          <w:sz w:val="20"/>
          <w:szCs w:val="20"/>
        </w:rPr>
        <w:t>dla osób najbardziej zależnych. Również r</w:t>
      </w:r>
      <w:r w:rsidRPr="002C3705">
        <w:rPr>
          <w:rFonts w:ascii="Lato" w:eastAsia="Century Gothic" w:hAnsi="Lato" w:cs="Century Gothic"/>
          <w:color w:val="000000" w:themeColor="text1"/>
          <w:sz w:val="20"/>
          <w:szCs w:val="20"/>
        </w:rPr>
        <w:t>ealizacji lokalnych projektów - jako dodatkowego wsparcia dla osób wymagających wsparcia osoby drugiej.</w:t>
      </w:r>
    </w:p>
    <w:p w14:paraId="7B839FEA" w14:textId="77777777" w:rsidR="002C3705" w:rsidRPr="002C3705" w:rsidRDefault="002C3705" w:rsidP="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jc w:val="both"/>
        <w:rPr>
          <w:rFonts w:ascii="Lato" w:eastAsia="Times New Roman" w:hAnsi="Lato" w:cs="Times New Roman"/>
          <w:color w:val="000000" w:themeColor="text1"/>
          <w:sz w:val="20"/>
          <w:szCs w:val="20"/>
        </w:rPr>
      </w:pPr>
    </w:p>
    <w:p w14:paraId="09E6B9D6" w14:textId="4FD2A71C" w:rsidR="002C3705" w:rsidRDefault="002C3705" w:rsidP="0031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Century Gothic" w:hAnsi="Lato" w:cs="Century Gothic"/>
          <w:color w:val="FF0000"/>
          <w:sz w:val="20"/>
          <w:szCs w:val="20"/>
        </w:rPr>
      </w:pPr>
      <w:r w:rsidRPr="002C3705">
        <w:rPr>
          <w:rFonts w:ascii="Lato" w:eastAsia="Century Gothic" w:hAnsi="Lato" w:cs="Century Gothic"/>
          <w:color w:val="000000" w:themeColor="text1"/>
          <w:sz w:val="20"/>
          <w:szCs w:val="20"/>
        </w:rPr>
        <w:t xml:space="preserve">Oferta dla osób po 60 roku życia jest dostosowywana do realnych potrzeb tej grupy lubuszan. Od wielu lat, duży nacisk kieruje się na wszelką aktywność seniorów, integrację międzypokoleniową, profilaktykę zdrowotną oraz umożliwienie szybkiego dostępu do ochrony zdrowia. Wśród wyzwań na kolejne lata znajduje się dalszy rozwój </w:t>
      </w:r>
      <w:r w:rsidRPr="002C3705">
        <w:rPr>
          <w:rFonts w:ascii="Lato" w:hAnsi="Lato"/>
          <w:sz w:val="20"/>
          <w:szCs w:val="20"/>
        </w:rPr>
        <w:t>sieci usług środowiskowych i instytucjonalnych udzielanych niesamodzielnym osobom starszym.</w:t>
      </w:r>
    </w:p>
    <w:p w14:paraId="5F61B609" w14:textId="77777777" w:rsidR="0031646A" w:rsidRPr="0031646A" w:rsidRDefault="0031646A" w:rsidP="0031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Century Gothic" w:hAnsi="Lato" w:cs="Century Gothic"/>
          <w:color w:val="FF0000"/>
          <w:sz w:val="20"/>
          <w:szCs w:val="20"/>
        </w:rPr>
      </w:pPr>
    </w:p>
    <w:p w14:paraId="528CC713" w14:textId="7B67F5C0" w:rsidR="00193229" w:rsidRDefault="00193229" w:rsidP="00193229">
      <w:pPr>
        <w:pStyle w:val="Legenda"/>
        <w:keepNext/>
      </w:pPr>
      <w:bookmarkStart w:id="143" w:name="_Toc142566026"/>
      <w:r>
        <w:t xml:space="preserve">Tabela </w:t>
      </w:r>
      <w:fldSimple w:instr=" SEQ Tabela \* ARABIC ">
        <w:r w:rsidR="00AA385B">
          <w:rPr>
            <w:noProof/>
          </w:rPr>
          <w:t>63</w:t>
        </w:r>
      </w:fldSimple>
      <w:r>
        <w:t xml:space="preserve"> Karta województwa lubuskiego za 2022 r.</w:t>
      </w:r>
      <w:bookmarkEnd w:id="143"/>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193229" w:rsidRPr="00193229" w14:paraId="792742E2"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29D55B96"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WOJEWÓDZTWO LUBUSKIE</w:t>
            </w:r>
          </w:p>
        </w:tc>
      </w:tr>
      <w:tr w:rsidR="00193229" w:rsidRPr="00193229" w14:paraId="27D09D15" w14:textId="77777777" w:rsidTr="0019322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23DDD8C"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Informacja o regionie</w:t>
            </w:r>
          </w:p>
        </w:tc>
        <w:tc>
          <w:tcPr>
            <w:tcW w:w="1346" w:type="pct"/>
            <w:shd w:val="clear" w:color="auto" w:fill="auto"/>
          </w:tcPr>
          <w:p w14:paraId="4A69310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gmin</w:t>
            </w:r>
          </w:p>
        </w:tc>
        <w:tc>
          <w:tcPr>
            <w:tcW w:w="2693" w:type="pct"/>
            <w:gridSpan w:val="2"/>
            <w:shd w:val="clear" w:color="auto" w:fill="auto"/>
          </w:tcPr>
          <w:p w14:paraId="408ACC6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82</w:t>
            </w:r>
          </w:p>
        </w:tc>
      </w:tr>
      <w:tr w:rsidR="00193229" w:rsidRPr="00193229" w14:paraId="3D87497C" w14:textId="77777777" w:rsidTr="0019322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926E64E"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345DF03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powiatów</w:t>
            </w:r>
          </w:p>
        </w:tc>
        <w:tc>
          <w:tcPr>
            <w:tcW w:w="2693" w:type="pct"/>
            <w:gridSpan w:val="2"/>
            <w:shd w:val="clear" w:color="auto" w:fill="auto"/>
          </w:tcPr>
          <w:p w14:paraId="12D62CF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12 powiatów i 2 miasta na prawach powiatu</w:t>
            </w:r>
          </w:p>
        </w:tc>
      </w:tr>
      <w:tr w:rsidR="00193229" w:rsidRPr="00193229" w14:paraId="65D4E250" w14:textId="77777777" w:rsidTr="0019322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A1AE068"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441FBEC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Powierzchnia</w:t>
            </w:r>
          </w:p>
        </w:tc>
        <w:tc>
          <w:tcPr>
            <w:tcW w:w="2693" w:type="pct"/>
            <w:gridSpan w:val="2"/>
            <w:shd w:val="clear" w:color="auto" w:fill="auto"/>
          </w:tcPr>
          <w:p w14:paraId="10E6158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13 988 km</w:t>
            </w:r>
            <w:r w:rsidRPr="00193229">
              <w:rPr>
                <w:rFonts w:ascii="Lato" w:hAnsi="Lato" w:cs="Times New Roman"/>
                <w:color w:val="auto"/>
                <w:sz w:val="18"/>
                <w:szCs w:val="18"/>
                <w:vertAlign w:val="superscript"/>
              </w:rPr>
              <w:t>2</w:t>
            </w:r>
          </w:p>
        </w:tc>
      </w:tr>
      <w:tr w:rsidR="00193229" w:rsidRPr="00193229" w14:paraId="62D87E7B"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32FB0416" w14:textId="77777777" w:rsidR="00193229" w:rsidRPr="00193229" w:rsidRDefault="00193229" w:rsidP="00CA4EC0">
            <w:pPr>
              <w:jc w:val="center"/>
              <w:rPr>
                <w:rFonts w:ascii="Lato" w:hAnsi="Lato" w:cs="Times New Roman"/>
                <w:b w:val="0"/>
                <w:color w:val="auto"/>
                <w:sz w:val="18"/>
                <w:szCs w:val="18"/>
              </w:rPr>
            </w:pPr>
            <w:r w:rsidRPr="00193229">
              <w:rPr>
                <w:rFonts w:ascii="Lato" w:hAnsi="Lato" w:cs="Times New Roman"/>
                <w:color w:val="auto"/>
                <w:sz w:val="18"/>
                <w:szCs w:val="18"/>
              </w:rPr>
              <w:t>DEMOGRAFIA</w:t>
            </w:r>
          </w:p>
        </w:tc>
      </w:tr>
      <w:tr w:rsidR="00193229" w:rsidRPr="00193229" w14:paraId="5AD36658"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6792142" w14:textId="77777777" w:rsidR="00193229" w:rsidRPr="00193229" w:rsidRDefault="00193229" w:rsidP="00CA4EC0">
            <w:pPr>
              <w:jc w:val="center"/>
              <w:rPr>
                <w:rFonts w:ascii="Lato" w:hAnsi="Lato" w:cs="Times New Roman"/>
                <w:b w:val="0"/>
                <w:color w:val="auto"/>
                <w:sz w:val="18"/>
                <w:szCs w:val="18"/>
                <w:lang w:eastAsia="pl-PL"/>
              </w:rPr>
            </w:pPr>
            <w:r w:rsidRPr="00193229">
              <w:rPr>
                <w:rFonts w:ascii="Lato" w:hAnsi="Lato" w:cs="Times New Roman"/>
                <w:color w:val="auto"/>
                <w:sz w:val="18"/>
                <w:szCs w:val="18"/>
                <w:lang w:eastAsia="pl-PL"/>
              </w:rPr>
              <w:t>Treść</w:t>
            </w:r>
          </w:p>
        </w:tc>
        <w:tc>
          <w:tcPr>
            <w:tcW w:w="1346" w:type="pct"/>
            <w:shd w:val="clear" w:color="auto" w:fill="auto"/>
          </w:tcPr>
          <w:p w14:paraId="0FFD9C06"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2020 r.</w:t>
            </w:r>
          </w:p>
        </w:tc>
        <w:tc>
          <w:tcPr>
            <w:tcW w:w="1346" w:type="pct"/>
            <w:shd w:val="clear" w:color="auto" w:fill="auto"/>
          </w:tcPr>
          <w:p w14:paraId="0F574AC1"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2021 r.</w:t>
            </w:r>
          </w:p>
        </w:tc>
        <w:tc>
          <w:tcPr>
            <w:tcW w:w="1347" w:type="pct"/>
            <w:shd w:val="clear" w:color="auto" w:fill="auto"/>
          </w:tcPr>
          <w:p w14:paraId="22DB86E9"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2022 r.</w:t>
            </w:r>
          </w:p>
        </w:tc>
      </w:tr>
      <w:tr w:rsidR="00193229" w:rsidRPr="00193229" w14:paraId="250814DA"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B0A25AB"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Populacja ogółem</w:t>
            </w:r>
          </w:p>
        </w:tc>
        <w:tc>
          <w:tcPr>
            <w:tcW w:w="1346" w:type="pct"/>
            <w:shd w:val="clear" w:color="auto" w:fill="auto"/>
          </w:tcPr>
          <w:p w14:paraId="4F53F9F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993329</w:t>
            </w:r>
          </w:p>
        </w:tc>
        <w:tc>
          <w:tcPr>
            <w:tcW w:w="1346" w:type="pct"/>
            <w:shd w:val="clear" w:color="auto" w:fill="auto"/>
          </w:tcPr>
          <w:p w14:paraId="63A8973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985487</w:t>
            </w:r>
          </w:p>
        </w:tc>
        <w:tc>
          <w:tcPr>
            <w:tcW w:w="1347" w:type="pct"/>
            <w:shd w:val="clear" w:color="auto" w:fill="auto"/>
          </w:tcPr>
          <w:p w14:paraId="55BF400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979976</w:t>
            </w:r>
          </w:p>
        </w:tc>
      </w:tr>
      <w:tr w:rsidR="00193229" w:rsidRPr="00193229" w14:paraId="2E523F68"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214AD89" w14:textId="77777777" w:rsidR="00193229" w:rsidRPr="00193229" w:rsidRDefault="00193229" w:rsidP="00CA4EC0">
            <w:pPr>
              <w:rPr>
                <w:rFonts w:ascii="Lato" w:hAnsi="Lato" w:cs="Times New Roman"/>
                <w:b w:val="0"/>
                <w:color w:val="auto"/>
                <w:sz w:val="18"/>
                <w:szCs w:val="18"/>
              </w:rPr>
            </w:pPr>
          </w:p>
        </w:tc>
      </w:tr>
      <w:tr w:rsidR="00193229" w:rsidRPr="00193229" w14:paraId="2E1F8184"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4573C12" w14:textId="77777777" w:rsidR="00193229" w:rsidRPr="00193229" w:rsidRDefault="00193229" w:rsidP="00CA4EC0">
            <w:pPr>
              <w:rPr>
                <w:rFonts w:ascii="Lato" w:hAnsi="Lato" w:cs="Times New Roman"/>
                <w:b w:val="0"/>
                <w:color w:val="auto"/>
                <w:sz w:val="18"/>
                <w:szCs w:val="18"/>
              </w:rPr>
            </w:pPr>
            <w:r w:rsidRPr="00193229">
              <w:rPr>
                <w:rFonts w:ascii="Lato" w:hAnsi="Lato" w:cs="Times New Roman"/>
                <w:color w:val="auto"/>
                <w:sz w:val="18"/>
                <w:szCs w:val="18"/>
                <w:lang w:eastAsia="pl-PL"/>
              </w:rPr>
              <w:t>w wieku 60 lat i więcej</w:t>
            </w:r>
          </w:p>
        </w:tc>
        <w:tc>
          <w:tcPr>
            <w:tcW w:w="1346" w:type="pct"/>
            <w:shd w:val="clear" w:color="auto" w:fill="auto"/>
          </w:tcPr>
          <w:p w14:paraId="41A8365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256190</w:t>
            </w:r>
          </w:p>
        </w:tc>
        <w:tc>
          <w:tcPr>
            <w:tcW w:w="1346" w:type="pct"/>
            <w:shd w:val="clear" w:color="auto" w:fill="auto"/>
          </w:tcPr>
          <w:p w14:paraId="6D3A4D9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257091</w:t>
            </w:r>
          </w:p>
        </w:tc>
        <w:tc>
          <w:tcPr>
            <w:tcW w:w="1347" w:type="pct"/>
            <w:shd w:val="clear" w:color="auto" w:fill="auto"/>
          </w:tcPr>
          <w:p w14:paraId="70C0C3A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259139</w:t>
            </w:r>
          </w:p>
        </w:tc>
      </w:tr>
      <w:tr w:rsidR="00193229" w:rsidRPr="00193229" w14:paraId="567CDA7E" w14:textId="77777777" w:rsidTr="0019322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9B86B50"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60–64 lata</w:t>
            </w:r>
          </w:p>
        </w:tc>
        <w:tc>
          <w:tcPr>
            <w:tcW w:w="1346" w:type="pct"/>
            <w:shd w:val="clear" w:color="auto" w:fill="auto"/>
          </w:tcPr>
          <w:p w14:paraId="02F9A50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73968</w:t>
            </w:r>
          </w:p>
        </w:tc>
        <w:tc>
          <w:tcPr>
            <w:tcW w:w="1346" w:type="pct"/>
            <w:shd w:val="clear" w:color="auto" w:fill="auto"/>
          </w:tcPr>
          <w:p w14:paraId="3E3D6DB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70603</w:t>
            </w:r>
          </w:p>
        </w:tc>
        <w:tc>
          <w:tcPr>
            <w:tcW w:w="1347" w:type="pct"/>
            <w:shd w:val="clear" w:color="auto" w:fill="auto"/>
          </w:tcPr>
          <w:p w14:paraId="55A5D8D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66587</w:t>
            </w:r>
          </w:p>
        </w:tc>
      </w:tr>
      <w:tr w:rsidR="00193229" w:rsidRPr="00193229" w14:paraId="1DDC5678"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ED6EF90"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65–69</w:t>
            </w:r>
          </w:p>
        </w:tc>
        <w:tc>
          <w:tcPr>
            <w:tcW w:w="1346" w:type="pct"/>
            <w:shd w:val="clear" w:color="auto" w:fill="auto"/>
          </w:tcPr>
          <w:p w14:paraId="66B12E5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69298</w:t>
            </w:r>
          </w:p>
        </w:tc>
        <w:tc>
          <w:tcPr>
            <w:tcW w:w="1346" w:type="pct"/>
            <w:shd w:val="clear" w:color="auto" w:fill="auto"/>
          </w:tcPr>
          <w:p w14:paraId="364BC74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69559</w:t>
            </w:r>
          </w:p>
        </w:tc>
        <w:tc>
          <w:tcPr>
            <w:tcW w:w="1347" w:type="pct"/>
            <w:shd w:val="clear" w:color="auto" w:fill="auto"/>
          </w:tcPr>
          <w:p w14:paraId="1429ACF1"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70033</w:t>
            </w:r>
          </w:p>
        </w:tc>
      </w:tr>
      <w:tr w:rsidR="00193229" w:rsidRPr="00193229" w14:paraId="0EF756C6"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8EE06EC"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70–74</w:t>
            </w:r>
          </w:p>
        </w:tc>
        <w:tc>
          <w:tcPr>
            <w:tcW w:w="1346" w:type="pct"/>
            <w:shd w:val="clear" w:color="auto" w:fill="auto"/>
          </w:tcPr>
          <w:p w14:paraId="4E8C509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52841</w:t>
            </w:r>
          </w:p>
        </w:tc>
        <w:tc>
          <w:tcPr>
            <w:tcW w:w="1346" w:type="pct"/>
            <w:shd w:val="clear" w:color="auto" w:fill="auto"/>
          </w:tcPr>
          <w:p w14:paraId="77FCAE4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55242</w:t>
            </w:r>
          </w:p>
        </w:tc>
        <w:tc>
          <w:tcPr>
            <w:tcW w:w="1347" w:type="pct"/>
            <w:shd w:val="clear" w:color="auto" w:fill="auto"/>
          </w:tcPr>
          <w:p w14:paraId="33B702E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57356</w:t>
            </w:r>
          </w:p>
        </w:tc>
      </w:tr>
      <w:tr w:rsidR="00193229" w:rsidRPr="00193229" w14:paraId="09F09964"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1C8B143"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75–79</w:t>
            </w:r>
          </w:p>
        </w:tc>
        <w:tc>
          <w:tcPr>
            <w:tcW w:w="1346" w:type="pct"/>
            <w:shd w:val="clear" w:color="auto" w:fill="auto"/>
          </w:tcPr>
          <w:p w14:paraId="4B452E2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22431</w:t>
            </w:r>
          </w:p>
        </w:tc>
        <w:tc>
          <w:tcPr>
            <w:tcW w:w="1346" w:type="pct"/>
            <w:shd w:val="clear" w:color="auto" w:fill="auto"/>
          </w:tcPr>
          <w:p w14:paraId="3809888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25031</w:t>
            </w:r>
          </w:p>
        </w:tc>
        <w:tc>
          <w:tcPr>
            <w:tcW w:w="1347" w:type="pct"/>
            <w:shd w:val="clear" w:color="auto" w:fill="auto"/>
          </w:tcPr>
          <w:p w14:paraId="60C8945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28941</w:t>
            </w:r>
          </w:p>
        </w:tc>
      </w:tr>
      <w:tr w:rsidR="00193229" w:rsidRPr="00193229" w14:paraId="5F146E38"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E39507D"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80–84</w:t>
            </w:r>
          </w:p>
        </w:tc>
        <w:tc>
          <w:tcPr>
            <w:tcW w:w="1346" w:type="pct"/>
            <w:shd w:val="clear" w:color="auto" w:fill="auto"/>
          </w:tcPr>
          <w:p w14:paraId="27D1D05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19459</w:t>
            </w:r>
          </w:p>
        </w:tc>
        <w:tc>
          <w:tcPr>
            <w:tcW w:w="1346" w:type="pct"/>
            <w:shd w:val="clear" w:color="auto" w:fill="auto"/>
          </w:tcPr>
          <w:p w14:paraId="37322FB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18683</w:t>
            </w:r>
          </w:p>
        </w:tc>
        <w:tc>
          <w:tcPr>
            <w:tcW w:w="1347" w:type="pct"/>
            <w:shd w:val="clear" w:color="auto" w:fill="auto"/>
          </w:tcPr>
          <w:p w14:paraId="1B5D230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18093</w:t>
            </w:r>
          </w:p>
        </w:tc>
      </w:tr>
      <w:tr w:rsidR="00193229" w:rsidRPr="00193229" w14:paraId="5E5EF103"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DD55587"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85 lat i więcej</w:t>
            </w:r>
          </w:p>
        </w:tc>
        <w:tc>
          <w:tcPr>
            <w:tcW w:w="1346" w:type="pct"/>
            <w:shd w:val="clear" w:color="auto" w:fill="auto"/>
          </w:tcPr>
          <w:p w14:paraId="6C3EE73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18193</w:t>
            </w:r>
          </w:p>
        </w:tc>
        <w:tc>
          <w:tcPr>
            <w:tcW w:w="1346" w:type="pct"/>
            <w:shd w:val="clear" w:color="auto" w:fill="auto"/>
          </w:tcPr>
          <w:p w14:paraId="44384A1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17973</w:t>
            </w:r>
          </w:p>
        </w:tc>
        <w:tc>
          <w:tcPr>
            <w:tcW w:w="1347" w:type="pct"/>
            <w:shd w:val="clear" w:color="auto" w:fill="auto"/>
          </w:tcPr>
          <w:p w14:paraId="3E8062E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18129</w:t>
            </w:r>
          </w:p>
        </w:tc>
      </w:tr>
      <w:tr w:rsidR="00193229" w:rsidRPr="00193229" w14:paraId="4110DB22"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B50E9A9"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Przeciętne dalsze trwanie życia</w:t>
            </w:r>
          </w:p>
        </w:tc>
        <w:tc>
          <w:tcPr>
            <w:tcW w:w="1346" w:type="pct"/>
            <w:shd w:val="clear" w:color="auto" w:fill="auto"/>
          </w:tcPr>
          <w:p w14:paraId="6A20F5F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męskiej – 71,8</w:t>
            </w:r>
          </w:p>
          <w:p w14:paraId="0D893BC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lastRenderedPageBreak/>
              <w:t>Noworodek płci żeńskiej – 80,0</w:t>
            </w:r>
          </w:p>
          <w:p w14:paraId="64C737D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17,3</w:t>
            </w:r>
          </w:p>
          <w:p w14:paraId="49B5A77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60 - 22,6</w:t>
            </w:r>
          </w:p>
        </w:tc>
        <w:tc>
          <w:tcPr>
            <w:tcW w:w="1346" w:type="pct"/>
            <w:shd w:val="clear" w:color="auto" w:fill="auto"/>
          </w:tcPr>
          <w:p w14:paraId="58E760B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lastRenderedPageBreak/>
              <w:t>Noworodek płci męskiej – 70,5</w:t>
            </w:r>
          </w:p>
          <w:p w14:paraId="3F7550E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lastRenderedPageBreak/>
              <w:t>Noworodek płci żeńskiej – 79,0</w:t>
            </w:r>
          </w:p>
          <w:p w14:paraId="12AE59C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16,6</w:t>
            </w:r>
          </w:p>
          <w:p w14:paraId="45B724A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 21,9</w:t>
            </w:r>
          </w:p>
        </w:tc>
        <w:tc>
          <w:tcPr>
            <w:tcW w:w="1347" w:type="pct"/>
            <w:shd w:val="clear" w:color="auto" w:fill="auto"/>
          </w:tcPr>
          <w:p w14:paraId="1E05C9B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lastRenderedPageBreak/>
              <w:t xml:space="preserve">Noworodek płci męskiej – </w:t>
            </w:r>
            <w:r w:rsidRPr="00193229">
              <w:rPr>
                <w:rFonts w:ascii="Lato" w:hAnsi="Lato"/>
                <w:sz w:val="18"/>
                <w:szCs w:val="18"/>
              </w:rPr>
              <w:t xml:space="preserve"> </w:t>
            </w:r>
            <w:r w:rsidRPr="00193229">
              <w:rPr>
                <w:rFonts w:ascii="Lato" w:hAnsi="Lato" w:cs="Times New Roman"/>
                <w:color w:val="auto"/>
                <w:sz w:val="18"/>
                <w:szCs w:val="18"/>
              </w:rPr>
              <w:t>72,6</w:t>
            </w:r>
          </w:p>
          <w:p w14:paraId="5F189AB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lastRenderedPageBreak/>
              <w:t xml:space="preserve">Noworodek płci żeńskiej – </w:t>
            </w:r>
            <w:r w:rsidRPr="00193229">
              <w:rPr>
                <w:rFonts w:ascii="Lato" w:hAnsi="Lato"/>
                <w:sz w:val="18"/>
                <w:szCs w:val="18"/>
              </w:rPr>
              <w:t xml:space="preserve"> </w:t>
            </w:r>
            <w:r w:rsidRPr="00193229">
              <w:rPr>
                <w:rFonts w:ascii="Lato" w:hAnsi="Lato" w:cs="Times New Roman"/>
                <w:color w:val="auto"/>
                <w:sz w:val="18"/>
                <w:szCs w:val="18"/>
              </w:rPr>
              <w:t>80,3</w:t>
            </w:r>
          </w:p>
          <w:p w14:paraId="4DF5516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Mężczyzna w wieku 60 lat – </w:t>
            </w:r>
            <w:r w:rsidRPr="00193229">
              <w:rPr>
                <w:rFonts w:ascii="Lato" w:hAnsi="Lato"/>
                <w:sz w:val="18"/>
                <w:szCs w:val="18"/>
              </w:rPr>
              <w:t xml:space="preserve"> </w:t>
            </w:r>
            <w:r w:rsidRPr="00193229">
              <w:rPr>
                <w:rFonts w:ascii="Lato" w:hAnsi="Lato" w:cs="Times New Roman"/>
                <w:color w:val="auto"/>
                <w:sz w:val="18"/>
                <w:szCs w:val="18"/>
              </w:rPr>
              <w:t>18,3</w:t>
            </w:r>
          </w:p>
          <w:p w14:paraId="573FAE5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Kobieta w wieku 60 – </w:t>
            </w:r>
            <w:r w:rsidRPr="00193229">
              <w:rPr>
                <w:rFonts w:ascii="Lato" w:hAnsi="Lato"/>
                <w:sz w:val="18"/>
                <w:szCs w:val="18"/>
              </w:rPr>
              <w:t xml:space="preserve"> </w:t>
            </w:r>
            <w:r w:rsidRPr="00193229">
              <w:rPr>
                <w:rFonts w:ascii="Lato" w:hAnsi="Lato" w:cs="Times New Roman"/>
                <w:color w:val="auto"/>
                <w:sz w:val="18"/>
                <w:szCs w:val="18"/>
              </w:rPr>
              <w:t>23,3</w:t>
            </w:r>
          </w:p>
        </w:tc>
      </w:tr>
      <w:tr w:rsidR="00193229" w:rsidRPr="00193229" w14:paraId="3A08D4B2"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EB38DC7"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lastRenderedPageBreak/>
              <w:t>Współczynnik feminizacji</w:t>
            </w:r>
          </w:p>
        </w:tc>
        <w:tc>
          <w:tcPr>
            <w:tcW w:w="1346" w:type="pct"/>
            <w:shd w:val="clear" w:color="auto" w:fill="auto"/>
          </w:tcPr>
          <w:p w14:paraId="0952F0C0"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106</w:t>
            </w:r>
          </w:p>
        </w:tc>
        <w:tc>
          <w:tcPr>
            <w:tcW w:w="1346" w:type="pct"/>
            <w:shd w:val="clear" w:color="auto" w:fill="auto"/>
          </w:tcPr>
          <w:p w14:paraId="4DEAA6F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106</w:t>
            </w:r>
          </w:p>
        </w:tc>
        <w:tc>
          <w:tcPr>
            <w:tcW w:w="1347" w:type="pct"/>
            <w:shd w:val="clear" w:color="auto" w:fill="auto"/>
          </w:tcPr>
          <w:p w14:paraId="3E14AB9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106</w:t>
            </w:r>
          </w:p>
        </w:tc>
      </w:tr>
      <w:tr w:rsidR="00193229" w:rsidRPr="00193229" w14:paraId="31D91B5D"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FD473A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14658FF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27,7</w:t>
            </w:r>
          </w:p>
        </w:tc>
        <w:tc>
          <w:tcPr>
            <w:tcW w:w="1346" w:type="pct"/>
            <w:shd w:val="clear" w:color="auto" w:fill="auto"/>
          </w:tcPr>
          <w:p w14:paraId="1751609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28,8</w:t>
            </w:r>
          </w:p>
        </w:tc>
        <w:tc>
          <w:tcPr>
            <w:tcW w:w="1347" w:type="pct"/>
            <w:shd w:val="clear" w:color="auto" w:fill="auto"/>
          </w:tcPr>
          <w:p w14:paraId="27F30A2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30,1</w:t>
            </w:r>
          </w:p>
        </w:tc>
      </w:tr>
      <w:tr w:rsidR="00193229" w:rsidRPr="00193229" w14:paraId="58E7E759"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0FB842B"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zgonów</w:t>
            </w:r>
          </w:p>
        </w:tc>
        <w:tc>
          <w:tcPr>
            <w:tcW w:w="1346" w:type="pct"/>
            <w:shd w:val="clear" w:color="auto" w:fill="auto"/>
          </w:tcPr>
          <w:p w14:paraId="7C0A471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12,7</w:t>
            </w:r>
          </w:p>
        </w:tc>
        <w:tc>
          <w:tcPr>
            <w:tcW w:w="1346" w:type="pct"/>
            <w:shd w:val="clear" w:color="auto" w:fill="auto"/>
          </w:tcPr>
          <w:p w14:paraId="3156966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14,0</w:t>
            </w:r>
          </w:p>
        </w:tc>
        <w:tc>
          <w:tcPr>
            <w:tcW w:w="1347" w:type="pct"/>
            <w:shd w:val="clear" w:color="auto" w:fill="auto"/>
          </w:tcPr>
          <w:p w14:paraId="61D58F50"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11,9</w:t>
            </w:r>
          </w:p>
        </w:tc>
      </w:tr>
      <w:tr w:rsidR="00193229" w:rsidRPr="00193229" w14:paraId="34532D47"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53A321C4"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lang w:eastAsia="pl-PL"/>
              </w:rPr>
              <w:t xml:space="preserve">AKTYWNOŚĆ EKONOMICZNA OSÓB STARSZYCH – DANE ZA 2022 R. </w:t>
            </w:r>
            <w:r w:rsidRPr="00193229">
              <w:rPr>
                <w:rFonts w:ascii="Lato" w:hAnsi="Lato" w:cs="Times New Roman"/>
                <w:color w:val="auto"/>
                <w:sz w:val="18"/>
                <w:szCs w:val="18"/>
                <w:vertAlign w:val="superscript"/>
                <w:lang w:eastAsia="pl-PL"/>
              </w:rPr>
              <w:t>1)</w:t>
            </w:r>
          </w:p>
        </w:tc>
      </w:tr>
      <w:tr w:rsidR="00193229" w:rsidRPr="00193229" w14:paraId="6B363A17"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75FCC4CC"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Podział</w:t>
            </w:r>
          </w:p>
        </w:tc>
        <w:tc>
          <w:tcPr>
            <w:tcW w:w="2693" w:type="pct"/>
            <w:gridSpan w:val="2"/>
            <w:shd w:val="clear" w:color="auto" w:fill="auto"/>
          </w:tcPr>
          <w:p w14:paraId="7D16B54D"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Liczba</w:t>
            </w:r>
          </w:p>
        </w:tc>
      </w:tr>
      <w:tr w:rsidR="00193229" w:rsidRPr="00193229" w14:paraId="3E59B366"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A5F6C9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aktywne zawodowo razem (w tys.)</w:t>
            </w:r>
          </w:p>
        </w:tc>
        <w:tc>
          <w:tcPr>
            <w:tcW w:w="1346" w:type="pct"/>
            <w:shd w:val="clear" w:color="auto" w:fill="auto"/>
          </w:tcPr>
          <w:p w14:paraId="59D55D1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6960B70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435</w:t>
            </w:r>
          </w:p>
        </w:tc>
      </w:tr>
      <w:tr w:rsidR="00193229" w:rsidRPr="00193229" w14:paraId="53AAC6E6"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2442A92"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5C21E6B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1B9C3BB1"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41</w:t>
            </w:r>
          </w:p>
        </w:tc>
      </w:tr>
      <w:tr w:rsidR="00193229" w:rsidRPr="00193229" w14:paraId="25825CA7"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99D37F9"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 xml:space="preserve">Osoby aktywne zawodowo </w:t>
            </w:r>
            <w:r w:rsidRPr="00193229">
              <w:rPr>
                <w:rFonts w:ascii="Lato" w:hAnsi="Lato" w:cs="Times New Roman"/>
                <w:color w:val="auto"/>
                <w:sz w:val="18"/>
                <w:szCs w:val="18"/>
                <w:lang w:eastAsia="pl-PL"/>
              </w:rPr>
              <w:br/>
              <w:t>– pracujący (w tys.)</w:t>
            </w:r>
          </w:p>
        </w:tc>
        <w:tc>
          <w:tcPr>
            <w:tcW w:w="1346" w:type="pct"/>
            <w:shd w:val="clear" w:color="auto" w:fill="auto"/>
          </w:tcPr>
          <w:p w14:paraId="7F79442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6A38F0F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428</w:t>
            </w:r>
          </w:p>
        </w:tc>
      </w:tr>
      <w:tr w:rsidR="00193229" w:rsidRPr="00193229" w14:paraId="20185B0B"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529295E"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6724C58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08BB9A3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41</w:t>
            </w:r>
          </w:p>
        </w:tc>
      </w:tr>
      <w:tr w:rsidR="00193229" w:rsidRPr="00193229" w14:paraId="6437C522"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16982C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bierne zawodowo (w tys.)</w:t>
            </w:r>
          </w:p>
        </w:tc>
        <w:tc>
          <w:tcPr>
            <w:tcW w:w="1346" w:type="pct"/>
            <w:shd w:val="clear" w:color="auto" w:fill="auto"/>
          </w:tcPr>
          <w:p w14:paraId="27CAAE3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258B188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340</w:t>
            </w:r>
          </w:p>
        </w:tc>
      </w:tr>
      <w:tr w:rsidR="00193229" w:rsidRPr="00193229" w14:paraId="66D12E57"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A929300"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741E452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4851024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207</w:t>
            </w:r>
          </w:p>
        </w:tc>
      </w:tr>
      <w:tr w:rsidR="00193229" w:rsidRPr="00193229" w14:paraId="7DDCAD33"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1EBA390"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aktywności zawodowej %</w:t>
            </w:r>
          </w:p>
        </w:tc>
        <w:tc>
          <w:tcPr>
            <w:tcW w:w="1346" w:type="pct"/>
            <w:shd w:val="clear" w:color="auto" w:fill="auto"/>
          </w:tcPr>
          <w:p w14:paraId="47EE8AA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254908A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56,1</w:t>
            </w:r>
          </w:p>
        </w:tc>
      </w:tr>
      <w:tr w:rsidR="00193229" w:rsidRPr="00193229" w14:paraId="280AD28D"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5ED7DE2"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5303006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3534075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16,5</w:t>
            </w:r>
          </w:p>
        </w:tc>
      </w:tr>
      <w:tr w:rsidR="00193229" w:rsidRPr="00193229" w14:paraId="51EC4CBF" w14:textId="77777777" w:rsidTr="0019322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23C304F"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Wskaźnik zatrudnienia %</w:t>
            </w:r>
          </w:p>
        </w:tc>
        <w:tc>
          <w:tcPr>
            <w:tcW w:w="1346" w:type="pct"/>
            <w:shd w:val="clear" w:color="auto" w:fill="auto"/>
          </w:tcPr>
          <w:p w14:paraId="1A160C4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5AE302B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55,2</w:t>
            </w:r>
          </w:p>
        </w:tc>
      </w:tr>
      <w:tr w:rsidR="00193229" w:rsidRPr="00193229" w14:paraId="423E8BE4"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149178C"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1C193FB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0FAEDC1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16,5</w:t>
            </w:r>
          </w:p>
        </w:tc>
      </w:tr>
      <w:tr w:rsidR="00193229" w:rsidRPr="00193229" w14:paraId="78CDC46D" w14:textId="77777777" w:rsidTr="0019322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4897760" w14:textId="77777777" w:rsidR="00193229" w:rsidRPr="00193229" w:rsidRDefault="00193229" w:rsidP="00CA4EC0">
            <w:pPr>
              <w:rPr>
                <w:rFonts w:ascii="Lato" w:hAnsi="Lato" w:cs="Times New Roman"/>
                <w:b w:val="0"/>
                <w:color w:val="auto"/>
                <w:sz w:val="18"/>
                <w:szCs w:val="18"/>
                <w:lang w:eastAsia="pl-PL"/>
              </w:rPr>
            </w:pPr>
            <w:r w:rsidRPr="00193229">
              <w:rPr>
                <w:rFonts w:ascii="Lato" w:eastAsia="Times New Roman" w:hAnsi="Lato" w:cs="Times New Roman"/>
                <w:color w:val="auto"/>
                <w:sz w:val="18"/>
                <w:szCs w:val="18"/>
                <w:lang w:eastAsia="pl-PL"/>
              </w:rPr>
              <w:t xml:space="preserve">Osoby bierne zawodowo  w wieku 60-74 lata  według wybranych przyczyn bierności </w:t>
            </w:r>
            <w:r w:rsidRPr="00193229">
              <w:rPr>
                <w:rFonts w:ascii="Lato" w:eastAsia="Times New Roman" w:hAnsi="Lato" w:cs="Times New Roman"/>
                <w:color w:val="auto"/>
                <w:sz w:val="18"/>
                <w:szCs w:val="18"/>
                <w:lang w:eastAsia="pl-PL"/>
              </w:rPr>
              <w:br/>
              <w:t>(w tys.)</w:t>
            </w:r>
          </w:p>
        </w:tc>
        <w:tc>
          <w:tcPr>
            <w:tcW w:w="1346" w:type="pct"/>
            <w:shd w:val="clear" w:color="auto" w:fill="auto"/>
          </w:tcPr>
          <w:p w14:paraId="58B59E0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4A7B573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158</w:t>
            </w:r>
          </w:p>
        </w:tc>
      </w:tr>
      <w:tr w:rsidR="00193229" w:rsidRPr="00193229" w14:paraId="280C4939"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8F57593"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4BAC322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w:t>
            </w:r>
          </w:p>
        </w:tc>
      </w:tr>
      <w:tr w:rsidR="00193229" w:rsidRPr="00193229" w14:paraId="77CE6635"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A61E7BF"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90474A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193229">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5AFB5A9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158</w:t>
            </w:r>
          </w:p>
        </w:tc>
      </w:tr>
      <w:tr w:rsidR="00193229" w:rsidRPr="00193229" w14:paraId="42A54370"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433F0EC"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7AE565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163321D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144</w:t>
            </w:r>
          </w:p>
        </w:tc>
      </w:tr>
      <w:tr w:rsidR="00193229" w:rsidRPr="00193229" w14:paraId="0EBCF214"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9190AD5"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0C183D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0AEBAF9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t>
            </w:r>
          </w:p>
        </w:tc>
      </w:tr>
      <w:tr w:rsidR="00193229" w:rsidRPr="00193229" w14:paraId="7BA2632D" w14:textId="77777777" w:rsidTr="0019322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19FAD28"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bezrobotne zarejestrowane w urzędach pracy (w tys.) </w:t>
            </w:r>
            <w:r w:rsidRPr="00193229">
              <w:rPr>
                <w:rFonts w:ascii="Lato" w:eastAsia="Times New Roman" w:hAnsi="Lato" w:cs="Times New Roman"/>
                <w:color w:val="auto"/>
                <w:sz w:val="18"/>
                <w:szCs w:val="18"/>
                <w:vertAlign w:val="superscript"/>
                <w:lang w:eastAsia="pl-PL"/>
              </w:rPr>
              <w:t>2)</w:t>
            </w:r>
          </w:p>
        </w:tc>
        <w:tc>
          <w:tcPr>
            <w:tcW w:w="1346" w:type="pct"/>
            <w:shd w:val="clear" w:color="auto" w:fill="auto"/>
          </w:tcPr>
          <w:p w14:paraId="65C27A5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70DD7A1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15,7</w:t>
            </w:r>
          </w:p>
        </w:tc>
      </w:tr>
      <w:tr w:rsidR="00193229" w:rsidRPr="00193229" w14:paraId="2536BA80"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FC3C1D7"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3F01EC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60-64 lata</w:t>
            </w:r>
          </w:p>
        </w:tc>
        <w:tc>
          <w:tcPr>
            <w:tcW w:w="2693" w:type="pct"/>
            <w:gridSpan w:val="2"/>
            <w:shd w:val="clear" w:color="auto" w:fill="auto"/>
          </w:tcPr>
          <w:p w14:paraId="1DD8E78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1,2</w:t>
            </w:r>
          </w:p>
        </w:tc>
      </w:tr>
      <w:tr w:rsidR="00193229" w:rsidRPr="00193229" w14:paraId="1964AF41" w14:textId="77777777" w:rsidTr="0019322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F9D8A88"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pobierające renty </w:t>
            </w:r>
            <w:r w:rsidRPr="00193229">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19D84891" w14:textId="77777777" w:rsidR="00193229" w:rsidRPr="00193229" w:rsidRDefault="0019322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ZUS</w:t>
            </w:r>
          </w:p>
        </w:tc>
      </w:tr>
      <w:tr w:rsidR="00193229" w:rsidRPr="00193229" w14:paraId="00B66A28" w14:textId="77777777" w:rsidTr="0019322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6A41C8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0E6CDDF"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5174964A"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193229" w14:paraId="14D87D50" w14:textId="77777777" w:rsidTr="0019322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11328C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70FD5C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0589DC6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163,7</w:t>
            </w:r>
          </w:p>
        </w:tc>
      </w:tr>
      <w:tr w:rsidR="00193229" w:rsidRPr="00193229" w14:paraId="72E4FCB2" w14:textId="77777777" w:rsidTr="0019322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04C1425"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1AD9E1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4C97B41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20,0</w:t>
            </w:r>
          </w:p>
        </w:tc>
      </w:tr>
      <w:tr w:rsidR="00193229" w:rsidRPr="00193229" w14:paraId="1CEDA328"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5BF1BCB"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F9A209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76E07B7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29,2</w:t>
            </w:r>
          </w:p>
        </w:tc>
      </w:tr>
      <w:tr w:rsidR="00193229" w:rsidRPr="00193229" w14:paraId="084366CC"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398F30C"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7DB0F211" w14:textId="77777777" w:rsidR="00193229" w:rsidRPr="00193229" w:rsidRDefault="0019322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KRUS</w:t>
            </w:r>
          </w:p>
        </w:tc>
      </w:tr>
      <w:tr w:rsidR="00193229" w:rsidRPr="00193229" w14:paraId="39464E57" w14:textId="77777777" w:rsidTr="0019322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CCB53E3"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F5DF2A6"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12329337"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193229" w14:paraId="72A80666"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93843A2"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E878A7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10D9128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9,8</w:t>
            </w:r>
          </w:p>
        </w:tc>
      </w:tr>
      <w:tr w:rsidR="00193229" w:rsidRPr="00193229" w14:paraId="4EE15931" w14:textId="77777777" w:rsidTr="0019322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30A7CF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46866E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2440394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2,9</w:t>
            </w:r>
          </w:p>
        </w:tc>
      </w:tr>
      <w:tr w:rsidR="00193229" w:rsidRPr="00193229" w14:paraId="3B556A21"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62779D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379895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08979C5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0,6</w:t>
            </w:r>
          </w:p>
        </w:tc>
      </w:tr>
      <w:tr w:rsidR="00193229" w:rsidRPr="00193229" w14:paraId="51FD59D5"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56D55A7D"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 xml:space="preserve">SYTUACJA DOCHODOWA, WARUNKI BYTU, W TYM WARUNKI MIESZKANIOWE – DANE ZA 2022 R. </w:t>
            </w:r>
          </w:p>
        </w:tc>
      </w:tr>
      <w:tr w:rsidR="00193229" w:rsidRPr="00193229" w14:paraId="6B99BD67"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B775236" w14:textId="3E9A2DF1" w:rsidR="00193229" w:rsidRPr="00193229" w:rsidRDefault="00193229" w:rsidP="0031646A">
            <w:pPr>
              <w:jc w:val="both"/>
              <w:rPr>
                <w:rFonts w:ascii="Lato" w:hAnsi="Lato" w:cs="Times New Roman"/>
                <w:b w:val="0"/>
                <w:color w:val="auto"/>
                <w:sz w:val="18"/>
                <w:szCs w:val="18"/>
              </w:rPr>
            </w:pPr>
            <w:r w:rsidRPr="00193229">
              <w:rPr>
                <w:rFonts w:ascii="Lato" w:hAnsi="Lato" w:cs="Times New Roman"/>
                <w:b w:val="0"/>
                <w:color w:val="auto"/>
                <w:sz w:val="18"/>
                <w:szCs w:val="18"/>
              </w:rPr>
              <w:t>W 2022 r. w województwie lubuskim przeciętny miesięczny dochód rozporządzalny przypadający na 1 osobę w gospodarstwach domowych wyniósł 2252,00 zł. Na dochód rozporządzalny gospodarstwa domowego składają się przede wszystkim dochody z pracy najemnej oraz dochody ze świadczeń społecznych. W 2022 r. ich udział w dochodzie rozporządzalnym wyniósł odpowiednio 56,4% i 32,8%. W 2022 r. przeciętne miesięczne wydatki na 1 osobę w gospodarstwach domowych wyniosły 1389,74 zł.  Na żywność i napoje bezalkoholowe gospodarstwa domowe przeznaczały przeciętnie 28,8% ogólnej kwoty wydatków, na opłaty z tytułu użytkowania mieszkania lub domu i za korzystanie z nośników energii - 20,5%, a na zdrowie – 5,1%.</w:t>
            </w:r>
            <w:r w:rsidR="0031646A">
              <w:rPr>
                <w:rFonts w:ascii="Lato" w:hAnsi="Lato" w:cs="Times New Roman"/>
                <w:b w:val="0"/>
                <w:color w:val="auto"/>
                <w:sz w:val="18"/>
                <w:szCs w:val="18"/>
              </w:rPr>
              <w:t xml:space="preserve"> </w:t>
            </w:r>
            <w:r w:rsidRPr="00193229">
              <w:rPr>
                <w:rFonts w:ascii="Lato" w:hAnsi="Lato" w:cs="Times New Roman"/>
                <w:b w:val="0"/>
                <w:color w:val="auto"/>
                <w:sz w:val="18"/>
                <w:szCs w:val="18"/>
              </w:rPr>
              <w:t xml:space="preserve">W 2022 r. swoją sytuację materialną jako dobrą lub raczej dobrą oceniło 54,7% gospodarstw domowych. Udział gospodarstw określających swoją sytuację </w:t>
            </w:r>
            <w:r w:rsidRPr="00193229">
              <w:rPr>
                <w:rFonts w:ascii="Lato" w:hAnsi="Lato" w:cs="Times New Roman"/>
                <w:b w:val="0"/>
                <w:color w:val="auto"/>
                <w:sz w:val="18"/>
                <w:szCs w:val="18"/>
              </w:rPr>
              <w:lastRenderedPageBreak/>
              <w:t>materialną jako przeciętną wyniósł 39,3%, a raczej złą lub złą ukształtował się na poziomie 6,0%.</w:t>
            </w:r>
            <w:r w:rsidR="0031646A">
              <w:rPr>
                <w:rFonts w:ascii="Lato" w:hAnsi="Lato" w:cs="Times New Roman"/>
                <w:b w:val="0"/>
                <w:color w:val="auto"/>
                <w:sz w:val="18"/>
                <w:szCs w:val="18"/>
              </w:rPr>
              <w:t xml:space="preserve"> </w:t>
            </w:r>
            <w:r w:rsidRPr="00193229">
              <w:rPr>
                <w:rFonts w:ascii="Lato" w:hAnsi="Lato" w:cs="Times New Roman"/>
                <w:b w:val="0"/>
                <w:color w:val="auto"/>
                <w:sz w:val="18"/>
                <w:szCs w:val="18"/>
              </w:rPr>
              <w:t>W analizowanym roku przeciętna liczba osób w gospodarstwie domowym ukształtowała się na poziomie 2,38. Przeciętna powierzchnia użytkowa mieszkania zajmowana przez gospodarstwo domowe wyniosła 79,9 m</w:t>
            </w:r>
            <w:r w:rsidRPr="00193229">
              <w:rPr>
                <w:rFonts w:ascii="Lato" w:hAnsi="Lato" w:cs="Times New Roman"/>
                <w:b w:val="0"/>
                <w:color w:val="auto"/>
                <w:sz w:val="18"/>
                <w:szCs w:val="18"/>
                <w:vertAlign w:val="superscript"/>
              </w:rPr>
              <w:t>2</w:t>
            </w:r>
            <w:r w:rsidRPr="00193229">
              <w:rPr>
                <w:rFonts w:ascii="Lato" w:hAnsi="Lato" w:cs="Times New Roman"/>
                <w:b w:val="0"/>
                <w:color w:val="auto"/>
                <w:sz w:val="18"/>
                <w:szCs w:val="18"/>
              </w:rPr>
              <w:t>.</w:t>
            </w:r>
            <w:r w:rsidRPr="00193229">
              <w:rPr>
                <w:rFonts w:ascii="Lato" w:hAnsi="Lato" w:cs="Times New Roman"/>
                <w:b w:val="0"/>
                <w:color w:val="auto"/>
                <w:sz w:val="18"/>
                <w:szCs w:val="18"/>
              </w:rPr>
              <w:tab/>
            </w:r>
          </w:p>
        </w:tc>
      </w:tr>
    </w:tbl>
    <w:p w14:paraId="5CA71D9A"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lastRenderedPageBreak/>
        <w:t>Źródło: dane GUS</w:t>
      </w:r>
    </w:p>
    <w:p w14:paraId="12277344"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0E7DB4C6"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34D2F0B3" w14:textId="21F8407C" w:rsidR="00193229" w:rsidRPr="00193229" w:rsidRDefault="00193229" w:rsidP="002C3705">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F0AAD58" w14:textId="36A7AB7E" w:rsidR="00915D13" w:rsidRPr="002B0821" w:rsidRDefault="00586D97" w:rsidP="00193229">
      <w:pPr>
        <w:pStyle w:val="Nagwek2"/>
        <w:numPr>
          <w:ilvl w:val="1"/>
          <w:numId w:val="44"/>
        </w:numPr>
        <w:rPr>
          <w:b/>
          <w:bCs/>
        </w:rPr>
      </w:pPr>
      <w:bookmarkStart w:id="144" w:name="_Toc142565952"/>
      <w:r w:rsidRPr="002B0821">
        <w:rPr>
          <w:b/>
          <w:bCs/>
        </w:rPr>
        <w:t>Województwo łódzkie</w:t>
      </w:r>
      <w:bookmarkEnd w:id="144"/>
    </w:p>
    <w:p w14:paraId="5861C85B" w14:textId="3F4C594D" w:rsidR="00915D13" w:rsidRPr="00915D13" w:rsidRDefault="00915D13" w:rsidP="00915D13">
      <w:pPr>
        <w:spacing w:after="0" w:line="240" w:lineRule="auto"/>
        <w:ind w:right="114"/>
        <w:jc w:val="both"/>
        <w:rPr>
          <w:rFonts w:ascii="Lato" w:hAnsi="Lato"/>
          <w:sz w:val="20"/>
          <w:szCs w:val="20"/>
        </w:rPr>
      </w:pPr>
      <w:r w:rsidRPr="00915D13">
        <w:rPr>
          <w:rFonts w:ascii="Lato" w:hAnsi="Lato"/>
          <w:sz w:val="20"/>
          <w:szCs w:val="20"/>
        </w:rPr>
        <w:t xml:space="preserve">W roku 2022, na mocy art. 21 ust. 1 ustawy z dnia 12 marca 2004 r. o pomocy społecznej, Sejmik Województwa Łódzkiego podjął uchwałą </w:t>
      </w:r>
      <w:r w:rsidRPr="00915D13">
        <w:rPr>
          <w:rFonts w:ascii="Lato" w:hAnsi="Lato"/>
          <w:i/>
          <w:sz w:val="20"/>
          <w:szCs w:val="20"/>
        </w:rPr>
        <w:t xml:space="preserve">Strategię w zakresie polityki społecznej województwa  łódzkiego  do  2030  roku.  </w:t>
      </w:r>
      <w:r w:rsidRPr="00915D13">
        <w:rPr>
          <w:rFonts w:ascii="Lato" w:hAnsi="Lato"/>
          <w:sz w:val="20"/>
          <w:szCs w:val="20"/>
        </w:rPr>
        <w:t xml:space="preserve">W  2022  r.  Strategia  tworzona  była  w  oparciu    o dokumenty: </w:t>
      </w:r>
      <w:r w:rsidRPr="00915D13">
        <w:rPr>
          <w:rFonts w:ascii="Lato" w:hAnsi="Lato"/>
          <w:i/>
          <w:sz w:val="20"/>
          <w:szCs w:val="20"/>
        </w:rPr>
        <w:t>Program Fundusze Europejskie dla Rozwoju Społecznego na lata 2021-2027</w:t>
      </w:r>
      <w:r w:rsidRPr="00915D13">
        <w:rPr>
          <w:rFonts w:ascii="Lato" w:hAnsi="Lato"/>
          <w:sz w:val="20"/>
          <w:szCs w:val="20"/>
        </w:rPr>
        <w:t xml:space="preserve">, Regionalny program operacyjny – </w:t>
      </w:r>
      <w:r w:rsidRPr="00915D13">
        <w:rPr>
          <w:rFonts w:ascii="Lato" w:hAnsi="Lato"/>
          <w:i/>
          <w:sz w:val="20"/>
          <w:szCs w:val="20"/>
        </w:rPr>
        <w:t>Fundusze Europejskie dla Łódzkiego 2027</w:t>
      </w:r>
      <w:r w:rsidRPr="00915D13">
        <w:rPr>
          <w:rFonts w:ascii="Lato" w:hAnsi="Lato"/>
          <w:sz w:val="20"/>
          <w:szCs w:val="20"/>
        </w:rPr>
        <w:t xml:space="preserve">. W zapisach Strategii uwzględniono założenia polityki publicznej pod nazwą </w:t>
      </w:r>
      <w:r w:rsidRPr="00915D13">
        <w:rPr>
          <w:rFonts w:ascii="Lato" w:hAnsi="Lato"/>
          <w:i/>
          <w:sz w:val="20"/>
          <w:szCs w:val="20"/>
        </w:rPr>
        <w:t>Krajowy Program Przeciwdziałania</w:t>
      </w:r>
      <w:r w:rsidRPr="00915D13">
        <w:rPr>
          <w:rFonts w:ascii="Lato" w:hAnsi="Lato"/>
          <w:i/>
          <w:spacing w:val="-8"/>
          <w:sz w:val="20"/>
          <w:szCs w:val="20"/>
        </w:rPr>
        <w:t xml:space="preserve"> </w:t>
      </w:r>
      <w:r w:rsidRPr="00915D13">
        <w:rPr>
          <w:rFonts w:ascii="Lato" w:hAnsi="Lato"/>
          <w:i/>
          <w:sz w:val="20"/>
          <w:szCs w:val="20"/>
        </w:rPr>
        <w:t>Ubóstwu</w:t>
      </w:r>
      <w:r w:rsidRPr="00915D13">
        <w:rPr>
          <w:rFonts w:ascii="Lato" w:hAnsi="Lato"/>
          <w:i/>
          <w:spacing w:val="-11"/>
          <w:sz w:val="20"/>
          <w:szCs w:val="20"/>
        </w:rPr>
        <w:t xml:space="preserve"> </w:t>
      </w:r>
      <w:r w:rsidRPr="00915D13">
        <w:rPr>
          <w:rFonts w:ascii="Lato" w:hAnsi="Lato"/>
          <w:i/>
          <w:sz w:val="20"/>
          <w:szCs w:val="20"/>
        </w:rPr>
        <w:t>i</w:t>
      </w:r>
      <w:r w:rsidRPr="00915D13">
        <w:rPr>
          <w:rFonts w:ascii="Lato" w:hAnsi="Lato"/>
          <w:i/>
          <w:spacing w:val="-11"/>
          <w:sz w:val="20"/>
          <w:szCs w:val="20"/>
        </w:rPr>
        <w:t xml:space="preserve"> </w:t>
      </w:r>
      <w:r w:rsidRPr="00915D13">
        <w:rPr>
          <w:rFonts w:ascii="Lato" w:hAnsi="Lato"/>
          <w:i/>
          <w:sz w:val="20"/>
          <w:szCs w:val="20"/>
        </w:rPr>
        <w:t>Wykluczeniu</w:t>
      </w:r>
      <w:r w:rsidRPr="00915D13">
        <w:rPr>
          <w:rFonts w:ascii="Lato" w:hAnsi="Lato"/>
          <w:i/>
          <w:spacing w:val="-10"/>
          <w:sz w:val="20"/>
          <w:szCs w:val="20"/>
        </w:rPr>
        <w:t xml:space="preserve"> </w:t>
      </w:r>
      <w:r w:rsidRPr="00915D13">
        <w:rPr>
          <w:rFonts w:ascii="Lato" w:hAnsi="Lato"/>
          <w:i/>
          <w:sz w:val="20"/>
          <w:szCs w:val="20"/>
        </w:rPr>
        <w:t>Społecznemu.</w:t>
      </w:r>
      <w:r w:rsidRPr="00915D13">
        <w:rPr>
          <w:rFonts w:ascii="Lato" w:hAnsi="Lato"/>
          <w:i/>
          <w:spacing w:val="-11"/>
          <w:sz w:val="20"/>
          <w:szCs w:val="20"/>
        </w:rPr>
        <w:t xml:space="preserve"> </w:t>
      </w:r>
      <w:r w:rsidRPr="00915D13">
        <w:rPr>
          <w:rFonts w:ascii="Lato" w:hAnsi="Lato"/>
          <w:i/>
          <w:sz w:val="20"/>
          <w:szCs w:val="20"/>
        </w:rPr>
        <w:t>Aktualizacja</w:t>
      </w:r>
      <w:r w:rsidRPr="00915D13">
        <w:rPr>
          <w:rFonts w:ascii="Lato" w:hAnsi="Lato"/>
          <w:i/>
          <w:spacing w:val="-9"/>
          <w:sz w:val="20"/>
          <w:szCs w:val="20"/>
        </w:rPr>
        <w:t xml:space="preserve"> </w:t>
      </w:r>
      <w:r w:rsidRPr="00915D13">
        <w:rPr>
          <w:rFonts w:ascii="Lato" w:hAnsi="Lato"/>
          <w:i/>
          <w:sz w:val="20"/>
          <w:szCs w:val="20"/>
        </w:rPr>
        <w:t>2021-2027</w:t>
      </w:r>
      <w:r w:rsidRPr="00915D13">
        <w:rPr>
          <w:rFonts w:ascii="Lato" w:hAnsi="Lato"/>
          <w:i/>
          <w:spacing w:val="-10"/>
          <w:sz w:val="20"/>
          <w:szCs w:val="20"/>
        </w:rPr>
        <w:t xml:space="preserve"> </w:t>
      </w:r>
      <w:r w:rsidRPr="00915D13">
        <w:rPr>
          <w:rFonts w:ascii="Lato" w:hAnsi="Lato"/>
          <w:i/>
          <w:sz w:val="20"/>
          <w:szCs w:val="20"/>
        </w:rPr>
        <w:t>z</w:t>
      </w:r>
      <w:r w:rsidRPr="00915D13">
        <w:rPr>
          <w:rFonts w:ascii="Lato" w:hAnsi="Lato"/>
          <w:i/>
          <w:spacing w:val="-11"/>
          <w:sz w:val="20"/>
          <w:szCs w:val="20"/>
        </w:rPr>
        <w:t xml:space="preserve"> </w:t>
      </w:r>
      <w:r w:rsidRPr="00915D13">
        <w:rPr>
          <w:rFonts w:ascii="Lato" w:hAnsi="Lato"/>
          <w:i/>
          <w:sz w:val="20"/>
          <w:szCs w:val="20"/>
        </w:rPr>
        <w:t>perspektywą do</w:t>
      </w:r>
      <w:r w:rsidRPr="00915D13">
        <w:rPr>
          <w:rFonts w:ascii="Lato" w:hAnsi="Lato"/>
          <w:i/>
          <w:spacing w:val="-17"/>
          <w:sz w:val="20"/>
          <w:szCs w:val="20"/>
        </w:rPr>
        <w:t xml:space="preserve"> </w:t>
      </w:r>
      <w:r w:rsidRPr="00915D13">
        <w:rPr>
          <w:rFonts w:ascii="Lato" w:hAnsi="Lato"/>
          <w:i/>
          <w:sz w:val="20"/>
          <w:szCs w:val="20"/>
        </w:rPr>
        <w:t>roku</w:t>
      </w:r>
      <w:r w:rsidRPr="00915D13">
        <w:rPr>
          <w:rFonts w:ascii="Lato" w:hAnsi="Lato"/>
          <w:i/>
          <w:spacing w:val="-16"/>
          <w:sz w:val="20"/>
          <w:szCs w:val="20"/>
        </w:rPr>
        <w:t xml:space="preserve"> </w:t>
      </w:r>
      <w:r w:rsidRPr="00915D13">
        <w:rPr>
          <w:rFonts w:ascii="Lato" w:hAnsi="Lato"/>
          <w:i/>
          <w:sz w:val="20"/>
          <w:szCs w:val="20"/>
        </w:rPr>
        <w:t>2030</w:t>
      </w:r>
      <w:r w:rsidRPr="00915D13">
        <w:rPr>
          <w:rFonts w:ascii="Lato" w:hAnsi="Lato"/>
          <w:sz w:val="20"/>
          <w:szCs w:val="20"/>
        </w:rPr>
        <w:t>.</w:t>
      </w:r>
      <w:r w:rsidRPr="00915D13">
        <w:rPr>
          <w:rFonts w:ascii="Lato" w:hAnsi="Lato"/>
          <w:spacing w:val="-16"/>
          <w:sz w:val="20"/>
          <w:szCs w:val="20"/>
        </w:rPr>
        <w:t xml:space="preserve"> </w:t>
      </w:r>
      <w:r w:rsidRPr="00915D13">
        <w:rPr>
          <w:rFonts w:ascii="Lato" w:hAnsi="Lato"/>
          <w:sz w:val="20"/>
          <w:szCs w:val="20"/>
        </w:rPr>
        <w:t>Jednym</w:t>
      </w:r>
      <w:r w:rsidRPr="00915D13">
        <w:rPr>
          <w:rFonts w:ascii="Lato" w:hAnsi="Lato"/>
          <w:spacing w:val="-16"/>
          <w:sz w:val="20"/>
          <w:szCs w:val="20"/>
        </w:rPr>
        <w:t xml:space="preserve"> </w:t>
      </w:r>
      <w:r w:rsidRPr="00915D13">
        <w:rPr>
          <w:rFonts w:ascii="Lato" w:hAnsi="Lato"/>
          <w:sz w:val="20"/>
          <w:szCs w:val="20"/>
        </w:rPr>
        <w:t>z</w:t>
      </w:r>
      <w:r w:rsidRPr="00915D13">
        <w:rPr>
          <w:rFonts w:ascii="Lato" w:hAnsi="Lato"/>
          <w:spacing w:val="-16"/>
          <w:sz w:val="20"/>
          <w:szCs w:val="20"/>
        </w:rPr>
        <w:t xml:space="preserve"> </w:t>
      </w:r>
      <w:r w:rsidRPr="00915D13">
        <w:rPr>
          <w:rFonts w:ascii="Lato" w:hAnsi="Lato"/>
          <w:sz w:val="20"/>
          <w:szCs w:val="20"/>
        </w:rPr>
        <w:t>celów</w:t>
      </w:r>
      <w:r w:rsidRPr="00915D13">
        <w:rPr>
          <w:rFonts w:ascii="Lato" w:hAnsi="Lato"/>
          <w:spacing w:val="-15"/>
          <w:sz w:val="20"/>
          <w:szCs w:val="20"/>
        </w:rPr>
        <w:t xml:space="preserve"> </w:t>
      </w:r>
      <w:r w:rsidRPr="00915D13">
        <w:rPr>
          <w:rFonts w:ascii="Lato" w:hAnsi="Lato"/>
          <w:sz w:val="20"/>
          <w:szCs w:val="20"/>
        </w:rPr>
        <w:t>Strategii</w:t>
      </w:r>
      <w:r w:rsidRPr="00915D13">
        <w:rPr>
          <w:rFonts w:ascii="Lato" w:hAnsi="Lato"/>
          <w:spacing w:val="-16"/>
          <w:sz w:val="20"/>
          <w:szCs w:val="20"/>
        </w:rPr>
        <w:t xml:space="preserve"> </w:t>
      </w:r>
      <w:r w:rsidRPr="00915D13">
        <w:rPr>
          <w:rFonts w:ascii="Lato" w:hAnsi="Lato"/>
          <w:sz w:val="20"/>
          <w:szCs w:val="20"/>
        </w:rPr>
        <w:t>jest</w:t>
      </w:r>
      <w:r w:rsidRPr="00915D13">
        <w:rPr>
          <w:rFonts w:ascii="Lato" w:hAnsi="Lato"/>
          <w:spacing w:val="-15"/>
          <w:sz w:val="20"/>
          <w:szCs w:val="20"/>
        </w:rPr>
        <w:t xml:space="preserve"> </w:t>
      </w:r>
      <w:r w:rsidRPr="00915D13">
        <w:rPr>
          <w:rFonts w:ascii="Lato" w:hAnsi="Lato"/>
          <w:sz w:val="20"/>
          <w:szCs w:val="20"/>
        </w:rPr>
        <w:t>obszar</w:t>
      </w:r>
      <w:r w:rsidRPr="00915D13">
        <w:rPr>
          <w:rFonts w:ascii="Lato" w:hAnsi="Lato"/>
          <w:spacing w:val="-16"/>
          <w:sz w:val="20"/>
          <w:szCs w:val="20"/>
        </w:rPr>
        <w:t xml:space="preserve"> </w:t>
      </w:r>
      <w:r w:rsidRPr="00915D13">
        <w:rPr>
          <w:rFonts w:ascii="Lato" w:hAnsi="Lato"/>
          <w:sz w:val="20"/>
          <w:szCs w:val="20"/>
        </w:rPr>
        <w:t>włączenia</w:t>
      </w:r>
      <w:r w:rsidRPr="00915D13">
        <w:rPr>
          <w:rFonts w:ascii="Lato" w:hAnsi="Lato"/>
          <w:spacing w:val="-16"/>
          <w:sz w:val="20"/>
          <w:szCs w:val="20"/>
        </w:rPr>
        <w:t xml:space="preserve"> </w:t>
      </w:r>
      <w:r w:rsidRPr="00915D13">
        <w:rPr>
          <w:rFonts w:ascii="Lato" w:hAnsi="Lato"/>
          <w:sz w:val="20"/>
          <w:szCs w:val="20"/>
        </w:rPr>
        <w:t>społeczno-zawodowego</w:t>
      </w:r>
      <w:r w:rsidRPr="00915D13">
        <w:rPr>
          <w:rFonts w:ascii="Lato" w:hAnsi="Lato"/>
          <w:spacing w:val="-15"/>
          <w:sz w:val="20"/>
          <w:szCs w:val="20"/>
        </w:rPr>
        <w:t xml:space="preserve"> </w:t>
      </w:r>
      <w:r w:rsidRPr="00915D13">
        <w:rPr>
          <w:rFonts w:ascii="Lato" w:hAnsi="Lato"/>
          <w:sz w:val="20"/>
          <w:szCs w:val="20"/>
        </w:rPr>
        <w:t>kategorii osób w wieku</w:t>
      </w:r>
      <w:r w:rsidRPr="00915D13">
        <w:rPr>
          <w:rFonts w:ascii="Lato" w:hAnsi="Lato"/>
          <w:spacing w:val="-3"/>
          <w:sz w:val="20"/>
          <w:szCs w:val="20"/>
        </w:rPr>
        <w:t xml:space="preserve"> </w:t>
      </w:r>
      <w:r w:rsidRPr="00915D13">
        <w:rPr>
          <w:rFonts w:ascii="Lato" w:hAnsi="Lato"/>
          <w:sz w:val="20"/>
          <w:szCs w:val="20"/>
        </w:rPr>
        <w:t>60+.</w:t>
      </w:r>
    </w:p>
    <w:p w14:paraId="7ACBEEFD" w14:textId="77777777" w:rsidR="00915D13" w:rsidRDefault="00915D13" w:rsidP="00915D13">
      <w:pPr>
        <w:pStyle w:val="Tekstpodstawowy"/>
        <w:jc w:val="both"/>
        <w:rPr>
          <w:rFonts w:ascii="Lato" w:hAnsi="Lato"/>
          <w:sz w:val="20"/>
          <w:szCs w:val="20"/>
        </w:rPr>
      </w:pPr>
    </w:p>
    <w:p w14:paraId="43BF3D46" w14:textId="77F6BC2B" w:rsidR="00915D13" w:rsidRPr="00915D13" w:rsidRDefault="00915D13" w:rsidP="00915D13">
      <w:pPr>
        <w:pStyle w:val="Tekstpodstawowy"/>
        <w:jc w:val="both"/>
        <w:rPr>
          <w:rFonts w:ascii="Lato" w:hAnsi="Lato"/>
          <w:sz w:val="20"/>
          <w:szCs w:val="20"/>
        </w:rPr>
      </w:pPr>
      <w:r w:rsidRPr="00915D13">
        <w:rPr>
          <w:rFonts w:ascii="Lato" w:hAnsi="Lato"/>
          <w:sz w:val="20"/>
          <w:szCs w:val="20"/>
        </w:rPr>
        <w:t>W województwie łódzkim na poziomie regionalnym w roku 2022 Regionalne Centrum Polityki</w:t>
      </w:r>
      <w:r>
        <w:rPr>
          <w:rFonts w:ascii="Lato" w:hAnsi="Lato"/>
          <w:sz w:val="20"/>
          <w:szCs w:val="20"/>
        </w:rPr>
        <w:t xml:space="preserve"> </w:t>
      </w:r>
      <w:r w:rsidRPr="00915D13">
        <w:rPr>
          <w:rFonts w:ascii="Lato" w:hAnsi="Lato"/>
          <w:sz w:val="20"/>
          <w:szCs w:val="20"/>
        </w:rPr>
        <w:t>Społecznej w Łodzi podjęło następujące działania na rzecz osób starszych</w:t>
      </w:r>
      <w:r>
        <w:rPr>
          <w:rFonts w:ascii="Lato" w:hAnsi="Lato"/>
          <w:sz w:val="20"/>
          <w:szCs w:val="20"/>
        </w:rPr>
        <w:t xml:space="preserve"> </w:t>
      </w:r>
      <w:r w:rsidRPr="00915D13">
        <w:rPr>
          <w:rFonts w:ascii="Lato" w:hAnsi="Lato"/>
          <w:sz w:val="20"/>
          <w:szCs w:val="20"/>
        </w:rPr>
        <w:t>ogłoszono 7 otwartych konkursów ofert na:</w:t>
      </w:r>
    </w:p>
    <w:p w14:paraId="08F0C6F4" w14:textId="1F8A7DF6" w:rsidR="00915D13" w:rsidRDefault="00915D13" w:rsidP="00B73AF7">
      <w:pPr>
        <w:pStyle w:val="Tekstpodstawowy"/>
        <w:numPr>
          <w:ilvl w:val="0"/>
          <w:numId w:val="63"/>
        </w:numPr>
        <w:ind w:right="114"/>
        <w:jc w:val="both"/>
        <w:rPr>
          <w:rFonts w:ascii="Lato" w:hAnsi="Lato"/>
          <w:sz w:val="20"/>
          <w:szCs w:val="20"/>
        </w:rPr>
      </w:pPr>
      <w:r w:rsidRPr="00915D13">
        <w:rPr>
          <w:rFonts w:ascii="Lato" w:hAnsi="Lato"/>
          <w:sz w:val="20"/>
          <w:szCs w:val="20"/>
        </w:rPr>
        <w:t>wsparcie</w:t>
      </w:r>
      <w:r w:rsidRPr="00915D13">
        <w:rPr>
          <w:rFonts w:ascii="Lato" w:hAnsi="Lato"/>
          <w:spacing w:val="-11"/>
          <w:sz w:val="20"/>
          <w:szCs w:val="20"/>
        </w:rPr>
        <w:t xml:space="preserve"> </w:t>
      </w:r>
      <w:r w:rsidRPr="00915D13">
        <w:rPr>
          <w:rFonts w:ascii="Lato" w:hAnsi="Lato"/>
          <w:sz w:val="20"/>
          <w:szCs w:val="20"/>
        </w:rPr>
        <w:t>realizacji</w:t>
      </w:r>
      <w:r w:rsidRPr="00915D13">
        <w:rPr>
          <w:rFonts w:ascii="Lato" w:hAnsi="Lato"/>
          <w:spacing w:val="-11"/>
          <w:sz w:val="20"/>
          <w:szCs w:val="20"/>
        </w:rPr>
        <w:t xml:space="preserve"> </w:t>
      </w:r>
      <w:r w:rsidRPr="00915D13">
        <w:rPr>
          <w:rFonts w:ascii="Lato" w:hAnsi="Lato"/>
          <w:sz w:val="20"/>
          <w:szCs w:val="20"/>
        </w:rPr>
        <w:t>zadań</w:t>
      </w:r>
      <w:r w:rsidRPr="00915D13">
        <w:rPr>
          <w:rFonts w:ascii="Lato" w:hAnsi="Lato"/>
          <w:spacing w:val="-11"/>
          <w:sz w:val="20"/>
          <w:szCs w:val="20"/>
        </w:rPr>
        <w:t xml:space="preserve"> </w:t>
      </w:r>
      <w:r w:rsidRPr="00915D13">
        <w:rPr>
          <w:rFonts w:ascii="Lato" w:hAnsi="Lato"/>
          <w:sz w:val="20"/>
          <w:szCs w:val="20"/>
        </w:rPr>
        <w:t>z</w:t>
      </w:r>
      <w:r w:rsidRPr="00915D13">
        <w:rPr>
          <w:rFonts w:ascii="Lato" w:hAnsi="Lato"/>
          <w:spacing w:val="-11"/>
          <w:sz w:val="20"/>
          <w:szCs w:val="20"/>
        </w:rPr>
        <w:t xml:space="preserve"> </w:t>
      </w:r>
      <w:r w:rsidRPr="00915D13">
        <w:rPr>
          <w:rFonts w:ascii="Lato" w:hAnsi="Lato"/>
          <w:sz w:val="20"/>
          <w:szCs w:val="20"/>
        </w:rPr>
        <w:t>zakresu</w:t>
      </w:r>
      <w:r w:rsidRPr="00915D13">
        <w:rPr>
          <w:rFonts w:ascii="Lato" w:hAnsi="Lato"/>
          <w:spacing w:val="-10"/>
          <w:sz w:val="20"/>
          <w:szCs w:val="20"/>
        </w:rPr>
        <w:t xml:space="preserve"> </w:t>
      </w:r>
      <w:r w:rsidRPr="00915D13">
        <w:rPr>
          <w:rFonts w:ascii="Lato" w:hAnsi="Lato"/>
          <w:sz w:val="20"/>
          <w:szCs w:val="20"/>
        </w:rPr>
        <w:t>pomocy</w:t>
      </w:r>
      <w:r w:rsidRPr="00915D13">
        <w:rPr>
          <w:rFonts w:ascii="Lato" w:hAnsi="Lato"/>
          <w:spacing w:val="-11"/>
          <w:sz w:val="20"/>
          <w:szCs w:val="20"/>
        </w:rPr>
        <w:t xml:space="preserve"> </w:t>
      </w:r>
      <w:r w:rsidRPr="00915D13">
        <w:rPr>
          <w:rFonts w:ascii="Lato" w:hAnsi="Lato"/>
          <w:sz w:val="20"/>
          <w:szCs w:val="20"/>
        </w:rPr>
        <w:t>społecznej,</w:t>
      </w:r>
      <w:r w:rsidRPr="00915D13">
        <w:rPr>
          <w:rFonts w:ascii="Lato" w:hAnsi="Lato"/>
          <w:spacing w:val="-11"/>
          <w:sz w:val="20"/>
          <w:szCs w:val="20"/>
        </w:rPr>
        <w:t xml:space="preserve"> </w:t>
      </w:r>
      <w:r w:rsidRPr="00915D13">
        <w:rPr>
          <w:rFonts w:ascii="Lato" w:hAnsi="Lato"/>
          <w:sz w:val="20"/>
          <w:szCs w:val="20"/>
        </w:rPr>
        <w:t>w</w:t>
      </w:r>
      <w:r w:rsidRPr="00915D13">
        <w:rPr>
          <w:rFonts w:ascii="Lato" w:hAnsi="Lato"/>
          <w:spacing w:val="-12"/>
          <w:sz w:val="20"/>
          <w:szCs w:val="20"/>
        </w:rPr>
        <w:t xml:space="preserve"> </w:t>
      </w:r>
      <w:r w:rsidRPr="00915D13">
        <w:rPr>
          <w:rFonts w:ascii="Lato" w:hAnsi="Lato"/>
          <w:sz w:val="20"/>
          <w:szCs w:val="20"/>
        </w:rPr>
        <w:t>tym</w:t>
      </w:r>
      <w:r w:rsidRPr="00915D13">
        <w:rPr>
          <w:rFonts w:ascii="Lato" w:hAnsi="Lato"/>
          <w:spacing w:val="-11"/>
          <w:sz w:val="20"/>
          <w:szCs w:val="20"/>
        </w:rPr>
        <w:t xml:space="preserve"> </w:t>
      </w:r>
      <w:r w:rsidRPr="00915D13">
        <w:rPr>
          <w:rFonts w:ascii="Lato" w:hAnsi="Lato"/>
          <w:sz w:val="20"/>
          <w:szCs w:val="20"/>
        </w:rPr>
        <w:t>pomocy</w:t>
      </w:r>
      <w:r w:rsidRPr="00915D13">
        <w:rPr>
          <w:rFonts w:ascii="Lato" w:hAnsi="Lato"/>
          <w:spacing w:val="-11"/>
          <w:sz w:val="20"/>
          <w:szCs w:val="20"/>
        </w:rPr>
        <w:t xml:space="preserve"> </w:t>
      </w:r>
      <w:r w:rsidRPr="00915D13">
        <w:rPr>
          <w:rFonts w:ascii="Lato" w:hAnsi="Lato"/>
          <w:sz w:val="20"/>
          <w:szCs w:val="20"/>
        </w:rPr>
        <w:t>rodzinom</w:t>
      </w:r>
      <w:r w:rsidRPr="00915D13">
        <w:rPr>
          <w:rFonts w:ascii="Lato" w:hAnsi="Lato"/>
          <w:spacing w:val="-11"/>
          <w:sz w:val="20"/>
          <w:szCs w:val="20"/>
        </w:rPr>
        <w:t xml:space="preserve"> </w:t>
      </w:r>
      <w:r w:rsidRPr="00915D13">
        <w:rPr>
          <w:rFonts w:ascii="Lato" w:hAnsi="Lato"/>
          <w:sz w:val="20"/>
          <w:szCs w:val="20"/>
        </w:rPr>
        <w:t>i</w:t>
      </w:r>
      <w:r w:rsidRPr="00915D13">
        <w:rPr>
          <w:rFonts w:ascii="Lato" w:hAnsi="Lato"/>
          <w:spacing w:val="-11"/>
          <w:sz w:val="20"/>
          <w:szCs w:val="20"/>
        </w:rPr>
        <w:t xml:space="preserve"> </w:t>
      </w:r>
      <w:r w:rsidRPr="00915D13">
        <w:rPr>
          <w:rFonts w:ascii="Lato" w:hAnsi="Lato"/>
          <w:sz w:val="20"/>
          <w:szCs w:val="20"/>
        </w:rPr>
        <w:t xml:space="preserve">osobom w trudnej sytuacji życiowej  oraz wyrównywania szans tych rodzin i osób </w:t>
      </w:r>
      <w:r w:rsidRPr="00915D13">
        <w:rPr>
          <w:rFonts w:ascii="Lato" w:hAnsi="Lato"/>
          <w:b/>
          <w:sz w:val="20"/>
          <w:szCs w:val="20"/>
        </w:rPr>
        <w:t xml:space="preserve">- działania    na rzecz osób starszych. </w:t>
      </w:r>
      <w:r w:rsidRPr="00915D13">
        <w:rPr>
          <w:rFonts w:ascii="Lato" w:hAnsi="Lato"/>
          <w:sz w:val="20"/>
          <w:szCs w:val="20"/>
        </w:rPr>
        <w:t xml:space="preserve">Przyznano dotacje 12 organizacjom pozarządowym na łączną kwotę </w:t>
      </w:r>
      <w:r w:rsidRPr="00915D13">
        <w:rPr>
          <w:rFonts w:ascii="Lato" w:hAnsi="Lato"/>
          <w:b/>
          <w:sz w:val="20"/>
          <w:szCs w:val="20"/>
        </w:rPr>
        <w:t xml:space="preserve">200.000,00 zł. </w:t>
      </w:r>
      <w:r w:rsidRPr="00915D13">
        <w:rPr>
          <w:rFonts w:ascii="Lato" w:hAnsi="Lato"/>
          <w:sz w:val="20"/>
          <w:szCs w:val="20"/>
        </w:rPr>
        <w:t>W ramach realizowanych projektów prowadzone były m.in.: warsztaty tematyczne (zdrowotne, psychologiczne, manualne, plastyczne, muzyczne, teatralne, kulinarne); zajęcia jogi; spotkania seniorów z młodzieżą o charakterze historycznym; wyjazdy do kina, teatru i filharmonii; jednodniowe wyjazdy krajoznawcze; imprezy integracyjne i</w:t>
      </w:r>
      <w:r w:rsidRPr="00915D13">
        <w:rPr>
          <w:rFonts w:ascii="Lato" w:hAnsi="Lato"/>
          <w:spacing w:val="-4"/>
          <w:sz w:val="20"/>
          <w:szCs w:val="20"/>
        </w:rPr>
        <w:t xml:space="preserve"> </w:t>
      </w:r>
      <w:r w:rsidRPr="00915D13">
        <w:rPr>
          <w:rFonts w:ascii="Lato" w:hAnsi="Lato"/>
          <w:sz w:val="20"/>
          <w:szCs w:val="20"/>
        </w:rPr>
        <w:t>okolicznościowe</w:t>
      </w:r>
      <w:r>
        <w:rPr>
          <w:rFonts w:ascii="Lato" w:hAnsi="Lato"/>
          <w:sz w:val="20"/>
          <w:szCs w:val="20"/>
        </w:rPr>
        <w:t>.</w:t>
      </w:r>
    </w:p>
    <w:p w14:paraId="1F0F0BE7" w14:textId="77777777" w:rsidR="00915D13" w:rsidRDefault="00915D13" w:rsidP="00915D13">
      <w:pPr>
        <w:pStyle w:val="Tekstpodstawowy"/>
        <w:ind w:left="720" w:right="114"/>
        <w:jc w:val="both"/>
        <w:rPr>
          <w:rFonts w:ascii="Lato" w:hAnsi="Lato"/>
          <w:sz w:val="20"/>
          <w:szCs w:val="20"/>
        </w:rPr>
      </w:pPr>
    </w:p>
    <w:p w14:paraId="5D02C59F" w14:textId="4EA15D70" w:rsidR="00915D13" w:rsidRPr="00915D13" w:rsidRDefault="00915D13" w:rsidP="00B73AF7">
      <w:pPr>
        <w:pStyle w:val="Tekstpodstawowy"/>
        <w:numPr>
          <w:ilvl w:val="0"/>
          <w:numId w:val="63"/>
        </w:numPr>
        <w:ind w:right="114"/>
        <w:jc w:val="both"/>
        <w:rPr>
          <w:rFonts w:ascii="Lato" w:hAnsi="Lato"/>
          <w:sz w:val="20"/>
          <w:szCs w:val="20"/>
        </w:rPr>
      </w:pPr>
      <w:r w:rsidRPr="00915D13">
        <w:rPr>
          <w:rFonts w:ascii="Lato" w:hAnsi="Lato"/>
          <w:sz w:val="20"/>
          <w:szCs w:val="20"/>
        </w:rPr>
        <w:t>w ramach Budżetu Obywatelskiego Województwa Łódzkiego „ŁÓDZKIE NA PLUS” zrealizowano</w:t>
      </w:r>
      <w:r w:rsidRPr="00915D13">
        <w:rPr>
          <w:rFonts w:ascii="Lato" w:hAnsi="Lato"/>
          <w:spacing w:val="-2"/>
          <w:sz w:val="20"/>
          <w:szCs w:val="20"/>
        </w:rPr>
        <w:t xml:space="preserve"> </w:t>
      </w:r>
      <w:r w:rsidRPr="00915D13">
        <w:rPr>
          <w:rFonts w:ascii="Lato" w:hAnsi="Lato"/>
          <w:sz w:val="20"/>
          <w:szCs w:val="20"/>
        </w:rPr>
        <w:t>zadania:</w:t>
      </w:r>
    </w:p>
    <w:p w14:paraId="3A0A6DF6" w14:textId="77777777" w:rsidR="00915D13" w:rsidRDefault="00915D13" w:rsidP="00915D13">
      <w:pPr>
        <w:pStyle w:val="Tekstpodstawowy"/>
        <w:ind w:left="360" w:right="114"/>
        <w:jc w:val="both"/>
        <w:rPr>
          <w:rFonts w:ascii="Lato" w:hAnsi="Lato"/>
          <w:sz w:val="20"/>
          <w:szCs w:val="20"/>
        </w:rPr>
      </w:pPr>
      <w:r w:rsidRPr="00915D13">
        <w:rPr>
          <w:rFonts w:ascii="Lato" w:hAnsi="Lato"/>
          <w:b/>
          <w:sz w:val="20"/>
          <w:szCs w:val="20"/>
        </w:rPr>
        <w:t>Seniorzy w Gminie Dmosin</w:t>
      </w:r>
      <w:r w:rsidRPr="00915D13">
        <w:rPr>
          <w:rFonts w:ascii="Lato" w:hAnsi="Lato"/>
          <w:sz w:val="20"/>
          <w:szCs w:val="20"/>
        </w:rPr>
        <w:t>, w zakresie którego odbyły się m.in. zajęcia ruchowe, wyjazdy do teatru i na baseny do term, spotkanie integracyjne. W projekcie wzięło udział 138 osób - mieszkańców Gminy</w:t>
      </w:r>
      <w:r w:rsidRPr="00915D13">
        <w:rPr>
          <w:rFonts w:ascii="Lato" w:hAnsi="Lato"/>
          <w:spacing w:val="-1"/>
          <w:sz w:val="20"/>
          <w:szCs w:val="20"/>
        </w:rPr>
        <w:t xml:space="preserve"> </w:t>
      </w:r>
      <w:r w:rsidRPr="00915D13">
        <w:rPr>
          <w:rFonts w:ascii="Lato" w:hAnsi="Lato"/>
          <w:sz w:val="20"/>
          <w:szCs w:val="20"/>
        </w:rPr>
        <w:t>Dmosin.</w:t>
      </w:r>
    </w:p>
    <w:p w14:paraId="7147FD58" w14:textId="77777777" w:rsidR="00915D13" w:rsidRDefault="00915D13" w:rsidP="00915D13">
      <w:pPr>
        <w:pStyle w:val="Tekstpodstawowy"/>
        <w:ind w:left="360" w:right="114"/>
        <w:jc w:val="both"/>
        <w:rPr>
          <w:rFonts w:ascii="Lato" w:hAnsi="Lato"/>
          <w:b/>
          <w:sz w:val="20"/>
          <w:szCs w:val="20"/>
        </w:rPr>
      </w:pPr>
    </w:p>
    <w:p w14:paraId="3A146793" w14:textId="77777777" w:rsidR="00915D13" w:rsidRDefault="00915D13" w:rsidP="00915D13">
      <w:pPr>
        <w:pStyle w:val="Tekstpodstawowy"/>
        <w:ind w:left="360" w:right="114"/>
        <w:jc w:val="both"/>
        <w:rPr>
          <w:rFonts w:ascii="Lato" w:hAnsi="Lato"/>
          <w:sz w:val="20"/>
          <w:szCs w:val="20"/>
        </w:rPr>
      </w:pPr>
      <w:r w:rsidRPr="00915D13">
        <w:rPr>
          <w:rFonts w:ascii="Lato" w:hAnsi="Lato"/>
          <w:b/>
          <w:sz w:val="20"/>
          <w:szCs w:val="20"/>
        </w:rPr>
        <w:t xml:space="preserve">Spotkajmy  się  u  Tadeusza  –  Międzypokoleniowa   integracja  osób  starszych    w opoczyńskim, </w:t>
      </w:r>
      <w:r w:rsidRPr="00915D13">
        <w:rPr>
          <w:rFonts w:ascii="Lato" w:hAnsi="Lato"/>
          <w:sz w:val="20"/>
          <w:szCs w:val="20"/>
        </w:rPr>
        <w:t>w zakresie którego zorganizowano m.in. międzypokoleniowe warsztaty artystyczne, gry terenowe i zabawę integracyjną. Uczestnikami zadania było 525 osób – mieszkańców powiatu</w:t>
      </w:r>
      <w:r w:rsidRPr="00915D13">
        <w:rPr>
          <w:rFonts w:ascii="Lato" w:hAnsi="Lato"/>
          <w:spacing w:val="-2"/>
          <w:sz w:val="20"/>
          <w:szCs w:val="20"/>
        </w:rPr>
        <w:t xml:space="preserve"> </w:t>
      </w:r>
      <w:r w:rsidRPr="00915D13">
        <w:rPr>
          <w:rFonts w:ascii="Lato" w:hAnsi="Lato"/>
          <w:sz w:val="20"/>
          <w:szCs w:val="20"/>
        </w:rPr>
        <w:t>opoczyńskiego.</w:t>
      </w:r>
    </w:p>
    <w:p w14:paraId="2369440A" w14:textId="77777777" w:rsidR="00915D13" w:rsidRDefault="00915D13" w:rsidP="00915D13">
      <w:pPr>
        <w:pStyle w:val="Tekstpodstawowy"/>
        <w:ind w:left="360" w:right="114"/>
        <w:jc w:val="both"/>
        <w:rPr>
          <w:rFonts w:ascii="Lato" w:hAnsi="Lato"/>
          <w:b/>
          <w:sz w:val="20"/>
          <w:szCs w:val="20"/>
        </w:rPr>
      </w:pPr>
    </w:p>
    <w:p w14:paraId="6A2099C8" w14:textId="77777777" w:rsidR="00915D13" w:rsidRDefault="00915D13" w:rsidP="00915D13">
      <w:pPr>
        <w:pStyle w:val="Tekstpodstawowy"/>
        <w:ind w:left="360" w:right="114"/>
        <w:jc w:val="both"/>
        <w:rPr>
          <w:rFonts w:ascii="Lato" w:hAnsi="Lato"/>
          <w:sz w:val="20"/>
          <w:szCs w:val="20"/>
        </w:rPr>
      </w:pPr>
      <w:r w:rsidRPr="00915D13">
        <w:rPr>
          <w:rFonts w:ascii="Lato" w:hAnsi="Lato"/>
          <w:b/>
          <w:sz w:val="20"/>
          <w:szCs w:val="20"/>
        </w:rPr>
        <w:t xml:space="preserve">Seniorzy w działaniu, </w:t>
      </w:r>
      <w:r w:rsidRPr="00915D13">
        <w:rPr>
          <w:rFonts w:ascii="Lato" w:hAnsi="Lato"/>
          <w:sz w:val="20"/>
          <w:szCs w:val="20"/>
        </w:rPr>
        <w:t>w ramach którego zorganizowano  m.in. warsztaty florystyczne    i wikliniarskie, zajęcia z trenerem personalnym, dietetykiem oraz prawnikiem. Uczestnikami zadania było 150 osób z terenu powiatu</w:t>
      </w:r>
      <w:r w:rsidRPr="00915D13">
        <w:rPr>
          <w:rFonts w:ascii="Lato" w:hAnsi="Lato"/>
          <w:spacing w:val="-7"/>
          <w:sz w:val="20"/>
          <w:szCs w:val="20"/>
        </w:rPr>
        <w:t xml:space="preserve"> </w:t>
      </w:r>
      <w:r w:rsidRPr="00915D13">
        <w:rPr>
          <w:rFonts w:ascii="Lato" w:hAnsi="Lato"/>
          <w:sz w:val="20"/>
          <w:szCs w:val="20"/>
        </w:rPr>
        <w:t>pabianickiego.</w:t>
      </w:r>
    </w:p>
    <w:p w14:paraId="660D23C1" w14:textId="77777777" w:rsidR="00915D13" w:rsidRDefault="00915D13" w:rsidP="00915D13">
      <w:pPr>
        <w:pStyle w:val="Tekstpodstawowy"/>
        <w:ind w:left="360" w:right="114"/>
        <w:jc w:val="both"/>
        <w:rPr>
          <w:rFonts w:ascii="Lato" w:hAnsi="Lato"/>
          <w:b/>
          <w:sz w:val="20"/>
          <w:szCs w:val="20"/>
        </w:rPr>
      </w:pPr>
    </w:p>
    <w:p w14:paraId="61A6143E" w14:textId="77777777" w:rsidR="00915D13" w:rsidRDefault="00915D13" w:rsidP="00915D13">
      <w:pPr>
        <w:pStyle w:val="Tekstpodstawowy"/>
        <w:ind w:left="360" w:right="114"/>
        <w:jc w:val="both"/>
        <w:rPr>
          <w:rFonts w:ascii="Lato" w:hAnsi="Lato"/>
          <w:sz w:val="20"/>
          <w:szCs w:val="20"/>
        </w:rPr>
      </w:pPr>
      <w:r w:rsidRPr="00915D13">
        <w:rPr>
          <w:rFonts w:ascii="Lato" w:hAnsi="Lato"/>
          <w:b/>
          <w:sz w:val="20"/>
          <w:szCs w:val="20"/>
        </w:rPr>
        <w:t>Akademia</w:t>
      </w:r>
      <w:r w:rsidRPr="00915D13">
        <w:rPr>
          <w:rFonts w:ascii="Lato" w:hAnsi="Lato"/>
          <w:b/>
          <w:spacing w:val="-10"/>
          <w:sz w:val="20"/>
          <w:szCs w:val="20"/>
        </w:rPr>
        <w:t xml:space="preserve"> </w:t>
      </w:r>
      <w:r w:rsidRPr="00915D13">
        <w:rPr>
          <w:rFonts w:ascii="Lato" w:hAnsi="Lato"/>
          <w:b/>
          <w:sz w:val="20"/>
          <w:szCs w:val="20"/>
        </w:rPr>
        <w:t>Pełni</w:t>
      </w:r>
      <w:r w:rsidRPr="00915D13">
        <w:rPr>
          <w:rFonts w:ascii="Lato" w:hAnsi="Lato"/>
          <w:b/>
          <w:spacing w:val="-10"/>
          <w:sz w:val="20"/>
          <w:szCs w:val="20"/>
        </w:rPr>
        <w:t xml:space="preserve"> </w:t>
      </w:r>
      <w:r w:rsidRPr="00915D13">
        <w:rPr>
          <w:rFonts w:ascii="Lato" w:hAnsi="Lato"/>
          <w:b/>
          <w:sz w:val="20"/>
          <w:szCs w:val="20"/>
        </w:rPr>
        <w:t>Życia</w:t>
      </w:r>
      <w:r w:rsidRPr="00915D13">
        <w:rPr>
          <w:rFonts w:ascii="Lato" w:hAnsi="Lato"/>
          <w:b/>
          <w:spacing w:val="-9"/>
          <w:sz w:val="20"/>
          <w:szCs w:val="20"/>
        </w:rPr>
        <w:t xml:space="preserve"> </w:t>
      </w:r>
      <w:r w:rsidRPr="00915D13">
        <w:rPr>
          <w:rFonts w:ascii="Lato" w:hAnsi="Lato"/>
          <w:b/>
          <w:sz w:val="20"/>
          <w:szCs w:val="20"/>
        </w:rPr>
        <w:t>–</w:t>
      </w:r>
      <w:r w:rsidRPr="00915D13">
        <w:rPr>
          <w:rFonts w:ascii="Lato" w:hAnsi="Lato"/>
          <w:b/>
          <w:spacing w:val="-11"/>
          <w:sz w:val="20"/>
          <w:szCs w:val="20"/>
        </w:rPr>
        <w:t xml:space="preserve"> </w:t>
      </w:r>
      <w:r w:rsidRPr="00915D13">
        <w:rPr>
          <w:rFonts w:ascii="Lato" w:hAnsi="Lato"/>
          <w:b/>
          <w:sz w:val="20"/>
          <w:szCs w:val="20"/>
        </w:rPr>
        <w:t>stawiamy</w:t>
      </w:r>
      <w:r w:rsidRPr="00915D13">
        <w:rPr>
          <w:rFonts w:ascii="Lato" w:hAnsi="Lato"/>
          <w:b/>
          <w:spacing w:val="-10"/>
          <w:sz w:val="20"/>
          <w:szCs w:val="20"/>
        </w:rPr>
        <w:t xml:space="preserve"> </w:t>
      </w:r>
      <w:r w:rsidRPr="00915D13">
        <w:rPr>
          <w:rFonts w:ascii="Lato" w:hAnsi="Lato"/>
          <w:b/>
          <w:sz w:val="20"/>
          <w:szCs w:val="20"/>
        </w:rPr>
        <w:t>na</w:t>
      </w:r>
      <w:r w:rsidRPr="00915D13">
        <w:rPr>
          <w:rFonts w:ascii="Lato" w:hAnsi="Lato"/>
          <w:b/>
          <w:spacing w:val="-10"/>
          <w:sz w:val="20"/>
          <w:szCs w:val="20"/>
        </w:rPr>
        <w:t xml:space="preserve"> </w:t>
      </w:r>
      <w:r w:rsidRPr="00915D13">
        <w:rPr>
          <w:rFonts w:ascii="Lato" w:hAnsi="Lato"/>
          <w:b/>
          <w:sz w:val="20"/>
          <w:szCs w:val="20"/>
        </w:rPr>
        <w:t>aktywność,</w:t>
      </w:r>
      <w:r w:rsidRPr="00915D13">
        <w:rPr>
          <w:rFonts w:ascii="Lato" w:hAnsi="Lato"/>
          <w:b/>
          <w:spacing w:val="-11"/>
          <w:sz w:val="20"/>
          <w:szCs w:val="20"/>
        </w:rPr>
        <w:t xml:space="preserve"> </w:t>
      </w:r>
      <w:r w:rsidRPr="00915D13">
        <w:rPr>
          <w:rFonts w:ascii="Lato" w:hAnsi="Lato"/>
          <w:b/>
          <w:sz w:val="20"/>
          <w:szCs w:val="20"/>
        </w:rPr>
        <w:t>bezpieczeństwo</w:t>
      </w:r>
      <w:r w:rsidRPr="00915D13">
        <w:rPr>
          <w:rFonts w:ascii="Lato" w:hAnsi="Lato"/>
          <w:b/>
          <w:spacing w:val="-9"/>
          <w:sz w:val="20"/>
          <w:szCs w:val="20"/>
        </w:rPr>
        <w:t xml:space="preserve"> </w:t>
      </w:r>
      <w:r w:rsidRPr="00915D13">
        <w:rPr>
          <w:rFonts w:ascii="Lato" w:hAnsi="Lato"/>
          <w:b/>
          <w:sz w:val="20"/>
          <w:szCs w:val="20"/>
        </w:rPr>
        <w:t>i</w:t>
      </w:r>
      <w:r w:rsidRPr="00915D13">
        <w:rPr>
          <w:rFonts w:ascii="Lato" w:hAnsi="Lato"/>
          <w:b/>
          <w:spacing w:val="-11"/>
          <w:sz w:val="20"/>
          <w:szCs w:val="20"/>
        </w:rPr>
        <w:t xml:space="preserve"> </w:t>
      </w:r>
      <w:r w:rsidRPr="00915D13">
        <w:rPr>
          <w:rFonts w:ascii="Lato" w:hAnsi="Lato"/>
          <w:b/>
          <w:sz w:val="20"/>
          <w:szCs w:val="20"/>
        </w:rPr>
        <w:t>zdrowie</w:t>
      </w:r>
      <w:r w:rsidRPr="00915D13">
        <w:rPr>
          <w:rFonts w:ascii="Lato" w:hAnsi="Lato"/>
          <w:b/>
          <w:spacing w:val="-10"/>
          <w:sz w:val="20"/>
          <w:szCs w:val="20"/>
        </w:rPr>
        <w:t xml:space="preserve"> </w:t>
      </w:r>
      <w:r w:rsidRPr="00915D13">
        <w:rPr>
          <w:rFonts w:ascii="Lato" w:hAnsi="Lato"/>
          <w:b/>
          <w:sz w:val="20"/>
          <w:szCs w:val="20"/>
        </w:rPr>
        <w:t xml:space="preserve">Seniorów, </w:t>
      </w:r>
      <w:r w:rsidRPr="00915D13">
        <w:rPr>
          <w:rFonts w:ascii="Lato" w:hAnsi="Lato"/>
          <w:sz w:val="20"/>
          <w:szCs w:val="20"/>
        </w:rPr>
        <w:t xml:space="preserve">w zakresie którego zorganizowano zajęcia taneczne i ruchowe dla seniorów, zorganizowano marsz </w:t>
      </w:r>
      <w:proofErr w:type="spellStart"/>
      <w:r w:rsidRPr="00915D13">
        <w:rPr>
          <w:rFonts w:ascii="Lato" w:hAnsi="Lato"/>
          <w:sz w:val="20"/>
          <w:szCs w:val="20"/>
        </w:rPr>
        <w:t>nordic</w:t>
      </w:r>
      <w:proofErr w:type="spellEnd"/>
      <w:r w:rsidRPr="00915D13">
        <w:rPr>
          <w:rFonts w:ascii="Lato" w:hAnsi="Lato"/>
          <w:sz w:val="20"/>
          <w:szCs w:val="20"/>
        </w:rPr>
        <w:t xml:space="preserve"> </w:t>
      </w:r>
      <w:proofErr w:type="spellStart"/>
      <w:r w:rsidRPr="00915D13">
        <w:rPr>
          <w:rFonts w:ascii="Lato" w:hAnsi="Lato"/>
          <w:sz w:val="20"/>
          <w:szCs w:val="20"/>
        </w:rPr>
        <w:t>walking</w:t>
      </w:r>
      <w:proofErr w:type="spellEnd"/>
      <w:r w:rsidRPr="00915D13">
        <w:rPr>
          <w:rFonts w:ascii="Lato" w:hAnsi="Lato"/>
          <w:sz w:val="20"/>
          <w:szCs w:val="20"/>
        </w:rPr>
        <w:t>, i jednodniowe forum seniorów. Uczestnikami zadania było 120 osób w wieku 60+ z terenu powiatu</w:t>
      </w:r>
      <w:r w:rsidRPr="00915D13">
        <w:rPr>
          <w:rFonts w:ascii="Lato" w:hAnsi="Lato"/>
          <w:spacing w:val="-9"/>
          <w:sz w:val="20"/>
          <w:szCs w:val="20"/>
        </w:rPr>
        <w:t xml:space="preserve"> </w:t>
      </w:r>
      <w:r w:rsidRPr="00915D13">
        <w:rPr>
          <w:rFonts w:ascii="Lato" w:hAnsi="Lato"/>
          <w:sz w:val="20"/>
          <w:szCs w:val="20"/>
        </w:rPr>
        <w:t>piotrkowskiego.</w:t>
      </w:r>
    </w:p>
    <w:p w14:paraId="7167F548" w14:textId="77777777" w:rsidR="00915D13" w:rsidRDefault="00915D13" w:rsidP="00915D13">
      <w:pPr>
        <w:pStyle w:val="Tekstpodstawowy"/>
        <w:ind w:left="360" w:right="114"/>
        <w:jc w:val="both"/>
        <w:rPr>
          <w:rFonts w:ascii="Lato" w:hAnsi="Lato"/>
          <w:b/>
          <w:sz w:val="20"/>
          <w:szCs w:val="20"/>
        </w:rPr>
      </w:pPr>
    </w:p>
    <w:p w14:paraId="159631A1" w14:textId="77777777" w:rsidR="00915D13" w:rsidRDefault="00915D13" w:rsidP="00915D13">
      <w:pPr>
        <w:pStyle w:val="Tekstpodstawowy"/>
        <w:ind w:left="360" w:right="114"/>
        <w:jc w:val="both"/>
        <w:rPr>
          <w:rFonts w:ascii="Lato" w:hAnsi="Lato"/>
          <w:sz w:val="20"/>
          <w:szCs w:val="20"/>
        </w:rPr>
      </w:pPr>
      <w:r w:rsidRPr="00915D13">
        <w:rPr>
          <w:rFonts w:ascii="Lato" w:hAnsi="Lato"/>
          <w:b/>
          <w:sz w:val="20"/>
          <w:szCs w:val="20"/>
        </w:rPr>
        <w:t xml:space="preserve">Poznajmy folklor naszego województwa, </w:t>
      </w:r>
      <w:r w:rsidRPr="00915D13">
        <w:rPr>
          <w:rFonts w:ascii="Lato" w:hAnsi="Lato"/>
          <w:sz w:val="20"/>
          <w:szCs w:val="20"/>
        </w:rPr>
        <w:t>który miał za zadanie popularyzację wśród seniorów     folkloru     ziemi     województwa     łódzkiego      oraz     wspólnej     pracy  z ludowymi twórcami z powiatów: zgierskiego, łowickiego, wieruszowskiego. Uczestnikami zadania było 350 osób starszych z terenu miasta</w:t>
      </w:r>
      <w:r w:rsidRPr="00915D13">
        <w:rPr>
          <w:rFonts w:ascii="Lato" w:hAnsi="Lato"/>
          <w:spacing w:val="-12"/>
          <w:sz w:val="20"/>
          <w:szCs w:val="20"/>
        </w:rPr>
        <w:t xml:space="preserve"> </w:t>
      </w:r>
      <w:r w:rsidRPr="00915D13">
        <w:rPr>
          <w:rFonts w:ascii="Lato" w:hAnsi="Lato"/>
          <w:sz w:val="20"/>
          <w:szCs w:val="20"/>
        </w:rPr>
        <w:t>Łodzi.</w:t>
      </w:r>
    </w:p>
    <w:p w14:paraId="53FB9593" w14:textId="77777777" w:rsidR="0062044C" w:rsidRDefault="00915D13" w:rsidP="0062044C">
      <w:pPr>
        <w:pStyle w:val="Tekstpodstawowy"/>
        <w:ind w:left="360" w:right="114"/>
        <w:jc w:val="both"/>
        <w:rPr>
          <w:rFonts w:ascii="Lato" w:hAnsi="Lato"/>
          <w:sz w:val="20"/>
          <w:szCs w:val="20"/>
        </w:rPr>
      </w:pPr>
      <w:r w:rsidRPr="00915D13">
        <w:rPr>
          <w:rFonts w:ascii="Lato" w:hAnsi="Lato"/>
          <w:b/>
          <w:sz w:val="20"/>
          <w:szCs w:val="20"/>
        </w:rPr>
        <w:t xml:space="preserve">Seniorzy szlakiem historii naszego województwa, </w:t>
      </w:r>
      <w:r w:rsidRPr="00915D13">
        <w:rPr>
          <w:rFonts w:ascii="Lato" w:hAnsi="Lato"/>
          <w:sz w:val="20"/>
          <w:szCs w:val="20"/>
        </w:rPr>
        <w:t>celem którego była m.in. poprawa samopoczucia psychicznego oraz przeciwdziałanie izolacji społecznej osób starszych.   W zadaniu wzięło udział 200 seniorów z ternu Gminy</w:t>
      </w:r>
      <w:r w:rsidRPr="00915D13">
        <w:rPr>
          <w:rFonts w:ascii="Lato" w:hAnsi="Lato"/>
          <w:spacing w:val="-7"/>
          <w:sz w:val="20"/>
          <w:szCs w:val="20"/>
        </w:rPr>
        <w:t xml:space="preserve"> </w:t>
      </w:r>
      <w:r w:rsidRPr="00915D13">
        <w:rPr>
          <w:rFonts w:ascii="Lato" w:hAnsi="Lato"/>
          <w:sz w:val="20"/>
          <w:szCs w:val="20"/>
        </w:rPr>
        <w:t>Łódź.</w:t>
      </w:r>
    </w:p>
    <w:p w14:paraId="7F1358F1" w14:textId="77777777" w:rsidR="00915D13" w:rsidRDefault="00915D13" w:rsidP="007335F8">
      <w:pPr>
        <w:pStyle w:val="Tekstpodstawowy"/>
        <w:numPr>
          <w:ilvl w:val="0"/>
          <w:numId w:val="232"/>
        </w:numPr>
        <w:ind w:right="114"/>
        <w:jc w:val="both"/>
        <w:rPr>
          <w:rFonts w:ascii="Lato" w:hAnsi="Lato"/>
          <w:sz w:val="20"/>
          <w:szCs w:val="20"/>
        </w:rPr>
      </w:pPr>
      <w:r w:rsidRPr="0062044C">
        <w:rPr>
          <w:rFonts w:ascii="Lato" w:hAnsi="Lato"/>
          <w:sz w:val="20"/>
          <w:szCs w:val="20"/>
        </w:rPr>
        <w:lastRenderedPageBreak/>
        <w:t>zorganizowano</w:t>
      </w:r>
      <w:r w:rsidRPr="0062044C">
        <w:rPr>
          <w:rFonts w:ascii="Lato" w:hAnsi="Lato"/>
          <w:spacing w:val="16"/>
          <w:sz w:val="20"/>
          <w:szCs w:val="20"/>
        </w:rPr>
        <w:t xml:space="preserve"> </w:t>
      </w:r>
      <w:r w:rsidRPr="0062044C">
        <w:rPr>
          <w:rFonts w:ascii="Lato" w:hAnsi="Lato"/>
          <w:sz w:val="20"/>
          <w:szCs w:val="20"/>
        </w:rPr>
        <w:t>szkolenia</w:t>
      </w:r>
      <w:r w:rsidRPr="0062044C">
        <w:rPr>
          <w:rFonts w:ascii="Lato" w:hAnsi="Lato"/>
          <w:spacing w:val="15"/>
          <w:sz w:val="20"/>
          <w:szCs w:val="20"/>
        </w:rPr>
        <w:t xml:space="preserve"> </w:t>
      </w:r>
      <w:r w:rsidRPr="0062044C">
        <w:rPr>
          <w:rFonts w:ascii="Lato" w:hAnsi="Lato"/>
          <w:sz w:val="20"/>
          <w:szCs w:val="20"/>
        </w:rPr>
        <w:t>dla</w:t>
      </w:r>
      <w:r w:rsidRPr="0062044C">
        <w:rPr>
          <w:rFonts w:ascii="Lato" w:hAnsi="Lato"/>
          <w:spacing w:val="13"/>
          <w:sz w:val="20"/>
          <w:szCs w:val="20"/>
        </w:rPr>
        <w:t xml:space="preserve"> </w:t>
      </w:r>
      <w:r w:rsidRPr="0062044C">
        <w:rPr>
          <w:rFonts w:ascii="Lato" w:hAnsi="Lato"/>
          <w:sz w:val="20"/>
          <w:szCs w:val="20"/>
        </w:rPr>
        <w:t>przedstawicieli</w:t>
      </w:r>
      <w:r w:rsidRPr="0062044C">
        <w:rPr>
          <w:rFonts w:ascii="Lato" w:hAnsi="Lato"/>
          <w:spacing w:val="14"/>
          <w:sz w:val="20"/>
          <w:szCs w:val="20"/>
        </w:rPr>
        <w:t xml:space="preserve"> </w:t>
      </w:r>
      <w:r w:rsidRPr="0062044C">
        <w:rPr>
          <w:rFonts w:ascii="Lato" w:hAnsi="Lato"/>
          <w:sz w:val="20"/>
          <w:szCs w:val="20"/>
        </w:rPr>
        <w:t>podmiotów</w:t>
      </w:r>
      <w:r w:rsidRPr="0062044C">
        <w:rPr>
          <w:rFonts w:ascii="Lato" w:hAnsi="Lato"/>
          <w:spacing w:val="14"/>
          <w:sz w:val="20"/>
          <w:szCs w:val="20"/>
        </w:rPr>
        <w:t xml:space="preserve"> </w:t>
      </w:r>
      <w:r w:rsidRPr="0062044C">
        <w:rPr>
          <w:rFonts w:ascii="Lato" w:hAnsi="Lato"/>
          <w:sz w:val="20"/>
          <w:szCs w:val="20"/>
        </w:rPr>
        <w:t>senioralnych</w:t>
      </w:r>
      <w:r w:rsidRPr="0062044C">
        <w:rPr>
          <w:rFonts w:ascii="Lato" w:hAnsi="Lato"/>
          <w:spacing w:val="14"/>
          <w:sz w:val="20"/>
          <w:szCs w:val="20"/>
        </w:rPr>
        <w:t xml:space="preserve"> </w:t>
      </w:r>
      <w:r w:rsidRPr="0062044C">
        <w:rPr>
          <w:rFonts w:ascii="Lato" w:hAnsi="Lato"/>
          <w:sz w:val="20"/>
          <w:szCs w:val="20"/>
        </w:rPr>
        <w:t>z</w:t>
      </w:r>
      <w:r w:rsidRPr="0062044C">
        <w:rPr>
          <w:rFonts w:ascii="Lato" w:hAnsi="Lato"/>
          <w:spacing w:val="14"/>
          <w:sz w:val="20"/>
          <w:szCs w:val="20"/>
        </w:rPr>
        <w:t xml:space="preserve"> </w:t>
      </w:r>
      <w:r w:rsidRPr="0062044C">
        <w:rPr>
          <w:rFonts w:ascii="Lato" w:hAnsi="Lato"/>
          <w:sz w:val="20"/>
          <w:szCs w:val="20"/>
        </w:rPr>
        <w:t>terenu</w:t>
      </w:r>
      <w:r w:rsidRPr="0062044C">
        <w:rPr>
          <w:rFonts w:ascii="Lato" w:hAnsi="Lato"/>
          <w:spacing w:val="15"/>
          <w:sz w:val="20"/>
          <w:szCs w:val="20"/>
        </w:rPr>
        <w:t xml:space="preserve"> </w:t>
      </w:r>
      <w:r w:rsidRPr="0062044C">
        <w:rPr>
          <w:rFonts w:ascii="Lato" w:hAnsi="Lato"/>
          <w:sz w:val="20"/>
          <w:szCs w:val="20"/>
        </w:rPr>
        <w:t>woj. łódzkiego</w:t>
      </w:r>
      <w:r w:rsidR="0062044C" w:rsidRPr="0062044C">
        <w:rPr>
          <w:rFonts w:ascii="Lato" w:hAnsi="Lato"/>
          <w:sz w:val="20"/>
          <w:szCs w:val="20"/>
        </w:rPr>
        <w:t>:</w:t>
      </w:r>
    </w:p>
    <w:p w14:paraId="795842CF" w14:textId="77777777" w:rsidR="0062044C" w:rsidRDefault="0062044C" w:rsidP="0062044C">
      <w:pPr>
        <w:pStyle w:val="Tekstpodstawowy"/>
        <w:ind w:right="114"/>
        <w:jc w:val="both"/>
        <w:rPr>
          <w:rFonts w:ascii="Lato" w:hAnsi="Lato"/>
          <w:sz w:val="20"/>
          <w:szCs w:val="20"/>
        </w:rPr>
      </w:pPr>
    </w:p>
    <w:p w14:paraId="4A0800AD" w14:textId="3F983ED1" w:rsidR="0062044C" w:rsidRDefault="0062044C" w:rsidP="0062044C">
      <w:pPr>
        <w:widowControl w:val="0"/>
        <w:tabs>
          <w:tab w:val="left" w:pos="924"/>
        </w:tabs>
        <w:autoSpaceDE w:val="0"/>
        <w:autoSpaceDN w:val="0"/>
        <w:spacing w:after="0" w:line="240" w:lineRule="auto"/>
        <w:ind w:right="115"/>
        <w:jc w:val="both"/>
        <w:rPr>
          <w:rFonts w:ascii="Lato" w:hAnsi="Lato"/>
          <w:sz w:val="20"/>
          <w:szCs w:val="20"/>
        </w:rPr>
      </w:pPr>
      <w:r w:rsidRPr="00915D13">
        <w:rPr>
          <w:rFonts w:ascii="Lato" w:hAnsi="Lato"/>
          <w:sz w:val="20"/>
          <w:szCs w:val="20"/>
        </w:rPr>
        <w:t>W dniach 6 i 7 lipca 2022 r. w siedzibie Regionalnego Centrum Polityki Społecznej w Łodzi</w:t>
      </w:r>
      <w:r>
        <w:rPr>
          <w:rFonts w:ascii="Lato" w:hAnsi="Lato"/>
          <w:sz w:val="20"/>
          <w:szCs w:val="20"/>
        </w:rPr>
        <w:t xml:space="preserve"> </w:t>
      </w:r>
      <w:r w:rsidRPr="00915D13">
        <w:rPr>
          <w:rFonts w:ascii="Lato" w:hAnsi="Lato"/>
          <w:sz w:val="20"/>
          <w:szCs w:val="20"/>
        </w:rPr>
        <w:t xml:space="preserve">zorganizowano szkolenie pn. </w:t>
      </w:r>
      <w:r w:rsidRPr="00915D13">
        <w:rPr>
          <w:rFonts w:ascii="Lato" w:hAnsi="Lato"/>
          <w:b/>
          <w:sz w:val="20"/>
          <w:szCs w:val="20"/>
        </w:rPr>
        <w:t xml:space="preserve">„Trening antystresowy”. </w:t>
      </w:r>
      <w:r w:rsidRPr="00915D13">
        <w:rPr>
          <w:rFonts w:ascii="Lato" w:hAnsi="Lato"/>
          <w:sz w:val="20"/>
          <w:szCs w:val="20"/>
        </w:rPr>
        <w:t>Celem szkolenia było lepsze   diagnozowanie   czynników   nadmiernie   stresujących   w   życiu   codziennym  i świadomość odpowiedzialności własnej za nadmierne napięcie. Uczestnicy szkolenia nauczyli się m.in. jak świadomie rozpoznawać korzystne i niekorzystne czynniki nadmiernego napięcia; świadomie zarządzać poziomem swojego stresu, czy jak planować indywidualną     strategię     rozładowywania     napięć     fizycznych,     emocjonalnych   i psychicznych. W szkoleniu uczestniczyło 28 przedstawicieli podmiotów senioralnych   z terenu</w:t>
      </w:r>
      <w:r>
        <w:rPr>
          <w:rFonts w:ascii="Lato" w:hAnsi="Lato"/>
          <w:sz w:val="20"/>
          <w:szCs w:val="20"/>
        </w:rPr>
        <w:t xml:space="preserve"> </w:t>
      </w:r>
      <w:r w:rsidRPr="00915D13">
        <w:rPr>
          <w:rFonts w:ascii="Lato" w:hAnsi="Lato"/>
          <w:sz w:val="20"/>
          <w:szCs w:val="20"/>
        </w:rPr>
        <w:t>województwa łódzkiego.</w:t>
      </w:r>
    </w:p>
    <w:p w14:paraId="300EC1E4" w14:textId="77777777" w:rsidR="0062044C" w:rsidRDefault="0062044C" w:rsidP="0062044C">
      <w:pPr>
        <w:pStyle w:val="Tekstpodstawowy"/>
        <w:ind w:right="115"/>
        <w:jc w:val="both"/>
        <w:rPr>
          <w:rFonts w:ascii="Lato" w:hAnsi="Lato"/>
          <w:sz w:val="20"/>
          <w:szCs w:val="20"/>
        </w:rPr>
      </w:pPr>
    </w:p>
    <w:p w14:paraId="413127E3" w14:textId="77777777" w:rsidR="0062044C" w:rsidRPr="00915D13" w:rsidRDefault="0062044C" w:rsidP="0062044C">
      <w:pPr>
        <w:pStyle w:val="Tekstpodstawowy"/>
        <w:ind w:right="115"/>
        <w:jc w:val="both"/>
        <w:rPr>
          <w:rFonts w:ascii="Lato" w:hAnsi="Lato"/>
          <w:sz w:val="20"/>
          <w:szCs w:val="20"/>
        </w:rPr>
      </w:pPr>
      <w:r w:rsidRPr="00915D13">
        <w:rPr>
          <w:rFonts w:ascii="Lato" w:hAnsi="Lato"/>
          <w:sz w:val="20"/>
          <w:szCs w:val="20"/>
        </w:rPr>
        <w:t>W</w:t>
      </w:r>
      <w:r w:rsidRPr="00915D13">
        <w:rPr>
          <w:rFonts w:ascii="Lato" w:hAnsi="Lato"/>
          <w:spacing w:val="-7"/>
          <w:sz w:val="20"/>
          <w:szCs w:val="20"/>
        </w:rPr>
        <w:t xml:space="preserve"> </w:t>
      </w:r>
      <w:r w:rsidRPr="00915D13">
        <w:rPr>
          <w:rFonts w:ascii="Lato" w:hAnsi="Lato"/>
          <w:sz w:val="20"/>
          <w:szCs w:val="20"/>
        </w:rPr>
        <w:t>dniach</w:t>
      </w:r>
      <w:r w:rsidRPr="00915D13">
        <w:rPr>
          <w:rFonts w:ascii="Lato" w:hAnsi="Lato"/>
          <w:spacing w:val="-7"/>
          <w:sz w:val="20"/>
          <w:szCs w:val="20"/>
        </w:rPr>
        <w:t xml:space="preserve"> </w:t>
      </w:r>
      <w:r w:rsidRPr="00915D13">
        <w:rPr>
          <w:rFonts w:ascii="Lato" w:hAnsi="Lato"/>
          <w:sz w:val="20"/>
          <w:szCs w:val="20"/>
        </w:rPr>
        <w:t>12-13</w:t>
      </w:r>
      <w:r w:rsidRPr="00915D13">
        <w:rPr>
          <w:rFonts w:ascii="Lato" w:hAnsi="Lato"/>
          <w:spacing w:val="-6"/>
          <w:sz w:val="20"/>
          <w:szCs w:val="20"/>
        </w:rPr>
        <w:t xml:space="preserve"> </w:t>
      </w:r>
      <w:r w:rsidRPr="00915D13">
        <w:rPr>
          <w:rFonts w:ascii="Lato" w:hAnsi="Lato"/>
          <w:sz w:val="20"/>
          <w:szCs w:val="20"/>
        </w:rPr>
        <w:t>grudnia</w:t>
      </w:r>
      <w:r w:rsidRPr="00915D13">
        <w:rPr>
          <w:rFonts w:ascii="Lato" w:hAnsi="Lato"/>
          <w:spacing w:val="-7"/>
          <w:sz w:val="20"/>
          <w:szCs w:val="20"/>
        </w:rPr>
        <w:t xml:space="preserve"> </w:t>
      </w:r>
      <w:r w:rsidRPr="00915D13">
        <w:rPr>
          <w:rFonts w:ascii="Lato" w:hAnsi="Lato"/>
          <w:sz w:val="20"/>
          <w:szCs w:val="20"/>
        </w:rPr>
        <w:t>2022</w:t>
      </w:r>
      <w:r w:rsidRPr="00915D13">
        <w:rPr>
          <w:rFonts w:ascii="Lato" w:hAnsi="Lato"/>
          <w:spacing w:val="-7"/>
          <w:sz w:val="20"/>
          <w:szCs w:val="20"/>
        </w:rPr>
        <w:t xml:space="preserve"> </w:t>
      </w:r>
      <w:r w:rsidRPr="00915D13">
        <w:rPr>
          <w:rFonts w:ascii="Lato" w:hAnsi="Lato"/>
          <w:sz w:val="20"/>
          <w:szCs w:val="20"/>
        </w:rPr>
        <w:t>r.</w:t>
      </w:r>
      <w:r w:rsidRPr="00915D13">
        <w:rPr>
          <w:rFonts w:ascii="Lato" w:hAnsi="Lato"/>
          <w:spacing w:val="-6"/>
          <w:sz w:val="20"/>
          <w:szCs w:val="20"/>
        </w:rPr>
        <w:t xml:space="preserve"> </w:t>
      </w:r>
      <w:r w:rsidRPr="00915D13">
        <w:rPr>
          <w:rFonts w:ascii="Lato" w:hAnsi="Lato"/>
          <w:sz w:val="20"/>
          <w:szCs w:val="20"/>
        </w:rPr>
        <w:t>w</w:t>
      </w:r>
      <w:r w:rsidRPr="00915D13">
        <w:rPr>
          <w:rFonts w:ascii="Lato" w:hAnsi="Lato"/>
          <w:spacing w:val="-7"/>
          <w:sz w:val="20"/>
          <w:szCs w:val="20"/>
        </w:rPr>
        <w:t xml:space="preserve"> </w:t>
      </w:r>
      <w:r w:rsidRPr="00915D13">
        <w:rPr>
          <w:rFonts w:ascii="Lato" w:hAnsi="Lato"/>
          <w:sz w:val="20"/>
          <w:szCs w:val="20"/>
        </w:rPr>
        <w:t>Hotelu</w:t>
      </w:r>
      <w:r w:rsidRPr="00915D13">
        <w:rPr>
          <w:rFonts w:ascii="Lato" w:hAnsi="Lato"/>
          <w:spacing w:val="-6"/>
          <w:sz w:val="20"/>
          <w:szCs w:val="20"/>
        </w:rPr>
        <w:t xml:space="preserve"> </w:t>
      </w:r>
      <w:proofErr w:type="spellStart"/>
      <w:r w:rsidRPr="00915D13">
        <w:rPr>
          <w:rFonts w:ascii="Lato" w:hAnsi="Lato"/>
          <w:sz w:val="20"/>
          <w:szCs w:val="20"/>
        </w:rPr>
        <w:t>Novotel</w:t>
      </w:r>
      <w:proofErr w:type="spellEnd"/>
      <w:r w:rsidRPr="00915D13">
        <w:rPr>
          <w:rFonts w:ascii="Lato" w:hAnsi="Lato"/>
          <w:spacing w:val="-5"/>
          <w:sz w:val="20"/>
          <w:szCs w:val="20"/>
        </w:rPr>
        <w:t xml:space="preserve"> </w:t>
      </w:r>
      <w:r w:rsidRPr="00915D13">
        <w:rPr>
          <w:rFonts w:ascii="Lato" w:hAnsi="Lato"/>
          <w:sz w:val="20"/>
          <w:szCs w:val="20"/>
        </w:rPr>
        <w:t>Łódź</w:t>
      </w:r>
      <w:r w:rsidRPr="00915D13">
        <w:rPr>
          <w:rFonts w:ascii="Lato" w:hAnsi="Lato"/>
          <w:spacing w:val="-6"/>
          <w:sz w:val="20"/>
          <w:szCs w:val="20"/>
        </w:rPr>
        <w:t xml:space="preserve"> </w:t>
      </w:r>
      <w:r w:rsidRPr="00915D13">
        <w:rPr>
          <w:rFonts w:ascii="Lato" w:hAnsi="Lato"/>
          <w:sz w:val="20"/>
          <w:szCs w:val="20"/>
        </w:rPr>
        <w:t>Centrum</w:t>
      </w:r>
      <w:r w:rsidRPr="00915D13">
        <w:rPr>
          <w:rFonts w:ascii="Lato" w:hAnsi="Lato"/>
          <w:spacing w:val="-5"/>
          <w:sz w:val="20"/>
          <w:szCs w:val="20"/>
        </w:rPr>
        <w:t xml:space="preserve"> </w:t>
      </w:r>
      <w:r w:rsidRPr="00915D13">
        <w:rPr>
          <w:rFonts w:ascii="Lato" w:hAnsi="Lato"/>
          <w:sz w:val="20"/>
          <w:szCs w:val="20"/>
        </w:rPr>
        <w:t>w</w:t>
      </w:r>
      <w:r w:rsidRPr="00915D13">
        <w:rPr>
          <w:rFonts w:ascii="Lato" w:hAnsi="Lato"/>
          <w:spacing w:val="-6"/>
          <w:sz w:val="20"/>
          <w:szCs w:val="20"/>
        </w:rPr>
        <w:t xml:space="preserve"> </w:t>
      </w:r>
      <w:r w:rsidRPr="00915D13">
        <w:rPr>
          <w:rFonts w:ascii="Lato" w:hAnsi="Lato"/>
          <w:sz w:val="20"/>
          <w:szCs w:val="20"/>
        </w:rPr>
        <w:t>Łodzi</w:t>
      </w:r>
      <w:r w:rsidRPr="00915D13">
        <w:rPr>
          <w:rFonts w:ascii="Lato" w:hAnsi="Lato"/>
          <w:spacing w:val="-6"/>
          <w:sz w:val="20"/>
          <w:szCs w:val="20"/>
        </w:rPr>
        <w:t xml:space="preserve"> </w:t>
      </w:r>
      <w:r w:rsidRPr="00915D13">
        <w:rPr>
          <w:rFonts w:ascii="Lato" w:hAnsi="Lato"/>
          <w:sz w:val="20"/>
          <w:szCs w:val="20"/>
        </w:rPr>
        <w:t xml:space="preserve">zorganizowano szkolenie pn. </w:t>
      </w:r>
      <w:r w:rsidRPr="00915D13">
        <w:rPr>
          <w:rFonts w:ascii="Lato" w:hAnsi="Lato"/>
          <w:b/>
          <w:sz w:val="20"/>
          <w:szCs w:val="20"/>
        </w:rPr>
        <w:t>„Budowanie i rozwój zespołu w organizacjach pozarządowych”</w:t>
      </w:r>
      <w:r w:rsidRPr="00915D13">
        <w:rPr>
          <w:rFonts w:ascii="Lato" w:hAnsi="Lato"/>
          <w:sz w:val="20"/>
          <w:szCs w:val="20"/>
        </w:rPr>
        <w:t>, skierowane do liderów podmiotów senioralnych z terenu woj. łódzkiego.</w:t>
      </w:r>
      <w:r w:rsidRPr="00915D13">
        <w:rPr>
          <w:rFonts w:ascii="Lato" w:hAnsi="Lato"/>
          <w:spacing w:val="-10"/>
          <w:sz w:val="20"/>
          <w:szCs w:val="20"/>
        </w:rPr>
        <w:t xml:space="preserve"> </w:t>
      </w:r>
      <w:r w:rsidRPr="00915D13">
        <w:rPr>
          <w:rFonts w:ascii="Lato" w:hAnsi="Lato"/>
          <w:sz w:val="20"/>
          <w:szCs w:val="20"/>
        </w:rPr>
        <w:t>Uczestnic</w:t>
      </w:r>
      <w:r>
        <w:rPr>
          <w:rFonts w:ascii="Lato" w:hAnsi="Lato"/>
          <w:sz w:val="20"/>
          <w:szCs w:val="20"/>
        </w:rPr>
        <w:t xml:space="preserve">y </w:t>
      </w:r>
      <w:r w:rsidRPr="00915D13">
        <w:rPr>
          <w:rFonts w:ascii="Lato" w:hAnsi="Lato"/>
          <w:sz w:val="20"/>
          <w:szCs w:val="20"/>
        </w:rPr>
        <w:t>dowiedzieli się jak budować stabilny zespół, jak skutecznie delegować zadania, jak zarządzać zespołem w kontekście organizacji pracy i komunikacji wewnątrz zespołu. Drugi dzień szkolenia poświęcony był tematyce  rozwiązywania konfliktów w zespole     i motywowania ludzi do działania oraz zarządzania emocjami. W szkoleniu wzięło udział 30 przedstawicieli podmiotów senioralnych z terenu woj.</w:t>
      </w:r>
      <w:r w:rsidRPr="00915D13">
        <w:rPr>
          <w:rFonts w:ascii="Lato" w:hAnsi="Lato"/>
          <w:spacing w:val="-4"/>
          <w:sz w:val="20"/>
          <w:szCs w:val="20"/>
        </w:rPr>
        <w:t xml:space="preserve"> </w:t>
      </w:r>
      <w:r w:rsidRPr="00915D13">
        <w:rPr>
          <w:rFonts w:ascii="Lato" w:hAnsi="Lato"/>
          <w:sz w:val="20"/>
          <w:szCs w:val="20"/>
        </w:rPr>
        <w:t>łódzkiego.</w:t>
      </w:r>
    </w:p>
    <w:p w14:paraId="15D40410" w14:textId="77777777" w:rsidR="0062044C" w:rsidRDefault="0062044C" w:rsidP="0062044C">
      <w:pPr>
        <w:widowControl w:val="0"/>
        <w:tabs>
          <w:tab w:val="left" w:pos="924"/>
        </w:tabs>
        <w:autoSpaceDE w:val="0"/>
        <w:autoSpaceDN w:val="0"/>
        <w:spacing w:after="0" w:line="240" w:lineRule="auto"/>
        <w:ind w:right="115"/>
        <w:jc w:val="both"/>
        <w:rPr>
          <w:rFonts w:ascii="Lato" w:hAnsi="Lato"/>
          <w:sz w:val="20"/>
          <w:szCs w:val="20"/>
        </w:rPr>
      </w:pPr>
    </w:p>
    <w:p w14:paraId="01AC9011" w14:textId="77777777" w:rsidR="0062044C" w:rsidRPr="00915D13" w:rsidRDefault="0062044C" w:rsidP="0062044C">
      <w:pPr>
        <w:widowControl w:val="0"/>
        <w:tabs>
          <w:tab w:val="left" w:pos="814"/>
        </w:tabs>
        <w:autoSpaceDE w:val="0"/>
        <w:autoSpaceDN w:val="0"/>
        <w:spacing w:after="0" w:line="240" w:lineRule="auto"/>
        <w:ind w:right="114"/>
        <w:jc w:val="both"/>
        <w:rPr>
          <w:rFonts w:ascii="Lato" w:hAnsi="Lato"/>
          <w:sz w:val="20"/>
          <w:szCs w:val="20"/>
        </w:rPr>
      </w:pPr>
      <w:r w:rsidRPr="00915D13">
        <w:rPr>
          <w:rFonts w:ascii="Lato" w:hAnsi="Lato"/>
          <w:sz w:val="20"/>
          <w:szCs w:val="20"/>
        </w:rPr>
        <w:t xml:space="preserve">W dniu 16 września 2022 r. zorganizowano cykliczne przedsięwzięcie pn. </w:t>
      </w:r>
      <w:r w:rsidRPr="00915D13">
        <w:rPr>
          <w:rFonts w:ascii="Lato" w:hAnsi="Lato"/>
          <w:b/>
          <w:sz w:val="20"/>
          <w:szCs w:val="20"/>
        </w:rPr>
        <w:t>Wojewódzkie Obchody Dnia Seniora 2022</w:t>
      </w:r>
      <w:r w:rsidRPr="00915D13">
        <w:rPr>
          <w:rFonts w:ascii="Lato" w:hAnsi="Lato"/>
          <w:sz w:val="20"/>
          <w:szCs w:val="20"/>
        </w:rPr>
        <w:t xml:space="preserve">, na terenie </w:t>
      </w:r>
      <w:r w:rsidRPr="00915D13">
        <w:rPr>
          <w:rFonts w:ascii="Lato" w:hAnsi="Lato"/>
          <w:b/>
          <w:sz w:val="20"/>
          <w:szCs w:val="20"/>
        </w:rPr>
        <w:t>Szkoły Głównej Gospodarstwa Wiejskiego Leśnego Zakładu Doświadczalnego w Rogowie</w:t>
      </w:r>
      <w:r w:rsidRPr="00915D13">
        <w:rPr>
          <w:rFonts w:ascii="Lato" w:hAnsi="Lato"/>
          <w:sz w:val="20"/>
          <w:szCs w:val="20"/>
        </w:rPr>
        <w:t>, którego głównym celem była integracja i aktywizacja seniorów, wymiana doświadczeń pomiędzy podmiotami działającymi na rzecz osób starszych oraz ukazanie potencjału osób starszych. W wydarzeniu wzięli udział przedstawiciele</w:t>
      </w:r>
      <w:r w:rsidRPr="00915D13">
        <w:rPr>
          <w:rFonts w:ascii="Lato" w:hAnsi="Lato"/>
          <w:spacing w:val="-13"/>
          <w:sz w:val="20"/>
          <w:szCs w:val="20"/>
        </w:rPr>
        <w:t xml:space="preserve"> </w:t>
      </w:r>
      <w:r w:rsidRPr="00915D13">
        <w:rPr>
          <w:rFonts w:ascii="Lato" w:hAnsi="Lato"/>
          <w:sz w:val="20"/>
          <w:szCs w:val="20"/>
        </w:rPr>
        <w:t>42</w:t>
      </w:r>
      <w:r w:rsidRPr="00915D13">
        <w:rPr>
          <w:rFonts w:ascii="Lato" w:hAnsi="Lato"/>
          <w:spacing w:val="-13"/>
          <w:sz w:val="20"/>
          <w:szCs w:val="20"/>
        </w:rPr>
        <w:t xml:space="preserve"> </w:t>
      </w:r>
      <w:r w:rsidRPr="00915D13">
        <w:rPr>
          <w:rFonts w:ascii="Lato" w:hAnsi="Lato"/>
          <w:sz w:val="20"/>
          <w:szCs w:val="20"/>
        </w:rPr>
        <w:t>podmiotów</w:t>
      </w:r>
      <w:r w:rsidRPr="00915D13">
        <w:rPr>
          <w:rFonts w:ascii="Lato" w:hAnsi="Lato"/>
          <w:spacing w:val="-12"/>
          <w:sz w:val="20"/>
          <w:szCs w:val="20"/>
        </w:rPr>
        <w:t xml:space="preserve"> </w:t>
      </w:r>
      <w:r w:rsidRPr="00915D13">
        <w:rPr>
          <w:rFonts w:ascii="Lato" w:hAnsi="Lato"/>
          <w:sz w:val="20"/>
          <w:szCs w:val="20"/>
        </w:rPr>
        <w:t>senioralnych</w:t>
      </w:r>
      <w:r w:rsidRPr="00915D13">
        <w:rPr>
          <w:rFonts w:ascii="Lato" w:hAnsi="Lato"/>
          <w:spacing w:val="-13"/>
          <w:sz w:val="20"/>
          <w:szCs w:val="20"/>
        </w:rPr>
        <w:t xml:space="preserve"> </w:t>
      </w:r>
      <w:r w:rsidRPr="00915D13">
        <w:rPr>
          <w:rFonts w:ascii="Lato" w:hAnsi="Lato"/>
          <w:sz w:val="20"/>
          <w:szCs w:val="20"/>
        </w:rPr>
        <w:t>z</w:t>
      </w:r>
      <w:r w:rsidRPr="00915D13">
        <w:rPr>
          <w:rFonts w:ascii="Lato" w:hAnsi="Lato"/>
          <w:spacing w:val="-12"/>
          <w:sz w:val="20"/>
          <w:szCs w:val="20"/>
        </w:rPr>
        <w:t xml:space="preserve"> </w:t>
      </w:r>
      <w:r w:rsidRPr="00915D13">
        <w:rPr>
          <w:rFonts w:ascii="Lato" w:hAnsi="Lato"/>
          <w:sz w:val="20"/>
          <w:szCs w:val="20"/>
        </w:rPr>
        <w:t>terenu</w:t>
      </w:r>
      <w:r w:rsidRPr="00915D13">
        <w:rPr>
          <w:rFonts w:ascii="Lato" w:hAnsi="Lato"/>
          <w:spacing w:val="-12"/>
          <w:sz w:val="20"/>
          <w:szCs w:val="20"/>
        </w:rPr>
        <w:t xml:space="preserve"> </w:t>
      </w:r>
      <w:r w:rsidRPr="00915D13">
        <w:rPr>
          <w:rFonts w:ascii="Lato" w:hAnsi="Lato"/>
          <w:sz w:val="20"/>
          <w:szCs w:val="20"/>
        </w:rPr>
        <w:t>województwa</w:t>
      </w:r>
      <w:r w:rsidRPr="00915D13">
        <w:rPr>
          <w:rFonts w:ascii="Lato" w:hAnsi="Lato"/>
          <w:spacing w:val="-13"/>
          <w:sz w:val="20"/>
          <w:szCs w:val="20"/>
        </w:rPr>
        <w:t xml:space="preserve"> </w:t>
      </w:r>
      <w:r w:rsidRPr="00915D13">
        <w:rPr>
          <w:rFonts w:ascii="Lato" w:hAnsi="Lato"/>
          <w:sz w:val="20"/>
          <w:szCs w:val="20"/>
        </w:rPr>
        <w:t>łódzkiego,</w:t>
      </w:r>
      <w:r w:rsidRPr="00915D13">
        <w:rPr>
          <w:rFonts w:ascii="Lato" w:hAnsi="Lato"/>
          <w:spacing w:val="-11"/>
          <w:sz w:val="20"/>
          <w:szCs w:val="20"/>
        </w:rPr>
        <w:t xml:space="preserve"> </w:t>
      </w:r>
      <w:r w:rsidRPr="00915D13">
        <w:rPr>
          <w:rFonts w:ascii="Lato" w:hAnsi="Lato"/>
          <w:sz w:val="20"/>
          <w:szCs w:val="20"/>
        </w:rPr>
        <w:t>w</w:t>
      </w:r>
      <w:r w:rsidRPr="00915D13">
        <w:rPr>
          <w:rFonts w:ascii="Lato" w:hAnsi="Lato"/>
          <w:spacing w:val="-13"/>
          <w:sz w:val="20"/>
          <w:szCs w:val="20"/>
        </w:rPr>
        <w:t xml:space="preserve"> </w:t>
      </w:r>
      <w:r w:rsidRPr="00915D13">
        <w:rPr>
          <w:rFonts w:ascii="Lato" w:hAnsi="Lato"/>
          <w:sz w:val="20"/>
          <w:szCs w:val="20"/>
        </w:rPr>
        <w:t>sumie</w:t>
      </w:r>
      <w:r w:rsidRPr="00915D13">
        <w:rPr>
          <w:rFonts w:ascii="Lato" w:hAnsi="Lato"/>
          <w:spacing w:val="-12"/>
          <w:sz w:val="20"/>
          <w:szCs w:val="20"/>
        </w:rPr>
        <w:t xml:space="preserve"> </w:t>
      </w:r>
      <w:r w:rsidRPr="00915D13">
        <w:rPr>
          <w:rFonts w:ascii="Lato" w:hAnsi="Lato"/>
          <w:sz w:val="20"/>
          <w:szCs w:val="20"/>
        </w:rPr>
        <w:t>300 osób. W ramach obchodów odbyły się warsztaty tematyczne (drzewa i krzewy w moim ogrodzie; dzikie rośliny jadalne; dzika kuchnia; kosmetyki naturalne) oraz zajęcia</w:t>
      </w:r>
      <w:r w:rsidRPr="00915D13">
        <w:rPr>
          <w:rFonts w:ascii="Lato" w:hAnsi="Lato"/>
          <w:spacing w:val="-41"/>
          <w:sz w:val="20"/>
          <w:szCs w:val="20"/>
        </w:rPr>
        <w:t xml:space="preserve"> </w:t>
      </w:r>
      <w:r w:rsidRPr="00915D13">
        <w:rPr>
          <w:rFonts w:ascii="Lato" w:hAnsi="Lato"/>
          <w:sz w:val="20"/>
          <w:szCs w:val="20"/>
        </w:rPr>
        <w:t>ruchowe w Arboretum. Były konkursy z nagrodami, a na scenie występowały zespoły senioralne. Gwiazdą wydarzenia był Zespół Klenczon</w:t>
      </w:r>
      <w:r w:rsidRPr="00915D13">
        <w:rPr>
          <w:rFonts w:ascii="Lato" w:hAnsi="Lato"/>
          <w:spacing w:val="-6"/>
          <w:sz w:val="20"/>
          <w:szCs w:val="20"/>
        </w:rPr>
        <w:t xml:space="preserve"> </w:t>
      </w:r>
      <w:r w:rsidRPr="00915D13">
        <w:rPr>
          <w:rFonts w:ascii="Lato" w:hAnsi="Lato"/>
          <w:sz w:val="20"/>
          <w:szCs w:val="20"/>
        </w:rPr>
        <w:t>Projekt.</w:t>
      </w:r>
    </w:p>
    <w:p w14:paraId="541F7CC5" w14:textId="77777777" w:rsidR="0062044C" w:rsidRPr="00915D13" w:rsidRDefault="0062044C" w:rsidP="0062044C">
      <w:pPr>
        <w:pStyle w:val="Tekstpodstawowy"/>
        <w:jc w:val="both"/>
        <w:rPr>
          <w:rFonts w:ascii="Lato" w:hAnsi="Lato"/>
          <w:sz w:val="20"/>
          <w:szCs w:val="20"/>
        </w:rPr>
      </w:pPr>
    </w:p>
    <w:p w14:paraId="57026BEE" w14:textId="77777777" w:rsidR="0062044C" w:rsidRPr="00915D13" w:rsidRDefault="0062044C" w:rsidP="0062044C">
      <w:pPr>
        <w:widowControl w:val="0"/>
        <w:tabs>
          <w:tab w:val="left" w:pos="813"/>
          <w:tab w:val="left" w:pos="814"/>
        </w:tabs>
        <w:autoSpaceDE w:val="0"/>
        <w:autoSpaceDN w:val="0"/>
        <w:spacing w:after="0" w:line="240" w:lineRule="auto"/>
        <w:jc w:val="both"/>
        <w:rPr>
          <w:rFonts w:ascii="Lato" w:hAnsi="Lato"/>
          <w:sz w:val="20"/>
          <w:szCs w:val="20"/>
        </w:rPr>
      </w:pPr>
      <w:r w:rsidRPr="00915D13">
        <w:rPr>
          <w:rFonts w:ascii="Lato" w:hAnsi="Lato"/>
          <w:sz w:val="20"/>
          <w:szCs w:val="20"/>
        </w:rPr>
        <w:t>Promocja działań realizowanych na rzecz osób</w:t>
      </w:r>
      <w:r w:rsidRPr="00915D13">
        <w:rPr>
          <w:rFonts w:ascii="Lato" w:hAnsi="Lato"/>
          <w:spacing w:val="-2"/>
          <w:sz w:val="20"/>
          <w:szCs w:val="20"/>
        </w:rPr>
        <w:t xml:space="preserve"> </w:t>
      </w:r>
      <w:r w:rsidRPr="00915D13">
        <w:rPr>
          <w:rFonts w:ascii="Lato" w:hAnsi="Lato"/>
          <w:sz w:val="20"/>
          <w:szCs w:val="20"/>
        </w:rPr>
        <w:t>starszych:</w:t>
      </w:r>
    </w:p>
    <w:p w14:paraId="12F37C8E" w14:textId="77777777" w:rsidR="0062044C" w:rsidRDefault="0062044C" w:rsidP="0062044C">
      <w:pPr>
        <w:pStyle w:val="Akapitzlist"/>
        <w:widowControl w:val="0"/>
        <w:numPr>
          <w:ilvl w:val="0"/>
          <w:numId w:val="64"/>
        </w:numPr>
        <w:tabs>
          <w:tab w:val="left" w:pos="881"/>
        </w:tabs>
        <w:autoSpaceDE w:val="0"/>
        <w:autoSpaceDN w:val="0"/>
        <w:spacing w:after="0" w:line="240" w:lineRule="auto"/>
        <w:jc w:val="both"/>
        <w:rPr>
          <w:rFonts w:ascii="Lato" w:hAnsi="Lato"/>
          <w:sz w:val="20"/>
          <w:szCs w:val="20"/>
        </w:rPr>
      </w:pPr>
      <w:r w:rsidRPr="00915D13">
        <w:rPr>
          <w:rFonts w:ascii="Lato" w:hAnsi="Lato"/>
          <w:sz w:val="20"/>
          <w:szCs w:val="20"/>
        </w:rPr>
        <w:t>realizacja audycji telewizyjnej promującej Kartę Seniora Województwa</w:t>
      </w:r>
      <w:r w:rsidRPr="00915D13">
        <w:rPr>
          <w:rFonts w:ascii="Lato" w:hAnsi="Lato"/>
          <w:spacing w:val="-20"/>
          <w:sz w:val="20"/>
          <w:szCs w:val="20"/>
        </w:rPr>
        <w:t xml:space="preserve"> </w:t>
      </w:r>
      <w:r w:rsidRPr="00915D13">
        <w:rPr>
          <w:rFonts w:ascii="Lato" w:hAnsi="Lato"/>
          <w:sz w:val="20"/>
          <w:szCs w:val="20"/>
        </w:rPr>
        <w:t>Łódzkiego;</w:t>
      </w:r>
    </w:p>
    <w:p w14:paraId="21FE0710" w14:textId="77777777" w:rsidR="0062044C" w:rsidRDefault="0062044C" w:rsidP="0062044C">
      <w:pPr>
        <w:pStyle w:val="Akapitzlist"/>
        <w:widowControl w:val="0"/>
        <w:numPr>
          <w:ilvl w:val="0"/>
          <w:numId w:val="64"/>
        </w:numPr>
        <w:tabs>
          <w:tab w:val="left" w:pos="881"/>
        </w:tabs>
        <w:autoSpaceDE w:val="0"/>
        <w:autoSpaceDN w:val="0"/>
        <w:spacing w:after="0" w:line="240" w:lineRule="auto"/>
        <w:jc w:val="both"/>
        <w:rPr>
          <w:rFonts w:ascii="Lato" w:hAnsi="Lato"/>
          <w:sz w:val="20"/>
          <w:szCs w:val="20"/>
        </w:rPr>
      </w:pPr>
      <w:r w:rsidRPr="00915D13">
        <w:rPr>
          <w:rFonts w:ascii="Lato" w:hAnsi="Lato"/>
          <w:sz w:val="20"/>
          <w:szCs w:val="20"/>
        </w:rPr>
        <w:t>promocja Karty Seniora Województwa Łódzkiego w Dzienniku Łódzkim i na stronie internetowej Dziennika Łódzkiego;</w:t>
      </w:r>
    </w:p>
    <w:p w14:paraId="2961C27C" w14:textId="77777777" w:rsidR="0062044C" w:rsidRDefault="0062044C" w:rsidP="0062044C">
      <w:pPr>
        <w:pStyle w:val="Akapitzlist"/>
        <w:widowControl w:val="0"/>
        <w:numPr>
          <w:ilvl w:val="0"/>
          <w:numId w:val="64"/>
        </w:numPr>
        <w:tabs>
          <w:tab w:val="left" w:pos="881"/>
        </w:tabs>
        <w:autoSpaceDE w:val="0"/>
        <w:autoSpaceDN w:val="0"/>
        <w:spacing w:after="0" w:line="240" w:lineRule="auto"/>
        <w:jc w:val="both"/>
        <w:rPr>
          <w:rFonts w:ascii="Lato" w:hAnsi="Lato"/>
          <w:sz w:val="20"/>
          <w:szCs w:val="20"/>
        </w:rPr>
      </w:pPr>
      <w:r w:rsidRPr="00915D13">
        <w:rPr>
          <w:rFonts w:ascii="Lato" w:hAnsi="Lato"/>
          <w:sz w:val="20"/>
          <w:szCs w:val="20"/>
        </w:rPr>
        <w:t xml:space="preserve">wydawanie publikacji tematycznych poświęconych m.in. problematyce osób starszych pn. </w:t>
      </w:r>
      <w:r w:rsidRPr="00915D13">
        <w:rPr>
          <w:rFonts w:ascii="Lato" w:hAnsi="Lato"/>
          <w:b/>
          <w:sz w:val="20"/>
          <w:szCs w:val="20"/>
        </w:rPr>
        <w:t>„Polityka społeczna w regionie łódzkim”</w:t>
      </w:r>
      <w:r w:rsidRPr="00915D13">
        <w:rPr>
          <w:rFonts w:ascii="Lato" w:hAnsi="Lato"/>
          <w:sz w:val="20"/>
          <w:szCs w:val="20"/>
        </w:rPr>
        <w:t>, w tym artykuł pn. „Wsparcie seniorów mieszkających w domach pomocy społecznej w dobie COVID-19 - wnioski z</w:t>
      </w:r>
      <w:r w:rsidRPr="00915D13">
        <w:rPr>
          <w:rFonts w:ascii="Lato" w:hAnsi="Lato"/>
          <w:spacing w:val="-22"/>
          <w:sz w:val="20"/>
          <w:szCs w:val="20"/>
        </w:rPr>
        <w:t xml:space="preserve"> </w:t>
      </w:r>
      <w:r w:rsidRPr="00915D13">
        <w:rPr>
          <w:rFonts w:ascii="Lato" w:hAnsi="Lato"/>
          <w:sz w:val="20"/>
          <w:szCs w:val="20"/>
        </w:rPr>
        <w:t>badań".</w:t>
      </w:r>
    </w:p>
    <w:p w14:paraId="266EE870" w14:textId="77777777" w:rsidR="0062044C" w:rsidRDefault="0062044C" w:rsidP="0062044C">
      <w:pPr>
        <w:pStyle w:val="Akapitzlist"/>
        <w:widowControl w:val="0"/>
        <w:numPr>
          <w:ilvl w:val="0"/>
          <w:numId w:val="64"/>
        </w:numPr>
        <w:tabs>
          <w:tab w:val="left" w:pos="881"/>
        </w:tabs>
        <w:autoSpaceDE w:val="0"/>
        <w:autoSpaceDN w:val="0"/>
        <w:spacing w:after="0" w:line="240" w:lineRule="auto"/>
        <w:jc w:val="both"/>
        <w:rPr>
          <w:rFonts w:ascii="Lato" w:hAnsi="Lato"/>
          <w:sz w:val="20"/>
          <w:szCs w:val="20"/>
        </w:rPr>
      </w:pPr>
      <w:r w:rsidRPr="00915D13">
        <w:rPr>
          <w:rFonts w:ascii="Lato" w:hAnsi="Lato"/>
          <w:sz w:val="20"/>
          <w:szCs w:val="20"/>
        </w:rPr>
        <w:t>Realizacja</w:t>
      </w:r>
      <w:r w:rsidRPr="00915D13">
        <w:rPr>
          <w:rFonts w:ascii="Lato" w:hAnsi="Lato"/>
          <w:spacing w:val="-17"/>
          <w:sz w:val="20"/>
          <w:szCs w:val="20"/>
        </w:rPr>
        <w:t xml:space="preserve"> </w:t>
      </w:r>
      <w:r w:rsidRPr="00915D13">
        <w:rPr>
          <w:rFonts w:ascii="Lato" w:hAnsi="Lato"/>
          <w:sz w:val="20"/>
          <w:szCs w:val="20"/>
        </w:rPr>
        <w:t>projektu</w:t>
      </w:r>
      <w:r w:rsidRPr="00915D13">
        <w:rPr>
          <w:rFonts w:ascii="Lato" w:hAnsi="Lato"/>
          <w:spacing w:val="-18"/>
          <w:sz w:val="20"/>
          <w:szCs w:val="20"/>
        </w:rPr>
        <w:t xml:space="preserve"> </w:t>
      </w:r>
      <w:r w:rsidRPr="00915D13">
        <w:rPr>
          <w:rFonts w:ascii="Lato" w:hAnsi="Lato"/>
          <w:sz w:val="20"/>
          <w:szCs w:val="20"/>
        </w:rPr>
        <w:t>„Niezależne</w:t>
      </w:r>
      <w:r w:rsidRPr="00915D13">
        <w:rPr>
          <w:rFonts w:ascii="Lato" w:hAnsi="Lato"/>
          <w:spacing w:val="-16"/>
          <w:sz w:val="20"/>
          <w:szCs w:val="20"/>
        </w:rPr>
        <w:t xml:space="preserve"> </w:t>
      </w:r>
      <w:r w:rsidRPr="00915D13">
        <w:rPr>
          <w:rFonts w:ascii="Lato" w:hAnsi="Lato"/>
          <w:sz w:val="20"/>
          <w:szCs w:val="20"/>
        </w:rPr>
        <w:t>życie</w:t>
      </w:r>
      <w:r w:rsidRPr="00915D13">
        <w:rPr>
          <w:rFonts w:ascii="Lato" w:hAnsi="Lato"/>
          <w:spacing w:val="-17"/>
          <w:sz w:val="20"/>
          <w:szCs w:val="20"/>
        </w:rPr>
        <w:t xml:space="preserve"> </w:t>
      </w:r>
      <w:r w:rsidRPr="00915D13">
        <w:rPr>
          <w:rFonts w:ascii="Lato" w:hAnsi="Lato"/>
          <w:sz w:val="20"/>
          <w:szCs w:val="20"/>
        </w:rPr>
        <w:t>-</w:t>
      </w:r>
      <w:r w:rsidRPr="00915D13">
        <w:rPr>
          <w:rFonts w:ascii="Lato" w:hAnsi="Lato"/>
          <w:spacing w:val="-19"/>
          <w:sz w:val="20"/>
          <w:szCs w:val="20"/>
        </w:rPr>
        <w:t xml:space="preserve"> </w:t>
      </w:r>
      <w:r w:rsidRPr="00915D13">
        <w:rPr>
          <w:rFonts w:ascii="Lato" w:hAnsi="Lato"/>
          <w:sz w:val="20"/>
          <w:szCs w:val="20"/>
        </w:rPr>
        <w:t>wypracowanie</w:t>
      </w:r>
      <w:r w:rsidRPr="00915D13">
        <w:rPr>
          <w:rFonts w:ascii="Lato" w:hAnsi="Lato"/>
          <w:spacing w:val="-17"/>
          <w:sz w:val="20"/>
          <w:szCs w:val="20"/>
        </w:rPr>
        <w:t xml:space="preserve"> </w:t>
      </w:r>
      <w:r w:rsidRPr="00915D13">
        <w:rPr>
          <w:rFonts w:ascii="Lato" w:hAnsi="Lato"/>
          <w:sz w:val="20"/>
          <w:szCs w:val="20"/>
        </w:rPr>
        <w:t>standardu</w:t>
      </w:r>
      <w:r w:rsidRPr="00915D13">
        <w:rPr>
          <w:rFonts w:ascii="Lato" w:hAnsi="Lato"/>
          <w:spacing w:val="-18"/>
          <w:sz w:val="20"/>
          <w:szCs w:val="20"/>
        </w:rPr>
        <w:t xml:space="preserve"> </w:t>
      </w:r>
      <w:r w:rsidRPr="00915D13">
        <w:rPr>
          <w:rFonts w:ascii="Lato" w:hAnsi="Lato"/>
          <w:sz w:val="20"/>
          <w:szCs w:val="20"/>
        </w:rPr>
        <w:t>i</w:t>
      </w:r>
      <w:r w:rsidRPr="00915D13">
        <w:rPr>
          <w:rFonts w:ascii="Lato" w:hAnsi="Lato"/>
          <w:spacing w:val="-18"/>
          <w:sz w:val="20"/>
          <w:szCs w:val="20"/>
        </w:rPr>
        <w:t xml:space="preserve"> </w:t>
      </w:r>
      <w:r w:rsidRPr="00915D13">
        <w:rPr>
          <w:rFonts w:ascii="Lato" w:hAnsi="Lato"/>
          <w:sz w:val="20"/>
          <w:szCs w:val="20"/>
        </w:rPr>
        <w:t>przeprowadzenie</w:t>
      </w:r>
      <w:r w:rsidRPr="00915D13">
        <w:rPr>
          <w:rFonts w:ascii="Lato" w:hAnsi="Lato"/>
          <w:spacing w:val="-18"/>
          <w:sz w:val="20"/>
          <w:szCs w:val="20"/>
        </w:rPr>
        <w:t xml:space="preserve"> </w:t>
      </w:r>
      <w:r w:rsidRPr="00915D13">
        <w:rPr>
          <w:rFonts w:ascii="Lato" w:hAnsi="Lato"/>
          <w:sz w:val="20"/>
          <w:szCs w:val="20"/>
        </w:rPr>
        <w:t>pilotażu w zakresie usług mieszkalnictwa wspomaganego dla osób z chorobami neurologicznymi, w tym z chorobą Alzheimera i chorobą Parkinsona oraz osób starszych”, współfinansowanego przez Unię Europejską ze środków Europejskiego Funduszu Społecznego</w:t>
      </w:r>
      <w:r w:rsidRPr="00915D13">
        <w:rPr>
          <w:rFonts w:ascii="Lato" w:hAnsi="Lato"/>
          <w:spacing w:val="-8"/>
          <w:sz w:val="20"/>
          <w:szCs w:val="20"/>
        </w:rPr>
        <w:t xml:space="preserve"> </w:t>
      </w:r>
      <w:r w:rsidRPr="00915D13">
        <w:rPr>
          <w:rFonts w:ascii="Lato" w:hAnsi="Lato"/>
          <w:sz w:val="20"/>
          <w:szCs w:val="20"/>
        </w:rPr>
        <w:t>w</w:t>
      </w:r>
      <w:r w:rsidRPr="00915D13">
        <w:rPr>
          <w:rFonts w:ascii="Lato" w:hAnsi="Lato"/>
          <w:spacing w:val="-8"/>
          <w:sz w:val="20"/>
          <w:szCs w:val="20"/>
        </w:rPr>
        <w:t xml:space="preserve"> </w:t>
      </w:r>
      <w:r w:rsidRPr="00915D13">
        <w:rPr>
          <w:rFonts w:ascii="Lato" w:hAnsi="Lato"/>
          <w:sz w:val="20"/>
          <w:szCs w:val="20"/>
        </w:rPr>
        <w:t>ramach</w:t>
      </w:r>
      <w:r w:rsidRPr="00915D13">
        <w:rPr>
          <w:rFonts w:ascii="Lato" w:hAnsi="Lato"/>
          <w:spacing w:val="-8"/>
          <w:sz w:val="20"/>
          <w:szCs w:val="20"/>
        </w:rPr>
        <w:t xml:space="preserve"> </w:t>
      </w:r>
      <w:r w:rsidRPr="00915D13">
        <w:rPr>
          <w:rFonts w:ascii="Lato" w:hAnsi="Lato"/>
          <w:sz w:val="20"/>
          <w:szCs w:val="20"/>
        </w:rPr>
        <w:t>Osi</w:t>
      </w:r>
      <w:r w:rsidRPr="00915D13">
        <w:rPr>
          <w:rFonts w:ascii="Lato" w:hAnsi="Lato"/>
          <w:spacing w:val="-7"/>
          <w:sz w:val="20"/>
          <w:szCs w:val="20"/>
        </w:rPr>
        <w:t xml:space="preserve"> </w:t>
      </w:r>
      <w:r w:rsidRPr="00915D13">
        <w:rPr>
          <w:rFonts w:ascii="Lato" w:hAnsi="Lato"/>
          <w:sz w:val="20"/>
          <w:szCs w:val="20"/>
        </w:rPr>
        <w:t>priorytetowej</w:t>
      </w:r>
      <w:r w:rsidRPr="00915D13">
        <w:rPr>
          <w:rFonts w:ascii="Lato" w:hAnsi="Lato"/>
          <w:spacing w:val="-8"/>
          <w:sz w:val="20"/>
          <w:szCs w:val="20"/>
        </w:rPr>
        <w:t xml:space="preserve"> </w:t>
      </w:r>
      <w:r w:rsidRPr="00915D13">
        <w:rPr>
          <w:rFonts w:ascii="Lato" w:hAnsi="Lato"/>
          <w:sz w:val="20"/>
          <w:szCs w:val="20"/>
        </w:rPr>
        <w:t>II.</w:t>
      </w:r>
      <w:r w:rsidRPr="00915D13">
        <w:rPr>
          <w:rFonts w:ascii="Lato" w:hAnsi="Lato"/>
          <w:spacing w:val="-8"/>
          <w:sz w:val="20"/>
          <w:szCs w:val="20"/>
        </w:rPr>
        <w:t xml:space="preserve"> </w:t>
      </w:r>
      <w:r w:rsidRPr="00915D13">
        <w:rPr>
          <w:rFonts w:ascii="Lato" w:hAnsi="Lato"/>
          <w:sz w:val="20"/>
          <w:szCs w:val="20"/>
        </w:rPr>
        <w:t>Efektywne</w:t>
      </w:r>
      <w:r w:rsidRPr="00915D13">
        <w:rPr>
          <w:rFonts w:ascii="Lato" w:hAnsi="Lato"/>
          <w:spacing w:val="-7"/>
          <w:sz w:val="20"/>
          <w:szCs w:val="20"/>
        </w:rPr>
        <w:t xml:space="preserve"> </w:t>
      </w:r>
      <w:r w:rsidRPr="00915D13">
        <w:rPr>
          <w:rFonts w:ascii="Lato" w:hAnsi="Lato"/>
          <w:sz w:val="20"/>
          <w:szCs w:val="20"/>
        </w:rPr>
        <w:t>polityki</w:t>
      </w:r>
      <w:r w:rsidRPr="00915D13">
        <w:rPr>
          <w:rFonts w:ascii="Lato" w:hAnsi="Lato"/>
          <w:spacing w:val="-7"/>
          <w:sz w:val="20"/>
          <w:szCs w:val="20"/>
        </w:rPr>
        <w:t xml:space="preserve"> </w:t>
      </w:r>
      <w:r w:rsidRPr="00915D13">
        <w:rPr>
          <w:rFonts w:ascii="Lato" w:hAnsi="Lato"/>
          <w:sz w:val="20"/>
          <w:szCs w:val="20"/>
        </w:rPr>
        <w:t>publiczne</w:t>
      </w:r>
      <w:r w:rsidRPr="00915D13">
        <w:rPr>
          <w:rFonts w:ascii="Lato" w:hAnsi="Lato"/>
          <w:spacing w:val="-8"/>
          <w:sz w:val="20"/>
          <w:szCs w:val="20"/>
        </w:rPr>
        <w:t xml:space="preserve"> </w:t>
      </w:r>
      <w:r w:rsidRPr="00915D13">
        <w:rPr>
          <w:rFonts w:ascii="Lato" w:hAnsi="Lato"/>
          <w:sz w:val="20"/>
          <w:szCs w:val="20"/>
        </w:rPr>
        <w:t>dla</w:t>
      </w:r>
      <w:r w:rsidRPr="00915D13">
        <w:rPr>
          <w:rFonts w:ascii="Lato" w:hAnsi="Lato"/>
          <w:spacing w:val="-8"/>
          <w:sz w:val="20"/>
          <w:szCs w:val="20"/>
        </w:rPr>
        <w:t xml:space="preserve"> </w:t>
      </w:r>
      <w:r w:rsidRPr="00915D13">
        <w:rPr>
          <w:rFonts w:ascii="Lato" w:hAnsi="Lato"/>
          <w:sz w:val="20"/>
          <w:szCs w:val="20"/>
        </w:rPr>
        <w:t>rynku</w:t>
      </w:r>
      <w:r w:rsidRPr="00915D13">
        <w:rPr>
          <w:rFonts w:ascii="Lato" w:hAnsi="Lato"/>
          <w:spacing w:val="-8"/>
          <w:sz w:val="20"/>
          <w:szCs w:val="20"/>
        </w:rPr>
        <w:t xml:space="preserve"> </w:t>
      </w:r>
      <w:r w:rsidRPr="00915D13">
        <w:rPr>
          <w:rFonts w:ascii="Lato" w:hAnsi="Lato"/>
          <w:sz w:val="20"/>
          <w:szCs w:val="20"/>
        </w:rPr>
        <w:t>pracy, gospodarki i edukacji, działanie 2.8 Skuteczna pomoc społeczna realizowany w ramach Programu Operacyjnego Wiedza Edukacja Rozwój 2014-2020. Głównym celem projektu było    wypracowanie     rozwiązań     umożliwiających     niezależne     życie     osobom   z chorobami neurologicznymi, w tym z choroba Alzheimera i chorobą Parkinsona oraz osobom starszym. W ramach projektu kontynuowano usługi mieszkalnictwa wspomaganego do 31 marca 2022 r. w 4 miejscach zlokalizowanych w województwie łódzkim. Natomiast w województwie opolskim oraz od kwietnia 2022 r. w województwie łódzkim realizowano usługi mieszkalnictwa w ramach trwałości projektu przez gminy      z którymi zawierane było porozumienie o</w:t>
      </w:r>
      <w:r w:rsidRPr="00915D13">
        <w:rPr>
          <w:rFonts w:ascii="Lato" w:hAnsi="Lato"/>
          <w:spacing w:val="-2"/>
          <w:sz w:val="20"/>
          <w:szCs w:val="20"/>
        </w:rPr>
        <w:t xml:space="preserve"> </w:t>
      </w:r>
      <w:r w:rsidRPr="00915D13">
        <w:rPr>
          <w:rFonts w:ascii="Lato" w:hAnsi="Lato"/>
          <w:sz w:val="20"/>
          <w:szCs w:val="20"/>
        </w:rPr>
        <w:t>współpracy.</w:t>
      </w:r>
    </w:p>
    <w:p w14:paraId="1B9DD401" w14:textId="25B3A2D4" w:rsidR="0062044C" w:rsidRDefault="0062044C" w:rsidP="0062044C">
      <w:pPr>
        <w:pStyle w:val="Akapitzlist"/>
        <w:widowControl w:val="0"/>
        <w:numPr>
          <w:ilvl w:val="0"/>
          <w:numId w:val="64"/>
        </w:numPr>
        <w:tabs>
          <w:tab w:val="left" w:pos="881"/>
        </w:tabs>
        <w:autoSpaceDE w:val="0"/>
        <w:autoSpaceDN w:val="0"/>
        <w:spacing w:after="0" w:line="240" w:lineRule="auto"/>
        <w:jc w:val="both"/>
        <w:rPr>
          <w:rFonts w:ascii="Lato" w:hAnsi="Lato"/>
          <w:sz w:val="20"/>
          <w:szCs w:val="20"/>
        </w:rPr>
      </w:pPr>
      <w:r w:rsidRPr="00275CFF">
        <w:rPr>
          <w:rFonts w:ascii="Lato" w:hAnsi="Lato"/>
          <w:sz w:val="20"/>
          <w:szCs w:val="20"/>
        </w:rPr>
        <w:t>XXIII    edycja    Przeglądu    Twórczości    Plastycznej    Osób    Chorych,    Starszych     i Niepełnosprawnych „Sztuka jak</w:t>
      </w:r>
      <w:r w:rsidRPr="00275CFF">
        <w:rPr>
          <w:rFonts w:ascii="Lato" w:hAnsi="Lato"/>
          <w:spacing w:val="-6"/>
          <w:sz w:val="20"/>
          <w:szCs w:val="20"/>
        </w:rPr>
        <w:t xml:space="preserve"> </w:t>
      </w:r>
      <w:r w:rsidRPr="00275CFF">
        <w:rPr>
          <w:rFonts w:ascii="Lato" w:hAnsi="Lato"/>
          <w:sz w:val="20"/>
          <w:szCs w:val="20"/>
        </w:rPr>
        <w:t>Balsam”.  Projekt obejmował zorganizowanie i przeprowadzenie, wspólnie z Wojewódzką Biblioteką Publiczną im. Marszałka Józefa Piłsudskiego w Łodzi, XXIII edycji Przeglądu Twórczości Plastycznej Osób Chorych, Starszych i Niepełnosprawnych „Sztuka jak Balsam” dla podopiecznych warsztatów  terapii  zajęciowej  i  środowiskowych  domów  samopomocy z terenu</w:t>
      </w:r>
      <w:r w:rsidRPr="00275CFF">
        <w:rPr>
          <w:rFonts w:ascii="Lato" w:hAnsi="Lato"/>
          <w:spacing w:val="-12"/>
          <w:sz w:val="20"/>
          <w:szCs w:val="20"/>
        </w:rPr>
        <w:t xml:space="preserve"> </w:t>
      </w:r>
      <w:r w:rsidRPr="00275CFF">
        <w:rPr>
          <w:rFonts w:ascii="Lato" w:hAnsi="Lato"/>
          <w:sz w:val="20"/>
          <w:szCs w:val="20"/>
        </w:rPr>
        <w:t>województwa</w:t>
      </w:r>
      <w:r w:rsidRPr="00275CFF">
        <w:rPr>
          <w:rFonts w:ascii="Lato" w:hAnsi="Lato"/>
          <w:spacing w:val="-12"/>
          <w:sz w:val="20"/>
          <w:szCs w:val="20"/>
        </w:rPr>
        <w:t xml:space="preserve"> </w:t>
      </w:r>
      <w:r w:rsidRPr="00275CFF">
        <w:rPr>
          <w:rFonts w:ascii="Lato" w:hAnsi="Lato"/>
          <w:sz w:val="20"/>
          <w:szCs w:val="20"/>
        </w:rPr>
        <w:t>łódzkiego.</w:t>
      </w:r>
      <w:r w:rsidRPr="00275CFF">
        <w:rPr>
          <w:rFonts w:ascii="Lato" w:hAnsi="Lato"/>
          <w:spacing w:val="-11"/>
          <w:sz w:val="20"/>
          <w:szCs w:val="20"/>
        </w:rPr>
        <w:t xml:space="preserve"> </w:t>
      </w:r>
      <w:r w:rsidRPr="00275CFF">
        <w:rPr>
          <w:rFonts w:ascii="Lato" w:hAnsi="Lato"/>
          <w:sz w:val="20"/>
          <w:szCs w:val="20"/>
        </w:rPr>
        <w:t>Głównym</w:t>
      </w:r>
      <w:r w:rsidRPr="00275CFF">
        <w:rPr>
          <w:rFonts w:ascii="Lato" w:hAnsi="Lato"/>
          <w:spacing w:val="-12"/>
          <w:sz w:val="20"/>
          <w:szCs w:val="20"/>
        </w:rPr>
        <w:t xml:space="preserve"> </w:t>
      </w:r>
      <w:r w:rsidRPr="00275CFF">
        <w:rPr>
          <w:rFonts w:ascii="Lato" w:hAnsi="Lato"/>
          <w:sz w:val="20"/>
          <w:szCs w:val="20"/>
        </w:rPr>
        <w:t>celem</w:t>
      </w:r>
      <w:r w:rsidRPr="00275CFF">
        <w:rPr>
          <w:rFonts w:ascii="Lato" w:hAnsi="Lato"/>
          <w:spacing w:val="-11"/>
          <w:sz w:val="20"/>
          <w:szCs w:val="20"/>
        </w:rPr>
        <w:t xml:space="preserve"> </w:t>
      </w:r>
      <w:r w:rsidRPr="00275CFF">
        <w:rPr>
          <w:rFonts w:ascii="Lato" w:hAnsi="Lato"/>
          <w:sz w:val="20"/>
          <w:szCs w:val="20"/>
        </w:rPr>
        <w:t>działania</w:t>
      </w:r>
      <w:r w:rsidRPr="00275CFF">
        <w:rPr>
          <w:rFonts w:ascii="Lato" w:hAnsi="Lato"/>
          <w:spacing w:val="-13"/>
          <w:sz w:val="20"/>
          <w:szCs w:val="20"/>
        </w:rPr>
        <w:t xml:space="preserve"> </w:t>
      </w:r>
      <w:r w:rsidRPr="00275CFF">
        <w:rPr>
          <w:rFonts w:ascii="Lato" w:hAnsi="Lato"/>
          <w:sz w:val="20"/>
          <w:szCs w:val="20"/>
        </w:rPr>
        <w:t>była</w:t>
      </w:r>
      <w:r w:rsidRPr="00275CFF">
        <w:rPr>
          <w:rFonts w:ascii="Lato" w:hAnsi="Lato"/>
          <w:spacing w:val="-12"/>
          <w:sz w:val="20"/>
          <w:szCs w:val="20"/>
        </w:rPr>
        <w:t xml:space="preserve"> </w:t>
      </w:r>
      <w:r w:rsidRPr="00275CFF">
        <w:rPr>
          <w:rFonts w:ascii="Lato" w:hAnsi="Lato"/>
          <w:sz w:val="20"/>
          <w:szCs w:val="20"/>
        </w:rPr>
        <w:t>aktywizacja</w:t>
      </w:r>
      <w:r w:rsidRPr="00275CFF">
        <w:rPr>
          <w:rFonts w:ascii="Lato" w:hAnsi="Lato"/>
          <w:spacing w:val="-10"/>
          <w:sz w:val="20"/>
          <w:szCs w:val="20"/>
        </w:rPr>
        <w:t xml:space="preserve"> </w:t>
      </w:r>
      <w:r w:rsidRPr="00275CFF">
        <w:rPr>
          <w:rFonts w:ascii="Lato" w:hAnsi="Lato"/>
          <w:sz w:val="20"/>
          <w:szCs w:val="20"/>
        </w:rPr>
        <w:t xml:space="preserve">uzdolnionych plastycznie osób niepełnosprawnych i starszych, poszukiwanie nowych form i środków wyrazu artystycznego, stymulacja aktywności twórczej i </w:t>
      </w:r>
      <w:r w:rsidRPr="00275CFF">
        <w:rPr>
          <w:rFonts w:ascii="Lato" w:hAnsi="Lato"/>
          <w:sz w:val="20"/>
          <w:szCs w:val="20"/>
        </w:rPr>
        <w:lastRenderedPageBreak/>
        <w:t>kreatywności oraz szeroko pojęta integracja tej grupy, upowszechnianie dorobku artystycznego niepełnosprawnych twórców. Do</w:t>
      </w:r>
      <w:r w:rsidRPr="00275CFF">
        <w:rPr>
          <w:rFonts w:ascii="Lato" w:hAnsi="Lato"/>
          <w:spacing w:val="-18"/>
          <w:sz w:val="20"/>
          <w:szCs w:val="20"/>
        </w:rPr>
        <w:t xml:space="preserve"> </w:t>
      </w:r>
      <w:r w:rsidRPr="00275CFF">
        <w:rPr>
          <w:rFonts w:ascii="Lato" w:hAnsi="Lato"/>
          <w:sz w:val="20"/>
          <w:szCs w:val="20"/>
        </w:rPr>
        <w:t>Przeglądu</w:t>
      </w:r>
      <w:r w:rsidRPr="00275CFF">
        <w:rPr>
          <w:rFonts w:ascii="Lato" w:hAnsi="Lato"/>
          <w:spacing w:val="-17"/>
          <w:sz w:val="20"/>
          <w:szCs w:val="20"/>
        </w:rPr>
        <w:t xml:space="preserve"> </w:t>
      </w:r>
      <w:r w:rsidRPr="00275CFF">
        <w:rPr>
          <w:rFonts w:ascii="Lato" w:hAnsi="Lato"/>
          <w:sz w:val="20"/>
          <w:szCs w:val="20"/>
        </w:rPr>
        <w:t>zgłoszono</w:t>
      </w:r>
      <w:r w:rsidRPr="00275CFF">
        <w:rPr>
          <w:rFonts w:ascii="Lato" w:hAnsi="Lato"/>
          <w:spacing w:val="-16"/>
          <w:sz w:val="20"/>
          <w:szCs w:val="20"/>
        </w:rPr>
        <w:t xml:space="preserve"> </w:t>
      </w:r>
      <w:r w:rsidRPr="00275CFF">
        <w:rPr>
          <w:rFonts w:ascii="Lato" w:hAnsi="Lato"/>
          <w:sz w:val="20"/>
          <w:szCs w:val="20"/>
        </w:rPr>
        <w:t>278</w:t>
      </w:r>
      <w:r w:rsidRPr="00275CFF">
        <w:rPr>
          <w:rFonts w:ascii="Lato" w:hAnsi="Lato"/>
          <w:spacing w:val="-17"/>
          <w:sz w:val="20"/>
          <w:szCs w:val="20"/>
        </w:rPr>
        <w:t xml:space="preserve"> </w:t>
      </w:r>
      <w:r w:rsidRPr="00275CFF">
        <w:rPr>
          <w:rFonts w:ascii="Lato" w:hAnsi="Lato"/>
          <w:sz w:val="20"/>
          <w:szCs w:val="20"/>
        </w:rPr>
        <w:t>prac</w:t>
      </w:r>
      <w:r w:rsidRPr="00275CFF">
        <w:rPr>
          <w:rFonts w:ascii="Lato" w:hAnsi="Lato"/>
          <w:spacing w:val="-17"/>
          <w:sz w:val="20"/>
          <w:szCs w:val="20"/>
        </w:rPr>
        <w:t xml:space="preserve"> </w:t>
      </w:r>
      <w:r w:rsidRPr="00275CFF">
        <w:rPr>
          <w:rFonts w:ascii="Lato" w:hAnsi="Lato"/>
          <w:sz w:val="20"/>
          <w:szCs w:val="20"/>
        </w:rPr>
        <w:t>z</w:t>
      </w:r>
      <w:r w:rsidRPr="00275CFF">
        <w:rPr>
          <w:rFonts w:ascii="Lato" w:hAnsi="Lato"/>
          <w:spacing w:val="-17"/>
          <w:sz w:val="20"/>
          <w:szCs w:val="20"/>
        </w:rPr>
        <w:t xml:space="preserve"> </w:t>
      </w:r>
      <w:r w:rsidRPr="00275CFF">
        <w:rPr>
          <w:rFonts w:ascii="Lato" w:hAnsi="Lato"/>
          <w:sz w:val="20"/>
          <w:szCs w:val="20"/>
        </w:rPr>
        <w:t>24</w:t>
      </w:r>
      <w:r w:rsidRPr="00275CFF">
        <w:rPr>
          <w:rFonts w:ascii="Lato" w:hAnsi="Lato"/>
          <w:spacing w:val="-17"/>
          <w:sz w:val="20"/>
          <w:szCs w:val="20"/>
        </w:rPr>
        <w:t xml:space="preserve"> </w:t>
      </w:r>
      <w:r w:rsidRPr="00275CFF">
        <w:rPr>
          <w:rFonts w:ascii="Lato" w:hAnsi="Lato"/>
          <w:sz w:val="20"/>
          <w:szCs w:val="20"/>
        </w:rPr>
        <w:t>Warsztatów</w:t>
      </w:r>
      <w:r w:rsidRPr="00275CFF">
        <w:rPr>
          <w:rFonts w:ascii="Lato" w:hAnsi="Lato"/>
          <w:spacing w:val="-17"/>
          <w:sz w:val="20"/>
          <w:szCs w:val="20"/>
        </w:rPr>
        <w:t xml:space="preserve"> </w:t>
      </w:r>
      <w:r w:rsidRPr="00275CFF">
        <w:rPr>
          <w:rFonts w:ascii="Lato" w:hAnsi="Lato"/>
          <w:sz w:val="20"/>
          <w:szCs w:val="20"/>
        </w:rPr>
        <w:t>Terapii</w:t>
      </w:r>
      <w:r w:rsidRPr="00275CFF">
        <w:rPr>
          <w:rFonts w:ascii="Lato" w:hAnsi="Lato"/>
          <w:spacing w:val="-16"/>
          <w:sz w:val="20"/>
          <w:szCs w:val="20"/>
        </w:rPr>
        <w:t xml:space="preserve"> </w:t>
      </w:r>
      <w:r w:rsidRPr="00275CFF">
        <w:rPr>
          <w:rFonts w:ascii="Lato" w:hAnsi="Lato"/>
          <w:sz w:val="20"/>
          <w:szCs w:val="20"/>
        </w:rPr>
        <w:t>Zajęciowej</w:t>
      </w:r>
      <w:r w:rsidRPr="00275CFF">
        <w:rPr>
          <w:rFonts w:ascii="Lato" w:hAnsi="Lato"/>
          <w:spacing w:val="-16"/>
          <w:sz w:val="20"/>
          <w:szCs w:val="20"/>
        </w:rPr>
        <w:t xml:space="preserve"> </w:t>
      </w:r>
      <w:r w:rsidRPr="00275CFF">
        <w:rPr>
          <w:rFonts w:ascii="Lato" w:hAnsi="Lato"/>
          <w:sz w:val="20"/>
          <w:szCs w:val="20"/>
        </w:rPr>
        <w:t>i</w:t>
      </w:r>
      <w:r w:rsidRPr="00275CFF">
        <w:rPr>
          <w:rFonts w:ascii="Lato" w:hAnsi="Lato"/>
          <w:spacing w:val="-17"/>
          <w:sz w:val="20"/>
          <w:szCs w:val="20"/>
        </w:rPr>
        <w:t xml:space="preserve"> </w:t>
      </w:r>
      <w:r w:rsidRPr="00275CFF">
        <w:rPr>
          <w:rFonts w:ascii="Lato" w:hAnsi="Lato"/>
          <w:sz w:val="20"/>
          <w:szCs w:val="20"/>
        </w:rPr>
        <w:t>23</w:t>
      </w:r>
      <w:r w:rsidRPr="00275CFF">
        <w:rPr>
          <w:rFonts w:ascii="Lato" w:hAnsi="Lato"/>
          <w:spacing w:val="-17"/>
          <w:sz w:val="20"/>
          <w:szCs w:val="20"/>
        </w:rPr>
        <w:t xml:space="preserve"> </w:t>
      </w:r>
      <w:r w:rsidRPr="00275CFF">
        <w:rPr>
          <w:rFonts w:ascii="Lato" w:hAnsi="Lato"/>
          <w:sz w:val="20"/>
          <w:szCs w:val="20"/>
        </w:rPr>
        <w:t>Środowiskowych Domów</w:t>
      </w:r>
      <w:r w:rsidRPr="00275CFF">
        <w:rPr>
          <w:rFonts w:ascii="Lato" w:hAnsi="Lato"/>
          <w:spacing w:val="-18"/>
          <w:sz w:val="20"/>
          <w:szCs w:val="20"/>
        </w:rPr>
        <w:t xml:space="preserve"> </w:t>
      </w:r>
      <w:r w:rsidRPr="00275CFF">
        <w:rPr>
          <w:rFonts w:ascii="Lato" w:hAnsi="Lato"/>
          <w:sz w:val="20"/>
          <w:szCs w:val="20"/>
        </w:rPr>
        <w:t>Samopomocy</w:t>
      </w:r>
      <w:r w:rsidRPr="00275CFF">
        <w:rPr>
          <w:rFonts w:ascii="Lato" w:hAnsi="Lato"/>
          <w:spacing w:val="-17"/>
          <w:sz w:val="20"/>
          <w:szCs w:val="20"/>
        </w:rPr>
        <w:t xml:space="preserve"> </w:t>
      </w:r>
      <w:r w:rsidRPr="00275CFF">
        <w:rPr>
          <w:rFonts w:ascii="Lato" w:hAnsi="Lato"/>
          <w:sz w:val="20"/>
          <w:szCs w:val="20"/>
        </w:rPr>
        <w:t>oraz</w:t>
      </w:r>
      <w:r w:rsidRPr="00275CFF">
        <w:rPr>
          <w:rFonts w:ascii="Lato" w:hAnsi="Lato"/>
          <w:spacing w:val="-17"/>
          <w:sz w:val="20"/>
          <w:szCs w:val="20"/>
        </w:rPr>
        <w:t xml:space="preserve"> </w:t>
      </w:r>
      <w:r w:rsidRPr="00275CFF">
        <w:rPr>
          <w:rFonts w:ascii="Lato" w:hAnsi="Lato"/>
          <w:sz w:val="20"/>
          <w:szCs w:val="20"/>
        </w:rPr>
        <w:t>z</w:t>
      </w:r>
      <w:r w:rsidRPr="00275CFF">
        <w:rPr>
          <w:rFonts w:ascii="Lato" w:hAnsi="Lato"/>
          <w:spacing w:val="-17"/>
          <w:sz w:val="20"/>
          <w:szCs w:val="20"/>
        </w:rPr>
        <w:t xml:space="preserve"> </w:t>
      </w:r>
      <w:r w:rsidRPr="00275CFF">
        <w:rPr>
          <w:rFonts w:ascii="Lato" w:hAnsi="Lato"/>
          <w:sz w:val="20"/>
          <w:szCs w:val="20"/>
        </w:rPr>
        <w:t>5</w:t>
      </w:r>
      <w:r w:rsidRPr="00275CFF">
        <w:rPr>
          <w:rFonts w:ascii="Lato" w:hAnsi="Lato"/>
          <w:spacing w:val="-18"/>
          <w:sz w:val="20"/>
          <w:szCs w:val="20"/>
        </w:rPr>
        <w:t xml:space="preserve"> </w:t>
      </w:r>
      <w:r w:rsidRPr="00275CFF">
        <w:rPr>
          <w:rFonts w:ascii="Lato" w:hAnsi="Lato"/>
          <w:sz w:val="20"/>
          <w:szCs w:val="20"/>
        </w:rPr>
        <w:t>Stowarzyszeń</w:t>
      </w:r>
      <w:r w:rsidRPr="00275CFF">
        <w:rPr>
          <w:rFonts w:ascii="Lato" w:hAnsi="Lato"/>
          <w:spacing w:val="-17"/>
          <w:sz w:val="20"/>
          <w:szCs w:val="20"/>
        </w:rPr>
        <w:t xml:space="preserve"> </w:t>
      </w:r>
      <w:r w:rsidRPr="00275CFF">
        <w:rPr>
          <w:rFonts w:ascii="Lato" w:hAnsi="Lato"/>
          <w:sz w:val="20"/>
          <w:szCs w:val="20"/>
        </w:rPr>
        <w:t>pracujących</w:t>
      </w:r>
      <w:r w:rsidRPr="00275CFF">
        <w:rPr>
          <w:rFonts w:ascii="Lato" w:hAnsi="Lato"/>
          <w:spacing w:val="-17"/>
          <w:sz w:val="20"/>
          <w:szCs w:val="20"/>
        </w:rPr>
        <w:t xml:space="preserve"> </w:t>
      </w:r>
      <w:r w:rsidRPr="00275CFF">
        <w:rPr>
          <w:rFonts w:ascii="Lato" w:hAnsi="Lato"/>
          <w:sz w:val="20"/>
          <w:szCs w:val="20"/>
        </w:rPr>
        <w:t>na</w:t>
      </w:r>
      <w:r w:rsidRPr="00275CFF">
        <w:rPr>
          <w:rFonts w:ascii="Lato" w:hAnsi="Lato"/>
          <w:spacing w:val="-17"/>
          <w:sz w:val="20"/>
          <w:szCs w:val="20"/>
        </w:rPr>
        <w:t xml:space="preserve"> </w:t>
      </w:r>
      <w:r w:rsidRPr="00275CFF">
        <w:rPr>
          <w:rFonts w:ascii="Lato" w:hAnsi="Lato"/>
          <w:sz w:val="20"/>
          <w:szCs w:val="20"/>
        </w:rPr>
        <w:t>rzecz</w:t>
      </w:r>
      <w:r w:rsidRPr="00275CFF">
        <w:rPr>
          <w:rFonts w:ascii="Lato" w:hAnsi="Lato"/>
          <w:spacing w:val="-18"/>
          <w:sz w:val="20"/>
          <w:szCs w:val="20"/>
        </w:rPr>
        <w:t xml:space="preserve"> </w:t>
      </w:r>
      <w:r w:rsidRPr="00275CFF">
        <w:rPr>
          <w:rFonts w:ascii="Lato" w:hAnsi="Lato"/>
          <w:sz w:val="20"/>
          <w:szCs w:val="20"/>
        </w:rPr>
        <w:t>osób</w:t>
      </w:r>
      <w:r w:rsidRPr="00275CFF">
        <w:rPr>
          <w:rFonts w:ascii="Lato" w:hAnsi="Lato"/>
          <w:spacing w:val="-17"/>
          <w:sz w:val="20"/>
          <w:szCs w:val="20"/>
        </w:rPr>
        <w:t xml:space="preserve"> </w:t>
      </w:r>
      <w:r w:rsidRPr="00275CFF">
        <w:rPr>
          <w:rFonts w:ascii="Lato" w:hAnsi="Lato"/>
          <w:sz w:val="20"/>
          <w:szCs w:val="20"/>
        </w:rPr>
        <w:t>niepełnosprawnych. Uroczyste rozstrzygnięcie Przeglądu odbyło się w dniu 03 czerwca 2022 roku, w Sali Koncertowej Akademii Muzycznej Łodzi. W trakcie uroczystości Grand Prix wręczono dwójce artystów z Warsztatu Terapii Zajęciowej przy Stowarzyszeniu Osób Niepełnosprawnych „Sprawni Inaczej” w Skierniewicach za prace „Tajemnicze życie morskie”</w:t>
      </w:r>
      <w:r w:rsidRPr="00275CFF">
        <w:rPr>
          <w:rFonts w:ascii="Lato" w:hAnsi="Lato"/>
          <w:spacing w:val="-12"/>
          <w:sz w:val="20"/>
          <w:szCs w:val="20"/>
        </w:rPr>
        <w:t xml:space="preserve"> </w:t>
      </w:r>
      <w:r w:rsidRPr="00275CFF">
        <w:rPr>
          <w:rFonts w:ascii="Lato" w:hAnsi="Lato"/>
          <w:sz w:val="20"/>
          <w:szCs w:val="20"/>
        </w:rPr>
        <w:t>oraz</w:t>
      </w:r>
      <w:r w:rsidRPr="00275CFF">
        <w:rPr>
          <w:rFonts w:ascii="Lato" w:hAnsi="Lato"/>
          <w:spacing w:val="-12"/>
          <w:sz w:val="20"/>
          <w:szCs w:val="20"/>
        </w:rPr>
        <w:t xml:space="preserve"> </w:t>
      </w:r>
      <w:r w:rsidRPr="00275CFF">
        <w:rPr>
          <w:rFonts w:ascii="Lato" w:hAnsi="Lato"/>
          <w:sz w:val="20"/>
          <w:szCs w:val="20"/>
        </w:rPr>
        <w:t>„Może,</w:t>
      </w:r>
      <w:r w:rsidRPr="00275CFF">
        <w:rPr>
          <w:rFonts w:ascii="Lato" w:hAnsi="Lato"/>
          <w:spacing w:val="-11"/>
          <w:sz w:val="20"/>
          <w:szCs w:val="20"/>
        </w:rPr>
        <w:t xml:space="preserve"> </w:t>
      </w:r>
      <w:r w:rsidRPr="00275CFF">
        <w:rPr>
          <w:rFonts w:ascii="Lato" w:hAnsi="Lato"/>
          <w:sz w:val="20"/>
          <w:szCs w:val="20"/>
        </w:rPr>
        <w:t>morze</w:t>
      </w:r>
      <w:r w:rsidRPr="00275CFF">
        <w:rPr>
          <w:rFonts w:ascii="Lato" w:hAnsi="Lato"/>
          <w:spacing w:val="-11"/>
          <w:sz w:val="20"/>
          <w:szCs w:val="20"/>
        </w:rPr>
        <w:t xml:space="preserve"> </w:t>
      </w:r>
      <w:r w:rsidRPr="00275CFF">
        <w:rPr>
          <w:rFonts w:ascii="Lato" w:hAnsi="Lato"/>
          <w:sz w:val="20"/>
          <w:szCs w:val="20"/>
        </w:rPr>
        <w:t>–</w:t>
      </w:r>
      <w:r w:rsidRPr="00275CFF">
        <w:rPr>
          <w:rFonts w:ascii="Lato" w:hAnsi="Lato"/>
          <w:spacing w:val="-13"/>
          <w:sz w:val="20"/>
          <w:szCs w:val="20"/>
        </w:rPr>
        <w:t xml:space="preserve"> </w:t>
      </w:r>
      <w:r w:rsidRPr="00275CFF">
        <w:rPr>
          <w:rFonts w:ascii="Lato" w:hAnsi="Lato"/>
          <w:sz w:val="20"/>
          <w:szCs w:val="20"/>
        </w:rPr>
        <w:t>dla</w:t>
      </w:r>
      <w:r w:rsidRPr="00275CFF">
        <w:rPr>
          <w:rFonts w:ascii="Lato" w:hAnsi="Lato"/>
          <w:spacing w:val="-12"/>
          <w:sz w:val="20"/>
          <w:szCs w:val="20"/>
        </w:rPr>
        <w:t xml:space="preserve"> </w:t>
      </w:r>
      <w:r w:rsidRPr="00275CFF">
        <w:rPr>
          <w:rFonts w:ascii="Lato" w:hAnsi="Lato"/>
          <w:sz w:val="20"/>
          <w:szCs w:val="20"/>
        </w:rPr>
        <w:t>wielu</w:t>
      </w:r>
      <w:r w:rsidRPr="00275CFF">
        <w:rPr>
          <w:rFonts w:ascii="Lato" w:hAnsi="Lato"/>
          <w:spacing w:val="-12"/>
          <w:sz w:val="20"/>
          <w:szCs w:val="20"/>
        </w:rPr>
        <w:t xml:space="preserve"> </w:t>
      </w:r>
      <w:r w:rsidRPr="00275CFF">
        <w:rPr>
          <w:rFonts w:ascii="Lato" w:hAnsi="Lato"/>
          <w:sz w:val="20"/>
          <w:szCs w:val="20"/>
        </w:rPr>
        <w:t>nieodkryte”.</w:t>
      </w:r>
      <w:r w:rsidRPr="00275CFF">
        <w:rPr>
          <w:rFonts w:ascii="Lato" w:hAnsi="Lato"/>
          <w:spacing w:val="-12"/>
          <w:sz w:val="20"/>
          <w:szCs w:val="20"/>
        </w:rPr>
        <w:t xml:space="preserve"> </w:t>
      </w:r>
      <w:r w:rsidRPr="00275CFF">
        <w:rPr>
          <w:rFonts w:ascii="Lato" w:hAnsi="Lato"/>
          <w:sz w:val="20"/>
          <w:szCs w:val="20"/>
        </w:rPr>
        <w:t>Dodatkowo</w:t>
      </w:r>
      <w:r w:rsidRPr="00275CFF">
        <w:rPr>
          <w:rFonts w:ascii="Lato" w:hAnsi="Lato"/>
          <w:spacing w:val="-12"/>
          <w:sz w:val="20"/>
          <w:szCs w:val="20"/>
        </w:rPr>
        <w:t xml:space="preserve"> </w:t>
      </w:r>
      <w:r w:rsidRPr="00275CFF">
        <w:rPr>
          <w:rFonts w:ascii="Lato" w:hAnsi="Lato"/>
          <w:sz w:val="20"/>
          <w:szCs w:val="20"/>
        </w:rPr>
        <w:t>przyznano</w:t>
      </w:r>
      <w:r w:rsidRPr="00275CFF">
        <w:rPr>
          <w:rFonts w:ascii="Lato" w:hAnsi="Lato"/>
          <w:spacing w:val="-12"/>
          <w:sz w:val="20"/>
          <w:szCs w:val="20"/>
        </w:rPr>
        <w:t xml:space="preserve"> </w:t>
      </w:r>
      <w:r w:rsidRPr="00275CFF">
        <w:rPr>
          <w:rFonts w:ascii="Lato" w:hAnsi="Lato"/>
          <w:sz w:val="20"/>
          <w:szCs w:val="20"/>
        </w:rPr>
        <w:t>14</w:t>
      </w:r>
      <w:r w:rsidRPr="00275CFF">
        <w:rPr>
          <w:rFonts w:ascii="Lato" w:hAnsi="Lato"/>
          <w:spacing w:val="-13"/>
          <w:sz w:val="20"/>
          <w:szCs w:val="20"/>
        </w:rPr>
        <w:t xml:space="preserve"> </w:t>
      </w:r>
      <w:r w:rsidRPr="00275CFF">
        <w:rPr>
          <w:rFonts w:ascii="Lato" w:hAnsi="Lato"/>
          <w:sz w:val="20"/>
          <w:szCs w:val="20"/>
        </w:rPr>
        <w:t>nagród</w:t>
      </w:r>
      <w:r w:rsidRPr="00275CFF">
        <w:rPr>
          <w:rFonts w:ascii="Lato" w:hAnsi="Lato"/>
          <w:spacing w:val="-12"/>
          <w:sz w:val="20"/>
          <w:szCs w:val="20"/>
        </w:rPr>
        <w:t xml:space="preserve"> </w:t>
      </w:r>
      <w:r w:rsidRPr="00275CFF">
        <w:rPr>
          <w:rFonts w:ascii="Lato" w:hAnsi="Lato"/>
          <w:sz w:val="20"/>
          <w:szCs w:val="20"/>
        </w:rPr>
        <w:t>oraz 12</w:t>
      </w:r>
      <w:r w:rsidRPr="00275CFF">
        <w:rPr>
          <w:rFonts w:ascii="Lato" w:hAnsi="Lato"/>
          <w:spacing w:val="-15"/>
          <w:sz w:val="20"/>
          <w:szCs w:val="20"/>
        </w:rPr>
        <w:t xml:space="preserve"> </w:t>
      </w:r>
      <w:r w:rsidRPr="00275CFF">
        <w:rPr>
          <w:rFonts w:ascii="Lato" w:hAnsi="Lato"/>
          <w:sz w:val="20"/>
          <w:szCs w:val="20"/>
        </w:rPr>
        <w:t>wyróżnień</w:t>
      </w:r>
      <w:r w:rsidRPr="00275CFF">
        <w:rPr>
          <w:rFonts w:ascii="Lato" w:hAnsi="Lato"/>
          <w:spacing w:val="-14"/>
          <w:sz w:val="20"/>
          <w:szCs w:val="20"/>
        </w:rPr>
        <w:t xml:space="preserve"> </w:t>
      </w:r>
      <w:r w:rsidRPr="00275CFF">
        <w:rPr>
          <w:rFonts w:ascii="Lato" w:hAnsi="Lato"/>
          <w:sz w:val="20"/>
          <w:szCs w:val="20"/>
        </w:rPr>
        <w:t>artystom</w:t>
      </w:r>
      <w:r w:rsidRPr="00275CFF">
        <w:rPr>
          <w:rFonts w:ascii="Lato" w:hAnsi="Lato"/>
          <w:spacing w:val="-13"/>
          <w:sz w:val="20"/>
          <w:szCs w:val="20"/>
        </w:rPr>
        <w:t xml:space="preserve"> </w:t>
      </w:r>
      <w:r w:rsidRPr="00275CFF">
        <w:rPr>
          <w:rFonts w:ascii="Lato" w:hAnsi="Lato"/>
          <w:sz w:val="20"/>
          <w:szCs w:val="20"/>
        </w:rPr>
        <w:t>z</w:t>
      </w:r>
      <w:r w:rsidRPr="00275CFF">
        <w:rPr>
          <w:rFonts w:ascii="Lato" w:hAnsi="Lato"/>
          <w:spacing w:val="-14"/>
          <w:sz w:val="20"/>
          <w:szCs w:val="20"/>
        </w:rPr>
        <w:t xml:space="preserve"> </w:t>
      </w:r>
      <w:r w:rsidRPr="00275CFF">
        <w:rPr>
          <w:rFonts w:ascii="Lato" w:hAnsi="Lato"/>
          <w:sz w:val="20"/>
          <w:szCs w:val="20"/>
        </w:rPr>
        <w:t>podmiotów</w:t>
      </w:r>
      <w:r w:rsidRPr="00275CFF">
        <w:rPr>
          <w:rFonts w:ascii="Lato" w:hAnsi="Lato"/>
          <w:spacing w:val="-14"/>
          <w:sz w:val="20"/>
          <w:szCs w:val="20"/>
        </w:rPr>
        <w:t xml:space="preserve"> </w:t>
      </w:r>
      <w:r w:rsidRPr="00275CFF">
        <w:rPr>
          <w:rFonts w:ascii="Lato" w:hAnsi="Lato"/>
          <w:sz w:val="20"/>
          <w:szCs w:val="20"/>
        </w:rPr>
        <w:t>z</w:t>
      </w:r>
      <w:r w:rsidRPr="00275CFF">
        <w:rPr>
          <w:rFonts w:ascii="Lato" w:hAnsi="Lato"/>
          <w:spacing w:val="-14"/>
          <w:sz w:val="20"/>
          <w:szCs w:val="20"/>
        </w:rPr>
        <w:t xml:space="preserve"> </w:t>
      </w:r>
      <w:r w:rsidRPr="00275CFF">
        <w:rPr>
          <w:rFonts w:ascii="Lato" w:hAnsi="Lato"/>
          <w:sz w:val="20"/>
          <w:szCs w:val="20"/>
        </w:rPr>
        <w:t>terenu</w:t>
      </w:r>
      <w:r w:rsidRPr="00275CFF">
        <w:rPr>
          <w:rFonts w:ascii="Lato" w:hAnsi="Lato"/>
          <w:spacing w:val="-13"/>
          <w:sz w:val="20"/>
          <w:szCs w:val="20"/>
        </w:rPr>
        <w:t xml:space="preserve"> </w:t>
      </w:r>
      <w:r w:rsidRPr="00275CFF">
        <w:rPr>
          <w:rFonts w:ascii="Lato" w:hAnsi="Lato"/>
          <w:sz w:val="20"/>
          <w:szCs w:val="20"/>
        </w:rPr>
        <w:t>naszego</w:t>
      </w:r>
      <w:r w:rsidRPr="00275CFF">
        <w:rPr>
          <w:rFonts w:ascii="Lato" w:hAnsi="Lato"/>
          <w:spacing w:val="-14"/>
          <w:sz w:val="20"/>
          <w:szCs w:val="20"/>
        </w:rPr>
        <w:t xml:space="preserve"> </w:t>
      </w:r>
      <w:r w:rsidRPr="00275CFF">
        <w:rPr>
          <w:rFonts w:ascii="Lato" w:hAnsi="Lato"/>
          <w:sz w:val="20"/>
          <w:szCs w:val="20"/>
        </w:rPr>
        <w:t>województwa.</w:t>
      </w:r>
      <w:r w:rsidRPr="00275CFF">
        <w:rPr>
          <w:rFonts w:ascii="Lato" w:hAnsi="Lato"/>
          <w:spacing w:val="-14"/>
          <w:sz w:val="20"/>
          <w:szCs w:val="20"/>
        </w:rPr>
        <w:t xml:space="preserve"> </w:t>
      </w:r>
      <w:r w:rsidRPr="00275CFF">
        <w:rPr>
          <w:rFonts w:ascii="Lato" w:hAnsi="Lato"/>
          <w:sz w:val="20"/>
          <w:szCs w:val="20"/>
        </w:rPr>
        <w:t>W</w:t>
      </w:r>
      <w:r w:rsidRPr="00275CFF">
        <w:rPr>
          <w:rFonts w:ascii="Lato" w:hAnsi="Lato"/>
          <w:spacing w:val="-14"/>
          <w:sz w:val="20"/>
          <w:szCs w:val="20"/>
        </w:rPr>
        <w:t xml:space="preserve"> </w:t>
      </w:r>
      <w:r w:rsidRPr="00275CFF">
        <w:rPr>
          <w:rFonts w:ascii="Lato" w:hAnsi="Lato"/>
          <w:sz w:val="20"/>
          <w:szCs w:val="20"/>
        </w:rPr>
        <w:t>trakcie</w:t>
      </w:r>
      <w:r w:rsidRPr="00275CFF">
        <w:rPr>
          <w:rFonts w:ascii="Lato" w:hAnsi="Lato"/>
          <w:spacing w:val="-14"/>
          <w:sz w:val="20"/>
          <w:szCs w:val="20"/>
        </w:rPr>
        <w:t xml:space="preserve"> </w:t>
      </w:r>
      <w:r w:rsidRPr="00275CFF">
        <w:rPr>
          <w:rFonts w:ascii="Lato" w:hAnsi="Lato"/>
          <w:sz w:val="20"/>
          <w:szCs w:val="20"/>
        </w:rPr>
        <w:t>uroczystości z programami artystycznymi wystąpili niepełnosprawni artyści z Warsztatu Terapii Zajęciowej „Zgoda” w Konstantynowie Łódzkim, Warsztatu Terapii Zajęciowej „Nowa Zorza” w Łodzi oraz Warsztatu Terapii Zajęciowej przy Kole w Aleksandrowie Łódzkim Polskiego</w:t>
      </w:r>
      <w:r w:rsidRPr="00275CFF">
        <w:rPr>
          <w:rFonts w:ascii="Lato" w:hAnsi="Lato"/>
          <w:spacing w:val="-11"/>
          <w:sz w:val="20"/>
          <w:szCs w:val="20"/>
        </w:rPr>
        <w:t xml:space="preserve"> </w:t>
      </w:r>
      <w:r w:rsidRPr="00275CFF">
        <w:rPr>
          <w:rFonts w:ascii="Lato" w:hAnsi="Lato"/>
          <w:sz w:val="20"/>
          <w:szCs w:val="20"/>
        </w:rPr>
        <w:t>Stowarzyszenia</w:t>
      </w:r>
      <w:r w:rsidRPr="00275CFF">
        <w:rPr>
          <w:rFonts w:ascii="Lato" w:hAnsi="Lato"/>
          <w:spacing w:val="-11"/>
          <w:sz w:val="20"/>
          <w:szCs w:val="20"/>
        </w:rPr>
        <w:t xml:space="preserve"> </w:t>
      </w:r>
      <w:r w:rsidRPr="00275CFF">
        <w:rPr>
          <w:rFonts w:ascii="Lato" w:hAnsi="Lato"/>
          <w:sz w:val="20"/>
          <w:szCs w:val="20"/>
        </w:rPr>
        <w:t>na</w:t>
      </w:r>
      <w:r w:rsidRPr="00275CFF">
        <w:rPr>
          <w:rFonts w:ascii="Lato" w:hAnsi="Lato"/>
          <w:spacing w:val="-12"/>
          <w:sz w:val="20"/>
          <w:szCs w:val="20"/>
        </w:rPr>
        <w:t xml:space="preserve"> </w:t>
      </w:r>
      <w:r w:rsidRPr="00275CFF">
        <w:rPr>
          <w:rFonts w:ascii="Lato" w:hAnsi="Lato"/>
          <w:sz w:val="20"/>
          <w:szCs w:val="20"/>
        </w:rPr>
        <w:t>rzecz</w:t>
      </w:r>
      <w:r w:rsidRPr="00275CFF">
        <w:rPr>
          <w:rFonts w:ascii="Lato" w:hAnsi="Lato"/>
          <w:spacing w:val="-11"/>
          <w:sz w:val="20"/>
          <w:szCs w:val="20"/>
        </w:rPr>
        <w:t xml:space="preserve"> </w:t>
      </w:r>
      <w:r w:rsidRPr="00275CFF">
        <w:rPr>
          <w:rFonts w:ascii="Lato" w:hAnsi="Lato"/>
          <w:sz w:val="20"/>
          <w:szCs w:val="20"/>
        </w:rPr>
        <w:t>Osób</w:t>
      </w:r>
      <w:r w:rsidRPr="00275CFF">
        <w:rPr>
          <w:rFonts w:ascii="Lato" w:hAnsi="Lato"/>
          <w:spacing w:val="-12"/>
          <w:sz w:val="20"/>
          <w:szCs w:val="20"/>
        </w:rPr>
        <w:t xml:space="preserve"> </w:t>
      </w:r>
      <w:r w:rsidRPr="00275CFF">
        <w:rPr>
          <w:rFonts w:ascii="Lato" w:hAnsi="Lato"/>
          <w:sz w:val="20"/>
          <w:szCs w:val="20"/>
        </w:rPr>
        <w:t>z</w:t>
      </w:r>
      <w:r w:rsidRPr="00275CFF">
        <w:rPr>
          <w:rFonts w:ascii="Lato" w:hAnsi="Lato"/>
          <w:spacing w:val="-12"/>
          <w:sz w:val="20"/>
          <w:szCs w:val="20"/>
        </w:rPr>
        <w:t xml:space="preserve"> </w:t>
      </w:r>
      <w:r w:rsidRPr="00275CFF">
        <w:rPr>
          <w:rFonts w:ascii="Lato" w:hAnsi="Lato"/>
          <w:sz w:val="20"/>
          <w:szCs w:val="20"/>
        </w:rPr>
        <w:t>Niepełnosprawnością</w:t>
      </w:r>
      <w:r w:rsidRPr="00275CFF">
        <w:rPr>
          <w:rFonts w:ascii="Lato" w:hAnsi="Lato"/>
          <w:spacing w:val="-10"/>
          <w:sz w:val="20"/>
          <w:szCs w:val="20"/>
        </w:rPr>
        <w:t xml:space="preserve"> </w:t>
      </w:r>
      <w:r w:rsidRPr="00275CFF">
        <w:rPr>
          <w:rFonts w:ascii="Lato" w:hAnsi="Lato"/>
          <w:sz w:val="20"/>
          <w:szCs w:val="20"/>
        </w:rPr>
        <w:t>Intelektualną.</w:t>
      </w:r>
      <w:r w:rsidRPr="00275CFF">
        <w:rPr>
          <w:rFonts w:ascii="Lato" w:hAnsi="Lato"/>
          <w:spacing w:val="-12"/>
          <w:sz w:val="20"/>
          <w:szCs w:val="20"/>
        </w:rPr>
        <w:t xml:space="preserve"> </w:t>
      </w:r>
      <w:r w:rsidRPr="00275CFF">
        <w:rPr>
          <w:rFonts w:ascii="Lato" w:hAnsi="Lato"/>
          <w:sz w:val="20"/>
          <w:szCs w:val="20"/>
        </w:rPr>
        <w:t>Nagrodzone prace opublikowano w formie kalendarzy na 2023 rok i podkładek na biurko z</w:t>
      </w:r>
      <w:r w:rsidRPr="00275CFF">
        <w:rPr>
          <w:rFonts w:ascii="Lato" w:hAnsi="Lato"/>
          <w:spacing w:val="-39"/>
          <w:sz w:val="20"/>
          <w:szCs w:val="20"/>
        </w:rPr>
        <w:t xml:space="preserve"> </w:t>
      </w:r>
      <w:r w:rsidRPr="00275CFF">
        <w:rPr>
          <w:rFonts w:ascii="Lato" w:hAnsi="Lato"/>
          <w:sz w:val="20"/>
          <w:szCs w:val="20"/>
        </w:rPr>
        <w:t>kalendarzem na</w:t>
      </w:r>
      <w:r w:rsidRPr="00275CFF">
        <w:rPr>
          <w:rFonts w:ascii="Lato" w:hAnsi="Lato"/>
          <w:spacing w:val="-7"/>
          <w:sz w:val="20"/>
          <w:szCs w:val="20"/>
        </w:rPr>
        <w:t xml:space="preserve"> </w:t>
      </w:r>
      <w:r w:rsidRPr="00275CFF">
        <w:rPr>
          <w:rFonts w:ascii="Lato" w:hAnsi="Lato"/>
          <w:sz w:val="20"/>
          <w:szCs w:val="20"/>
        </w:rPr>
        <w:t>2023</w:t>
      </w:r>
      <w:r w:rsidRPr="00275CFF">
        <w:rPr>
          <w:rFonts w:ascii="Lato" w:hAnsi="Lato"/>
          <w:spacing w:val="-7"/>
          <w:sz w:val="20"/>
          <w:szCs w:val="20"/>
        </w:rPr>
        <w:t xml:space="preserve"> </w:t>
      </w:r>
      <w:r w:rsidRPr="00275CFF">
        <w:rPr>
          <w:rFonts w:ascii="Lato" w:hAnsi="Lato"/>
          <w:sz w:val="20"/>
          <w:szCs w:val="20"/>
        </w:rPr>
        <w:t>rok.</w:t>
      </w:r>
      <w:r w:rsidRPr="00275CFF">
        <w:rPr>
          <w:rFonts w:ascii="Lato" w:hAnsi="Lato"/>
          <w:spacing w:val="-7"/>
          <w:sz w:val="20"/>
          <w:szCs w:val="20"/>
        </w:rPr>
        <w:t xml:space="preserve"> </w:t>
      </w:r>
      <w:r w:rsidRPr="00275CFF">
        <w:rPr>
          <w:rFonts w:ascii="Lato" w:hAnsi="Lato"/>
          <w:sz w:val="20"/>
          <w:szCs w:val="20"/>
        </w:rPr>
        <w:t>Emitowany</w:t>
      </w:r>
      <w:r w:rsidRPr="00275CFF">
        <w:rPr>
          <w:rFonts w:ascii="Lato" w:hAnsi="Lato"/>
          <w:spacing w:val="-5"/>
          <w:sz w:val="20"/>
          <w:szCs w:val="20"/>
        </w:rPr>
        <w:t xml:space="preserve"> </w:t>
      </w:r>
      <w:r w:rsidRPr="00275CFF">
        <w:rPr>
          <w:rFonts w:ascii="Lato" w:hAnsi="Lato"/>
          <w:sz w:val="20"/>
          <w:szCs w:val="20"/>
        </w:rPr>
        <w:t>reportaż</w:t>
      </w:r>
      <w:r w:rsidRPr="00275CFF">
        <w:rPr>
          <w:rFonts w:ascii="Lato" w:hAnsi="Lato"/>
          <w:spacing w:val="-7"/>
          <w:sz w:val="20"/>
          <w:szCs w:val="20"/>
        </w:rPr>
        <w:t xml:space="preserve"> </w:t>
      </w:r>
      <w:r w:rsidRPr="00275CFF">
        <w:rPr>
          <w:rFonts w:ascii="Lato" w:hAnsi="Lato"/>
          <w:sz w:val="20"/>
          <w:szCs w:val="20"/>
        </w:rPr>
        <w:t>w</w:t>
      </w:r>
      <w:r w:rsidRPr="00275CFF">
        <w:rPr>
          <w:rFonts w:ascii="Lato" w:hAnsi="Lato"/>
          <w:spacing w:val="-7"/>
          <w:sz w:val="20"/>
          <w:szCs w:val="20"/>
        </w:rPr>
        <w:t xml:space="preserve"> </w:t>
      </w:r>
      <w:r w:rsidRPr="00275CFF">
        <w:rPr>
          <w:rFonts w:ascii="Lato" w:hAnsi="Lato"/>
          <w:sz w:val="20"/>
          <w:szCs w:val="20"/>
        </w:rPr>
        <w:t>Łódzkim</w:t>
      </w:r>
      <w:r w:rsidRPr="00275CFF">
        <w:rPr>
          <w:rFonts w:ascii="Lato" w:hAnsi="Lato"/>
          <w:spacing w:val="-5"/>
          <w:sz w:val="20"/>
          <w:szCs w:val="20"/>
        </w:rPr>
        <w:t xml:space="preserve"> </w:t>
      </w:r>
      <w:r w:rsidRPr="00275CFF">
        <w:rPr>
          <w:rFonts w:ascii="Lato" w:hAnsi="Lato"/>
          <w:sz w:val="20"/>
          <w:szCs w:val="20"/>
        </w:rPr>
        <w:t>Oddziale</w:t>
      </w:r>
      <w:r w:rsidRPr="00275CFF">
        <w:rPr>
          <w:rFonts w:ascii="Lato" w:hAnsi="Lato"/>
          <w:spacing w:val="-6"/>
          <w:sz w:val="20"/>
          <w:szCs w:val="20"/>
        </w:rPr>
        <w:t xml:space="preserve"> </w:t>
      </w:r>
      <w:r w:rsidRPr="00275CFF">
        <w:rPr>
          <w:rFonts w:ascii="Lato" w:hAnsi="Lato"/>
          <w:sz w:val="20"/>
          <w:szCs w:val="20"/>
        </w:rPr>
        <w:t>Terenowym</w:t>
      </w:r>
      <w:r w:rsidRPr="00275CFF">
        <w:rPr>
          <w:rFonts w:ascii="Lato" w:hAnsi="Lato"/>
          <w:spacing w:val="-6"/>
          <w:sz w:val="20"/>
          <w:szCs w:val="20"/>
        </w:rPr>
        <w:t xml:space="preserve"> </w:t>
      </w:r>
      <w:r w:rsidRPr="00275CFF">
        <w:rPr>
          <w:rFonts w:ascii="Lato" w:hAnsi="Lato"/>
          <w:sz w:val="20"/>
          <w:szCs w:val="20"/>
        </w:rPr>
        <w:t>Telewizji</w:t>
      </w:r>
      <w:r w:rsidRPr="00275CFF">
        <w:rPr>
          <w:rFonts w:ascii="Lato" w:hAnsi="Lato"/>
          <w:spacing w:val="-5"/>
          <w:sz w:val="20"/>
          <w:szCs w:val="20"/>
        </w:rPr>
        <w:t xml:space="preserve"> </w:t>
      </w:r>
      <w:r w:rsidRPr="00275CFF">
        <w:rPr>
          <w:rFonts w:ascii="Lato" w:hAnsi="Lato"/>
          <w:sz w:val="20"/>
          <w:szCs w:val="20"/>
        </w:rPr>
        <w:t>Polskiej</w:t>
      </w:r>
      <w:r w:rsidRPr="00275CFF">
        <w:rPr>
          <w:rFonts w:ascii="Lato" w:hAnsi="Lato"/>
          <w:spacing w:val="-6"/>
          <w:sz w:val="20"/>
          <w:szCs w:val="20"/>
        </w:rPr>
        <w:t xml:space="preserve"> </w:t>
      </w:r>
      <w:r w:rsidRPr="00275CFF">
        <w:rPr>
          <w:rFonts w:ascii="Lato" w:hAnsi="Lato"/>
          <w:sz w:val="20"/>
          <w:szCs w:val="20"/>
        </w:rPr>
        <w:t>S.A. został częściowo poświęcony uroczystemu rozstrzygnięciu</w:t>
      </w:r>
      <w:r w:rsidRPr="00275CFF">
        <w:rPr>
          <w:rFonts w:ascii="Lato" w:hAnsi="Lato"/>
          <w:spacing w:val="-2"/>
          <w:sz w:val="20"/>
          <w:szCs w:val="20"/>
        </w:rPr>
        <w:t xml:space="preserve"> </w:t>
      </w:r>
      <w:r w:rsidRPr="00275CFF">
        <w:rPr>
          <w:rFonts w:ascii="Lato" w:hAnsi="Lato"/>
          <w:sz w:val="20"/>
          <w:szCs w:val="20"/>
        </w:rPr>
        <w:t>Przeglądu</w:t>
      </w:r>
      <w:r>
        <w:rPr>
          <w:rFonts w:ascii="Lato" w:hAnsi="Lato"/>
          <w:sz w:val="20"/>
          <w:szCs w:val="20"/>
        </w:rPr>
        <w:t>.</w:t>
      </w:r>
    </w:p>
    <w:p w14:paraId="777A7674" w14:textId="516B6F6D" w:rsidR="004844E6" w:rsidRDefault="004844E6" w:rsidP="004844E6">
      <w:pPr>
        <w:widowControl w:val="0"/>
        <w:tabs>
          <w:tab w:val="left" w:pos="881"/>
        </w:tabs>
        <w:autoSpaceDE w:val="0"/>
        <w:autoSpaceDN w:val="0"/>
        <w:spacing w:after="0" w:line="240" w:lineRule="auto"/>
        <w:jc w:val="both"/>
        <w:rPr>
          <w:rFonts w:ascii="Lato" w:hAnsi="Lato"/>
          <w:sz w:val="20"/>
          <w:szCs w:val="20"/>
        </w:rPr>
      </w:pPr>
    </w:p>
    <w:p w14:paraId="5BB954EF" w14:textId="77777777" w:rsidR="004844E6" w:rsidRPr="00275CFF" w:rsidRDefault="004844E6" w:rsidP="004844E6">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6FFC2A3D" w14:textId="77777777" w:rsidR="004844E6" w:rsidRPr="00275CFF" w:rsidRDefault="004844E6" w:rsidP="004844E6">
      <w:pPr>
        <w:pStyle w:val="Tekstpodstawowy"/>
        <w:jc w:val="both"/>
        <w:rPr>
          <w:rFonts w:ascii="Lato" w:hAnsi="Lato"/>
          <w:b/>
          <w:bCs/>
          <w:sz w:val="20"/>
          <w:szCs w:val="20"/>
        </w:rPr>
      </w:pPr>
      <w:r w:rsidRPr="00275CFF">
        <w:rPr>
          <w:rFonts w:ascii="Lato" w:hAnsi="Lato"/>
          <w:b/>
          <w:bCs/>
          <w:sz w:val="20"/>
          <w:szCs w:val="20"/>
        </w:rPr>
        <w:t>Łódź – miasto na prawach powiatu</w:t>
      </w:r>
    </w:p>
    <w:p w14:paraId="37ED6910"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 xml:space="preserve">Łódzkie </w:t>
      </w:r>
      <w:proofErr w:type="spellStart"/>
      <w:r w:rsidRPr="00275CFF">
        <w:rPr>
          <w:rFonts w:ascii="Lato" w:hAnsi="Lato"/>
          <w:sz w:val="20"/>
          <w:szCs w:val="20"/>
        </w:rPr>
        <w:t>Senioralia</w:t>
      </w:r>
      <w:proofErr w:type="spellEnd"/>
      <w:r w:rsidRPr="00275CFF">
        <w:rPr>
          <w:rFonts w:ascii="Lato" w:hAnsi="Lato"/>
          <w:sz w:val="20"/>
          <w:szCs w:val="20"/>
        </w:rPr>
        <w:t xml:space="preserve"> - głównym celem dwutygodniowego wydarzenia jest zachęcenie osób 60+ do aktywnego stylu życia, poszerzania wiedzy, rozwijania pasji, a także wskazanie miejsc, w których mogą rozwijać swój potencjał. W trakcie trwania Łódzkich </w:t>
      </w:r>
      <w:proofErr w:type="spellStart"/>
      <w:r w:rsidRPr="00275CFF">
        <w:rPr>
          <w:rFonts w:ascii="Lato" w:hAnsi="Lato"/>
          <w:sz w:val="20"/>
          <w:szCs w:val="20"/>
        </w:rPr>
        <w:t>Senioraliów</w:t>
      </w:r>
      <w:proofErr w:type="spellEnd"/>
      <w:r w:rsidRPr="00275CFF">
        <w:rPr>
          <w:rFonts w:ascii="Lato" w:hAnsi="Lato"/>
          <w:sz w:val="20"/>
          <w:szCs w:val="20"/>
        </w:rPr>
        <w:t xml:space="preserve"> posiadacze Karty Łodzianina z aktywnym Pakietem Seniora mają zapewnione bezpłatne przejazdy środkami komunikacji miejskiej. W roku 2022 w VIII Łódzkich </w:t>
      </w:r>
      <w:proofErr w:type="spellStart"/>
      <w:r w:rsidRPr="00275CFF">
        <w:rPr>
          <w:rFonts w:ascii="Lato" w:hAnsi="Lato"/>
          <w:sz w:val="20"/>
          <w:szCs w:val="20"/>
        </w:rPr>
        <w:t>Senioraliów</w:t>
      </w:r>
      <w:proofErr w:type="spellEnd"/>
      <w:r w:rsidRPr="00275CFF">
        <w:rPr>
          <w:rFonts w:ascii="Lato" w:hAnsi="Lato"/>
          <w:sz w:val="20"/>
          <w:szCs w:val="20"/>
        </w:rPr>
        <w:t xml:space="preserve"> udział wzięło 30 000</w:t>
      </w:r>
      <w:r w:rsidRPr="00275CFF">
        <w:rPr>
          <w:rFonts w:ascii="Lato" w:hAnsi="Lato"/>
          <w:spacing w:val="-2"/>
          <w:sz w:val="20"/>
          <w:szCs w:val="20"/>
        </w:rPr>
        <w:t xml:space="preserve"> </w:t>
      </w:r>
      <w:r w:rsidRPr="00275CFF">
        <w:rPr>
          <w:rFonts w:ascii="Lato" w:hAnsi="Lato"/>
          <w:sz w:val="20"/>
          <w:szCs w:val="20"/>
        </w:rPr>
        <w:t>osób.</w:t>
      </w:r>
    </w:p>
    <w:p w14:paraId="29E44AE1"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361958D4"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0571949C"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Centra Zdrowego i Aktywnego Seniora (CZAS) – punkty utworzone w miejskich przychodniach, pełniące równocześnie funkcje miejsc spotkań edukacyjnych, rekreacyjnych kulturalnych oraz towarzyskich, jak i kawiarenek internetowych. W roku 2022 na terenie miasta dostępne były cztery Centra (na ul. Szpitalnej, Libelta, Cieszkowskiego, Rzgowskiej). Z oferty Centrów Zdrowego i Aktywnego Seniora w roku 2022 skorzystano 62 497</w:t>
      </w:r>
      <w:r w:rsidRPr="00275CFF">
        <w:rPr>
          <w:rFonts w:ascii="Lato" w:hAnsi="Lato"/>
          <w:spacing w:val="-2"/>
          <w:sz w:val="20"/>
          <w:szCs w:val="20"/>
        </w:rPr>
        <w:t xml:space="preserve"> </w:t>
      </w:r>
      <w:r w:rsidRPr="00275CFF">
        <w:rPr>
          <w:rFonts w:ascii="Lato" w:hAnsi="Lato"/>
          <w:sz w:val="20"/>
          <w:szCs w:val="20"/>
        </w:rPr>
        <w:t>razy.</w:t>
      </w:r>
    </w:p>
    <w:p w14:paraId="715EE51C" w14:textId="77777777" w:rsidR="004844E6" w:rsidRPr="00915D13" w:rsidRDefault="004844E6" w:rsidP="004844E6">
      <w:pPr>
        <w:pStyle w:val="Tekstpodstawowy"/>
        <w:jc w:val="both"/>
        <w:rPr>
          <w:rFonts w:ascii="Lato" w:hAnsi="Lato"/>
          <w:sz w:val="20"/>
          <w:szCs w:val="20"/>
        </w:rPr>
      </w:pPr>
    </w:p>
    <w:p w14:paraId="6088451A" w14:textId="77777777" w:rsidR="004844E6" w:rsidRPr="00275CFF" w:rsidRDefault="004844E6" w:rsidP="004844E6">
      <w:pPr>
        <w:widowControl w:val="0"/>
        <w:tabs>
          <w:tab w:val="left" w:pos="817"/>
        </w:tabs>
        <w:autoSpaceDE w:val="0"/>
        <w:autoSpaceDN w:val="0"/>
        <w:spacing w:after="0" w:line="240" w:lineRule="auto"/>
        <w:ind w:right="114"/>
        <w:jc w:val="both"/>
        <w:rPr>
          <w:rFonts w:ascii="Lato" w:hAnsi="Lato"/>
          <w:sz w:val="20"/>
          <w:szCs w:val="20"/>
        </w:rPr>
      </w:pPr>
      <w:r w:rsidRPr="00275CFF">
        <w:rPr>
          <w:rFonts w:ascii="Lato" w:hAnsi="Lato"/>
          <w:sz w:val="20"/>
          <w:szCs w:val="20"/>
        </w:rPr>
        <w:t>Projekt Senior w Sieci – w ramach projektu organizowane są szkolenia komputerowe oraz warsztaty dla osób w wieku 60+, gdzie uczestnicy uczą się obsługi komputera na</w:t>
      </w:r>
      <w:r w:rsidRPr="00275CFF">
        <w:rPr>
          <w:rFonts w:ascii="Lato" w:hAnsi="Lato"/>
          <w:spacing w:val="-40"/>
          <w:sz w:val="20"/>
          <w:szCs w:val="20"/>
        </w:rPr>
        <w:t xml:space="preserve"> </w:t>
      </w:r>
      <w:r w:rsidRPr="00275CFF">
        <w:rPr>
          <w:rFonts w:ascii="Lato" w:hAnsi="Lato"/>
          <w:sz w:val="20"/>
          <w:szCs w:val="20"/>
        </w:rPr>
        <w:t xml:space="preserve">poziomie podstawowym  lub   rozszerzonym   oraz   poznają   funkcjonalności   wybranych   portali i poszerzają swoją wiedzę z zakresu korzystania z </w:t>
      </w:r>
      <w:proofErr w:type="spellStart"/>
      <w:r w:rsidRPr="00275CFF">
        <w:rPr>
          <w:rFonts w:ascii="Lato" w:hAnsi="Lato"/>
          <w:sz w:val="20"/>
          <w:szCs w:val="20"/>
        </w:rPr>
        <w:t>internetu</w:t>
      </w:r>
      <w:proofErr w:type="spellEnd"/>
      <w:r w:rsidRPr="00275CFF">
        <w:rPr>
          <w:rFonts w:ascii="Lato" w:hAnsi="Lato"/>
          <w:sz w:val="20"/>
          <w:szCs w:val="20"/>
        </w:rPr>
        <w:t xml:space="preserve">. W roku 2022 r. Łodzianie w wieku 60+ mogli wziąć udział również w bezpłatnych zajęciach z obsługi komputera oraz </w:t>
      </w:r>
      <w:proofErr w:type="spellStart"/>
      <w:r w:rsidRPr="00275CFF">
        <w:rPr>
          <w:rFonts w:ascii="Lato" w:hAnsi="Lato"/>
          <w:sz w:val="20"/>
          <w:szCs w:val="20"/>
        </w:rPr>
        <w:t>smartfona</w:t>
      </w:r>
      <w:proofErr w:type="spellEnd"/>
      <w:r w:rsidRPr="00275CFF">
        <w:rPr>
          <w:rFonts w:ascii="Lato" w:hAnsi="Lato"/>
          <w:sz w:val="20"/>
          <w:szCs w:val="20"/>
        </w:rPr>
        <w:t>. Z warsztatów skorzystało 280</w:t>
      </w:r>
      <w:r w:rsidRPr="00275CFF">
        <w:rPr>
          <w:rFonts w:ascii="Lato" w:hAnsi="Lato"/>
          <w:spacing w:val="-6"/>
          <w:sz w:val="20"/>
          <w:szCs w:val="20"/>
        </w:rPr>
        <w:t xml:space="preserve"> </w:t>
      </w:r>
      <w:r w:rsidRPr="00275CFF">
        <w:rPr>
          <w:rFonts w:ascii="Lato" w:hAnsi="Lato"/>
          <w:sz w:val="20"/>
          <w:szCs w:val="20"/>
        </w:rPr>
        <w:t>osób.</w:t>
      </w:r>
    </w:p>
    <w:p w14:paraId="66CFDFDE" w14:textId="77777777" w:rsidR="004844E6" w:rsidRPr="00915D13" w:rsidRDefault="004844E6" w:rsidP="004844E6">
      <w:pPr>
        <w:pStyle w:val="Tekstpodstawowy"/>
        <w:jc w:val="both"/>
        <w:rPr>
          <w:rFonts w:ascii="Lato" w:hAnsi="Lato"/>
          <w:sz w:val="20"/>
          <w:szCs w:val="20"/>
        </w:rPr>
      </w:pPr>
    </w:p>
    <w:p w14:paraId="4FCC374A"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Projekt Przepis na Zdrowie – Program dedykowany jest osobom, które szukają sposobu  na radzenie sobie ze stresem związanym z życiem codziennym. Program dedykowany osobom, które szukają sposobu na radzenie sobie ze stresem związanym z życiem codziennym, sytuacją rodzinną bądź wypaleniem zawodowym. W ramach projektu wsparciem</w:t>
      </w:r>
      <w:r w:rsidRPr="00275CFF">
        <w:rPr>
          <w:rFonts w:ascii="Lato" w:hAnsi="Lato"/>
          <w:spacing w:val="-14"/>
          <w:sz w:val="20"/>
          <w:szCs w:val="20"/>
        </w:rPr>
        <w:t xml:space="preserve"> </w:t>
      </w:r>
      <w:r w:rsidRPr="00275CFF">
        <w:rPr>
          <w:rFonts w:ascii="Lato" w:hAnsi="Lato"/>
          <w:sz w:val="20"/>
          <w:szCs w:val="20"/>
        </w:rPr>
        <w:t>objętych</w:t>
      </w:r>
      <w:r w:rsidRPr="00275CFF">
        <w:rPr>
          <w:rFonts w:ascii="Lato" w:hAnsi="Lato"/>
          <w:spacing w:val="-14"/>
          <w:sz w:val="20"/>
          <w:szCs w:val="20"/>
        </w:rPr>
        <w:t xml:space="preserve"> </w:t>
      </w:r>
      <w:r w:rsidRPr="00275CFF">
        <w:rPr>
          <w:rFonts w:ascii="Lato" w:hAnsi="Lato"/>
          <w:sz w:val="20"/>
          <w:szCs w:val="20"/>
        </w:rPr>
        <w:t>zostało</w:t>
      </w:r>
      <w:r w:rsidRPr="00275CFF">
        <w:rPr>
          <w:rFonts w:ascii="Lato" w:hAnsi="Lato"/>
          <w:spacing w:val="-12"/>
          <w:sz w:val="20"/>
          <w:szCs w:val="20"/>
        </w:rPr>
        <w:t xml:space="preserve"> </w:t>
      </w:r>
      <w:r w:rsidRPr="00275CFF">
        <w:rPr>
          <w:rFonts w:ascii="Lato" w:hAnsi="Lato"/>
          <w:sz w:val="20"/>
          <w:szCs w:val="20"/>
        </w:rPr>
        <w:t>500</w:t>
      </w:r>
      <w:r w:rsidRPr="00275CFF">
        <w:rPr>
          <w:rFonts w:ascii="Lato" w:hAnsi="Lato"/>
          <w:spacing w:val="-14"/>
          <w:sz w:val="20"/>
          <w:szCs w:val="20"/>
        </w:rPr>
        <w:t xml:space="preserve"> </w:t>
      </w:r>
      <w:r w:rsidRPr="00275CFF">
        <w:rPr>
          <w:rFonts w:ascii="Lato" w:hAnsi="Lato"/>
          <w:sz w:val="20"/>
          <w:szCs w:val="20"/>
        </w:rPr>
        <w:t>mieszkańców</w:t>
      </w:r>
      <w:r w:rsidRPr="00275CFF">
        <w:rPr>
          <w:rFonts w:ascii="Lato" w:hAnsi="Lato"/>
          <w:spacing w:val="-12"/>
          <w:sz w:val="20"/>
          <w:szCs w:val="20"/>
        </w:rPr>
        <w:t xml:space="preserve"> </w:t>
      </w:r>
      <w:r w:rsidRPr="00275CFF">
        <w:rPr>
          <w:rFonts w:ascii="Lato" w:hAnsi="Lato"/>
          <w:sz w:val="20"/>
          <w:szCs w:val="20"/>
        </w:rPr>
        <w:t>Łodzi</w:t>
      </w:r>
      <w:r w:rsidRPr="00275CFF">
        <w:rPr>
          <w:rFonts w:ascii="Lato" w:hAnsi="Lato"/>
          <w:spacing w:val="-14"/>
          <w:sz w:val="20"/>
          <w:szCs w:val="20"/>
        </w:rPr>
        <w:t xml:space="preserve"> </w:t>
      </w:r>
      <w:r w:rsidRPr="00275CFF">
        <w:rPr>
          <w:rFonts w:ascii="Lato" w:hAnsi="Lato"/>
          <w:sz w:val="20"/>
          <w:szCs w:val="20"/>
        </w:rPr>
        <w:t>z</w:t>
      </w:r>
      <w:r w:rsidRPr="00275CFF">
        <w:rPr>
          <w:rFonts w:ascii="Lato" w:hAnsi="Lato"/>
          <w:spacing w:val="-14"/>
          <w:sz w:val="20"/>
          <w:szCs w:val="20"/>
        </w:rPr>
        <w:t xml:space="preserve"> </w:t>
      </w:r>
      <w:r w:rsidRPr="00275CFF">
        <w:rPr>
          <w:rFonts w:ascii="Lato" w:hAnsi="Lato"/>
          <w:sz w:val="20"/>
          <w:szCs w:val="20"/>
        </w:rPr>
        <w:t>problemami</w:t>
      </w:r>
      <w:r w:rsidRPr="00275CFF">
        <w:rPr>
          <w:rFonts w:ascii="Lato" w:hAnsi="Lato"/>
          <w:spacing w:val="-14"/>
          <w:sz w:val="20"/>
          <w:szCs w:val="20"/>
        </w:rPr>
        <w:t xml:space="preserve"> </w:t>
      </w:r>
      <w:r w:rsidRPr="00275CFF">
        <w:rPr>
          <w:rFonts w:ascii="Lato" w:hAnsi="Lato"/>
          <w:sz w:val="20"/>
          <w:szCs w:val="20"/>
        </w:rPr>
        <w:t>związanymi</w:t>
      </w:r>
      <w:r w:rsidRPr="00275CFF">
        <w:rPr>
          <w:rFonts w:ascii="Lato" w:hAnsi="Lato"/>
          <w:spacing w:val="-12"/>
          <w:sz w:val="20"/>
          <w:szCs w:val="20"/>
        </w:rPr>
        <w:t xml:space="preserve"> </w:t>
      </w:r>
      <w:r w:rsidRPr="00275CFF">
        <w:rPr>
          <w:rFonts w:ascii="Lato" w:hAnsi="Lato"/>
          <w:sz w:val="20"/>
          <w:szCs w:val="20"/>
        </w:rPr>
        <w:t>ze</w:t>
      </w:r>
      <w:r w:rsidRPr="00275CFF">
        <w:rPr>
          <w:rFonts w:ascii="Lato" w:hAnsi="Lato"/>
          <w:spacing w:val="-13"/>
          <w:sz w:val="20"/>
          <w:szCs w:val="20"/>
        </w:rPr>
        <w:t xml:space="preserve"> </w:t>
      </w:r>
      <w:r w:rsidRPr="00275CFF">
        <w:rPr>
          <w:rFonts w:ascii="Lato" w:hAnsi="Lato"/>
          <w:sz w:val="20"/>
          <w:szCs w:val="20"/>
        </w:rPr>
        <w:t>stresem. Wsparcie</w:t>
      </w:r>
      <w:r w:rsidRPr="00275CFF">
        <w:rPr>
          <w:rFonts w:ascii="Lato" w:hAnsi="Lato"/>
          <w:spacing w:val="-16"/>
          <w:sz w:val="20"/>
          <w:szCs w:val="20"/>
        </w:rPr>
        <w:t xml:space="preserve"> </w:t>
      </w:r>
      <w:r w:rsidRPr="00275CFF">
        <w:rPr>
          <w:rFonts w:ascii="Lato" w:hAnsi="Lato"/>
          <w:sz w:val="20"/>
          <w:szCs w:val="20"/>
        </w:rPr>
        <w:t>uwzględniało:</w:t>
      </w:r>
      <w:r w:rsidRPr="00275CFF">
        <w:rPr>
          <w:rFonts w:ascii="Lato" w:hAnsi="Lato"/>
          <w:spacing w:val="-17"/>
          <w:sz w:val="20"/>
          <w:szCs w:val="20"/>
        </w:rPr>
        <w:t xml:space="preserve"> </w:t>
      </w:r>
      <w:r w:rsidRPr="00275CFF">
        <w:rPr>
          <w:rFonts w:ascii="Lato" w:hAnsi="Lato"/>
          <w:sz w:val="20"/>
          <w:szCs w:val="20"/>
        </w:rPr>
        <w:t>warsztaty</w:t>
      </w:r>
      <w:r w:rsidRPr="00275CFF">
        <w:rPr>
          <w:rFonts w:ascii="Lato" w:hAnsi="Lato"/>
          <w:spacing w:val="-16"/>
          <w:sz w:val="20"/>
          <w:szCs w:val="20"/>
        </w:rPr>
        <w:t xml:space="preserve"> </w:t>
      </w:r>
      <w:r w:rsidRPr="00275CFF">
        <w:rPr>
          <w:rFonts w:ascii="Lato" w:hAnsi="Lato"/>
          <w:sz w:val="20"/>
          <w:szCs w:val="20"/>
        </w:rPr>
        <w:t>grupowe</w:t>
      </w:r>
      <w:r w:rsidRPr="00275CFF">
        <w:rPr>
          <w:rFonts w:ascii="Lato" w:hAnsi="Lato"/>
          <w:spacing w:val="-17"/>
          <w:sz w:val="20"/>
          <w:szCs w:val="20"/>
        </w:rPr>
        <w:t xml:space="preserve"> </w:t>
      </w:r>
      <w:r w:rsidRPr="00275CFF">
        <w:rPr>
          <w:rFonts w:ascii="Lato" w:hAnsi="Lato"/>
          <w:sz w:val="20"/>
          <w:szCs w:val="20"/>
        </w:rPr>
        <w:t>prowadzone</w:t>
      </w:r>
      <w:r w:rsidRPr="00275CFF">
        <w:rPr>
          <w:rFonts w:ascii="Lato" w:hAnsi="Lato"/>
          <w:spacing w:val="-16"/>
          <w:sz w:val="20"/>
          <w:szCs w:val="20"/>
        </w:rPr>
        <w:t xml:space="preserve"> </w:t>
      </w:r>
      <w:r w:rsidRPr="00275CFF">
        <w:rPr>
          <w:rFonts w:ascii="Lato" w:hAnsi="Lato"/>
          <w:sz w:val="20"/>
          <w:szCs w:val="20"/>
        </w:rPr>
        <w:t>przez</w:t>
      </w:r>
      <w:r w:rsidRPr="00275CFF">
        <w:rPr>
          <w:rFonts w:ascii="Lato" w:hAnsi="Lato"/>
          <w:spacing w:val="-17"/>
          <w:sz w:val="20"/>
          <w:szCs w:val="20"/>
        </w:rPr>
        <w:t xml:space="preserve"> </w:t>
      </w:r>
      <w:r w:rsidRPr="00275CFF">
        <w:rPr>
          <w:rFonts w:ascii="Lato" w:hAnsi="Lato"/>
          <w:sz w:val="20"/>
          <w:szCs w:val="20"/>
        </w:rPr>
        <w:t>psychoterapeutę</w:t>
      </w:r>
      <w:r w:rsidRPr="00275CFF">
        <w:rPr>
          <w:rFonts w:ascii="Lato" w:hAnsi="Lato"/>
          <w:spacing w:val="-16"/>
          <w:sz w:val="20"/>
          <w:szCs w:val="20"/>
        </w:rPr>
        <w:t xml:space="preserve"> </w:t>
      </w:r>
      <w:r w:rsidRPr="00275CFF">
        <w:rPr>
          <w:rFonts w:ascii="Lato" w:hAnsi="Lato"/>
          <w:sz w:val="20"/>
          <w:szCs w:val="20"/>
        </w:rPr>
        <w:t>(10</w:t>
      </w:r>
      <w:r w:rsidRPr="00275CFF">
        <w:rPr>
          <w:rFonts w:ascii="Lato" w:hAnsi="Lato"/>
          <w:spacing w:val="-17"/>
          <w:sz w:val="20"/>
          <w:szCs w:val="20"/>
        </w:rPr>
        <w:t xml:space="preserve"> </w:t>
      </w:r>
      <w:r w:rsidRPr="00275CFF">
        <w:rPr>
          <w:rFonts w:ascii="Lato" w:hAnsi="Lato"/>
          <w:sz w:val="20"/>
          <w:szCs w:val="20"/>
        </w:rPr>
        <w:t>spotkań po 2 godz. każde), zindywidualizowane zajęcia ruchowe (8 zajęć/osoba), indywidualne konsultacje</w:t>
      </w:r>
      <w:r>
        <w:rPr>
          <w:rFonts w:ascii="Lato" w:hAnsi="Lato"/>
          <w:sz w:val="20"/>
          <w:szCs w:val="20"/>
        </w:rPr>
        <w:t xml:space="preserve"> </w:t>
      </w:r>
      <w:r w:rsidRPr="00275CFF">
        <w:rPr>
          <w:rFonts w:ascii="Lato" w:hAnsi="Lato"/>
          <w:sz w:val="20"/>
          <w:szCs w:val="20"/>
        </w:rPr>
        <w:t>psychologiczne/psychiatryczne (4  spotkania  /osoba).  Projekt  realizowany  w ramach Europejskiego Funduszu Społecznego. W 2022 roku wsparcie otrzymało 130 osób.</w:t>
      </w:r>
    </w:p>
    <w:p w14:paraId="68720472"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79217F33"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1519B60D" w14:textId="77777777" w:rsidR="004844E6" w:rsidRPr="00275CFF" w:rsidRDefault="004844E6" w:rsidP="004844E6">
      <w:pPr>
        <w:pStyle w:val="Tekstpodstawowy"/>
        <w:ind w:right="3123"/>
        <w:jc w:val="both"/>
        <w:rPr>
          <w:rFonts w:ascii="Lato" w:hAnsi="Lato"/>
          <w:b/>
          <w:bCs/>
          <w:sz w:val="20"/>
          <w:szCs w:val="20"/>
        </w:rPr>
      </w:pPr>
      <w:r w:rsidRPr="00275CFF">
        <w:rPr>
          <w:rFonts w:ascii="Lato" w:hAnsi="Lato"/>
          <w:b/>
          <w:bCs/>
          <w:sz w:val="20"/>
          <w:szCs w:val="20"/>
        </w:rPr>
        <w:t>Miasto Tomaszów Mazowiecki</w:t>
      </w:r>
    </w:p>
    <w:p w14:paraId="1669C134"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 xml:space="preserve">W marcu 2022 zorganizowano koncert senioralny dla ok. 500 seniorów, którego gwiazdą była Młodzieżowa Orkiestra Symfoniczna pod dyrekcja Kamila Wrony z gościnnym udziałem Grzegorza Wilka. Przed koncertem prezydent Tomaszowa Mazowieckiego wraz z wiceprzewodniczącą Rady Miejskiej wręczyli statuetki „Liderów Seniorów 2022”, które otrzymali prezesi organizacji pozarządowych oraz przewodniczący grup </w:t>
      </w:r>
      <w:r w:rsidRPr="00275CFF">
        <w:rPr>
          <w:rFonts w:ascii="Lato" w:hAnsi="Lato"/>
          <w:spacing w:val="-2"/>
          <w:sz w:val="20"/>
          <w:szCs w:val="20"/>
        </w:rPr>
        <w:t xml:space="preserve">nieformalnych </w:t>
      </w:r>
      <w:r w:rsidRPr="00275CFF">
        <w:rPr>
          <w:rFonts w:ascii="Lato" w:hAnsi="Lato"/>
          <w:sz w:val="20"/>
          <w:szCs w:val="20"/>
        </w:rPr>
        <w:t>działających na rzecz lokalnego środowiska senioralnego. Wydarzenie zostało zrealizowane w ramach projektu pn. „ TOMASZÓW MAZOWIECKI – ARENA POZYTYWNEJ ENERGII: wzmocnienie spójności społecznej i gospodarczej oraz podniesienie jakości środowiska naturalnego w Tomaszowie Mazowieckim” finansowanego w ramach Programu „Rozwój Lokalny” ze środków Mechanizmu Finansowego Europejskiego Obszaru Gospodarczego</w:t>
      </w:r>
      <w:r w:rsidRPr="00275CFF">
        <w:rPr>
          <w:rFonts w:ascii="Lato" w:hAnsi="Lato"/>
          <w:spacing w:val="-4"/>
          <w:sz w:val="20"/>
          <w:szCs w:val="20"/>
        </w:rPr>
        <w:t xml:space="preserve"> </w:t>
      </w:r>
      <w:r w:rsidRPr="00275CFF">
        <w:rPr>
          <w:rFonts w:ascii="Lato" w:hAnsi="Lato"/>
          <w:sz w:val="20"/>
          <w:szCs w:val="20"/>
        </w:rPr>
        <w:t>2014-</w:t>
      </w:r>
      <w:r w:rsidRPr="00275CFF">
        <w:rPr>
          <w:rFonts w:ascii="Lato" w:hAnsi="Lato"/>
          <w:sz w:val="20"/>
          <w:szCs w:val="20"/>
        </w:rPr>
        <w:lastRenderedPageBreak/>
        <w:t>2021.</w:t>
      </w:r>
    </w:p>
    <w:p w14:paraId="7225AF5F" w14:textId="77777777" w:rsidR="004844E6" w:rsidRPr="00915D13" w:rsidRDefault="004844E6" w:rsidP="004844E6">
      <w:pPr>
        <w:pStyle w:val="Tekstpodstawowy"/>
        <w:jc w:val="both"/>
        <w:rPr>
          <w:rFonts w:ascii="Lato" w:hAnsi="Lato"/>
          <w:sz w:val="20"/>
          <w:szCs w:val="20"/>
        </w:rPr>
      </w:pPr>
    </w:p>
    <w:p w14:paraId="2AC5B44B" w14:textId="77777777" w:rsidR="004844E6" w:rsidRPr="00915D13"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W 2022 roku Gmina Miasto Tomaszów Mazowiecki otrzymała dofinansowanie w kwocie 15 000,00 zł z Fundacji Orlen w ramach czwartej edycji programu grantowego dla społeczności</w:t>
      </w:r>
      <w:r w:rsidRPr="00275CFF">
        <w:rPr>
          <w:rFonts w:ascii="Lato" w:hAnsi="Lato"/>
          <w:spacing w:val="8"/>
          <w:sz w:val="20"/>
          <w:szCs w:val="20"/>
        </w:rPr>
        <w:t xml:space="preserve"> </w:t>
      </w:r>
      <w:r w:rsidRPr="00275CFF">
        <w:rPr>
          <w:rFonts w:ascii="Lato" w:hAnsi="Lato"/>
          <w:sz w:val="20"/>
          <w:szCs w:val="20"/>
        </w:rPr>
        <w:t>lokalnej</w:t>
      </w:r>
      <w:r w:rsidRPr="00275CFF">
        <w:rPr>
          <w:rFonts w:ascii="Lato" w:hAnsi="Lato"/>
          <w:spacing w:val="10"/>
          <w:sz w:val="20"/>
          <w:szCs w:val="20"/>
        </w:rPr>
        <w:t xml:space="preserve"> </w:t>
      </w:r>
      <w:r w:rsidRPr="00275CFF">
        <w:rPr>
          <w:rFonts w:ascii="Lato" w:hAnsi="Lato"/>
          <w:sz w:val="20"/>
          <w:szCs w:val="20"/>
        </w:rPr>
        <w:t>pod</w:t>
      </w:r>
      <w:r w:rsidRPr="00275CFF">
        <w:rPr>
          <w:rFonts w:ascii="Lato" w:hAnsi="Lato"/>
          <w:spacing w:val="7"/>
          <w:sz w:val="20"/>
          <w:szCs w:val="20"/>
        </w:rPr>
        <w:t xml:space="preserve"> </w:t>
      </w:r>
      <w:r w:rsidRPr="00275CFF">
        <w:rPr>
          <w:rFonts w:ascii="Lato" w:hAnsi="Lato"/>
          <w:sz w:val="20"/>
          <w:szCs w:val="20"/>
        </w:rPr>
        <w:t>nazwą</w:t>
      </w:r>
      <w:r w:rsidRPr="00275CFF">
        <w:rPr>
          <w:rFonts w:ascii="Lato" w:hAnsi="Lato"/>
          <w:spacing w:val="8"/>
          <w:sz w:val="20"/>
          <w:szCs w:val="20"/>
        </w:rPr>
        <w:t xml:space="preserve"> </w:t>
      </w:r>
      <w:r w:rsidRPr="00275CFF">
        <w:rPr>
          <w:rFonts w:ascii="Lato" w:hAnsi="Lato"/>
          <w:sz w:val="20"/>
          <w:szCs w:val="20"/>
        </w:rPr>
        <w:t>„Moje</w:t>
      </w:r>
      <w:r w:rsidRPr="00275CFF">
        <w:rPr>
          <w:rFonts w:ascii="Lato" w:hAnsi="Lato"/>
          <w:spacing w:val="8"/>
          <w:sz w:val="20"/>
          <w:szCs w:val="20"/>
        </w:rPr>
        <w:t xml:space="preserve"> </w:t>
      </w:r>
      <w:r w:rsidRPr="00275CFF">
        <w:rPr>
          <w:rFonts w:ascii="Lato" w:hAnsi="Lato"/>
          <w:sz w:val="20"/>
          <w:szCs w:val="20"/>
        </w:rPr>
        <w:t>miejsce</w:t>
      </w:r>
      <w:r w:rsidRPr="00275CFF">
        <w:rPr>
          <w:rFonts w:ascii="Lato" w:hAnsi="Lato"/>
          <w:spacing w:val="9"/>
          <w:sz w:val="20"/>
          <w:szCs w:val="20"/>
        </w:rPr>
        <w:t xml:space="preserve"> </w:t>
      </w:r>
      <w:r w:rsidRPr="00275CFF">
        <w:rPr>
          <w:rFonts w:ascii="Lato" w:hAnsi="Lato"/>
          <w:sz w:val="20"/>
          <w:szCs w:val="20"/>
        </w:rPr>
        <w:t>na</w:t>
      </w:r>
      <w:r w:rsidRPr="00275CFF">
        <w:rPr>
          <w:rFonts w:ascii="Lato" w:hAnsi="Lato"/>
          <w:spacing w:val="7"/>
          <w:sz w:val="20"/>
          <w:szCs w:val="20"/>
        </w:rPr>
        <w:t xml:space="preserve"> </w:t>
      </w:r>
      <w:r w:rsidRPr="00275CFF">
        <w:rPr>
          <w:rFonts w:ascii="Lato" w:hAnsi="Lato"/>
          <w:sz w:val="20"/>
          <w:szCs w:val="20"/>
        </w:rPr>
        <w:t>Ziemi”</w:t>
      </w:r>
      <w:r w:rsidRPr="00275CFF">
        <w:rPr>
          <w:rFonts w:ascii="Lato" w:hAnsi="Lato"/>
          <w:spacing w:val="9"/>
          <w:sz w:val="20"/>
          <w:szCs w:val="20"/>
        </w:rPr>
        <w:t xml:space="preserve"> </w:t>
      </w:r>
      <w:r w:rsidRPr="00275CFF">
        <w:rPr>
          <w:rFonts w:ascii="Lato" w:hAnsi="Lato"/>
          <w:sz w:val="20"/>
          <w:szCs w:val="20"/>
        </w:rPr>
        <w:t>na</w:t>
      </w:r>
      <w:r w:rsidRPr="00275CFF">
        <w:rPr>
          <w:rFonts w:ascii="Lato" w:hAnsi="Lato"/>
          <w:spacing w:val="8"/>
          <w:sz w:val="20"/>
          <w:szCs w:val="20"/>
        </w:rPr>
        <w:t xml:space="preserve"> </w:t>
      </w:r>
      <w:r w:rsidRPr="00275CFF">
        <w:rPr>
          <w:rFonts w:ascii="Lato" w:hAnsi="Lato"/>
          <w:sz w:val="20"/>
          <w:szCs w:val="20"/>
        </w:rPr>
        <w:t>realizacje</w:t>
      </w:r>
      <w:r w:rsidRPr="00275CFF">
        <w:rPr>
          <w:rFonts w:ascii="Lato" w:hAnsi="Lato"/>
          <w:spacing w:val="7"/>
          <w:sz w:val="20"/>
          <w:szCs w:val="20"/>
        </w:rPr>
        <w:t xml:space="preserve"> </w:t>
      </w:r>
      <w:r w:rsidRPr="00275CFF">
        <w:rPr>
          <w:rFonts w:ascii="Lato" w:hAnsi="Lato"/>
          <w:sz w:val="20"/>
          <w:szCs w:val="20"/>
        </w:rPr>
        <w:t>projektu</w:t>
      </w:r>
      <w:r w:rsidRPr="00275CFF">
        <w:rPr>
          <w:rFonts w:ascii="Lato" w:hAnsi="Lato"/>
          <w:spacing w:val="8"/>
          <w:sz w:val="20"/>
          <w:szCs w:val="20"/>
        </w:rPr>
        <w:t xml:space="preserve"> </w:t>
      </w:r>
      <w:r w:rsidRPr="00275CFF">
        <w:rPr>
          <w:rFonts w:ascii="Lato" w:hAnsi="Lato"/>
          <w:sz w:val="20"/>
          <w:szCs w:val="20"/>
        </w:rPr>
        <w:t>„Tańcz,</w:t>
      </w:r>
      <w:r>
        <w:rPr>
          <w:rFonts w:ascii="Lato" w:hAnsi="Lato"/>
          <w:sz w:val="20"/>
          <w:szCs w:val="20"/>
        </w:rPr>
        <w:t xml:space="preserve"> </w:t>
      </w:r>
      <w:r w:rsidRPr="00915D13">
        <w:rPr>
          <w:rFonts w:ascii="Lato" w:hAnsi="Lato"/>
          <w:sz w:val="20"/>
          <w:szCs w:val="20"/>
        </w:rPr>
        <w:t>ćwicz i żyj – czyli przepis na młodość seniora”. W ramach otrzymanych środków</w:t>
      </w:r>
      <w:r>
        <w:rPr>
          <w:rFonts w:ascii="Lato" w:hAnsi="Lato"/>
          <w:sz w:val="20"/>
          <w:szCs w:val="20"/>
        </w:rPr>
        <w:t xml:space="preserve"> </w:t>
      </w:r>
      <w:r w:rsidRPr="00915D13">
        <w:rPr>
          <w:rFonts w:ascii="Lato" w:hAnsi="Lato"/>
          <w:sz w:val="20"/>
          <w:szCs w:val="20"/>
        </w:rPr>
        <w:t>zrealizowano m. in.:</w:t>
      </w:r>
    </w:p>
    <w:p w14:paraId="7DA2608F" w14:textId="77777777" w:rsidR="004844E6" w:rsidRDefault="004844E6" w:rsidP="0059185B">
      <w:pPr>
        <w:pStyle w:val="Akapitzlist"/>
        <w:widowControl w:val="0"/>
        <w:numPr>
          <w:ilvl w:val="0"/>
          <w:numId w:val="65"/>
        </w:numPr>
        <w:tabs>
          <w:tab w:val="left" w:pos="944"/>
        </w:tabs>
        <w:autoSpaceDE w:val="0"/>
        <w:autoSpaceDN w:val="0"/>
        <w:spacing w:after="0" w:line="240" w:lineRule="auto"/>
        <w:ind w:right="115"/>
        <w:jc w:val="both"/>
        <w:rPr>
          <w:rFonts w:ascii="Lato" w:hAnsi="Lato"/>
          <w:sz w:val="20"/>
          <w:szCs w:val="20"/>
        </w:rPr>
      </w:pPr>
      <w:r w:rsidRPr="00275CFF">
        <w:rPr>
          <w:rFonts w:ascii="Lato" w:hAnsi="Lato"/>
          <w:sz w:val="20"/>
          <w:szCs w:val="20"/>
        </w:rPr>
        <w:t>cykl</w:t>
      </w:r>
      <w:r w:rsidRPr="00275CFF">
        <w:rPr>
          <w:rFonts w:ascii="Lato" w:hAnsi="Lato"/>
          <w:spacing w:val="-15"/>
          <w:sz w:val="20"/>
          <w:szCs w:val="20"/>
        </w:rPr>
        <w:t xml:space="preserve"> </w:t>
      </w:r>
      <w:r w:rsidRPr="00275CFF">
        <w:rPr>
          <w:rFonts w:ascii="Lato" w:hAnsi="Lato"/>
          <w:sz w:val="20"/>
          <w:szCs w:val="20"/>
        </w:rPr>
        <w:t>warsztatów</w:t>
      </w:r>
      <w:r w:rsidRPr="00275CFF">
        <w:rPr>
          <w:rFonts w:ascii="Lato" w:hAnsi="Lato"/>
          <w:spacing w:val="-14"/>
          <w:sz w:val="20"/>
          <w:szCs w:val="20"/>
        </w:rPr>
        <w:t xml:space="preserve"> </w:t>
      </w:r>
      <w:r w:rsidRPr="00275CFF">
        <w:rPr>
          <w:rFonts w:ascii="Lato" w:hAnsi="Lato"/>
          <w:sz w:val="20"/>
          <w:szCs w:val="20"/>
        </w:rPr>
        <w:t>prozdrowotnych</w:t>
      </w:r>
      <w:r w:rsidRPr="00275CFF">
        <w:rPr>
          <w:rFonts w:ascii="Lato" w:hAnsi="Lato"/>
          <w:spacing w:val="-14"/>
          <w:sz w:val="20"/>
          <w:szCs w:val="20"/>
        </w:rPr>
        <w:t xml:space="preserve"> </w:t>
      </w:r>
      <w:r w:rsidRPr="00275CFF">
        <w:rPr>
          <w:rFonts w:ascii="Lato" w:hAnsi="Lato"/>
          <w:sz w:val="20"/>
          <w:szCs w:val="20"/>
        </w:rPr>
        <w:t>(warsztaty</w:t>
      </w:r>
      <w:r w:rsidRPr="00275CFF">
        <w:rPr>
          <w:rFonts w:ascii="Lato" w:hAnsi="Lato"/>
          <w:spacing w:val="-14"/>
          <w:sz w:val="20"/>
          <w:szCs w:val="20"/>
        </w:rPr>
        <w:t xml:space="preserve"> </w:t>
      </w:r>
      <w:r w:rsidRPr="00275CFF">
        <w:rPr>
          <w:rFonts w:ascii="Lato" w:hAnsi="Lato"/>
          <w:sz w:val="20"/>
          <w:szCs w:val="20"/>
        </w:rPr>
        <w:t>taneczne</w:t>
      </w:r>
      <w:r w:rsidRPr="00275CFF">
        <w:rPr>
          <w:rFonts w:ascii="Lato" w:hAnsi="Lato"/>
          <w:spacing w:val="-13"/>
          <w:sz w:val="20"/>
          <w:szCs w:val="20"/>
        </w:rPr>
        <w:t xml:space="preserve"> </w:t>
      </w:r>
      <w:r w:rsidRPr="00275CFF">
        <w:rPr>
          <w:rFonts w:ascii="Lato" w:hAnsi="Lato"/>
          <w:sz w:val="20"/>
          <w:szCs w:val="20"/>
        </w:rPr>
        <w:t>–</w:t>
      </w:r>
      <w:r w:rsidRPr="00275CFF">
        <w:rPr>
          <w:rFonts w:ascii="Lato" w:hAnsi="Lato"/>
          <w:spacing w:val="-14"/>
          <w:sz w:val="20"/>
          <w:szCs w:val="20"/>
        </w:rPr>
        <w:t xml:space="preserve"> </w:t>
      </w:r>
      <w:r w:rsidRPr="00275CFF">
        <w:rPr>
          <w:rFonts w:ascii="Lato" w:hAnsi="Lato"/>
          <w:sz w:val="20"/>
          <w:szCs w:val="20"/>
        </w:rPr>
        <w:t>2</w:t>
      </w:r>
      <w:r w:rsidRPr="00275CFF">
        <w:rPr>
          <w:rFonts w:ascii="Lato" w:hAnsi="Lato"/>
          <w:spacing w:val="-14"/>
          <w:sz w:val="20"/>
          <w:szCs w:val="20"/>
        </w:rPr>
        <w:t xml:space="preserve"> </w:t>
      </w:r>
      <w:r w:rsidRPr="00275CFF">
        <w:rPr>
          <w:rFonts w:ascii="Lato" w:hAnsi="Lato"/>
          <w:sz w:val="20"/>
          <w:szCs w:val="20"/>
        </w:rPr>
        <w:t>spotkania</w:t>
      </w:r>
      <w:r w:rsidRPr="00275CFF">
        <w:rPr>
          <w:rFonts w:ascii="Lato" w:hAnsi="Lato"/>
          <w:spacing w:val="-14"/>
          <w:sz w:val="20"/>
          <w:szCs w:val="20"/>
        </w:rPr>
        <w:t xml:space="preserve"> </w:t>
      </w:r>
      <w:r w:rsidRPr="00275CFF">
        <w:rPr>
          <w:rFonts w:ascii="Lato" w:hAnsi="Lato"/>
          <w:sz w:val="20"/>
          <w:szCs w:val="20"/>
        </w:rPr>
        <w:t>dla</w:t>
      </w:r>
      <w:r w:rsidRPr="00275CFF">
        <w:rPr>
          <w:rFonts w:ascii="Lato" w:hAnsi="Lato"/>
          <w:spacing w:val="-14"/>
          <w:sz w:val="20"/>
          <w:szCs w:val="20"/>
        </w:rPr>
        <w:t xml:space="preserve"> </w:t>
      </w:r>
      <w:r w:rsidRPr="00275CFF">
        <w:rPr>
          <w:rFonts w:ascii="Lato" w:hAnsi="Lato"/>
          <w:sz w:val="20"/>
          <w:szCs w:val="20"/>
        </w:rPr>
        <w:t>23</w:t>
      </w:r>
      <w:r w:rsidRPr="00275CFF">
        <w:rPr>
          <w:rFonts w:ascii="Lato" w:hAnsi="Lato"/>
          <w:spacing w:val="-14"/>
          <w:sz w:val="20"/>
          <w:szCs w:val="20"/>
        </w:rPr>
        <w:t xml:space="preserve"> </w:t>
      </w:r>
      <w:r w:rsidRPr="00275CFF">
        <w:rPr>
          <w:rFonts w:ascii="Lato" w:hAnsi="Lato"/>
          <w:sz w:val="20"/>
          <w:szCs w:val="20"/>
        </w:rPr>
        <w:t>osób,</w:t>
      </w:r>
      <w:r w:rsidRPr="00275CFF">
        <w:rPr>
          <w:rFonts w:ascii="Lato" w:hAnsi="Lato"/>
          <w:spacing w:val="-14"/>
          <w:sz w:val="20"/>
          <w:szCs w:val="20"/>
        </w:rPr>
        <w:t xml:space="preserve"> </w:t>
      </w:r>
      <w:r w:rsidRPr="00275CFF">
        <w:rPr>
          <w:rFonts w:ascii="Lato" w:hAnsi="Lato"/>
          <w:sz w:val="20"/>
          <w:szCs w:val="20"/>
        </w:rPr>
        <w:t xml:space="preserve">warsztaty </w:t>
      </w:r>
      <w:proofErr w:type="spellStart"/>
      <w:r w:rsidRPr="00275CFF">
        <w:rPr>
          <w:rFonts w:ascii="Lato" w:hAnsi="Lato"/>
          <w:sz w:val="20"/>
          <w:szCs w:val="20"/>
        </w:rPr>
        <w:t>pilates</w:t>
      </w:r>
      <w:proofErr w:type="spellEnd"/>
      <w:r w:rsidRPr="00275CFF">
        <w:rPr>
          <w:rFonts w:ascii="Lato" w:hAnsi="Lato"/>
          <w:sz w:val="20"/>
          <w:szCs w:val="20"/>
        </w:rPr>
        <w:t xml:space="preserve"> – 2 spotkania dla34 osób, spotkanie z </w:t>
      </w:r>
      <w:proofErr w:type="spellStart"/>
      <w:r w:rsidRPr="00275CFF">
        <w:rPr>
          <w:rFonts w:ascii="Lato" w:hAnsi="Lato"/>
          <w:sz w:val="20"/>
          <w:szCs w:val="20"/>
        </w:rPr>
        <w:t>podologiem</w:t>
      </w:r>
      <w:proofErr w:type="spellEnd"/>
      <w:r w:rsidRPr="00275CFF">
        <w:rPr>
          <w:rFonts w:ascii="Lato" w:hAnsi="Lato"/>
          <w:sz w:val="20"/>
          <w:szCs w:val="20"/>
        </w:rPr>
        <w:t xml:space="preserve"> – 1 spotkanie dla 34</w:t>
      </w:r>
      <w:r w:rsidRPr="00275CFF">
        <w:rPr>
          <w:rFonts w:ascii="Lato" w:hAnsi="Lato"/>
          <w:spacing w:val="-16"/>
          <w:sz w:val="20"/>
          <w:szCs w:val="20"/>
        </w:rPr>
        <w:t xml:space="preserve"> </w:t>
      </w:r>
      <w:r w:rsidRPr="00275CFF">
        <w:rPr>
          <w:rFonts w:ascii="Lato" w:hAnsi="Lato"/>
          <w:sz w:val="20"/>
          <w:szCs w:val="20"/>
        </w:rPr>
        <w:t>osób)</w:t>
      </w:r>
    </w:p>
    <w:p w14:paraId="595F3A72" w14:textId="77777777" w:rsidR="004844E6" w:rsidRDefault="004844E6" w:rsidP="0059185B">
      <w:pPr>
        <w:pStyle w:val="Akapitzlist"/>
        <w:widowControl w:val="0"/>
        <w:numPr>
          <w:ilvl w:val="0"/>
          <w:numId w:val="65"/>
        </w:numPr>
        <w:tabs>
          <w:tab w:val="left" w:pos="944"/>
        </w:tabs>
        <w:autoSpaceDE w:val="0"/>
        <w:autoSpaceDN w:val="0"/>
        <w:spacing w:after="0" w:line="240" w:lineRule="auto"/>
        <w:ind w:right="115"/>
        <w:jc w:val="both"/>
        <w:rPr>
          <w:rFonts w:ascii="Lato" w:hAnsi="Lato"/>
          <w:sz w:val="20"/>
          <w:szCs w:val="20"/>
        </w:rPr>
      </w:pPr>
      <w:r w:rsidRPr="00275CFF">
        <w:rPr>
          <w:rFonts w:ascii="Lato" w:hAnsi="Lato"/>
          <w:sz w:val="20"/>
          <w:szCs w:val="20"/>
        </w:rPr>
        <w:t>warsztaty z dietetykiem – 1 spotkanie dla 27</w:t>
      </w:r>
      <w:r w:rsidRPr="00275CFF">
        <w:rPr>
          <w:rFonts w:ascii="Lato" w:hAnsi="Lato"/>
          <w:spacing w:val="-4"/>
          <w:sz w:val="20"/>
          <w:szCs w:val="20"/>
        </w:rPr>
        <w:t xml:space="preserve"> </w:t>
      </w:r>
      <w:r w:rsidRPr="00275CFF">
        <w:rPr>
          <w:rFonts w:ascii="Lato" w:hAnsi="Lato"/>
          <w:sz w:val="20"/>
          <w:szCs w:val="20"/>
        </w:rPr>
        <w:t>seniorów</w:t>
      </w:r>
    </w:p>
    <w:p w14:paraId="355201DA" w14:textId="77777777" w:rsidR="004844E6" w:rsidRPr="00275CFF" w:rsidRDefault="004844E6" w:rsidP="0059185B">
      <w:pPr>
        <w:pStyle w:val="Akapitzlist"/>
        <w:widowControl w:val="0"/>
        <w:numPr>
          <w:ilvl w:val="0"/>
          <w:numId w:val="65"/>
        </w:numPr>
        <w:tabs>
          <w:tab w:val="left" w:pos="944"/>
        </w:tabs>
        <w:autoSpaceDE w:val="0"/>
        <w:autoSpaceDN w:val="0"/>
        <w:spacing w:after="0" w:line="240" w:lineRule="auto"/>
        <w:ind w:right="115"/>
        <w:jc w:val="both"/>
        <w:rPr>
          <w:rFonts w:ascii="Lato" w:hAnsi="Lato"/>
          <w:sz w:val="20"/>
          <w:szCs w:val="20"/>
        </w:rPr>
      </w:pPr>
      <w:r w:rsidRPr="00275CFF">
        <w:rPr>
          <w:rFonts w:ascii="Lato" w:hAnsi="Lato"/>
          <w:sz w:val="20"/>
          <w:szCs w:val="20"/>
        </w:rPr>
        <w:t>warsztaty „</w:t>
      </w:r>
      <w:proofErr w:type="spellStart"/>
      <w:r w:rsidRPr="00275CFF">
        <w:rPr>
          <w:rFonts w:ascii="Lato" w:hAnsi="Lato"/>
          <w:sz w:val="20"/>
          <w:szCs w:val="20"/>
        </w:rPr>
        <w:t>Ekoogrodnik</w:t>
      </w:r>
      <w:proofErr w:type="spellEnd"/>
      <w:r w:rsidRPr="00275CFF">
        <w:rPr>
          <w:rFonts w:ascii="Lato" w:hAnsi="Lato"/>
          <w:sz w:val="20"/>
          <w:szCs w:val="20"/>
        </w:rPr>
        <w:t>”, z zakresu sadzenia i pielęgnacji roślin oraz projektowania       i ekologicznych rozwiązań prowadzenia ogródków, w których łącznie wzięło udział 85 osób</w:t>
      </w:r>
    </w:p>
    <w:p w14:paraId="261DEB41"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64D6D508"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7 października 2022 r w Arenie Lodowej odbył się Miejski dzień Seniora – koncerty Krystyny Giżowskiej, Andrzeja Rybińskiego, Młodzieżowej Orkiestry Symfonicznej oraz wręczeni</w:t>
      </w:r>
      <w:r w:rsidRPr="00275CFF">
        <w:rPr>
          <w:rFonts w:ascii="Lato" w:hAnsi="Lato"/>
          <w:spacing w:val="-20"/>
          <w:sz w:val="20"/>
          <w:szCs w:val="20"/>
        </w:rPr>
        <w:t xml:space="preserve"> </w:t>
      </w:r>
      <w:r w:rsidRPr="00275CFF">
        <w:rPr>
          <w:rFonts w:ascii="Lato" w:hAnsi="Lato"/>
          <w:sz w:val="20"/>
          <w:szCs w:val="20"/>
        </w:rPr>
        <w:t>certyfikatów</w:t>
      </w:r>
      <w:r w:rsidRPr="00275CFF">
        <w:rPr>
          <w:rFonts w:ascii="Lato" w:hAnsi="Lato"/>
          <w:spacing w:val="-18"/>
          <w:sz w:val="20"/>
          <w:szCs w:val="20"/>
        </w:rPr>
        <w:t xml:space="preserve"> </w:t>
      </w:r>
      <w:r w:rsidRPr="00275CFF">
        <w:rPr>
          <w:rFonts w:ascii="Lato" w:hAnsi="Lato"/>
          <w:sz w:val="20"/>
          <w:szCs w:val="20"/>
        </w:rPr>
        <w:t>„Miejsca</w:t>
      </w:r>
      <w:r w:rsidRPr="00275CFF">
        <w:rPr>
          <w:rFonts w:ascii="Lato" w:hAnsi="Lato"/>
          <w:spacing w:val="-19"/>
          <w:sz w:val="20"/>
          <w:szCs w:val="20"/>
        </w:rPr>
        <w:t xml:space="preserve"> </w:t>
      </w:r>
      <w:r w:rsidRPr="00275CFF">
        <w:rPr>
          <w:rFonts w:ascii="Lato" w:hAnsi="Lato"/>
          <w:sz w:val="20"/>
          <w:szCs w:val="20"/>
        </w:rPr>
        <w:t>przyjazne</w:t>
      </w:r>
      <w:r w:rsidRPr="00275CFF">
        <w:rPr>
          <w:rFonts w:ascii="Lato" w:hAnsi="Lato"/>
          <w:spacing w:val="-20"/>
          <w:sz w:val="20"/>
          <w:szCs w:val="20"/>
        </w:rPr>
        <w:t xml:space="preserve"> </w:t>
      </w:r>
      <w:r w:rsidRPr="00275CFF">
        <w:rPr>
          <w:rFonts w:ascii="Lato" w:hAnsi="Lato"/>
          <w:sz w:val="20"/>
          <w:szCs w:val="20"/>
        </w:rPr>
        <w:t>seniorom”</w:t>
      </w:r>
      <w:r w:rsidRPr="00275CFF">
        <w:rPr>
          <w:rFonts w:ascii="Lato" w:hAnsi="Lato"/>
          <w:spacing w:val="-20"/>
          <w:sz w:val="20"/>
          <w:szCs w:val="20"/>
        </w:rPr>
        <w:t xml:space="preserve"> </w:t>
      </w:r>
      <w:r w:rsidRPr="00275CFF">
        <w:rPr>
          <w:rFonts w:ascii="Lato" w:hAnsi="Lato"/>
          <w:sz w:val="20"/>
          <w:szCs w:val="20"/>
        </w:rPr>
        <w:t>były</w:t>
      </w:r>
      <w:r w:rsidRPr="00275CFF">
        <w:rPr>
          <w:rFonts w:ascii="Lato" w:hAnsi="Lato"/>
          <w:spacing w:val="-20"/>
          <w:sz w:val="20"/>
          <w:szCs w:val="20"/>
        </w:rPr>
        <w:t xml:space="preserve"> </w:t>
      </w:r>
      <w:r w:rsidRPr="00275CFF">
        <w:rPr>
          <w:rFonts w:ascii="Lato" w:hAnsi="Lato"/>
          <w:sz w:val="20"/>
          <w:szCs w:val="20"/>
        </w:rPr>
        <w:t>głównymi</w:t>
      </w:r>
      <w:r w:rsidRPr="00275CFF">
        <w:rPr>
          <w:rFonts w:ascii="Lato" w:hAnsi="Lato"/>
          <w:spacing w:val="-19"/>
          <w:sz w:val="20"/>
          <w:szCs w:val="20"/>
        </w:rPr>
        <w:t xml:space="preserve"> </w:t>
      </w:r>
      <w:r w:rsidRPr="00275CFF">
        <w:rPr>
          <w:rFonts w:ascii="Lato" w:hAnsi="Lato"/>
          <w:sz w:val="20"/>
          <w:szCs w:val="20"/>
        </w:rPr>
        <w:t>punktami</w:t>
      </w:r>
      <w:r w:rsidRPr="00275CFF">
        <w:rPr>
          <w:rFonts w:ascii="Lato" w:hAnsi="Lato"/>
          <w:spacing w:val="-20"/>
          <w:sz w:val="20"/>
          <w:szCs w:val="20"/>
        </w:rPr>
        <w:t xml:space="preserve"> </w:t>
      </w:r>
      <w:r w:rsidRPr="00275CFF">
        <w:rPr>
          <w:rFonts w:ascii="Lato" w:hAnsi="Lato"/>
          <w:sz w:val="20"/>
          <w:szCs w:val="20"/>
        </w:rPr>
        <w:t>wydarzenia. Udział wzięło ok. 500</w:t>
      </w:r>
      <w:r w:rsidRPr="00275CFF">
        <w:rPr>
          <w:rFonts w:ascii="Lato" w:hAnsi="Lato"/>
          <w:spacing w:val="-3"/>
          <w:sz w:val="20"/>
          <w:szCs w:val="20"/>
        </w:rPr>
        <w:t xml:space="preserve"> </w:t>
      </w:r>
      <w:r w:rsidRPr="00275CFF">
        <w:rPr>
          <w:rFonts w:ascii="Lato" w:hAnsi="Lato"/>
          <w:sz w:val="20"/>
          <w:szCs w:val="20"/>
        </w:rPr>
        <w:t>osób.</w:t>
      </w:r>
    </w:p>
    <w:p w14:paraId="20B78B7E" w14:textId="77777777" w:rsidR="004844E6" w:rsidRPr="00915D13" w:rsidRDefault="004844E6" w:rsidP="004844E6">
      <w:pPr>
        <w:pStyle w:val="Tekstpodstawowy"/>
        <w:jc w:val="both"/>
        <w:rPr>
          <w:rFonts w:ascii="Lato" w:hAnsi="Lato"/>
          <w:sz w:val="20"/>
          <w:szCs w:val="20"/>
        </w:rPr>
      </w:pPr>
    </w:p>
    <w:p w14:paraId="3C6F36B7"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8 listopada 2022 r. w Miejskim Centrum Kultury zorganizowano Debatę Międzypokoleniową – „Mozaika pokoleń”, która była okazją do podjęcia dyskusji między seniorami a młodzieżą ze szkół podstawowych i ponadpodstawowych. W debacie uczestniczyli   także   pedagodzy,   psycholodzy,   dyrektorzy   placówek   oświatowych    i przedstawiciele instytucji, organizacji i stowarzyszeń zajmujących się działalnością senioralną i</w:t>
      </w:r>
      <w:r w:rsidRPr="00275CFF">
        <w:rPr>
          <w:rFonts w:ascii="Lato" w:hAnsi="Lato"/>
          <w:spacing w:val="-3"/>
          <w:sz w:val="20"/>
          <w:szCs w:val="20"/>
        </w:rPr>
        <w:t xml:space="preserve"> </w:t>
      </w:r>
      <w:r w:rsidRPr="00275CFF">
        <w:rPr>
          <w:rFonts w:ascii="Lato" w:hAnsi="Lato"/>
          <w:sz w:val="20"/>
          <w:szCs w:val="20"/>
        </w:rPr>
        <w:t>młodzieżową.</w:t>
      </w:r>
    </w:p>
    <w:p w14:paraId="1192F16F" w14:textId="77777777" w:rsidR="004844E6" w:rsidRPr="00915D13" w:rsidRDefault="004844E6" w:rsidP="004844E6">
      <w:pPr>
        <w:pStyle w:val="Tekstpodstawowy"/>
        <w:jc w:val="both"/>
        <w:rPr>
          <w:rFonts w:ascii="Lato" w:hAnsi="Lato"/>
          <w:sz w:val="20"/>
          <w:szCs w:val="20"/>
        </w:rPr>
      </w:pPr>
    </w:p>
    <w:p w14:paraId="4D44F8D4" w14:textId="77777777" w:rsidR="004844E6" w:rsidRPr="00275CFF" w:rsidRDefault="004844E6" w:rsidP="004844E6">
      <w:pPr>
        <w:pStyle w:val="Tekstpodstawowy"/>
        <w:ind w:right="3123"/>
        <w:jc w:val="both"/>
        <w:rPr>
          <w:rFonts w:ascii="Lato" w:hAnsi="Lato"/>
          <w:b/>
          <w:bCs/>
          <w:sz w:val="20"/>
          <w:szCs w:val="20"/>
        </w:rPr>
      </w:pPr>
      <w:r w:rsidRPr="00275CFF">
        <w:rPr>
          <w:rFonts w:ascii="Lato" w:hAnsi="Lato"/>
          <w:b/>
          <w:bCs/>
          <w:sz w:val="20"/>
          <w:szCs w:val="20"/>
        </w:rPr>
        <w:t>Miasto Bełchatów</w:t>
      </w:r>
    </w:p>
    <w:p w14:paraId="6A0ABE1F" w14:textId="77777777" w:rsidR="004844E6" w:rsidRPr="00915D13" w:rsidRDefault="004844E6" w:rsidP="004844E6">
      <w:pPr>
        <w:pStyle w:val="Tekstpodstawowy"/>
        <w:jc w:val="both"/>
        <w:rPr>
          <w:rFonts w:ascii="Lato" w:hAnsi="Lato"/>
          <w:sz w:val="20"/>
          <w:szCs w:val="20"/>
        </w:rPr>
      </w:pPr>
    </w:p>
    <w:p w14:paraId="392C94B0"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Dnia11</w:t>
      </w:r>
      <w:r w:rsidRPr="00275CFF">
        <w:rPr>
          <w:rFonts w:ascii="Lato" w:hAnsi="Lato"/>
          <w:spacing w:val="-10"/>
          <w:sz w:val="20"/>
          <w:szCs w:val="20"/>
        </w:rPr>
        <w:t xml:space="preserve"> </w:t>
      </w:r>
      <w:r w:rsidRPr="00275CFF">
        <w:rPr>
          <w:rFonts w:ascii="Lato" w:hAnsi="Lato"/>
          <w:sz w:val="20"/>
          <w:szCs w:val="20"/>
        </w:rPr>
        <w:t>września</w:t>
      </w:r>
      <w:r w:rsidRPr="00275CFF">
        <w:rPr>
          <w:rFonts w:ascii="Lato" w:hAnsi="Lato"/>
          <w:spacing w:val="-9"/>
          <w:sz w:val="20"/>
          <w:szCs w:val="20"/>
        </w:rPr>
        <w:t xml:space="preserve"> </w:t>
      </w:r>
      <w:r w:rsidRPr="00275CFF">
        <w:rPr>
          <w:rFonts w:ascii="Lato" w:hAnsi="Lato"/>
          <w:sz w:val="20"/>
          <w:szCs w:val="20"/>
        </w:rPr>
        <w:t>2022</w:t>
      </w:r>
      <w:r w:rsidRPr="00275CFF">
        <w:rPr>
          <w:rFonts w:ascii="Lato" w:hAnsi="Lato"/>
          <w:spacing w:val="-10"/>
          <w:sz w:val="20"/>
          <w:szCs w:val="20"/>
        </w:rPr>
        <w:t xml:space="preserve"> </w:t>
      </w:r>
      <w:r w:rsidRPr="00275CFF">
        <w:rPr>
          <w:rFonts w:ascii="Lato" w:hAnsi="Lato"/>
          <w:sz w:val="20"/>
          <w:szCs w:val="20"/>
        </w:rPr>
        <w:t>roku</w:t>
      </w:r>
      <w:r w:rsidRPr="00275CFF">
        <w:rPr>
          <w:rFonts w:ascii="Lato" w:hAnsi="Lato"/>
          <w:spacing w:val="-10"/>
          <w:sz w:val="20"/>
          <w:szCs w:val="20"/>
        </w:rPr>
        <w:t xml:space="preserve"> </w:t>
      </w:r>
      <w:r w:rsidRPr="00275CFF">
        <w:rPr>
          <w:rFonts w:ascii="Lato" w:hAnsi="Lato"/>
          <w:sz w:val="20"/>
          <w:szCs w:val="20"/>
        </w:rPr>
        <w:t>w</w:t>
      </w:r>
      <w:r w:rsidRPr="00275CFF">
        <w:rPr>
          <w:rFonts w:ascii="Lato" w:hAnsi="Lato"/>
          <w:spacing w:val="-10"/>
          <w:sz w:val="20"/>
          <w:szCs w:val="20"/>
        </w:rPr>
        <w:t xml:space="preserve"> </w:t>
      </w:r>
      <w:r w:rsidRPr="00275CFF">
        <w:rPr>
          <w:rFonts w:ascii="Lato" w:hAnsi="Lato"/>
          <w:sz w:val="20"/>
          <w:szCs w:val="20"/>
        </w:rPr>
        <w:t>parku</w:t>
      </w:r>
      <w:r w:rsidRPr="00275CFF">
        <w:rPr>
          <w:rFonts w:ascii="Lato" w:hAnsi="Lato"/>
          <w:spacing w:val="-10"/>
          <w:sz w:val="20"/>
          <w:szCs w:val="20"/>
        </w:rPr>
        <w:t xml:space="preserve"> </w:t>
      </w:r>
      <w:r w:rsidRPr="00275CFF">
        <w:rPr>
          <w:rFonts w:ascii="Lato" w:hAnsi="Lato"/>
          <w:sz w:val="20"/>
          <w:szCs w:val="20"/>
        </w:rPr>
        <w:t>przy</w:t>
      </w:r>
      <w:r w:rsidRPr="00275CFF">
        <w:rPr>
          <w:rFonts w:ascii="Lato" w:hAnsi="Lato"/>
          <w:spacing w:val="-10"/>
          <w:sz w:val="20"/>
          <w:szCs w:val="20"/>
        </w:rPr>
        <w:t xml:space="preserve"> </w:t>
      </w:r>
      <w:r w:rsidRPr="00275CFF">
        <w:rPr>
          <w:rFonts w:ascii="Lato" w:hAnsi="Lato"/>
          <w:sz w:val="20"/>
          <w:szCs w:val="20"/>
        </w:rPr>
        <w:t>Muzeum</w:t>
      </w:r>
      <w:r w:rsidRPr="00275CFF">
        <w:rPr>
          <w:rFonts w:ascii="Lato" w:hAnsi="Lato"/>
          <w:spacing w:val="-9"/>
          <w:sz w:val="20"/>
          <w:szCs w:val="20"/>
        </w:rPr>
        <w:t xml:space="preserve"> </w:t>
      </w:r>
      <w:r w:rsidRPr="00275CFF">
        <w:rPr>
          <w:rFonts w:ascii="Lato" w:hAnsi="Lato"/>
          <w:sz w:val="20"/>
          <w:szCs w:val="20"/>
        </w:rPr>
        <w:t>Regionalnym</w:t>
      </w:r>
      <w:r w:rsidRPr="00275CFF">
        <w:rPr>
          <w:rFonts w:ascii="Lato" w:hAnsi="Lato"/>
          <w:spacing w:val="-7"/>
          <w:sz w:val="20"/>
          <w:szCs w:val="20"/>
        </w:rPr>
        <w:t xml:space="preserve"> </w:t>
      </w:r>
      <w:r w:rsidRPr="00275CFF">
        <w:rPr>
          <w:rFonts w:ascii="Lato" w:hAnsi="Lato"/>
          <w:sz w:val="20"/>
          <w:szCs w:val="20"/>
        </w:rPr>
        <w:t>w</w:t>
      </w:r>
      <w:r w:rsidRPr="00275CFF">
        <w:rPr>
          <w:rFonts w:ascii="Lato" w:hAnsi="Lato"/>
          <w:spacing w:val="-10"/>
          <w:sz w:val="20"/>
          <w:szCs w:val="20"/>
        </w:rPr>
        <w:t xml:space="preserve"> </w:t>
      </w:r>
      <w:r w:rsidRPr="00275CFF">
        <w:rPr>
          <w:rFonts w:ascii="Lato" w:hAnsi="Lato"/>
          <w:sz w:val="20"/>
          <w:szCs w:val="20"/>
        </w:rPr>
        <w:t>Bełchatowie</w:t>
      </w:r>
      <w:r w:rsidRPr="00275CFF">
        <w:rPr>
          <w:rFonts w:ascii="Lato" w:hAnsi="Lato"/>
          <w:spacing w:val="-8"/>
          <w:sz w:val="20"/>
          <w:szCs w:val="20"/>
        </w:rPr>
        <w:t xml:space="preserve"> </w:t>
      </w:r>
      <w:r w:rsidRPr="00275CFF">
        <w:rPr>
          <w:rFonts w:ascii="Lato" w:hAnsi="Lato"/>
          <w:sz w:val="20"/>
          <w:szCs w:val="20"/>
        </w:rPr>
        <w:t>odbyła</w:t>
      </w:r>
      <w:r w:rsidRPr="00275CFF">
        <w:rPr>
          <w:rFonts w:ascii="Lato" w:hAnsi="Lato"/>
          <w:spacing w:val="-10"/>
          <w:sz w:val="20"/>
          <w:szCs w:val="20"/>
        </w:rPr>
        <w:t xml:space="preserve"> </w:t>
      </w:r>
      <w:r w:rsidRPr="00275CFF">
        <w:rPr>
          <w:rFonts w:ascii="Lato" w:hAnsi="Lato"/>
          <w:sz w:val="20"/>
          <w:szCs w:val="20"/>
        </w:rPr>
        <w:t>się V Miejska Biesiada Seniorów. W ramach biesiady odbyły się występy bełchatowskich artystów – seniorów oraz członków klubu seniora. Na scenie wystąpili m.in. „Promienie Bełchatowa”, chór Uniwersytetu Trzeciego Wieku „Pasjonata”, grupa</w:t>
      </w:r>
      <w:r w:rsidRPr="00275CFF">
        <w:rPr>
          <w:rFonts w:ascii="Lato" w:hAnsi="Lato"/>
          <w:spacing w:val="40"/>
          <w:sz w:val="20"/>
          <w:szCs w:val="20"/>
        </w:rPr>
        <w:t xml:space="preserve"> </w:t>
      </w:r>
      <w:r w:rsidRPr="00275CFF">
        <w:rPr>
          <w:rFonts w:ascii="Lato" w:hAnsi="Lato"/>
          <w:sz w:val="20"/>
          <w:szCs w:val="20"/>
        </w:rPr>
        <w:t xml:space="preserve">folklorystyczna „Rajka”, grupy taneczne „Super Stars” oraz „Rajskie Dziewczyny” z </w:t>
      </w:r>
      <w:proofErr w:type="spellStart"/>
      <w:r w:rsidRPr="00275CFF">
        <w:rPr>
          <w:rFonts w:ascii="Lato" w:hAnsi="Lato"/>
          <w:sz w:val="20"/>
          <w:szCs w:val="20"/>
        </w:rPr>
        <w:t>Cafe</w:t>
      </w:r>
      <w:proofErr w:type="spellEnd"/>
      <w:r w:rsidRPr="00275CFF">
        <w:rPr>
          <w:rFonts w:ascii="Lato" w:hAnsi="Lato"/>
          <w:sz w:val="20"/>
          <w:szCs w:val="20"/>
        </w:rPr>
        <w:t xml:space="preserve"> Senior Raj – Centrum Aktywności Seniora. Przygotowano również loterie z nagrodami. W wydarzeniu wzięło udział 300 seniorów.</w:t>
      </w:r>
    </w:p>
    <w:p w14:paraId="7E50ED37" w14:textId="77777777" w:rsidR="004844E6" w:rsidRPr="00915D13" w:rsidRDefault="004844E6" w:rsidP="004844E6">
      <w:pPr>
        <w:pStyle w:val="Tekstpodstawowy"/>
        <w:jc w:val="both"/>
        <w:rPr>
          <w:rFonts w:ascii="Lato" w:hAnsi="Lato"/>
          <w:sz w:val="20"/>
          <w:szCs w:val="20"/>
        </w:rPr>
      </w:pPr>
    </w:p>
    <w:p w14:paraId="01A9498D" w14:textId="77777777" w:rsidR="004844E6" w:rsidRPr="00275CFF"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W Październiku 2022 roku swoją działalność rozpoczęła Akademia Seniora w ramach projektu socjalnego MOPS w Bełchatowie we współpracy z MCK Bełchatów. Projekt ma charakter edukacyjno-profilaktyczno-integracyjny i jest dedykowany bełchatowskim seniorom.</w:t>
      </w:r>
      <w:r w:rsidRPr="00275CFF">
        <w:rPr>
          <w:rFonts w:ascii="Lato" w:hAnsi="Lato"/>
          <w:spacing w:val="-7"/>
          <w:sz w:val="20"/>
          <w:szCs w:val="20"/>
        </w:rPr>
        <w:t xml:space="preserve"> </w:t>
      </w:r>
      <w:r w:rsidRPr="00275CFF">
        <w:rPr>
          <w:rFonts w:ascii="Lato" w:hAnsi="Lato"/>
          <w:sz w:val="20"/>
          <w:szCs w:val="20"/>
        </w:rPr>
        <w:t>Działania</w:t>
      </w:r>
      <w:r w:rsidRPr="00275CFF">
        <w:rPr>
          <w:rFonts w:ascii="Lato" w:hAnsi="Lato"/>
          <w:spacing w:val="-7"/>
          <w:sz w:val="20"/>
          <w:szCs w:val="20"/>
        </w:rPr>
        <w:t xml:space="preserve"> </w:t>
      </w:r>
      <w:r w:rsidRPr="00275CFF">
        <w:rPr>
          <w:rFonts w:ascii="Lato" w:hAnsi="Lato"/>
          <w:sz w:val="20"/>
          <w:szCs w:val="20"/>
        </w:rPr>
        <w:t>podjęte</w:t>
      </w:r>
      <w:r w:rsidRPr="00275CFF">
        <w:rPr>
          <w:rFonts w:ascii="Lato" w:hAnsi="Lato"/>
          <w:spacing w:val="-8"/>
          <w:sz w:val="20"/>
          <w:szCs w:val="20"/>
        </w:rPr>
        <w:t xml:space="preserve"> </w:t>
      </w:r>
      <w:r w:rsidRPr="00275CFF">
        <w:rPr>
          <w:rFonts w:ascii="Lato" w:hAnsi="Lato"/>
          <w:sz w:val="20"/>
          <w:szCs w:val="20"/>
        </w:rPr>
        <w:t>w</w:t>
      </w:r>
      <w:r w:rsidRPr="00275CFF">
        <w:rPr>
          <w:rFonts w:ascii="Lato" w:hAnsi="Lato"/>
          <w:spacing w:val="-7"/>
          <w:sz w:val="20"/>
          <w:szCs w:val="20"/>
        </w:rPr>
        <w:t xml:space="preserve"> </w:t>
      </w:r>
      <w:r w:rsidRPr="00275CFF">
        <w:rPr>
          <w:rFonts w:ascii="Lato" w:hAnsi="Lato"/>
          <w:sz w:val="20"/>
          <w:szCs w:val="20"/>
        </w:rPr>
        <w:t>2022</w:t>
      </w:r>
      <w:r w:rsidRPr="00275CFF">
        <w:rPr>
          <w:rFonts w:ascii="Lato" w:hAnsi="Lato"/>
          <w:spacing w:val="-8"/>
          <w:sz w:val="20"/>
          <w:szCs w:val="20"/>
        </w:rPr>
        <w:t xml:space="preserve"> </w:t>
      </w:r>
      <w:r w:rsidRPr="00275CFF">
        <w:rPr>
          <w:rFonts w:ascii="Lato" w:hAnsi="Lato"/>
          <w:sz w:val="20"/>
          <w:szCs w:val="20"/>
        </w:rPr>
        <w:t>roku</w:t>
      </w:r>
      <w:r w:rsidRPr="00275CFF">
        <w:rPr>
          <w:rFonts w:ascii="Lato" w:hAnsi="Lato"/>
          <w:spacing w:val="-8"/>
          <w:sz w:val="20"/>
          <w:szCs w:val="20"/>
        </w:rPr>
        <w:t xml:space="preserve"> </w:t>
      </w:r>
      <w:r w:rsidRPr="00275CFF">
        <w:rPr>
          <w:rFonts w:ascii="Lato" w:hAnsi="Lato"/>
          <w:sz w:val="20"/>
          <w:szCs w:val="20"/>
        </w:rPr>
        <w:t>miały</w:t>
      </w:r>
      <w:r w:rsidRPr="00275CFF">
        <w:rPr>
          <w:rFonts w:ascii="Lato" w:hAnsi="Lato"/>
          <w:spacing w:val="-6"/>
          <w:sz w:val="20"/>
          <w:szCs w:val="20"/>
        </w:rPr>
        <w:t xml:space="preserve"> </w:t>
      </w:r>
      <w:r w:rsidRPr="00275CFF">
        <w:rPr>
          <w:rFonts w:ascii="Lato" w:hAnsi="Lato"/>
          <w:sz w:val="20"/>
          <w:szCs w:val="20"/>
        </w:rPr>
        <w:t>na</w:t>
      </w:r>
      <w:r w:rsidRPr="00275CFF">
        <w:rPr>
          <w:rFonts w:ascii="Lato" w:hAnsi="Lato"/>
          <w:spacing w:val="-8"/>
          <w:sz w:val="20"/>
          <w:szCs w:val="20"/>
        </w:rPr>
        <w:t xml:space="preserve"> </w:t>
      </w:r>
      <w:r w:rsidRPr="00275CFF">
        <w:rPr>
          <w:rFonts w:ascii="Lato" w:hAnsi="Lato"/>
          <w:sz w:val="20"/>
          <w:szCs w:val="20"/>
        </w:rPr>
        <w:t>celu</w:t>
      </w:r>
      <w:r w:rsidRPr="00275CFF">
        <w:rPr>
          <w:rFonts w:ascii="Lato" w:hAnsi="Lato"/>
          <w:spacing w:val="-7"/>
          <w:sz w:val="20"/>
          <w:szCs w:val="20"/>
        </w:rPr>
        <w:t xml:space="preserve"> </w:t>
      </w:r>
      <w:r w:rsidRPr="00275CFF">
        <w:rPr>
          <w:rFonts w:ascii="Lato" w:hAnsi="Lato"/>
          <w:sz w:val="20"/>
          <w:szCs w:val="20"/>
        </w:rPr>
        <w:t>zwiększenie</w:t>
      </w:r>
      <w:r w:rsidRPr="00275CFF">
        <w:rPr>
          <w:rFonts w:ascii="Lato" w:hAnsi="Lato"/>
          <w:spacing w:val="-5"/>
          <w:sz w:val="20"/>
          <w:szCs w:val="20"/>
        </w:rPr>
        <w:t xml:space="preserve"> </w:t>
      </w:r>
      <w:r w:rsidRPr="00275CFF">
        <w:rPr>
          <w:rFonts w:ascii="Lato" w:hAnsi="Lato"/>
          <w:sz w:val="20"/>
          <w:szCs w:val="20"/>
        </w:rPr>
        <w:t>świadomości</w:t>
      </w:r>
      <w:r w:rsidRPr="00275CFF">
        <w:rPr>
          <w:rFonts w:ascii="Lato" w:hAnsi="Lato"/>
          <w:spacing w:val="-7"/>
          <w:sz w:val="20"/>
          <w:szCs w:val="20"/>
        </w:rPr>
        <w:t xml:space="preserve"> </w:t>
      </w:r>
      <w:r w:rsidRPr="00275CFF">
        <w:rPr>
          <w:rFonts w:ascii="Lato" w:hAnsi="Lato"/>
          <w:sz w:val="20"/>
          <w:szCs w:val="20"/>
        </w:rPr>
        <w:t>na</w:t>
      </w:r>
      <w:r w:rsidRPr="00275CFF">
        <w:rPr>
          <w:rFonts w:ascii="Lato" w:hAnsi="Lato"/>
          <w:spacing w:val="-8"/>
          <w:sz w:val="20"/>
          <w:szCs w:val="20"/>
        </w:rPr>
        <w:t xml:space="preserve"> </w:t>
      </w:r>
      <w:r w:rsidRPr="00275CFF">
        <w:rPr>
          <w:rFonts w:ascii="Lato" w:hAnsi="Lato"/>
          <w:sz w:val="20"/>
          <w:szCs w:val="20"/>
        </w:rPr>
        <w:t xml:space="preserve">temat </w:t>
      </w:r>
      <w:proofErr w:type="spellStart"/>
      <w:r w:rsidRPr="00275CFF">
        <w:rPr>
          <w:rFonts w:ascii="Lato" w:hAnsi="Lato"/>
          <w:sz w:val="20"/>
          <w:szCs w:val="20"/>
        </w:rPr>
        <w:t>zachowań</w:t>
      </w:r>
      <w:proofErr w:type="spellEnd"/>
      <w:r w:rsidRPr="00275CFF">
        <w:rPr>
          <w:rFonts w:ascii="Lato" w:hAnsi="Lato"/>
          <w:sz w:val="20"/>
          <w:szCs w:val="20"/>
        </w:rPr>
        <w:t xml:space="preserve"> wpływających na bezpieczeństwo seniorów, przeciwdziałanie wykluczeniu seniorów, wzmocnienie ich samodzielności uraz umiejętności dbania o własne bezpieczeństwo, zdrowie i mienie. Zajęcia prowadzone były przez przedstawicieli Policji, służby zdrowia oraz eksperta finansowego. Z projektu skorzystało 52</w:t>
      </w:r>
      <w:r w:rsidRPr="00275CFF">
        <w:rPr>
          <w:rFonts w:ascii="Lato" w:hAnsi="Lato"/>
          <w:spacing w:val="-14"/>
          <w:sz w:val="20"/>
          <w:szCs w:val="20"/>
        </w:rPr>
        <w:t xml:space="preserve"> </w:t>
      </w:r>
      <w:r w:rsidRPr="00275CFF">
        <w:rPr>
          <w:rFonts w:ascii="Lato" w:hAnsi="Lato"/>
          <w:sz w:val="20"/>
          <w:szCs w:val="20"/>
        </w:rPr>
        <w:t>seniorów.</w:t>
      </w:r>
    </w:p>
    <w:p w14:paraId="56774F5B" w14:textId="77777777" w:rsidR="004844E6" w:rsidRPr="00915D13" w:rsidRDefault="004844E6" w:rsidP="004844E6">
      <w:pPr>
        <w:pStyle w:val="Tekstpodstawowy"/>
        <w:jc w:val="both"/>
        <w:rPr>
          <w:rFonts w:ascii="Lato" w:hAnsi="Lato"/>
          <w:sz w:val="20"/>
          <w:szCs w:val="20"/>
        </w:rPr>
      </w:pPr>
    </w:p>
    <w:p w14:paraId="3A2C4B8C" w14:textId="77777777" w:rsidR="004844E6" w:rsidRDefault="004844E6" w:rsidP="004844E6">
      <w:pPr>
        <w:pStyle w:val="Tekstpodstawowy"/>
        <w:ind w:right="115"/>
        <w:jc w:val="both"/>
        <w:rPr>
          <w:rFonts w:ascii="Lato" w:hAnsi="Lato"/>
          <w:sz w:val="20"/>
          <w:szCs w:val="20"/>
        </w:rPr>
      </w:pPr>
      <w:r w:rsidRPr="00275CFF">
        <w:rPr>
          <w:rFonts w:ascii="Lato" w:hAnsi="Lato"/>
          <w:sz w:val="20"/>
          <w:szCs w:val="20"/>
        </w:rPr>
        <w:t>W</w:t>
      </w:r>
      <w:r w:rsidRPr="00275CFF">
        <w:rPr>
          <w:rFonts w:ascii="Lato" w:hAnsi="Lato"/>
          <w:spacing w:val="49"/>
          <w:sz w:val="20"/>
          <w:szCs w:val="20"/>
        </w:rPr>
        <w:t xml:space="preserve"> </w:t>
      </w:r>
      <w:r w:rsidRPr="00275CFF">
        <w:rPr>
          <w:rFonts w:ascii="Lato" w:hAnsi="Lato"/>
          <w:sz w:val="20"/>
          <w:szCs w:val="20"/>
        </w:rPr>
        <w:t>grudniu</w:t>
      </w:r>
      <w:r w:rsidRPr="00275CFF">
        <w:rPr>
          <w:rFonts w:ascii="Lato" w:hAnsi="Lato"/>
          <w:spacing w:val="50"/>
          <w:sz w:val="20"/>
          <w:szCs w:val="20"/>
        </w:rPr>
        <w:t xml:space="preserve"> </w:t>
      </w:r>
      <w:r w:rsidRPr="00275CFF">
        <w:rPr>
          <w:rFonts w:ascii="Lato" w:hAnsi="Lato"/>
          <w:sz w:val="20"/>
          <w:szCs w:val="20"/>
        </w:rPr>
        <w:t>2022</w:t>
      </w:r>
      <w:r w:rsidRPr="00275CFF">
        <w:rPr>
          <w:rFonts w:ascii="Lato" w:hAnsi="Lato"/>
          <w:spacing w:val="50"/>
          <w:sz w:val="20"/>
          <w:szCs w:val="20"/>
        </w:rPr>
        <w:t xml:space="preserve"> </w:t>
      </w:r>
      <w:r w:rsidRPr="00275CFF">
        <w:rPr>
          <w:rFonts w:ascii="Lato" w:hAnsi="Lato"/>
          <w:sz w:val="20"/>
          <w:szCs w:val="20"/>
        </w:rPr>
        <w:t>roku</w:t>
      </w:r>
      <w:r w:rsidRPr="00275CFF">
        <w:rPr>
          <w:rFonts w:ascii="Lato" w:hAnsi="Lato"/>
          <w:spacing w:val="49"/>
          <w:sz w:val="20"/>
          <w:szCs w:val="20"/>
        </w:rPr>
        <w:t xml:space="preserve"> </w:t>
      </w:r>
      <w:r w:rsidRPr="00275CFF">
        <w:rPr>
          <w:rFonts w:ascii="Lato" w:hAnsi="Lato"/>
          <w:sz w:val="20"/>
          <w:szCs w:val="20"/>
        </w:rPr>
        <w:t>zorganizowana</w:t>
      </w:r>
      <w:r w:rsidRPr="00275CFF">
        <w:rPr>
          <w:rFonts w:ascii="Lato" w:hAnsi="Lato"/>
          <w:spacing w:val="53"/>
          <w:sz w:val="20"/>
          <w:szCs w:val="20"/>
        </w:rPr>
        <w:t xml:space="preserve"> </w:t>
      </w:r>
      <w:r w:rsidRPr="00275CFF">
        <w:rPr>
          <w:rFonts w:ascii="Lato" w:hAnsi="Lato"/>
          <w:sz w:val="20"/>
          <w:szCs w:val="20"/>
        </w:rPr>
        <w:t>został</w:t>
      </w:r>
      <w:r w:rsidRPr="00275CFF">
        <w:rPr>
          <w:rFonts w:ascii="Lato" w:hAnsi="Lato"/>
          <w:spacing w:val="51"/>
          <w:sz w:val="20"/>
          <w:szCs w:val="20"/>
        </w:rPr>
        <w:t xml:space="preserve"> </w:t>
      </w:r>
      <w:r w:rsidRPr="00275CFF">
        <w:rPr>
          <w:rFonts w:ascii="Lato" w:hAnsi="Lato"/>
          <w:sz w:val="20"/>
          <w:szCs w:val="20"/>
        </w:rPr>
        <w:t>I</w:t>
      </w:r>
      <w:r w:rsidRPr="00275CFF">
        <w:rPr>
          <w:rFonts w:ascii="Lato" w:hAnsi="Lato"/>
          <w:spacing w:val="49"/>
          <w:sz w:val="20"/>
          <w:szCs w:val="20"/>
        </w:rPr>
        <w:t xml:space="preserve"> </w:t>
      </w:r>
      <w:r w:rsidRPr="00275CFF">
        <w:rPr>
          <w:rFonts w:ascii="Lato" w:hAnsi="Lato"/>
          <w:sz w:val="20"/>
          <w:szCs w:val="20"/>
        </w:rPr>
        <w:t>Bełchatowska</w:t>
      </w:r>
      <w:r w:rsidRPr="00275CFF">
        <w:rPr>
          <w:rFonts w:ascii="Lato" w:hAnsi="Lato"/>
          <w:spacing w:val="53"/>
          <w:sz w:val="20"/>
          <w:szCs w:val="20"/>
        </w:rPr>
        <w:t xml:space="preserve"> </w:t>
      </w:r>
      <w:r w:rsidRPr="00275CFF">
        <w:rPr>
          <w:rFonts w:ascii="Lato" w:hAnsi="Lato"/>
          <w:sz w:val="20"/>
          <w:szCs w:val="20"/>
        </w:rPr>
        <w:t>Olimpiada</w:t>
      </w:r>
      <w:r w:rsidRPr="00275CFF">
        <w:rPr>
          <w:rFonts w:ascii="Lato" w:hAnsi="Lato"/>
          <w:spacing w:val="51"/>
          <w:sz w:val="20"/>
          <w:szCs w:val="20"/>
        </w:rPr>
        <w:t xml:space="preserve"> </w:t>
      </w:r>
      <w:r w:rsidRPr="00275CFF">
        <w:rPr>
          <w:rFonts w:ascii="Lato" w:hAnsi="Lato"/>
          <w:sz w:val="20"/>
          <w:szCs w:val="20"/>
        </w:rPr>
        <w:t>Seniorów</w:t>
      </w:r>
      <w:r w:rsidRPr="00275CFF">
        <w:rPr>
          <w:rFonts w:ascii="Lato" w:hAnsi="Lato"/>
          <w:spacing w:val="51"/>
          <w:sz w:val="20"/>
          <w:szCs w:val="20"/>
        </w:rPr>
        <w:t xml:space="preserve"> </w:t>
      </w:r>
      <w:r w:rsidRPr="00275CFF">
        <w:rPr>
          <w:rFonts w:ascii="Lato" w:hAnsi="Lato"/>
          <w:sz w:val="20"/>
          <w:szCs w:val="20"/>
        </w:rPr>
        <w:t>pn.</w:t>
      </w:r>
      <w:r>
        <w:rPr>
          <w:rFonts w:ascii="Lato" w:hAnsi="Lato"/>
          <w:sz w:val="20"/>
          <w:szCs w:val="20"/>
        </w:rPr>
        <w:t xml:space="preserve"> </w:t>
      </w:r>
      <w:r w:rsidRPr="00915D13">
        <w:rPr>
          <w:rFonts w:ascii="Lato" w:hAnsi="Lato"/>
          <w:sz w:val="20"/>
          <w:szCs w:val="20"/>
        </w:rPr>
        <w:t>„</w:t>
      </w:r>
      <w:r w:rsidRPr="00915D13">
        <w:rPr>
          <w:rFonts w:ascii="Lato" w:hAnsi="Lato"/>
          <w:spacing w:val="-3"/>
          <w:sz w:val="20"/>
          <w:szCs w:val="20"/>
        </w:rPr>
        <w:t xml:space="preserve"> </w:t>
      </w:r>
      <w:r w:rsidRPr="00915D13">
        <w:rPr>
          <w:rFonts w:ascii="Lato" w:hAnsi="Lato"/>
          <w:sz w:val="20"/>
          <w:szCs w:val="20"/>
        </w:rPr>
        <w:t xml:space="preserve">Seniorzy </w:t>
      </w:r>
      <w:r w:rsidRPr="00915D13">
        <w:rPr>
          <w:rFonts w:ascii="Lato" w:hAnsi="Lato"/>
          <w:spacing w:val="19"/>
          <w:sz w:val="20"/>
          <w:szCs w:val="20"/>
        </w:rPr>
        <w:t xml:space="preserve"> </w:t>
      </w:r>
      <w:r w:rsidRPr="00915D13">
        <w:rPr>
          <w:rFonts w:ascii="Lato" w:hAnsi="Lato"/>
          <w:sz w:val="20"/>
          <w:szCs w:val="20"/>
        </w:rPr>
        <w:t xml:space="preserve">na </w:t>
      </w:r>
      <w:r w:rsidRPr="00915D13">
        <w:rPr>
          <w:rFonts w:ascii="Lato" w:hAnsi="Lato"/>
          <w:spacing w:val="18"/>
          <w:sz w:val="20"/>
          <w:szCs w:val="20"/>
        </w:rPr>
        <w:t xml:space="preserve"> </w:t>
      </w:r>
      <w:r w:rsidRPr="00915D13">
        <w:rPr>
          <w:rFonts w:ascii="Lato" w:hAnsi="Lato"/>
          <w:sz w:val="20"/>
          <w:szCs w:val="20"/>
        </w:rPr>
        <w:t xml:space="preserve">sportowo, </w:t>
      </w:r>
      <w:r w:rsidRPr="00915D13">
        <w:rPr>
          <w:rFonts w:ascii="Lato" w:hAnsi="Lato"/>
          <w:spacing w:val="19"/>
          <w:sz w:val="20"/>
          <w:szCs w:val="20"/>
        </w:rPr>
        <w:t xml:space="preserve"> </w:t>
      </w:r>
      <w:r w:rsidRPr="00915D13">
        <w:rPr>
          <w:rFonts w:ascii="Lato" w:hAnsi="Lato"/>
          <w:sz w:val="20"/>
          <w:szCs w:val="20"/>
        </w:rPr>
        <w:t xml:space="preserve">radośnie </w:t>
      </w:r>
      <w:r w:rsidRPr="00915D13">
        <w:rPr>
          <w:rFonts w:ascii="Lato" w:hAnsi="Lato"/>
          <w:spacing w:val="18"/>
          <w:sz w:val="20"/>
          <w:szCs w:val="20"/>
        </w:rPr>
        <w:t xml:space="preserve"> </w:t>
      </w:r>
      <w:r w:rsidRPr="00915D13">
        <w:rPr>
          <w:rFonts w:ascii="Lato" w:hAnsi="Lato"/>
          <w:sz w:val="20"/>
          <w:szCs w:val="20"/>
        </w:rPr>
        <w:t xml:space="preserve">i </w:t>
      </w:r>
      <w:r w:rsidRPr="00915D13">
        <w:rPr>
          <w:rFonts w:ascii="Lato" w:hAnsi="Lato"/>
          <w:spacing w:val="19"/>
          <w:sz w:val="20"/>
          <w:szCs w:val="20"/>
        </w:rPr>
        <w:t xml:space="preserve"> </w:t>
      </w:r>
      <w:r w:rsidRPr="00915D13">
        <w:rPr>
          <w:rFonts w:ascii="Lato" w:hAnsi="Lato"/>
          <w:sz w:val="20"/>
          <w:szCs w:val="20"/>
        </w:rPr>
        <w:t xml:space="preserve">profilaktycznie”, </w:t>
      </w:r>
      <w:r w:rsidRPr="00915D13">
        <w:rPr>
          <w:rFonts w:ascii="Lato" w:hAnsi="Lato"/>
          <w:spacing w:val="19"/>
          <w:sz w:val="20"/>
          <w:szCs w:val="20"/>
        </w:rPr>
        <w:t xml:space="preserve"> </w:t>
      </w:r>
      <w:r w:rsidRPr="00915D13">
        <w:rPr>
          <w:rFonts w:ascii="Lato" w:hAnsi="Lato"/>
          <w:sz w:val="20"/>
          <w:szCs w:val="20"/>
        </w:rPr>
        <w:t xml:space="preserve">w </w:t>
      </w:r>
      <w:r w:rsidRPr="00915D13">
        <w:rPr>
          <w:rFonts w:ascii="Lato" w:hAnsi="Lato"/>
          <w:spacing w:val="18"/>
          <w:sz w:val="20"/>
          <w:szCs w:val="20"/>
        </w:rPr>
        <w:t xml:space="preserve"> </w:t>
      </w:r>
      <w:r w:rsidRPr="00915D13">
        <w:rPr>
          <w:rFonts w:ascii="Lato" w:hAnsi="Lato"/>
          <w:sz w:val="20"/>
          <w:szCs w:val="20"/>
        </w:rPr>
        <w:t xml:space="preserve">której </w:t>
      </w:r>
      <w:r w:rsidRPr="00915D13">
        <w:rPr>
          <w:rFonts w:ascii="Lato" w:hAnsi="Lato"/>
          <w:spacing w:val="19"/>
          <w:sz w:val="20"/>
          <w:szCs w:val="20"/>
        </w:rPr>
        <w:t xml:space="preserve"> </w:t>
      </w:r>
      <w:r w:rsidRPr="00915D13">
        <w:rPr>
          <w:rFonts w:ascii="Lato" w:hAnsi="Lato"/>
          <w:sz w:val="20"/>
          <w:szCs w:val="20"/>
        </w:rPr>
        <w:t xml:space="preserve">czynny </w:t>
      </w:r>
      <w:r w:rsidRPr="00915D13">
        <w:rPr>
          <w:rFonts w:ascii="Lato" w:hAnsi="Lato"/>
          <w:spacing w:val="19"/>
          <w:sz w:val="20"/>
          <w:szCs w:val="20"/>
        </w:rPr>
        <w:t xml:space="preserve"> </w:t>
      </w:r>
      <w:r w:rsidRPr="00915D13">
        <w:rPr>
          <w:rFonts w:ascii="Lato" w:hAnsi="Lato"/>
          <w:sz w:val="20"/>
          <w:szCs w:val="20"/>
        </w:rPr>
        <w:t xml:space="preserve">udział </w:t>
      </w:r>
      <w:r w:rsidRPr="00915D13">
        <w:rPr>
          <w:rFonts w:ascii="Lato" w:hAnsi="Lato"/>
          <w:spacing w:val="19"/>
          <w:sz w:val="20"/>
          <w:szCs w:val="20"/>
        </w:rPr>
        <w:t xml:space="preserve"> </w:t>
      </w:r>
      <w:r w:rsidRPr="00915D13">
        <w:rPr>
          <w:rFonts w:ascii="Lato" w:hAnsi="Lato"/>
          <w:sz w:val="20"/>
          <w:szCs w:val="20"/>
        </w:rPr>
        <w:t>wzięl</w:t>
      </w:r>
      <w:r>
        <w:rPr>
          <w:rFonts w:ascii="Lato" w:hAnsi="Lato"/>
          <w:sz w:val="20"/>
          <w:szCs w:val="20"/>
        </w:rPr>
        <w:t xml:space="preserve">i </w:t>
      </w:r>
      <w:r w:rsidRPr="00915D13">
        <w:rPr>
          <w:rFonts w:ascii="Lato" w:hAnsi="Lato"/>
          <w:sz w:val="20"/>
          <w:szCs w:val="20"/>
        </w:rPr>
        <w:t>bełchatowscy seniorzy. Impreza miała charakter rekreacyjno-integracyjny z elementami rywalizacji sportowej. Celem zawodów było wypracowanie w pokoleniu 60+ nawyków dbania o własne zdrowie oraz dobrą kondycje fizyczna i psychiczną. Do zmagań sportowych przystąpiło 8 zespołów reprezentujących bełchatowskie kluby seniora. Najlepiej poradzili sobie reprezentanci drużyny Uniwersytetu Trzeciego Wieku. Główną nagrodą, o która rywalizowały drużyny był Puchar Przechodni Olimpiad</w:t>
      </w:r>
      <w:r>
        <w:rPr>
          <w:rFonts w:ascii="Lato" w:hAnsi="Lato"/>
          <w:sz w:val="20"/>
          <w:szCs w:val="20"/>
        </w:rPr>
        <w:t>y.</w:t>
      </w:r>
    </w:p>
    <w:p w14:paraId="505B17F8" w14:textId="77777777" w:rsidR="004844E6" w:rsidRDefault="004844E6" w:rsidP="004844E6">
      <w:pPr>
        <w:pStyle w:val="Tekstpodstawowy"/>
        <w:ind w:right="115"/>
        <w:jc w:val="both"/>
        <w:rPr>
          <w:rFonts w:ascii="Lato" w:hAnsi="Lato"/>
          <w:sz w:val="20"/>
          <w:szCs w:val="20"/>
        </w:rPr>
      </w:pPr>
    </w:p>
    <w:p w14:paraId="51B36454" w14:textId="77777777" w:rsidR="004844E6" w:rsidRPr="00757CE7" w:rsidRDefault="004844E6" w:rsidP="004844E6">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6A1CBF2F" w14:textId="77777777" w:rsidR="004844E6" w:rsidRDefault="004844E6" w:rsidP="004844E6">
      <w:pPr>
        <w:pStyle w:val="Tekstpodstawowy"/>
        <w:jc w:val="both"/>
        <w:rPr>
          <w:rFonts w:ascii="Lato" w:hAnsi="Lato"/>
          <w:b/>
          <w:bCs/>
          <w:sz w:val="20"/>
          <w:szCs w:val="20"/>
        </w:rPr>
      </w:pPr>
    </w:p>
    <w:p w14:paraId="6BDF51A7" w14:textId="77777777" w:rsidR="004844E6" w:rsidRPr="00275CFF" w:rsidRDefault="004844E6" w:rsidP="004844E6">
      <w:pPr>
        <w:pStyle w:val="Tekstpodstawowy"/>
        <w:jc w:val="both"/>
        <w:rPr>
          <w:rFonts w:ascii="Lato" w:hAnsi="Lato"/>
          <w:b/>
          <w:bCs/>
          <w:sz w:val="20"/>
          <w:szCs w:val="20"/>
        </w:rPr>
      </w:pPr>
      <w:r w:rsidRPr="00275CFF">
        <w:rPr>
          <w:rFonts w:ascii="Lato" w:hAnsi="Lato"/>
          <w:b/>
          <w:bCs/>
          <w:sz w:val="20"/>
          <w:szCs w:val="20"/>
        </w:rPr>
        <w:t>Łódź – miasto na prawach powiatu</w:t>
      </w:r>
    </w:p>
    <w:p w14:paraId="714C5CDD" w14:textId="77777777" w:rsidR="004844E6" w:rsidRPr="00275CFF" w:rsidRDefault="004844E6" w:rsidP="004844E6">
      <w:pPr>
        <w:widowControl w:val="0"/>
        <w:tabs>
          <w:tab w:val="left" w:pos="817"/>
        </w:tabs>
        <w:autoSpaceDE w:val="0"/>
        <w:autoSpaceDN w:val="0"/>
        <w:spacing w:after="0" w:line="240" w:lineRule="auto"/>
        <w:ind w:right="116"/>
        <w:jc w:val="both"/>
        <w:rPr>
          <w:rFonts w:ascii="Lato" w:hAnsi="Lato"/>
          <w:sz w:val="20"/>
          <w:szCs w:val="20"/>
        </w:rPr>
      </w:pPr>
      <w:r w:rsidRPr="00275CFF">
        <w:rPr>
          <w:rFonts w:ascii="Lato" w:hAnsi="Lato"/>
          <w:sz w:val="20"/>
          <w:szCs w:val="20"/>
        </w:rPr>
        <w:t>Projekt Srebrny Biznes – projekt, którego celem jest zwiększenie liczby trwałych przedsiębiorstw funkcjonujących na terenie Łódzkiego Obszaru Metropolitalnego (ŁOM) o 36 firm działających w obszarze srebrnej gospodarki bądź prowadzone przez osoby 50+, utworzone przez osoby zamieszkałe na terenie ŁOM. Projekt realizowany w ramach Europejskiego</w:t>
      </w:r>
      <w:r w:rsidRPr="00275CFF">
        <w:rPr>
          <w:rFonts w:ascii="Lato" w:hAnsi="Lato"/>
          <w:spacing w:val="-17"/>
          <w:sz w:val="20"/>
          <w:szCs w:val="20"/>
        </w:rPr>
        <w:t xml:space="preserve"> </w:t>
      </w:r>
      <w:r w:rsidRPr="00275CFF">
        <w:rPr>
          <w:rFonts w:ascii="Lato" w:hAnsi="Lato"/>
          <w:sz w:val="20"/>
          <w:szCs w:val="20"/>
        </w:rPr>
        <w:t>Funduszu</w:t>
      </w:r>
      <w:r w:rsidRPr="00275CFF">
        <w:rPr>
          <w:rFonts w:ascii="Lato" w:hAnsi="Lato"/>
          <w:spacing w:val="-18"/>
          <w:sz w:val="20"/>
          <w:szCs w:val="20"/>
        </w:rPr>
        <w:t xml:space="preserve"> </w:t>
      </w:r>
      <w:r w:rsidRPr="00275CFF">
        <w:rPr>
          <w:rFonts w:ascii="Lato" w:hAnsi="Lato"/>
          <w:sz w:val="20"/>
          <w:szCs w:val="20"/>
        </w:rPr>
        <w:t>Społecznego.</w:t>
      </w:r>
      <w:r w:rsidRPr="00275CFF">
        <w:rPr>
          <w:rFonts w:ascii="Lato" w:hAnsi="Lato"/>
          <w:spacing w:val="-19"/>
          <w:sz w:val="20"/>
          <w:szCs w:val="20"/>
        </w:rPr>
        <w:t xml:space="preserve"> </w:t>
      </w:r>
      <w:r w:rsidRPr="00275CFF">
        <w:rPr>
          <w:rFonts w:ascii="Lato" w:hAnsi="Lato"/>
          <w:sz w:val="20"/>
          <w:szCs w:val="20"/>
        </w:rPr>
        <w:t>Wsparcie</w:t>
      </w:r>
      <w:r w:rsidRPr="00275CFF">
        <w:rPr>
          <w:rFonts w:ascii="Lato" w:hAnsi="Lato"/>
          <w:spacing w:val="-17"/>
          <w:sz w:val="20"/>
          <w:szCs w:val="20"/>
        </w:rPr>
        <w:t xml:space="preserve"> </w:t>
      </w:r>
      <w:r w:rsidRPr="00275CFF">
        <w:rPr>
          <w:rFonts w:ascii="Lato" w:hAnsi="Lato"/>
          <w:sz w:val="20"/>
          <w:szCs w:val="20"/>
        </w:rPr>
        <w:t>w</w:t>
      </w:r>
      <w:r w:rsidRPr="00275CFF">
        <w:rPr>
          <w:rFonts w:ascii="Lato" w:hAnsi="Lato"/>
          <w:spacing w:val="-18"/>
          <w:sz w:val="20"/>
          <w:szCs w:val="20"/>
        </w:rPr>
        <w:t xml:space="preserve"> </w:t>
      </w:r>
      <w:r w:rsidRPr="00275CFF">
        <w:rPr>
          <w:rFonts w:ascii="Lato" w:hAnsi="Lato"/>
          <w:sz w:val="20"/>
          <w:szCs w:val="20"/>
        </w:rPr>
        <w:t>ramach</w:t>
      </w:r>
      <w:r w:rsidRPr="00275CFF">
        <w:rPr>
          <w:rFonts w:ascii="Lato" w:hAnsi="Lato"/>
          <w:spacing w:val="-19"/>
          <w:sz w:val="20"/>
          <w:szCs w:val="20"/>
        </w:rPr>
        <w:t xml:space="preserve"> </w:t>
      </w:r>
      <w:r w:rsidRPr="00275CFF">
        <w:rPr>
          <w:rFonts w:ascii="Lato" w:hAnsi="Lato"/>
          <w:sz w:val="20"/>
          <w:szCs w:val="20"/>
        </w:rPr>
        <w:t>projektu</w:t>
      </w:r>
      <w:r w:rsidRPr="00275CFF">
        <w:rPr>
          <w:rFonts w:ascii="Lato" w:hAnsi="Lato"/>
          <w:spacing w:val="-18"/>
          <w:sz w:val="20"/>
          <w:szCs w:val="20"/>
        </w:rPr>
        <w:t xml:space="preserve"> </w:t>
      </w:r>
      <w:r w:rsidRPr="00275CFF">
        <w:rPr>
          <w:rFonts w:ascii="Lato" w:hAnsi="Lato"/>
          <w:sz w:val="20"/>
          <w:szCs w:val="20"/>
        </w:rPr>
        <w:t>w</w:t>
      </w:r>
      <w:r w:rsidRPr="00275CFF">
        <w:rPr>
          <w:rFonts w:ascii="Lato" w:hAnsi="Lato"/>
          <w:spacing w:val="-18"/>
          <w:sz w:val="20"/>
          <w:szCs w:val="20"/>
        </w:rPr>
        <w:t xml:space="preserve"> </w:t>
      </w:r>
      <w:r w:rsidRPr="00275CFF">
        <w:rPr>
          <w:rFonts w:ascii="Lato" w:hAnsi="Lato"/>
          <w:sz w:val="20"/>
          <w:szCs w:val="20"/>
        </w:rPr>
        <w:t>roku</w:t>
      </w:r>
      <w:r w:rsidRPr="00275CFF">
        <w:rPr>
          <w:rFonts w:ascii="Lato" w:hAnsi="Lato"/>
          <w:spacing w:val="-19"/>
          <w:sz w:val="20"/>
          <w:szCs w:val="20"/>
        </w:rPr>
        <w:t xml:space="preserve"> </w:t>
      </w:r>
      <w:r w:rsidRPr="00275CFF">
        <w:rPr>
          <w:rFonts w:ascii="Lato" w:hAnsi="Lato"/>
          <w:sz w:val="20"/>
          <w:szCs w:val="20"/>
        </w:rPr>
        <w:t>2022</w:t>
      </w:r>
      <w:r w:rsidRPr="00275CFF">
        <w:rPr>
          <w:rFonts w:ascii="Lato" w:hAnsi="Lato"/>
          <w:spacing w:val="-18"/>
          <w:sz w:val="20"/>
          <w:szCs w:val="20"/>
        </w:rPr>
        <w:t xml:space="preserve"> </w:t>
      </w:r>
      <w:r w:rsidRPr="00275CFF">
        <w:rPr>
          <w:rFonts w:ascii="Lato" w:hAnsi="Lato"/>
          <w:sz w:val="20"/>
          <w:szCs w:val="20"/>
        </w:rPr>
        <w:t>otrzymało 27 firm.</w:t>
      </w:r>
    </w:p>
    <w:p w14:paraId="19938B64" w14:textId="77777777" w:rsidR="004844E6" w:rsidRDefault="004844E6" w:rsidP="004844E6">
      <w:pPr>
        <w:pStyle w:val="Tekstpodstawowy"/>
        <w:ind w:right="3122"/>
        <w:jc w:val="both"/>
        <w:rPr>
          <w:rFonts w:ascii="Lato" w:hAnsi="Lato"/>
          <w:sz w:val="20"/>
          <w:szCs w:val="20"/>
        </w:rPr>
      </w:pPr>
    </w:p>
    <w:p w14:paraId="4C572D9B" w14:textId="77777777" w:rsidR="004844E6" w:rsidRPr="00275CFF" w:rsidRDefault="004844E6" w:rsidP="004844E6">
      <w:pPr>
        <w:pStyle w:val="Tekstpodstawowy"/>
        <w:ind w:right="3122"/>
        <w:jc w:val="both"/>
        <w:rPr>
          <w:rFonts w:ascii="Lato" w:hAnsi="Lato"/>
          <w:b/>
          <w:bCs/>
          <w:sz w:val="20"/>
          <w:szCs w:val="20"/>
        </w:rPr>
      </w:pPr>
      <w:r w:rsidRPr="00275CFF">
        <w:rPr>
          <w:rFonts w:ascii="Lato" w:hAnsi="Lato"/>
          <w:b/>
          <w:bCs/>
          <w:sz w:val="20"/>
          <w:szCs w:val="20"/>
        </w:rPr>
        <w:t>Miasto Aleksandrow Łódzki</w:t>
      </w:r>
    </w:p>
    <w:p w14:paraId="477D6894"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color w:val="161616"/>
          <w:sz w:val="20"/>
          <w:szCs w:val="20"/>
        </w:rPr>
        <w:t xml:space="preserve">W kwietniu 2022 r. Urząd Miejski w Aleksandrowie Łódzkim  we współpracy  z MOPS w Aleksandrowie </w:t>
      </w:r>
      <w:r w:rsidRPr="00275CFF">
        <w:rPr>
          <w:rFonts w:ascii="Lato" w:hAnsi="Lato"/>
          <w:color w:val="161616"/>
          <w:sz w:val="20"/>
          <w:szCs w:val="20"/>
        </w:rPr>
        <w:lastRenderedPageBreak/>
        <w:t>Łódzkim zorganizował projekt pn.   Pokaz mody „Dojrzałe Piękno”.   W projekcie udział wzięło 100</w:t>
      </w:r>
      <w:r w:rsidRPr="00275CFF">
        <w:rPr>
          <w:rFonts w:ascii="Lato" w:hAnsi="Lato"/>
          <w:color w:val="161616"/>
          <w:spacing w:val="-3"/>
          <w:sz w:val="20"/>
          <w:szCs w:val="20"/>
        </w:rPr>
        <w:t xml:space="preserve"> </w:t>
      </w:r>
      <w:r w:rsidRPr="00275CFF">
        <w:rPr>
          <w:rFonts w:ascii="Lato" w:hAnsi="Lato"/>
          <w:color w:val="161616"/>
          <w:sz w:val="20"/>
          <w:szCs w:val="20"/>
        </w:rPr>
        <w:t xml:space="preserve">osób. </w:t>
      </w:r>
      <w:r w:rsidRPr="00275CFF">
        <w:rPr>
          <w:rFonts w:ascii="Lato" w:hAnsi="Lato"/>
          <w:sz w:val="20"/>
          <w:szCs w:val="20"/>
        </w:rPr>
        <w:t xml:space="preserve">Celem projektu </w:t>
      </w:r>
      <w:r w:rsidRPr="00275CFF">
        <w:rPr>
          <w:rFonts w:ascii="Lato" w:hAnsi="Lato"/>
          <w:color w:val="161616"/>
          <w:sz w:val="20"/>
          <w:szCs w:val="20"/>
        </w:rPr>
        <w:t xml:space="preserve">była </w:t>
      </w:r>
      <w:r w:rsidRPr="00275CFF">
        <w:rPr>
          <w:rFonts w:ascii="Lato" w:hAnsi="Lato"/>
          <w:color w:val="232323"/>
          <w:sz w:val="20"/>
          <w:szCs w:val="20"/>
        </w:rPr>
        <w:t xml:space="preserve">i </w:t>
      </w:r>
      <w:r w:rsidRPr="00275CFF">
        <w:rPr>
          <w:rFonts w:ascii="Lato" w:hAnsi="Lato"/>
          <w:color w:val="141414"/>
          <w:sz w:val="20"/>
          <w:szCs w:val="20"/>
        </w:rPr>
        <w:t xml:space="preserve">jest </w:t>
      </w:r>
      <w:r w:rsidRPr="00275CFF">
        <w:rPr>
          <w:rFonts w:ascii="Lato" w:hAnsi="Lato"/>
          <w:sz w:val="20"/>
          <w:szCs w:val="20"/>
        </w:rPr>
        <w:t xml:space="preserve">aktywizacja </w:t>
      </w:r>
      <w:r w:rsidRPr="00275CFF">
        <w:rPr>
          <w:rFonts w:ascii="Lato" w:hAnsi="Lato"/>
          <w:color w:val="131313"/>
          <w:sz w:val="20"/>
          <w:szCs w:val="20"/>
        </w:rPr>
        <w:t xml:space="preserve">osób </w:t>
      </w:r>
      <w:r w:rsidRPr="00275CFF">
        <w:rPr>
          <w:rFonts w:ascii="Lato" w:hAnsi="Lato"/>
          <w:color w:val="1B1B1B"/>
          <w:sz w:val="20"/>
          <w:szCs w:val="20"/>
        </w:rPr>
        <w:t xml:space="preserve">starszych oraz </w:t>
      </w:r>
      <w:r w:rsidRPr="00275CFF">
        <w:rPr>
          <w:rFonts w:ascii="Lato" w:hAnsi="Lato"/>
          <w:sz w:val="20"/>
          <w:szCs w:val="20"/>
        </w:rPr>
        <w:t>wzmacnianie więzi. Działania związane</w:t>
      </w:r>
      <w:r w:rsidRPr="00275CFF">
        <w:rPr>
          <w:rFonts w:ascii="Lato" w:hAnsi="Lato"/>
          <w:spacing w:val="-16"/>
          <w:sz w:val="20"/>
          <w:szCs w:val="20"/>
        </w:rPr>
        <w:t xml:space="preserve"> </w:t>
      </w:r>
      <w:r w:rsidRPr="00275CFF">
        <w:rPr>
          <w:rFonts w:ascii="Lato" w:hAnsi="Lato"/>
          <w:sz w:val="20"/>
          <w:szCs w:val="20"/>
        </w:rPr>
        <w:t>z</w:t>
      </w:r>
      <w:r w:rsidRPr="00275CFF">
        <w:rPr>
          <w:rFonts w:ascii="Lato" w:hAnsi="Lato"/>
          <w:spacing w:val="-16"/>
          <w:sz w:val="20"/>
          <w:szCs w:val="20"/>
        </w:rPr>
        <w:t xml:space="preserve"> </w:t>
      </w:r>
      <w:r w:rsidRPr="00275CFF">
        <w:rPr>
          <w:rFonts w:ascii="Lato" w:hAnsi="Lato"/>
          <w:sz w:val="20"/>
          <w:szCs w:val="20"/>
        </w:rPr>
        <w:t>realizacją</w:t>
      </w:r>
      <w:r w:rsidRPr="00275CFF">
        <w:rPr>
          <w:rFonts w:ascii="Lato" w:hAnsi="Lato"/>
          <w:spacing w:val="-16"/>
          <w:sz w:val="20"/>
          <w:szCs w:val="20"/>
        </w:rPr>
        <w:t xml:space="preserve"> </w:t>
      </w:r>
      <w:r w:rsidRPr="00275CFF">
        <w:rPr>
          <w:rFonts w:ascii="Lato" w:hAnsi="Lato"/>
          <w:sz w:val="20"/>
          <w:szCs w:val="20"/>
        </w:rPr>
        <w:t>projektu</w:t>
      </w:r>
      <w:r w:rsidRPr="00275CFF">
        <w:rPr>
          <w:rFonts w:ascii="Lato" w:hAnsi="Lato"/>
          <w:spacing w:val="-16"/>
          <w:sz w:val="20"/>
          <w:szCs w:val="20"/>
        </w:rPr>
        <w:t xml:space="preserve"> </w:t>
      </w:r>
      <w:r w:rsidRPr="00275CFF">
        <w:rPr>
          <w:rFonts w:ascii="Lato" w:hAnsi="Lato"/>
          <w:sz w:val="20"/>
          <w:szCs w:val="20"/>
        </w:rPr>
        <w:t>to:</w:t>
      </w:r>
      <w:r w:rsidRPr="00275CFF">
        <w:rPr>
          <w:rFonts w:ascii="Lato" w:hAnsi="Lato"/>
          <w:spacing w:val="-16"/>
          <w:sz w:val="20"/>
          <w:szCs w:val="20"/>
        </w:rPr>
        <w:t xml:space="preserve"> </w:t>
      </w:r>
      <w:r w:rsidRPr="00275CFF">
        <w:rPr>
          <w:rFonts w:ascii="Lato" w:hAnsi="Lato"/>
          <w:sz w:val="20"/>
          <w:szCs w:val="20"/>
        </w:rPr>
        <w:t>zachęcenie</w:t>
      </w:r>
      <w:r w:rsidRPr="00275CFF">
        <w:rPr>
          <w:rFonts w:ascii="Lato" w:hAnsi="Lato"/>
          <w:spacing w:val="-14"/>
          <w:sz w:val="20"/>
          <w:szCs w:val="20"/>
        </w:rPr>
        <w:t xml:space="preserve"> </w:t>
      </w:r>
      <w:r w:rsidRPr="00275CFF">
        <w:rPr>
          <w:rFonts w:ascii="Lato" w:hAnsi="Lato"/>
          <w:sz w:val="20"/>
          <w:szCs w:val="20"/>
        </w:rPr>
        <w:t>rodzin</w:t>
      </w:r>
      <w:r w:rsidRPr="00275CFF">
        <w:rPr>
          <w:rFonts w:ascii="Lato" w:hAnsi="Lato"/>
          <w:spacing w:val="-16"/>
          <w:sz w:val="20"/>
          <w:szCs w:val="20"/>
        </w:rPr>
        <w:t xml:space="preserve"> </w:t>
      </w:r>
      <w:r w:rsidRPr="00275CFF">
        <w:rPr>
          <w:rFonts w:ascii="Lato" w:hAnsi="Lato"/>
          <w:sz w:val="20"/>
          <w:szCs w:val="20"/>
        </w:rPr>
        <w:t>do</w:t>
      </w:r>
      <w:r w:rsidRPr="00275CFF">
        <w:rPr>
          <w:rFonts w:ascii="Lato" w:hAnsi="Lato"/>
          <w:spacing w:val="-16"/>
          <w:sz w:val="20"/>
          <w:szCs w:val="20"/>
        </w:rPr>
        <w:t xml:space="preserve"> </w:t>
      </w:r>
      <w:r w:rsidRPr="00275CFF">
        <w:rPr>
          <w:rFonts w:ascii="Lato" w:hAnsi="Lato"/>
          <w:sz w:val="20"/>
          <w:szCs w:val="20"/>
        </w:rPr>
        <w:t>udziału</w:t>
      </w:r>
      <w:r w:rsidRPr="00275CFF">
        <w:rPr>
          <w:rFonts w:ascii="Lato" w:hAnsi="Lato"/>
          <w:spacing w:val="-16"/>
          <w:sz w:val="20"/>
          <w:szCs w:val="20"/>
        </w:rPr>
        <w:t xml:space="preserve"> </w:t>
      </w:r>
      <w:r w:rsidRPr="00275CFF">
        <w:rPr>
          <w:rFonts w:ascii="Lato" w:hAnsi="Lato"/>
          <w:sz w:val="20"/>
          <w:szCs w:val="20"/>
        </w:rPr>
        <w:t>w</w:t>
      </w:r>
      <w:r w:rsidRPr="00275CFF">
        <w:rPr>
          <w:rFonts w:ascii="Lato" w:hAnsi="Lato"/>
          <w:spacing w:val="-17"/>
          <w:sz w:val="20"/>
          <w:szCs w:val="20"/>
        </w:rPr>
        <w:t xml:space="preserve"> </w:t>
      </w:r>
      <w:r w:rsidRPr="00275CFF">
        <w:rPr>
          <w:rFonts w:ascii="Lato" w:hAnsi="Lato"/>
          <w:sz w:val="20"/>
          <w:szCs w:val="20"/>
        </w:rPr>
        <w:t>pokazie</w:t>
      </w:r>
      <w:r w:rsidRPr="00275CFF">
        <w:rPr>
          <w:rFonts w:ascii="Lato" w:hAnsi="Lato"/>
          <w:spacing w:val="-16"/>
          <w:sz w:val="20"/>
          <w:szCs w:val="20"/>
        </w:rPr>
        <w:t xml:space="preserve"> </w:t>
      </w:r>
      <w:r w:rsidRPr="00275CFF">
        <w:rPr>
          <w:rFonts w:ascii="Lato" w:hAnsi="Lato"/>
          <w:sz w:val="20"/>
          <w:szCs w:val="20"/>
        </w:rPr>
        <w:t>mody</w:t>
      </w:r>
      <w:r w:rsidRPr="00275CFF">
        <w:rPr>
          <w:rFonts w:ascii="Lato" w:hAnsi="Lato"/>
          <w:spacing w:val="-16"/>
          <w:sz w:val="20"/>
          <w:szCs w:val="20"/>
        </w:rPr>
        <w:t xml:space="preserve"> </w:t>
      </w:r>
      <w:r w:rsidRPr="00275CFF">
        <w:rPr>
          <w:rFonts w:ascii="Lato" w:hAnsi="Lato"/>
          <w:sz w:val="20"/>
          <w:szCs w:val="20"/>
        </w:rPr>
        <w:t>z</w:t>
      </w:r>
      <w:r w:rsidRPr="00275CFF">
        <w:rPr>
          <w:rFonts w:ascii="Lato" w:hAnsi="Lato"/>
          <w:spacing w:val="-16"/>
          <w:sz w:val="20"/>
          <w:szCs w:val="20"/>
        </w:rPr>
        <w:t xml:space="preserve"> </w:t>
      </w:r>
      <w:r w:rsidRPr="00275CFF">
        <w:rPr>
          <w:rFonts w:ascii="Lato" w:hAnsi="Lato"/>
          <w:sz w:val="20"/>
          <w:szCs w:val="20"/>
        </w:rPr>
        <w:t>wnukami, organizacja spotkań ze stylistką mody, przygotowanie muzyki na pokaz, nawiązanie współpracy z salonem kosmetycznym,  fryzjerskim  oraz  Zespołem  Szkół  Specjalnych w Aleksandrowie Łódzkim, organizacja prób a także organizacja spotkania integracyjnego podsumowującego projekt.</w:t>
      </w:r>
    </w:p>
    <w:p w14:paraId="3121C45E"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77771260" w14:textId="77777777" w:rsidR="004844E6" w:rsidRPr="00915D13"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915D13">
        <w:rPr>
          <w:rFonts w:ascii="Lato" w:hAnsi="Lato"/>
          <w:sz w:val="20"/>
          <w:szCs w:val="20"/>
        </w:rPr>
        <w:t xml:space="preserve">Projekt jest inspiracją </w:t>
      </w:r>
      <w:r w:rsidRPr="00915D13">
        <w:rPr>
          <w:rFonts w:ascii="Lato" w:hAnsi="Lato"/>
          <w:color w:val="1B1B1B"/>
          <w:sz w:val="20"/>
          <w:szCs w:val="20"/>
        </w:rPr>
        <w:t xml:space="preserve">do </w:t>
      </w:r>
      <w:r w:rsidRPr="00915D13">
        <w:rPr>
          <w:rFonts w:ascii="Lato" w:hAnsi="Lato"/>
          <w:color w:val="0F0F0F"/>
          <w:sz w:val="20"/>
          <w:szCs w:val="20"/>
        </w:rPr>
        <w:t xml:space="preserve">zaprojektowania </w:t>
      </w:r>
      <w:r w:rsidRPr="00915D13">
        <w:rPr>
          <w:rFonts w:ascii="Lato" w:hAnsi="Lato"/>
          <w:sz w:val="20"/>
          <w:szCs w:val="20"/>
        </w:rPr>
        <w:t>stylizacj</w:t>
      </w:r>
      <w:r w:rsidRPr="00915D13">
        <w:rPr>
          <w:rFonts w:ascii="Lato" w:hAnsi="Lato"/>
          <w:color w:val="2A2A2A"/>
          <w:sz w:val="20"/>
          <w:szCs w:val="20"/>
        </w:rPr>
        <w:t xml:space="preserve">i </w:t>
      </w:r>
      <w:r w:rsidRPr="00915D13">
        <w:rPr>
          <w:rFonts w:ascii="Lato" w:hAnsi="Lato"/>
          <w:color w:val="1A1A1A"/>
          <w:sz w:val="20"/>
          <w:szCs w:val="20"/>
        </w:rPr>
        <w:t xml:space="preserve">z </w:t>
      </w:r>
      <w:r w:rsidRPr="00915D13">
        <w:rPr>
          <w:rFonts w:ascii="Lato" w:hAnsi="Lato"/>
          <w:color w:val="131313"/>
          <w:sz w:val="20"/>
          <w:szCs w:val="20"/>
        </w:rPr>
        <w:t xml:space="preserve">własnej </w:t>
      </w:r>
      <w:r w:rsidRPr="00915D13">
        <w:rPr>
          <w:rFonts w:ascii="Lato" w:hAnsi="Lato"/>
          <w:sz w:val="20"/>
          <w:szCs w:val="20"/>
        </w:rPr>
        <w:t xml:space="preserve">odzieży. Jest </w:t>
      </w:r>
      <w:r w:rsidRPr="00915D13">
        <w:rPr>
          <w:rFonts w:ascii="Lato" w:hAnsi="Lato"/>
          <w:color w:val="2B2B2B"/>
          <w:sz w:val="20"/>
          <w:szCs w:val="20"/>
        </w:rPr>
        <w:t xml:space="preserve">to </w:t>
      </w:r>
      <w:r w:rsidRPr="00915D13">
        <w:rPr>
          <w:rFonts w:ascii="Lato" w:hAnsi="Lato"/>
          <w:color w:val="1B1B1B"/>
          <w:sz w:val="20"/>
          <w:szCs w:val="20"/>
        </w:rPr>
        <w:t xml:space="preserve">również </w:t>
      </w:r>
      <w:r w:rsidRPr="00915D13">
        <w:rPr>
          <w:rFonts w:ascii="Lato" w:hAnsi="Lato"/>
          <w:sz w:val="20"/>
          <w:szCs w:val="20"/>
        </w:rPr>
        <w:t xml:space="preserve">prezentacja naturalnego piękna osoby starszej, </w:t>
      </w:r>
      <w:r w:rsidRPr="00915D13">
        <w:rPr>
          <w:rFonts w:ascii="Lato" w:hAnsi="Lato"/>
          <w:color w:val="161616"/>
          <w:sz w:val="20"/>
          <w:szCs w:val="20"/>
        </w:rPr>
        <w:t xml:space="preserve">osobowości. </w:t>
      </w:r>
      <w:r w:rsidRPr="00915D13">
        <w:rPr>
          <w:rFonts w:ascii="Lato" w:hAnsi="Lato"/>
          <w:sz w:val="20"/>
          <w:szCs w:val="20"/>
        </w:rPr>
        <w:t xml:space="preserve">temperamentu, </w:t>
      </w:r>
      <w:r w:rsidRPr="00915D13">
        <w:rPr>
          <w:rFonts w:ascii="Lato" w:hAnsi="Lato"/>
          <w:color w:val="1B1B1B"/>
          <w:sz w:val="20"/>
          <w:szCs w:val="20"/>
        </w:rPr>
        <w:t>poprzez ubiór. Głównym</w:t>
      </w:r>
      <w:r w:rsidRPr="00915D13">
        <w:rPr>
          <w:rFonts w:ascii="Lato" w:hAnsi="Lato"/>
          <w:color w:val="1B1B1B"/>
          <w:spacing w:val="-7"/>
          <w:sz w:val="20"/>
          <w:szCs w:val="20"/>
        </w:rPr>
        <w:t xml:space="preserve"> </w:t>
      </w:r>
      <w:r w:rsidRPr="00915D13">
        <w:rPr>
          <w:rFonts w:ascii="Lato" w:hAnsi="Lato"/>
          <w:color w:val="1B1B1B"/>
          <w:sz w:val="20"/>
          <w:szCs w:val="20"/>
        </w:rPr>
        <w:t>celem</w:t>
      </w:r>
      <w:r w:rsidRPr="00915D13">
        <w:rPr>
          <w:rFonts w:ascii="Lato" w:hAnsi="Lato"/>
          <w:color w:val="1B1B1B"/>
          <w:spacing w:val="46"/>
          <w:sz w:val="20"/>
          <w:szCs w:val="20"/>
        </w:rPr>
        <w:t xml:space="preserve"> </w:t>
      </w:r>
      <w:r w:rsidRPr="00915D13">
        <w:rPr>
          <w:rFonts w:ascii="Lato" w:hAnsi="Lato"/>
          <w:color w:val="1B1B1B"/>
          <w:sz w:val="20"/>
          <w:szCs w:val="20"/>
        </w:rPr>
        <w:t>projektu</w:t>
      </w:r>
      <w:r w:rsidRPr="00915D13">
        <w:rPr>
          <w:rFonts w:ascii="Lato" w:hAnsi="Lato"/>
          <w:color w:val="1B1B1B"/>
          <w:spacing w:val="-7"/>
          <w:sz w:val="20"/>
          <w:szCs w:val="20"/>
        </w:rPr>
        <w:t xml:space="preserve"> </w:t>
      </w:r>
      <w:r w:rsidRPr="00915D13">
        <w:rPr>
          <w:rFonts w:ascii="Lato" w:hAnsi="Lato"/>
          <w:color w:val="1B1B1B"/>
          <w:sz w:val="20"/>
          <w:szCs w:val="20"/>
        </w:rPr>
        <w:t>jest</w:t>
      </w:r>
      <w:r w:rsidRPr="00915D13">
        <w:rPr>
          <w:rFonts w:ascii="Lato" w:hAnsi="Lato"/>
          <w:color w:val="1B1B1B"/>
          <w:spacing w:val="-29"/>
          <w:sz w:val="20"/>
          <w:szCs w:val="20"/>
        </w:rPr>
        <w:t xml:space="preserve"> </w:t>
      </w:r>
      <w:r w:rsidRPr="00915D13">
        <w:rPr>
          <w:rFonts w:ascii="Lato" w:hAnsi="Lato"/>
          <w:sz w:val="20"/>
          <w:szCs w:val="20"/>
        </w:rPr>
        <w:t>pobudzenie</w:t>
      </w:r>
      <w:r w:rsidRPr="00915D13">
        <w:rPr>
          <w:rFonts w:ascii="Lato" w:hAnsi="Lato"/>
          <w:spacing w:val="-26"/>
          <w:sz w:val="20"/>
          <w:szCs w:val="20"/>
        </w:rPr>
        <w:t xml:space="preserve"> </w:t>
      </w:r>
      <w:r w:rsidRPr="00915D13">
        <w:rPr>
          <w:rFonts w:ascii="Lato" w:hAnsi="Lato"/>
          <w:color w:val="1B1B1B"/>
          <w:sz w:val="20"/>
          <w:szCs w:val="20"/>
        </w:rPr>
        <w:t>do</w:t>
      </w:r>
      <w:r w:rsidRPr="00915D13">
        <w:rPr>
          <w:rFonts w:ascii="Lato" w:hAnsi="Lato"/>
          <w:color w:val="1B1B1B"/>
          <w:spacing w:val="-32"/>
          <w:sz w:val="20"/>
          <w:szCs w:val="20"/>
        </w:rPr>
        <w:t xml:space="preserve"> </w:t>
      </w:r>
      <w:r w:rsidRPr="00915D13">
        <w:rPr>
          <w:rFonts w:ascii="Lato" w:hAnsi="Lato"/>
          <w:color w:val="131313"/>
          <w:sz w:val="20"/>
          <w:szCs w:val="20"/>
        </w:rPr>
        <w:t>aktywności,</w:t>
      </w:r>
      <w:r w:rsidRPr="00915D13">
        <w:rPr>
          <w:rFonts w:ascii="Lato" w:hAnsi="Lato"/>
          <w:color w:val="131313"/>
          <w:spacing w:val="-20"/>
          <w:sz w:val="20"/>
          <w:szCs w:val="20"/>
        </w:rPr>
        <w:t xml:space="preserve"> </w:t>
      </w:r>
      <w:r w:rsidRPr="00915D13">
        <w:rPr>
          <w:rFonts w:ascii="Lato" w:hAnsi="Lato"/>
          <w:sz w:val="20"/>
          <w:szCs w:val="20"/>
        </w:rPr>
        <w:t>przekazanie</w:t>
      </w:r>
      <w:r w:rsidRPr="00915D13">
        <w:rPr>
          <w:rFonts w:ascii="Lato" w:hAnsi="Lato"/>
          <w:spacing w:val="-26"/>
          <w:sz w:val="20"/>
          <w:szCs w:val="20"/>
        </w:rPr>
        <w:t xml:space="preserve"> </w:t>
      </w:r>
      <w:r w:rsidRPr="00915D13">
        <w:rPr>
          <w:rFonts w:ascii="Lato" w:hAnsi="Lato"/>
          <w:color w:val="111111"/>
          <w:sz w:val="20"/>
          <w:szCs w:val="20"/>
        </w:rPr>
        <w:t>innym</w:t>
      </w:r>
      <w:r w:rsidRPr="00915D13">
        <w:rPr>
          <w:rFonts w:ascii="Lato" w:hAnsi="Lato"/>
          <w:color w:val="111111"/>
          <w:spacing w:val="-26"/>
          <w:sz w:val="20"/>
          <w:szCs w:val="20"/>
        </w:rPr>
        <w:t xml:space="preserve"> </w:t>
      </w:r>
      <w:r w:rsidRPr="00915D13">
        <w:rPr>
          <w:rFonts w:ascii="Lato" w:hAnsi="Lato"/>
          <w:sz w:val="20"/>
          <w:szCs w:val="20"/>
        </w:rPr>
        <w:t>wiary</w:t>
      </w:r>
      <w:r w:rsidRPr="00915D13">
        <w:rPr>
          <w:rFonts w:ascii="Lato" w:hAnsi="Lato"/>
          <w:spacing w:val="-26"/>
          <w:sz w:val="20"/>
          <w:szCs w:val="20"/>
        </w:rPr>
        <w:t xml:space="preserve"> </w:t>
      </w:r>
      <w:r w:rsidRPr="00915D13">
        <w:rPr>
          <w:rFonts w:ascii="Lato" w:hAnsi="Lato"/>
          <w:color w:val="2D2D2D"/>
          <w:sz w:val="20"/>
          <w:szCs w:val="20"/>
        </w:rPr>
        <w:t>w</w:t>
      </w:r>
      <w:r w:rsidRPr="00915D13">
        <w:rPr>
          <w:rFonts w:ascii="Lato" w:hAnsi="Lato"/>
          <w:color w:val="2D2D2D"/>
          <w:spacing w:val="-34"/>
          <w:sz w:val="20"/>
          <w:szCs w:val="20"/>
        </w:rPr>
        <w:t xml:space="preserve"> </w:t>
      </w:r>
      <w:r w:rsidRPr="00915D13">
        <w:rPr>
          <w:rFonts w:ascii="Lato" w:hAnsi="Lato"/>
          <w:color w:val="0D0D0D"/>
          <w:sz w:val="20"/>
          <w:szCs w:val="20"/>
        </w:rPr>
        <w:t xml:space="preserve">siebie </w:t>
      </w:r>
      <w:r w:rsidRPr="00915D13">
        <w:rPr>
          <w:rFonts w:ascii="Lato" w:hAnsi="Lato"/>
          <w:color w:val="232323"/>
          <w:sz w:val="20"/>
          <w:szCs w:val="20"/>
        </w:rPr>
        <w:t>i</w:t>
      </w:r>
      <w:r w:rsidRPr="00915D13">
        <w:rPr>
          <w:rFonts w:ascii="Lato" w:hAnsi="Lato"/>
          <w:color w:val="232323"/>
          <w:spacing w:val="-27"/>
          <w:sz w:val="20"/>
          <w:szCs w:val="20"/>
        </w:rPr>
        <w:t xml:space="preserve"> </w:t>
      </w:r>
      <w:r w:rsidRPr="00915D13">
        <w:rPr>
          <w:rFonts w:ascii="Lato" w:hAnsi="Lato"/>
          <w:color w:val="111111"/>
          <w:sz w:val="20"/>
          <w:szCs w:val="20"/>
        </w:rPr>
        <w:t>własne</w:t>
      </w:r>
      <w:r w:rsidRPr="00915D13">
        <w:rPr>
          <w:rFonts w:ascii="Lato" w:hAnsi="Lato"/>
          <w:color w:val="111111"/>
          <w:spacing w:val="-24"/>
          <w:sz w:val="20"/>
          <w:szCs w:val="20"/>
        </w:rPr>
        <w:t xml:space="preserve"> </w:t>
      </w:r>
      <w:r w:rsidRPr="00915D13">
        <w:rPr>
          <w:rFonts w:ascii="Lato" w:hAnsi="Lato"/>
          <w:sz w:val="20"/>
          <w:szCs w:val="20"/>
        </w:rPr>
        <w:t>możliwości.</w:t>
      </w:r>
    </w:p>
    <w:p w14:paraId="2E08F0FA" w14:textId="77777777" w:rsidR="004844E6" w:rsidRPr="00915D13" w:rsidRDefault="004844E6" w:rsidP="004844E6">
      <w:pPr>
        <w:pStyle w:val="Tekstpodstawowy"/>
        <w:jc w:val="both"/>
        <w:rPr>
          <w:rFonts w:ascii="Lato" w:hAnsi="Lato"/>
          <w:sz w:val="20"/>
          <w:szCs w:val="20"/>
        </w:rPr>
      </w:pPr>
    </w:p>
    <w:p w14:paraId="2811634A"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r w:rsidRPr="00275CFF">
        <w:rPr>
          <w:rFonts w:ascii="Lato" w:hAnsi="Lato"/>
          <w:sz w:val="20"/>
          <w:szCs w:val="20"/>
        </w:rPr>
        <w:t>W maju Urząd Miejski w Aleksandrowie Łódzkim we współpracy z Fundacją Edukacyjną Siłaczka w Łodzi zorganizował zajęcia z nowych technologii, którego celem było zapoznanie seniorów z goglami VR. Zajęcia prowadzone były przez wykwalifikowanego instruktora. Po szkoleniu odbyła się dyskusja na temat możliwości i zagrożeń związanych z wprowadzaniem nowych technologii. W spotkaniu wzięło udział 15</w:t>
      </w:r>
      <w:r w:rsidRPr="00275CFF">
        <w:rPr>
          <w:rFonts w:ascii="Lato" w:hAnsi="Lato"/>
          <w:spacing w:val="-12"/>
          <w:sz w:val="20"/>
          <w:szCs w:val="20"/>
        </w:rPr>
        <w:t xml:space="preserve"> </w:t>
      </w:r>
      <w:r w:rsidRPr="00275CFF">
        <w:rPr>
          <w:rFonts w:ascii="Lato" w:hAnsi="Lato"/>
          <w:sz w:val="20"/>
          <w:szCs w:val="20"/>
        </w:rPr>
        <w:t>os</w:t>
      </w:r>
      <w:r>
        <w:rPr>
          <w:rFonts w:ascii="Lato" w:hAnsi="Lato"/>
          <w:sz w:val="20"/>
          <w:szCs w:val="20"/>
        </w:rPr>
        <w:t>ób.</w:t>
      </w:r>
    </w:p>
    <w:p w14:paraId="3E1AD7C3" w14:textId="77777777" w:rsidR="004844E6" w:rsidRDefault="004844E6" w:rsidP="004844E6">
      <w:pPr>
        <w:widowControl w:val="0"/>
        <w:tabs>
          <w:tab w:val="left" w:pos="817"/>
        </w:tabs>
        <w:autoSpaceDE w:val="0"/>
        <w:autoSpaceDN w:val="0"/>
        <w:spacing w:after="0" w:line="240" w:lineRule="auto"/>
        <w:ind w:right="115"/>
        <w:jc w:val="both"/>
        <w:rPr>
          <w:rFonts w:ascii="Lato" w:hAnsi="Lato"/>
          <w:sz w:val="20"/>
          <w:szCs w:val="20"/>
        </w:rPr>
      </w:pPr>
    </w:p>
    <w:p w14:paraId="26D4316D" w14:textId="77777777" w:rsidR="004844E6" w:rsidRDefault="004844E6" w:rsidP="004844E6">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3578F76B" w14:textId="77777777" w:rsidR="004844E6" w:rsidRPr="00915D13" w:rsidRDefault="004844E6" w:rsidP="004844E6">
      <w:pPr>
        <w:pStyle w:val="Tekstpodstawowy"/>
        <w:ind w:right="115"/>
        <w:jc w:val="both"/>
        <w:rPr>
          <w:rFonts w:ascii="Lato" w:hAnsi="Lato"/>
          <w:sz w:val="20"/>
          <w:szCs w:val="20"/>
        </w:rPr>
      </w:pPr>
      <w:r w:rsidRPr="00915D13">
        <w:rPr>
          <w:rFonts w:ascii="Lato" w:hAnsi="Lato"/>
          <w:sz w:val="20"/>
          <w:szCs w:val="20"/>
        </w:rPr>
        <w:t>Polityka społeczna wobec osób starszych w województwie łódzkim prowadzona jest poprzez działania, które mają za zadanie tworzyć warunki umożliwiające wykorzystanie potencjału osób starszych, umożliwiać seniorom uczestniczenie w życiu społecznym, wspierać wszelkie formy aktywności obywatelskiej, społecznej, kulturalnej, sportowej i religijnej, zwiększyć poczucie bezpieczeństwa, przeciwdziałać przemocy i zaniedbaniom wobec osób starszych.</w:t>
      </w:r>
    </w:p>
    <w:p w14:paraId="7CB88F05" w14:textId="77777777" w:rsidR="004844E6" w:rsidRPr="00915D13" w:rsidRDefault="004844E6" w:rsidP="004844E6">
      <w:pPr>
        <w:pStyle w:val="Tekstpodstawowy"/>
        <w:ind w:right="115"/>
        <w:jc w:val="both"/>
        <w:rPr>
          <w:rFonts w:ascii="Lato" w:hAnsi="Lato"/>
          <w:sz w:val="20"/>
          <w:szCs w:val="20"/>
        </w:rPr>
      </w:pPr>
      <w:r w:rsidRPr="00915D13">
        <w:rPr>
          <w:rFonts w:ascii="Lato" w:hAnsi="Lato"/>
          <w:sz w:val="20"/>
          <w:szCs w:val="20"/>
        </w:rPr>
        <w:t>Jednostki samorządu terytorialnego województwa łódzkiego wspierały realizację celów wskazanych w dokumentach: Informacja o sytuacji osób starszych w Polsce za 2021 r. oraz Polityka</w:t>
      </w:r>
      <w:r w:rsidRPr="00915D13">
        <w:rPr>
          <w:rFonts w:ascii="Lato" w:hAnsi="Lato"/>
          <w:spacing w:val="-15"/>
          <w:sz w:val="20"/>
          <w:szCs w:val="20"/>
        </w:rPr>
        <w:t xml:space="preserve"> </w:t>
      </w:r>
      <w:r w:rsidRPr="00915D13">
        <w:rPr>
          <w:rFonts w:ascii="Lato" w:hAnsi="Lato"/>
          <w:sz w:val="20"/>
          <w:szCs w:val="20"/>
        </w:rPr>
        <w:t>społeczna</w:t>
      </w:r>
      <w:r w:rsidRPr="00915D13">
        <w:rPr>
          <w:rFonts w:ascii="Lato" w:hAnsi="Lato"/>
          <w:spacing w:val="-14"/>
          <w:sz w:val="20"/>
          <w:szCs w:val="20"/>
        </w:rPr>
        <w:t xml:space="preserve"> </w:t>
      </w:r>
      <w:r w:rsidRPr="00915D13">
        <w:rPr>
          <w:rFonts w:ascii="Lato" w:hAnsi="Lato"/>
          <w:sz w:val="20"/>
          <w:szCs w:val="20"/>
        </w:rPr>
        <w:t>wobec</w:t>
      </w:r>
      <w:r w:rsidRPr="00915D13">
        <w:rPr>
          <w:rFonts w:ascii="Lato" w:hAnsi="Lato"/>
          <w:spacing w:val="-15"/>
          <w:sz w:val="20"/>
          <w:szCs w:val="20"/>
        </w:rPr>
        <w:t xml:space="preserve"> </w:t>
      </w:r>
      <w:r w:rsidRPr="00915D13">
        <w:rPr>
          <w:rFonts w:ascii="Lato" w:hAnsi="Lato"/>
          <w:sz w:val="20"/>
          <w:szCs w:val="20"/>
        </w:rPr>
        <w:t>osób</w:t>
      </w:r>
      <w:r w:rsidRPr="00915D13">
        <w:rPr>
          <w:rFonts w:ascii="Lato" w:hAnsi="Lato"/>
          <w:spacing w:val="-14"/>
          <w:sz w:val="20"/>
          <w:szCs w:val="20"/>
        </w:rPr>
        <w:t xml:space="preserve"> </w:t>
      </w:r>
      <w:r w:rsidRPr="00915D13">
        <w:rPr>
          <w:rFonts w:ascii="Lato" w:hAnsi="Lato"/>
          <w:sz w:val="20"/>
          <w:szCs w:val="20"/>
        </w:rPr>
        <w:t>starszych</w:t>
      </w:r>
      <w:r w:rsidRPr="00915D13">
        <w:rPr>
          <w:rFonts w:ascii="Lato" w:hAnsi="Lato"/>
          <w:spacing w:val="-15"/>
          <w:sz w:val="20"/>
          <w:szCs w:val="20"/>
        </w:rPr>
        <w:t xml:space="preserve"> </w:t>
      </w:r>
      <w:r w:rsidRPr="00915D13">
        <w:rPr>
          <w:rFonts w:ascii="Lato" w:hAnsi="Lato"/>
          <w:sz w:val="20"/>
          <w:szCs w:val="20"/>
        </w:rPr>
        <w:t>2030.</w:t>
      </w:r>
      <w:r w:rsidRPr="00915D13">
        <w:rPr>
          <w:rFonts w:ascii="Lato" w:hAnsi="Lato"/>
          <w:spacing w:val="-14"/>
          <w:sz w:val="20"/>
          <w:szCs w:val="20"/>
        </w:rPr>
        <w:t xml:space="preserve"> </w:t>
      </w:r>
      <w:r w:rsidRPr="00915D13">
        <w:rPr>
          <w:rFonts w:ascii="Lato" w:hAnsi="Lato"/>
          <w:sz w:val="20"/>
          <w:szCs w:val="20"/>
        </w:rPr>
        <w:t>Bezpieczeństwo</w:t>
      </w:r>
      <w:r w:rsidRPr="00915D13">
        <w:rPr>
          <w:rFonts w:ascii="Lato" w:hAnsi="Lato"/>
          <w:spacing w:val="-12"/>
          <w:sz w:val="20"/>
          <w:szCs w:val="20"/>
        </w:rPr>
        <w:t xml:space="preserve"> </w:t>
      </w:r>
      <w:r w:rsidRPr="00915D13">
        <w:rPr>
          <w:rFonts w:ascii="Lato" w:hAnsi="Lato"/>
          <w:sz w:val="20"/>
          <w:szCs w:val="20"/>
        </w:rPr>
        <w:t>–</w:t>
      </w:r>
      <w:r w:rsidRPr="00915D13">
        <w:rPr>
          <w:rFonts w:ascii="Lato" w:hAnsi="Lato"/>
          <w:spacing w:val="-15"/>
          <w:sz w:val="20"/>
          <w:szCs w:val="20"/>
        </w:rPr>
        <w:t xml:space="preserve"> </w:t>
      </w:r>
      <w:r w:rsidRPr="00915D13">
        <w:rPr>
          <w:rFonts w:ascii="Lato" w:hAnsi="Lato"/>
          <w:sz w:val="20"/>
          <w:szCs w:val="20"/>
        </w:rPr>
        <w:t>Uczestnictwo</w:t>
      </w:r>
      <w:r w:rsidRPr="00915D13">
        <w:rPr>
          <w:rFonts w:ascii="Lato" w:hAnsi="Lato"/>
          <w:spacing w:val="-14"/>
          <w:sz w:val="20"/>
          <w:szCs w:val="20"/>
        </w:rPr>
        <w:t xml:space="preserve"> </w:t>
      </w:r>
      <w:r w:rsidRPr="00915D13">
        <w:rPr>
          <w:rFonts w:ascii="Lato" w:hAnsi="Lato"/>
          <w:sz w:val="20"/>
          <w:szCs w:val="20"/>
        </w:rPr>
        <w:t>–</w:t>
      </w:r>
      <w:r w:rsidRPr="00915D13">
        <w:rPr>
          <w:rFonts w:ascii="Lato" w:hAnsi="Lato"/>
          <w:spacing w:val="-15"/>
          <w:sz w:val="20"/>
          <w:szCs w:val="20"/>
        </w:rPr>
        <w:t xml:space="preserve"> </w:t>
      </w:r>
      <w:r w:rsidRPr="00915D13">
        <w:rPr>
          <w:rFonts w:ascii="Lato" w:hAnsi="Lato"/>
          <w:sz w:val="20"/>
          <w:szCs w:val="20"/>
        </w:rPr>
        <w:t>Solidarność, m.in. poprzez realizację</w:t>
      </w:r>
      <w:r w:rsidRPr="00915D13">
        <w:rPr>
          <w:rFonts w:ascii="Lato" w:hAnsi="Lato"/>
          <w:spacing w:val="-2"/>
          <w:sz w:val="20"/>
          <w:szCs w:val="20"/>
        </w:rPr>
        <w:t xml:space="preserve"> </w:t>
      </w:r>
      <w:r w:rsidRPr="00915D13">
        <w:rPr>
          <w:rFonts w:ascii="Lato" w:hAnsi="Lato"/>
          <w:sz w:val="20"/>
          <w:szCs w:val="20"/>
        </w:rPr>
        <w:t>programów:</w:t>
      </w:r>
    </w:p>
    <w:p w14:paraId="4F53BA23" w14:textId="77777777" w:rsidR="004844E6" w:rsidRDefault="004844E6" w:rsidP="004844E6">
      <w:pPr>
        <w:pStyle w:val="Tekstpodstawowy"/>
        <w:ind w:right="114"/>
        <w:jc w:val="both"/>
        <w:rPr>
          <w:rFonts w:ascii="Lato" w:hAnsi="Lato"/>
          <w:sz w:val="20"/>
          <w:szCs w:val="20"/>
          <w:u w:val="single"/>
        </w:rPr>
      </w:pPr>
    </w:p>
    <w:p w14:paraId="5A18AC5A" w14:textId="77777777" w:rsidR="004844E6" w:rsidRPr="00915D13" w:rsidRDefault="004844E6" w:rsidP="004844E6">
      <w:pPr>
        <w:pStyle w:val="Tekstpodstawowy"/>
        <w:ind w:right="114"/>
        <w:jc w:val="both"/>
        <w:rPr>
          <w:rFonts w:ascii="Lato" w:hAnsi="Lato"/>
          <w:sz w:val="20"/>
          <w:szCs w:val="20"/>
        </w:rPr>
      </w:pPr>
      <w:r w:rsidRPr="00915D13">
        <w:rPr>
          <w:rFonts w:ascii="Lato" w:hAnsi="Lato"/>
          <w:sz w:val="20"/>
          <w:szCs w:val="20"/>
          <w:u w:val="single"/>
        </w:rPr>
        <w:t>Asystent Osobisty Osoby Niepełnosprawnej</w:t>
      </w:r>
      <w:r w:rsidRPr="00915D13">
        <w:rPr>
          <w:rFonts w:ascii="Lato" w:hAnsi="Lato"/>
          <w:sz w:val="20"/>
          <w:szCs w:val="20"/>
        </w:rPr>
        <w:t>, którego celem jest wsparcie osób niepełnosprawnych w wykonywaniu codziennych czynności i funkcjonowaniu w życiu społecznym, a także ograniczenie wykluczenia społecznego. W 2022 r Program realizowany był</w:t>
      </w:r>
      <w:r w:rsidRPr="00915D13">
        <w:rPr>
          <w:rFonts w:ascii="Lato" w:hAnsi="Lato"/>
          <w:spacing w:val="-13"/>
          <w:sz w:val="20"/>
          <w:szCs w:val="20"/>
        </w:rPr>
        <w:t xml:space="preserve"> </w:t>
      </w:r>
      <w:r w:rsidRPr="00915D13">
        <w:rPr>
          <w:rFonts w:ascii="Lato" w:hAnsi="Lato"/>
          <w:sz w:val="20"/>
          <w:szCs w:val="20"/>
        </w:rPr>
        <w:t>przez</w:t>
      </w:r>
      <w:r w:rsidRPr="00915D13">
        <w:rPr>
          <w:rFonts w:ascii="Lato" w:hAnsi="Lato"/>
          <w:spacing w:val="-13"/>
          <w:sz w:val="20"/>
          <w:szCs w:val="20"/>
        </w:rPr>
        <w:t xml:space="preserve"> </w:t>
      </w:r>
      <w:r w:rsidRPr="00915D13">
        <w:rPr>
          <w:rFonts w:ascii="Lato" w:hAnsi="Lato"/>
          <w:sz w:val="20"/>
          <w:szCs w:val="20"/>
        </w:rPr>
        <w:t>52</w:t>
      </w:r>
      <w:r w:rsidRPr="00915D13">
        <w:rPr>
          <w:rFonts w:ascii="Lato" w:hAnsi="Lato"/>
          <w:spacing w:val="-13"/>
          <w:sz w:val="20"/>
          <w:szCs w:val="20"/>
        </w:rPr>
        <w:t xml:space="preserve"> </w:t>
      </w:r>
      <w:r w:rsidRPr="00915D13">
        <w:rPr>
          <w:rFonts w:ascii="Lato" w:hAnsi="Lato"/>
          <w:sz w:val="20"/>
          <w:szCs w:val="20"/>
        </w:rPr>
        <w:t>jednostki</w:t>
      </w:r>
      <w:r w:rsidRPr="00915D13">
        <w:rPr>
          <w:rFonts w:ascii="Lato" w:hAnsi="Lato"/>
          <w:spacing w:val="-11"/>
          <w:sz w:val="20"/>
          <w:szCs w:val="20"/>
        </w:rPr>
        <w:t xml:space="preserve"> </w:t>
      </w:r>
      <w:r w:rsidRPr="00915D13">
        <w:rPr>
          <w:rFonts w:ascii="Lato" w:hAnsi="Lato"/>
          <w:sz w:val="20"/>
          <w:szCs w:val="20"/>
        </w:rPr>
        <w:t>samorządu</w:t>
      </w:r>
      <w:r w:rsidRPr="00915D13">
        <w:rPr>
          <w:rFonts w:ascii="Lato" w:hAnsi="Lato"/>
          <w:spacing w:val="-13"/>
          <w:sz w:val="20"/>
          <w:szCs w:val="20"/>
        </w:rPr>
        <w:t xml:space="preserve"> </w:t>
      </w:r>
      <w:r w:rsidRPr="00915D13">
        <w:rPr>
          <w:rFonts w:ascii="Lato" w:hAnsi="Lato"/>
          <w:sz w:val="20"/>
          <w:szCs w:val="20"/>
        </w:rPr>
        <w:t>terytorialnego</w:t>
      </w:r>
      <w:r w:rsidRPr="00915D13">
        <w:rPr>
          <w:rFonts w:ascii="Lato" w:hAnsi="Lato"/>
          <w:spacing w:val="-11"/>
          <w:sz w:val="20"/>
          <w:szCs w:val="20"/>
        </w:rPr>
        <w:t xml:space="preserve"> </w:t>
      </w:r>
      <w:r w:rsidRPr="00915D13">
        <w:rPr>
          <w:rFonts w:ascii="Lato" w:hAnsi="Lato"/>
          <w:sz w:val="20"/>
          <w:szCs w:val="20"/>
        </w:rPr>
        <w:t>województwa</w:t>
      </w:r>
      <w:r w:rsidRPr="00915D13">
        <w:rPr>
          <w:rFonts w:ascii="Lato" w:hAnsi="Lato"/>
          <w:spacing w:val="-13"/>
          <w:sz w:val="20"/>
          <w:szCs w:val="20"/>
        </w:rPr>
        <w:t xml:space="preserve"> </w:t>
      </w:r>
      <w:r w:rsidRPr="00915D13">
        <w:rPr>
          <w:rFonts w:ascii="Lato" w:hAnsi="Lato"/>
          <w:sz w:val="20"/>
          <w:szCs w:val="20"/>
        </w:rPr>
        <w:t>łódzkiego,</w:t>
      </w:r>
      <w:r w:rsidRPr="00915D13">
        <w:rPr>
          <w:rFonts w:ascii="Lato" w:hAnsi="Lato"/>
          <w:spacing w:val="-12"/>
          <w:sz w:val="20"/>
          <w:szCs w:val="20"/>
        </w:rPr>
        <w:t xml:space="preserve"> </w:t>
      </w:r>
      <w:r w:rsidRPr="00915D13">
        <w:rPr>
          <w:rFonts w:ascii="Lato" w:hAnsi="Lato"/>
          <w:sz w:val="20"/>
          <w:szCs w:val="20"/>
        </w:rPr>
        <w:t>a</w:t>
      </w:r>
      <w:r w:rsidRPr="00915D13">
        <w:rPr>
          <w:rFonts w:ascii="Lato" w:hAnsi="Lato"/>
          <w:spacing w:val="-12"/>
          <w:sz w:val="20"/>
          <w:szCs w:val="20"/>
        </w:rPr>
        <w:t xml:space="preserve"> </w:t>
      </w:r>
      <w:r w:rsidRPr="00915D13">
        <w:rPr>
          <w:rFonts w:ascii="Lato" w:hAnsi="Lato"/>
          <w:sz w:val="20"/>
          <w:szCs w:val="20"/>
        </w:rPr>
        <w:t>liczba</w:t>
      </w:r>
      <w:r w:rsidRPr="00915D13">
        <w:rPr>
          <w:rFonts w:ascii="Lato" w:hAnsi="Lato"/>
          <w:spacing w:val="-12"/>
          <w:sz w:val="20"/>
          <w:szCs w:val="20"/>
        </w:rPr>
        <w:t xml:space="preserve"> </w:t>
      </w:r>
      <w:r w:rsidRPr="00915D13">
        <w:rPr>
          <w:rFonts w:ascii="Lato" w:hAnsi="Lato"/>
          <w:sz w:val="20"/>
          <w:szCs w:val="20"/>
        </w:rPr>
        <w:t>uczestników wyniosła 928</w:t>
      </w:r>
      <w:r w:rsidRPr="00915D13">
        <w:rPr>
          <w:rFonts w:ascii="Lato" w:hAnsi="Lato"/>
          <w:spacing w:val="-2"/>
          <w:sz w:val="20"/>
          <w:szCs w:val="20"/>
        </w:rPr>
        <w:t xml:space="preserve"> </w:t>
      </w:r>
      <w:r w:rsidRPr="00915D13">
        <w:rPr>
          <w:rFonts w:ascii="Lato" w:hAnsi="Lato"/>
          <w:sz w:val="20"/>
          <w:szCs w:val="20"/>
        </w:rPr>
        <w:t>osób.</w:t>
      </w:r>
    </w:p>
    <w:p w14:paraId="7F98D827" w14:textId="77777777" w:rsidR="004844E6" w:rsidRDefault="004844E6" w:rsidP="004844E6">
      <w:pPr>
        <w:pStyle w:val="Tekstpodstawowy"/>
        <w:ind w:right="115"/>
        <w:jc w:val="both"/>
        <w:rPr>
          <w:rFonts w:ascii="Lato" w:hAnsi="Lato"/>
          <w:sz w:val="20"/>
          <w:szCs w:val="20"/>
        </w:rPr>
      </w:pPr>
    </w:p>
    <w:p w14:paraId="25A939BE" w14:textId="77777777" w:rsidR="004844E6" w:rsidRPr="00915D13" w:rsidRDefault="004844E6" w:rsidP="004844E6">
      <w:pPr>
        <w:pStyle w:val="Tekstpodstawowy"/>
        <w:ind w:right="115"/>
        <w:jc w:val="both"/>
        <w:rPr>
          <w:rFonts w:ascii="Lato" w:hAnsi="Lato"/>
          <w:sz w:val="20"/>
          <w:szCs w:val="20"/>
        </w:rPr>
      </w:pPr>
      <w:r w:rsidRPr="00915D13">
        <w:rPr>
          <w:rFonts w:ascii="Lato" w:hAnsi="Lato"/>
          <w:sz w:val="20"/>
          <w:szCs w:val="20"/>
        </w:rPr>
        <w:t xml:space="preserve">W 2022 roku 22 gminy przyznały 467 osobom w wieku 75+ usługi opiekuńcze w ramach programu </w:t>
      </w:r>
      <w:r w:rsidRPr="00915D13">
        <w:rPr>
          <w:rFonts w:ascii="Lato" w:hAnsi="Lato"/>
          <w:sz w:val="20"/>
          <w:szCs w:val="20"/>
          <w:u w:val="single"/>
        </w:rPr>
        <w:t xml:space="preserve">Opieka 75+. </w:t>
      </w:r>
      <w:r w:rsidRPr="00915D13">
        <w:rPr>
          <w:rFonts w:ascii="Lato" w:hAnsi="Lato"/>
          <w:sz w:val="20"/>
          <w:szCs w:val="20"/>
        </w:rPr>
        <w:t>Warto zaznaczyć, że osoby starsze poniżej wieku 75+ również miały dostęp do usług opiekuńczych oraz specjalistycznych usług opiekuńczych, które przyznawane były poza programem.</w:t>
      </w:r>
    </w:p>
    <w:p w14:paraId="68190550" w14:textId="77777777" w:rsidR="004844E6" w:rsidRDefault="004844E6" w:rsidP="004844E6">
      <w:pPr>
        <w:pStyle w:val="Tekstpodstawowy"/>
        <w:ind w:right="114"/>
        <w:jc w:val="both"/>
        <w:rPr>
          <w:rFonts w:ascii="Lato" w:hAnsi="Lato"/>
          <w:sz w:val="20"/>
          <w:szCs w:val="20"/>
        </w:rPr>
      </w:pPr>
    </w:p>
    <w:p w14:paraId="22EDBF5B" w14:textId="77777777" w:rsidR="004844E6" w:rsidRPr="00915D13" w:rsidRDefault="004844E6" w:rsidP="004844E6">
      <w:pPr>
        <w:pStyle w:val="Tekstpodstawowy"/>
        <w:ind w:right="114"/>
        <w:jc w:val="both"/>
        <w:rPr>
          <w:rFonts w:ascii="Lato" w:hAnsi="Lato"/>
          <w:sz w:val="20"/>
          <w:szCs w:val="20"/>
        </w:rPr>
      </w:pPr>
      <w:r w:rsidRPr="00915D13">
        <w:rPr>
          <w:rFonts w:ascii="Lato" w:hAnsi="Lato"/>
          <w:sz w:val="20"/>
          <w:szCs w:val="20"/>
        </w:rPr>
        <w:t>Ponadto</w:t>
      </w:r>
      <w:r w:rsidRPr="00915D13">
        <w:rPr>
          <w:rFonts w:ascii="Lato" w:hAnsi="Lato"/>
          <w:spacing w:val="-17"/>
          <w:sz w:val="20"/>
          <w:szCs w:val="20"/>
        </w:rPr>
        <w:t xml:space="preserve"> </w:t>
      </w:r>
      <w:r w:rsidRPr="00915D13">
        <w:rPr>
          <w:rFonts w:ascii="Lato" w:hAnsi="Lato"/>
          <w:sz w:val="20"/>
          <w:szCs w:val="20"/>
        </w:rPr>
        <w:t>w</w:t>
      </w:r>
      <w:r w:rsidRPr="00915D13">
        <w:rPr>
          <w:rFonts w:ascii="Lato" w:hAnsi="Lato"/>
          <w:spacing w:val="-16"/>
          <w:sz w:val="20"/>
          <w:szCs w:val="20"/>
        </w:rPr>
        <w:t xml:space="preserve"> </w:t>
      </w:r>
      <w:r w:rsidRPr="00915D13">
        <w:rPr>
          <w:rFonts w:ascii="Lato" w:hAnsi="Lato"/>
          <w:sz w:val="20"/>
          <w:szCs w:val="20"/>
        </w:rPr>
        <w:t>województwie</w:t>
      </w:r>
      <w:r w:rsidRPr="00915D13">
        <w:rPr>
          <w:rFonts w:ascii="Lato" w:hAnsi="Lato"/>
          <w:spacing w:val="-17"/>
          <w:sz w:val="20"/>
          <w:szCs w:val="20"/>
        </w:rPr>
        <w:t xml:space="preserve"> </w:t>
      </w:r>
      <w:r w:rsidRPr="00915D13">
        <w:rPr>
          <w:rFonts w:ascii="Lato" w:hAnsi="Lato"/>
          <w:sz w:val="20"/>
          <w:szCs w:val="20"/>
        </w:rPr>
        <w:t>łódzkim</w:t>
      </w:r>
      <w:r w:rsidRPr="00915D13">
        <w:rPr>
          <w:rFonts w:ascii="Lato" w:hAnsi="Lato"/>
          <w:spacing w:val="-15"/>
          <w:sz w:val="20"/>
          <w:szCs w:val="20"/>
        </w:rPr>
        <w:t xml:space="preserve"> </w:t>
      </w:r>
      <w:r w:rsidRPr="00915D13">
        <w:rPr>
          <w:rFonts w:ascii="Lato" w:hAnsi="Lato"/>
          <w:sz w:val="20"/>
          <w:szCs w:val="20"/>
        </w:rPr>
        <w:t>realizowany</w:t>
      </w:r>
      <w:r w:rsidRPr="00915D13">
        <w:rPr>
          <w:rFonts w:ascii="Lato" w:hAnsi="Lato"/>
          <w:spacing w:val="-17"/>
          <w:sz w:val="20"/>
          <w:szCs w:val="20"/>
        </w:rPr>
        <w:t xml:space="preserve"> </w:t>
      </w:r>
      <w:r w:rsidRPr="00915D13">
        <w:rPr>
          <w:rFonts w:ascii="Lato" w:hAnsi="Lato"/>
          <w:sz w:val="20"/>
          <w:szCs w:val="20"/>
        </w:rPr>
        <w:t>był</w:t>
      </w:r>
      <w:r w:rsidRPr="00915D13">
        <w:rPr>
          <w:rFonts w:ascii="Lato" w:hAnsi="Lato"/>
          <w:spacing w:val="-16"/>
          <w:sz w:val="20"/>
          <w:szCs w:val="20"/>
        </w:rPr>
        <w:t xml:space="preserve"> </w:t>
      </w:r>
      <w:r w:rsidRPr="00915D13">
        <w:rPr>
          <w:rFonts w:ascii="Lato" w:hAnsi="Lato"/>
          <w:sz w:val="20"/>
          <w:szCs w:val="20"/>
        </w:rPr>
        <w:t>program</w:t>
      </w:r>
      <w:r w:rsidRPr="00915D13">
        <w:rPr>
          <w:rFonts w:ascii="Lato" w:hAnsi="Lato"/>
          <w:spacing w:val="-17"/>
          <w:sz w:val="20"/>
          <w:szCs w:val="20"/>
        </w:rPr>
        <w:t xml:space="preserve"> </w:t>
      </w:r>
      <w:r w:rsidRPr="00915D13">
        <w:rPr>
          <w:rFonts w:ascii="Lato" w:hAnsi="Lato"/>
          <w:sz w:val="20"/>
          <w:szCs w:val="20"/>
          <w:u w:val="single"/>
        </w:rPr>
        <w:t>Korpus</w:t>
      </w:r>
      <w:r w:rsidRPr="00915D13">
        <w:rPr>
          <w:rFonts w:ascii="Lato" w:hAnsi="Lato"/>
          <w:spacing w:val="-16"/>
          <w:sz w:val="20"/>
          <w:szCs w:val="20"/>
          <w:u w:val="single"/>
        </w:rPr>
        <w:t xml:space="preserve"> </w:t>
      </w:r>
      <w:r w:rsidRPr="00915D13">
        <w:rPr>
          <w:rFonts w:ascii="Lato" w:hAnsi="Lato"/>
          <w:sz w:val="20"/>
          <w:szCs w:val="20"/>
          <w:u w:val="single"/>
        </w:rPr>
        <w:t>Wsparcia</w:t>
      </w:r>
      <w:r w:rsidRPr="00915D13">
        <w:rPr>
          <w:rFonts w:ascii="Lato" w:hAnsi="Lato"/>
          <w:spacing w:val="-16"/>
          <w:sz w:val="20"/>
          <w:szCs w:val="20"/>
          <w:u w:val="single"/>
        </w:rPr>
        <w:t xml:space="preserve"> </w:t>
      </w:r>
      <w:r w:rsidRPr="00915D13">
        <w:rPr>
          <w:rFonts w:ascii="Lato" w:hAnsi="Lato"/>
          <w:sz w:val="20"/>
          <w:szCs w:val="20"/>
          <w:u w:val="single"/>
        </w:rPr>
        <w:t>Seniora</w:t>
      </w:r>
      <w:r w:rsidRPr="00915D13">
        <w:rPr>
          <w:rFonts w:ascii="Lato" w:hAnsi="Lato"/>
          <w:sz w:val="20"/>
          <w:szCs w:val="20"/>
        </w:rPr>
        <w:t>.</w:t>
      </w:r>
      <w:r w:rsidRPr="00915D13">
        <w:rPr>
          <w:rFonts w:ascii="Lato" w:hAnsi="Lato"/>
          <w:spacing w:val="-16"/>
          <w:sz w:val="20"/>
          <w:szCs w:val="20"/>
        </w:rPr>
        <w:t xml:space="preserve"> </w:t>
      </w:r>
      <w:r w:rsidRPr="00915D13">
        <w:rPr>
          <w:rFonts w:ascii="Lato" w:hAnsi="Lato"/>
          <w:sz w:val="20"/>
          <w:szCs w:val="20"/>
        </w:rPr>
        <w:t>W</w:t>
      </w:r>
      <w:r w:rsidRPr="00915D13">
        <w:rPr>
          <w:rFonts w:ascii="Lato" w:hAnsi="Lato"/>
          <w:spacing w:val="-17"/>
          <w:sz w:val="20"/>
          <w:szCs w:val="20"/>
        </w:rPr>
        <w:t xml:space="preserve"> </w:t>
      </w:r>
      <w:r w:rsidRPr="00915D13">
        <w:rPr>
          <w:rFonts w:ascii="Lato" w:hAnsi="Lato"/>
          <w:sz w:val="20"/>
          <w:szCs w:val="20"/>
        </w:rPr>
        <w:t>2022 roku do Modułu I programu przystąpiło 20 gmin, udzielając wsparcia 266 osobom oraz w ramach Modułu II 34 gminy. Wsparciem objęto 2 779</w:t>
      </w:r>
      <w:r w:rsidRPr="00915D13">
        <w:rPr>
          <w:rFonts w:ascii="Lato" w:hAnsi="Lato"/>
          <w:spacing w:val="-3"/>
          <w:sz w:val="20"/>
          <w:szCs w:val="20"/>
        </w:rPr>
        <w:t xml:space="preserve"> </w:t>
      </w:r>
      <w:r w:rsidRPr="00915D13">
        <w:rPr>
          <w:rFonts w:ascii="Lato" w:hAnsi="Lato"/>
          <w:sz w:val="20"/>
          <w:szCs w:val="20"/>
        </w:rPr>
        <w:t>osób.</w:t>
      </w:r>
    </w:p>
    <w:p w14:paraId="15D2D21D" w14:textId="77777777" w:rsidR="004844E6" w:rsidRDefault="004844E6" w:rsidP="004844E6">
      <w:pPr>
        <w:pStyle w:val="Tekstpodstawowy"/>
        <w:ind w:right="115"/>
        <w:jc w:val="both"/>
        <w:rPr>
          <w:rFonts w:ascii="Lato" w:hAnsi="Lato"/>
          <w:sz w:val="20"/>
          <w:szCs w:val="20"/>
        </w:rPr>
      </w:pPr>
    </w:p>
    <w:p w14:paraId="53D36406" w14:textId="77777777" w:rsidR="004844E6" w:rsidRPr="00915D13" w:rsidRDefault="004844E6" w:rsidP="004844E6">
      <w:pPr>
        <w:pStyle w:val="Tekstpodstawowy"/>
        <w:ind w:right="115"/>
        <w:jc w:val="both"/>
        <w:rPr>
          <w:rFonts w:ascii="Lato" w:hAnsi="Lato"/>
          <w:sz w:val="20"/>
          <w:szCs w:val="20"/>
        </w:rPr>
      </w:pPr>
      <w:r w:rsidRPr="00915D13">
        <w:rPr>
          <w:rFonts w:ascii="Lato" w:hAnsi="Lato"/>
          <w:sz w:val="20"/>
          <w:szCs w:val="20"/>
        </w:rPr>
        <w:t>Gminy we współpracy z organizacjami pozarządowymi i lokalnymi stowarzyszeniami, kontynuowały organizację spotkań kulturalnych i edukacyjnych, w tym prozdrowotnych. Pracownicy instytucji publicznych monitorowali środowiska i potrzeby osób starszych udzielając pomocy w rozwiązywaniu bieżących problemów.</w:t>
      </w:r>
    </w:p>
    <w:p w14:paraId="6FB10A93" w14:textId="77777777" w:rsidR="004844E6" w:rsidRDefault="004844E6" w:rsidP="004844E6">
      <w:pPr>
        <w:pStyle w:val="Tekstpodstawowy"/>
        <w:ind w:right="115"/>
        <w:jc w:val="both"/>
        <w:rPr>
          <w:rFonts w:ascii="Lato" w:hAnsi="Lato"/>
          <w:sz w:val="20"/>
          <w:szCs w:val="20"/>
        </w:rPr>
      </w:pPr>
    </w:p>
    <w:p w14:paraId="33157BF2" w14:textId="24C368E7" w:rsidR="005335C5" w:rsidRDefault="004844E6" w:rsidP="004844E6">
      <w:pPr>
        <w:pStyle w:val="Tekstpodstawowy"/>
        <w:ind w:right="115"/>
        <w:jc w:val="both"/>
        <w:rPr>
          <w:rFonts w:ascii="Lato" w:hAnsi="Lato"/>
          <w:sz w:val="20"/>
          <w:szCs w:val="20"/>
        </w:rPr>
      </w:pPr>
      <w:r w:rsidRPr="00915D13">
        <w:rPr>
          <w:rFonts w:ascii="Lato" w:hAnsi="Lato"/>
          <w:sz w:val="20"/>
          <w:szCs w:val="20"/>
        </w:rPr>
        <w:t>Istotną formą wsparcia dla osób starszych były również środowiskowe formy opieki dziennej, w</w:t>
      </w:r>
      <w:r w:rsidRPr="00915D13">
        <w:rPr>
          <w:rFonts w:ascii="Lato" w:hAnsi="Lato"/>
          <w:spacing w:val="-17"/>
          <w:sz w:val="20"/>
          <w:szCs w:val="20"/>
        </w:rPr>
        <w:t xml:space="preserve"> </w:t>
      </w:r>
      <w:r w:rsidRPr="00915D13">
        <w:rPr>
          <w:rFonts w:ascii="Lato" w:hAnsi="Lato"/>
          <w:sz w:val="20"/>
          <w:szCs w:val="20"/>
        </w:rPr>
        <w:t>tym</w:t>
      </w:r>
      <w:r w:rsidRPr="00915D13">
        <w:rPr>
          <w:rFonts w:ascii="Lato" w:hAnsi="Lato"/>
          <w:spacing w:val="-16"/>
          <w:sz w:val="20"/>
          <w:szCs w:val="20"/>
        </w:rPr>
        <w:t xml:space="preserve"> </w:t>
      </w:r>
      <w:r w:rsidRPr="00915D13">
        <w:rPr>
          <w:rFonts w:ascii="Lato" w:hAnsi="Lato"/>
          <w:sz w:val="20"/>
          <w:szCs w:val="20"/>
        </w:rPr>
        <w:t>w</w:t>
      </w:r>
      <w:r w:rsidRPr="00915D13">
        <w:rPr>
          <w:rFonts w:ascii="Lato" w:hAnsi="Lato"/>
          <w:spacing w:val="-17"/>
          <w:sz w:val="20"/>
          <w:szCs w:val="20"/>
        </w:rPr>
        <w:t xml:space="preserve"> </w:t>
      </w:r>
      <w:r w:rsidRPr="00915D13">
        <w:rPr>
          <w:rFonts w:ascii="Lato" w:hAnsi="Lato"/>
          <w:sz w:val="20"/>
          <w:szCs w:val="20"/>
        </w:rPr>
        <w:t>ramach</w:t>
      </w:r>
      <w:r w:rsidRPr="00915D13">
        <w:rPr>
          <w:rFonts w:ascii="Lato" w:hAnsi="Lato"/>
          <w:spacing w:val="-17"/>
          <w:sz w:val="20"/>
          <w:szCs w:val="20"/>
        </w:rPr>
        <w:t xml:space="preserve"> </w:t>
      </w:r>
      <w:r w:rsidRPr="00915D13">
        <w:rPr>
          <w:rFonts w:ascii="Lato" w:hAnsi="Lato"/>
          <w:sz w:val="20"/>
          <w:szCs w:val="20"/>
        </w:rPr>
        <w:t>Programu</w:t>
      </w:r>
      <w:r w:rsidRPr="00915D13">
        <w:rPr>
          <w:rFonts w:ascii="Lato" w:hAnsi="Lato"/>
          <w:spacing w:val="-17"/>
          <w:sz w:val="20"/>
          <w:szCs w:val="20"/>
        </w:rPr>
        <w:t xml:space="preserve"> </w:t>
      </w:r>
      <w:r w:rsidRPr="00915D13">
        <w:rPr>
          <w:rFonts w:ascii="Lato" w:hAnsi="Lato"/>
          <w:sz w:val="20"/>
          <w:szCs w:val="20"/>
        </w:rPr>
        <w:t>Senior+.</w:t>
      </w:r>
      <w:r w:rsidRPr="00915D13">
        <w:rPr>
          <w:rFonts w:ascii="Lato" w:hAnsi="Lato"/>
          <w:spacing w:val="-17"/>
          <w:sz w:val="20"/>
          <w:szCs w:val="20"/>
        </w:rPr>
        <w:t xml:space="preserve"> </w:t>
      </w:r>
      <w:r w:rsidRPr="00915D13">
        <w:rPr>
          <w:rFonts w:ascii="Lato" w:hAnsi="Lato"/>
          <w:sz w:val="20"/>
          <w:szCs w:val="20"/>
        </w:rPr>
        <w:t>Uczestnictwo</w:t>
      </w:r>
      <w:r w:rsidRPr="00915D13">
        <w:rPr>
          <w:rFonts w:ascii="Lato" w:hAnsi="Lato"/>
          <w:spacing w:val="-16"/>
          <w:sz w:val="20"/>
          <w:szCs w:val="20"/>
        </w:rPr>
        <w:t xml:space="preserve"> </w:t>
      </w:r>
      <w:r w:rsidRPr="00915D13">
        <w:rPr>
          <w:rFonts w:ascii="Lato" w:hAnsi="Lato"/>
          <w:sz w:val="20"/>
          <w:szCs w:val="20"/>
        </w:rPr>
        <w:t>w</w:t>
      </w:r>
      <w:r w:rsidRPr="00915D13">
        <w:rPr>
          <w:rFonts w:ascii="Lato" w:hAnsi="Lato"/>
          <w:spacing w:val="-16"/>
          <w:sz w:val="20"/>
          <w:szCs w:val="20"/>
        </w:rPr>
        <w:t xml:space="preserve"> </w:t>
      </w:r>
      <w:r w:rsidRPr="00915D13">
        <w:rPr>
          <w:rFonts w:ascii="Lato" w:hAnsi="Lato"/>
          <w:sz w:val="20"/>
          <w:szCs w:val="20"/>
        </w:rPr>
        <w:t>zajęciach</w:t>
      </w:r>
      <w:r w:rsidRPr="00915D13">
        <w:rPr>
          <w:rFonts w:ascii="Lato" w:hAnsi="Lato"/>
          <w:spacing w:val="-16"/>
          <w:sz w:val="20"/>
          <w:szCs w:val="20"/>
        </w:rPr>
        <w:t xml:space="preserve"> </w:t>
      </w:r>
      <w:r w:rsidRPr="00915D13">
        <w:rPr>
          <w:rFonts w:ascii="Lato" w:hAnsi="Lato"/>
          <w:sz w:val="20"/>
          <w:szCs w:val="20"/>
        </w:rPr>
        <w:t>sprawia,</w:t>
      </w:r>
      <w:r w:rsidRPr="00915D13">
        <w:rPr>
          <w:rFonts w:ascii="Lato" w:hAnsi="Lato"/>
          <w:spacing w:val="-16"/>
          <w:sz w:val="20"/>
          <w:szCs w:val="20"/>
        </w:rPr>
        <w:t xml:space="preserve"> </w:t>
      </w:r>
      <w:r w:rsidRPr="00915D13">
        <w:rPr>
          <w:rFonts w:ascii="Lato" w:hAnsi="Lato"/>
          <w:sz w:val="20"/>
          <w:szCs w:val="20"/>
        </w:rPr>
        <w:t>że</w:t>
      </w:r>
      <w:r w:rsidRPr="00915D13">
        <w:rPr>
          <w:rFonts w:ascii="Lato" w:hAnsi="Lato"/>
          <w:spacing w:val="-17"/>
          <w:sz w:val="20"/>
          <w:szCs w:val="20"/>
        </w:rPr>
        <w:t xml:space="preserve"> </w:t>
      </w:r>
      <w:r w:rsidRPr="00915D13">
        <w:rPr>
          <w:rFonts w:ascii="Lato" w:hAnsi="Lato"/>
          <w:sz w:val="20"/>
          <w:szCs w:val="20"/>
        </w:rPr>
        <w:t>wiele</w:t>
      </w:r>
      <w:r w:rsidRPr="00915D13">
        <w:rPr>
          <w:rFonts w:ascii="Lato" w:hAnsi="Lato"/>
          <w:spacing w:val="-17"/>
          <w:sz w:val="20"/>
          <w:szCs w:val="20"/>
        </w:rPr>
        <w:t xml:space="preserve"> </w:t>
      </w:r>
      <w:r w:rsidRPr="00915D13">
        <w:rPr>
          <w:rFonts w:ascii="Lato" w:hAnsi="Lato"/>
          <w:sz w:val="20"/>
          <w:szCs w:val="20"/>
        </w:rPr>
        <w:t>osób</w:t>
      </w:r>
      <w:r w:rsidRPr="00915D13">
        <w:rPr>
          <w:rFonts w:ascii="Lato" w:hAnsi="Lato"/>
          <w:spacing w:val="-17"/>
          <w:sz w:val="20"/>
          <w:szCs w:val="20"/>
        </w:rPr>
        <w:t xml:space="preserve"> </w:t>
      </w:r>
      <w:r w:rsidRPr="00915D13">
        <w:rPr>
          <w:rFonts w:ascii="Lato" w:hAnsi="Lato"/>
          <w:sz w:val="20"/>
          <w:szCs w:val="20"/>
        </w:rPr>
        <w:t>starszych odzyskuje pewność siebie i staje się bardziej samodzielna. Dostęp do zajęć rozwijających intelektualnie powoduje, że poprawia się kondycja umysłowa osób starszych. Wspólne uczestnictwo w wydarzeniach kulturalnych i rekreacyjnych, wyjazdy integracyjne, a także uczestnictwo w różnego typu warsztatach, wpływa bardzo korzystnie na poczucie przynależności do grupy, a co za tym idzie zmniejsza poczucie osamotnienia. W 2022 roku,  w województwie łódzkim działało 37 ośrodków wsparcia Senior+ przeznaczonych dla 829 osó</w:t>
      </w:r>
      <w:r>
        <w:rPr>
          <w:rFonts w:ascii="Lato" w:hAnsi="Lato"/>
          <w:sz w:val="20"/>
          <w:szCs w:val="20"/>
        </w:rPr>
        <w:t>b.</w:t>
      </w:r>
    </w:p>
    <w:p w14:paraId="779C381C" w14:textId="596AC39C" w:rsidR="004844E6" w:rsidRDefault="004844E6" w:rsidP="004844E6">
      <w:pPr>
        <w:pStyle w:val="Tekstpodstawowy"/>
        <w:ind w:right="115"/>
        <w:jc w:val="both"/>
        <w:rPr>
          <w:rFonts w:ascii="Lato" w:hAnsi="Lato"/>
          <w:sz w:val="20"/>
          <w:szCs w:val="20"/>
        </w:rPr>
      </w:pPr>
    </w:p>
    <w:p w14:paraId="68C1A97F" w14:textId="4A26DDFA" w:rsidR="00193229" w:rsidRDefault="00193229" w:rsidP="00193229">
      <w:pPr>
        <w:pStyle w:val="Legenda"/>
        <w:keepNext/>
      </w:pPr>
      <w:bookmarkStart w:id="145" w:name="_Toc142566027"/>
      <w:r>
        <w:t xml:space="preserve">Tabela </w:t>
      </w:r>
      <w:fldSimple w:instr=" SEQ Tabela \* ARABIC ">
        <w:r w:rsidR="00AA385B">
          <w:rPr>
            <w:noProof/>
          </w:rPr>
          <w:t>64</w:t>
        </w:r>
      </w:fldSimple>
      <w:r>
        <w:t xml:space="preserve"> Karta województwa łódzkiego za 2022 r.</w:t>
      </w:r>
      <w:bookmarkEnd w:id="145"/>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193229" w:rsidRPr="00193229" w14:paraId="15030384"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097CD4F9"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WOJEWÓDZTWO ŁÓDZKIE</w:t>
            </w:r>
          </w:p>
        </w:tc>
      </w:tr>
      <w:tr w:rsidR="00193229" w:rsidRPr="00193229" w14:paraId="564D4F0C" w14:textId="77777777" w:rsidTr="0019322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FAA9521"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Informacja o regionie</w:t>
            </w:r>
          </w:p>
        </w:tc>
        <w:tc>
          <w:tcPr>
            <w:tcW w:w="1346" w:type="pct"/>
            <w:shd w:val="clear" w:color="auto" w:fill="auto"/>
          </w:tcPr>
          <w:p w14:paraId="3E27D2F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gmin</w:t>
            </w:r>
          </w:p>
        </w:tc>
        <w:tc>
          <w:tcPr>
            <w:tcW w:w="2693" w:type="pct"/>
            <w:gridSpan w:val="2"/>
            <w:shd w:val="clear" w:color="auto" w:fill="auto"/>
          </w:tcPr>
          <w:p w14:paraId="18D59F4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177</w:t>
            </w:r>
          </w:p>
        </w:tc>
      </w:tr>
      <w:tr w:rsidR="00193229" w:rsidRPr="00193229" w14:paraId="49583367" w14:textId="77777777" w:rsidTr="0019322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EDE65C9"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64F3B57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Liczba powiatów</w:t>
            </w:r>
          </w:p>
        </w:tc>
        <w:tc>
          <w:tcPr>
            <w:tcW w:w="2693" w:type="pct"/>
            <w:gridSpan w:val="2"/>
            <w:shd w:val="clear" w:color="auto" w:fill="auto"/>
          </w:tcPr>
          <w:p w14:paraId="7485BAB2"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21 powiatów i 3 miasta na prawach powiatu</w:t>
            </w:r>
          </w:p>
        </w:tc>
      </w:tr>
      <w:tr w:rsidR="00193229" w:rsidRPr="00193229" w14:paraId="2DE2DCE4" w14:textId="77777777" w:rsidTr="0019322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7B8D042" w14:textId="77777777" w:rsidR="00193229" w:rsidRPr="00193229" w:rsidRDefault="00193229" w:rsidP="00CA4EC0">
            <w:pPr>
              <w:rPr>
                <w:rFonts w:ascii="Lato" w:hAnsi="Lato" w:cs="Times New Roman"/>
                <w:color w:val="auto"/>
                <w:sz w:val="18"/>
                <w:szCs w:val="18"/>
              </w:rPr>
            </w:pPr>
          </w:p>
        </w:tc>
        <w:tc>
          <w:tcPr>
            <w:tcW w:w="1346" w:type="pct"/>
            <w:shd w:val="clear" w:color="auto" w:fill="auto"/>
          </w:tcPr>
          <w:p w14:paraId="681A45A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Powierzchnia</w:t>
            </w:r>
          </w:p>
        </w:tc>
        <w:tc>
          <w:tcPr>
            <w:tcW w:w="2693" w:type="pct"/>
            <w:gridSpan w:val="2"/>
            <w:shd w:val="clear" w:color="auto" w:fill="auto"/>
          </w:tcPr>
          <w:p w14:paraId="52EECAB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18 218 km2</w:t>
            </w:r>
          </w:p>
        </w:tc>
      </w:tr>
      <w:tr w:rsidR="00193229" w:rsidRPr="00193229" w14:paraId="1B413A1C"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340E294" w14:textId="77777777" w:rsidR="00193229" w:rsidRPr="00193229" w:rsidRDefault="00193229" w:rsidP="00CA4EC0">
            <w:pPr>
              <w:jc w:val="center"/>
              <w:rPr>
                <w:rFonts w:ascii="Lato" w:hAnsi="Lato" w:cs="Times New Roman"/>
                <w:b w:val="0"/>
                <w:color w:val="auto"/>
                <w:sz w:val="18"/>
                <w:szCs w:val="18"/>
              </w:rPr>
            </w:pPr>
            <w:r w:rsidRPr="00193229">
              <w:rPr>
                <w:rFonts w:ascii="Lato" w:hAnsi="Lato" w:cs="Times New Roman"/>
                <w:color w:val="auto"/>
                <w:sz w:val="18"/>
                <w:szCs w:val="18"/>
              </w:rPr>
              <w:t>DEMOGRAFIA</w:t>
            </w:r>
          </w:p>
        </w:tc>
      </w:tr>
      <w:tr w:rsidR="00193229" w:rsidRPr="00193229" w14:paraId="27910AA6"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05EFED8" w14:textId="77777777" w:rsidR="00193229" w:rsidRPr="00193229" w:rsidRDefault="00193229" w:rsidP="00CA4EC0">
            <w:pPr>
              <w:jc w:val="center"/>
              <w:rPr>
                <w:rFonts w:ascii="Lato" w:hAnsi="Lato" w:cs="Times New Roman"/>
                <w:b w:val="0"/>
                <w:color w:val="auto"/>
                <w:sz w:val="18"/>
                <w:szCs w:val="18"/>
                <w:lang w:eastAsia="pl-PL"/>
              </w:rPr>
            </w:pPr>
            <w:r w:rsidRPr="00193229">
              <w:rPr>
                <w:rFonts w:ascii="Lato" w:hAnsi="Lato" w:cs="Times New Roman"/>
                <w:color w:val="auto"/>
                <w:sz w:val="18"/>
                <w:szCs w:val="18"/>
                <w:lang w:eastAsia="pl-PL"/>
              </w:rPr>
              <w:t>Treść</w:t>
            </w:r>
          </w:p>
        </w:tc>
        <w:tc>
          <w:tcPr>
            <w:tcW w:w="1346" w:type="pct"/>
            <w:shd w:val="clear" w:color="auto" w:fill="auto"/>
          </w:tcPr>
          <w:p w14:paraId="47636090"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2020 r.</w:t>
            </w:r>
          </w:p>
        </w:tc>
        <w:tc>
          <w:tcPr>
            <w:tcW w:w="1346" w:type="pct"/>
            <w:shd w:val="clear" w:color="auto" w:fill="auto"/>
          </w:tcPr>
          <w:p w14:paraId="4A7C41B7"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2021 r.</w:t>
            </w:r>
          </w:p>
        </w:tc>
        <w:tc>
          <w:tcPr>
            <w:tcW w:w="1347" w:type="pct"/>
            <w:shd w:val="clear" w:color="auto" w:fill="auto"/>
          </w:tcPr>
          <w:p w14:paraId="1BF1D54F"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2022 r.</w:t>
            </w:r>
          </w:p>
        </w:tc>
      </w:tr>
      <w:tr w:rsidR="00193229" w:rsidRPr="00193229" w14:paraId="7C08F6AA"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25238B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Populacja ogółem</w:t>
            </w:r>
          </w:p>
        </w:tc>
        <w:tc>
          <w:tcPr>
            <w:tcW w:w="1346" w:type="pct"/>
            <w:shd w:val="clear" w:color="auto" w:fill="auto"/>
          </w:tcPr>
          <w:p w14:paraId="2756264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2415816</w:t>
            </w:r>
          </w:p>
        </w:tc>
        <w:tc>
          <w:tcPr>
            <w:tcW w:w="1346" w:type="pct"/>
            <w:shd w:val="clear" w:color="auto" w:fill="auto"/>
          </w:tcPr>
          <w:p w14:paraId="2F0790A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2394946</w:t>
            </w:r>
          </w:p>
        </w:tc>
        <w:tc>
          <w:tcPr>
            <w:tcW w:w="1347" w:type="pct"/>
            <w:shd w:val="clear" w:color="auto" w:fill="auto"/>
          </w:tcPr>
          <w:p w14:paraId="5044D76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2378483</w:t>
            </w:r>
          </w:p>
        </w:tc>
      </w:tr>
      <w:tr w:rsidR="00193229" w:rsidRPr="00193229" w14:paraId="37223D0D"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EEBCCF1" w14:textId="77777777" w:rsidR="00193229" w:rsidRPr="00193229" w:rsidRDefault="00193229" w:rsidP="00CA4EC0">
            <w:pPr>
              <w:rPr>
                <w:rFonts w:ascii="Lato" w:hAnsi="Lato" w:cs="Times New Roman"/>
                <w:b w:val="0"/>
                <w:color w:val="auto"/>
                <w:sz w:val="18"/>
                <w:szCs w:val="18"/>
              </w:rPr>
            </w:pPr>
          </w:p>
        </w:tc>
      </w:tr>
      <w:tr w:rsidR="00193229" w:rsidRPr="00193229" w14:paraId="44D77FEF"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78CED2C" w14:textId="77777777" w:rsidR="00193229" w:rsidRPr="00193229" w:rsidRDefault="00193229" w:rsidP="00CA4EC0">
            <w:pPr>
              <w:rPr>
                <w:rFonts w:ascii="Lato" w:hAnsi="Lato" w:cs="Times New Roman"/>
                <w:b w:val="0"/>
                <w:color w:val="auto"/>
                <w:sz w:val="18"/>
                <w:szCs w:val="18"/>
              </w:rPr>
            </w:pPr>
            <w:r w:rsidRPr="00193229">
              <w:rPr>
                <w:rFonts w:ascii="Lato" w:hAnsi="Lato" w:cs="Times New Roman"/>
                <w:color w:val="auto"/>
                <w:sz w:val="18"/>
                <w:szCs w:val="18"/>
                <w:lang w:eastAsia="pl-PL"/>
              </w:rPr>
              <w:t>w wieku 60 lat i więcej</w:t>
            </w:r>
          </w:p>
        </w:tc>
        <w:tc>
          <w:tcPr>
            <w:tcW w:w="1346" w:type="pct"/>
            <w:shd w:val="clear" w:color="auto" w:fill="auto"/>
          </w:tcPr>
          <w:p w14:paraId="3473757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680534</w:t>
            </w:r>
          </w:p>
        </w:tc>
        <w:tc>
          <w:tcPr>
            <w:tcW w:w="1346" w:type="pct"/>
            <w:shd w:val="clear" w:color="auto" w:fill="auto"/>
          </w:tcPr>
          <w:p w14:paraId="4C6E572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678487</w:t>
            </w:r>
          </w:p>
        </w:tc>
        <w:tc>
          <w:tcPr>
            <w:tcW w:w="1347" w:type="pct"/>
            <w:shd w:val="clear" w:color="auto" w:fill="auto"/>
          </w:tcPr>
          <w:p w14:paraId="401370B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679139</w:t>
            </w:r>
          </w:p>
        </w:tc>
      </w:tr>
      <w:tr w:rsidR="00193229" w:rsidRPr="00193229" w14:paraId="18C646BF"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A53C5CC"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60–64 lata</w:t>
            </w:r>
          </w:p>
        </w:tc>
        <w:tc>
          <w:tcPr>
            <w:tcW w:w="1346" w:type="pct"/>
            <w:shd w:val="clear" w:color="auto" w:fill="auto"/>
          </w:tcPr>
          <w:p w14:paraId="1AD7F20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179017</w:t>
            </w:r>
          </w:p>
        </w:tc>
        <w:tc>
          <w:tcPr>
            <w:tcW w:w="1346" w:type="pct"/>
            <w:shd w:val="clear" w:color="auto" w:fill="auto"/>
          </w:tcPr>
          <w:p w14:paraId="696C1AD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170391</w:t>
            </w:r>
          </w:p>
        </w:tc>
        <w:tc>
          <w:tcPr>
            <w:tcW w:w="1347" w:type="pct"/>
            <w:shd w:val="clear" w:color="auto" w:fill="auto"/>
          </w:tcPr>
          <w:p w14:paraId="734E2AA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161166</w:t>
            </w:r>
          </w:p>
        </w:tc>
      </w:tr>
      <w:tr w:rsidR="00193229" w:rsidRPr="00193229" w14:paraId="130F8182"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994C25D"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65–69</w:t>
            </w:r>
          </w:p>
        </w:tc>
        <w:tc>
          <w:tcPr>
            <w:tcW w:w="1346" w:type="pct"/>
            <w:shd w:val="clear" w:color="auto" w:fill="auto"/>
          </w:tcPr>
          <w:p w14:paraId="2AF12D5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174088</w:t>
            </w:r>
          </w:p>
        </w:tc>
        <w:tc>
          <w:tcPr>
            <w:tcW w:w="1346" w:type="pct"/>
            <w:shd w:val="clear" w:color="auto" w:fill="auto"/>
          </w:tcPr>
          <w:p w14:paraId="0166693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173487</w:t>
            </w:r>
          </w:p>
        </w:tc>
        <w:tc>
          <w:tcPr>
            <w:tcW w:w="1347" w:type="pct"/>
            <w:shd w:val="clear" w:color="auto" w:fill="auto"/>
          </w:tcPr>
          <w:p w14:paraId="50DEEBF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173570</w:t>
            </w:r>
          </w:p>
        </w:tc>
      </w:tr>
      <w:tr w:rsidR="00193229" w:rsidRPr="00193229" w14:paraId="15CF698E"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4E81332"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70–74</w:t>
            </w:r>
          </w:p>
        </w:tc>
        <w:tc>
          <w:tcPr>
            <w:tcW w:w="1346" w:type="pct"/>
            <w:shd w:val="clear" w:color="auto" w:fill="auto"/>
          </w:tcPr>
          <w:p w14:paraId="66353D2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140650</w:t>
            </w:r>
          </w:p>
        </w:tc>
        <w:tc>
          <w:tcPr>
            <w:tcW w:w="1346" w:type="pct"/>
            <w:shd w:val="clear" w:color="auto" w:fill="auto"/>
          </w:tcPr>
          <w:p w14:paraId="2376FE4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142051</w:t>
            </w:r>
          </w:p>
        </w:tc>
        <w:tc>
          <w:tcPr>
            <w:tcW w:w="1347" w:type="pct"/>
            <w:shd w:val="clear" w:color="auto" w:fill="auto"/>
          </w:tcPr>
          <w:p w14:paraId="27056A6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144704</w:t>
            </w:r>
          </w:p>
        </w:tc>
      </w:tr>
      <w:tr w:rsidR="00193229" w:rsidRPr="00193229" w14:paraId="47F6CB2F"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1111D4A"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75–79</w:t>
            </w:r>
          </w:p>
        </w:tc>
        <w:tc>
          <w:tcPr>
            <w:tcW w:w="1346" w:type="pct"/>
            <w:shd w:val="clear" w:color="auto" w:fill="auto"/>
          </w:tcPr>
          <w:p w14:paraId="189D7C4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72038</w:t>
            </w:r>
          </w:p>
        </w:tc>
        <w:tc>
          <w:tcPr>
            <w:tcW w:w="1346" w:type="pct"/>
            <w:shd w:val="clear" w:color="auto" w:fill="auto"/>
          </w:tcPr>
          <w:p w14:paraId="6CB53B7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80631</w:t>
            </w:r>
          </w:p>
        </w:tc>
        <w:tc>
          <w:tcPr>
            <w:tcW w:w="1347" w:type="pct"/>
            <w:shd w:val="clear" w:color="auto" w:fill="auto"/>
          </w:tcPr>
          <w:p w14:paraId="7FB7C46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89826</w:t>
            </w:r>
          </w:p>
        </w:tc>
      </w:tr>
      <w:tr w:rsidR="00193229" w:rsidRPr="00193229" w14:paraId="0B77092D"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1DD9839"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80–84</w:t>
            </w:r>
          </w:p>
        </w:tc>
        <w:tc>
          <w:tcPr>
            <w:tcW w:w="1346" w:type="pct"/>
            <w:shd w:val="clear" w:color="auto" w:fill="auto"/>
          </w:tcPr>
          <w:p w14:paraId="0D25ADD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57939</w:t>
            </w:r>
          </w:p>
        </w:tc>
        <w:tc>
          <w:tcPr>
            <w:tcW w:w="1346" w:type="pct"/>
            <w:shd w:val="clear" w:color="auto" w:fill="auto"/>
          </w:tcPr>
          <w:p w14:paraId="798B7AA7"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56140</w:t>
            </w:r>
          </w:p>
        </w:tc>
        <w:tc>
          <w:tcPr>
            <w:tcW w:w="1347" w:type="pct"/>
            <w:shd w:val="clear" w:color="auto" w:fill="auto"/>
          </w:tcPr>
          <w:p w14:paraId="76ED5F8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54471</w:t>
            </w:r>
          </w:p>
        </w:tc>
      </w:tr>
      <w:tr w:rsidR="00193229" w:rsidRPr="00193229" w14:paraId="2E783ECB"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0A7C74E"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85 lat i więcej</w:t>
            </w:r>
          </w:p>
        </w:tc>
        <w:tc>
          <w:tcPr>
            <w:tcW w:w="1346" w:type="pct"/>
            <w:shd w:val="clear" w:color="auto" w:fill="auto"/>
          </w:tcPr>
          <w:p w14:paraId="6F95F1DF"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56802</w:t>
            </w:r>
          </w:p>
        </w:tc>
        <w:tc>
          <w:tcPr>
            <w:tcW w:w="1346" w:type="pct"/>
            <w:shd w:val="clear" w:color="auto" w:fill="auto"/>
          </w:tcPr>
          <w:p w14:paraId="666CDFA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55787</w:t>
            </w:r>
          </w:p>
        </w:tc>
        <w:tc>
          <w:tcPr>
            <w:tcW w:w="1347" w:type="pct"/>
            <w:shd w:val="clear" w:color="auto" w:fill="auto"/>
          </w:tcPr>
          <w:p w14:paraId="79CC522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55402</w:t>
            </w:r>
          </w:p>
        </w:tc>
      </w:tr>
      <w:tr w:rsidR="00193229" w:rsidRPr="00193229" w14:paraId="74027F09"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60DB43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Przeciętne dalsze trwanie życia</w:t>
            </w:r>
          </w:p>
        </w:tc>
        <w:tc>
          <w:tcPr>
            <w:tcW w:w="1346" w:type="pct"/>
            <w:shd w:val="clear" w:color="auto" w:fill="auto"/>
          </w:tcPr>
          <w:p w14:paraId="66C7338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męskiej – 71,1</w:t>
            </w:r>
          </w:p>
          <w:p w14:paraId="031015C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żeńskiej – 79,6</w:t>
            </w:r>
          </w:p>
          <w:p w14:paraId="1B1FA64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17,3</w:t>
            </w:r>
          </w:p>
          <w:p w14:paraId="283A6309"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60 -22,6</w:t>
            </w:r>
          </w:p>
        </w:tc>
        <w:tc>
          <w:tcPr>
            <w:tcW w:w="1346" w:type="pct"/>
            <w:shd w:val="clear" w:color="auto" w:fill="auto"/>
          </w:tcPr>
          <w:p w14:paraId="62F6231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męskiej – 70,6</w:t>
            </w:r>
          </w:p>
          <w:p w14:paraId="17AC1201"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Noworodek płci żeńskiej – 79,0</w:t>
            </w:r>
          </w:p>
          <w:p w14:paraId="3F3B6723"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Mężczyzna w wieku 60 lat – 16,8</w:t>
            </w:r>
          </w:p>
          <w:p w14:paraId="64F07B1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 21,9</w:t>
            </w:r>
          </w:p>
        </w:tc>
        <w:tc>
          <w:tcPr>
            <w:tcW w:w="1347" w:type="pct"/>
            <w:shd w:val="clear" w:color="auto" w:fill="auto"/>
          </w:tcPr>
          <w:p w14:paraId="78AEDED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Noworodek płci męskiej – </w:t>
            </w:r>
            <w:r w:rsidRPr="00193229">
              <w:rPr>
                <w:rFonts w:ascii="Lato" w:hAnsi="Lato"/>
                <w:sz w:val="18"/>
                <w:szCs w:val="18"/>
              </w:rPr>
              <w:t xml:space="preserve"> </w:t>
            </w:r>
            <w:r w:rsidRPr="00193229">
              <w:rPr>
                <w:rFonts w:ascii="Lato" w:hAnsi="Lato" w:cs="Times New Roman"/>
                <w:color w:val="auto"/>
                <w:sz w:val="18"/>
                <w:szCs w:val="18"/>
              </w:rPr>
              <w:t>72,1</w:t>
            </w:r>
          </w:p>
          <w:p w14:paraId="67A8EFB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Noworodek płci żeńskiej – </w:t>
            </w:r>
            <w:r w:rsidRPr="00193229">
              <w:rPr>
                <w:rFonts w:ascii="Lato" w:hAnsi="Lato"/>
                <w:sz w:val="18"/>
                <w:szCs w:val="18"/>
              </w:rPr>
              <w:t xml:space="preserve"> </w:t>
            </w:r>
            <w:r w:rsidRPr="00193229">
              <w:rPr>
                <w:rFonts w:ascii="Lato" w:hAnsi="Lato" w:cs="Times New Roman"/>
                <w:color w:val="auto"/>
                <w:sz w:val="18"/>
                <w:szCs w:val="18"/>
              </w:rPr>
              <w:t>80,0</w:t>
            </w:r>
          </w:p>
          <w:p w14:paraId="5701567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 xml:space="preserve">Mężczyzna w wieku 60 lat – </w:t>
            </w:r>
            <w:r w:rsidRPr="00193229">
              <w:rPr>
                <w:rFonts w:ascii="Lato" w:hAnsi="Lato"/>
                <w:sz w:val="18"/>
                <w:szCs w:val="18"/>
              </w:rPr>
              <w:t xml:space="preserve"> </w:t>
            </w:r>
            <w:r w:rsidRPr="00193229">
              <w:rPr>
                <w:rFonts w:ascii="Lato" w:hAnsi="Lato" w:cs="Times New Roman"/>
                <w:color w:val="auto"/>
                <w:sz w:val="18"/>
                <w:szCs w:val="18"/>
              </w:rPr>
              <w:t>18,1</w:t>
            </w:r>
          </w:p>
          <w:p w14:paraId="695EC6E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Kobieta w wieku 60 -</w:t>
            </w:r>
            <w:r w:rsidRPr="00193229">
              <w:rPr>
                <w:rFonts w:ascii="Lato" w:hAnsi="Lato"/>
                <w:sz w:val="18"/>
                <w:szCs w:val="18"/>
              </w:rPr>
              <w:t xml:space="preserve"> </w:t>
            </w:r>
            <w:r w:rsidRPr="00193229">
              <w:rPr>
                <w:rFonts w:ascii="Lato" w:hAnsi="Lato" w:cs="Times New Roman"/>
                <w:color w:val="auto"/>
                <w:sz w:val="18"/>
                <w:szCs w:val="18"/>
              </w:rPr>
              <w:t>23,0</w:t>
            </w:r>
          </w:p>
        </w:tc>
      </w:tr>
      <w:tr w:rsidR="00193229" w:rsidRPr="00193229" w14:paraId="60CEC062"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ED06FA9"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feminizacji</w:t>
            </w:r>
          </w:p>
        </w:tc>
        <w:tc>
          <w:tcPr>
            <w:tcW w:w="1346" w:type="pct"/>
            <w:shd w:val="clear" w:color="auto" w:fill="auto"/>
          </w:tcPr>
          <w:p w14:paraId="3D5875B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110</w:t>
            </w:r>
          </w:p>
        </w:tc>
        <w:tc>
          <w:tcPr>
            <w:tcW w:w="1346" w:type="pct"/>
            <w:shd w:val="clear" w:color="auto" w:fill="auto"/>
          </w:tcPr>
          <w:p w14:paraId="05A9E19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110</w:t>
            </w:r>
          </w:p>
        </w:tc>
        <w:tc>
          <w:tcPr>
            <w:tcW w:w="1347" w:type="pct"/>
            <w:shd w:val="clear" w:color="auto" w:fill="auto"/>
          </w:tcPr>
          <w:p w14:paraId="613F9F4A"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110</w:t>
            </w:r>
          </w:p>
        </w:tc>
      </w:tr>
      <w:tr w:rsidR="00193229" w:rsidRPr="00193229" w14:paraId="1184121E" w14:textId="77777777" w:rsidTr="00193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6B75C05"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735225A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32,1</w:t>
            </w:r>
          </w:p>
        </w:tc>
        <w:tc>
          <w:tcPr>
            <w:tcW w:w="1346" w:type="pct"/>
            <w:shd w:val="clear" w:color="auto" w:fill="auto"/>
          </w:tcPr>
          <w:p w14:paraId="317B38A2"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33,0</w:t>
            </w:r>
          </w:p>
        </w:tc>
        <w:tc>
          <w:tcPr>
            <w:tcW w:w="1347" w:type="pct"/>
            <w:shd w:val="clear" w:color="auto" w:fill="auto"/>
          </w:tcPr>
          <w:p w14:paraId="5F3864E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34,1</w:t>
            </w:r>
          </w:p>
        </w:tc>
      </w:tr>
      <w:tr w:rsidR="00193229" w:rsidRPr="00193229" w14:paraId="2CF578C1" w14:textId="77777777" w:rsidTr="0019322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2B7C9B7"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zgonów</w:t>
            </w:r>
          </w:p>
        </w:tc>
        <w:tc>
          <w:tcPr>
            <w:tcW w:w="1346" w:type="pct"/>
            <w:shd w:val="clear" w:color="auto" w:fill="auto"/>
          </w:tcPr>
          <w:p w14:paraId="2FC2298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14,8</w:t>
            </w:r>
          </w:p>
        </w:tc>
        <w:tc>
          <w:tcPr>
            <w:tcW w:w="1346" w:type="pct"/>
            <w:shd w:val="clear" w:color="auto" w:fill="auto"/>
          </w:tcPr>
          <w:p w14:paraId="46BFF4C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15,8</w:t>
            </w:r>
          </w:p>
        </w:tc>
        <w:tc>
          <w:tcPr>
            <w:tcW w:w="1347" w:type="pct"/>
            <w:shd w:val="clear" w:color="auto" w:fill="auto"/>
          </w:tcPr>
          <w:p w14:paraId="4D1EAD91"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14,0</w:t>
            </w:r>
          </w:p>
        </w:tc>
      </w:tr>
      <w:tr w:rsidR="00193229" w:rsidRPr="00193229" w14:paraId="3B20091D" w14:textId="77777777" w:rsidTr="0031646A">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0265F39"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lang w:eastAsia="pl-PL"/>
              </w:rPr>
              <w:t xml:space="preserve">AKTYWNOŚĆ EKONOMICZNA OSÓB STARSZYCH – DANE ZA 2022 R. </w:t>
            </w:r>
            <w:r w:rsidRPr="00193229">
              <w:rPr>
                <w:rFonts w:ascii="Lato" w:hAnsi="Lato" w:cs="Times New Roman"/>
                <w:color w:val="auto"/>
                <w:sz w:val="18"/>
                <w:szCs w:val="18"/>
                <w:vertAlign w:val="superscript"/>
                <w:lang w:eastAsia="pl-PL"/>
              </w:rPr>
              <w:t>1)</w:t>
            </w:r>
          </w:p>
        </w:tc>
      </w:tr>
      <w:tr w:rsidR="00193229" w:rsidRPr="00193229" w14:paraId="18A27C2D"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570A7D98" w14:textId="77777777" w:rsidR="00193229" w:rsidRPr="00193229" w:rsidRDefault="00193229" w:rsidP="00CA4EC0">
            <w:pPr>
              <w:rPr>
                <w:rFonts w:ascii="Lato" w:hAnsi="Lato" w:cs="Times New Roman"/>
                <w:color w:val="auto"/>
                <w:sz w:val="18"/>
                <w:szCs w:val="18"/>
              </w:rPr>
            </w:pPr>
            <w:r w:rsidRPr="00193229">
              <w:rPr>
                <w:rFonts w:ascii="Lato" w:hAnsi="Lato" w:cs="Times New Roman"/>
                <w:color w:val="auto"/>
                <w:sz w:val="18"/>
                <w:szCs w:val="18"/>
              </w:rPr>
              <w:t>Podział</w:t>
            </w:r>
          </w:p>
        </w:tc>
        <w:tc>
          <w:tcPr>
            <w:tcW w:w="2693" w:type="pct"/>
            <w:gridSpan w:val="2"/>
            <w:shd w:val="clear" w:color="auto" w:fill="auto"/>
          </w:tcPr>
          <w:p w14:paraId="488104D0"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Liczba</w:t>
            </w:r>
          </w:p>
        </w:tc>
      </w:tr>
      <w:tr w:rsidR="00193229" w:rsidRPr="00193229" w14:paraId="1970FD71"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C82914E"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aktywne zawodowo razem (w tys.)</w:t>
            </w:r>
          </w:p>
        </w:tc>
        <w:tc>
          <w:tcPr>
            <w:tcW w:w="1346" w:type="pct"/>
            <w:shd w:val="clear" w:color="auto" w:fill="auto"/>
          </w:tcPr>
          <w:p w14:paraId="280D37B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1E1EAA1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1157</w:t>
            </w:r>
          </w:p>
        </w:tc>
      </w:tr>
      <w:tr w:rsidR="00193229" w:rsidRPr="00193229" w14:paraId="35E43CB9" w14:textId="77777777" w:rsidTr="00193229">
        <w:trPr>
          <w:trHeight w:val="375"/>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EB7A8E7"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06D7590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0E7EEA0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116</w:t>
            </w:r>
          </w:p>
        </w:tc>
      </w:tr>
      <w:tr w:rsidR="00193229" w:rsidRPr="00193229" w14:paraId="558E1256"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FFA5190"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 xml:space="preserve">Osoby aktywne zawodowo </w:t>
            </w:r>
            <w:r w:rsidRPr="00193229">
              <w:rPr>
                <w:rFonts w:ascii="Lato" w:hAnsi="Lato" w:cs="Times New Roman"/>
                <w:color w:val="auto"/>
                <w:sz w:val="18"/>
                <w:szCs w:val="18"/>
                <w:lang w:eastAsia="pl-PL"/>
              </w:rPr>
              <w:br/>
              <w:t>– pracujący (w tys.)</w:t>
            </w:r>
          </w:p>
        </w:tc>
        <w:tc>
          <w:tcPr>
            <w:tcW w:w="1346" w:type="pct"/>
            <w:shd w:val="clear" w:color="auto" w:fill="auto"/>
          </w:tcPr>
          <w:p w14:paraId="1117B85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560694FA"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1118</w:t>
            </w:r>
          </w:p>
        </w:tc>
      </w:tr>
      <w:tr w:rsidR="00193229" w:rsidRPr="00193229" w14:paraId="17C9173C"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6624D13"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4433B7F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0F24F49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113</w:t>
            </w:r>
          </w:p>
        </w:tc>
      </w:tr>
      <w:tr w:rsidR="00193229" w:rsidRPr="00193229" w14:paraId="5055870D" w14:textId="77777777" w:rsidTr="0019322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88D175D"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Osoby bierne zawodowo (w tys.)</w:t>
            </w:r>
          </w:p>
        </w:tc>
        <w:tc>
          <w:tcPr>
            <w:tcW w:w="1346" w:type="pct"/>
            <w:shd w:val="clear" w:color="auto" w:fill="auto"/>
          </w:tcPr>
          <w:p w14:paraId="77C617F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059215A8"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801</w:t>
            </w:r>
          </w:p>
        </w:tc>
      </w:tr>
      <w:tr w:rsidR="00193229" w:rsidRPr="00193229" w14:paraId="28FF7902" w14:textId="77777777" w:rsidTr="0019322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C2AE053"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13ECD1D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7F3B8237"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547</w:t>
            </w:r>
          </w:p>
        </w:tc>
      </w:tr>
      <w:tr w:rsidR="00193229" w:rsidRPr="00193229" w14:paraId="3727F75A" w14:textId="77777777" w:rsidTr="0019322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BD21379"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Współczynnik aktywności zawodowej %</w:t>
            </w:r>
          </w:p>
        </w:tc>
        <w:tc>
          <w:tcPr>
            <w:tcW w:w="1346" w:type="pct"/>
            <w:shd w:val="clear" w:color="auto" w:fill="auto"/>
          </w:tcPr>
          <w:p w14:paraId="7541E95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7CA092A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59,1</w:t>
            </w:r>
          </w:p>
        </w:tc>
      </w:tr>
      <w:tr w:rsidR="00193229" w:rsidRPr="00193229" w14:paraId="7A4AE910" w14:textId="77777777" w:rsidTr="0019322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348FEF5"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7269A68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5A25E18E"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17,5</w:t>
            </w:r>
          </w:p>
        </w:tc>
      </w:tr>
      <w:tr w:rsidR="00193229" w:rsidRPr="00193229" w14:paraId="00493716" w14:textId="77777777" w:rsidTr="0019322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6DBFAE8" w14:textId="77777777" w:rsidR="00193229" w:rsidRPr="00193229" w:rsidRDefault="00193229" w:rsidP="00CA4EC0">
            <w:pPr>
              <w:rPr>
                <w:rFonts w:ascii="Lato" w:hAnsi="Lato" w:cs="Times New Roman"/>
                <w:b w:val="0"/>
                <w:color w:val="auto"/>
                <w:sz w:val="18"/>
                <w:szCs w:val="18"/>
                <w:lang w:eastAsia="pl-PL"/>
              </w:rPr>
            </w:pPr>
            <w:r w:rsidRPr="00193229">
              <w:rPr>
                <w:rFonts w:ascii="Lato" w:hAnsi="Lato" w:cs="Times New Roman"/>
                <w:color w:val="auto"/>
                <w:sz w:val="18"/>
                <w:szCs w:val="18"/>
                <w:lang w:eastAsia="pl-PL"/>
              </w:rPr>
              <w:t>Wskaźnik zatrudnienia %</w:t>
            </w:r>
          </w:p>
        </w:tc>
        <w:tc>
          <w:tcPr>
            <w:tcW w:w="1346" w:type="pct"/>
            <w:shd w:val="clear" w:color="auto" w:fill="auto"/>
          </w:tcPr>
          <w:p w14:paraId="603565E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7B943885"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57,1</w:t>
            </w:r>
          </w:p>
        </w:tc>
      </w:tr>
      <w:tr w:rsidR="00193229" w:rsidRPr="00193229" w14:paraId="12AC95B1"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3D308B5" w14:textId="77777777" w:rsidR="00193229" w:rsidRPr="00193229" w:rsidRDefault="00193229" w:rsidP="00CA4EC0">
            <w:pPr>
              <w:rPr>
                <w:rFonts w:ascii="Lato" w:hAnsi="Lato" w:cs="Times New Roman"/>
                <w:b w:val="0"/>
                <w:color w:val="auto"/>
                <w:sz w:val="18"/>
                <w:szCs w:val="18"/>
                <w:lang w:eastAsia="pl-PL"/>
              </w:rPr>
            </w:pPr>
          </w:p>
        </w:tc>
        <w:tc>
          <w:tcPr>
            <w:tcW w:w="1346" w:type="pct"/>
            <w:shd w:val="clear" w:color="auto" w:fill="auto"/>
          </w:tcPr>
          <w:p w14:paraId="2201C6B3"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60-89 lat</w:t>
            </w:r>
          </w:p>
        </w:tc>
        <w:tc>
          <w:tcPr>
            <w:tcW w:w="2693" w:type="pct"/>
            <w:gridSpan w:val="2"/>
            <w:shd w:val="clear" w:color="auto" w:fill="auto"/>
          </w:tcPr>
          <w:p w14:paraId="393072B0"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17,1</w:t>
            </w:r>
          </w:p>
        </w:tc>
      </w:tr>
      <w:tr w:rsidR="00193229" w:rsidRPr="00193229" w14:paraId="7B6D02C8" w14:textId="77777777" w:rsidTr="0019322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1F77348" w14:textId="77777777" w:rsidR="00193229" w:rsidRPr="00193229" w:rsidRDefault="00193229" w:rsidP="00CA4EC0">
            <w:pPr>
              <w:rPr>
                <w:rFonts w:ascii="Lato" w:hAnsi="Lato" w:cs="Times New Roman"/>
                <w:b w:val="0"/>
                <w:color w:val="auto"/>
                <w:sz w:val="18"/>
                <w:szCs w:val="18"/>
                <w:lang w:eastAsia="pl-PL"/>
              </w:rPr>
            </w:pPr>
            <w:r w:rsidRPr="00193229">
              <w:rPr>
                <w:rFonts w:ascii="Lato" w:eastAsia="Times New Roman" w:hAnsi="Lato" w:cs="Times New Roman"/>
                <w:color w:val="auto"/>
                <w:sz w:val="18"/>
                <w:szCs w:val="18"/>
                <w:lang w:eastAsia="pl-PL"/>
              </w:rPr>
              <w:t xml:space="preserve">Osoby bierne zawodowo  w wieku 60-74 lata według wybranych przyczyn bierności </w:t>
            </w:r>
            <w:r w:rsidRPr="00193229">
              <w:rPr>
                <w:rFonts w:ascii="Lato" w:eastAsia="Times New Roman" w:hAnsi="Lato" w:cs="Times New Roman"/>
                <w:color w:val="auto"/>
                <w:sz w:val="18"/>
                <w:szCs w:val="18"/>
                <w:lang w:eastAsia="pl-PL"/>
              </w:rPr>
              <w:br/>
              <w:t>(w tys.)</w:t>
            </w:r>
          </w:p>
        </w:tc>
        <w:tc>
          <w:tcPr>
            <w:tcW w:w="1346" w:type="pct"/>
            <w:shd w:val="clear" w:color="auto" w:fill="auto"/>
          </w:tcPr>
          <w:p w14:paraId="0D0E4BA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787A005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389</w:t>
            </w:r>
          </w:p>
        </w:tc>
      </w:tr>
      <w:tr w:rsidR="00193229" w:rsidRPr="00193229" w14:paraId="22F0F85B"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10B243"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B9374B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w:t>
            </w:r>
          </w:p>
        </w:tc>
      </w:tr>
      <w:tr w:rsidR="00193229" w:rsidRPr="00193229" w14:paraId="0AD38167"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174822B"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DB26D8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193229">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0121DACC"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389</w:t>
            </w:r>
          </w:p>
        </w:tc>
      </w:tr>
      <w:tr w:rsidR="00193229" w:rsidRPr="00193229" w14:paraId="5D5E6DA6" w14:textId="77777777" w:rsidTr="0019322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F181639"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A196AD4"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0C240848"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362</w:t>
            </w:r>
          </w:p>
        </w:tc>
      </w:tr>
      <w:tr w:rsidR="00193229" w:rsidRPr="00193229" w14:paraId="4FC37A83" w14:textId="77777777" w:rsidTr="0019322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AA15BB0"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B47355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25D74D76"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18</w:t>
            </w:r>
          </w:p>
        </w:tc>
      </w:tr>
      <w:tr w:rsidR="00193229" w:rsidRPr="00193229" w14:paraId="74F0430A" w14:textId="77777777" w:rsidTr="0019322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93FDAD8"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bezrobotne zarejestrowane w urzędach pracy (w tys.) </w:t>
            </w:r>
            <w:r w:rsidRPr="00193229">
              <w:rPr>
                <w:rFonts w:ascii="Lato" w:eastAsia="Times New Roman" w:hAnsi="Lato" w:cs="Times New Roman"/>
                <w:color w:val="auto"/>
                <w:sz w:val="18"/>
                <w:szCs w:val="18"/>
                <w:vertAlign w:val="superscript"/>
                <w:lang w:eastAsia="pl-PL"/>
              </w:rPr>
              <w:t>2)</w:t>
            </w:r>
          </w:p>
        </w:tc>
        <w:tc>
          <w:tcPr>
            <w:tcW w:w="1346" w:type="pct"/>
            <w:shd w:val="clear" w:color="auto" w:fill="auto"/>
          </w:tcPr>
          <w:p w14:paraId="41BB4F7C"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Ogółem</w:t>
            </w:r>
          </w:p>
        </w:tc>
        <w:tc>
          <w:tcPr>
            <w:tcW w:w="2693" w:type="pct"/>
            <w:gridSpan w:val="2"/>
            <w:shd w:val="clear" w:color="auto" w:fill="auto"/>
          </w:tcPr>
          <w:p w14:paraId="49E518AB"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54,4</w:t>
            </w:r>
          </w:p>
        </w:tc>
      </w:tr>
      <w:tr w:rsidR="00193229" w:rsidRPr="00193229" w14:paraId="4A13B672"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048DE8E"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68EB43E"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w tym w wieku 60-64 lata</w:t>
            </w:r>
          </w:p>
        </w:tc>
        <w:tc>
          <w:tcPr>
            <w:tcW w:w="2693" w:type="pct"/>
            <w:gridSpan w:val="2"/>
            <w:shd w:val="clear" w:color="auto" w:fill="auto"/>
          </w:tcPr>
          <w:p w14:paraId="6BA5936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4,1</w:t>
            </w:r>
          </w:p>
        </w:tc>
      </w:tr>
      <w:tr w:rsidR="00193229" w:rsidRPr="00193229" w14:paraId="4B1822C2" w14:textId="77777777" w:rsidTr="0019322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14B14E5" w14:textId="77777777" w:rsidR="00193229" w:rsidRPr="00193229" w:rsidRDefault="00193229" w:rsidP="00CA4EC0">
            <w:pPr>
              <w:rPr>
                <w:rFonts w:ascii="Lato" w:eastAsia="Times New Roman" w:hAnsi="Lato" w:cs="Times New Roman"/>
                <w:b w:val="0"/>
                <w:bCs w:val="0"/>
                <w:color w:val="auto"/>
                <w:sz w:val="18"/>
                <w:szCs w:val="18"/>
                <w:lang w:eastAsia="pl-PL"/>
              </w:rPr>
            </w:pPr>
            <w:r w:rsidRPr="00193229">
              <w:rPr>
                <w:rFonts w:ascii="Lato" w:eastAsia="Times New Roman" w:hAnsi="Lato" w:cs="Times New Roman"/>
                <w:color w:val="auto"/>
                <w:sz w:val="18"/>
                <w:szCs w:val="18"/>
                <w:lang w:eastAsia="pl-PL"/>
              </w:rPr>
              <w:t xml:space="preserve">Osoby pobierające renty </w:t>
            </w:r>
            <w:r w:rsidRPr="00193229">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686D7B17" w14:textId="77777777" w:rsidR="00193229" w:rsidRPr="00193229" w:rsidRDefault="0019322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ZUS</w:t>
            </w:r>
          </w:p>
        </w:tc>
      </w:tr>
      <w:tr w:rsidR="00193229" w:rsidRPr="00193229" w14:paraId="6FF89337" w14:textId="77777777" w:rsidTr="0019322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7FA3A8C"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5A51767"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397F9EB7" w14:textId="77777777" w:rsidR="00193229" w:rsidRPr="00193229" w:rsidRDefault="0019322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193229" w14:paraId="3CBA90EC" w14:textId="77777777" w:rsidTr="0019322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E34A2C9"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455D1F6"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5B64952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435,8</w:t>
            </w:r>
          </w:p>
        </w:tc>
      </w:tr>
      <w:tr w:rsidR="00193229" w:rsidRPr="00193229" w14:paraId="1ADA5E07" w14:textId="77777777" w:rsidTr="0019322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C567776"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C31DFE0"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206697CD"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34,3</w:t>
            </w:r>
          </w:p>
        </w:tc>
      </w:tr>
      <w:tr w:rsidR="00193229" w:rsidRPr="00193229" w14:paraId="78771DBB" w14:textId="77777777" w:rsidTr="0019322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656021E"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C9C0EF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39F7F4CD"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74,4</w:t>
            </w:r>
          </w:p>
        </w:tc>
      </w:tr>
      <w:tr w:rsidR="00193229" w:rsidRPr="00193229" w14:paraId="1D1EC866" w14:textId="77777777" w:rsidTr="0019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BC9728"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9FF95B3" w14:textId="77777777" w:rsidR="00193229" w:rsidRPr="00193229" w:rsidRDefault="0019322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KRUS</w:t>
            </w:r>
          </w:p>
        </w:tc>
      </w:tr>
      <w:tr w:rsidR="00193229" w:rsidRPr="00193229" w14:paraId="62314914" w14:textId="77777777" w:rsidTr="0019322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0FAB8C3"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D8EE428"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Rodzaj świadczenia</w:t>
            </w:r>
          </w:p>
        </w:tc>
        <w:tc>
          <w:tcPr>
            <w:tcW w:w="2693" w:type="pct"/>
            <w:gridSpan w:val="2"/>
            <w:shd w:val="clear" w:color="auto" w:fill="auto"/>
          </w:tcPr>
          <w:p w14:paraId="1DD3D223" w14:textId="77777777" w:rsidR="00193229" w:rsidRPr="00193229" w:rsidRDefault="0019322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193229">
              <w:rPr>
                <w:rFonts w:ascii="Lato" w:hAnsi="Lato" w:cs="Times New Roman"/>
                <w:b/>
                <w:color w:val="auto"/>
                <w:sz w:val="18"/>
                <w:szCs w:val="18"/>
              </w:rPr>
              <w:t>Przeciętna miesięczna liczba emerytów i rencistów (w tys.)</w:t>
            </w:r>
          </w:p>
        </w:tc>
      </w:tr>
      <w:tr w:rsidR="00193229" w:rsidRPr="00193229" w14:paraId="446EDD2B"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7CD5F3B"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CCB218B"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Emerytury</w:t>
            </w:r>
          </w:p>
        </w:tc>
        <w:tc>
          <w:tcPr>
            <w:tcW w:w="2693" w:type="pct"/>
            <w:gridSpan w:val="2"/>
            <w:shd w:val="clear" w:color="auto" w:fill="auto"/>
          </w:tcPr>
          <w:p w14:paraId="57D2936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70,8</w:t>
            </w:r>
          </w:p>
        </w:tc>
      </w:tr>
      <w:tr w:rsidR="00193229" w:rsidRPr="00193229" w14:paraId="74413C56" w14:textId="77777777" w:rsidTr="0019322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C279E46"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6EFD399"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z tytułu niezdolności do pracy</w:t>
            </w:r>
          </w:p>
        </w:tc>
        <w:tc>
          <w:tcPr>
            <w:tcW w:w="2693" w:type="pct"/>
            <w:gridSpan w:val="2"/>
            <w:shd w:val="clear" w:color="auto" w:fill="auto"/>
          </w:tcPr>
          <w:p w14:paraId="79956B45" w14:textId="77777777" w:rsidR="00193229" w:rsidRPr="00193229" w:rsidRDefault="0019322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10,6</w:t>
            </w:r>
          </w:p>
        </w:tc>
      </w:tr>
      <w:tr w:rsidR="00193229" w:rsidRPr="00193229" w14:paraId="30B1EEF6"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5B49C44" w14:textId="77777777" w:rsidR="00193229" w:rsidRPr="00193229" w:rsidRDefault="0019322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CDB9B44"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Renty rodzinne</w:t>
            </w:r>
          </w:p>
        </w:tc>
        <w:tc>
          <w:tcPr>
            <w:tcW w:w="2693" w:type="pct"/>
            <w:gridSpan w:val="2"/>
            <w:shd w:val="clear" w:color="auto" w:fill="auto"/>
          </w:tcPr>
          <w:p w14:paraId="0FE0733F" w14:textId="77777777" w:rsidR="00193229" w:rsidRPr="00193229" w:rsidRDefault="0019322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193229">
              <w:rPr>
                <w:rFonts w:ascii="Lato" w:hAnsi="Lato" w:cs="Times New Roman"/>
                <w:color w:val="auto"/>
                <w:sz w:val="18"/>
                <w:szCs w:val="18"/>
              </w:rPr>
              <w:t>3,1</w:t>
            </w:r>
          </w:p>
        </w:tc>
      </w:tr>
      <w:tr w:rsidR="00193229" w:rsidRPr="00193229" w14:paraId="04E0DCA6"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35291A40" w14:textId="77777777" w:rsidR="00193229" w:rsidRPr="00193229" w:rsidRDefault="00193229" w:rsidP="00CA4EC0">
            <w:pPr>
              <w:jc w:val="center"/>
              <w:rPr>
                <w:rFonts w:ascii="Lato" w:hAnsi="Lato" w:cs="Times New Roman"/>
                <w:color w:val="auto"/>
                <w:sz w:val="18"/>
                <w:szCs w:val="18"/>
              </w:rPr>
            </w:pPr>
            <w:r w:rsidRPr="00193229">
              <w:rPr>
                <w:rFonts w:ascii="Lato" w:hAnsi="Lato" w:cs="Times New Roman"/>
                <w:color w:val="auto"/>
                <w:sz w:val="18"/>
                <w:szCs w:val="18"/>
              </w:rPr>
              <w:t xml:space="preserve">SYTUACJA DOCHODOWA, WARUNKI BYTU, W TYM WARUNKI MIESZKANIOWE – DANE ZA 2022 R. </w:t>
            </w:r>
          </w:p>
        </w:tc>
      </w:tr>
      <w:tr w:rsidR="00193229" w:rsidRPr="00193229" w14:paraId="73A39BBD" w14:textId="77777777" w:rsidTr="0019322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44DB19D" w14:textId="2F4AB89C" w:rsidR="00193229" w:rsidRPr="00193229" w:rsidRDefault="00193229" w:rsidP="00CA4EC0">
            <w:pPr>
              <w:jc w:val="both"/>
              <w:rPr>
                <w:rFonts w:ascii="Lato" w:hAnsi="Lato" w:cs="Times New Roman"/>
                <w:b w:val="0"/>
                <w:color w:val="auto"/>
                <w:sz w:val="18"/>
                <w:szCs w:val="18"/>
              </w:rPr>
            </w:pPr>
            <w:r w:rsidRPr="00193229">
              <w:rPr>
                <w:rFonts w:ascii="Lato" w:hAnsi="Lato" w:cs="Times New Roman"/>
                <w:b w:val="0"/>
                <w:color w:val="auto"/>
                <w:sz w:val="18"/>
                <w:szCs w:val="18"/>
              </w:rPr>
              <w:t>W 2022 r. w województwie łódzkim przeciętny miesięczny dochód rozporządzalny przypadający na 1 osobę w gospodarstwach domowych wyniósł 2281,35 zł. Na dochód rozporządzalny gospodarstwa domowego składają się przede wszystkim dochody z pracy najemnej oraz dochody ze świadczeń społecznych. W 2022 r. ich udział w dochodzie rozporządzalnym wyniósł odpowiednio 54,5% i 31,5%. W 2022 r. przeciętne miesięczne wydatki na 1 osobę w gospodarstwach domowych wyniosły 1616,20 zł.  Na żywność i napoje bezalkoholowe gospodarstwa domowe przeznaczały przeciętnie 25,6% ogólnej kwoty wydatków, na opłaty z tytułu użytkowania mieszkania lub domu i za korzystanie z nośników energii  - 18,0%, a na zdrowie – 6,2%.</w:t>
            </w:r>
            <w:r>
              <w:rPr>
                <w:rFonts w:ascii="Lato" w:hAnsi="Lato" w:cs="Times New Roman"/>
                <w:b w:val="0"/>
                <w:color w:val="auto"/>
                <w:sz w:val="18"/>
                <w:szCs w:val="18"/>
              </w:rPr>
              <w:t xml:space="preserve"> </w:t>
            </w:r>
            <w:r w:rsidRPr="00193229">
              <w:rPr>
                <w:rFonts w:ascii="Lato" w:hAnsi="Lato" w:cs="Times New Roman"/>
                <w:b w:val="0"/>
                <w:color w:val="auto"/>
                <w:sz w:val="18"/>
                <w:szCs w:val="18"/>
              </w:rPr>
              <w:t>W 2022 r. swoją sytuację materialną jako dobrą lub raczej dobrą oceniło 44,2% gospodarstw domowych. Udział gospodarstw określających swoją sytuację materialną jako przeciętną wyniósł 47,4%, a raczej złą lub złą ukształtował się na poziomie 8,4%.</w:t>
            </w:r>
            <w:r>
              <w:rPr>
                <w:rFonts w:ascii="Lato" w:hAnsi="Lato" w:cs="Times New Roman"/>
                <w:b w:val="0"/>
                <w:color w:val="auto"/>
                <w:sz w:val="18"/>
                <w:szCs w:val="18"/>
              </w:rPr>
              <w:t xml:space="preserve"> </w:t>
            </w:r>
            <w:r w:rsidRPr="00193229">
              <w:rPr>
                <w:rFonts w:ascii="Lato" w:hAnsi="Lato" w:cs="Times New Roman"/>
                <w:b w:val="0"/>
                <w:color w:val="auto"/>
                <w:sz w:val="18"/>
                <w:szCs w:val="18"/>
              </w:rPr>
              <w:t>W analizowanym roku przeciętna liczba osób w gospodarstwie domowym ukształtowała się na poziomie 2,41. Przeciętna powierzchnia użytkowa mieszkania zajmowana przez gospodarstwo domowe wyniosła 81,0 m</w:t>
            </w:r>
            <w:r w:rsidRPr="00193229">
              <w:rPr>
                <w:rFonts w:ascii="Lato" w:hAnsi="Lato" w:cs="Times New Roman"/>
                <w:b w:val="0"/>
                <w:color w:val="auto"/>
                <w:sz w:val="18"/>
                <w:szCs w:val="18"/>
                <w:vertAlign w:val="superscript"/>
              </w:rPr>
              <w:t>2</w:t>
            </w:r>
            <w:r w:rsidRPr="00193229">
              <w:rPr>
                <w:rFonts w:ascii="Lato" w:hAnsi="Lato" w:cs="Times New Roman"/>
                <w:b w:val="0"/>
                <w:color w:val="auto"/>
                <w:sz w:val="18"/>
                <w:szCs w:val="18"/>
              </w:rPr>
              <w:t>.</w:t>
            </w:r>
          </w:p>
        </w:tc>
      </w:tr>
    </w:tbl>
    <w:p w14:paraId="0DEF8A30"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3994FB73"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237F4478" w14:textId="77777777" w:rsidR="00193229" w:rsidRPr="002A7F1A" w:rsidRDefault="00193229" w:rsidP="0019322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66FB7037" w14:textId="755536F3" w:rsidR="00193229" w:rsidRPr="00193229" w:rsidRDefault="00193229" w:rsidP="00193229">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5E878752" w14:textId="5A40CDE0" w:rsidR="00BA7CBC" w:rsidRPr="002B0821" w:rsidRDefault="00586D97" w:rsidP="00B73AF7">
      <w:pPr>
        <w:pStyle w:val="Nagwek2"/>
        <w:numPr>
          <w:ilvl w:val="1"/>
          <w:numId w:val="44"/>
        </w:numPr>
        <w:rPr>
          <w:b/>
          <w:bCs/>
        </w:rPr>
      </w:pPr>
      <w:bookmarkStart w:id="146" w:name="_Toc142565953"/>
      <w:r w:rsidRPr="002B0821">
        <w:rPr>
          <w:b/>
          <w:bCs/>
        </w:rPr>
        <w:t>Województwo małopolskie</w:t>
      </w:r>
      <w:bookmarkEnd w:id="146"/>
    </w:p>
    <w:p w14:paraId="75A9AA47" w14:textId="3B2D9885" w:rsidR="004261D9" w:rsidRDefault="004261D9" w:rsidP="004261D9">
      <w:pPr>
        <w:spacing w:after="0" w:line="240" w:lineRule="auto"/>
        <w:ind w:left="142" w:right="-1"/>
        <w:jc w:val="both"/>
        <w:rPr>
          <w:rFonts w:ascii="Lato" w:eastAsia="Calibri" w:hAnsi="Lato" w:cstheme="majorHAnsi"/>
          <w:bCs/>
          <w:sz w:val="20"/>
          <w:szCs w:val="20"/>
        </w:rPr>
      </w:pPr>
      <w:r w:rsidRPr="004261D9">
        <w:rPr>
          <w:rFonts w:ascii="Lato" w:eastAsia="Calibri" w:hAnsi="Lato" w:cstheme="majorHAnsi"/>
          <w:bCs/>
          <w:sz w:val="20"/>
          <w:szCs w:val="20"/>
        </w:rPr>
        <w:t xml:space="preserve">Aktualnie ramy dla regionalnej polityki senioralnej wyznacza </w:t>
      </w:r>
      <w:r w:rsidRPr="004261D9">
        <w:rPr>
          <w:rFonts w:ascii="Lato" w:eastAsia="Calibri" w:hAnsi="Lato" w:cstheme="majorHAnsi"/>
          <w:b/>
          <w:sz w:val="20"/>
          <w:szCs w:val="20"/>
        </w:rPr>
        <w:t>Strategia Rozwoju Województwa „Małopolska 2030”</w:t>
      </w:r>
      <w:r w:rsidRPr="004261D9">
        <w:rPr>
          <w:rFonts w:ascii="Lato" w:eastAsia="Calibri" w:hAnsi="Lato" w:cstheme="majorHAnsi"/>
          <w:bCs/>
          <w:sz w:val="20"/>
          <w:szCs w:val="20"/>
        </w:rPr>
        <w:t xml:space="preserve">, przyjęta uchwałą nr XXXI/422/20 </w:t>
      </w:r>
      <w:bookmarkStart w:id="147" w:name="_Toc53554198"/>
      <w:bookmarkStart w:id="148" w:name="_Toc54177500"/>
      <w:bookmarkStart w:id="149" w:name="_Toc54178231"/>
      <w:bookmarkStart w:id="150" w:name="_Toc54178601"/>
      <w:bookmarkStart w:id="151" w:name="_Toc54179085"/>
      <w:bookmarkStart w:id="152" w:name="_Toc54185227"/>
      <w:bookmarkStart w:id="153" w:name="_Toc54773023"/>
      <w:r w:rsidRPr="004261D9">
        <w:rPr>
          <w:rFonts w:ascii="Lato" w:eastAsia="Calibri" w:hAnsi="Lato" w:cstheme="majorHAnsi"/>
          <w:bCs/>
          <w:sz w:val="20"/>
          <w:szCs w:val="20"/>
        </w:rPr>
        <w:t>Sejmiku Województwa Małopolskiego</w:t>
      </w:r>
      <w:bookmarkEnd w:id="147"/>
      <w:bookmarkEnd w:id="148"/>
      <w:bookmarkEnd w:id="149"/>
      <w:bookmarkEnd w:id="150"/>
      <w:bookmarkEnd w:id="151"/>
      <w:bookmarkEnd w:id="152"/>
      <w:bookmarkEnd w:id="153"/>
      <w:r w:rsidRPr="004261D9">
        <w:rPr>
          <w:rFonts w:ascii="Lato" w:eastAsia="Calibri" w:hAnsi="Lato" w:cstheme="majorHAnsi"/>
          <w:bCs/>
          <w:sz w:val="20"/>
          <w:szCs w:val="20"/>
        </w:rPr>
        <w:t xml:space="preserve"> z dnia 17 grudnia 2020 r.</w:t>
      </w:r>
      <w:r w:rsidR="00F67604">
        <w:rPr>
          <w:rFonts w:ascii="Lato" w:eastAsia="Calibri" w:hAnsi="Lato" w:cstheme="majorHAnsi"/>
          <w:bCs/>
          <w:sz w:val="20"/>
          <w:szCs w:val="20"/>
          <w:vertAlign w:val="superscript"/>
        </w:rPr>
        <w:t xml:space="preserve"> </w:t>
      </w:r>
      <w:r w:rsidR="00F67604" w:rsidRPr="004261D9">
        <w:rPr>
          <w:rFonts w:ascii="Lato" w:eastAsia="Calibri" w:hAnsi="Lato" w:cstheme="majorHAnsi"/>
          <w:bCs/>
          <w:sz w:val="20"/>
          <w:szCs w:val="20"/>
        </w:rPr>
        <w:t xml:space="preserve"> </w:t>
      </w:r>
      <w:r w:rsidRPr="004261D9">
        <w:rPr>
          <w:rFonts w:ascii="Lato" w:eastAsia="Calibri" w:hAnsi="Lato" w:cstheme="majorHAnsi"/>
          <w:bCs/>
          <w:sz w:val="20"/>
          <w:szCs w:val="20"/>
        </w:rPr>
        <w:t>W strategii „Małopolska 2030” zaplanowano działania ukierunkowane na podtrzymanie sprawności i aktywności seniorów oraz wykorzystanie ich potencjału w życiu społecznym.</w:t>
      </w:r>
      <w:r w:rsidRPr="004261D9">
        <w:rPr>
          <w:rFonts w:ascii="Lato" w:eastAsia="Calibri" w:hAnsi="Lato" w:cstheme="majorHAnsi"/>
          <w:bCs/>
          <w:color w:val="FF0000"/>
          <w:sz w:val="20"/>
          <w:szCs w:val="20"/>
        </w:rPr>
        <w:t xml:space="preserve"> </w:t>
      </w:r>
      <w:r w:rsidRPr="004261D9">
        <w:rPr>
          <w:rFonts w:ascii="Lato" w:eastAsia="Calibri" w:hAnsi="Lato" w:cstheme="majorHAnsi"/>
          <w:bCs/>
          <w:sz w:val="20"/>
          <w:szCs w:val="20"/>
        </w:rPr>
        <w:t>Wobec malejącej liczby osób w wieku produkcyjnym wyzwaniem jest zapewnienie odpowiedniej liczby osób aktywnych na rynku pracy. Równie ważne jest zapewnienie dostępu do wysokiej jakości usług społecznych i zdrowotnych odpowiadających na potrzeby rosnącej grupy osób starszych. W odpowiedzi na te wyzwania, w strategii „Małopolska 2030” zaplanowano działania ukierunkowane na podtrzymanie sprawności i aktywności seniorów oraz wykorzystanie ich potencjału w życiu społecznym. Sprzyjać temu będą m.in. rozwiązania na rzecz wzrostu aktywności edukacyjnej osób starszych, szczególnie w zakresie kompetencji cyfrowych, a także działania na rzecz edukacji zdrowotnej i popularyzowania zdrowego stylu życia oraz działania profilaktyczne służące upowszechnianiu badań diagnostycznych, dzięki którym możliwe będzie odpowiednio wczesne diagnozowanie problemów zdrowotnych. Komplementarnie podejmowane będą działania na rzecz dostosowania profilu świadczeń medycznych do potrzeb starzejącego się społeczeństwa.</w:t>
      </w:r>
      <w:r w:rsidRPr="004261D9">
        <w:rPr>
          <w:rFonts w:ascii="Lato" w:eastAsia="Calibri" w:hAnsi="Lato" w:cstheme="majorHAnsi"/>
          <w:bCs/>
          <w:color w:val="FF0000"/>
          <w:sz w:val="20"/>
          <w:szCs w:val="20"/>
        </w:rPr>
        <w:t xml:space="preserve"> </w:t>
      </w:r>
      <w:r w:rsidRPr="004261D9">
        <w:rPr>
          <w:rFonts w:ascii="Lato" w:eastAsia="Calibri" w:hAnsi="Lato" w:cstheme="majorHAnsi"/>
          <w:bCs/>
          <w:sz w:val="20"/>
          <w:szCs w:val="20"/>
        </w:rPr>
        <w:t>Poprawa mobilności zawodowej oraz przeciwdziałanie przedwczesnemu opuszczaniu rynku pracy przez osoby pracujące, zarówno na skutek niedopasowania ich kompetencji do zmieniającego się popytu na określone kwalifikacje, jak i ze względu na wiek i stan zdrowia, będą priorytetowymi obszarami wsparcia.</w:t>
      </w:r>
      <w:r w:rsidRPr="004261D9">
        <w:rPr>
          <w:rFonts w:ascii="Lato" w:eastAsia="Calibri" w:hAnsi="Lato" w:cstheme="majorHAnsi"/>
          <w:bCs/>
          <w:color w:val="FF0000"/>
          <w:sz w:val="20"/>
          <w:szCs w:val="20"/>
        </w:rPr>
        <w:t xml:space="preserve"> </w:t>
      </w:r>
      <w:r w:rsidRPr="004261D9">
        <w:rPr>
          <w:rFonts w:ascii="Lato" w:eastAsia="Calibri" w:hAnsi="Lato" w:cstheme="majorHAnsi"/>
          <w:bCs/>
          <w:sz w:val="20"/>
          <w:szCs w:val="20"/>
        </w:rPr>
        <w:t>W celu społecznej aktywizacji seniorów tworzone będą w bliskim otoczeniu miejsca zamieszkania, przyjazne i dostępne przestrzenie spotkań,</w:t>
      </w:r>
      <w:r w:rsidRPr="004261D9">
        <w:rPr>
          <w:rFonts w:ascii="Lato" w:eastAsia="Calibri" w:hAnsi="Lato" w:cstheme="majorHAnsi"/>
          <w:bCs/>
          <w:sz w:val="20"/>
          <w:szCs w:val="20"/>
        </w:rPr>
        <w:br/>
        <w:t xml:space="preserve">ze zróżnicowaną ofertą spędzania czasu wolnego, także w wymiarze międzypokoleniowym. Poprawie jakości życia osób potrzebujących pomocy w codziennym funkcjonowaniu służyć będą usługi opiekuńcze i wspierające, prowadzone w formach </w:t>
      </w:r>
      <w:proofErr w:type="spellStart"/>
      <w:r w:rsidRPr="004261D9">
        <w:rPr>
          <w:rFonts w:ascii="Lato" w:eastAsia="Calibri" w:hAnsi="Lato" w:cstheme="majorHAnsi"/>
          <w:bCs/>
          <w:sz w:val="20"/>
          <w:szCs w:val="20"/>
        </w:rPr>
        <w:t>zdeinstytucjonalizowanych</w:t>
      </w:r>
      <w:proofErr w:type="spellEnd"/>
      <w:r w:rsidRPr="004261D9">
        <w:rPr>
          <w:rFonts w:ascii="Lato" w:eastAsia="Calibri" w:hAnsi="Lato" w:cstheme="majorHAnsi"/>
          <w:bCs/>
          <w:sz w:val="20"/>
          <w:szCs w:val="20"/>
        </w:rPr>
        <w:t>. Komplementarnie rozwijane będą usługi długoterminowej opieki pielęgnacyjno-opiekuńczej oraz medycznej, a także usługi wykorzystujące nowoczesne technologie informacyjno-komunikacyjne, poprawiające bezpieczeństwo i komfort życia osób starszych, przewlekle chorych lub z niepełnosprawnościami (</w:t>
      </w:r>
      <w:proofErr w:type="spellStart"/>
      <w:r w:rsidRPr="004261D9">
        <w:rPr>
          <w:rFonts w:ascii="Lato" w:eastAsia="Calibri" w:hAnsi="Lato" w:cstheme="majorHAnsi"/>
          <w:bCs/>
          <w:sz w:val="20"/>
          <w:szCs w:val="20"/>
        </w:rPr>
        <w:t>teleopieka</w:t>
      </w:r>
      <w:proofErr w:type="spellEnd"/>
      <w:r w:rsidRPr="004261D9">
        <w:rPr>
          <w:rFonts w:ascii="Lato" w:eastAsia="Calibri" w:hAnsi="Lato" w:cstheme="majorHAnsi"/>
          <w:bCs/>
          <w:sz w:val="20"/>
          <w:szCs w:val="20"/>
        </w:rPr>
        <w:t xml:space="preserve">, telemedycyna). Zintensyfikowane zostaną również działania na rzecz wsparcia opiekunów rodzinnych. </w:t>
      </w:r>
    </w:p>
    <w:p w14:paraId="52D389A2" w14:textId="77777777" w:rsidR="004261D9" w:rsidRPr="004261D9" w:rsidRDefault="004261D9" w:rsidP="004261D9">
      <w:pPr>
        <w:spacing w:after="0" w:line="240" w:lineRule="auto"/>
        <w:ind w:left="142" w:right="-1"/>
        <w:jc w:val="both"/>
        <w:rPr>
          <w:rFonts w:ascii="Lato" w:eastAsia="Calibri" w:hAnsi="Lato" w:cstheme="majorHAnsi"/>
          <w:bCs/>
          <w:sz w:val="20"/>
          <w:szCs w:val="20"/>
          <w:highlight w:val="yellow"/>
        </w:rPr>
      </w:pPr>
    </w:p>
    <w:p w14:paraId="644F381A" w14:textId="4E282CA3" w:rsidR="004261D9" w:rsidRPr="004261D9" w:rsidRDefault="004261D9" w:rsidP="004261D9">
      <w:pPr>
        <w:spacing w:after="0" w:line="240" w:lineRule="auto"/>
        <w:ind w:left="142" w:right="-1"/>
        <w:jc w:val="both"/>
        <w:rPr>
          <w:rFonts w:ascii="Lato" w:eastAsia="Calibri" w:hAnsi="Lato" w:cstheme="majorHAnsi"/>
          <w:bCs/>
          <w:sz w:val="20"/>
          <w:szCs w:val="20"/>
        </w:rPr>
      </w:pPr>
      <w:r w:rsidRPr="004261D9">
        <w:rPr>
          <w:rFonts w:ascii="Lato" w:eastAsia="Calibri" w:hAnsi="Lato" w:cstheme="majorHAnsi"/>
          <w:bCs/>
          <w:sz w:val="20"/>
          <w:szCs w:val="20"/>
        </w:rPr>
        <w:t>Źródłem finansowania wielu działań poświęconych osobom starszym w Małopolsce jest nadal  Regionalny Program Operacyjny Województwa Małopolskiego na lata 2014-2020, w tym 9. Oś Priorytetowa „Region spójny społecznie”. Możemy wymienić tu:</w:t>
      </w:r>
    </w:p>
    <w:p w14:paraId="53F4ED4D" w14:textId="77777777" w:rsidR="004261D9" w:rsidRPr="004261D9" w:rsidRDefault="004261D9" w:rsidP="0059185B">
      <w:pPr>
        <w:pStyle w:val="Akapitzlist"/>
        <w:numPr>
          <w:ilvl w:val="0"/>
          <w:numId w:val="66"/>
        </w:numPr>
        <w:spacing w:after="0" w:line="240" w:lineRule="auto"/>
        <w:ind w:right="-1"/>
        <w:jc w:val="both"/>
        <w:rPr>
          <w:rFonts w:ascii="Lato" w:hAnsi="Lato" w:cstheme="majorHAnsi"/>
          <w:b/>
          <w:sz w:val="20"/>
          <w:szCs w:val="20"/>
        </w:rPr>
      </w:pPr>
      <w:r w:rsidRPr="004261D9">
        <w:rPr>
          <w:rFonts w:ascii="Lato" w:eastAsia="Calibri" w:hAnsi="Lato" w:cstheme="majorHAnsi"/>
          <w:sz w:val="20"/>
          <w:szCs w:val="20"/>
        </w:rPr>
        <w:lastRenderedPageBreak/>
        <w:t xml:space="preserve">Poddziałanie 9.2.1. USŁUGI SPOŁECZNE I ZDROWOTNE W REGIONIE, zakres wsparcia D – „Wsparcie projektów z zakresu </w:t>
      </w:r>
      <w:proofErr w:type="spellStart"/>
      <w:r w:rsidRPr="004261D9">
        <w:rPr>
          <w:rFonts w:ascii="Lato" w:eastAsia="Calibri" w:hAnsi="Lato" w:cstheme="majorHAnsi"/>
          <w:sz w:val="20"/>
          <w:szCs w:val="20"/>
        </w:rPr>
        <w:t>teleopieki</w:t>
      </w:r>
      <w:proofErr w:type="spellEnd"/>
      <w:r w:rsidRPr="004261D9">
        <w:rPr>
          <w:rFonts w:ascii="Lato" w:eastAsia="Calibri" w:hAnsi="Lato" w:cstheme="majorHAnsi"/>
          <w:sz w:val="20"/>
          <w:szCs w:val="20"/>
        </w:rPr>
        <w:t xml:space="preserve">”; </w:t>
      </w:r>
    </w:p>
    <w:p w14:paraId="1EF8AF48" w14:textId="77777777" w:rsidR="00F67604" w:rsidRPr="00F67604" w:rsidRDefault="004261D9" w:rsidP="0059185B">
      <w:pPr>
        <w:pStyle w:val="Akapitzlist"/>
        <w:numPr>
          <w:ilvl w:val="0"/>
          <w:numId w:val="66"/>
        </w:numPr>
        <w:spacing w:after="0" w:line="240" w:lineRule="auto"/>
        <w:ind w:right="-1"/>
        <w:jc w:val="both"/>
        <w:rPr>
          <w:rFonts w:ascii="Lato" w:hAnsi="Lato" w:cstheme="majorHAnsi"/>
          <w:b/>
          <w:sz w:val="20"/>
          <w:szCs w:val="20"/>
        </w:rPr>
      </w:pPr>
      <w:r w:rsidRPr="004261D9">
        <w:rPr>
          <w:rFonts w:ascii="Lato" w:eastAsia="Calibri" w:hAnsi="Lato" w:cstheme="majorHAnsi"/>
          <w:sz w:val="20"/>
          <w:szCs w:val="20"/>
        </w:rPr>
        <w:t>Poddziałania 9.2.2/ 9.2.3 USŁUGI OPIEKUŃCZE ORAZ INTERWENCJA KRYZYSOWA ZIT/SPR, zakres wsparcia A – „Działania wspierające opiekunów nieformalnych osób wymagających wsparcia w codziennym funkcjonowaniu, poprzez uruchomienie centrów wsparcia opiekunów (…)”; zakres wsparcia</w:t>
      </w:r>
      <w:r w:rsidRPr="004261D9">
        <w:rPr>
          <w:rFonts w:ascii="Lato" w:eastAsia="Calibri" w:hAnsi="Lato" w:cstheme="majorHAnsi"/>
          <w:b/>
          <w:sz w:val="20"/>
          <w:szCs w:val="20"/>
        </w:rPr>
        <w:t xml:space="preserve"> </w:t>
      </w:r>
      <w:r w:rsidRPr="004261D9">
        <w:rPr>
          <w:rFonts w:ascii="Lato" w:eastAsia="Calibri" w:hAnsi="Lato" w:cstheme="majorHAnsi"/>
          <w:bCs/>
          <w:sz w:val="20"/>
          <w:szCs w:val="20"/>
        </w:rPr>
        <w:t>B</w:t>
      </w:r>
      <w:r w:rsidRPr="004261D9">
        <w:rPr>
          <w:rFonts w:ascii="Lato" w:eastAsia="Calibri" w:hAnsi="Lato" w:cstheme="majorHAnsi"/>
          <w:b/>
          <w:sz w:val="20"/>
          <w:szCs w:val="20"/>
        </w:rPr>
        <w:t xml:space="preserve"> </w:t>
      </w:r>
      <w:r w:rsidRPr="004261D9">
        <w:rPr>
          <w:rFonts w:ascii="Lato" w:eastAsia="Calibri" w:hAnsi="Lato" w:cstheme="majorHAnsi"/>
          <w:bCs/>
          <w:sz w:val="20"/>
          <w:szCs w:val="20"/>
        </w:rPr>
        <w:t>– „</w:t>
      </w:r>
      <w:r w:rsidRPr="004261D9">
        <w:rPr>
          <w:rFonts w:ascii="Lato" w:eastAsia="Calibri" w:hAnsi="Lato" w:cstheme="majorHAnsi"/>
          <w:sz w:val="20"/>
          <w:szCs w:val="20"/>
        </w:rPr>
        <w:t>Wsparcie dla tworzenia i/lub działalności placówek zapewniających dzienną opiekę i aktywizację osób wymagających wsparcia w codziennym funkcjonowaniu (…)”.</w:t>
      </w:r>
    </w:p>
    <w:p w14:paraId="77E0CA79" w14:textId="77777777" w:rsidR="00F67604" w:rsidRDefault="00F67604" w:rsidP="00F67604">
      <w:pPr>
        <w:spacing w:after="0" w:line="240" w:lineRule="auto"/>
        <w:ind w:right="-1"/>
        <w:jc w:val="both"/>
        <w:rPr>
          <w:rFonts w:ascii="Lato" w:eastAsia="Calibri" w:hAnsi="Lato" w:cstheme="majorHAnsi"/>
          <w:sz w:val="20"/>
          <w:szCs w:val="20"/>
        </w:rPr>
      </w:pPr>
    </w:p>
    <w:p w14:paraId="6782F254" w14:textId="01215C5B" w:rsidR="004261D9" w:rsidRPr="00F67604" w:rsidRDefault="004261D9" w:rsidP="00F67604">
      <w:pPr>
        <w:spacing w:after="0" w:line="240" w:lineRule="auto"/>
        <w:ind w:right="-1"/>
        <w:jc w:val="both"/>
        <w:rPr>
          <w:rFonts w:ascii="Lato" w:hAnsi="Lato" w:cstheme="majorHAnsi"/>
          <w:b/>
          <w:sz w:val="20"/>
          <w:szCs w:val="20"/>
        </w:rPr>
      </w:pPr>
      <w:r w:rsidRPr="00F67604">
        <w:rPr>
          <w:rFonts w:ascii="Lato" w:eastAsia="Calibri" w:hAnsi="Lato" w:cstheme="majorHAnsi"/>
          <w:sz w:val="20"/>
          <w:szCs w:val="20"/>
        </w:rPr>
        <w:t>Dotychczasowe efekty wdrażania Regionalnego Programu Operacyjnego Województwa Małopolskiego na lata 2014-2020 w w/w obszarach kształtował się następująco:</w:t>
      </w:r>
    </w:p>
    <w:p w14:paraId="4C4C888C" w14:textId="6920B698" w:rsidR="00F67604" w:rsidRDefault="004261D9" w:rsidP="0059185B">
      <w:pPr>
        <w:pStyle w:val="Akapitzlist"/>
        <w:numPr>
          <w:ilvl w:val="0"/>
          <w:numId w:val="67"/>
        </w:numPr>
        <w:tabs>
          <w:tab w:val="left" w:pos="284"/>
        </w:tabs>
        <w:spacing w:after="0" w:line="240" w:lineRule="auto"/>
        <w:jc w:val="both"/>
        <w:rPr>
          <w:rFonts w:ascii="Lato" w:eastAsia="Calibri" w:hAnsi="Lato" w:cstheme="majorHAnsi"/>
          <w:sz w:val="20"/>
          <w:szCs w:val="20"/>
        </w:rPr>
      </w:pPr>
      <w:r w:rsidRPr="00F67604">
        <w:rPr>
          <w:rFonts w:ascii="Lato" w:eastAsia="Calibri" w:hAnsi="Lato" w:cstheme="majorHAnsi"/>
          <w:b/>
          <w:sz w:val="20"/>
          <w:szCs w:val="20"/>
        </w:rPr>
        <w:t xml:space="preserve">wsparcie projektów z zakresu </w:t>
      </w:r>
      <w:proofErr w:type="spellStart"/>
      <w:r w:rsidRPr="00F67604">
        <w:rPr>
          <w:rFonts w:ascii="Lato" w:eastAsia="Calibri" w:hAnsi="Lato" w:cstheme="majorHAnsi"/>
          <w:b/>
          <w:sz w:val="20"/>
          <w:szCs w:val="20"/>
        </w:rPr>
        <w:t>teleopieki</w:t>
      </w:r>
      <w:proofErr w:type="spellEnd"/>
      <w:r w:rsidR="00F67604">
        <w:rPr>
          <w:rFonts w:ascii="Lato" w:eastAsia="Calibri" w:hAnsi="Lato" w:cstheme="majorHAnsi"/>
          <w:b/>
          <w:sz w:val="20"/>
          <w:szCs w:val="20"/>
        </w:rPr>
        <w:t xml:space="preserve">. </w:t>
      </w:r>
      <w:r w:rsidRPr="00F67604">
        <w:rPr>
          <w:rFonts w:ascii="Lato" w:eastAsia="Calibri" w:hAnsi="Lato" w:cstheme="majorHAnsi"/>
          <w:sz w:val="20"/>
          <w:szCs w:val="20"/>
        </w:rPr>
        <w:t xml:space="preserve">Samorząd Województwa Małopolskiego w partnerstwie z Caritas Diecezji Kieleckiej oraz Stowarzyszeniem Europejski Instytut Rozwoju Regionalnego z Suchej Beskidzkiej realizuje projekt „Małopolski Tele-Anioł”. Dzięki wykorzystaniu nowoczesnych technologii informacyjno-komunikacyjnych oraz zapewnieniu wsparcia w zakresie usług opiekuńczych w miejscu zamieszkania, osoby potrzebujące mają szansę na dłuższe, bezpieczne pozostanie w ich dotychczasowym środowisku. Do 31 grudnia 2022 r. z usług </w:t>
      </w:r>
      <w:proofErr w:type="spellStart"/>
      <w:r w:rsidRPr="00F67604">
        <w:rPr>
          <w:rFonts w:ascii="Lato" w:eastAsia="Calibri" w:hAnsi="Lato" w:cstheme="majorHAnsi"/>
          <w:sz w:val="20"/>
          <w:szCs w:val="20"/>
        </w:rPr>
        <w:t>teleopiekuńczych</w:t>
      </w:r>
      <w:proofErr w:type="spellEnd"/>
      <w:r w:rsidRPr="00F67604">
        <w:rPr>
          <w:rFonts w:ascii="Lato" w:eastAsia="Calibri" w:hAnsi="Lato" w:cstheme="majorHAnsi"/>
          <w:sz w:val="20"/>
          <w:szCs w:val="20"/>
        </w:rPr>
        <w:t xml:space="preserve"> w ramach projektu skorzystało 6 266 osób niesamodzielnych, z tego 1 956 osób otrzymało dodatkowe usługi sąsiedzkie/opiekuńcze świadczone w miejscu zamieszkania. Zdecydowaną większość z tej grupy stanowią seniorzy. Wartość projektu –90,4 mln zł (w tym: dofinansowanie UE 76,8 mln zł). </w:t>
      </w:r>
    </w:p>
    <w:p w14:paraId="0B338204" w14:textId="5C45497A" w:rsidR="00F67604" w:rsidRDefault="004261D9" w:rsidP="0059185B">
      <w:pPr>
        <w:pStyle w:val="Akapitzlist"/>
        <w:numPr>
          <w:ilvl w:val="0"/>
          <w:numId w:val="67"/>
        </w:numPr>
        <w:tabs>
          <w:tab w:val="left" w:pos="284"/>
        </w:tabs>
        <w:spacing w:after="0" w:line="240" w:lineRule="auto"/>
        <w:jc w:val="both"/>
        <w:rPr>
          <w:rFonts w:ascii="Lato" w:eastAsia="Calibri" w:hAnsi="Lato" w:cstheme="majorHAnsi"/>
          <w:sz w:val="20"/>
          <w:szCs w:val="20"/>
        </w:rPr>
      </w:pPr>
      <w:r w:rsidRPr="00F67604">
        <w:rPr>
          <w:rFonts w:ascii="Lato" w:eastAsia="Calibri" w:hAnsi="Lato" w:cstheme="majorHAnsi"/>
          <w:b/>
          <w:sz w:val="20"/>
          <w:szCs w:val="20"/>
        </w:rPr>
        <w:t>działania wspierające opiekunów nieformalnych osób wymagających wsparcia w codziennym funkcjonowaniu, poprzez uruchomienie centrów wsparcia opiekunów (…).</w:t>
      </w:r>
      <w:r w:rsidR="00F67604">
        <w:rPr>
          <w:vertAlign w:val="superscript"/>
        </w:rPr>
        <w:t xml:space="preserve"> </w:t>
      </w:r>
      <w:r w:rsidRPr="00F67604">
        <w:rPr>
          <w:rFonts w:ascii="Lato" w:eastAsia="Calibri" w:hAnsi="Lato" w:cstheme="majorHAnsi"/>
          <w:sz w:val="20"/>
          <w:szCs w:val="20"/>
        </w:rPr>
        <w:t xml:space="preserve">Wartość środków wydatkowanych łącznie do końca 2022 r.: 27,5 mln zł, w tym w 2022 r.: 7,6 mln zł. W wyniku realizacji dofinasowanych projektów, dla których zawarto umowy do końca 2022 r. powstało 11 centrów wsparcia opiekunów rodzinnych osób niesamodzielnych, a w 4 wsparcie przyznano na rozszerzenie zakresu działalności. Wsparciem w dofinansowanych projektach planuje się objąć 10,5 tys. osób. Do końca 2022 r. wsparciem objęto ponad 9 tys. osób (w tym 2,7 tys. w 2022 r.). </w:t>
      </w:r>
    </w:p>
    <w:p w14:paraId="5552529A" w14:textId="0255681B" w:rsidR="004261D9" w:rsidRPr="00F67604" w:rsidRDefault="004261D9" w:rsidP="0059185B">
      <w:pPr>
        <w:pStyle w:val="Akapitzlist"/>
        <w:numPr>
          <w:ilvl w:val="0"/>
          <w:numId w:val="67"/>
        </w:numPr>
        <w:tabs>
          <w:tab w:val="left" w:pos="284"/>
        </w:tabs>
        <w:spacing w:after="0" w:line="240" w:lineRule="auto"/>
        <w:jc w:val="both"/>
        <w:rPr>
          <w:rFonts w:ascii="Lato" w:eastAsia="Calibri" w:hAnsi="Lato" w:cstheme="majorHAnsi"/>
          <w:sz w:val="20"/>
          <w:szCs w:val="20"/>
        </w:rPr>
      </w:pPr>
      <w:r w:rsidRPr="00F67604">
        <w:rPr>
          <w:rFonts w:ascii="Lato" w:eastAsia="Calibri" w:hAnsi="Lato" w:cstheme="majorHAnsi"/>
          <w:b/>
          <w:sz w:val="20"/>
          <w:szCs w:val="20"/>
        </w:rPr>
        <w:t>wsparcie dla tworzenia i/lub działalności placówek zapewniających dzienną opiekę i aktywizację osób starszych (…).</w:t>
      </w:r>
      <w:r w:rsidRPr="00F67604">
        <w:rPr>
          <w:rFonts w:ascii="Lato" w:eastAsia="Calibri" w:hAnsi="Lato" w:cstheme="majorHAnsi"/>
          <w:sz w:val="20"/>
          <w:szCs w:val="20"/>
        </w:rPr>
        <w:t xml:space="preserve"> Zakres udzielanego wsparcia obejmuje wsparcie dla tworzenia i/lub działalności placówek oferujących oddziaływania terapeutyczne i inne zapewniające utrzymanie optymalnego stanu psychofizycznego, samodzielności i aktywności uczestników i niedopuszczanie do pogłębiania się dysfunkcji, a także edukację osób niesamodzielnych i ich rodzin. Do końca 2022 r. łącznie w projektach wydatkowano niemal 94,9 mln zł, w tym w 2022 r.: około 16 mln zł. Według zaktualizowanych danych z poziomu wdrażania, w ramach realizowanych projektów aktualnie przewiduje się utworzenie w Małopolsce 45 nowych placówek zapewniających dzienną opiekę i aktywizację osób niesamodzielnych w Małopolsce i rozszerzenie zakresu działalności 7 kolejnych placówek. Wsparciem w dofinansowanych projektach planuje się objąć 3,7 tys. osób. Do końca 2022 r. wsparciem objęto ponad 3,5 tys. osób (w tym</w:t>
      </w:r>
      <w:r w:rsidR="00F67604">
        <w:rPr>
          <w:rFonts w:ascii="Lato" w:eastAsia="Calibri" w:hAnsi="Lato" w:cstheme="majorHAnsi"/>
          <w:sz w:val="20"/>
          <w:szCs w:val="20"/>
        </w:rPr>
        <w:t xml:space="preserve"> </w:t>
      </w:r>
      <w:r w:rsidRPr="00F67604">
        <w:rPr>
          <w:rFonts w:ascii="Lato" w:eastAsia="Calibri" w:hAnsi="Lato" w:cstheme="majorHAnsi"/>
          <w:sz w:val="20"/>
          <w:szCs w:val="20"/>
        </w:rPr>
        <w:t>440 w 2022 r.). Jednocześnie dofinansowano 9 projektów (z naborów w 2017 r. i 2019 r.) łączących obie w/w usługi społeczne czyli prowadzenie placówki opieki dziennej dla seniorów (12 nowych placówek i rozszerzenie działalności 3 miejsc) i centrum wsparcia opiekunów rodzinnych osób niesamodzielnych (8 nowych, 2 wsparte w dotychczasowej działalności). Wsparciem w tego rodzaju projektach planuje się objąć kolejne 2,9 tys. osób. Łączna wartość tego rodzaju projektów to ponad 38 mln zł, z czego dofinansowanie UE wyniosło 32,3 mln zł. Wartość środków wydatkowanych łącznie do końca 2022 r.:23,3 mln zł, w tym w 2022 r.: 9,8 mln zł. W oparciu o wszystkie w/w umowy, według zaktualizowanych danych, efekty w regionie szacuje się na 57 nowo utworzonych placówek zapewniających dzienną opiekę i aktywizację starszych osób oraz 19 centrów wsparcia opiekunów rodzinnych.</w:t>
      </w:r>
    </w:p>
    <w:p w14:paraId="6677D78A" w14:textId="1E94A9F1" w:rsidR="00F67604" w:rsidRDefault="00F67604" w:rsidP="004261D9">
      <w:pPr>
        <w:tabs>
          <w:tab w:val="left" w:pos="142"/>
        </w:tabs>
        <w:spacing w:after="0" w:line="240" w:lineRule="auto"/>
        <w:ind w:left="142"/>
        <w:jc w:val="both"/>
        <w:rPr>
          <w:rFonts w:ascii="Lato" w:eastAsia="Calibri" w:hAnsi="Lato" w:cstheme="majorHAnsi"/>
          <w:b/>
          <w:color w:val="000000"/>
          <w:sz w:val="20"/>
          <w:szCs w:val="20"/>
        </w:rPr>
      </w:pPr>
    </w:p>
    <w:p w14:paraId="4848501A" w14:textId="3AA810EE" w:rsidR="00F67604" w:rsidRPr="00F67604" w:rsidRDefault="00F67604" w:rsidP="00F67604">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255E4470" w14:textId="495A8981" w:rsidR="004261D9" w:rsidRPr="00F67604" w:rsidRDefault="00F67604" w:rsidP="00F67604">
      <w:pPr>
        <w:spacing w:after="0" w:line="240" w:lineRule="auto"/>
        <w:jc w:val="both"/>
        <w:rPr>
          <w:rFonts w:ascii="Lato" w:eastAsia="Calibri" w:hAnsi="Lato" w:cstheme="majorHAnsi"/>
          <w:b/>
          <w:color w:val="000000"/>
          <w:sz w:val="20"/>
          <w:szCs w:val="20"/>
        </w:rPr>
      </w:pPr>
      <w:r>
        <w:rPr>
          <w:rFonts w:ascii="Lato" w:eastAsia="Calibri" w:hAnsi="Lato" w:cstheme="majorHAnsi"/>
          <w:b/>
          <w:bCs/>
          <w:color w:val="000000"/>
          <w:sz w:val="20"/>
          <w:szCs w:val="20"/>
        </w:rPr>
        <w:t>O</w:t>
      </w:r>
      <w:r w:rsidR="004261D9" w:rsidRPr="004261D9">
        <w:rPr>
          <w:rFonts w:ascii="Lato" w:eastAsia="Calibri" w:hAnsi="Lato" w:cstheme="majorHAnsi"/>
          <w:b/>
          <w:bCs/>
          <w:color w:val="000000"/>
          <w:sz w:val="20"/>
          <w:szCs w:val="20"/>
        </w:rPr>
        <w:t>twarte konkursy ofert na realizację zadań publicznych Województwa Małopolskiego w zakresie wspierania funkcjonowania społecznego oraz przeciwdziałania wykluczeniu osób starszych.</w:t>
      </w:r>
      <w:r>
        <w:rPr>
          <w:rFonts w:ascii="Lato" w:eastAsia="Calibri" w:hAnsi="Lato" w:cstheme="majorHAnsi"/>
          <w:b/>
          <w:bCs/>
          <w:color w:val="000000"/>
          <w:sz w:val="20"/>
          <w:szCs w:val="20"/>
          <w:vertAlign w:val="superscript"/>
        </w:rPr>
        <w:t xml:space="preserve"> </w:t>
      </w:r>
      <w:r w:rsidRPr="004261D9">
        <w:rPr>
          <w:rFonts w:ascii="Lato" w:hAnsi="Lato" w:cstheme="majorHAnsi"/>
          <w:sz w:val="20"/>
          <w:szCs w:val="20"/>
        </w:rPr>
        <w:t xml:space="preserve"> </w:t>
      </w:r>
      <w:r w:rsidR="004261D9" w:rsidRPr="004261D9">
        <w:rPr>
          <w:rFonts w:ascii="Lato" w:hAnsi="Lato" w:cstheme="majorHAnsi"/>
          <w:sz w:val="20"/>
          <w:szCs w:val="20"/>
        </w:rPr>
        <w:t>Zadanie od 2019 r. o charakterze dwuletnim, realizowane ze środków własnych Województwa Małopolskiego, adresowane do organizacji pozarządowych. W 2022 r.</w:t>
      </w:r>
      <w:r>
        <w:rPr>
          <w:rFonts w:ascii="Lato" w:hAnsi="Lato" w:cstheme="majorHAnsi"/>
          <w:sz w:val="20"/>
          <w:szCs w:val="20"/>
        </w:rPr>
        <w:t xml:space="preserve"> </w:t>
      </w:r>
      <w:r w:rsidR="004261D9" w:rsidRPr="004261D9">
        <w:rPr>
          <w:rFonts w:ascii="Lato" w:hAnsi="Lato" w:cstheme="majorHAnsi"/>
          <w:sz w:val="20"/>
          <w:szCs w:val="20"/>
        </w:rPr>
        <w:t>28 organizacji realizowało zadania w ramach otwartego konkursu ofert.</w:t>
      </w:r>
      <w:r w:rsidR="004261D9" w:rsidRPr="004261D9">
        <w:rPr>
          <w:rFonts w:ascii="Lato" w:eastAsia="Calibri" w:hAnsi="Lato" w:cstheme="majorHAnsi"/>
          <w:sz w:val="20"/>
          <w:szCs w:val="20"/>
        </w:rPr>
        <w:t xml:space="preserve"> Projekty najczęściej oferowały: zajęcia edukacyjne, wolontariat seniorów, promocję zdrowego stylu życia – warsztaty, wykłady, rekreację i rehabilitację ruchową, naukę obsługi komputera</w:t>
      </w:r>
      <w:r>
        <w:rPr>
          <w:rFonts w:ascii="Lato" w:eastAsia="Calibri" w:hAnsi="Lato" w:cstheme="majorHAnsi"/>
          <w:sz w:val="20"/>
          <w:szCs w:val="20"/>
        </w:rPr>
        <w:t xml:space="preserve"> </w:t>
      </w:r>
      <w:r w:rsidR="004261D9" w:rsidRPr="004261D9">
        <w:rPr>
          <w:rFonts w:ascii="Lato" w:eastAsia="Calibri" w:hAnsi="Lato" w:cstheme="majorHAnsi"/>
          <w:sz w:val="20"/>
          <w:szCs w:val="20"/>
        </w:rPr>
        <w:t xml:space="preserve">i korzystania z </w:t>
      </w:r>
      <w:r w:rsidRPr="004261D9">
        <w:rPr>
          <w:rFonts w:ascii="Lato" w:eastAsia="Calibri" w:hAnsi="Lato" w:cstheme="majorHAnsi"/>
          <w:sz w:val="20"/>
          <w:szCs w:val="20"/>
        </w:rPr>
        <w:t>Internetu</w:t>
      </w:r>
      <w:r w:rsidR="004261D9" w:rsidRPr="004261D9">
        <w:rPr>
          <w:rFonts w:ascii="Lato" w:eastAsia="Calibri" w:hAnsi="Lato" w:cstheme="majorHAnsi"/>
          <w:sz w:val="20"/>
          <w:szCs w:val="20"/>
        </w:rPr>
        <w:t xml:space="preserve">, integrację międzypokoleniową. Z dofinansowanych projektów </w:t>
      </w:r>
      <w:r w:rsidR="004261D9" w:rsidRPr="004261D9">
        <w:rPr>
          <w:rFonts w:ascii="Lato" w:eastAsia="Calibri" w:hAnsi="Lato" w:cstheme="majorHAnsi"/>
          <w:sz w:val="20"/>
          <w:szCs w:val="20"/>
        </w:rPr>
        <w:lastRenderedPageBreak/>
        <w:t>korzysta ok. 3 000 seniorów z całej Małopolski. Całkowita wartość zadania - 1 mln zł, poniesione nakłady ogółem i nakłady poniesione w 2022 r.: 500 tys. zł.</w:t>
      </w:r>
    </w:p>
    <w:p w14:paraId="1E518B0C" w14:textId="77777777" w:rsidR="00F67604" w:rsidRDefault="00F67604" w:rsidP="00F67604">
      <w:pPr>
        <w:overflowPunct w:val="0"/>
        <w:autoSpaceDE w:val="0"/>
        <w:autoSpaceDN w:val="0"/>
        <w:adjustRightInd w:val="0"/>
        <w:spacing w:after="0" w:line="240" w:lineRule="auto"/>
        <w:jc w:val="both"/>
        <w:textAlignment w:val="baseline"/>
        <w:rPr>
          <w:rFonts w:ascii="Lato" w:eastAsia="Calibri" w:hAnsi="Lato" w:cstheme="majorHAnsi"/>
          <w:b/>
          <w:bCs/>
          <w:color w:val="000000"/>
          <w:sz w:val="20"/>
          <w:szCs w:val="20"/>
        </w:rPr>
      </w:pPr>
    </w:p>
    <w:p w14:paraId="2C744658" w14:textId="3E6C1F3D" w:rsidR="004261D9" w:rsidRPr="004261D9" w:rsidRDefault="00F67604" w:rsidP="00F67604">
      <w:pPr>
        <w:overflowPunct w:val="0"/>
        <w:autoSpaceDE w:val="0"/>
        <w:autoSpaceDN w:val="0"/>
        <w:adjustRightInd w:val="0"/>
        <w:spacing w:after="0" w:line="240" w:lineRule="auto"/>
        <w:jc w:val="both"/>
        <w:textAlignment w:val="baseline"/>
        <w:rPr>
          <w:rFonts w:ascii="Lato" w:eastAsia="Calibri" w:hAnsi="Lato" w:cstheme="majorHAnsi"/>
          <w:sz w:val="20"/>
          <w:szCs w:val="20"/>
        </w:rPr>
      </w:pPr>
      <w:r>
        <w:rPr>
          <w:rFonts w:ascii="Lato" w:eastAsia="Calibri" w:hAnsi="Lato" w:cstheme="majorHAnsi"/>
          <w:b/>
          <w:bCs/>
          <w:color w:val="000000"/>
          <w:sz w:val="20"/>
          <w:szCs w:val="20"/>
        </w:rPr>
        <w:t>O</w:t>
      </w:r>
      <w:r w:rsidR="004261D9" w:rsidRPr="004261D9">
        <w:rPr>
          <w:rFonts w:ascii="Lato" w:eastAsia="Calibri" w:hAnsi="Lato" w:cstheme="majorHAnsi"/>
          <w:b/>
          <w:bCs/>
          <w:color w:val="000000"/>
          <w:sz w:val="20"/>
          <w:szCs w:val="20"/>
        </w:rPr>
        <w:t>twarte konkursy ofert na realizację zadań publicznych Województwa Małopolskiego w obszarze edukacji prozdrowotnej dla małopolskich seniorów</w:t>
      </w:r>
      <w:r w:rsidR="004261D9" w:rsidRPr="004261D9">
        <w:rPr>
          <w:rFonts w:ascii="Lato" w:eastAsia="Calibri" w:hAnsi="Lato" w:cstheme="majorHAnsi"/>
          <w:color w:val="000000"/>
          <w:sz w:val="20"/>
          <w:szCs w:val="20"/>
        </w:rPr>
        <w:t xml:space="preserve">. </w:t>
      </w:r>
      <w:r w:rsidR="004261D9" w:rsidRPr="004261D9">
        <w:rPr>
          <w:rFonts w:ascii="Lato" w:eastAsia="Calibri" w:hAnsi="Lato" w:cstheme="majorHAnsi"/>
          <w:sz w:val="20"/>
          <w:szCs w:val="20"/>
        </w:rPr>
        <w:t>W 2020 roku przeprowadzono nabór w ramach kolejnej edycji konkursu dwuletniego na lata 2021-2022. Alokacja konkursowa łącznie w latach 2016-2022 wyniosła ponad 1,4 mln zł. Liczba dofinansowanych projektów: 35, w tym 7 w ramach ogłoszonego w 2020 roku konkursu dwuletniego. Łączna kwota dotacji przyznanej w ramach konkursu: 500 tys. zł, w tym 250 tys. zł na 2021 r., oraz 250 tys. zł na 2022 r. Warunkiem otrzymania dotacji</w:t>
      </w:r>
      <w:r>
        <w:rPr>
          <w:rFonts w:ascii="Lato" w:eastAsia="Calibri" w:hAnsi="Lato" w:cstheme="majorHAnsi"/>
          <w:sz w:val="20"/>
          <w:szCs w:val="20"/>
        </w:rPr>
        <w:t xml:space="preserve"> </w:t>
      </w:r>
      <w:r w:rsidR="004261D9" w:rsidRPr="004261D9">
        <w:rPr>
          <w:rFonts w:ascii="Lato" w:eastAsia="Calibri" w:hAnsi="Lato" w:cstheme="majorHAnsi"/>
          <w:sz w:val="20"/>
          <w:szCs w:val="20"/>
        </w:rPr>
        <w:t>z budżetu Województwa Małopolskiego było zaangażowanie lekarzy pierwszego kontaktu/rodzinnych oraz lekarzy specjalistów do prowadzenia wykładów i konsultacji medycznych w trakcie spotkań z seniorami. Zebrane doświadczenia i spostrzeżenia</w:t>
      </w:r>
      <w:r>
        <w:rPr>
          <w:rFonts w:ascii="Lato" w:eastAsia="Calibri" w:hAnsi="Lato" w:cstheme="majorHAnsi"/>
          <w:sz w:val="20"/>
          <w:szCs w:val="20"/>
        </w:rPr>
        <w:t xml:space="preserve"> </w:t>
      </w:r>
      <w:r w:rsidR="004261D9" w:rsidRPr="004261D9">
        <w:rPr>
          <w:rFonts w:ascii="Lato" w:eastAsia="Calibri" w:hAnsi="Lato" w:cstheme="majorHAnsi"/>
          <w:sz w:val="20"/>
          <w:szCs w:val="20"/>
        </w:rPr>
        <w:t>z realizacji poszczególnych zadań zostały opracowane w formie raportu zawierającego rekomendacje, które posłużą Województwu Małopolskiemu do przygotowania programu edukacyjnego promującego zdrowy styl życia osób starszych. W ramach dwuletniej edycji konkursu na lata 2021-2022 akcent został położony na zagadnienia związane ze zdrowiem psychicznym osób starszych, w tym: najczęściej występujące choroby psychiczne w wieku starszym, profilaktyka zaburzeń psychicznych, profilaktyka typowych chorób wieku starczego, działania stymulujące funkcje poznawcze, takie jak pamięć, koncentracja, percepcja, spostrzegawczość, twórczość oraz działania wspierające aktywność społeczną, kontakty interpersonalne, edukację w zakresie komunikacji, rozwiązywania konfliktów, przełamywania stereotypów i uprzedzeń we współpracy</w:t>
      </w:r>
      <w:r>
        <w:rPr>
          <w:rFonts w:ascii="Lato" w:eastAsia="Calibri" w:hAnsi="Lato" w:cstheme="majorHAnsi"/>
          <w:sz w:val="20"/>
          <w:szCs w:val="20"/>
        </w:rPr>
        <w:t xml:space="preserve"> </w:t>
      </w:r>
      <w:r w:rsidR="004261D9" w:rsidRPr="004261D9">
        <w:rPr>
          <w:rFonts w:ascii="Lato" w:eastAsia="Calibri" w:hAnsi="Lato" w:cstheme="majorHAnsi"/>
          <w:sz w:val="20"/>
          <w:szCs w:val="20"/>
        </w:rPr>
        <w:t>w grupie. W roku 2022 w ramach 5 zadań zrealizowano łącznie blisko 1 400 godzin wykładów/warsztatów/ sesji treningowych funkcji poznawczych/zajęć sportowych oraz zajęć aktywizujących i integracyjnych z udziałem około 938 uczestników.</w:t>
      </w:r>
    </w:p>
    <w:p w14:paraId="4320F510" w14:textId="77777777" w:rsidR="00F67604" w:rsidRDefault="00F67604" w:rsidP="00F67604">
      <w:pPr>
        <w:tabs>
          <w:tab w:val="left" w:pos="426"/>
        </w:tabs>
        <w:spacing w:after="0" w:line="240" w:lineRule="auto"/>
        <w:contextualSpacing/>
        <w:jc w:val="both"/>
        <w:rPr>
          <w:rFonts w:ascii="Lato" w:eastAsia="Calibri" w:hAnsi="Lato" w:cstheme="majorHAnsi"/>
          <w:b/>
          <w:color w:val="000000"/>
          <w:sz w:val="20"/>
          <w:szCs w:val="20"/>
        </w:rPr>
      </w:pPr>
    </w:p>
    <w:p w14:paraId="03BB66A7" w14:textId="47A3476F" w:rsidR="004261D9" w:rsidRPr="004261D9" w:rsidRDefault="004261D9" w:rsidP="00F67604">
      <w:pPr>
        <w:tabs>
          <w:tab w:val="left" w:pos="426"/>
        </w:tabs>
        <w:spacing w:after="0" w:line="240" w:lineRule="auto"/>
        <w:contextualSpacing/>
        <w:jc w:val="both"/>
        <w:rPr>
          <w:rFonts w:ascii="Lato" w:eastAsia="Calibri" w:hAnsi="Lato" w:cstheme="majorHAnsi"/>
          <w:sz w:val="20"/>
          <w:szCs w:val="20"/>
        </w:rPr>
      </w:pPr>
      <w:r w:rsidRPr="004261D9">
        <w:rPr>
          <w:rFonts w:ascii="Lato" w:eastAsia="Calibri" w:hAnsi="Lato" w:cstheme="majorHAnsi"/>
          <w:b/>
          <w:color w:val="000000"/>
          <w:sz w:val="20"/>
          <w:szCs w:val="20"/>
        </w:rPr>
        <w:t>Konkurs „Mecenat Małopolski”</w:t>
      </w:r>
      <w:r w:rsidRPr="004261D9">
        <w:rPr>
          <w:rFonts w:ascii="Lato" w:eastAsia="Calibri" w:hAnsi="Lato" w:cstheme="majorHAnsi"/>
          <w:bCs/>
          <w:color w:val="000000"/>
          <w:sz w:val="20"/>
          <w:szCs w:val="20"/>
        </w:rPr>
        <w:t xml:space="preserve"> -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t>
      </w:r>
      <w:r w:rsidRPr="004261D9">
        <w:rPr>
          <w:rFonts w:ascii="Lato" w:eastAsia="Calibri" w:hAnsi="Lato" w:cstheme="majorHAnsi"/>
          <w:sz w:val="20"/>
          <w:szCs w:val="20"/>
        </w:rPr>
        <w:t>W 2022 r. dofinansowano 307 zadań, a środki wydatkowane z budżetu Województwa Małopolskiego na ten cel wyniosły: 4,7 mln zł.</w:t>
      </w:r>
    </w:p>
    <w:p w14:paraId="067227DD" w14:textId="77777777" w:rsidR="00F67604" w:rsidRDefault="00F67604" w:rsidP="00F67604">
      <w:pPr>
        <w:spacing w:after="0" w:line="240" w:lineRule="auto"/>
        <w:ind w:right="-1"/>
        <w:jc w:val="both"/>
        <w:rPr>
          <w:rFonts w:ascii="Lato" w:eastAsia="Calibri" w:hAnsi="Lato" w:cstheme="majorHAnsi"/>
          <w:b/>
          <w:color w:val="000000"/>
          <w:sz w:val="20"/>
          <w:szCs w:val="20"/>
        </w:rPr>
      </w:pPr>
    </w:p>
    <w:p w14:paraId="74EDB870" w14:textId="17A9B520" w:rsidR="004261D9" w:rsidRPr="004261D9" w:rsidRDefault="004261D9" w:rsidP="00F67604">
      <w:pPr>
        <w:spacing w:after="0" w:line="240" w:lineRule="auto"/>
        <w:ind w:right="-1"/>
        <w:jc w:val="both"/>
        <w:rPr>
          <w:rFonts w:ascii="Lato" w:eastAsia="Calibri" w:hAnsi="Lato" w:cstheme="majorHAnsi"/>
          <w:b/>
          <w:color w:val="000000"/>
          <w:sz w:val="20"/>
          <w:szCs w:val="20"/>
        </w:rPr>
      </w:pPr>
      <w:r w:rsidRPr="004261D9">
        <w:rPr>
          <w:rFonts w:ascii="Lato" w:eastAsia="Calibri" w:hAnsi="Lato" w:cstheme="majorHAnsi"/>
          <w:b/>
          <w:bCs/>
          <w:color w:val="000000"/>
          <w:sz w:val="20"/>
          <w:szCs w:val="20"/>
        </w:rPr>
        <w:t>XVI Plebiscyt Poza Stereotypem – Seniorka i Senior Roku</w:t>
      </w:r>
    </w:p>
    <w:p w14:paraId="28902F1C" w14:textId="77777777" w:rsidR="00F67604" w:rsidRDefault="004261D9" w:rsidP="00F67604">
      <w:pPr>
        <w:spacing w:after="0" w:line="240" w:lineRule="auto"/>
        <w:ind w:right="-1"/>
        <w:jc w:val="both"/>
        <w:rPr>
          <w:rFonts w:ascii="Lato" w:eastAsia="Calibri" w:hAnsi="Lato" w:cstheme="majorHAnsi"/>
          <w:sz w:val="20"/>
          <w:szCs w:val="20"/>
        </w:rPr>
      </w:pPr>
      <w:r w:rsidRPr="004261D9">
        <w:rPr>
          <w:rFonts w:ascii="Lato" w:hAnsi="Lato" w:cstheme="majorHAnsi"/>
          <w:bCs/>
          <w:sz w:val="20"/>
          <w:szCs w:val="20"/>
        </w:rPr>
        <w:t xml:space="preserve">Inicjatywa Regionalnego Ośrodka Polityki Społecznej w Krakowie realizowana od 2007 r. ze środków własnych Województwa Małopolskiego. </w:t>
      </w:r>
      <w:r w:rsidRPr="004261D9">
        <w:rPr>
          <w:rFonts w:ascii="Lato" w:eastAsia="Calibri" w:hAnsi="Lato" w:cstheme="majorHAnsi"/>
          <w:sz w:val="20"/>
          <w:szCs w:val="20"/>
        </w:rPr>
        <w:t>W 2022 r.: kapituła Plebiscytu rozpatrzyła 32 zgłoszenia, wyłoniono 2 laureatów, przyznano 10 wyróżnień.</w:t>
      </w:r>
    </w:p>
    <w:p w14:paraId="5EC98C35" w14:textId="024B9498" w:rsidR="004261D9" w:rsidRPr="004261D9" w:rsidRDefault="004261D9" w:rsidP="00F67604">
      <w:pPr>
        <w:spacing w:after="0" w:line="240" w:lineRule="auto"/>
        <w:ind w:right="-1"/>
        <w:jc w:val="both"/>
        <w:rPr>
          <w:rFonts w:ascii="Lato" w:eastAsia="Calibri" w:hAnsi="Lato" w:cstheme="majorHAnsi"/>
          <w:sz w:val="20"/>
          <w:szCs w:val="20"/>
        </w:rPr>
      </w:pPr>
      <w:r w:rsidRPr="004261D9">
        <w:rPr>
          <w:rFonts w:ascii="Lato" w:eastAsia="Calibri" w:hAnsi="Lato" w:cstheme="majorHAnsi"/>
          <w:sz w:val="20"/>
          <w:szCs w:val="20"/>
        </w:rPr>
        <w:t xml:space="preserve"> </w:t>
      </w:r>
    </w:p>
    <w:p w14:paraId="7514C044" w14:textId="72D57ABC" w:rsidR="004261D9" w:rsidRPr="004261D9" w:rsidRDefault="004261D9" w:rsidP="00F67604">
      <w:pPr>
        <w:spacing w:after="0" w:line="240" w:lineRule="auto"/>
        <w:ind w:right="-1"/>
        <w:jc w:val="both"/>
        <w:rPr>
          <w:rFonts w:ascii="Lato" w:eastAsia="Calibri" w:hAnsi="Lato" w:cstheme="majorHAnsi"/>
          <w:color w:val="000000"/>
          <w:sz w:val="20"/>
          <w:szCs w:val="20"/>
        </w:rPr>
      </w:pPr>
      <w:r w:rsidRPr="004261D9">
        <w:rPr>
          <w:rFonts w:ascii="Lato" w:eastAsia="Calibri" w:hAnsi="Lato" w:cstheme="majorHAnsi"/>
          <w:b/>
          <w:bCs/>
          <w:color w:val="000000"/>
          <w:sz w:val="20"/>
          <w:szCs w:val="20"/>
        </w:rPr>
        <w:t>Małopolska. Kultura Wrażliwa</w:t>
      </w:r>
      <w:r w:rsidRPr="004261D9">
        <w:rPr>
          <w:rFonts w:ascii="Lato" w:eastAsia="Calibri" w:hAnsi="Lato" w:cstheme="majorHAnsi"/>
          <w:color w:val="000000"/>
          <w:sz w:val="20"/>
          <w:szCs w:val="20"/>
        </w:rPr>
        <w:t xml:space="preserve"> to projekt zainicjowany przez Samorząd Województwa Małopolskie i wspólnie realizowany z Małopolskim Instytutem Kultury, instytucją kultury Województwa</w:t>
      </w:r>
      <w:r w:rsidR="00F67604">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 xml:space="preserve">Małopolskiego. W ramach projektu realizowane są działania, które przyczyniają się do podniesienia poziomu otwartości i dostępności instytucji kultury dla osób z zaburzeniami sensorycznymi i ruchowymi. </w:t>
      </w:r>
    </w:p>
    <w:p w14:paraId="368E5E88" w14:textId="77777777" w:rsidR="00F67604" w:rsidRDefault="00F67604" w:rsidP="00F67604">
      <w:pPr>
        <w:spacing w:after="0" w:line="240" w:lineRule="auto"/>
        <w:ind w:right="288"/>
        <w:jc w:val="both"/>
        <w:rPr>
          <w:rFonts w:ascii="Lato" w:eastAsia="Calibri" w:hAnsi="Lato" w:cstheme="majorHAnsi"/>
          <w:b/>
          <w:color w:val="000000"/>
          <w:sz w:val="20"/>
          <w:szCs w:val="20"/>
        </w:rPr>
      </w:pPr>
    </w:p>
    <w:p w14:paraId="61BB7221" w14:textId="77777777" w:rsidR="004261D9" w:rsidRPr="004261D9" w:rsidRDefault="004261D9" w:rsidP="00F67604">
      <w:pPr>
        <w:spacing w:after="0" w:line="240" w:lineRule="auto"/>
        <w:jc w:val="both"/>
        <w:rPr>
          <w:rFonts w:ascii="Lato" w:eastAsia="Calibri" w:hAnsi="Lato" w:cstheme="majorHAnsi"/>
          <w:bCs/>
          <w:sz w:val="20"/>
          <w:szCs w:val="20"/>
        </w:rPr>
      </w:pPr>
      <w:r w:rsidRPr="004261D9">
        <w:rPr>
          <w:rFonts w:ascii="Lato" w:eastAsia="Calibri" w:hAnsi="Lato" w:cstheme="majorHAnsi"/>
          <w:bCs/>
          <w:sz w:val="20"/>
          <w:szCs w:val="20"/>
        </w:rPr>
        <w:t>Departament Zdrowia, Rodziny, Równego Traktowania i Polityki Społecznej Urzędu Marszałkowskiego Województwa Małopolskiego finansuje programy zdrowotne/polityki zdrowotnej, opracowane z inicjatywy Samorządu Województwa Małopolskiego i zaopiniowane przez Agencję Oceny Technologii Medycznych i Taryfikacji. W 2022 r. realizowano następujące programy, które wpisują się w działania dla seniorów:</w:t>
      </w:r>
    </w:p>
    <w:p w14:paraId="24C73B1C" w14:textId="61F25DFD" w:rsidR="00F67604" w:rsidRDefault="004261D9" w:rsidP="0059185B">
      <w:pPr>
        <w:pStyle w:val="Akapitzlist"/>
        <w:numPr>
          <w:ilvl w:val="0"/>
          <w:numId w:val="68"/>
        </w:numPr>
        <w:spacing w:after="0" w:line="240" w:lineRule="auto"/>
        <w:jc w:val="both"/>
        <w:rPr>
          <w:rFonts w:ascii="Lato" w:eastAsia="Calibri" w:hAnsi="Lato" w:cstheme="majorHAnsi"/>
          <w:bCs/>
          <w:sz w:val="20"/>
          <w:szCs w:val="20"/>
        </w:rPr>
      </w:pPr>
      <w:r w:rsidRPr="00F67604">
        <w:rPr>
          <w:rFonts w:ascii="Lato" w:eastAsia="Calibri" w:hAnsi="Lato" w:cstheme="majorHAnsi"/>
          <w:bCs/>
          <w:sz w:val="20"/>
          <w:szCs w:val="20"/>
        </w:rPr>
        <w:t>Prozdrowotne oddziaływania edukacyjne na rzecz zmniejszenia umieralności na nowotwory w Małopolsce.</w:t>
      </w:r>
      <w:r w:rsidR="00631A93" w:rsidRPr="00F67604">
        <w:rPr>
          <w:rFonts w:ascii="Lato" w:eastAsia="Calibri" w:hAnsi="Lato" w:cstheme="majorHAnsi"/>
          <w:bCs/>
          <w:sz w:val="20"/>
          <w:szCs w:val="20"/>
        </w:rPr>
        <w:t xml:space="preserve"> </w:t>
      </w:r>
      <w:r w:rsidRPr="00F67604">
        <w:rPr>
          <w:rFonts w:ascii="Lato" w:eastAsia="Calibri" w:hAnsi="Lato" w:cstheme="majorHAnsi"/>
          <w:bCs/>
          <w:sz w:val="20"/>
          <w:szCs w:val="20"/>
        </w:rPr>
        <w:t xml:space="preserve">Okres realizacji: od 2012 r. w sposób ciągły, na wskazany program w 2022 r. wydatkowano – 155 tys. zł. W 2022 r. programem objęto 1 874 uczestników. Realizowano działania takie jak: prowadzenie </w:t>
      </w:r>
      <w:proofErr w:type="spellStart"/>
      <w:r w:rsidRPr="00F67604">
        <w:rPr>
          <w:rFonts w:ascii="Lato" w:eastAsia="Calibri" w:hAnsi="Lato" w:cstheme="majorHAnsi"/>
          <w:bCs/>
          <w:sz w:val="20"/>
          <w:szCs w:val="20"/>
        </w:rPr>
        <w:t>edukacyjno</w:t>
      </w:r>
      <w:proofErr w:type="spellEnd"/>
      <w:r w:rsidRPr="00F67604">
        <w:rPr>
          <w:rFonts w:ascii="Lato" w:eastAsia="Calibri" w:hAnsi="Lato" w:cstheme="majorHAnsi"/>
          <w:bCs/>
          <w:sz w:val="20"/>
          <w:szCs w:val="20"/>
        </w:rPr>
        <w:t xml:space="preserve"> – informacyjnych spotkań interaktywnych, prowadzenie onkologicznego telefonu zaufania (możliwość bezpłatnych konsultacji z lekarzem onkologiem) oraz prowadzenie edukacyjnej kampanii medialnej;</w:t>
      </w:r>
    </w:p>
    <w:p w14:paraId="4412E10E" w14:textId="2A0CADF2" w:rsidR="004261D9" w:rsidRPr="00F67604" w:rsidRDefault="004261D9" w:rsidP="0059185B">
      <w:pPr>
        <w:pStyle w:val="Akapitzlist"/>
        <w:numPr>
          <w:ilvl w:val="0"/>
          <w:numId w:val="68"/>
        </w:numPr>
        <w:spacing w:after="0" w:line="240" w:lineRule="auto"/>
        <w:jc w:val="both"/>
        <w:rPr>
          <w:rFonts w:ascii="Lato" w:eastAsia="Calibri" w:hAnsi="Lato" w:cstheme="majorHAnsi"/>
          <w:bCs/>
          <w:sz w:val="20"/>
          <w:szCs w:val="20"/>
        </w:rPr>
      </w:pPr>
      <w:r w:rsidRPr="00F67604">
        <w:rPr>
          <w:rFonts w:ascii="Lato" w:eastAsia="Calibri" w:hAnsi="Lato" w:cstheme="majorHAnsi"/>
          <w:bCs/>
          <w:sz w:val="20"/>
          <w:szCs w:val="20"/>
        </w:rPr>
        <w:t xml:space="preserve">Program polityki zdrowotnej pn. „Zapobieganie nadwadze i otyłości wśród mieszkańców województwa małopolskiego”. W 2022 r. wydatkowano kwotę – 366 154,53 tys. zł. Celem programu jest poprawa stanu zdrowia mieszkańców województwa małopolskiego poprzez redukcję masy ciała u osób z nadwagą i otyłością. W 2022 r.: osoby zakwalifikowane do programu były objęte 12 tygodniową </w:t>
      </w:r>
      <w:proofErr w:type="spellStart"/>
      <w:r w:rsidRPr="00F67604">
        <w:rPr>
          <w:rFonts w:ascii="Lato" w:eastAsia="Calibri" w:hAnsi="Lato" w:cstheme="majorHAnsi"/>
          <w:bCs/>
          <w:sz w:val="20"/>
          <w:szCs w:val="20"/>
        </w:rPr>
        <w:t>multidyscyplinarną</w:t>
      </w:r>
      <w:proofErr w:type="spellEnd"/>
      <w:r w:rsidRPr="00F67604">
        <w:rPr>
          <w:rFonts w:ascii="Lato" w:eastAsia="Calibri" w:hAnsi="Lato" w:cstheme="majorHAnsi"/>
          <w:bCs/>
          <w:sz w:val="20"/>
          <w:szCs w:val="20"/>
        </w:rPr>
        <w:t xml:space="preserve"> opieką,</w:t>
      </w:r>
      <w:r w:rsidR="00F67604">
        <w:rPr>
          <w:rFonts w:ascii="Lato" w:eastAsia="Calibri" w:hAnsi="Lato" w:cstheme="majorHAnsi"/>
          <w:bCs/>
          <w:sz w:val="20"/>
          <w:szCs w:val="20"/>
        </w:rPr>
        <w:t xml:space="preserve"> </w:t>
      </w:r>
      <w:r w:rsidRPr="00F67604">
        <w:rPr>
          <w:rFonts w:ascii="Lato" w:eastAsia="Calibri" w:hAnsi="Lato" w:cstheme="majorHAnsi"/>
          <w:bCs/>
          <w:sz w:val="20"/>
          <w:szCs w:val="20"/>
        </w:rPr>
        <w:t xml:space="preserve">w skład której wchodzą 3 komponenty: dietetyczny, aktywności fizycznej oraz psychologiczny. Kwalifikacja do programu dokonywana </w:t>
      </w:r>
      <w:r w:rsidRPr="00F67604">
        <w:rPr>
          <w:rFonts w:ascii="Lato" w:eastAsia="Calibri" w:hAnsi="Lato" w:cstheme="majorHAnsi"/>
          <w:bCs/>
          <w:sz w:val="20"/>
          <w:szCs w:val="20"/>
        </w:rPr>
        <w:lastRenderedPageBreak/>
        <w:t xml:space="preserve">jest przez lekarzy specjalistów zgodnie z kryteriami włączenia określonymi w Programie. W 2022 r. program ukończyły łącznie 224 osoby. Utworzono dietetyczne punkty konsultacyjne w siedzibach Realizatorów oraz prowadzono działania </w:t>
      </w:r>
      <w:proofErr w:type="spellStart"/>
      <w:r w:rsidRPr="00F67604">
        <w:rPr>
          <w:rFonts w:ascii="Lato" w:eastAsia="Calibri" w:hAnsi="Lato" w:cstheme="majorHAnsi"/>
          <w:bCs/>
          <w:sz w:val="20"/>
          <w:szCs w:val="20"/>
        </w:rPr>
        <w:t>informacyjno</w:t>
      </w:r>
      <w:proofErr w:type="spellEnd"/>
      <w:r w:rsidRPr="00F67604">
        <w:rPr>
          <w:rFonts w:ascii="Lato" w:eastAsia="Calibri" w:hAnsi="Lato" w:cstheme="majorHAnsi"/>
          <w:bCs/>
          <w:sz w:val="20"/>
          <w:szCs w:val="20"/>
        </w:rPr>
        <w:t xml:space="preserve"> – edukacyjne. </w:t>
      </w:r>
    </w:p>
    <w:p w14:paraId="4A76798D" w14:textId="793EDE71" w:rsidR="00F67604" w:rsidRDefault="00F67604" w:rsidP="00F67604">
      <w:pPr>
        <w:spacing w:after="0" w:line="240" w:lineRule="auto"/>
        <w:ind w:right="288"/>
        <w:jc w:val="both"/>
        <w:rPr>
          <w:rFonts w:ascii="Lato" w:hAnsi="Lato" w:cstheme="majorHAnsi"/>
          <w:i/>
          <w:color w:val="000000"/>
          <w:sz w:val="20"/>
          <w:szCs w:val="20"/>
        </w:rPr>
      </w:pPr>
    </w:p>
    <w:p w14:paraId="674A6A95" w14:textId="7448B923" w:rsidR="00F67604" w:rsidRPr="00F67604" w:rsidRDefault="00F67604" w:rsidP="00F67604">
      <w:pPr>
        <w:spacing w:after="0" w:line="240" w:lineRule="auto"/>
        <w:ind w:right="-1"/>
        <w:jc w:val="both"/>
        <w:rPr>
          <w:rFonts w:ascii="Lato" w:hAnsi="Lato" w:cstheme="majorHAnsi"/>
          <w:b/>
          <w:sz w:val="20"/>
          <w:szCs w:val="20"/>
        </w:rPr>
      </w:pPr>
      <w:r w:rsidRPr="004261D9">
        <w:rPr>
          <w:rFonts w:ascii="Lato" w:hAnsi="Lato" w:cstheme="majorHAnsi"/>
          <w:b/>
          <w:sz w:val="20"/>
          <w:szCs w:val="20"/>
        </w:rPr>
        <w:t>Program Korpus Wsparcia Seniorów w 2022 –</w:t>
      </w:r>
      <w:r w:rsidRPr="004261D9">
        <w:rPr>
          <w:rFonts w:ascii="Lato" w:hAnsi="Lato" w:cstheme="majorHAnsi"/>
          <w:sz w:val="20"/>
          <w:szCs w:val="20"/>
        </w:rPr>
        <w:t xml:space="preserve"> był skierowany do</w:t>
      </w:r>
      <w:r w:rsidRPr="004261D9">
        <w:rPr>
          <w:rFonts w:ascii="Lato" w:hAnsi="Lato"/>
          <w:sz w:val="20"/>
          <w:szCs w:val="20"/>
        </w:rPr>
        <w:t xml:space="preserve"> seniorów niesamodzielnych ze względu na wiek oraz stan zdrowia</w:t>
      </w:r>
      <w:r w:rsidRPr="004261D9">
        <w:rPr>
          <w:rFonts w:ascii="Lato" w:hAnsi="Lato" w:cstheme="majorHAnsi"/>
          <w:b/>
          <w:sz w:val="20"/>
          <w:szCs w:val="20"/>
        </w:rPr>
        <w:t xml:space="preserve"> </w:t>
      </w:r>
      <w:r w:rsidRPr="004261D9">
        <w:rPr>
          <w:rFonts w:ascii="Lato" w:hAnsi="Lato" w:cstheme="majorHAnsi"/>
          <w:sz w:val="20"/>
          <w:szCs w:val="20"/>
        </w:rPr>
        <w:t xml:space="preserve">oraz </w:t>
      </w:r>
      <w:r w:rsidRPr="004261D9">
        <w:rPr>
          <w:rFonts w:ascii="Lato" w:hAnsi="Lato"/>
          <w:sz w:val="20"/>
          <w:szCs w:val="20"/>
        </w:rPr>
        <w:t xml:space="preserve">odpowiadał na potrzeby seniorów w zakresie ochrony przed zakażeniem COVID-19. </w:t>
      </w:r>
      <w:r w:rsidRPr="004261D9">
        <w:rPr>
          <w:rFonts w:ascii="Lato" w:hAnsi="Lato" w:cstheme="majorHAnsi"/>
          <w:sz w:val="20"/>
          <w:szCs w:val="20"/>
        </w:rPr>
        <w:t xml:space="preserve">Na realizacje programu przeznaczona została kwota  w wysokości 6 483 769,00 zł, w tym na: Moduł I 1 601 576,00 zł, Moduł II – 4 882 193,00 zł.  Program był realizowany przez 86 gmin (Moduł I – 25 gmin, Moduł II – 78 gmin). </w:t>
      </w:r>
      <w:r>
        <w:rPr>
          <w:rFonts w:ascii="Lato" w:hAnsi="Lato" w:cstheme="majorHAnsi"/>
          <w:b/>
          <w:sz w:val="20"/>
          <w:szCs w:val="20"/>
        </w:rPr>
        <w:t xml:space="preserve"> </w:t>
      </w:r>
      <w:r w:rsidRPr="004261D9">
        <w:rPr>
          <w:rFonts w:ascii="Lato" w:hAnsi="Lato" w:cstheme="majorHAnsi"/>
          <w:sz w:val="20"/>
          <w:szCs w:val="20"/>
        </w:rPr>
        <w:t>Liczba osób objętych wsparciem w ramach programu w 2022 r – 4 419 z  tego:</w:t>
      </w:r>
      <w:r>
        <w:rPr>
          <w:rFonts w:ascii="Lato" w:hAnsi="Lato" w:cstheme="majorHAnsi"/>
          <w:b/>
          <w:sz w:val="20"/>
          <w:szCs w:val="20"/>
        </w:rPr>
        <w:t xml:space="preserve"> </w:t>
      </w:r>
      <w:r w:rsidRPr="004261D9">
        <w:rPr>
          <w:rFonts w:ascii="Lato" w:hAnsi="Lato" w:cstheme="majorHAnsi"/>
          <w:sz w:val="20"/>
          <w:szCs w:val="20"/>
        </w:rPr>
        <w:t xml:space="preserve">Moduł I -  748 osób, Moduł II – 3 671. </w:t>
      </w:r>
      <w:r>
        <w:rPr>
          <w:rFonts w:ascii="Lato" w:hAnsi="Lato" w:cstheme="majorHAnsi"/>
          <w:b/>
          <w:sz w:val="20"/>
          <w:szCs w:val="20"/>
        </w:rPr>
        <w:t xml:space="preserve"> </w:t>
      </w:r>
      <w:r w:rsidRPr="004261D9">
        <w:rPr>
          <w:rFonts w:ascii="Lato" w:hAnsi="Lato" w:cstheme="majorHAnsi"/>
          <w:sz w:val="20"/>
          <w:szCs w:val="20"/>
        </w:rPr>
        <w:t>Łącznie wydatkowano kwotę 4 545 044,93 zł z tego: na Moduł I - 1 135 070,46 zł, na</w:t>
      </w:r>
      <w:r w:rsidRPr="004261D9">
        <w:rPr>
          <w:rFonts w:ascii="Lato" w:hAnsi="Lato" w:cstheme="majorHAnsi"/>
          <w:b/>
          <w:sz w:val="20"/>
          <w:szCs w:val="20"/>
        </w:rPr>
        <w:t xml:space="preserve"> </w:t>
      </w:r>
      <w:r w:rsidRPr="004261D9">
        <w:rPr>
          <w:rFonts w:ascii="Lato" w:hAnsi="Lato" w:cstheme="majorHAnsi"/>
          <w:sz w:val="20"/>
          <w:szCs w:val="20"/>
        </w:rPr>
        <w:t xml:space="preserve">Moduł II - 3 409 974,47 zł. </w:t>
      </w:r>
      <w:r>
        <w:rPr>
          <w:rFonts w:ascii="Lato" w:hAnsi="Lato" w:cstheme="majorHAnsi"/>
          <w:b/>
          <w:sz w:val="20"/>
          <w:szCs w:val="20"/>
        </w:rPr>
        <w:t xml:space="preserve"> </w:t>
      </w:r>
      <w:r w:rsidRPr="004261D9">
        <w:rPr>
          <w:rFonts w:ascii="Lato" w:hAnsi="Lato" w:cstheme="majorHAnsi"/>
          <w:sz w:val="20"/>
          <w:szCs w:val="20"/>
        </w:rPr>
        <w:t>Łączna liczba zakupionych „opasek bezpieczeństwa”  przez gminy -   3 534.</w:t>
      </w:r>
    </w:p>
    <w:p w14:paraId="2A933178" w14:textId="77777777" w:rsidR="00F67604" w:rsidRDefault="00F67604" w:rsidP="00F67604">
      <w:pPr>
        <w:spacing w:after="0" w:line="240" w:lineRule="auto"/>
        <w:ind w:right="-1"/>
        <w:jc w:val="both"/>
        <w:rPr>
          <w:rFonts w:ascii="Lato" w:hAnsi="Lato" w:cstheme="majorHAnsi"/>
          <w:b/>
          <w:color w:val="000000"/>
          <w:sz w:val="20"/>
          <w:szCs w:val="20"/>
        </w:rPr>
      </w:pPr>
    </w:p>
    <w:p w14:paraId="2CE7B4D7" w14:textId="2BE7A4F6" w:rsidR="00F67604" w:rsidRPr="004261D9" w:rsidRDefault="00F67604" w:rsidP="00F67604">
      <w:pPr>
        <w:spacing w:after="0" w:line="240" w:lineRule="auto"/>
        <w:ind w:right="-1"/>
        <w:jc w:val="both"/>
        <w:rPr>
          <w:rFonts w:ascii="Lato" w:hAnsi="Lato" w:cstheme="majorHAnsi"/>
          <w:sz w:val="20"/>
          <w:szCs w:val="20"/>
        </w:rPr>
      </w:pPr>
      <w:r w:rsidRPr="004261D9">
        <w:rPr>
          <w:rFonts w:ascii="Lato" w:hAnsi="Lato" w:cstheme="majorHAnsi"/>
          <w:b/>
          <w:color w:val="000000"/>
          <w:sz w:val="20"/>
          <w:szCs w:val="20"/>
        </w:rPr>
        <w:t xml:space="preserve">Program Senior + na lata 2021-2025 - </w:t>
      </w:r>
      <w:r w:rsidRPr="004261D9">
        <w:rPr>
          <w:rFonts w:ascii="Lato" w:hAnsi="Lato" w:cstheme="majorHAnsi"/>
          <w:color w:val="000000"/>
          <w:sz w:val="20"/>
          <w:szCs w:val="20"/>
        </w:rPr>
        <w:t xml:space="preserve">program rządowy, mający na celu </w:t>
      </w:r>
      <w:r w:rsidRPr="004261D9">
        <w:rPr>
          <w:rFonts w:ascii="Lato" w:eastAsia="+mn-ea" w:hAnsi="Lato" w:cstheme="majorHAnsi"/>
          <w:kern w:val="24"/>
          <w:sz w:val="20"/>
          <w:szCs w:val="20"/>
        </w:rPr>
        <w:t>wsparcie finansowe jednostek samorządu terytorialnego w zakresie realizacji zadań własnych, polegających na zapewnieniu miejsc w ośrodkach wsparcia</w:t>
      </w:r>
      <w:r w:rsidRPr="004261D9">
        <w:rPr>
          <w:rFonts w:ascii="Lato" w:hAnsi="Lato" w:cstheme="majorHAnsi"/>
          <w:sz w:val="20"/>
          <w:szCs w:val="20"/>
        </w:rPr>
        <w:t xml:space="preserve">. </w:t>
      </w:r>
      <w:r w:rsidRPr="004261D9">
        <w:rPr>
          <w:rFonts w:ascii="Lato" w:eastAsia="+mn-ea" w:hAnsi="Lato" w:cstheme="majorHAnsi"/>
          <w:kern w:val="24"/>
          <w:sz w:val="20"/>
          <w:szCs w:val="20"/>
        </w:rPr>
        <w:t>Na terenie Małopolski</w:t>
      </w:r>
      <w:r>
        <w:rPr>
          <w:rFonts w:ascii="Lato" w:hAnsi="Lato" w:cstheme="majorHAnsi"/>
          <w:color w:val="000000"/>
          <w:sz w:val="20"/>
          <w:szCs w:val="20"/>
        </w:rPr>
        <w:t xml:space="preserve"> </w:t>
      </w:r>
      <w:r w:rsidRPr="004261D9">
        <w:rPr>
          <w:rFonts w:ascii="Lato" w:hAnsi="Lato" w:cstheme="majorHAnsi"/>
          <w:sz w:val="20"/>
          <w:szCs w:val="20"/>
        </w:rPr>
        <w:t xml:space="preserve">do programu przystąpiło 57 gmin oraz 1 powiat, z tego 54 gmin i 1 powiat uzyskało dofinansowanie do funkcjonowania ośrodka Senior+. Kwota środków wykorzystanych na realizację programu w ramach funkcjonowania: 2 943 094,58 zł.  Liczba dofinansowanych miejsc: 1 415. W 2022 r. utworzono 6 nowy ośrodków Senior + (127 miejsc), wykorzystano 959 429,74 zł środków w ramach dotacji. </w:t>
      </w:r>
    </w:p>
    <w:p w14:paraId="64CE16BB" w14:textId="77777777" w:rsidR="00F67604" w:rsidRDefault="00F67604" w:rsidP="00F67604">
      <w:pPr>
        <w:spacing w:after="0" w:line="240" w:lineRule="auto"/>
        <w:ind w:right="-1"/>
        <w:jc w:val="both"/>
        <w:rPr>
          <w:rFonts w:ascii="Lato" w:hAnsi="Lato" w:cstheme="majorHAnsi"/>
          <w:b/>
          <w:color w:val="000000"/>
          <w:sz w:val="20"/>
          <w:szCs w:val="20"/>
        </w:rPr>
      </w:pPr>
    </w:p>
    <w:p w14:paraId="5011665C" w14:textId="421EF019" w:rsidR="00F67604" w:rsidRPr="004261D9" w:rsidRDefault="00F67604" w:rsidP="00F67604">
      <w:pPr>
        <w:spacing w:after="0" w:line="240" w:lineRule="auto"/>
        <w:ind w:right="-1"/>
        <w:jc w:val="both"/>
        <w:rPr>
          <w:rFonts w:ascii="Lato" w:hAnsi="Lato" w:cstheme="majorHAnsi"/>
          <w:sz w:val="20"/>
          <w:szCs w:val="20"/>
        </w:rPr>
      </w:pPr>
      <w:r w:rsidRPr="004261D9">
        <w:rPr>
          <w:rFonts w:ascii="Lato" w:hAnsi="Lato" w:cstheme="majorHAnsi"/>
          <w:b/>
          <w:color w:val="000000"/>
          <w:sz w:val="20"/>
          <w:szCs w:val="20"/>
        </w:rPr>
        <w:t>Program</w:t>
      </w:r>
      <w:r w:rsidRPr="004261D9">
        <w:rPr>
          <w:rFonts w:ascii="Lato" w:hAnsi="Lato" w:cstheme="majorHAnsi"/>
          <w:color w:val="000000"/>
          <w:sz w:val="20"/>
          <w:szCs w:val="20"/>
        </w:rPr>
        <w:t xml:space="preserve"> </w:t>
      </w:r>
      <w:r w:rsidRPr="004261D9">
        <w:rPr>
          <w:rFonts w:ascii="Lato" w:hAnsi="Lato" w:cstheme="majorHAnsi"/>
          <w:b/>
          <w:bCs/>
          <w:kern w:val="36"/>
          <w:sz w:val="20"/>
          <w:szCs w:val="20"/>
        </w:rPr>
        <w:t xml:space="preserve">„Opieka 75+” – </w:t>
      </w:r>
      <w:r w:rsidRPr="004261D9">
        <w:rPr>
          <w:rFonts w:ascii="Lato" w:hAnsi="Lato" w:cstheme="majorHAnsi"/>
          <w:bCs/>
          <w:kern w:val="36"/>
          <w:sz w:val="20"/>
          <w:szCs w:val="20"/>
        </w:rPr>
        <w:t xml:space="preserve">program rządowy </w:t>
      </w:r>
      <w:r w:rsidRPr="004261D9">
        <w:rPr>
          <w:rFonts w:ascii="Lato" w:hAnsi="Lato" w:cstheme="majorHAnsi"/>
          <w:color w:val="000000"/>
          <w:sz w:val="20"/>
          <w:szCs w:val="20"/>
        </w:rPr>
        <w:t xml:space="preserve">realizowany jest od stycznia 2018 r. i jest adresowany do gmin do 60 tys. mieszkańców, które realizują usługi opiekuńcze samodzielnie. </w:t>
      </w:r>
      <w:r w:rsidRPr="004261D9">
        <w:rPr>
          <w:rFonts w:ascii="Lato" w:hAnsi="Lato" w:cstheme="majorHAnsi"/>
          <w:sz w:val="20"/>
          <w:szCs w:val="20"/>
        </w:rPr>
        <w:t>Celem programu jest poprawa dostępności do usług opiekuńczych, w tym specjalistycznych usług opiekuńczych, dla osób w wieku 75 lat i więcej. W roku 2022</w:t>
      </w:r>
      <w:r>
        <w:rPr>
          <w:rFonts w:ascii="Lato" w:hAnsi="Lato" w:cstheme="majorHAnsi"/>
          <w:sz w:val="20"/>
          <w:szCs w:val="20"/>
        </w:rPr>
        <w:t xml:space="preserve"> </w:t>
      </w:r>
      <w:r w:rsidRPr="004261D9">
        <w:rPr>
          <w:rFonts w:ascii="Lato" w:hAnsi="Lato" w:cstheme="majorHAnsi"/>
          <w:sz w:val="20"/>
          <w:szCs w:val="20"/>
        </w:rPr>
        <w:t>do programu przystąpiło 45 gmin. Kwota środków wykorzystanych na realizację programu: 1 847 672,95zł. Liczba osób objętych usługami w ramach programu: 844. Rzeczywista liczba osób w wieku 75 lat i więcej, które miały świadczone usługi opiekuńcze w ramach programu w latach poprzednich i były one kontynuowane w roku 2022, tzw. osoby kontynuujące: 446. Liczba osób zatrudnionych przez gminę na umowę o pracę, świadczących usługi opiekuńcze: 234, w tym w ramach programu: 216. Liczba podmiotów sektora prywatnego, od których gmina zakupiła usługę świadczenia usług opiekuńczych w 2022 r. w ramach programu: 5.</w:t>
      </w:r>
    </w:p>
    <w:p w14:paraId="4041A83F" w14:textId="77777777" w:rsidR="00F67604" w:rsidRDefault="00F67604" w:rsidP="00F67604">
      <w:pPr>
        <w:spacing w:after="0" w:line="240" w:lineRule="auto"/>
        <w:ind w:right="-1"/>
        <w:jc w:val="both"/>
        <w:rPr>
          <w:rFonts w:ascii="Lato" w:hAnsi="Lato" w:cstheme="majorHAnsi"/>
          <w:b/>
          <w:sz w:val="20"/>
          <w:szCs w:val="20"/>
        </w:rPr>
      </w:pPr>
    </w:p>
    <w:p w14:paraId="437318BC" w14:textId="77777777" w:rsidR="00F67604" w:rsidRDefault="00F67604" w:rsidP="00F67604">
      <w:pPr>
        <w:spacing w:after="0" w:line="240" w:lineRule="auto"/>
        <w:ind w:right="-1"/>
        <w:jc w:val="both"/>
        <w:rPr>
          <w:rFonts w:ascii="Lato" w:hAnsi="Lato" w:cstheme="majorHAnsi"/>
          <w:sz w:val="20"/>
          <w:szCs w:val="20"/>
        </w:rPr>
      </w:pPr>
      <w:r w:rsidRPr="004261D9">
        <w:rPr>
          <w:rFonts w:ascii="Lato" w:hAnsi="Lato" w:cstheme="majorHAnsi"/>
          <w:b/>
          <w:sz w:val="20"/>
          <w:szCs w:val="20"/>
        </w:rPr>
        <w:t>Wspieranie przez Wojewodę Małopolskiego jednostek samorządu terytorialnego w realizacji zadań własnych z zakresu pomocy społecznej</w:t>
      </w:r>
    </w:p>
    <w:p w14:paraId="6B1E6F26" w14:textId="4BEFCFE8" w:rsidR="00F67604" w:rsidRPr="004261D9" w:rsidRDefault="00F67604" w:rsidP="00F67604">
      <w:pPr>
        <w:spacing w:after="0" w:line="240" w:lineRule="auto"/>
        <w:ind w:right="-1"/>
        <w:jc w:val="both"/>
        <w:rPr>
          <w:rFonts w:ascii="Lato" w:hAnsi="Lato" w:cstheme="majorHAnsi"/>
          <w:sz w:val="20"/>
          <w:szCs w:val="20"/>
        </w:rPr>
      </w:pPr>
      <w:r w:rsidRPr="004261D9">
        <w:rPr>
          <w:rFonts w:ascii="Lato" w:hAnsi="Lato" w:cstheme="majorHAnsi"/>
          <w:sz w:val="20"/>
          <w:szCs w:val="20"/>
        </w:rPr>
        <w:t xml:space="preserve">Podobnie jak w latach ubiegłych, celem wsparcia było inspirowanie do zmian ukierunkowanych na poprawę dostępności do usług pomocy społecznej, rozwój pracy socjalnej oraz jakości obsługi osób i rodzin wymagających wsparcia ośrodka pomocy społecznej. </w:t>
      </w:r>
      <w:r w:rsidRPr="004261D9">
        <w:rPr>
          <w:rFonts w:ascii="Lato" w:eastAsia="Calibri" w:hAnsi="Lato" w:cstheme="majorHAnsi"/>
          <w:sz w:val="20"/>
          <w:szCs w:val="20"/>
        </w:rPr>
        <w:t>W ramach dotacji finansowane mogą być tylko określone obszary, m.in. projekty socjalne mające na celu rozwój lub wzmocnienie aktywności i samodzielności życiowej osób i rodzin, w tym skierowane do seniorów.</w:t>
      </w:r>
      <w:r w:rsidRPr="004261D9">
        <w:rPr>
          <w:rFonts w:ascii="Lato" w:hAnsi="Lato" w:cstheme="majorHAnsi"/>
          <w:sz w:val="20"/>
          <w:szCs w:val="20"/>
        </w:rPr>
        <w:t xml:space="preserve"> </w:t>
      </w:r>
      <w:r>
        <w:rPr>
          <w:rFonts w:ascii="Lato" w:hAnsi="Lato" w:cstheme="majorHAnsi"/>
          <w:sz w:val="20"/>
          <w:szCs w:val="20"/>
        </w:rPr>
        <w:t xml:space="preserve"> </w:t>
      </w:r>
      <w:r w:rsidRPr="004261D9">
        <w:rPr>
          <w:rFonts w:ascii="Lato" w:eastAsia="Calibri" w:hAnsi="Lato" w:cstheme="majorHAnsi"/>
          <w:sz w:val="20"/>
          <w:szCs w:val="20"/>
        </w:rPr>
        <w:t>W roku 2022 – zaplanowano realizację projektów skierowanych do seniorów</w:t>
      </w:r>
      <w:r>
        <w:rPr>
          <w:rFonts w:ascii="Lato" w:eastAsia="Calibri" w:hAnsi="Lato" w:cstheme="majorHAnsi"/>
          <w:sz w:val="20"/>
          <w:szCs w:val="20"/>
        </w:rPr>
        <w:t xml:space="preserve"> </w:t>
      </w:r>
      <w:r w:rsidRPr="004261D9">
        <w:rPr>
          <w:rFonts w:ascii="Lato" w:eastAsia="Calibri" w:hAnsi="Lato" w:cstheme="majorHAnsi"/>
          <w:sz w:val="20"/>
          <w:szCs w:val="20"/>
        </w:rPr>
        <w:t xml:space="preserve">w 29 gminach np. „złota rączka dla seniora"; „Srebrny  Klub Seniora w  Bobrku”; „Radosna druga wiosna dla seniorów”. </w:t>
      </w:r>
    </w:p>
    <w:p w14:paraId="04BA2C82" w14:textId="77777777" w:rsidR="00F67604" w:rsidRDefault="00F67604" w:rsidP="00F67604">
      <w:pPr>
        <w:spacing w:after="0" w:line="240" w:lineRule="auto"/>
        <w:ind w:right="-1"/>
        <w:jc w:val="both"/>
        <w:rPr>
          <w:rFonts w:ascii="Lato" w:hAnsi="Lato" w:cstheme="majorHAnsi"/>
          <w:b/>
          <w:sz w:val="20"/>
          <w:szCs w:val="20"/>
        </w:rPr>
      </w:pPr>
    </w:p>
    <w:p w14:paraId="099AFA85" w14:textId="3182DF38" w:rsidR="00F67604" w:rsidRPr="004261D9" w:rsidRDefault="00F67604" w:rsidP="00F67604">
      <w:pPr>
        <w:spacing w:after="0" w:line="240" w:lineRule="auto"/>
        <w:ind w:right="-1"/>
        <w:jc w:val="both"/>
        <w:rPr>
          <w:rFonts w:ascii="Lato" w:hAnsi="Lato" w:cstheme="majorHAnsi"/>
          <w:sz w:val="20"/>
          <w:szCs w:val="20"/>
        </w:rPr>
      </w:pPr>
      <w:r w:rsidRPr="004261D9">
        <w:rPr>
          <w:rFonts w:ascii="Lato" w:hAnsi="Lato" w:cstheme="majorHAnsi"/>
          <w:b/>
          <w:sz w:val="20"/>
          <w:szCs w:val="20"/>
        </w:rPr>
        <w:t>Działania Pełnomocnika Wojewody ds. Seniorów</w:t>
      </w:r>
      <w:r w:rsidRPr="004261D9">
        <w:rPr>
          <w:rFonts w:ascii="Lato" w:hAnsi="Lato" w:cstheme="majorHAnsi"/>
          <w:sz w:val="20"/>
          <w:szCs w:val="20"/>
        </w:rPr>
        <w:t xml:space="preserve"> skierowane były na realizację celów wskazanych w Informacji o sytuacji osób starszych w Polsce za 2020 rok oraz Polityce społecznej wobec osób starszych 2030. Bezpieczeństwo – Uczestnictwo       Solidarność. Do działań Pełnomocnika należały m.in.:</w:t>
      </w:r>
    </w:p>
    <w:p w14:paraId="08CD024F" w14:textId="77777777" w:rsidR="00F67604" w:rsidRDefault="00F67604" w:rsidP="0059185B">
      <w:pPr>
        <w:pStyle w:val="Akapitzlist"/>
        <w:numPr>
          <w:ilvl w:val="0"/>
          <w:numId w:val="73"/>
        </w:numPr>
        <w:spacing w:after="0" w:line="240" w:lineRule="auto"/>
        <w:ind w:right="-1"/>
        <w:jc w:val="both"/>
        <w:rPr>
          <w:rFonts w:ascii="Lato" w:hAnsi="Lato" w:cstheme="majorHAnsi"/>
          <w:sz w:val="20"/>
          <w:szCs w:val="20"/>
        </w:rPr>
      </w:pPr>
      <w:r w:rsidRPr="00F67604">
        <w:rPr>
          <w:rFonts w:ascii="Lato" w:eastAsia="+mn-ea" w:hAnsi="Lato" w:cstheme="majorHAnsi"/>
          <w:color w:val="000000"/>
          <w:kern w:val="24"/>
          <w:sz w:val="20"/>
          <w:szCs w:val="20"/>
        </w:rPr>
        <w:t>prowadzenie polityki informacyjnej i promowanie rządowych programów na rzecz osób starszych, w tym Programu Wieloletniego „Senior +” na lata 2021-2025, Programu wieloletniego na rzecz osób starszych „Aktywni+” na lata 2021-2025, Programu „Opieka 75+” i</w:t>
      </w:r>
      <w:r w:rsidRPr="00F67604">
        <w:rPr>
          <w:rFonts w:ascii="Lato" w:hAnsi="Lato" w:cstheme="majorHAnsi"/>
          <w:sz w:val="20"/>
          <w:szCs w:val="20"/>
        </w:rPr>
        <w:t xml:space="preserve"> programu Korpus Wsparcia Seniorów w 2022 r.; </w:t>
      </w:r>
    </w:p>
    <w:p w14:paraId="0B7DBBE1" w14:textId="5E834121" w:rsidR="00F67604" w:rsidRPr="00F67604" w:rsidRDefault="00F67604" w:rsidP="0059185B">
      <w:pPr>
        <w:pStyle w:val="Akapitzlist"/>
        <w:numPr>
          <w:ilvl w:val="0"/>
          <w:numId w:val="73"/>
        </w:numPr>
        <w:spacing w:after="0" w:line="240" w:lineRule="auto"/>
        <w:ind w:right="-1"/>
        <w:jc w:val="both"/>
        <w:rPr>
          <w:rFonts w:ascii="Lato" w:hAnsi="Lato" w:cstheme="majorHAnsi"/>
          <w:sz w:val="20"/>
          <w:szCs w:val="20"/>
        </w:rPr>
      </w:pPr>
      <w:r w:rsidRPr="00F67604">
        <w:rPr>
          <w:rFonts w:ascii="Lato" w:hAnsi="Lato" w:cstheme="majorHAnsi"/>
          <w:sz w:val="20"/>
          <w:szCs w:val="20"/>
        </w:rPr>
        <w:t>upowszechnianie nowych rozwiązań i promowanie dobrych praktyk w obszarze działań na rzecz osób starszych.</w:t>
      </w:r>
    </w:p>
    <w:p w14:paraId="7BE885F7" w14:textId="77777777" w:rsidR="00F67604" w:rsidRDefault="00F67604" w:rsidP="00F67604">
      <w:pPr>
        <w:spacing w:after="0" w:line="240" w:lineRule="auto"/>
        <w:ind w:right="288"/>
        <w:jc w:val="both"/>
        <w:rPr>
          <w:rFonts w:ascii="Lato" w:hAnsi="Lato" w:cstheme="majorHAnsi"/>
          <w:i/>
          <w:color w:val="000000"/>
          <w:sz w:val="20"/>
          <w:szCs w:val="20"/>
        </w:rPr>
      </w:pPr>
    </w:p>
    <w:p w14:paraId="37C3FED2" w14:textId="6C666800" w:rsidR="00F67604" w:rsidRPr="00F67604" w:rsidRDefault="00F67604" w:rsidP="00F67604">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6FBF8719" w14:textId="31201D03" w:rsidR="004261D9" w:rsidRPr="00F67604" w:rsidRDefault="004261D9" w:rsidP="00F67604">
      <w:pPr>
        <w:spacing w:after="0" w:line="240" w:lineRule="auto"/>
        <w:ind w:right="-1"/>
        <w:jc w:val="both"/>
        <w:rPr>
          <w:rFonts w:ascii="Lato" w:hAnsi="Lato" w:cstheme="majorHAnsi"/>
          <w:b/>
          <w:bCs/>
          <w:color w:val="000000"/>
          <w:sz w:val="20"/>
          <w:szCs w:val="20"/>
        </w:rPr>
      </w:pPr>
      <w:r w:rsidRPr="00F67604">
        <w:rPr>
          <w:rFonts w:ascii="Lato" w:hAnsi="Lato" w:cstheme="majorHAnsi"/>
          <w:b/>
          <w:bCs/>
          <w:color w:val="000000"/>
          <w:sz w:val="20"/>
          <w:szCs w:val="20"/>
        </w:rPr>
        <w:t>Powiat wielicki</w:t>
      </w:r>
    </w:p>
    <w:p w14:paraId="6385F625" w14:textId="77777777" w:rsidR="00F67604" w:rsidRDefault="004261D9" w:rsidP="0059185B">
      <w:pPr>
        <w:pStyle w:val="Akapitzlist"/>
        <w:numPr>
          <w:ilvl w:val="0"/>
          <w:numId w:val="69"/>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 xml:space="preserve">grupa wsparcia dla osób starszych w ramach działań Ośrodka Interwencji Kryzysowej - cykliczne spotkania osób w wieku 60+ zamieszkujących na terenie powiatu wielickiego mające na celu budowanie relacji wewnątrzpokoleniowych, wymianę doświadczeń, wsparcie na zasadzie grupy </w:t>
      </w:r>
      <w:r w:rsidRPr="00F67604">
        <w:rPr>
          <w:rFonts w:ascii="Lato" w:hAnsi="Lato" w:cstheme="majorHAnsi"/>
          <w:color w:val="000000"/>
          <w:sz w:val="20"/>
          <w:szCs w:val="20"/>
        </w:rPr>
        <w:lastRenderedPageBreak/>
        <w:t xml:space="preserve">samopomocowej, psychologiczną pomoc w codziennych problemach związanych z sytuacją rodzinną, społeczną i osobistą. </w:t>
      </w:r>
    </w:p>
    <w:p w14:paraId="477C7C52" w14:textId="47996A0B" w:rsidR="004261D9" w:rsidRPr="00F67604" w:rsidRDefault="004261D9" w:rsidP="0059185B">
      <w:pPr>
        <w:pStyle w:val="Akapitzlist"/>
        <w:numPr>
          <w:ilvl w:val="0"/>
          <w:numId w:val="69"/>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Dom Pomocy Społecznej Caritas Archidiecezji Krakowskiej w Biskupicach: współpracuje ze środowiskiem lokalnym (parafia, biblioteka, przedszkole, szkoła- w tym akcja</w:t>
      </w:r>
      <w:r w:rsidRPr="00F67604">
        <w:rPr>
          <w:rFonts w:ascii="Lato" w:hAnsi="Lato" w:cstheme="majorHAnsi"/>
          <w:color w:val="000000"/>
          <w:sz w:val="20"/>
          <w:szCs w:val="20"/>
        </w:rPr>
        <w:br/>
        <w:t>p.t." Herbatka dla seniora", wypiekanie pierniczków), wizyta w lokalnej "</w:t>
      </w:r>
      <w:proofErr w:type="spellStart"/>
      <w:r w:rsidRPr="00F67604">
        <w:rPr>
          <w:rFonts w:ascii="Lato" w:hAnsi="Lato" w:cstheme="majorHAnsi"/>
          <w:color w:val="000000"/>
          <w:sz w:val="20"/>
          <w:szCs w:val="20"/>
        </w:rPr>
        <w:t>Lawedownii</w:t>
      </w:r>
      <w:proofErr w:type="spellEnd"/>
      <w:r w:rsidRPr="00F67604">
        <w:rPr>
          <w:rFonts w:ascii="Lato" w:hAnsi="Lato" w:cstheme="majorHAnsi"/>
          <w:color w:val="000000"/>
          <w:sz w:val="20"/>
          <w:szCs w:val="20"/>
        </w:rPr>
        <w:t xml:space="preserve">", wyjazdy integracyjno- edukacyjne (odwiedziny w ŚDS, wyjazd do kina "Ważka", muzeum </w:t>
      </w:r>
      <w:proofErr w:type="spellStart"/>
      <w:r w:rsidRPr="00F67604">
        <w:rPr>
          <w:rFonts w:ascii="Lato" w:hAnsi="Lato" w:cstheme="majorHAnsi"/>
          <w:color w:val="000000"/>
          <w:sz w:val="20"/>
          <w:szCs w:val="20"/>
        </w:rPr>
        <w:t>iluzjii</w:t>
      </w:r>
      <w:proofErr w:type="spellEnd"/>
      <w:r w:rsidRPr="00F67604">
        <w:rPr>
          <w:rFonts w:ascii="Lato" w:hAnsi="Lato" w:cstheme="majorHAnsi"/>
          <w:color w:val="000000"/>
          <w:sz w:val="20"/>
          <w:szCs w:val="20"/>
        </w:rPr>
        <w:t xml:space="preserve"> ogrodu botanicznego, zajęcia z logopedą, zajęcia artystyczne (występ zespołu "</w:t>
      </w:r>
      <w:proofErr w:type="spellStart"/>
      <w:r w:rsidRPr="00F67604">
        <w:rPr>
          <w:rFonts w:ascii="Lato" w:hAnsi="Lato" w:cstheme="majorHAnsi"/>
          <w:color w:val="000000"/>
          <w:sz w:val="20"/>
          <w:szCs w:val="20"/>
        </w:rPr>
        <w:t>Sułkowianie</w:t>
      </w:r>
      <w:proofErr w:type="spellEnd"/>
      <w:r w:rsidRPr="00F67604">
        <w:rPr>
          <w:rFonts w:ascii="Lato" w:hAnsi="Lato" w:cstheme="majorHAnsi"/>
          <w:color w:val="000000"/>
          <w:sz w:val="20"/>
          <w:szCs w:val="20"/>
        </w:rPr>
        <w:t xml:space="preserve">",  "Wrzos"), zajęcia </w:t>
      </w:r>
      <w:proofErr w:type="spellStart"/>
      <w:r w:rsidRPr="00F67604">
        <w:rPr>
          <w:rFonts w:ascii="Lato" w:hAnsi="Lato" w:cstheme="majorHAnsi"/>
          <w:color w:val="000000"/>
          <w:sz w:val="20"/>
          <w:szCs w:val="20"/>
        </w:rPr>
        <w:t>plastyczne-terapia</w:t>
      </w:r>
      <w:proofErr w:type="spellEnd"/>
      <w:r w:rsidRPr="00F67604">
        <w:rPr>
          <w:rFonts w:ascii="Lato" w:hAnsi="Lato" w:cstheme="majorHAnsi"/>
          <w:color w:val="000000"/>
          <w:sz w:val="20"/>
          <w:szCs w:val="20"/>
        </w:rPr>
        <w:t xml:space="preserve"> zajęciowa, współpraca z rodziną, transport dostosowany do potrzeb osób starszych i z niepełnosprawnością.</w:t>
      </w:r>
    </w:p>
    <w:p w14:paraId="432874F4" w14:textId="77777777" w:rsidR="00F67604" w:rsidRDefault="00F67604" w:rsidP="00F67604">
      <w:pPr>
        <w:spacing w:after="0" w:line="240" w:lineRule="auto"/>
        <w:ind w:right="-1"/>
        <w:jc w:val="both"/>
        <w:rPr>
          <w:rFonts w:ascii="Lato" w:hAnsi="Lato" w:cstheme="majorHAnsi"/>
          <w:sz w:val="20"/>
          <w:szCs w:val="20"/>
          <w:u w:val="single"/>
        </w:rPr>
      </w:pPr>
    </w:p>
    <w:p w14:paraId="0DBA3567" w14:textId="021B9527" w:rsidR="004261D9" w:rsidRPr="00F67604" w:rsidRDefault="004261D9" w:rsidP="00F67604">
      <w:pPr>
        <w:spacing w:after="0" w:line="240" w:lineRule="auto"/>
        <w:ind w:right="-1"/>
        <w:jc w:val="both"/>
        <w:rPr>
          <w:rFonts w:ascii="Lato" w:hAnsi="Lato" w:cstheme="majorHAnsi"/>
          <w:b/>
          <w:bCs/>
          <w:color w:val="000000"/>
          <w:sz w:val="20"/>
          <w:szCs w:val="20"/>
          <w:u w:val="single"/>
        </w:rPr>
      </w:pPr>
      <w:r w:rsidRPr="00F67604">
        <w:rPr>
          <w:rFonts w:ascii="Lato" w:hAnsi="Lato" w:cstheme="majorHAnsi"/>
          <w:b/>
          <w:bCs/>
          <w:sz w:val="20"/>
          <w:szCs w:val="20"/>
          <w:u w:val="single"/>
        </w:rPr>
        <w:t xml:space="preserve">Powiat wadowicki </w:t>
      </w:r>
    </w:p>
    <w:p w14:paraId="253AF7EF" w14:textId="5DFA589B" w:rsidR="00F67604" w:rsidRPr="00F67604" w:rsidRDefault="004261D9" w:rsidP="0059185B">
      <w:pPr>
        <w:pStyle w:val="Akapitzlist"/>
        <w:numPr>
          <w:ilvl w:val="0"/>
          <w:numId w:val="70"/>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sz w:val="20"/>
          <w:szCs w:val="20"/>
        </w:rPr>
        <w:t>zlecił dwóm organizacjom pozarządowym ze środków PFRON realizację zadania</w:t>
      </w:r>
      <w:r w:rsidRPr="00F67604">
        <w:rPr>
          <w:rFonts w:ascii="Lato" w:hAnsi="Lato" w:cstheme="majorHAnsi"/>
          <w:sz w:val="20"/>
          <w:szCs w:val="20"/>
        </w:rPr>
        <w:br/>
        <w:t xml:space="preserve">z zakresu rehabilitacji społecznej osób niepełnosprawnych, obejmującą prowadzenie rehabilitacji osób dorosłych, w tym osób starszych. Zadanie to organizacje realizowały przede wszystkim w miejscu zamieszkania osób niepełnosprawnych. W 2022r. powiat dofinansował ze środków PFRON 2 wyjazdy organizowane przez Polski Związek Niewidomych, Okręg Małopolski  Koło Powiatowe w Wadowicach, w którym wzięło udział 30 członków Koła, w tym głównie osoby starsze.        </w:t>
      </w:r>
    </w:p>
    <w:p w14:paraId="6B7AA8DD" w14:textId="68262180" w:rsidR="004261D9" w:rsidRPr="00F67604" w:rsidRDefault="004261D9" w:rsidP="0059185B">
      <w:pPr>
        <w:pStyle w:val="Akapitzlist"/>
        <w:numPr>
          <w:ilvl w:val="0"/>
          <w:numId w:val="70"/>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sz w:val="20"/>
          <w:szCs w:val="20"/>
        </w:rPr>
        <w:t xml:space="preserve">Dom Pomocy Społecznej Zakonu Bonifratrów w Zebrzydowicach: Realizacja projektu pn. „Więcej zdrowia więcej życia" jest to projekt, który w swoich działaniach zakłada promowanie zdrowego stylu życia. Każda z form wsparcia uczy, zachęca i uświadamia czym jest dbałość o zdrowie, szczególnie w zakresie odżywiania i aktywności fizycznej.  Niniejszy projekt zakłada działania aktywizujące, które obejmują: 1. Warsztaty zdrowego żywienia 2. Warsztaty kreatywne 3. Warsztaty multimedialne 4. Zajęcia z edukacji prozdrowotnej 5. Zajęcia </w:t>
      </w:r>
      <w:proofErr w:type="spellStart"/>
      <w:r w:rsidRPr="00F67604">
        <w:rPr>
          <w:rFonts w:ascii="Lato" w:hAnsi="Lato" w:cstheme="majorHAnsi"/>
          <w:sz w:val="20"/>
          <w:szCs w:val="20"/>
        </w:rPr>
        <w:t>rehabilitacyjno</w:t>
      </w:r>
      <w:proofErr w:type="spellEnd"/>
      <w:r w:rsidRPr="00F67604">
        <w:rPr>
          <w:rFonts w:ascii="Lato" w:hAnsi="Lato" w:cstheme="majorHAnsi"/>
          <w:sz w:val="20"/>
          <w:szCs w:val="20"/>
        </w:rPr>
        <w:t xml:space="preserve"> - sportowe 6. Trening personalny 7. Poradnictwo </w:t>
      </w:r>
      <w:proofErr w:type="spellStart"/>
      <w:r w:rsidRPr="00F67604">
        <w:rPr>
          <w:rFonts w:ascii="Lato" w:hAnsi="Lato" w:cstheme="majorHAnsi"/>
          <w:sz w:val="20"/>
          <w:szCs w:val="20"/>
        </w:rPr>
        <w:t>psycho</w:t>
      </w:r>
      <w:proofErr w:type="spellEnd"/>
      <w:r w:rsidRPr="00F67604">
        <w:rPr>
          <w:rFonts w:ascii="Lato" w:hAnsi="Lato" w:cstheme="majorHAnsi"/>
          <w:sz w:val="20"/>
          <w:szCs w:val="20"/>
        </w:rPr>
        <w:t xml:space="preserve"> - dietetyczne 8. Trening z </w:t>
      </w:r>
      <w:proofErr w:type="spellStart"/>
      <w:r w:rsidRPr="00F67604">
        <w:rPr>
          <w:rFonts w:ascii="Lato" w:hAnsi="Lato" w:cstheme="majorHAnsi"/>
          <w:sz w:val="20"/>
          <w:szCs w:val="20"/>
        </w:rPr>
        <w:t>Biofeedback</w:t>
      </w:r>
      <w:proofErr w:type="spellEnd"/>
      <w:r w:rsidRPr="00F67604">
        <w:rPr>
          <w:rFonts w:ascii="Lato" w:hAnsi="Lato" w:cstheme="majorHAnsi"/>
          <w:sz w:val="20"/>
          <w:szCs w:val="20"/>
        </w:rPr>
        <w:t xml:space="preserve">.               </w:t>
      </w:r>
    </w:p>
    <w:p w14:paraId="3C86F82E" w14:textId="77777777" w:rsidR="00F67604" w:rsidRDefault="00F67604" w:rsidP="00F67604">
      <w:pPr>
        <w:overflowPunct w:val="0"/>
        <w:autoSpaceDE w:val="0"/>
        <w:autoSpaceDN w:val="0"/>
        <w:adjustRightInd w:val="0"/>
        <w:spacing w:after="0" w:line="240" w:lineRule="auto"/>
        <w:ind w:right="-1"/>
        <w:jc w:val="both"/>
        <w:textAlignment w:val="baseline"/>
        <w:rPr>
          <w:rFonts w:ascii="Lato" w:hAnsi="Lato" w:cstheme="majorHAnsi"/>
          <w:b/>
          <w:color w:val="000000"/>
          <w:sz w:val="20"/>
          <w:szCs w:val="20"/>
        </w:rPr>
      </w:pPr>
    </w:p>
    <w:p w14:paraId="197FBFA1" w14:textId="20EBC7DE" w:rsidR="004261D9" w:rsidRPr="00F67604" w:rsidRDefault="004261D9" w:rsidP="00F67604">
      <w:pPr>
        <w:overflowPunct w:val="0"/>
        <w:autoSpaceDE w:val="0"/>
        <w:autoSpaceDN w:val="0"/>
        <w:adjustRightInd w:val="0"/>
        <w:spacing w:after="0" w:line="240" w:lineRule="auto"/>
        <w:ind w:right="-1"/>
        <w:jc w:val="both"/>
        <w:textAlignment w:val="baseline"/>
        <w:rPr>
          <w:rFonts w:ascii="Lato" w:hAnsi="Lato" w:cstheme="majorHAnsi"/>
          <w:b/>
          <w:bCs/>
          <w:color w:val="000000"/>
          <w:sz w:val="20"/>
          <w:szCs w:val="20"/>
          <w:u w:val="single"/>
        </w:rPr>
      </w:pPr>
      <w:r w:rsidRPr="00F67604">
        <w:rPr>
          <w:rFonts w:ascii="Lato" w:hAnsi="Lato" w:cstheme="majorHAnsi"/>
          <w:b/>
          <w:bCs/>
          <w:sz w:val="20"/>
          <w:szCs w:val="20"/>
          <w:u w:val="single"/>
        </w:rPr>
        <w:t xml:space="preserve">Gmina Zielonki </w:t>
      </w:r>
    </w:p>
    <w:p w14:paraId="37932A5E" w14:textId="4379DA21" w:rsidR="00F67604" w:rsidRDefault="004261D9" w:rsidP="0059185B">
      <w:pPr>
        <w:pStyle w:val="Akapitzlist"/>
        <w:numPr>
          <w:ilvl w:val="0"/>
          <w:numId w:val="71"/>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Podziel się dobrem z seniorem czyli zbiórka artykułów spożywczych, chemicznych</w:t>
      </w:r>
      <w:r w:rsidRPr="00F67604">
        <w:rPr>
          <w:rFonts w:ascii="Lato" w:hAnsi="Lato" w:cstheme="majorHAnsi"/>
          <w:color w:val="000000"/>
          <w:sz w:val="20"/>
          <w:szCs w:val="20"/>
        </w:rPr>
        <w:br/>
        <w:t>i</w:t>
      </w:r>
      <w:r w:rsidRPr="00F67604">
        <w:rPr>
          <w:rFonts w:ascii="Lato" w:hAnsi="Lato" w:cstheme="majorHAnsi"/>
          <w:color w:val="000000"/>
          <w:sz w:val="20"/>
          <w:szCs w:val="20"/>
          <w:u w:val="single"/>
        </w:rPr>
        <w:t xml:space="preserve"> </w:t>
      </w:r>
      <w:r w:rsidRPr="00F67604">
        <w:rPr>
          <w:rFonts w:ascii="Lato" w:hAnsi="Lato" w:cstheme="majorHAnsi"/>
          <w:color w:val="000000"/>
          <w:sz w:val="20"/>
          <w:szCs w:val="20"/>
        </w:rPr>
        <w:t>higienicznych dla osób starszych, chorych, samotnych i niepełnosprawnych z Gminy Zielonki przy współpracy z lokalnym sklepem. W ramach akcji pomocą zostało objętych około 14 osób w wieku 60+.</w:t>
      </w:r>
    </w:p>
    <w:p w14:paraId="47DDB4C0" w14:textId="34B20D30" w:rsidR="004261D9" w:rsidRPr="00F67604" w:rsidRDefault="004261D9" w:rsidP="0059185B">
      <w:pPr>
        <w:pStyle w:val="Akapitzlist"/>
        <w:numPr>
          <w:ilvl w:val="0"/>
          <w:numId w:val="71"/>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Projekt Mały krok do szczęścia II tj. kompleksowa aktywizacja społeczno-zawodowa osób zagrożonych ubóstwem lub wykluczeniem społecznym na terenie Gminy Zielonki.</w:t>
      </w:r>
      <w:r w:rsidRPr="00F67604">
        <w:rPr>
          <w:rFonts w:ascii="Lato" w:hAnsi="Lato" w:cstheme="majorHAnsi"/>
          <w:color w:val="000000"/>
          <w:sz w:val="20"/>
          <w:szCs w:val="20"/>
        </w:rPr>
        <w:br/>
        <w:t>W ramach programu z rehabilitacji, pomocy psychologicznej oraz psychoterapeutycznej skorzystało 7 osób w wieku 60+.</w:t>
      </w:r>
    </w:p>
    <w:p w14:paraId="3ACF70CA" w14:textId="77777777" w:rsidR="00F67604" w:rsidRDefault="00F67604" w:rsidP="00F67604">
      <w:pPr>
        <w:overflowPunct w:val="0"/>
        <w:autoSpaceDE w:val="0"/>
        <w:autoSpaceDN w:val="0"/>
        <w:adjustRightInd w:val="0"/>
        <w:spacing w:after="0" w:line="240" w:lineRule="auto"/>
        <w:ind w:right="-1"/>
        <w:jc w:val="both"/>
        <w:textAlignment w:val="baseline"/>
        <w:rPr>
          <w:rFonts w:ascii="Lato" w:hAnsi="Lato" w:cstheme="majorHAnsi"/>
          <w:sz w:val="20"/>
          <w:szCs w:val="20"/>
          <w:u w:val="single"/>
        </w:rPr>
      </w:pPr>
    </w:p>
    <w:p w14:paraId="377F7506" w14:textId="77777777" w:rsidR="00F67604" w:rsidRDefault="004261D9" w:rsidP="00F67604">
      <w:pPr>
        <w:overflowPunct w:val="0"/>
        <w:autoSpaceDE w:val="0"/>
        <w:autoSpaceDN w:val="0"/>
        <w:adjustRightInd w:val="0"/>
        <w:spacing w:after="0" w:line="240" w:lineRule="auto"/>
        <w:ind w:right="-1"/>
        <w:jc w:val="both"/>
        <w:textAlignment w:val="baseline"/>
        <w:rPr>
          <w:rFonts w:ascii="Lato" w:hAnsi="Lato" w:cstheme="majorHAnsi"/>
          <w:b/>
          <w:bCs/>
          <w:sz w:val="20"/>
          <w:szCs w:val="20"/>
          <w:u w:val="single"/>
        </w:rPr>
      </w:pPr>
      <w:r w:rsidRPr="00F67604">
        <w:rPr>
          <w:rFonts w:ascii="Lato" w:hAnsi="Lato" w:cstheme="majorHAnsi"/>
          <w:b/>
          <w:bCs/>
          <w:sz w:val="20"/>
          <w:szCs w:val="20"/>
          <w:u w:val="single"/>
        </w:rPr>
        <w:t xml:space="preserve">Gmina Kęty </w:t>
      </w:r>
    </w:p>
    <w:p w14:paraId="712FAE02" w14:textId="42A6FFB1" w:rsidR="00F67604" w:rsidRDefault="004261D9" w:rsidP="0059185B">
      <w:pPr>
        <w:pStyle w:val="Akapitzlist"/>
        <w:numPr>
          <w:ilvl w:val="0"/>
          <w:numId w:val="72"/>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GOPS w Kętach oferuje możliwość realizacji usług opiekuńczych w formie usług sąsiedzkich aby zapewnić opiekę i pomoc osobie potrzebującej przez osoby z jej najbliższego otoczenia. Realizacja takich umów przyczynia się do zwiększenia poczucia bezpieczeństwa osób potrzebujących, a także realizacji usługi w sposób elastyczny</w:t>
      </w:r>
      <w:r w:rsidR="00F67604">
        <w:rPr>
          <w:rFonts w:ascii="Lato" w:hAnsi="Lato" w:cstheme="majorHAnsi"/>
          <w:color w:val="000000"/>
          <w:sz w:val="20"/>
          <w:szCs w:val="20"/>
        </w:rPr>
        <w:t xml:space="preserve"> </w:t>
      </w:r>
      <w:r w:rsidRPr="00F67604">
        <w:rPr>
          <w:rFonts w:ascii="Lato" w:hAnsi="Lato" w:cstheme="majorHAnsi"/>
          <w:color w:val="000000"/>
          <w:sz w:val="20"/>
          <w:szCs w:val="20"/>
        </w:rPr>
        <w:t>i dostosowany do ich potrzeb.</w:t>
      </w:r>
    </w:p>
    <w:p w14:paraId="662C1C26" w14:textId="2DB0C52D" w:rsidR="00F67604" w:rsidRDefault="004261D9" w:rsidP="0059185B">
      <w:pPr>
        <w:pStyle w:val="Akapitzlist"/>
        <w:numPr>
          <w:ilvl w:val="0"/>
          <w:numId w:val="72"/>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Punkt Informacji dla Seniorów (udzielanie informacji dotyczących ulg i uprawnień dla osób starszych i niepełnosprawnych oraz udostępnianie druków i pomoc w ich wypełnianiu;</w:t>
      </w:r>
    </w:p>
    <w:p w14:paraId="5D552C7F" w14:textId="718927E9" w:rsidR="004261D9" w:rsidRPr="00F67604" w:rsidRDefault="004261D9" w:rsidP="0059185B">
      <w:pPr>
        <w:pStyle w:val="Akapitzlist"/>
        <w:numPr>
          <w:ilvl w:val="0"/>
          <w:numId w:val="72"/>
        </w:numPr>
        <w:overflowPunct w:val="0"/>
        <w:autoSpaceDE w:val="0"/>
        <w:autoSpaceDN w:val="0"/>
        <w:adjustRightInd w:val="0"/>
        <w:spacing w:after="0" w:line="240" w:lineRule="auto"/>
        <w:ind w:right="-1"/>
        <w:jc w:val="both"/>
        <w:textAlignment w:val="baseline"/>
        <w:rPr>
          <w:rFonts w:ascii="Lato" w:hAnsi="Lato" w:cstheme="majorHAnsi"/>
          <w:color w:val="000000"/>
          <w:sz w:val="20"/>
          <w:szCs w:val="20"/>
        </w:rPr>
      </w:pPr>
      <w:r w:rsidRPr="00F67604">
        <w:rPr>
          <w:rFonts w:ascii="Lato" w:hAnsi="Lato" w:cstheme="majorHAnsi"/>
          <w:color w:val="000000"/>
          <w:sz w:val="20"/>
          <w:szCs w:val="20"/>
        </w:rPr>
        <w:t xml:space="preserve">współpraca z fundacją </w:t>
      </w:r>
      <w:proofErr w:type="spellStart"/>
      <w:r w:rsidRPr="00F67604">
        <w:rPr>
          <w:rFonts w:ascii="Lato" w:hAnsi="Lato" w:cstheme="majorHAnsi"/>
          <w:color w:val="000000"/>
          <w:sz w:val="20"/>
          <w:szCs w:val="20"/>
        </w:rPr>
        <w:t>EcoTextil</w:t>
      </w:r>
      <w:proofErr w:type="spellEnd"/>
      <w:r w:rsidRPr="00F67604">
        <w:rPr>
          <w:rFonts w:ascii="Lato" w:hAnsi="Lato" w:cstheme="majorHAnsi"/>
          <w:color w:val="000000"/>
          <w:sz w:val="20"/>
          <w:szCs w:val="20"/>
        </w:rPr>
        <w:t xml:space="preserve"> w zakresie bezpłatnej wypożyczalni sprzętu rehabilitacyjnego. W 2022 r. z wypożyczalni skorzystało 17 osób wypożyczając wózki, balkoniki, kule oraz rowery trzykołowe.</w:t>
      </w:r>
    </w:p>
    <w:p w14:paraId="32547E7E" w14:textId="77777777" w:rsidR="00F67604" w:rsidRDefault="00F67604" w:rsidP="004261D9">
      <w:pPr>
        <w:spacing w:after="0" w:line="240" w:lineRule="auto"/>
        <w:ind w:left="142" w:right="-1"/>
        <w:jc w:val="both"/>
        <w:rPr>
          <w:rFonts w:ascii="Lato" w:hAnsi="Lato" w:cstheme="majorHAnsi"/>
          <w:b/>
          <w:sz w:val="20"/>
          <w:szCs w:val="20"/>
          <w:u w:val="single"/>
        </w:rPr>
      </w:pPr>
    </w:p>
    <w:p w14:paraId="536F0DCF" w14:textId="11934481" w:rsidR="00F67604" w:rsidRPr="00F67604" w:rsidRDefault="00F67604" w:rsidP="00F67604">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32E0FF72" w14:textId="308A15F6" w:rsidR="004261D9" w:rsidRPr="00F67604" w:rsidRDefault="004261D9" w:rsidP="00F67604">
      <w:pPr>
        <w:spacing w:after="0" w:line="240" w:lineRule="auto"/>
        <w:jc w:val="both"/>
        <w:rPr>
          <w:rFonts w:ascii="Lato" w:eastAsia="Calibri" w:hAnsi="Lato" w:cstheme="majorHAnsi"/>
          <w:sz w:val="20"/>
          <w:szCs w:val="20"/>
        </w:rPr>
      </w:pPr>
      <w:r w:rsidRPr="00F67604">
        <w:rPr>
          <w:rFonts w:ascii="Lato" w:eastAsia="Calibri" w:hAnsi="Lato" w:cstheme="majorHAnsi"/>
          <w:b/>
          <w:color w:val="000000"/>
          <w:sz w:val="20"/>
          <w:szCs w:val="20"/>
        </w:rPr>
        <w:t>Inkubator Włączenia Społecznego</w:t>
      </w:r>
      <w:r w:rsidR="00631A93">
        <w:rPr>
          <w:rFonts w:ascii="Lato" w:eastAsia="Calibri" w:hAnsi="Lato" w:cstheme="majorHAnsi"/>
          <w:b/>
          <w:color w:val="000000"/>
          <w:sz w:val="20"/>
          <w:szCs w:val="20"/>
          <w:vertAlign w:val="superscript"/>
        </w:rPr>
        <w:t xml:space="preserve"> </w:t>
      </w:r>
      <w:r w:rsidRPr="00F67604">
        <w:rPr>
          <w:rFonts w:ascii="Lato" w:eastAsia="Calibri" w:hAnsi="Lato" w:cstheme="majorHAnsi"/>
          <w:color w:val="000000"/>
          <w:sz w:val="20"/>
          <w:szCs w:val="20"/>
        </w:rPr>
        <w:t>realizowany jest przez Regionalny Ośrodek Polityki Społecznej w Krakowie, Fundację Rozwoju Demokracji Lokalnej im. Jerzego Regulskiego oraz Uniwersytet Jagielloński w Krakowie. Zakłada wypracowanie i przetestowanie 60 innowacyjnych rozwiązań, które ułatwiają funkcjonowanie w przestrzeni publicznej i prywatnej, zwiększają dostęp do różnego typu usług lub są produktami czy metodami pracy, które ułatwią aktywne i samodzielne życie.</w:t>
      </w:r>
      <w:r w:rsidRPr="00F67604">
        <w:rPr>
          <w:rFonts w:ascii="Lato" w:eastAsia="Calibri" w:hAnsi="Lato" w:cstheme="majorHAnsi"/>
          <w:b/>
          <w:bCs/>
          <w:color w:val="000000"/>
          <w:sz w:val="20"/>
          <w:szCs w:val="20"/>
        </w:rPr>
        <w:t xml:space="preserve"> </w:t>
      </w:r>
      <w:r w:rsidRPr="00F67604">
        <w:rPr>
          <w:rFonts w:ascii="Lato" w:eastAsia="Calibri" w:hAnsi="Lato" w:cstheme="majorHAnsi"/>
          <w:sz w:val="20"/>
          <w:szCs w:val="20"/>
        </w:rPr>
        <w:t xml:space="preserve">W 2022 r. prowadzono ostatni etap animacji lokalnej i rekrutacji przyszłych innowatorów społecznych, a także ostatnią turę naboru na innowacje społeczne. </w:t>
      </w:r>
    </w:p>
    <w:p w14:paraId="77E990F9" w14:textId="77777777" w:rsidR="00F67604" w:rsidRDefault="00F67604" w:rsidP="00F67604">
      <w:pPr>
        <w:spacing w:after="0" w:line="240" w:lineRule="auto"/>
        <w:jc w:val="both"/>
        <w:rPr>
          <w:rFonts w:ascii="Lato" w:eastAsia="Calibri" w:hAnsi="Lato" w:cstheme="majorHAnsi"/>
          <w:color w:val="000000"/>
          <w:sz w:val="20"/>
          <w:szCs w:val="20"/>
        </w:rPr>
      </w:pPr>
    </w:p>
    <w:p w14:paraId="7CB47BD9" w14:textId="6FD852D4" w:rsidR="004261D9" w:rsidRPr="004261D9" w:rsidRDefault="004261D9" w:rsidP="00F67604">
      <w:pPr>
        <w:spacing w:after="0" w:line="240" w:lineRule="auto"/>
        <w:jc w:val="both"/>
        <w:rPr>
          <w:rFonts w:ascii="Lato" w:eastAsia="Calibri" w:hAnsi="Lato" w:cs="Arial"/>
          <w:color w:val="000000"/>
          <w:sz w:val="20"/>
          <w:szCs w:val="20"/>
        </w:rPr>
      </w:pPr>
      <w:r w:rsidRPr="004261D9">
        <w:rPr>
          <w:rFonts w:ascii="Lato" w:eastAsia="Calibri" w:hAnsi="Lato" w:cstheme="majorHAnsi"/>
          <w:color w:val="000000"/>
          <w:sz w:val="20"/>
          <w:szCs w:val="20"/>
        </w:rPr>
        <w:t>Łącznie w całym konkursie wpłynęło 251 zgłoszeń, z których wyłoniono 60 innowatorów społecznych. Zawarto 55 umów o grant i wypłacono transze grantów zgodnie</w:t>
      </w:r>
      <w:r w:rsidR="00F67604">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 xml:space="preserve">z harmonogramem ich realizacji. </w:t>
      </w:r>
      <w:r w:rsidRPr="004261D9">
        <w:rPr>
          <w:rFonts w:ascii="Lato" w:eastAsia="Calibri" w:hAnsi="Lato" w:cstheme="majorHAnsi"/>
          <w:color w:val="000000"/>
          <w:sz w:val="20"/>
          <w:szCs w:val="20"/>
        </w:rPr>
        <w:lastRenderedPageBreak/>
        <w:t>Świadczono wsparcie dla innowatorów</w:t>
      </w:r>
      <w:r w:rsidR="00F67604">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w opracowywaniu prototypów i teście innowacji. Zrealizowano jedną edycję Akademii Innowatorów Społecznych. prowadzono animację lokalną i rekrutację przyszłych innowatorów społecznych, Przykładem innowacji, która jest opracowywana w ramach projektu jest modelowe rozwiązanie wykorzystania kodów QR na pomoc seniorom,</w:t>
      </w:r>
      <w:r w:rsidR="00F67604">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 xml:space="preserve">w postaci naklejek i/lub wszywek odzieżowych, które będą zwierały najważniejsze informacje o niezbędne w chwili zagrożenia życia, utraty przytomności, amnezji. Służba medyczna/osoba interweniująca, która dysponuje smartfonem może taki kod odczytać, przy użyciu odpowiedniego czytnika, widząc w swoim otoczeniu osobę zagubioną lub wymagającą nagłej interwencji medycznej. Produktem testowanym w ramach projektu jest natomiast Inteligentny </w:t>
      </w:r>
      <w:proofErr w:type="spellStart"/>
      <w:r w:rsidRPr="004261D9">
        <w:rPr>
          <w:rFonts w:ascii="Lato" w:eastAsia="Calibri" w:hAnsi="Lato" w:cstheme="majorHAnsi"/>
          <w:color w:val="000000"/>
          <w:sz w:val="20"/>
          <w:szCs w:val="20"/>
        </w:rPr>
        <w:t>organizer</w:t>
      </w:r>
      <w:proofErr w:type="spellEnd"/>
      <w:r w:rsidRPr="004261D9">
        <w:rPr>
          <w:rFonts w:ascii="Lato" w:eastAsia="Calibri" w:hAnsi="Lato" w:cstheme="majorHAnsi"/>
          <w:color w:val="000000"/>
          <w:sz w:val="20"/>
          <w:szCs w:val="20"/>
        </w:rPr>
        <w:t xml:space="preserve"> do leków dla osób starszych w formie pudełka, składającego się z zamykanych przegródek na leki, wyposażonych w czujniki umożliwiające detekcję pobrania leku, system sygnalizacji świetlnej uruchamiającej się o określonej godzinie, gdy powinien być zażyty konkretny lek oraz specjalnie opracowanej aplikacji mobilnej. Dzięki niej, opiekun otrzymuje możliwość ustawienia określonych godzin zażywania</w:t>
      </w:r>
      <w:r w:rsidRPr="004261D9">
        <w:rPr>
          <w:rFonts w:ascii="Lato" w:eastAsia="Calibri" w:hAnsi="Lato" w:cs="Arial"/>
          <w:color w:val="000000"/>
          <w:sz w:val="20"/>
          <w:szCs w:val="20"/>
        </w:rPr>
        <w:t xml:space="preserve"> poszczególnych leków, a w przypadku ich zażycia lub pominięcia dawki, otrzymuje stosowne powiadomienie.</w:t>
      </w:r>
    </w:p>
    <w:p w14:paraId="4EAC3A8C" w14:textId="77777777" w:rsidR="00F67604" w:rsidRDefault="00F67604" w:rsidP="00F67604">
      <w:pPr>
        <w:spacing w:after="0" w:line="240" w:lineRule="auto"/>
        <w:jc w:val="both"/>
        <w:rPr>
          <w:rFonts w:ascii="Lato" w:eastAsia="Calibri" w:hAnsi="Lato" w:cstheme="majorHAnsi"/>
          <w:b/>
          <w:color w:val="000000"/>
          <w:sz w:val="20"/>
          <w:szCs w:val="20"/>
        </w:rPr>
      </w:pPr>
    </w:p>
    <w:p w14:paraId="33001FF4" w14:textId="33DF22AD" w:rsidR="004261D9" w:rsidRPr="004261D9" w:rsidRDefault="004261D9" w:rsidP="00F67604">
      <w:pPr>
        <w:spacing w:after="0" w:line="240" w:lineRule="auto"/>
        <w:jc w:val="both"/>
        <w:rPr>
          <w:rFonts w:ascii="Lato" w:eastAsia="Calibri" w:hAnsi="Lato" w:cstheme="majorHAnsi"/>
          <w:sz w:val="20"/>
          <w:szCs w:val="20"/>
        </w:rPr>
      </w:pPr>
      <w:r w:rsidRPr="004261D9">
        <w:rPr>
          <w:rFonts w:ascii="Lato" w:eastAsia="Calibri" w:hAnsi="Lato" w:cstheme="majorHAnsi"/>
          <w:b/>
          <w:color w:val="000000"/>
          <w:sz w:val="20"/>
          <w:szCs w:val="20"/>
        </w:rPr>
        <w:t>Inkubator Dostępności</w:t>
      </w:r>
      <w:r w:rsidRPr="004261D9">
        <w:rPr>
          <w:rFonts w:ascii="Lato" w:eastAsia="Calibri" w:hAnsi="Lato" w:cstheme="majorHAnsi"/>
          <w:color w:val="000000"/>
          <w:sz w:val="20"/>
          <w:szCs w:val="20"/>
        </w:rPr>
        <w:t xml:space="preserve"> - projekt został zakończony w 2022 r. Zadaniem projektu było niwelowanie barier w dostępie do usług, produktów i przestrzeni publicznej dla osób</w:t>
      </w:r>
      <w:r w:rsidR="00F67604">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 xml:space="preserve">o ograniczonej mobilności, percepcji, starszych i z niepełnosprawnościami. </w:t>
      </w:r>
      <w:r w:rsidRPr="004261D9">
        <w:rPr>
          <w:rFonts w:ascii="Lato" w:eastAsia="Calibri" w:hAnsi="Lato" w:cstheme="majorHAnsi"/>
          <w:sz w:val="20"/>
          <w:szCs w:val="20"/>
        </w:rPr>
        <w:t>Efektem projektu jest 45 wypracowanych i przetestowanych innowacyjnych rozwiązań. Innowacje społeczne w ramach projektu były wspierane poprzez udzielanie grantu na tworzenie</w:t>
      </w:r>
      <w:r w:rsidR="00F67604">
        <w:rPr>
          <w:rFonts w:ascii="Lato" w:eastAsia="Calibri" w:hAnsi="Lato" w:cstheme="majorHAnsi"/>
          <w:sz w:val="20"/>
          <w:szCs w:val="20"/>
        </w:rPr>
        <w:t xml:space="preserve"> </w:t>
      </w:r>
      <w:r w:rsidRPr="004261D9">
        <w:rPr>
          <w:rFonts w:ascii="Lato" w:eastAsia="Calibri" w:hAnsi="Lato" w:cstheme="majorHAnsi"/>
          <w:sz w:val="20"/>
          <w:szCs w:val="20"/>
        </w:rPr>
        <w:t xml:space="preserve">i testowanie nowych rozwiązań z obszaru „dostępności”. Innowatorami były osoby fizyczne, organizacje pozarządowe, podmioty publiczne i prywatne, jak również partnerstwa złożone z wymienionych członków. </w:t>
      </w:r>
      <w:r w:rsidRPr="004261D9">
        <w:rPr>
          <w:rFonts w:ascii="Lato" w:eastAsia="Calibri" w:hAnsi="Lato" w:cstheme="majorHAnsi"/>
          <w:color w:val="000000"/>
          <w:sz w:val="20"/>
          <w:szCs w:val="20"/>
        </w:rPr>
        <w:t>W 2022 podpisano 2 ostatnie umowy</w:t>
      </w:r>
      <w:r w:rsidR="00631A93">
        <w:rPr>
          <w:rFonts w:ascii="Lato" w:eastAsia="Calibri" w:hAnsi="Lato" w:cstheme="majorHAnsi"/>
          <w:color w:val="000000"/>
          <w:sz w:val="20"/>
          <w:szCs w:val="20"/>
        </w:rPr>
        <w:t xml:space="preserve"> </w:t>
      </w:r>
      <w:r w:rsidRPr="004261D9">
        <w:rPr>
          <w:rFonts w:ascii="Lato" w:eastAsia="Calibri" w:hAnsi="Lato" w:cstheme="majorHAnsi"/>
          <w:color w:val="000000"/>
          <w:sz w:val="20"/>
          <w:szCs w:val="20"/>
        </w:rPr>
        <w:t xml:space="preserve">o grant oraz przekazano środki na opracowanie i przetestowanie innowacyjnych rozwiązań. Przykładem przetestowanych innowacji jest m.in. „Strażnik”, czyli aplikacja mobilna współpracująca z urządzeniem osobistym użytkownika (np. inteligentna opaska, smartwatch, smartfon) która powiadamia użytkownika o wykryciu sygnału dźwiękowego wskazującego na zagrożenie. W przypadku wystąpienia dźwięków o odpowiednim natężeniu i czasie trwania (ich źródłem może być na przykład czujka przeciwpożarowa), system zinterpretuje je jako sygnał ostrzegawczy z możliwością wystąpienia niebezpieczeństwa. Wówczas, za pomocą wibracji płynących z urządzenia poinformuje użytkownika o potencjalnym zagrożeniu. </w:t>
      </w:r>
    </w:p>
    <w:p w14:paraId="0B407F74" w14:textId="77777777" w:rsidR="00F67604" w:rsidRDefault="00F67604" w:rsidP="00F67604">
      <w:pPr>
        <w:spacing w:after="0" w:line="240" w:lineRule="auto"/>
        <w:jc w:val="both"/>
        <w:rPr>
          <w:rFonts w:ascii="Lato" w:eastAsia="Calibri" w:hAnsi="Lato" w:cstheme="majorHAnsi"/>
          <w:b/>
          <w:bCs/>
          <w:color w:val="000000"/>
          <w:sz w:val="20"/>
          <w:szCs w:val="20"/>
        </w:rPr>
      </w:pPr>
    </w:p>
    <w:p w14:paraId="26D6B1AD" w14:textId="44664A13" w:rsidR="004261D9" w:rsidRPr="004261D9" w:rsidRDefault="004261D9" w:rsidP="00F67604">
      <w:pPr>
        <w:spacing w:after="0" w:line="240" w:lineRule="auto"/>
        <w:jc w:val="both"/>
        <w:rPr>
          <w:rFonts w:ascii="Lato" w:eastAsia="Calibri" w:hAnsi="Lato" w:cstheme="majorHAnsi"/>
          <w:sz w:val="20"/>
          <w:szCs w:val="20"/>
        </w:rPr>
      </w:pPr>
      <w:proofErr w:type="spellStart"/>
      <w:r w:rsidRPr="004261D9">
        <w:rPr>
          <w:rFonts w:ascii="Lato" w:eastAsia="Calibri" w:hAnsi="Lato" w:cstheme="majorHAnsi"/>
          <w:b/>
          <w:bCs/>
          <w:color w:val="000000"/>
          <w:sz w:val="20"/>
          <w:szCs w:val="20"/>
        </w:rPr>
        <w:t>Ithaca</w:t>
      </w:r>
      <w:proofErr w:type="spellEnd"/>
      <w:r w:rsidRPr="004261D9">
        <w:rPr>
          <w:rFonts w:ascii="Lato" w:eastAsia="Calibri" w:hAnsi="Lato" w:cstheme="majorHAnsi"/>
          <w:color w:val="000000"/>
          <w:sz w:val="20"/>
          <w:szCs w:val="20"/>
        </w:rPr>
        <w:t xml:space="preserve"> – projekt polega na stymulowaniu wdrażania i rozwijania innowacyjnych rozwiązań i tworzenia ekosystemów na rzecz aktywnego i zdrowego starzenia oraz utworzeniu modelu „</w:t>
      </w:r>
      <w:proofErr w:type="spellStart"/>
      <w:r w:rsidRPr="004261D9">
        <w:rPr>
          <w:rFonts w:ascii="Lato" w:eastAsia="Calibri" w:hAnsi="Lato" w:cstheme="majorHAnsi"/>
          <w:color w:val="000000"/>
          <w:sz w:val="20"/>
          <w:szCs w:val="20"/>
        </w:rPr>
        <w:t>triple</w:t>
      </w:r>
      <w:proofErr w:type="spellEnd"/>
      <w:r w:rsidRPr="004261D9">
        <w:rPr>
          <w:rFonts w:ascii="Lato" w:eastAsia="Calibri" w:hAnsi="Lato" w:cstheme="majorHAnsi"/>
          <w:color w:val="000000"/>
          <w:sz w:val="20"/>
          <w:szCs w:val="20"/>
        </w:rPr>
        <w:t xml:space="preserve"> win”, który pozwoli na poprawę stanu zdrowia i dobrobytu pacjentów indywidualnych oraz ich zdolności samodzielnej opieki i samodzielnego życia dłużej niż obecnie i zapewni lepszą kondycję i zyski finansowe sektorom opieki zdrowotnej i społecznej. Od 1 października 2021 do 31 sierpnia 2022 roku w ramach przedłużenia projektu realizowane były działania dodatkowe związane z badaniem wpływu pandemii COVID-19 na rynek usług społecznych i zdrowotnych m.in. zorganizowano międzyregionalne warsztaty </w:t>
      </w:r>
      <w:proofErr w:type="spellStart"/>
      <w:r w:rsidRPr="004261D9">
        <w:rPr>
          <w:rFonts w:ascii="Lato" w:eastAsia="Calibri" w:hAnsi="Lato" w:cstheme="majorHAnsi"/>
          <w:color w:val="000000"/>
          <w:sz w:val="20"/>
          <w:szCs w:val="20"/>
        </w:rPr>
        <w:t>peer-review</w:t>
      </w:r>
      <w:proofErr w:type="spellEnd"/>
      <w:r w:rsidRPr="004261D9">
        <w:rPr>
          <w:rFonts w:ascii="Lato" w:eastAsia="Calibri" w:hAnsi="Lato" w:cstheme="majorHAnsi"/>
          <w:color w:val="000000"/>
          <w:sz w:val="20"/>
          <w:szCs w:val="20"/>
        </w:rPr>
        <w:t xml:space="preserve"> w Krakowie (8-9.06.2022 r.) poświęcone wykorzystaniu innowacji technologicznych i społecznych w celu przeciwdziałania skutkom izolacji, w tym dbanie o zdrowie psychiczne. Zorganizowano spotkanie podsumowujące prace regionalnej grupy interesariuszy projektu ITHACA połączone </w:t>
      </w:r>
      <w:r w:rsidRPr="004261D9">
        <w:rPr>
          <w:rFonts w:ascii="Lato" w:eastAsia="Calibri" w:hAnsi="Lato" w:cstheme="majorHAnsi"/>
          <w:color w:val="000000"/>
          <w:sz w:val="20"/>
          <w:szCs w:val="20"/>
        </w:rPr>
        <w:br/>
        <w:t>z warsztatami Zespołu Zadaniowego ds. Programu Strategicznego Srebrna Małopolska 2030 (13.06.2022 r.) dotyczącymi zdrowia i opieki (interesariusze projektu ITHACA byli zaangażowani w prace Zespołu jako eksperci). Na zakończenie realizacji projektu odbyła się konferencja konsorcjum projektu ITHACA (7.07.2022 r.) dotycząca podsumowania działań oraz możliwości współpracy w przyszłości (Mannheim, Niemcy).</w:t>
      </w:r>
    </w:p>
    <w:p w14:paraId="33DC0774" w14:textId="77777777" w:rsidR="00F67604" w:rsidRDefault="00F67604" w:rsidP="00F67604">
      <w:pPr>
        <w:spacing w:after="0" w:line="240" w:lineRule="auto"/>
        <w:jc w:val="both"/>
        <w:rPr>
          <w:rFonts w:ascii="Lato" w:eastAsia="Calibri" w:hAnsi="Lato" w:cstheme="majorHAnsi"/>
          <w:b/>
          <w:color w:val="000000"/>
          <w:sz w:val="20"/>
          <w:szCs w:val="20"/>
        </w:rPr>
      </w:pPr>
    </w:p>
    <w:p w14:paraId="156B121E" w14:textId="53B41EAA" w:rsidR="004261D9" w:rsidRPr="004261D9" w:rsidRDefault="004261D9" w:rsidP="00F67604">
      <w:pPr>
        <w:spacing w:after="0" w:line="240" w:lineRule="auto"/>
        <w:jc w:val="both"/>
        <w:rPr>
          <w:rFonts w:ascii="Lato" w:eastAsia="Calibri" w:hAnsi="Lato" w:cstheme="majorHAnsi"/>
          <w:sz w:val="20"/>
          <w:szCs w:val="20"/>
        </w:rPr>
      </w:pPr>
      <w:r w:rsidRPr="004261D9">
        <w:rPr>
          <w:rFonts w:ascii="Lato" w:eastAsia="Calibri" w:hAnsi="Lato" w:cstheme="majorHAnsi"/>
          <w:b/>
          <w:color w:val="000000"/>
          <w:sz w:val="20"/>
          <w:szCs w:val="20"/>
        </w:rPr>
        <w:t>HoCare2.0</w:t>
      </w:r>
      <w:r w:rsidRPr="004261D9">
        <w:rPr>
          <w:rFonts w:ascii="Lato" w:eastAsia="Calibri" w:hAnsi="Lato" w:cstheme="majorHAnsi"/>
          <w:color w:val="000000"/>
          <w:sz w:val="20"/>
          <w:szCs w:val="20"/>
        </w:rPr>
        <w:t>– celem projektu było rozwijanie ekosystemów z zakresu opieki nad 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w:t>
      </w:r>
      <w:r w:rsidRPr="004261D9">
        <w:rPr>
          <w:rFonts w:ascii="Lato" w:eastAsia="Calibri" w:hAnsi="Lato" w:cstheme="majorHAnsi"/>
          <w:sz w:val="20"/>
          <w:szCs w:val="20"/>
        </w:rPr>
        <w:t xml:space="preserve"> </w:t>
      </w:r>
      <w:r w:rsidRPr="004261D9">
        <w:rPr>
          <w:rFonts w:ascii="Lato" w:eastAsia="Calibri" w:hAnsi="Lato" w:cs="Arial"/>
          <w:color w:val="000000"/>
          <w:sz w:val="20"/>
          <w:szCs w:val="20"/>
        </w:rPr>
        <w:t xml:space="preserve">W roku 2022 opracowano ostateczną wersję Planu Wdrażania dla opieki domowej wraz z planem finansowym, zorganizowano międzynarodowe spotkanie ewaluacyjne w Krakowie (24.05.2022 r.) połączone z posiedzeniem Komitetu Sterującego projektu i spotkaniem partnerów (23.05.2022 r. i 25.05.2022 r.), opracowano raport z monitoringu i ewaluacji siedmiu pilotaży usług publicznych w regionach HoCare2.0 oraz raport podsumowujący. Przedstawiciel Małopolski zaprezentował podsumowanie pilotaży usług publicznych podczas Konferencji Zamykającej projekt HoCare2.0 (online, 15.06.2022 r.) </w:t>
      </w:r>
    </w:p>
    <w:p w14:paraId="3FC7D3AA" w14:textId="77777777" w:rsidR="00F67604" w:rsidRDefault="00F67604" w:rsidP="00F67604">
      <w:pPr>
        <w:spacing w:after="0" w:line="240" w:lineRule="auto"/>
        <w:jc w:val="both"/>
        <w:rPr>
          <w:rFonts w:ascii="Lato" w:eastAsia="Calibri" w:hAnsi="Lato" w:cstheme="majorHAnsi"/>
          <w:b/>
          <w:sz w:val="20"/>
          <w:szCs w:val="20"/>
        </w:rPr>
      </w:pPr>
    </w:p>
    <w:p w14:paraId="47A2BB53" w14:textId="2F94D6B0" w:rsidR="004261D9" w:rsidRPr="004261D9" w:rsidRDefault="004261D9" w:rsidP="00F67604">
      <w:pPr>
        <w:spacing w:after="0" w:line="240" w:lineRule="auto"/>
        <w:jc w:val="both"/>
        <w:rPr>
          <w:rFonts w:ascii="Lato" w:eastAsia="Calibri" w:hAnsi="Lato" w:cstheme="majorHAnsi"/>
          <w:sz w:val="20"/>
          <w:szCs w:val="20"/>
        </w:rPr>
      </w:pPr>
      <w:r w:rsidRPr="004261D9">
        <w:rPr>
          <w:rFonts w:ascii="Lato" w:eastAsia="Calibri" w:hAnsi="Lato" w:cstheme="majorHAnsi"/>
          <w:b/>
          <w:sz w:val="20"/>
          <w:szCs w:val="20"/>
        </w:rPr>
        <w:lastRenderedPageBreak/>
        <w:t>Badanie „Małopolanie 60+: warunki mieszkaniowe, budownictwo senioralne, przestrzeń publiczna”</w:t>
      </w:r>
      <w:r w:rsidRPr="004261D9">
        <w:rPr>
          <w:rFonts w:ascii="Lato" w:eastAsia="Calibri" w:hAnsi="Lato" w:cstheme="majorHAnsi"/>
          <w:sz w:val="20"/>
          <w:szCs w:val="20"/>
        </w:rPr>
        <w:t xml:space="preserve"> zostało przeprowadzone dla potrzeb uzupełnienia danych do diagnozy Programu Srebrna Małopolska 2030, dotyczących mieszkalnictwa w kontekście Małopolan w wieku powyżej 60 lat, w tym m.in. w celu zdobycia danych na temat aktualnych warunków i potrzeb mieszkaniowych, wskazania problemów, wyzwań</w:t>
      </w:r>
      <w:r w:rsidR="00F67604">
        <w:rPr>
          <w:rFonts w:ascii="Lato" w:eastAsia="Calibri" w:hAnsi="Lato" w:cstheme="majorHAnsi"/>
          <w:sz w:val="20"/>
          <w:szCs w:val="20"/>
        </w:rPr>
        <w:t xml:space="preserve"> </w:t>
      </w:r>
      <w:r w:rsidRPr="004261D9">
        <w:rPr>
          <w:rFonts w:ascii="Lato" w:eastAsia="Calibri" w:hAnsi="Lato" w:cstheme="majorHAnsi"/>
          <w:sz w:val="20"/>
          <w:szCs w:val="20"/>
        </w:rPr>
        <w:t>i możliwych rozwiązań systemowych dotyczących mieszkalnictwa/budownictwa, a także przybliżenia możliwych działań w zakresie transportu i przestrzeni publicznej, aby stały się bardziej przyjazne dla seniorów. W raporcie z badania znajdują się rekomendacje dla samorządu województwa, gmin oraz innych podmiotów działających w obszarze polityki senioralnej.</w:t>
      </w:r>
    </w:p>
    <w:p w14:paraId="38FAA4B9" w14:textId="77777777" w:rsidR="00F67604" w:rsidRDefault="00F67604" w:rsidP="00F67604">
      <w:pPr>
        <w:spacing w:after="0" w:line="240" w:lineRule="auto"/>
        <w:jc w:val="both"/>
        <w:rPr>
          <w:rFonts w:ascii="Lato" w:eastAsia="Calibri" w:hAnsi="Lato" w:cstheme="majorHAnsi"/>
          <w:b/>
          <w:color w:val="000000" w:themeColor="text1"/>
          <w:sz w:val="20"/>
          <w:szCs w:val="20"/>
        </w:rPr>
      </w:pPr>
    </w:p>
    <w:p w14:paraId="017DDDD1" w14:textId="7158DDB8" w:rsidR="00F67604" w:rsidRPr="004261D9" w:rsidRDefault="004261D9" w:rsidP="00F67604">
      <w:pPr>
        <w:spacing w:after="0" w:line="240" w:lineRule="auto"/>
        <w:jc w:val="both"/>
        <w:rPr>
          <w:rFonts w:ascii="Lato" w:eastAsia="Calibri" w:hAnsi="Lato" w:cstheme="majorHAnsi"/>
          <w:sz w:val="20"/>
          <w:szCs w:val="20"/>
        </w:rPr>
      </w:pPr>
      <w:r w:rsidRPr="004261D9">
        <w:rPr>
          <w:rFonts w:ascii="Lato" w:eastAsia="Calibri" w:hAnsi="Lato" w:cstheme="majorHAnsi"/>
          <w:b/>
          <w:color w:val="000000" w:themeColor="text1"/>
          <w:sz w:val="20"/>
          <w:szCs w:val="20"/>
        </w:rPr>
        <w:t>Projekt Bonus dla biznesu</w:t>
      </w:r>
      <w:r w:rsidRPr="004261D9">
        <w:rPr>
          <w:rFonts w:ascii="Lato" w:eastAsia="Calibri" w:hAnsi="Lato" w:cstheme="majorHAnsi"/>
          <w:color w:val="000000" w:themeColor="text1"/>
          <w:sz w:val="20"/>
          <w:szCs w:val="20"/>
        </w:rPr>
        <w:t xml:space="preserve"> </w:t>
      </w:r>
      <w:r w:rsidRPr="004261D9">
        <w:rPr>
          <w:rFonts w:ascii="Lato" w:eastAsia="Calibri" w:hAnsi="Lato" w:cstheme="majorHAnsi"/>
          <w:sz w:val="20"/>
          <w:szCs w:val="20"/>
        </w:rPr>
        <w:t xml:space="preserve">- efektywne wsparcie pracodawców we wprowadzaniu zarządzania wiekiem i różnorodnością realizowane przez Samorząd Województwa Małopolskiego. Wojewódzki Urząd Pracy w Krakowie w latach 2021-2022 realizował projekt pilotażowy „Bonus dla biznesu”. Wsparciem objęto 20 małopolskich pracodawców, którzy byli otwarci na dokonanie zmian w swoim podejściu do zarządzania różnorodnością, w tym zarządzania wiekiem. Pracodawcy uczyli się jak budować </w:t>
      </w:r>
      <w:proofErr w:type="spellStart"/>
      <w:r w:rsidRPr="004261D9">
        <w:rPr>
          <w:rFonts w:ascii="Lato" w:eastAsia="Calibri" w:hAnsi="Lato" w:cstheme="majorHAnsi"/>
          <w:sz w:val="20"/>
          <w:szCs w:val="20"/>
        </w:rPr>
        <w:t>transgeneracyjne</w:t>
      </w:r>
      <w:proofErr w:type="spellEnd"/>
      <w:r w:rsidRPr="004261D9">
        <w:rPr>
          <w:rFonts w:ascii="Lato" w:eastAsia="Calibri" w:hAnsi="Lato" w:cstheme="majorHAnsi"/>
          <w:sz w:val="20"/>
          <w:szCs w:val="20"/>
        </w:rPr>
        <w:t xml:space="preserve"> zespoły oraz jak efektywniej wykorzystać możliwości pracowników, uwzględniając ich potrzeby i oczekiwania. </w:t>
      </w:r>
    </w:p>
    <w:p w14:paraId="6E171196" w14:textId="60DBD47A" w:rsidR="00F67604" w:rsidRDefault="00F67604" w:rsidP="00F67604">
      <w:pPr>
        <w:spacing w:after="0" w:line="240" w:lineRule="auto"/>
        <w:jc w:val="both"/>
        <w:rPr>
          <w:rFonts w:ascii="Lato" w:hAnsi="Lato" w:cstheme="majorHAnsi"/>
          <w:b/>
          <w:sz w:val="20"/>
          <w:szCs w:val="20"/>
          <w:u w:val="single"/>
        </w:rPr>
      </w:pPr>
    </w:p>
    <w:p w14:paraId="6C7338AA" w14:textId="03C72B35" w:rsidR="00F67604" w:rsidRPr="00F67604" w:rsidRDefault="00F67604" w:rsidP="00F67604">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4F461C6A" w14:textId="77777777" w:rsidR="00F67604" w:rsidRDefault="004261D9" w:rsidP="00F67604">
      <w:pPr>
        <w:spacing w:after="0" w:line="240" w:lineRule="auto"/>
        <w:ind w:right="-1"/>
        <w:jc w:val="both"/>
        <w:rPr>
          <w:rFonts w:ascii="Lato" w:hAnsi="Lato" w:cstheme="majorHAnsi"/>
          <w:sz w:val="20"/>
          <w:szCs w:val="20"/>
        </w:rPr>
      </w:pPr>
      <w:r w:rsidRPr="004261D9">
        <w:rPr>
          <w:rFonts w:ascii="Lato" w:eastAsia="Calibri" w:hAnsi="Lato" w:cstheme="majorHAnsi"/>
          <w:b/>
          <w:color w:val="000000"/>
          <w:sz w:val="20"/>
          <w:szCs w:val="20"/>
        </w:rPr>
        <w:t>Małopolska Rada ds. Polityki Senioralnej</w:t>
      </w:r>
      <w:r w:rsidRPr="004261D9">
        <w:rPr>
          <w:rFonts w:ascii="Lato" w:eastAsia="Calibri" w:hAnsi="Lato" w:cstheme="majorHAnsi"/>
          <w:color w:val="000000"/>
          <w:sz w:val="20"/>
          <w:szCs w:val="20"/>
        </w:rPr>
        <w:t xml:space="preserve"> – </w:t>
      </w:r>
      <w:r w:rsidRPr="004261D9">
        <w:rPr>
          <w:rFonts w:ascii="Lato" w:eastAsia="Calibri" w:hAnsi="Lato" w:cstheme="majorHAnsi"/>
          <w:noProof/>
          <w:color w:val="000000"/>
          <w:sz w:val="20"/>
          <w:szCs w:val="20"/>
        </w:rPr>
        <w:t xml:space="preserve">organ opiniująco - doradczy </w:t>
      </w:r>
      <w:r w:rsidRPr="004261D9">
        <w:rPr>
          <w:rFonts w:ascii="Lato" w:eastAsia="Calibri" w:hAnsi="Lato" w:cstheme="majorHAnsi"/>
          <w:color w:val="000000"/>
          <w:sz w:val="20"/>
          <w:szCs w:val="20"/>
        </w:rPr>
        <w:t>Zarządu Województwa Małopolskiego w obszarze problematyki osób starszych oraz solidarności międzypokoleniowej. Działania podjęte w 2022 r. to</w:t>
      </w:r>
      <w:r w:rsidRPr="004261D9">
        <w:rPr>
          <w:rFonts w:ascii="Lato" w:eastAsia="Calibri" w:hAnsi="Lato" w:cstheme="majorHAnsi"/>
          <w:bCs/>
          <w:sz w:val="20"/>
          <w:szCs w:val="20"/>
        </w:rPr>
        <w:t xml:space="preserve"> m.in. </w:t>
      </w:r>
      <w:r w:rsidRPr="004261D9">
        <w:rPr>
          <w:rFonts w:ascii="Lato" w:hAnsi="Lato" w:cstheme="majorHAnsi"/>
          <w:sz w:val="20"/>
          <w:szCs w:val="20"/>
        </w:rPr>
        <w:t>udział w kapitule Małopolskiego Plebiscytu „Poza Stereotypem Seniorka i Senior Roku”; udział w pracach Rady Innowacji Społecznych powołanej w ramach projektów: Inkubator Dostępności i Inkubator Włączenia Społecznego; udział w Zespole Zadaniowym ds. Programu Strategicznego „Srebrna Małopolska  2030”.</w:t>
      </w:r>
    </w:p>
    <w:p w14:paraId="1CCB9446" w14:textId="77777777" w:rsidR="00F67604" w:rsidRDefault="00F67604" w:rsidP="00F67604">
      <w:pPr>
        <w:spacing w:after="0" w:line="240" w:lineRule="auto"/>
        <w:ind w:right="-1"/>
        <w:jc w:val="both"/>
        <w:rPr>
          <w:rFonts w:ascii="Lato" w:hAnsi="Lato" w:cstheme="majorHAnsi"/>
          <w:sz w:val="20"/>
          <w:szCs w:val="20"/>
        </w:rPr>
      </w:pPr>
    </w:p>
    <w:p w14:paraId="0685CB68" w14:textId="4FBCE5E0" w:rsidR="004261D9" w:rsidRPr="004261D9" w:rsidRDefault="004261D9" w:rsidP="00F67604">
      <w:pPr>
        <w:spacing w:after="0" w:line="240" w:lineRule="auto"/>
        <w:ind w:right="-1"/>
        <w:jc w:val="both"/>
        <w:rPr>
          <w:rFonts w:ascii="Lato" w:hAnsi="Lato" w:cstheme="majorHAnsi"/>
          <w:sz w:val="20"/>
          <w:szCs w:val="20"/>
        </w:rPr>
      </w:pPr>
      <w:r w:rsidRPr="004261D9">
        <w:rPr>
          <w:rFonts w:ascii="Lato" w:eastAsia="Calibri" w:hAnsi="Lato" w:cstheme="majorHAnsi"/>
          <w:b/>
          <w:color w:val="000000"/>
          <w:sz w:val="20"/>
          <w:szCs w:val="20"/>
        </w:rPr>
        <w:t>Województwo Małopolskie w 2022 roku rozpoczęło realizację kampanii informacyjno-</w:t>
      </w:r>
      <w:r w:rsidRPr="004261D9">
        <w:rPr>
          <w:rFonts w:ascii="Lato" w:hAnsi="Lato" w:cstheme="majorHAnsi"/>
          <w:b/>
          <w:sz w:val="20"/>
          <w:szCs w:val="20"/>
        </w:rPr>
        <w:t>edukacyjne</w:t>
      </w:r>
      <w:r w:rsidRPr="004261D9">
        <w:rPr>
          <w:rFonts w:ascii="Lato" w:hAnsi="Lato" w:cstheme="majorHAnsi"/>
          <w:sz w:val="20"/>
          <w:szCs w:val="20"/>
        </w:rPr>
        <w:t>j „</w:t>
      </w:r>
      <w:r w:rsidRPr="004261D9">
        <w:rPr>
          <w:rFonts w:ascii="Lato" w:hAnsi="Lato" w:cstheme="majorHAnsi"/>
          <w:b/>
          <w:sz w:val="20"/>
          <w:szCs w:val="20"/>
        </w:rPr>
        <w:t xml:space="preserve">Jak bezpiecznie stosować leki?” </w:t>
      </w:r>
      <w:r w:rsidRPr="004261D9">
        <w:rPr>
          <w:rFonts w:ascii="Lato" w:hAnsi="Lato" w:cstheme="majorHAnsi"/>
          <w:sz w:val="20"/>
          <w:szCs w:val="20"/>
        </w:rPr>
        <w:t>w celu zwiększenia świadomości mieszkańców Małopolski na temat stosowania leków i suplementów diety oraz zwrócenia uwagi na różnice pomiędzy nimi i ich zastosowaniem.</w:t>
      </w:r>
    </w:p>
    <w:p w14:paraId="3AE7F6A6" w14:textId="77777777" w:rsidR="00F67604" w:rsidRDefault="00F67604" w:rsidP="00F67604">
      <w:pPr>
        <w:spacing w:after="0" w:line="240" w:lineRule="auto"/>
        <w:ind w:right="-1"/>
        <w:jc w:val="both"/>
        <w:rPr>
          <w:rFonts w:ascii="Lato" w:eastAsia="Calibri" w:hAnsi="Lato" w:cstheme="majorHAnsi"/>
          <w:b/>
          <w:sz w:val="20"/>
          <w:szCs w:val="20"/>
        </w:rPr>
      </w:pPr>
    </w:p>
    <w:p w14:paraId="55D9161E" w14:textId="4904095C" w:rsidR="004261D9" w:rsidRPr="004261D9" w:rsidRDefault="004261D9" w:rsidP="00F67604">
      <w:pPr>
        <w:spacing w:after="0" w:line="240" w:lineRule="auto"/>
        <w:ind w:right="-1"/>
        <w:jc w:val="both"/>
        <w:rPr>
          <w:rFonts w:ascii="Lato" w:hAnsi="Lato" w:cstheme="majorHAnsi"/>
          <w:sz w:val="20"/>
          <w:szCs w:val="20"/>
        </w:rPr>
      </w:pPr>
      <w:r w:rsidRPr="004261D9">
        <w:rPr>
          <w:rFonts w:ascii="Lato" w:eastAsia="Calibri" w:hAnsi="Lato" w:cstheme="majorHAnsi"/>
          <w:b/>
          <w:sz w:val="20"/>
          <w:szCs w:val="20"/>
        </w:rPr>
        <w:t>Województwo Małopolskie</w:t>
      </w:r>
      <w:r w:rsidRPr="004261D9">
        <w:rPr>
          <w:rFonts w:ascii="Lato" w:eastAsia="Calibri" w:hAnsi="Lato" w:cstheme="majorHAnsi"/>
          <w:sz w:val="20"/>
          <w:szCs w:val="20"/>
        </w:rPr>
        <w:t xml:space="preserve"> – </w:t>
      </w:r>
      <w:r w:rsidRPr="004261D9">
        <w:rPr>
          <w:rFonts w:ascii="Lato" w:eastAsia="Calibri" w:hAnsi="Lato" w:cstheme="majorHAnsi"/>
          <w:b/>
          <w:sz w:val="20"/>
          <w:szCs w:val="20"/>
        </w:rPr>
        <w:t>Departament Edukacji UMWM w porozumieniu z Komendą Wojewódzką Policji realizowało po raz trzeci program edukacji dzieci i młodzieży w zakresie poprawy bezpieczeństwa osobistego oraz bezpieczeństwa seniorów</w:t>
      </w:r>
      <w:r w:rsidRPr="004261D9">
        <w:rPr>
          <w:rFonts w:ascii="Lato" w:eastAsia="Calibri" w:hAnsi="Lato" w:cstheme="majorHAnsi"/>
          <w:sz w:val="20"/>
          <w:szCs w:val="20"/>
        </w:rPr>
        <w:t xml:space="preserve">. </w:t>
      </w:r>
      <w:r w:rsidRPr="004261D9">
        <w:rPr>
          <w:rFonts w:ascii="Lato" w:hAnsi="Lato" w:cstheme="majorHAnsi"/>
          <w:sz w:val="20"/>
          <w:szCs w:val="20"/>
        </w:rPr>
        <w:t>Przeprowadzone zostały działania edukacyjne oraz kampanie profilaktyczno-informacyjne. Opracowano m.in. plakaty, kartki okolicznościowe, ogłoszenia parafialne, ulotki wysyłane wraz z rocznym rozliczeniem ZUS do wszystkich seniorów w regionie</w:t>
      </w:r>
      <w:r w:rsidRPr="004261D9">
        <w:rPr>
          <w:rFonts w:ascii="Lato" w:hAnsi="Lato" w:cstheme="majorHAnsi"/>
          <w:sz w:val="20"/>
          <w:szCs w:val="20"/>
        </w:rPr>
        <w:br/>
        <w:t xml:space="preserve">w liczbie 900 000 sztuk. </w:t>
      </w:r>
    </w:p>
    <w:p w14:paraId="26312B54" w14:textId="77777777" w:rsidR="00F67604" w:rsidRDefault="00F67604" w:rsidP="00F67604">
      <w:pPr>
        <w:spacing w:after="0" w:line="240" w:lineRule="auto"/>
        <w:ind w:right="-1"/>
        <w:jc w:val="both"/>
        <w:rPr>
          <w:rFonts w:ascii="Lato" w:hAnsi="Lato" w:cstheme="majorHAnsi"/>
          <w:b/>
          <w:sz w:val="20"/>
          <w:szCs w:val="20"/>
        </w:rPr>
      </w:pPr>
    </w:p>
    <w:p w14:paraId="043265BA" w14:textId="51363182" w:rsidR="004261D9" w:rsidRDefault="004261D9" w:rsidP="00F67604">
      <w:pPr>
        <w:spacing w:after="0" w:line="240" w:lineRule="auto"/>
        <w:ind w:right="-1"/>
        <w:jc w:val="both"/>
        <w:rPr>
          <w:rFonts w:ascii="Lato" w:hAnsi="Lato" w:cstheme="majorHAnsi"/>
          <w:sz w:val="20"/>
          <w:szCs w:val="20"/>
        </w:rPr>
      </w:pPr>
      <w:r w:rsidRPr="004261D9">
        <w:rPr>
          <w:rFonts w:ascii="Lato" w:hAnsi="Lato" w:cstheme="majorHAnsi"/>
          <w:b/>
          <w:sz w:val="20"/>
          <w:szCs w:val="20"/>
        </w:rPr>
        <w:t>Kongres „Turystyka społeczna a jakość życia"</w:t>
      </w:r>
      <w:r w:rsidRPr="004261D9">
        <w:rPr>
          <w:rFonts w:ascii="Lato" w:hAnsi="Lato" w:cstheme="majorHAnsi"/>
          <w:sz w:val="20"/>
          <w:szCs w:val="20"/>
        </w:rPr>
        <w:t xml:space="preserve"> odbył się w dniu 21 października 2022 r. w Krakowie. Wydarzenie było okazją do publicznej debaty nad rolą turystyki społecznej i dotyczyło kulturowych, społecznych, psychologicznych, edukacyjnych i zdrowotnych korzyści tego rodzaju aktywności w aspekcie poprawy jakości życia ze szczególnym uwzględnieniem seniorów oraz osób o specjalnych potrzebach. Projekt zrealizowano przy wsparciu finansowym Województwa Małopolskiego w ramach otwartego konkursu ofert pn. „Małopolska Gościnna”.</w:t>
      </w:r>
    </w:p>
    <w:p w14:paraId="27161D46" w14:textId="166DC021" w:rsidR="00C332E9" w:rsidRDefault="00C332E9" w:rsidP="00F67604">
      <w:pPr>
        <w:spacing w:after="0" w:line="240" w:lineRule="auto"/>
        <w:ind w:right="-1"/>
        <w:jc w:val="both"/>
        <w:rPr>
          <w:rFonts w:ascii="Lato" w:hAnsi="Lato" w:cstheme="majorHAnsi"/>
          <w:sz w:val="20"/>
          <w:szCs w:val="20"/>
        </w:rPr>
      </w:pPr>
    </w:p>
    <w:p w14:paraId="0022BE77" w14:textId="1A43CE81" w:rsidR="00C332E9" w:rsidRDefault="00C332E9" w:rsidP="00C332E9">
      <w:pPr>
        <w:pStyle w:val="Legenda"/>
        <w:keepNext/>
      </w:pPr>
      <w:bookmarkStart w:id="154" w:name="_Toc142566028"/>
      <w:r>
        <w:t xml:space="preserve">Tabela </w:t>
      </w:r>
      <w:fldSimple w:instr=" SEQ Tabela \* ARABIC ">
        <w:r w:rsidR="00AA385B">
          <w:rPr>
            <w:noProof/>
          </w:rPr>
          <w:t>65</w:t>
        </w:r>
      </w:fldSimple>
      <w:r>
        <w:t xml:space="preserve"> Karta województwa małopolskiego za 2022 r.</w:t>
      </w:r>
      <w:bookmarkEnd w:id="154"/>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C332E9" w:rsidRPr="00C332E9" w14:paraId="51DAECCF"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29F25CB2"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rPr>
              <w:t>WOJEWÓDZTWO MAŁOPOLSKIE</w:t>
            </w:r>
          </w:p>
        </w:tc>
      </w:tr>
      <w:tr w:rsidR="00C332E9" w:rsidRPr="00C332E9" w14:paraId="3C8640F9" w14:textId="77777777" w:rsidTr="00C332E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6BB9A5D" w14:textId="77777777" w:rsidR="00C332E9" w:rsidRPr="00C332E9" w:rsidRDefault="00C332E9" w:rsidP="00CA4EC0">
            <w:pPr>
              <w:rPr>
                <w:rFonts w:ascii="Lato" w:hAnsi="Lato" w:cs="Times New Roman"/>
                <w:color w:val="auto"/>
                <w:sz w:val="18"/>
                <w:szCs w:val="18"/>
              </w:rPr>
            </w:pPr>
            <w:r w:rsidRPr="00C332E9">
              <w:rPr>
                <w:rFonts w:ascii="Lato" w:hAnsi="Lato" w:cs="Times New Roman"/>
                <w:color w:val="auto"/>
                <w:sz w:val="18"/>
                <w:szCs w:val="18"/>
              </w:rPr>
              <w:t>Informacja o regionie</w:t>
            </w:r>
          </w:p>
        </w:tc>
        <w:tc>
          <w:tcPr>
            <w:tcW w:w="1346" w:type="pct"/>
            <w:shd w:val="clear" w:color="auto" w:fill="auto"/>
          </w:tcPr>
          <w:p w14:paraId="761DC17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Liczba gmin</w:t>
            </w:r>
          </w:p>
        </w:tc>
        <w:tc>
          <w:tcPr>
            <w:tcW w:w="2693" w:type="pct"/>
            <w:gridSpan w:val="2"/>
            <w:shd w:val="clear" w:color="auto" w:fill="auto"/>
          </w:tcPr>
          <w:p w14:paraId="6E93F0B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182</w:t>
            </w:r>
          </w:p>
        </w:tc>
      </w:tr>
      <w:tr w:rsidR="00C332E9" w:rsidRPr="00C332E9" w14:paraId="5AEB371F" w14:textId="77777777" w:rsidTr="00C332E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577559F" w14:textId="77777777" w:rsidR="00C332E9" w:rsidRPr="00C332E9" w:rsidRDefault="00C332E9" w:rsidP="00CA4EC0">
            <w:pPr>
              <w:rPr>
                <w:rFonts w:ascii="Lato" w:hAnsi="Lato" w:cs="Times New Roman"/>
                <w:color w:val="auto"/>
                <w:sz w:val="18"/>
                <w:szCs w:val="18"/>
              </w:rPr>
            </w:pPr>
          </w:p>
        </w:tc>
        <w:tc>
          <w:tcPr>
            <w:tcW w:w="1346" w:type="pct"/>
            <w:shd w:val="clear" w:color="auto" w:fill="auto"/>
          </w:tcPr>
          <w:p w14:paraId="4E1C5AFA"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Liczba powiatów</w:t>
            </w:r>
          </w:p>
        </w:tc>
        <w:tc>
          <w:tcPr>
            <w:tcW w:w="2693" w:type="pct"/>
            <w:gridSpan w:val="2"/>
            <w:shd w:val="clear" w:color="auto" w:fill="auto"/>
          </w:tcPr>
          <w:p w14:paraId="30DAF4B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19 powiatów i 3 miasta na prawach powiatu</w:t>
            </w:r>
          </w:p>
        </w:tc>
      </w:tr>
      <w:tr w:rsidR="00C332E9" w:rsidRPr="00C332E9" w14:paraId="0BA2EADE" w14:textId="77777777" w:rsidTr="00C332E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AE78E8" w14:textId="77777777" w:rsidR="00C332E9" w:rsidRPr="00C332E9" w:rsidRDefault="00C332E9" w:rsidP="00CA4EC0">
            <w:pPr>
              <w:rPr>
                <w:rFonts w:ascii="Lato" w:hAnsi="Lato" w:cs="Times New Roman"/>
                <w:color w:val="auto"/>
                <w:sz w:val="18"/>
                <w:szCs w:val="18"/>
              </w:rPr>
            </w:pPr>
          </w:p>
        </w:tc>
        <w:tc>
          <w:tcPr>
            <w:tcW w:w="1346" w:type="pct"/>
            <w:shd w:val="clear" w:color="auto" w:fill="auto"/>
          </w:tcPr>
          <w:p w14:paraId="1C610B3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Powierzchnia</w:t>
            </w:r>
          </w:p>
        </w:tc>
        <w:tc>
          <w:tcPr>
            <w:tcW w:w="2693" w:type="pct"/>
            <w:gridSpan w:val="2"/>
            <w:shd w:val="clear" w:color="auto" w:fill="auto"/>
          </w:tcPr>
          <w:p w14:paraId="51F6FF0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15 184 km</w:t>
            </w:r>
            <w:r w:rsidRPr="00C332E9">
              <w:rPr>
                <w:rFonts w:ascii="Lato" w:hAnsi="Lato" w:cs="Times New Roman"/>
                <w:color w:val="auto"/>
                <w:sz w:val="18"/>
                <w:szCs w:val="18"/>
                <w:vertAlign w:val="superscript"/>
              </w:rPr>
              <w:t>2</w:t>
            </w:r>
          </w:p>
        </w:tc>
      </w:tr>
      <w:tr w:rsidR="00C332E9" w:rsidRPr="00C332E9" w14:paraId="4DD5E892"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418FE06" w14:textId="77777777" w:rsidR="00C332E9" w:rsidRPr="00C332E9" w:rsidRDefault="00C332E9" w:rsidP="00CA4EC0">
            <w:pPr>
              <w:jc w:val="center"/>
              <w:rPr>
                <w:rFonts w:ascii="Lato" w:hAnsi="Lato" w:cs="Times New Roman"/>
                <w:b w:val="0"/>
                <w:color w:val="auto"/>
                <w:sz w:val="18"/>
                <w:szCs w:val="18"/>
              </w:rPr>
            </w:pPr>
            <w:r w:rsidRPr="00C332E9">
              <w:rPr>
                <w:rFonts w:ascii="Lato" w:hAnsi="Lato" w:cs="Times New Roman"/>
                <w:color w:val="auto"/>
                <w:sz w:val="18"/>
                <w:szCs w:val="18"/>
              </w:rPr>
              <w:t>DEMOGRAFIA</w:t>
            </w:r>
          </w:p>
        </w:tc>
      </w:tr>
      <w:tr w:rsidR="00C332E9" w:rsidRPr="00C332E9" w14:paraId="50547D67"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2481251" w14:textId="77777777" w:rsidR="00C332E9" w:rsidRPr="00C332E9" w:rsidRDefault="00C332E9" w:rsidP="00CA4EC0">
            <w:pPr>
              <w:jc w:val="center"/>
              <w:rPr>
                <w:rFonts w:ascii="Lato" w:hAnsi="Lato" w:cs="Times New Roman"/>
                <w:b w:val="0"/>
                <w:color w:val="auto"/>
                <w:sz w:val="18"/>
                <w:szCs w:val="18"/>
                <w:lang w:eastAsia="pl-PL"/>
              </w:rPr>
            </w:pPr>
            <w:r w:rsidRPr="00C332E9">
              <w:rPr>
                <w:rFonts w:ascii="Lato" w:hAnsi="Lato" w:cs="Times New Roman"/>
                <w:color w:val="auto"/>
                <w:sz w:val="18"/>
                <w:szCs w:val="18"/>
                <w:lang w:eastAsia="pl-PL"/>
              </w:rPr>
              <w:t>Treść</w:t>
            </w:r>
          </w:p>
        </w:tc>
        <w:tc>
          <w:tcPr>
            <w:tcW w:w="1346" w:type="pct"/>
            <w:shd w:val="clear" w:color="auto" w:fill="auto"/>
          </w:tcPr>
          <w:p w14:paraId="41F368C5"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2020 r.</w:t>
            </w:r>
          </w:p>
        </w:tc>
        <w:tc>
          <w:tcPr>
            <w:tcW w:w="1346" w:type="pct"/>
            <w:shd w:val="clear" w:color="auto" w:fill="auto"/>
          </w:tcPr>
          <w:p w14:paraId="32072203"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2021 r.</w:t>
            </w:r>
          </w:p>
        </w:tc>
        <w:tc>
          <w:tcPr>
            <w:tcW w:w="1347" w:type="pct"/>
            <w:shd w:val="clear" w:color="auto" w:fill="auto"/>
          </w:tcPr>
          <w:p w14:paraId="56B09BC3"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2022 r.</w:t>
            </w:r>
          </w:p>
        </w:tc>
      </w:tr>
      <w:tr w:rsidR="00C332E9" w:rsidRPr="00C332E9" w14:paraId="6946DE79"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45BB208"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Populacja ogółem</w:t>
            </w:r>
          </w:p>
        </w:tc>
        <w:tc>
          <w:tcPr>
            <w:tcW w:w="1346" w:type="pct"/>
            <w:shd w:val="clear" w:color="auto" w:fill="auto"/>
          </w:tcPr>
          <w:p w14:paraId="5CC9C00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3432692</w:t>
            </w:r>
          </w:p>
        </w:tc>
        <w:tc>
          <w:tcPr>
            <w:tcW w:w="1346" w:type="pct"/>
            <w:shd w:val="clear" w:color="auto" w:fill="auto"/>
          </w:tcPr>
          <w:p w14:paraId="42D8FF06"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3430370</w:t>
            </w:r>
          </w:p>
        </w:tc>
        <w:tc>
          <w:tcPr>
            <w:tcW w:w="1347" w:type="pct"/>
            <w:shd w:val="clear" w:color="auto" w:fill="auto"/>
          </w:tcPr>
          <w:p w14:paraId="19BC564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3429014</w:t>
            </w:r>
          </w:p>
        </w:tc>
      </w:tr>
      <w:tr w:rsidR="00C332E9" w:rsidRPr="00C332E9" w14:paraId="2CA8D03B"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ED1AB63" w14:textId="77777777" w:rsidR="00C332E9" w:rsidRPr="00C332E9" w:rsidRDefault="00C332E9" w:rsidP="00CA4EC0">
            <w:pPr>
              <w:rPr>
                <w:rFonts w:ascii="Lato" w:hAnsi="Lato" w:cs="Times New Roman"/>
                <w:b w:val="0"/>
                <w:color w:val="auto"/>
                <w:sz w:val="18"/>
                <w:szCs w:val="18"/>
              </w:rPr>
            </w:pPr>
          </w:p>
        </w:tc>
      </w:tr>
      <w:tr w:rsidR="00C332E9" w:rsidRPr="00C332E9" w14:paraId="6B1DA916"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349240C" w14:textId="77777777" w:rsidR="00C332E9" w:rsidRPr="00C332E9" w:rsidRDefault="00C332E9" w:rsidP="00CA4EC0">
            <w:pPr>
              <w:rPr>
                <w:rFonts w:ascii="Lato" w:hAnsi="Lato" w:cs="Times New Roman"/>
                <w:b w:val="0"/>
                <w:color w:val="auto"/>
                <w:sz w:val="18"/>
                <w:szCs w:val="18"/>
              </w:rPr>
            </w:pPr>
            <w:r w:rsidRPr="00C332E9">
              <w:rPr>
                <w:rFonts w:ascii="Lato" w:hAnsi="Lato" w:cs="Times New Roman"/>
                <w:color w:val="auto"/>
                <w:sz w:val="18"/>
                <w:szCs w:val="18"/>
                <w:lang w:eastAsia="pl-PL"/>
              </w:rPr>
              <w:t>w wieku 60 lat i więcej</w:t>
            </w:r>
          </w:p>
        </w:tc>
        <w:tc>
          <w:tcPr>
            <w:tcW w:w="1346" w:type="pct"/>
            <w:shd w:val="clear" w:color="auto" w:fill="auto"/>
          </w:tcPr>
          <w:p w14:paraId="07F8DE8B"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805168</w:t>
            </w:r>
          </w:p>
        </w:tc>
        <w:tc>
          <w:tcPr>
            <w:tcW w:w="1346" w:type="pct"/>
            <w:shd w:val="clear" w:color="auto" w:fill="auto"/>
          </w:tcPr>
          <w:p w14:paraId="717E297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810504</w:t>
            </w:r>
          </w:p>
        </w:tc>
        <w:tc>
          <w:tcPr>
            <w:tcW w:w="1347" w:type="pct"/>
            <w:shd w:val="clear" w:color="auto" w:fill="auto"/>
          </w:tcPr>
          <w:p w14:paraId="100A02E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819510</w:t>
            </w:r>
          </w:p>
        </w:tc>
      </w:tr>
      <w:tr w:rsidR="00C332E9" w:rsidRPr="00C332E9" w14:paraId="64FBB26C"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BEC9D09"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60–64 lata</w:t>
            </w:r>
          </w:p>
        </w:tc>
        <w:tc>
          <w:tcPr>
            <w:tcW w:w="1346" w:type="pct"/>
            <w:shd w:val="clear" w:color="auto" w:fill="auto"/>
          </w:tcPr>
          <w:p w14:paraId="6F515FC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216122</w:t>
            </w:r>
          </w:p>
        </w:tc>
        <w:tc>
          <w:tcPr>
            <w:tcW w:w="1346" w:type="pct"/>
            <w:shd w:val="clear" w:color="auto" w:fill="auto"/>
          </w:tcPr>
          <w:p w14:paraId="1FD4125D"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211823</w:t>
            </w:r>
          </w:p>
        </w:tc>
        <w:tc>
          <w:tcPr>
            <w:tcW w:w="1347" w:type="pct"/>
            <w:shd w:val="clear" w:color="auto" w:fill="auto"/>
          </w:tcPr>
          <w:p w14:paraId="25D12EC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207082</w:t>
            </w:r>
          </w:p>
        </w:tc>
      </w:tr>
      <w:tr w:rsidR="00C332E9" w:rsidRPr="00C332E9" w14:paraId="5774E6E0"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6F8D34B"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65–69</w:t>
            </w:r>
          </w:p>
        </w:tc>
        <w:tc>
          <w:tcPr>
            <w:tcW w:w="1346" w:type="pct"/>
            <w:shd w:val="clear" w:color="auto" w:fill="auto"/>
          </w:tcPr>
          <w:p w14:paraId="32CEB9F7"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197189</w:t>
            </w:r>
          </w:p>
        </w:tc>
        <w:tc>
          <w:tcPr>
            <w:tcW w:w="1346" w:type="pct"/>
            <w:shd w:val="clear" w:color="auto" w:fill="auto"/>
          </w:tcPr>
          <w:p w14:paraId="3FC10AC7"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198571</w:t>
            </w:r>
          </w:p>
        </w:tc>
        <w:tc>
          <w:tcPr>
            <w:tcW w:w="1347" w:type="pct"/>
            <w:shd w:val="clear" w:color="auto" w:fill="auto"/>
          </w:tcPr>
          <w:p w14:paraId="6BC74A2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200739</w:t>
            </w:r>
          </w:p>
        </w:tc>
      </w:tr>
      <w:tr w:rsidR="00C332E9" w:rsidRPr="00C332E9" w14:paraId="5CC7389E"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ACA137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70–74</w:t>
            </w:r>
          </w:p>
        </w:tc>
        <w:tc>
          <w:tcPr>
            <w:tcW w:w="1346" w:type="pct"/>
            <w:shd w:val="clear" w:color="auto" w:fill="auto"/>
          </w:tcPr>
          <w:p w14:paraId="7558976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150659</w:t>
            </w:r>
          </w:p>
        </w:tc>
        <w:tc>
          <w:tcPr>
            <w:tcW w:w="1346" w:type="pct"/>
            <w:shd w:val="clear" w:color="auto" w:fill="auto"/>
          </w:tcPr>
          <w:p w14:paraId="62B499CA"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157801</w:t>
            </w:r>
          </w:p>
        </w:tc>
        <w:tc>
          <w:tcPr>
            <w:tcW w:w="1347" w:type="pct"/>
            <w:shd w:val="clear" w:color="auto" w:fill="auto"/>
          </w:tcPr>
          <w:p w14:paraId="457CB8B8"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163396</w:t>
            </w:r>
          </w:p>
        </w:tc>
      </w:tr>
      <w:tr w:rsidR="00C332E9" w:rsidRPr="00C332E9" w14:paraId="2DE8FB15"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1D3F41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lastRenderedPageBreak/>
              <w:t>75–79</w:t>
            </w:r>
          </w:p>
        </w:tc>
        <w:tc>
          <w:tcPr>
            <w:tcW w:w="1346" w:type="pct"/>
            <w:shd w:val="clear" w:color="auto" w:fill="auto"/>
          </w:tcPr>
          <w:p w14:paraId="1B4714E2"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90860</w:t>
            </w:r>
          </w:p>
        </w:tc>
        <w:tc>
          <w:tcPr>
            <w:tcW w:w="1346" w:type="pct"/>
            <w:shd w:val="clear" w:color="auto" w:fill="auto"/>
          </w:tcPr>
          <w:p w14:paraId="10F8DA6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95215</w:t>
            </w:r>
          </w:p>
        </w:tc>
        <w:tc>
          <w:tcPr>
            <w:tcW w:w="1347" w:type="pct"/>
            <w:shd w:val="clear" w:color="auto" w:fill="auto"/>
          </w:tcPr>
          <w:p w14:paraId="35DE582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103830</w:t>
            </w:r>
          </w:p>
        </w:tc>
      </w:tr>
      <w:tr w:rsidR="00C332E9" w:rsidRPr="00C332E9" w14:paraId="4A2D99A0"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DF51477"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80–84</w:t>
            </w:r>
          </w:p>
        </w:tc>
        <w:tc>
          <w:tcPr>
            <w:tcW w:w="1346" w:type="pct"/>
            <w:shd w:val="clear" w:color="auto" w:fill="auto"/>
          </w:tcPr>
          <w:p w14:paraId="1E1F102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78704</w:t>
            </w:r>
          </w:p>
        </w:tc>
        <w:tc>
          <w:tcPr>
            <w:tcW w:w="1346" w:type="pct"/>
            <w:shd w:val="clear" w:color="auto" w:fill="auto"/>
          </w:tcPr>
          <w:p w14:paraId="28BB190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75019</w:t>
            </w:r>
          </w:p>
        </w:tc>
        <w:tc>
          <w:tcPr>
            <w:tcW w:w="1347" w:type="pct"/>
            <w:shd w:val="clear" w:color="auto" w:fill="auto"/>
          </w:tcPr>
          <w:p w14:paraId="2CBC2D9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71430</w:t>
            </w:r>
          </w:p>
        </w:tc>
      </w:tr>
      <w:tr w:rsidR="00C332E9" w:rsidRPr="00C332E9" w14:paraId="18A9FC40"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26B6990"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85 lat i więcej</w:t>
            </w:r>
          </w:p>
        </w:tc>
        <w:tc>
          <w:tcPr>
            <w:tcW w:w="1346" w:type="pct"/>
            <w:shd w:val="clear" w:color="auto" w:fill="auto"/>
          </w:tcPr>
          <w:p w14:paraId="7DBD9C5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71634</w:t>
            </w:r>
          </w:p>
        </w:tc>
        <w:tc>
          <w:tcPr>
            <w:tcW w:w="1346" w:type="pct"/>
            <w:shd w:val="clear" w:color="auto" w:fill="auto"/>
          </w:tcPr>
          <w:p w14:paraId="6E24A0EE"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72075</w:t>
            </w:r>
          </w:p>
        </w:tc>
        <w:tc>
          <w:tcPr>
            <w:tcW w:w="1347" w:type="pct"/>
            <w:shd w:val="clear" w:color="auto" w:fill="auto"/>
          </w:tcPr>
          <w:p w14:paraId="0E3EC22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73033</w:t>
            </w:r>
          </w:p>
        </w:tc>
      </w:tr>
      <w:tr w:rsidR="00C332E9" w:rsidRPr="00C332E9" w14:paraId="082C3EBA"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C3EE6AF"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Przeciętne dalsze trwanie życia</w:t>
            </w:r>
          </w:p>
        </w:tc>
        <w:tc>
          <w:tcPr>
            <w:tcW w:w="1346" w:type="pct"/>
            <w:shd w:val="clear" w:color="auto" w:fill="auto"/>
          </w:tcPr>
          <w:p w14:paraId="2424B3B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męskiej – 73,8</w:t>
            </w:r>
          </w:p>
          <w:p w14:paraId="2F0E91A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żeńskiej – 81,6</w:t>
            </w:r>
          </w:p>
          <w:p w14:paraId="5CF5786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Mężczyzna w wieku 60 lat – 18,6</w:t>
            </w:r>
          </w:p>
          <w:p w14:paraId="5019A42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Kobieta w wieku 60 -23,7</w:t>
            </w:r>
          </w:p>
        </w:tc>
        <w:tc>
          <w:tcPr>
            <w:tcW w:w="1346" w:type="pct"/>
            <w:shd w:val="clear" w:color="auto" w:fill="auto"/>
          </w:tcPr>
          <w:p w14:paraId="02BB024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męskiej – 73,5</w:t>
            </w:r>
          </w:p>
          <w:p w14:paraId="5B53014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żeńskiej – 81,0</w:t>
            </w:r>
          </w:p>
          <w:p w14:paraId="1A66114A"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Mężczyzna w wieku 60 lat – 18,1</w:t>
            </w:r>
          </w:p>
          <w:p w14:paraId="58B2095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Kobieta w wieku 60 – 23,3</w:t>
            </w:r>
          </w:p>
        </w:tc>
        <w:tc>
          <w:tcPr>
            <w:tcW w:w="1347" w:type="pct"/>
            <w:shd w:val="clear" w:color="auto" w:fill="auto"/>
          </w:tcPr>
          <w:p w14:paraId="411D370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męskiej – 74,9</w:t>
            </w:r>
          </w:p>
          <w:p w14:paraId="18D5F5D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żeńskiej – 82,2</w:t>
            </w:r>
          </w:p>
          <w:p w14:paraId="6346210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Mężczyzna w wieku 60 lat – 19,5</w:t>
            </w:r>
          </w:p>
          <w:p w14:paraId="146F2D5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 xml:space="preserve">Kobieta w wieku 60 – </w:t>
            </w:r>
            <w:r w:rsidRPr="00C332E9">
              <w:rPr>
                <w:rFonts w:ascii="Lato" w:hAnsi="Lato"/>
                <w:sz w:val="18"/>
                <w:szCs w:val="18"/>
              </w:rPr>
              <w:t xml:space="preserve"> </w:t>
            </w:r>
            <w:r w:rsidRPr="00C332E9">
              <w:rPr>
                <w:rFonts w:ascii="Lato" w:hAnsi="Lato" w:cs="Times New Roman"/>
                <w:color w:val="auto"/>
                <w:sz w:val="18"/>
                <w:szCs w:val="18"/>
              </w:rPr>
              <w:t>24,3</w:t>
            </w:r>
          </w:p>
        </w:tc>
      </w:tr>
      <w:tr w:rsidR="00C332E9" w:rsidRPr="00C332E9" w14:paraId="0E31850C"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46F154D"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feminizacji</w:t>
            </w:r>
          </w:p>
        </w:tc>
        <w:tc>
          <w:tcPr>
            <w:tcW w:w="1346" w:type="pct"/>
            <w:shd w:val="clear" w:color="auto" w:fill="auto"/>
          </w:tcPr>
          <w:p w14:paraId="5490F97F"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106</w:t>
            </w:r>
          </w:p>
        </w:tc>
        <w:tc>
          <w:tcPr>
            <w:tcW w:w="1346" w:type="pct"/>
            <w:shd w:val="clear" w:color="auto" w:fill="auto"/>
          </w:tcPr>
          <w:p w14:paraId="58C064C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106</w:t>
            </w:r>
          </w:p>
        </w:tc>
        <w:tc>
          <w:tcPr>
            <w:tcW w:w="1347" w:type="pct"/>
            <w:shd w:val="clear" w:color="auto" w:fill="auto"/>
          </w:tcPr>
          <w:p w14:paraId="67E66EB2"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106</w:t>
            </w:r>
          </w:p>
        </w:tc>
      </w:tr>
      <w:tr w:rsidR="00C332E9" w:rsidRPr="00C332E9" w14:paraId="76D2BFC3"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CC9E3CB"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0834B2B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25,8</w:t>
            </w:r>
          </w:p>
        </w:tc>
        <w:tc>
          <w:tcPr>
            <w:tcW w:w="1346" w:type="pct"/>
            <w:shd w:val="clear" w:color="auto" w:fill="auto"/>
          </w:tcPr>
          <w:p w14:paraId="68B8293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26,4</w:t>
            </w:r>
          </w:p>
        </w:tc>
        <w:tc>
          <w:tcPr>
            <w:tcW w:w="1347" w:type="pct"/>
            <w:shd w:val="clear" w:color="auto" w:fill="auto"/>
          </w:tcPr>
          <w:p w14:paraId="7C12C314"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27,1</w:t>
            </w:r>
          </w:p>
        </w:tc>
      </w:tr>
      <w:tr w:rsidR="00C332E9" w:rsidRPr="00C332E9" w14:paraId="43DFC1A6"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E139274"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zgonów</w:t>
            </w:r>
          </w:p>
        </w:tc>
        <w:tc>
          <w:tcPr>
            <w:tcW w:w="1346" w:type="pct"/>
            <w:shd w:val="clear" w:color="auto" w:fill="auto"/>
          </w:tcPr>
          <w:p w14:paraId="1FE6344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11,3</w:t>
            </w:r>
          </w:p>
        </w:tc>
        <w:tc>
          <w:tcPr>
            <w:tcW w:w="1346" w:type="pct"/>
            <w:shd w:val="clear" w:color="auto" w:fill="auto"/>
          </w:tcPr>
          <w:p w14:paraId="5D711E6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11,9</w:t>
            </w:r>
          </w:p>
        </w:tc>
        <w:tc>
          <w:tcPr>
            <w:tcW w:w="1347" w:type="pct"/>
            <w:shd w:val="clear" w:color="auto" w:fill="auto"/>
          </w:tcPr>
          <w:p w14:paraId="57A72FC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10,5</w:t>
            </w:r>
          </w:p>
        </w:tc>
      </w:tr>
      <w:tr w:rsidR="00C332E9" w:rsidRPr="00C332E9" w14:paraId="0E436476"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A14E288"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lang w:eastAsia="pl-PL"/>
              </w:rPr>
              <w:t>AKTYWNOŚĆ EKONOMICZNA OSÓB STARSZYCH – DANE ZA 2022 R.</w:t>
            </w:r>
            <w:r w:rsidRPr="00C332E9">
              <w:rPr>
                <w:rFonts w:ascii="Lato" w:hAnsi="Lato" w:cs="Times New Roman"/>
                <w:color w:val="auto"/>
                <w:sz w:val="18"/>
                <w:szCs w:val="18"/>
                <w:vertAlign w:val="superscript"/>
                <w:lang w:eastAsia="pl-PL"/>
              </w:rPr>
              <w:t>1)</w:t>
            </w:r>
          </w:p>
        </w:tc>
      </w:tr>
      <w:tr w:rsidR="00C332E9" w:rsidRPr="00C332E9" w14:paraId="69148AC5"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4A71A974" w14:textId="77777777" w:rsidR="00C332E9" w:rsidRPr="00C332E9" w:rsidRDefault="00C332E9" w:rsidP="00CA4EC0">
            <w:pPr>
              <w:rPr>
                <w:rFonts w:ascii="Lato" w:hAnsi="Lato" w:cs="Times New Roman"/>
                <w:color w:val="auto"/>
                <w:sz w:val="18"/>
                <w:szCs w:val="18"/>
              </w:rPr>
            </w:pPr>
            <w:r w:rsidRPr="00C332E9">
              <w:rPr>
                <w:rFonts w:ascii="Lato" w:hAnsi="Lato" w:cs="Times New Roman"/>
                <w:color w:val="auto"/>
                <w:sz w:val="18"/>
                <w:szCs w:val="18"/>
              </w:rPr>
              <w:t>Podział</w:t>
            </w:r>
          </w:p>
        </w:tc>
        <w:tc>
          <w:tcPr>
            <w:tcW w:w="2693" w:type="pct"/>
            <w:gridSpan w:val="2"/>
            <w:shd w:val="clear" w:color="auto" w:fill="auto"/>
          </w:tcPr>
          <w:p w14:paraId="057EB5E3"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Liczba</w:t>
            </w:r>
          </w:p>
        </w:tc>
      </w:tr>
      <w:tr w:rsidR="00C332E9" w:rsidRPr="00C332E9" w14:paraId="7EDC3C45" w14:textId="77777777" w:rsidTr="00C332E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41CA87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Osoby aktywne zawodowo razem (w tys.)</w:t>
            </w:r>
          </w:p>
        </w:tc>
        <w:tc>
          <w:tcPr>
            <w:tcW w:w="1346" w:type="pct"/>
            <w:shd w:val="clear" w:color="auto" w:fill="auto"/>
          </w:tcPr>
          <w:p w14:paraId="6A76E112"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6DA5709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1484</w:t>
            </w:r>
          </w:p>
        </w:tc>
      </w:tr>
      <w:tr w:rsidR="00C332E9" w:rsidRPr="00C332E9" w14:paraId="1CAF89F8"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2011BED"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5F992C7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124C85A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101</w:t>
            </w:r>
          </w:p>
        </w:tc>
      </w:tr>
      <w:tr w:rsidR="00C332E9" w:rsidRPr="00C332E9" w14:paraId="2C7EEAC2" w14:textId="77777777" w:rsidTr="00C332E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54CBB13"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 xml:space="preserve">Osoby aktywne zawodowo </w:t>
            </w:r>
            <w:r w:rsidRPr="00C332E9">
              <w:rPr>
                <w:rFonts w:ascii="Lato" w:hAnsi="Lato" w:cs="Times New Roman"/>
                <w:color w:val="auto"/>
                <w:sz w:val="18"/>
                <w:szCs w:val="18"/>
                <w:lang w:eastAsia="pl-PL"/>
              </w:rPr>
              <w:br/>
              <w:t>– pracujący (w tys.)</w:t>
            </w:r>
          </w:p>
        </w:tc>
        <w:tc>
          <w:tcPr>
            <w:tcW w:w="1346" w:type="pct"/>
            <w:shd w:val="clear" w:color="auto" w:fill="auto"/>
          </w:tcPr>
          <w:p w14:paraId="3BB1826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23E53DC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1448</w:t>
            </w:r>
          </w:p>
        </w:tc>
      </w:tr>
      <w:tr w:rsidR="00C332E9" w:rsidRPr="00C332E9" w14:paraId="4B6A733D" w14:textId="77777777" w:rsidTr="00C332E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C00DF8F"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688D249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09C0FB0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99</w:t>
            </w:r>
          </w:p>
        </w:tc>
      </w:tr>
      <w:tr w:rsidR="00C332E9" w:rsidRPr="00C332E9" w14:paraId="4DFEA733" w14:textId="77777777" w:rsidTr="00C332E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DD3BA22"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Osoby bierne zawodowo (w tys.)</w:t>
            </w:r>
          </w:p>
        </w:tc>
        <w:tc>
          <w:tcPr>
            <w:tcW w:w="1346" w:type="pct"/>
            <w:shd w:val="clear" w:color="auto" w:fill="auto"/>
          </w:tcPr>
          <w:p w14:paraId="4E98956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4EA93FBA"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1136</w:t>
            </w:r>
          </w:p>
        </w:tc>
      </w:tr>
      <w:tr w:rsidR="00C332E9" w:rsidRPr="00C332E9" w14:paraId="1239648F"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D612732"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53297092"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77D06ED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653</w:t>
            </w:r>
          </w:p>
        </w:tc>
      </w:tr>
      <w:tr w:rsidR="00C332E9" w:rsidRPr="00C332E9" w14:paraId="1E324D8D" w14:textId="77777777" w:rsidTr="00C332E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ED380D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aktywności zawodowej %</w:t>
            </w:r>
          </w:p>
        </w:tc>
        <w:tc>
          <w:tcPr>
            <w:tcW w:w="1346" w:type="pct"/>
            <w:shd w:val="clear" w:color="auto" w:fill="auto"/>
          </w:tcPr>
          <w:p w14:paraId="5301949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7EAF17D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56,6</w:t>
            </w:r>
          </w:p>
        </w:tc>
      </w:tr>
      <w:tr w:rsidR="00C332E9" w:rsidRPr="00C332E9" w14:paraId="7F541EA8" w14:textId="77777777" w:rsidTr="00C332E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AD5E7C7"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4B2970B2"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0FD5275F"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13,4</w:t>
            </w:r>
          </w:p>
        </w:tc>
      </w:tr>
      <w:tr w:rsidR="00C332E9" w:rsidRPr="00C332E9" w14:paraId="3409C539" w14:textId="77777777" w:rsidTr="00C332E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929073E"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Wskaźnik zatrudnienia %</w:t>
            </w:r>
          </w:p>
        </w:tc>
        <w:tc>
          <w:tcPr>
            <w:tcW w:w="1346" w:type="pct"/>
            <w:shd w:val="clear" w:color="auto" w:fill="auto"/>
          </w:tcPr>
          <w:p w14:paraId="1607CB3D"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440CA45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55,3</w:t>
            </w:r>
          </w:p>
        </w:tc>
      </w:tr>
      <w:tr w:rsidR="00C332E9" w:rsidRPr="00C332E9" w14:paraId="2289D1A9" w14:textId="77777777" w:rsidTr="00C332E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5DFDBD8"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2801D9E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6A10D35F"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13,1</w:t>
            </w:r>
          </w:p>
        </w:tc>
      </w:tr>
      <w:tr w:rsidR="00C332E9" w:rsidRPr="00C332E9" w14:paraId="0A7B182D" w14:textId="77777777" w:rsidTr="00C332E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C3CF453" w14:textId="77777777" w:rsidR="00C332E9" w:rsidRPr="00C332E9" w:rsidRDefault="00C332E9" w:rsidP="00CA4EC0">
            <w:pPr>
              <w:rPr>
                <w:rFonts w:ascii="Lato" w:hAnsi="Lato" w:cs="Times New Roman"/>
                <w:b w:val="0"/>
                <w:color w:val="auto"/>
                <w:sz w:val="18"/>
                <w:szCs w:val="18"/>
                <w:lang w:eastAsia="pl-PL"/>
              </w:rPr>
            </w:pPr>
            <w:r w:rsidRPr="00C332E9">
              <w:rPr>
                <w:rFonts w:ascii="Lato" w:eastAsia="Times New Roman" w:hAnsi="Lato" w:cs="Times New Roman"/>
                <w:color w:val="auto"/>
                <w:sz w:val="18"/>
                <w:szCs w:val="18"/>
                <w:lang w:eastAsia="pl-PL"/>
              </w:rPr>
              <w:t xml:space="preserve">Osoby bierne zawodowo  w wieku 60-74 lata  według wybranych przyczyn bierności </w:t>
            </w:r>
            <w:r w:rsidRPr="00C332E9">
              <w:rPr>
                <w:rFonts w:ascii="Lato" w:eastAsia="Times New Roman" w:hAnsi="Lato" w:cs="Times New Roman"/>
                <w:color w:val="auto"/>
                <w:sz w:val="18"/>
                <w:szCs w:val="18"/>
                <w:lang w:eastAsia="pl-PL"/>
              </w:rPr>
              <w:br/>
              <w:t>(w tys.)</w:t>
            </w:r>
          </w:p>
        </w:tc>
        <w:tc>
          <w:tcPr>
            <w:tcW w:w="1346" w:type="pct"/>
            <w:shd w:val="clear" w:color="auto" w:fill="auto"/>
          </w:tcPr>
          <w:p w14:paraId="6975C2E8"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65C3254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449</w:t>
            </w:r>
          </w:p>
        </w:tc>
      </w:tr>
      <w:tr w:rsidR="00C332E9" w:rsidRPr="00C332E9" w14:paraId="3D4389F3" w14:textId="77777777" w:rsidTr="00C332E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F5B2CF9"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57D90FE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w:t>
            </w:r>
          </w:p>
        </w:tc>
      </w:tr>
      <w:tr w:rsidR="00C332E9" w:rsidRPr="00C332E9" w14:paraId="6DBC1456" w14:textId="77777777" w:rsidTr="00C332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3100D3C"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9D8AE74"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C332E9">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08A99B6B"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449</w:t>
            </w:r>
          </w:p>
        </w:tc>
      </w:tr>
      <w:tr w:rsidR="00C332E9" w:rsidRPr="00C332E9" w14:paraId="46FC296B" w14:textId="77777777" w:rsidTr="00C332E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365177C"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842CDC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75DD546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409</w:t>
            </w:r>
          </w:p>
        </w:tc>
      </w:tr>
      <w:tr w:rsidR="00C332E9" w:rsidRPr="00C332E9" w14:paraId="38D387A6" w14:textId="77777777" w:rsidTr="00C332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2CDCFA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CA4151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7DC9912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26</w:t>
            </w:r>
          </w:p>
        </w:tc>
      </w:tr>
      <w:tr w:rsidR="00C332E9" w:rsidRPr="00C332E9" w14:paraId="4188F397" w14:textId="77777777" w:rsidTr="00C332E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607C18D" w14:textId="77777777" w:rsidR="00C332E9" w:rsidRPr="00C332E9" w:rsidRDefault="00C332E9" w:rsidP="00CA4EC0">
            <w:pPr>
              <w:rPr>
                <w:rFonts w:ascii="Lato" w:eastAsia="Times New Roman" w:hAnsi="Lato" w:cs="Times New Roman"/>
                <w:b w:val="0"/>
                <w:bCs w:val="0"/>
                <w:color w:val="auto"/>
                <w:sz w:val="18"/>
                <w:szCs w:val="18"/>
                <w:lang w:eastAsia="pl-PL"/>
              </w:rPr>
            </w:pPr>
            <w:r w:rsidRPr="00C332E9">
              <w:rPr>
                <w:rFonts w:ascii="Lato" w:eastAsia="Times New Roman" w:hAnsi="Lato" w:cs="Times New Roman"/>
                <w:color w:val="auto"/>
                <w:sz w:val="18"/>
                <w:szCs w:val="18"/>
                <w:lang w:eastAsia="pl-PL"/>
              </w:rPr>
              <w:t xml:space="preserve">Osoby bezrobotne zarejestrowane w urzędach pracy (w tys.) </w:t>
            </w:r>
            <w:r w:rsidRPr="00C332E9">
              <w:rPr>
                <w:rFonts w:ascii="Lato" w:eastAsia="Times New Roman" w:hAnsi="Lato" w:cs="Times New Roman"/>
                <w:color w:val="auto"/>
                <w:sz w:val="18"/>
                <w:szCs w:val="18"/>
                <w:vertAlign w:val="superscript"/>
                <w:lang w:eastAsia="pl-PL"/>
              </w:rPr>
              <w:t>2)</w:t>
            </w:r>
          </w:p>
        </w:tc>
        <w:tc>
          <w:tcPr>
            <w:tcW w:w="1346" w:type="pct"/>
            <w:shd w:val="clear" w:color="auto" w:fill="auto"/>
          </w:tcPr>
          <w:p w14:paraId="1298F45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10E1CD2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64,4</w:t>
            </w:r>
          </w:p>
        </w:tc>
      </w:tr>
      <w:tr w:rsidR="00C332E9" w:rsidRPr="00C332E9" w14:paraId="4AF95822" w14:textId="77777777" w:rsidTr="00C332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DF5C332"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84E18C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60-64 lata</w:t>
            </w:r>
          </w:p>
        </w:tc>
        <w:tc>
          <w:tcPr>
            <w:tcW w:w="2693" w:type="pct"/>
            <w:gridSpan w:val="2"/>
            <w:shd w:val="clear" w:color="auto" w:fill="auto"/>
          </w:tcPr>
          <w:p w14:paraId="0718517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4,3</w:t>
            </w:r>
          </w:p>
        </w:tc>
      </w:tr>
      <w:tr w:rsidR="00C332E9" w:rsidRPr="00C332E9" w14:paraId="7D4C95B7" w14:textId="77777777" w:rsidTr="00C332E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AB6E266" w14:textId="77777777" w:rsidR="00C332E9" w:rsidRPr="00C332E9" w:rsidRDefault="00C332E9" w:rsidP="00CA4EC0">
            <w:pPr>
              <w:rPr>
                <w:rFonts w:ascii="Lato" w:eastAsia="Times New Roman" w:hAnsi="Lato" w:cs="Times New Roman"/>
                <w:b w:val="0"/>
                <w:bCs w:val="0"/>
                <w:color w:val="auto"/>
                <w:sz w:val="18"/>
                <w:szCs w:val="18"/>
                <w:lang w:eastAsia="pl-PL"/>
              </w:rPr>
            </w:pPr>
            <w:r w:rsidRPr="00C332E9">
              <w:rPr>
                <w:rFonts w:ascii="Lato" w:eastAsia="Times New Roman" w:hAnsi="Lato" w:cs="Times New Roman"/>
                <w:color w:val="auto"/>
                <w:sz w:val="18"/>
                <w:szCs w:val="18"/>
                <w:lang w:eastAsia="pl-PL"/>
              </w:rPr>
              <w:t xml:space="preserve">Osoby pobierające renty </w:t>
            </w:r>
            <w:r w:rsidRPr="00C332E9">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351838EC" w14:textId="77777777" w:rsidR="00C332E9" w:rsidRPr="00C332E9" w:rsidRDefault="00C332E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ZUS</w:t>
            </w:r>
          </w:p>
        </w:tc>
      </w:tr>
      <w:tr w:rsidR="00C332E9" w:rsidRPr="00C332E9" w14:paraId="5D0186D6" w14:textId="77777777" w:rsidTr="00C332E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E18817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D2BB954"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Rodzaj świadczenia</w:t>
            </w:r>
          </w:p>
        </w:tc>
        <w:tc>
          <w:tcPr>
            <w:tcW w:w="2693" w:type="pct"/>
            <w:gridSpan w:val="2"/>
            <w:shd w:val="clear" w:color="auto" w:fill="auto"/>
          </w:tcPr>
          <w:p w14:paraId="6171922C"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Przeciętna miesięczna liczba emerytów i rencistów (w tys.)</w:t>
            </w:r>
          </w:p>
        </w:tc>
      </w:tr>
      <w:tr w:rsidR="00C332E9" w:rsidRPr="00C332E9" w14:paraId="2197F634" w14:textId="77777777" w:rsidTr="00C332E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E9EAC51"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8455A7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Emerytury</w:t>
            </w:r>
          </w:p>
        </w:tc>
        <w:tc>
          <w:tcPr>
            <w:tcW w:w="2693" w:type="pct"/>
            <w:gridSpan w:val="2"/>
            <w:shd w:val="clear" w:color="auto" w:fill="auto"/>
          </w:tcPr>
          <w:p w14:paraId="27AC8C8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504,7</w:t>
            </w:r>
          </w:p>
        </w:tc>
      </w:tr>
      <w:tr w:rsidR="00C332E9" w:rsidRPr="00C332E9" w14:paraId="4326A068" w14:textId="77777777" w:rsidTr="00C332E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DCCF69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B1CE68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z tytułu niezdolności do pracy</w:t>
            </w:r>
          </w:p>
        </w:tc>
        <w:tc>
          <w:tcPr>
            <w:tcW w:w="2693" w:type="pct"/>
            <w:gridSpan w:val="2"/>
            <w:shd w:val="clear" w:color="auto" w:fill="auto"/>
          </w:tcPr>
          <w:p w14:paraId="3EC5BE6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50,3</w:t>
            </w:r>
          </w:p>
        </w:tc>
      </w:tr>
      <w:tr w:rsidR="00C332E9" w:rsidRPr="00C332E9" w14:paraId="202DAE35" w14:textId="77777777" w:rsidTr="00C332E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BE47C9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78C794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rodzinne</w:t>
            </w:r>
          </w:p>
        </w:tc>
        <w:tc>
          <w:tcPr>
            <w:tcW w:w="2693" w:type="pct"/>
            <w:gridSpan w:val="2"/>
            <w:shd w:val="clear" w:color="auto" w:fill="auto"/>
          </w:tcPr>
          <w:p w14:paraId="7315A37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102,1</w:t>
            </w:r>
          </w:p>
        </w:tc>
      </w:tr>
      <w:tr w:rsidR="00C332E9" w:rsidRPr="00C332E9" w14:paraId="49676B52" w14:textId="77777777" w:rsidTr="00C332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380D8EF"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510F0CB5" w14:textId="77777777" w:rsidR="00C332E9" w:rsidRPr="00C332E9" w:rsidRDefault="00C332E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KRUS</w:t>
            </w:r>
          </w:p>
        </w:tc>
      </w:tr>
      <w:tr w:rsidR="00C332E9" w:rsidRPr="00C332E9" w14:paraId="625550CD" w14:textId="77777777" w:rsidTr="00C332E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F8D1463"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253ED84"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Rodzaj świadczenia</w:t>
            </w:r>
          </w:p>
        </w:tc>
        <w:tc>
          <w:tcPr>
            <w:tcW w:w="2693" w:type="pct"/>
            <w:gridSpan w:val="2"/>
            <w:shd w:val="clear" w:color="auto" w:fill="auto"/>
          </w:tcPr>
          <w:p w14:paraId="68CB825E"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Przeciętna miesięczna liczba emerytów i rencistów (w tys.)</w:t>
            </w:r>
          </w:p>
        </w:tc>
      </w:tr>
      <w:tr w:rsidR="00C332E9" w:rsidRPr="00C332E9" w14:paraId="7FDE1860"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E09B49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562092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Emerytury</w:t>
            </w:r>
          </w:p>
        </w:tc>
        <w:tc>
          <w:tcPr>
            <w:tcW w:w="2693" w:type="pct"/>
            <w:gridSpan w:val="2"/>
            <w:shd w:val="clear" w:color="auto" w:fill="auto"/>
          </w:tcPr>
          <w:p w14:paraId="2D06FB2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58,3</w:t>
            </w:r>
          </w:p>
        </w:tc>
      </w:tr>
      <w:tr w:rsidR="00C332E9" w:rsidRPr="00C332E9" w14:paraId="2BD4EEE9" w14:textId="77777777" w:rsidTr="00C332E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65A1BD5"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9EA5EB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z tytułu niezdolności do pracy</w:t>
            </w:r>
          </w:p>
        </w:tc>
        <w:tc>
          <w:tcPr>
            <w:tcW w:w="2693" w:type="pct"/>
            <w:gridSpan w:val="2"/>
            <w:shd w:val="clear" w:color="auto" w:fill="auto"/>
          </w:tcPr>
          <w:p w14:paraId="3F40965B"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24,1</w:t>
            </w:r>
          </w:p>
        </w:tc>
      </w:tr>
      <w:tr w:rsidR="00C332E9" w:rsidRPr="00C332E9" w14:paraId="5561136E"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2DE2FEC"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0E12AF4"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rodzinne</w:t>
            </w:r>
          </w:p>
        </w:tc>
        <w:tc>
          <w:tcPr>
            <w:tcW w:w="2693" w:type="pct"/>
            <w:gridSpan w:val="2"/>
            <w:shd w:val="clear" w:color="auto" w:fill="auto"/>
          </w:tcPr>
          <w:p w14:paraId="1939B1A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3,7</w:t>
            </w:r>
          </w:p>
        </w:tc>
      </w:tr>
      <w:tr w:rsidR="00C332E9" w:rsidRPr="00C332E9" w14:paraId="34004FFF"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83352E8"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rPr>
              <w:t xml:space="preserve">SYTUACJA DOCHODOWA, WARUNKI BYTU, W TYM WARUNKI MIESZKANIOWE – DANE ZA 2022 R. </w:t>
            </w:r>
          </w:p>
        </w:tc>
      </w:tr>
      <w:tr w:rsidR="00C332E9" w:rsidRPr="00C332E9" w14:paraId="639EE430"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B179AEA" w14:textId="0D9BBA7E" w:rsidR="00C332E9" w:rsidRPr="00C332E9" w:rsidRDefault="00C332E9" w:rsidP="00CA4EC0">
            <w:pPr>
              <w:jc w:val="both"/>
              <w:rPr>
                <w:rFonts w:ascii="Lato" w:hAnsi="Lato" w:cs="Times New Roman"/>
                <w:b w:val="0"/>
                <w:color w:val="auto"/>
                <w:sz w:val="18"/>
                <w:szCs w:val="18"/>
              </w:rPr>
            </w:pPr>
            <w:r w:rsidRPr="00C332E9">
              <w:rPr>
                <w:rFonts w:ascii="Lato" w:hAnsi="Lato" w:cs="Times New Roman"/>
                <w:b w:val="0"/>
                <w:color w:val="auto"/>
                <w:sz w:val="18"/>
                <w:szCs w:val="18"/>
              </w:rPr>
              <w:t xml:space="preserve">W 2022 r. w województwie małopolskim przeciętny miesięczny dochód rozporządzalny przypadający na 1 osobę w gospodarstwach domowych wyniósł 2236,67 zł. Na dochód rozporządzalny gospodarstwa domowego składają się przede wszystkim dochody z pracy najemnej oraz dochody ze świadczeń społecznych. W 2022 r. ich udział w </w:t>
            </w:r>
            <w:r w:rsidRPr="00C332E9">
              <w:rPr>
                <w:rFonts w:ascii="Lato" w:hAnsi="Lato" w:cs="Times New Roman"/>
                <w:b w:val="0"/>
                <w:color w:val="auto"/>
                <w:sz w:val="18"/>
                <w:szCs w:val="18"/>
              </w:rPr>
              <w:lastRenderedPageBreak/>
              <w:t>dochodzie rozporządzalnym wyniósł odpowiednio 57,0% i 29,1%. W 2022 r. przeciętne miesięczne wydatki na 1 osobę w gospodarstwach domowych wyniosły 1263,21 zł.  Na żywność i napoje bezalkoholowe gospodarstwa domowe przeznaczały przeciętnie 29,6% ogólnej kwoty wydatków, na opłaty z tytułu użytkowania mieszkania lub domu i za korzystanie z nośników energii - 19,1%, a na zdrowie – 5,8%.</w:t>
            </w:r>
            <w:r w:rsidR="0031646A">
              <w:rPr>
                <w:rFonts w:ascii="Lato" w:hAnsi="Lato" w:cs="Times New Roman"/>
                <w:b w:val="0"/>
                <w:color w:val="auto"/>
                <w:sz w:val="18"/>
                <w:szCs w:val="18"/>
              </w:rPr>
              <w:t xml:space="preserve"> </w:t>
            </w:r>
            <w:r w:rsidRPr="00C332E9">
              <w:rPr>
                <w:rFonts w:ascii="Lato" w:hAnsi="Lato" w:cs="Times New Roman"/>
                <w:b w:val="0"/>
                <w:color w:val="auto"/>
                <w:sz w:val="18"/>
                <w:szCs w:val="18"/>
              </w:rPr>
              <w:t>W 2022 r. swoją sytuację materialną jako dobrą lub raczej dobrą oceniło 58,3% gospodarstw domowych. Udział gospodarstw określających swoją sytuację materialną jako przeciętną wyniósł 38,2%, a raczej złą lub złą ukształtował się na poziomie 3,5%.</w:t>
            </w:r>
            <w:r w:rsidR="0031646A">
              <w:rPr>
                <w:rFonts w:ascii="Lato" w:hAnsi="Lato" w:cs="Times New Roman"/>
                <w:b w:val="0"/>
                <w:color w:val="auto"/>
                <w:sz w:val="18"/>
                <w:szCs w:val="18"/>
              </w:rPr>
              <w:t xml:space="preserve"> </w:t>
            </w:r>
            <w:r w:rsidRPr="00C332E9">
              <w:rPr>
                <w:rFonts w:ascii="Lato" w:hAnsi="Lato" w:cs="Times New Roman"/>
                <w:b w:val="0"/>
                <w:color w:val="auto"/>
                <w:sz w:val="18"/>
                <w:szCs w:val="18"/>
              </w:rPr>
              <w:t>W analizowanym roku przeciętna liczba osób w gospodarstwie domowym ukształtowała się na poziomie 2,62. Przeciętna powierzchnia użytkowa mieszkania zajmowana przez gospodarstwo domowe wyniosła 99,8 m</w:t>
            </w:r>
            <w:r w:rsidRPr="00C332E9">
              <w:rPr>
                <w:rFonts w:ascii="Lato" w:hAnsi="Lato" w:cs="Times New Roman"/>
                <w:b w:val="0"/>
                <w:color w:val="auto"/>
                <w:sz w:val="18"/>
                <w:szCs w:val="18"/>
                <w:vertAlign w:val="superscript"/>
              </w:rPr>
              <w:t>2</w:t>
            </w:r>
            <w:r w:rsidRPr="00C332E9">
              <w:rPr>
                <w:rFonts w:ascii="Lato" w:hAnsi="Lato" w:cs="Times New Roman"/>
                <w:b w:val="0"/>
                <w:color w:val="auto"/>
                <w:sz w:val="18"/>
                <w:szCs w:val="18"/>
              </w:rPr>
              <w:t>.</w:t>
            </w:r>
          </w:p>
        </w:tc>
      </w:tr>
    </w:tbl>
    <w:p w14:paraId="4F122A24"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lastRenderedPageBreak/>
        <w:t>Źródło: dane GUS</w:t>
      </w:r>
    </w:p>
    <w:p w14:paraId="06E783C5"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7AB6C420"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3A633C36" w14:textId="77A56557" w:rsidR="00C332E9" w:rsidRPr="00C332E9" w:rsidRDefault="00C332E9" w:rsidP="00C332E9">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44F2CBAD" w14:textId="0EA7A935" w:rsidR="00BA7CBC" w:rsidRPr="002B0821" w:rsidRDefault="00586D97" w:rsidP="00B73AF7">
      <w:pPr>
        <w:pStyle w:val="Nagwek2"/>
        <w:numPr>
          <w:ilvl w:val="1"/>
          <w:numId w:val="44"/>
        </w:numPr>
        <w:rPr>
          <w:b/>
          <w:bCs/>
        </w:rPr>
      </w:pPr>
      <w:bookmarkStart w:id="155" w:name="_Toc142565954"/>
      <w:r w:rsidRPr="002B0821">
        <w:rPr>
          <w:b/>
          <w:bCs/>
        </w:rPr>
        <w:t>Województwo mazowieckie</w:t>
      </w:r>
      <w:bookmarkEnd w:id="155"/>
    </w:p>
    <w:p w14:paraId="3D84C41B" w14:textId="77777777"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województwie mazowieckim w 2022 r. były podejmowane liczne inicjatywy poświęcone osobom</w:t>
      </w:r>
    </w:p>
    <w:p w14:paraId="29642317" w14:textId="77777777"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starszym. Kluczowymi dokumentami określającymi kierunki działań w obszarze polityki senioralnej</w:t>
      </w:r>
    </w:p>
    <w:p w14:paraId="01A2F6B0" w14:textId="77777777"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były:</w:t>
      </w:r>
    </w:p>
    <w:p w14:paraId="2D31CA8A" w14:textId="77777777" w:rsidR="00F978A5" w:rsidRDefault="003D7879" w:rsidP="0059185B">
      <w:pPr>
        <w:pStyle w:val="Akapitzlist"/>
        <w:numPr>
          <w:ilvl w:val="0"/>
          <w:numId w:val="196"/>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 xml:space="preserve">Strategia Polityki Społecznej Województwa Mazowieckiego na lata 2021–2030, </w:t>
      </w:r>
    </w:p>
    <w:p w14:paraId="7A978ACD" w14:textId="77777777" w:rsidR="00F978A5" w:rsidRDefault="003D7879" w:rsidP="0059185B">
      <w:pPr>
        <w:pStyle w:val="Akapitzlist"/>
        <w:numPr>
          <w:ilvl w:val="0"/>
          <w:numId w:val="196"/>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 xml:space="preserve">Program Polityki Senioralnej Województwa Mazowieckiego na lata 2022-2026 </w:t>
      </w:r>
    </w:p>
    <w:p w14:paraId="793E9582" w14:textId="77777777" w:rsidR="00F978A5" w:rsidRDefault="003D7879" w:rsidP="003D7879">
      <w:p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Powyższe dokumenty są spójne z celami i działaniami wynikającymi z przyjętego przez Rad</w:t>
      </w:r>
      <w:r w:rsidR="00F978A5">
        <w:rPr>
          <w:rFonts w:ascii="Lato" w:hAnsi="Lato" w:cs="TimesNewRomanPSMT"/>
          <w:color w:val="000000"/>
          <w:sz w:val="20"/>
          <w:szCs w:val="20"/>
        </w:rPr>
        <w:t xml:space="preserve">ę </w:t>
      </w:r>
      <w:r w:rsidRPr="003D7879">
        <w:rPr>
          <w:rFonts w:ascii="Lato" w:hAnsi="Lato" w:cs="TimesNewRomanPSMT"/>
          <w:color w:val="000000"/>
          <w:sz w:val="20"/>
          <w:szCs w:val="20"/>
        </w:rPr>
        <w:t>Ministrów dokumentu pt. Polityka społeczna wobec osób starszych 2030. Bezpieczeństwo</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 Uczestnictwo – Solidarność. </w:t>
      </w:r>
    </w:p>
    <w:p w14:paraId="3CD40E61" w14:textId="4E1C19CE"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2716E368" w14:textId="1D6BB700" w:rsidR="00F978A5" w:rsidRPr="00F978A5" w:rsidRDefault="00F978A5" w:rsidP="00F978A5">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0AF16851" w14:textId="48FF24B2"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Działania zapisane w ww. dokumentach strategicznych mają na</w:t>
      </w:r>
      <w:r w:rsidR="00F978A5">
        <w:rPr>
          <w:rFonts w:ascii="Lato" w:hAnsi="Lato" w:cs="TimesNewRomanPSMT"/>
          <w:color w:val="000000"/>
          <w:sz w:val="20"/>
          <w:szCs w:val="20"/>
        </w:rPr>
        <w:t xml:space="preserve"> </w:t>
      </w:r>
      <w:r w:rsidRPr="003D7879">
        <w:rPr>
          <w:rFonts w:ascii="Lato" w:hAnsi="Lato" w:cs="TimesNewRomanPSMT"/>
          <w:color w:val="000000"/>
          <w:sz w:val="20"/>
          <w:szCs w:val="20"/>
        </w:rPr>
        <w:t>celu prowadzenie regionalnej polityki senioralnej sprzyjającej aktywizacji osób starszych oraz</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zapobiegającej ich wykluczeniu i utracie samodzielności.</w:t>
      </w:r>
    </w:p>
    <w:p w14:paraId="60A8D423"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55316733" w14:textId="7ADBEFB7"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Przykładem podjętych w tym zakresie działań na terenie województwa mazowieckiego była</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działalność </w:t>
      </w:r>
      <w:r w:rsidRPr="003D7879">
        <w:rPr>
          <w:rFonts w:ascii="Lato" w:hAnsi="Lato" w:cs="TimesNewRomanPS-BoldMT"/>
          <w:b/>
          <w:bCs/>
          <w:color w:val="000000"/>
          <w:sz w:val="20"/>
          <w:szCs w:val="20"/>
        </w:rPr>
        <w:t>Mazowieckiej Rady Seniorów</w:t>
      </w:r>
      <w:r w:rsidRPr="003D7879">
        <w:rPr>
          <w:rFonts w:ascii="Lato" w:hAnsi="Lato" w:cs="TimesNewRomanPSMT"/>
          <w:color w:val="000000"/>
          <w:sz w:val="20"/>
          <w:szCs w:val="20"/>
        </w:rPr>
        <w:t>. Rada została utworzona uchwałą Zarządu Województwa</w:t>
      </w:r>
      <w:r w:rsidR="00F978A5">
        <w:rPr>
          <w:rFonts w:ascii="Lato" w:hAnsi="Lato" w:cs="TimesNewRomanPSMT"/>
          <w:color w:val="000000"/>
          <w:sz w:val="20"/>
          <w:szCs w:val="20"/>
        </w:rPr>
        <w:t xml:space="preserve"> </w:t>
      </w:r>
      <w:r w:rsidRPr="003D7879">
        <w:rPr>
          <w:rFonts w:ascii="Lato" w:hAnsi="Lato" w:cs="TimesNewRomanPSMT"/>
          <w:color w:val="000000"/>
          <w:sz w:val="20"/>
          <w:szCs w:val="20"/>
        </w:rPr>
        <w:t>Mazowieckiego już w listopadzie 2018 r. jako organ konsultacyjny, doradczy i inicjatyw</w:t>
      </w:r>
      <w:r w:rsidR="00F978A5">
        <w:rPr>
          <w:rFonts w:ascii="Lato" w:hAnsi="Lato" w:cs="TimesNewRomanPSMT"/>
          <w:color w:val="000000"/>
          <w:sz w:val="20"/>
          <w:szCs w:val="20"/>
        </w:rPr>
        <w:t>n</w:t>
      </w:r>
      <w:r w:rsidRPr="003D7879">
        <w:rPr>
          <w:rFonts w:ascii="Lato" w:hAnsi="Lato" w:cs="TimesNewRomanPSMT"/>
          <w:color w:val="000000"/>
          <w:sz w:val="20"/>
          <w:szCs w:val="20"/>
        </w:rPr>
        <w:t>y</w:t>
      </w:r>
      <w:r w:rsidR="00F978A5">
        <w:rPr>
          <w:rFonts w:ascii="Lato" w:hAnsi="Lato" w:cs="TimesNewRomanPSMT"/>
          <w:color w:val="000000"/>
          <w:sz w:val="20"/>
          <w:szCs w:val="20"/>
        </w:rPr>
        <w:t xml:space="preserve"> </w:t>
      </w:r>
      <w:r w:rsidRPr="003D7879">
        <w:rPr>
          <w:rFonts w:ascii="Lato" w:hAnsi="Lato" w:cs="TimesNewRomanPSMT"/>
          <w:color w:val="000000"/>
          <w:sz w:val="20"/>
          <w:szCs w:val="20"/>
        </w:rPr>
        <w:t>Marszałka Województwa Mazowieckiego. Rada liczy 18 członków. Do jej zadań należy m.in.:</w:t>
      </w:r>
    </w:p>
    <w:p w14:paraId="0261A0C1" w14:textId="77777777" w:rsidR="00F978A5" w:rsidRDefault="003D7879" w:rsidP="0059185B">
      <w:pPr>
        <w:pStyle w:val="Akapitzlist"/>
        <w:numPr>
          <w:ilvl w:val="0"/>
          <w:numId w:val="197"/>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współtworzenie głównych kierunków polityki senioralnej w województwie mazowieckim,</w:t>
      </w:r>
    </w:p>
    <w:p w14:paraId="18ECE430" w14:textId="77777777" w:rsidR="00F978A5" w:rsidRDefault="003D7879" w:rsidP="0059185B">
      <w:pPr>
        <w:pStyle w:val="Akapitzlist"/>
        <w:numPr>
          <w:ilvl w:val="0"/>
          <w:numId w:val="197"/>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proponowanie nowych rozwiązań i inicjowanie zmian na rzecz środowiska seniorów,</w:t>
      </w:r>
    </w:p>
    <w:p w14:paraId="0FBBD1C0" w14:textId="178C36A0" w:rsidR="003D7879" w:rsidRDefault="003D7879" w:rsidP="0059185B">
      <w:pPr>
        <w:pStyle w:val="Akapitzlist"/>
        <w:numPr>
          <w:ilvl w:val="0"/>
          <w:numId w:val="197"/>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konsultowanie</w:t>
      </w:r>
      <w:r w:rsidR="00F978A5">
        <w:rPr>
          <w:rFonts w:ascii="Lato" w:hAnsi="Lato" w:cs="TimesNewRomanPSMT"/>
          <w:color w:val="000000"/>
          <w:sz w:val="20"/>
          <w:szCs w:val="20"/>
        </w:rPr>
        <w:t xml:space="preserve"> </w:t>
      </w:r>
      <w:r w:rsidRPr="00F978A5">
        <w:rPr>
          <w:rFonts w:ascii="Lato" w:hAnsi="Lato" w:cs="TimesNewRomanPSMT"/>
          <w:color w:val="000000"/>
          <w:sz w:val="20"/>
          <w:szCs w:val="20"/>
        </w:rPr>
        <w:t>rządowych i regionalnych projektów aktów prawnych dotyczących seniorów lub mogących mieć</w:t>
      </w:r>
      <w:r w:rsidR="00F978A5">
        <w:rPr>
          <w:rFonts w:ascii="Lato" w:hAnsi="Lato" w:cs="TimesNewRomanPSMT"/>
          <w:color w:val="000000"/>
          <w:sz w:val="20"/>
          <w:szCs w:val="20"/>
        </w:rPr>
        <w:t xml:space="preserve"> </w:t>
      </w:r>
      <w:r w:rsidRPr="00F978A5">
        <w:rPr>
          <w:rFonts w:ascii="Lato" w:hAnsi="Lato" w:cs="TimesNewRomanPSMT"/>
          <w:color w:val="000000"/>
          <w:sz w:val="20"/>
          <w:szCs w:val="20"/>
        </w:rPr>
        <w:t>wpływ na ich sytuację oraz podejmowanie działań zmierzających do zwiększenia zaangażowania</w:t>
      </w:r>
      <w:r w:rsidR="00F978A5">
        <w:rPr>
          <w:rFonts w:ascii="Lato" w:hAnsi="Lato" w:cs="TimesNewRomanPSMT"/>
          <w:color w:val="000000"/>
          <w:sz w:val="20"/>
          <w:szCs w:val="20"/>
        </w:rPr>
        <w:t xml:space="preserve"> </w:t>
      </w:r>
      <w:r w:rsidRPr="00F978A5">
        <w:rPr>
          <w:rFonts w:ascii="Lato" w:hAnsi="Lato" w:cs="TimesNewRomanPSMT"/>
          <w:color w:val="000000"/>
          <w:sz w:val="20"/>
          <w:szCs w:val="20"/>
        </w:rPr>
        <w:t>obywatelskiego w życiu publicznym i społecznym seniorów.</w:t>
      </w:r>
    </w:p>
    <w:p w14:paraId="79185D95" w14:textId="77777777" w:rsidR="00F978A5" w:rsidRPr="00F978A5" w:rsidRDefault="00F978A5" w:rsidP="00F978A5">
      <w:pPr>
        <w:pStyle w:val="Akapitzlist"/>
        <w:autoSpaceDE w:val="0"/>
        <w:autoSpaceDN w:val="0"/>
        <w:adjustRightInd w:val="0"/>
        <w:spacing w:after="0" w:line="240" w:lineRule="auto"/>
        <w:jc w:val="both"/>
        <w:rPr>
          <w:rFonts w:ascii="Lato" w:hAnsi="Lato" w:cs="TimesNewRomanPSMT"/>
          <w:color w:val="000000"/>
          <w:sz w:val="20"/>
          <w:szCs w:val="20"/>
        </w:rPr>
      </w:pPr>
    </w:p>
    <w:p w14:paraId="5CBE796F" w14:textId="2C575E18"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2022 r. w województwie mazowieckim działała Powiatowa Rada Seniorów</w:t>
      </w:r>
      <w:r w:rsidRPr="003D7879">
        <w:rPr>
          <w:rFonts w:ascii="Lato" w:hAnsi="Lato" w:cs="TimesNewRomanPS-BoldMT"/>
          <w:b/>
          <w:bCs/>
          <w:color w:val="000000"/>
          <w:sz w:val="20"/>
          <w:szCs w:val="20"/>
        </w:rPr>
        <w:t xml:space="preserve">, </w:t>
      </w:r>
      <w:r w:rsidRPr="003D7879">
        <w:rPr>
          <w:rFonts w:ascii="Lato" w:hAnsi="Lato" w:cs="TimesNewRomanPSMT"/>
          <w:color w:val="000000"/>
          <w:sz w:val="20"/>
          <w:szCs w:val="20"/>
        </w:rPr>
        <w:t>powołana</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powiecie żuromińskim oraz 68 gminnych rad seniorów skupiających 778 członków, które</w:t>
      </w:r>
      <w:r w:rsidR="00F978A5">
        <w:rPr>
          <w:rFonts w:ascii="Lato" w:hAnsi="Lato" w:cs="TimesNewRomanPSMT"/>
          <w:color w:val="000000"/>
          <w:sz w:val="20"/>
          <w:szCs w:val="20"/>
        </w:rPr>
        <w:t xml:space="preserve"> </w:t>
      </w:r>
      <w:r w:rsidRPr="003D7879">
        <w:rPr>
          <w:rFonts w:ascii="Lato" w:hAnsi="Lato" w:cs="TimesNewRomanPSMT"/>
          <w:color w:val="000000"/>
          <w:sz w:val="20"/>
          <w:szCs w:val="20"/>
        </w:rPr>
        <w:t>realizowały zadania i podejmowały działania w obszarze troski o zdrowie mieszkańców, zwłaszcza</w:t>
      </w:r>
      <w:r w:rsidR="00F978A5">
        <w:rPr>
          <w:rFonts w:ascii="Lato" w:hAnsi="Lato" w:cs="TimesNewRomanPSMT"/>
          <w:color w:val="000000"/>
          <w:sz w:val="20"/>
          <w:szCs w:val="20"/>
        </w:rPr>
        <w:t xml:space="preserve"> </w:t>
      </w:r>
      <w:r w:rsidRPr="003D7879">
        <w:rPr>
          <w:rFonts w:ascii="Lato" w:hAnsi="Lato" w:cs="TimesNewRomanPSMT"/>
          <w:color w:val="000000"/>
          <w:sz w:val="20"/>
          <w:szCs w:val="20"/>
        </w:rPr>
        <w:t>osób starszych.</w:t>
      </w:r>
    </w:p>
    <w:p w14:paraId="51E73010"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3349D63C" w14:textId="1C3597C9"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Bardzo istotnym projektem wspierającym aktywność społeczną, kulturalną, edukacyjną</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i obywatelską skierowanym do osób starszych był </w:t>
      </w:r>
      <w:r w:rsidRPr="003D7879">
        <w:rPr>
          <w:rFonts w:ascii="Lato" w:hAnsi="Lato" w:cs="TimesNewRomanPS-BoldMT"/>
          <w:b/>
          <w:bCs/>
          <w:color w:val="000000"/>
          <w:sz w:val="20"/>
          <w:szCs w:val="20"/>
        </w:rPr>
        <w:t>Program Wieloletni „Senior+” na lata</w:t>
      </w:r>
      <w:r w:rsidR="00F978A5">
        <w:rPr>
          <w:rFonts w:ascii="Lato" w:hAnsi="Lato" w:cs="TimesNewRomanPSMT"/>
          <w:color w:val="000000"/>
          <w:sz w:val="20"/>
          <w:szCs w:val="20"/>
        </w:rPr>
        <w:t xml:space="preserve"> </w:t>
      </w:r>
      <w:r w:rsidRPr="003D7879">
        <w:rPr>
          <w:rFonts w:ascii="Lato" w:hAnsi="Lato" w:cs="TimesNewRomanPS-BoldMT"/>
          <w:b/>
          <w:bCs/>
          <w:color w:val="000000"/>
          <w:sz w:val="20"/>
          <w:szCs w:val="20"/>
        </w:rPr>
        <w:t>2021-2025</w:t>
      </w:r>
      <w:r w:rsidRPr="003D7879">
        <w:rPr>
          <w:rFonts w:ascii="Lato" w:hAnsi="Lato" w:cs="TimesNewRomanPSMT"/>
          <w:color w:val="000000"/>
          <w:sz w:val="20"/>
          <w:szCs w:val="20"/>
        </w:rPr>
        <w:t>. Program ma na celu w szczególności wsparcie seniorów (osób nieaktywnych zawodowo</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wieku 60+) przez umożliwienie korzystania z oferty na rzecz społecznej aktywizacji, w tym oferty</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prozdrowotnej, obejmującej także usługi w zakresie aktywności ruchowej lub kinezyterapii, a także</w:t>
      </w:r>
      <w:r w:rsidR="00F978A5">
        <w:rPr>
          <w:rFonts w:ascii="Lato" w:hAnsi="Lato" w:cs="TimesNewRomanPSMT"/>
          <w:color w:val="000000"/>
          <w:sz w:val="20"/>
          <w:szCs w:val="20"/>
        </w:rPr>
        <w:t xml:space="preserve"> </w:t>
      </w:r>
      <w:r w:rsidRPr="003D7879">
        <w:rPr>
          <w:rFonts w:ascii="Lato" w:hAnsi="Lato" w:cs="TimesNewRomanPSMT"/>
          <w:color w:val="000000"/>
          <w:sz w:val="20"/>
          <w:szCs w:val="20"/>
        </w:rPr>
        <w:t>oferty edukacyjnej, kulturalnej, rekreacyjnej i opiekuńczej, w zależności od potrzeb w środowisku</w:t>
      </w:r>
      <w:r w:rsidR="00F978A5">
        <w:rPr>
          <w:rFonts w:ascii="Lato" w:hAnsi="Lato" w:cs="TimesNewRomanPSMT"/>
          <w:color w:val="000000"/>
          <w:sz w:val="20"/>
          <w:szCs w:val="20"/>
        </w:rPr>
        <w:t xml:space="preserve"> </w:t>
      </w:r>
      <w:r w:rsidRPr="003D7879">
        <w:rPr>
          <w:rFonts w:ascii="Lato" w:hAnsi="Lato" w:cs="TimesNewRomanPSMT"/>
          <w:color w:val="000000"/>
          <w:sz w:val="20"/>
          <w:szCs w:val="20"/>
        </w:rPr>
        <w:t>lokalnym. W 2022 r. na Mazowszu funkcjonowało 145 ośrodków wsparcia „Senior+, w tym 38</w:t>
      </w:r>
      <w:r w:rsidR="00F978A5">
        <w:rPr>
          <w:rFonts w:ascii="Lato" w:hAnsi="Lato" w:cs="TimesNewRomanPSMT"/>
          <w:color w:val="000000"/>
          <w:sz w:val="20"/>
          <w:szCs w:val="20"/>
        </w:rPr>
        <w:t xml:space="preserve"> </w:t>
      </w:r>
      <w:r w:rsidRPr="003D7879">
        <w:rPr>
          <w:rFonts w:ascii="Lato" w:hAnsi="Lato" w:cs="TimesNewRomanPSMT"/>
          <w:color w:val="000000"/>
          <w:sz w:val="20"/>
          <w:szCs w:val="20"/>
        </w:rPr>
        <w:t>Dziennych Domów „Senior+ i 107 Klubów</w:t>
      </w:r>
      <w:r w:rsidR="00F978A5">
        <w:rPr>
          <w:rFonts w:ascii="Lato" w:hAnsi="Lato" w:cs="TimesNewRomanPSMT"/>
          <w:color w:val="000000"/>
          <w:sz w:val="20"/>
          <w:szCs w:val="20"/>
        </w:rPr>
        <w:t xml:space="preserve"> </w:t>
      </w:r>
      <w:r w:rsidRPr="003D7879">
        <w:rPr>
          <w:rFonts w:ascii="Lato" w:hAnsi="Lato" w:cs="TimesNewRomanPSMT"/>
          <w:color w:val="000000"/>
          <w:sz w:val="20"/>
          <w:szCs w:val="20"/>
        </w:rPr>
        <w:t>„Senior+. W tym okresie powstało 5 nowych placówek</w:t>
      </w:r>
      <w:r w:rsidR="00F978A5">
        <w:rPr>
          <w:rFonts w:ascii="Lato" w:hAnsi="Lato" w:cs="TimesNewRomanPSMT"/>
          <w:color w:val="000000"/>
          <w:sz w:val="20"/>
          <w:szCs w:val="20"/>
        </w:rPr>
        <w:t xml:space="preserve"> </w:t>
      </w:r>
      <w:r w:rsidRPr="003D7879">
        <w:rPr>
          <w:rFonts w:ascii="Lato" w:hAnsi="Lato" w:cs="TimesNewRomanPSMT"/>
          <w:color w:val="000000"/>
          <w:sz w:val="20"/>
          <w:szCs w:val="20"/>
        </w:rPr>
        <w:t>tego typu. Na ich utworzenie oraz dofinansowanie działalności już istniejących ośrodków wsparcia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„Senior+ przeznaczono ponad 5,8 mln złotych. Placówki oferowały ponad 3 600 miejsc. Oferta</w:t>
      </w:r>
      <w:r w:rsidR="00F978A5">
        <w:rPr>
          <w:rFonts w:ascii="Lato" w:hAnsi="Lato" w:cs="TimesNewRomanPSMT"/>
          <w:color w:val="000000"/>
          <w:sz w:val="20"/>
          <w:szCs w:val="20"/>
        </w:rPr>
        <w:t xml:space="preserve"> </w:t>
      </w:r>
      <w:r w:rsidRPr="003D7879">
        <w:rPr>
          <w:rFonts w:ascii="Lato" w:hAnsi="Lato" w:cs="TimesNewRomanPSMT"/>
          <w:color w:val="000000"/>
          <w:sz w:val="20"/>
          <w:szCs w:val="20"/>
        </w:rPr>
        <w:t>działań dla seniorów była bardzo różnorodna, m.in. organizowano pikniki i festyny, warsztaty</w:t>
      </w:r>
      <w:r w:rsidR="00F978A5">
        <w:rPr>
          <w:rFonts w:ascii="Lato" w:hAnsi="Lato" w:cs="TimesNewRomanPSMT"/>
          <w:color w:val="000000"/>
          <w:sz w:val="20"/>
          <w:szCs w:val="20"/>
        </w:rPr>
        <w:t xml:space="preserve"> </w:t>
      </w:r>
      <w:r w:rsidRPr="003D7879">
        <w:rPr>
          <w:rFonts w:ascii="Lato" w:hAnsi="Lato" w:cs="TimesNewRomanPSMT"/>
          <w:color w:val="000000"/>
          <w:sz w:val="20"/>
          <w:szCs w:val="20"/>
        </w:rPr>
        <w:t>(rękodzielnicze, aktorskie, malarskie, literackie, fotograficzne, komputerowe), wyjazdy, wyjścia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do kina i teatru, wykłady edukacyjne, szkolenia on-line i wiele innych. W październiku 2022 r.</w:t>
      </w:r>
    </w:p>
    <w:p w14:paraId="340CB6F3"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770BE601" w14:textId="0DE4DBB2"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Wydział Polityki Społecznej Mazowieckiego Urzędu Wojewódzkiego w Warszawie w ramach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Programu Wieloletniego „Senior+” na lata 2021-2025 zorganizował naradę adresowaną</w:t>
      </w:r>
      <w:r w:rsidR="00F978A5">
        <w:rPr>
          <w:rFonts w:ascii="Lato" w:hAnsi="Lato" w:cs="TimesNewRomanPSMT"/>
          <w:color w:val="000000"/>
          <w:sz w:val="20"/>
          <w:szCs w:val="20"/>
        </w:rPr>
        <w:t xml:space="preserve"> </w:t>
      </w:r>
      <w:r w:rsidRPr="003D7879">
        <w:rPr>
          <w:rFonts w:ascii="Lato" w:hAnsi="Lato" w:cs="TimesNewRomanPSMT"/>
          <w:color w:val="000000"/>
          <w:sz w:val="20"/>
          <w:szCs w:val="20"/>
        </w:rPr>
        <w:t>do kierownictwa funkcjonujących placówek „Senior+”. Spotkanie miało na celu analizę</w:t>
      </w:r>
      <w:r w:rsidR="00F978A5">
        <w:rPr>
          <w:rFonts w:ascii="Lato" w:hAnsi="Lato" w:cs="TimesNewRomanPSMT"/>
          <w:color w:val="000000"/>
          <w:sz w:val="20"/>
          <w:szCs w:val="20"/>
        </w:rPr>
        <w:t xml:space="preserve"> </w:t>
      </w:r>
      <w:r w:rsidRPr="003D7879">
        <w:rPr>
          <w:rFonts w:ascii="Lato" w:hAnsi="Lato" w:cs="TimesNewRomanPSMT"/>
          <w:color w:val="000000"/>
          <w:sz w:val="20"/>
          <w:szCs w:val="20"/>
        </w:rPr>
        <w:t>dotychczasowych efektów funkcjonowania Programu Wieloletniego „Senior+” na lata 2021-2025</w:t>
      </w:r>
      <w:r w:rsidR="00F978A5">
        <w:rPr>
          <w:rFonts w:ascii="Lato" w:hAnsi="Lato" w:cs="TimesNewRomanPSMT"/>
          <w:color w:val="000000"/>
          <w:sz w:val="20"/>
          <w:szCs w:val="20"/>
        </w:rPr>
        <w:t xml:space="preserve"> </w:t>
      </w:r>
      <w:r w:rsidRPr="003D7879">
        <w:rPr>
          <w:rFonts w:ascii="Lato" w:hAnsi="Lato" w:cs="TimesNewRomanPSMT"/>
          <w:color w:val="000000"/>
          <w:sz w:val="20"/>
          <w:szCs w:val="20"/>
        </w:rPr>
        <w:t>oraz wskazanie szczególnie ważnych aspektów związanych z jego realizacją. W trakcie narady</w:t>
      </w:r>
      <w:r w:rsidR="00F978A5">
        <w:rPr>
          <w:rFonts w:ascii="Lato" w:hAnsi="Lato" w:cs="TimesNewRomanPSMT"/>
          <w:color w:val="000000"/>
          <w:sz w:val="20"/>
          <w:szCs w:val="20"/>
        </w:rPr>
        <w:t xml:space="preserve"> </w:t>
      </w:r>
      <w:r w:rsidRPr="003D7879">
        <w:rPr>
          <w:rFonts w:ascii="Lato" w:hAnsi="Lato" w:cs="TimesNewRomanPSMT"/>
          <w:color w:val="000000"/>
          <w:sz w:val="20"/>
          <w:szCs w:val="20"/>
        </w:rPr>
        <w:t>zostały przeprowadzone także warsztaty z kombinezonem geriatrycznym, aby pokazać, z jak</w:t>
      </w:r>
      <w:r w:rsidR="00F978A5">
        <w:rPr>
          <w:rFonts w:ascii="Lato" w:hAnsi="Lato" w:cs="TimesNewRomanPSMT"/>
          <w:color w:val="000000"/>
          <w:sz w:val="20"/>
          <w:szCs w:val="20"/>
        </w:rPr>
        <w:t xml:space="preserve"> </w:t>
      </w:r>
      <w:r w:rsidRPr="003D7879">
        <w:rPr>
          <w:rFonts w:ascii="Lato" w:hAnsi="Lato" w:cs="TimesNewRomanPSMT"/>
          <w:color w:val="000000"/>
          <w:sz w:val="20"/>
          <w:szCs w:val="20"/>
        </w:rPr>
        <w:t>wieloma ograniczeniami i trudnościami muszą radzić sobie osoby starsze. Ponadto uczestnicy</w:t>
      </w:r>
      <w:r w:rsidR="00F978A5">
        <w:rPr>
          <w:rFonts w:ascii="Lato" w:hAnsi="Lato" w:cs="TimesNewRomanPSMT"/>
          <w:color w:val="000000"/>
          <w:sz w:val="20"/>
          <w:szCs w:val="20"/>
        </w:rPr>
        <w:t xml:space="preserve"> </w:t>
      </w:r>
      <w:r w:rsidRPr="003D7879">
        <w:rPr>
          <w:rFonts w:ascii="Lato" w:hAnsi="Lato" w:cs="TimesNewRomanPSMT"/>
          <w:color w:val="000000"/>
          <w:sz w:val="20"/>
          <w:szCs w:val="20"/>
        </w:rPr>
        <w:t>spotkania mieli okazję do wymiany doświadczeń, wątpliwości oraz planów na przyszłość w związku</w:t>
      </w:r>
      <w:r w:rsidR="00F978A5">
        <w:rPr>
          <w:rFonts w:ascii="Lato" w:hAnsi="Lato" w:cs="TimesNewRomanPSMT"/>
          <w:color w:val="000000"/>
          <w:sz w:val="20"/>
          <w:szCs w:val="20"/>
        </w:rPr>
        <w:t xml:space="preserve"> </w:t>
      </w:r>
      <w:r w:rsidRPr="003D7879">
        <w:rPr>
          <w:rFonts w:ascii="Lato" w:hAnsi="Lato" w:cs="TimesNewRomanPSMT"/>
          <w:color w:val="000000"/>
          <w:sz w:val="20"/>
          <w:szCs w:val="20"/>
        </w:rPr>
        <w:t>z programem.</w:t>
      </w:r>
    </w:p>
    <w:p w14:paraId="13191419"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4A8AD8DB" w14:textId="085F7EEE" w:rsid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 xml:space="preserve">Kolejnym programem skierowanym do seniorów był </w:t>
      </w:r>
      <w:r w:rsidRPr="003D7879">
        <w:rPr>
          <w:rFonts w:ascii="Lato" w:hAnsi="Lato" w:cs="TimesNewRomanPS-BoldMT"/>
          <w:b/>
          <w:bCs/>
          <w:color w:val="000000"/>
          <w:sz w:val="20"/>
          <w:szCs w:val="20"/>
        </w:rPr>
        <w:t xml:space="preserve">program „Opieka 75+”. </w:t>
      </w:r>
      <w:r w:rsidRPr="003D7879">
        <w:rPr>
          <w:rFonts w:ascii="Lato" w:hAnsi="Lato" w:cs="TimesNewRomanPSMT"/>
          <w:color w:val="000000"/>
          <w:sz w:val="20"/>
          <w:szCs w:val="20"/>
        </w:rPr>
        <w:t>Stanowił</w:t>
      </w:r>
      <w:r w:rsidR="00F978A5">
        <w:rPr>
          <w:rFonts w:ascii="Lato" w:hAnsi="Lato" w:cs="TimesNewRomanPSMT"/>
          <w:color w:val="000000"/>
          <w:sz w:val="20"/>
          <w:szCs w:val="20"/>
        </w:rPr>
        <w:t xml:space="preserve"> </w:t>
      </w:r>
      <w:r w:rsidRPr="003D7879">
        <w:rPr>
          <w:rFonts w:ascii="Lato" w:hAnsi="Lato" w:cs="TimesNewRomanPSMT"/>
          <w:color w:val="000000"/>
          <w:sz w:val="20"/>
          <w:szCs w:val="20"/>
        </w:rPr>
        <w:t>on znaczące wsparcie finansowe dla gmin województwa mazowieckiego w zakresie realizacji zadania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własnego o charakterze obowiązkowym, określonego w art. 17. ust. 1 pkt 11 ustawy o pomocy</w:t>
      </w:r>
      <w:r w:rsidR="00F978A5">
        <w:rPr>
          <w:rFonts w:ascii="Lato" w:hAnsi="Lato" w:cs="TimesNewRomanPSMT"/>
          <w:color w:val="000000"/>
          <w:sz w:val="20"/>
          <w:szCs w:val="20"/>
        </w:rPr>
        <w:t xml:space="preserve"> </w:t>
      </w:r>
      <w:r w:rsidRPr="003D7879">
        <w:rPr>
          <w:rFonts w:ascii="Lato" w:hAnsi="Lato" w:cs="TimesNewRomanPSMT"/>
          <w:color w:val="000000"/>
          <w:sz w:val="20"/>
          <w:szCs w:val="20"/>
        </w:rPr>
        <w:t>społecznej, tj. świadczenie usług opiekuńczych, w tym specjalistycznych usług w miejscu</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zamieszkania. Uzyskane wsparcie finansowe pozwoliło na zwiększenie dostępności usług</w:t>
      </w:r>
      <w:r w:rsidR="00F978A5">
        <w:rPr>
          <w:rFonts w:ascii="Lato" w:hAnsi="Lato" w:cs="TimesNewRomanPSMT"/>
          <w:color w:val="000000"/>
          <w:sz w:val="20"/>
          <w:szCs w:val="20"/>
        </w:rPr>
        <w:t xml:space="preserve"> </w:t>
      </w:r>
      <w:r w:rsidRPr="003D7879">
        <w:rPr>
          <w:rFonts w:ascii="Lato" w:hAnsi="Lato" w:cs="TimesNewRomanPSMT"/>
          <w:color w:val="000000"/>
          <w:sz w:val="20"/>
          <w:szCs w:val="20"/>
        </w:rPr>
        <w:t>opiekuńczych, w tym specjalistycznych usług opiekuńczych dla osób w wieku 75 lat i więcej, a tym</w:t>
      </w:r>
      <w:r w:rsidR="00F978A5">
        <w:rPr>
          <w:rFonts w:ascii="Lato" w:hAnsi="Lato" w:cs="TimesNewRomanPSMT"/>
          <w:color w:val="000000"/>
          <w:sz w:val="20"/>
          <w:szCs w:val="20"/>
        </w:rPr>
        <w:t xml:space="preserve"> </w:t>
      </w:r>
      <w:r w:rsidRPr="003D7879">
        <w:rPr>
          <w:rFonts w:ascii="Lato" w:hAnsi="Lato" w:cs="TimesNewRomanPSMT"/>
          <w:color w:val="000000"/>
          <w:sz w:val="20"/>
          <w:szCs w:val="20"/>
        </w:rPr>
        <w:t>samym zaspokojenie zwiększających się potrzeb sygnalizowanych przez seniorów. Dodatkowe</w:t>
      </w:r>
      <w:r w:rsidR="00F978A5">
        <w:rPr>
          <w:rFonts w:ascii="Lato" w:hAnsi="Lato" w:cs="TimesNewRomanPSMT"/>
          <w:color w:val="000000"/>
          <w:sz w:val="20"/>
          <w:szCs w:val="20"/>
        </w:rPr>
        <w:t xml:space="preserve"> </w:t>
      </w:r>
      <w:r w:rsidRPr="003D7879">
        <w:rPr>
          <w:rFonts w:ascii="Lato" w:hAnsi="Lato" w:cs="TimesNewRomanPSMT"/>
          <w:color w:val="000000"/>
          <w:sz w:val="20"/>
          <w:szCs w:val="20"/>
        </w:rPr>
        <w:t>środki umożliwiły gminom zatrudnienie nowych osób w celu świadczenia pomocy osobom, które ze</w:t>
      </w:r>
      <w:r w:rsidR="00F978A5">
        <w:rPr>
          <w:rFonts w:ascii="Lato" w:hAnsi="Lato" w:cs="TimesNewRomanPSMT"/>
          <w:color w:val="000000"/>
          <w:sz w:val="20"/>
          <w:szCs w:val="20"/>
        </w:rPr>
        <w:t xml:space="preserve"> </w:t>
      </w:r>
      <w:r w:rsidRPr="003D7879">
        <w:rPr>
          <w:rFonts w:ascii="Lato" w:hAnsi="Lato" w:cs="TimesNewRomanPSMT"/>
          <w:color w:val="000000"/>
          <w:sz w:val="20"/>
          <w:szCs w:val="20"/>
        </w:rPr>
        <w:t>względu na wiek lub stan zdrowia wymagają wsparcia w codziennym funkcjonowaniu.</w:t>
      </w:r>
      <w:r w:rsidR="00F978A5">
        <w:rPr>
          <w:rFonts w:ascii="Lato" w:hAnsi="Lato" w:cs="TimesNewRomanPSMT"/>
          <w:color w:val="000000"/>
          <w:sz w:val="20"/>
          <w:szCs w:val="20"/>
        </w:rPr>
        <w:t xml:space="preserve"> </w:t>
      </w:r>
      <w:r w:rsidRPr="003D7879">
        <w:rPr>
          <w:rFonts w:ascii="Lato" w:hAnsi="Lato" w:cs="TimesNewRomanPSMT"/>
          <w:color w:val="000000"/>
          <w:sz w:val="20"/>
          <w:szCs w:val="20"/>
        </w:rPr>
        <w:t>Na realizację celów programu „Opieka 75+” wydatkowano w 2022 r. 3 518 081,99 zł (z tego: 3</w:t>
      </w:r>
      <w:r w:rsidR="00F978A5">
        <w:rPr>
          <w:rFonts w:ascii="Lato" w:hAnsi="Lato" w:cs="TimesNewRomanPSMT"/>
          <w:color w:val="000000"/>
          <w:sz w:val="20"/>
          <w:szCs w:val="20"/>
        </w:rPr>
        <w:t> </w:t>
      </w:r>
      <w:r w:rsidRPr="003D7879">
        <w:rPr>
          <w:rFonts w:ascii="Lato" w:hAnsi="Lato" w:cs="TimesNewRomanPSMT"/>
          <w:color w:val="000000"/>
          <w:sz w:val="20"/>
          <w:szCs w:val="20"/>
        </w:rPr>
        <w:t>490</w:t>
      </w:r>
      <w:r w:rsidR="00F978A5">
        <w:rPr>
          <w:rFonts w:ascii="Lato" w:hAnsi="Lato" w:cs="TimesNewRomanPSMT"/>
          <w:color w:val="000000"/>
          <w:sz w:val="20"/>
          <w:szCs w:val="20"/>
        </w:rPr>
        <w:t xml:space="preserve"> </w:t>
      </w:r>
      <w:r w:rsidRPr="003D7879">
        <w:rPr>
          <w:rFonts w:ascii="Lato" w:hAnsi="Lato" w:cs="TimesNewRomanPSMT"/>
          <w:color w:val="000000"/>
          <w:sz w:val="20"/>
          <w:szCs w:val="20"/>
        </w:rPr>
        <w:t>346,99 zł na świadczenie usług opiekuńczych, a 27 735 zł na świadczenie specjalistycznych usług</w:t>
      </w:r>
      <w:r w:rsidR="00F978A5">
        <w:rPr>
          <w:rFonts w:ascii="Lato" w:hAnsi="Lato" w:cs="TimesNewRomanPSMT"/>
          <w:color w:val="000000"/>
          <w:sz w:val="20"/>
          <w:szCs w:val="20"/>
        </w:rPr>
        <w:t xml:space="preserve"> </w:t>
      </w:r>
      <w:r w:rsidRPr="003D7879">
        <w:rPr>
          <w:rFonts w:ascii="Lato" w:hAnsi="Lato" w:cs="TimesNewRomanPSMT"/>
          <w:color w:val="000000"/>
          <w:sz w:val="20"/>
          <w:szCs w:val="20"/>
        </w:rPr>
        <w:t>opiekuńczych). Zrealizowano 300 101,80 godzin usług opiekuńczych. Pomoc świadczona</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ramach programu przyczyniła się więc do poprawy jakości życia osób starszych, zwiększenia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ich codziennej aktywności, zaspokajania potrzeb życiowych oraz umożliwiła dalsze funkcjonowanie</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dotychczasowym środowisku. Pozwoliła także na ograniczenie konieczności stosowania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kosztownych dla gminy instytucjonalnych form opieki, m.in. poprzez umieszczanie osób w domach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pomocy społecznej.</w:t>
      </w:r>
    </w:p>
    <w:p w14:paraId="52953565" w14:textId="77777777" w:rsidR="00F978A5" w:rsidRPr="003D7879" w:rsidRDefault="00F978A5" w:rsidP="003D7879">
      <w:pPr>
        <w:autoSpaceDE w:val="0"/>
        <w:autoSpaceDN w:val="0"/>
        <w:adjustRightInd w:val="0"/>
        <w:spacing w:after="0" w:line="240" w:lineRule="auto"/>
        <w:jc w:val="both"/>
        <w:rPr>
          <w:rFonts w:ascii="Lato" w:hAnsi="Lato" w:cs="TimesNewRomanPSMT"/>
          <w:color w:val="000000"/>
          <w:sz w:val="20"/>
          <w:szCs w:val="20"/>
        </w:rPr>
      </w:pPr>
    </w:p>
    <w:p w14:paraId="15C2660C" w14:textId="77777777" w:rsidR="00F978A5"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 xml:space="preserve">Rok 2022 był pierwszym rokiem realizacji </w:t>
      </w:r>
      <w:r w:rsidRPr="003D7879">
        <w:rPr>
          <w:rFonts w:ascii="Lato" w:hAnsi="Lato" w:cs="TimesNewRomanPS-BoldMT"/>
          <w:b/>
          <w:bCs/>
          <w:color w:val="000000"/>
          <w:sz w:val="20"/>
          <w:szCs w:val="20"/>
        </w:rPr>
        <w:t>programu „Korpus Wsparcia Seniorów”</w:t>
      </w:r>
      <w:r w:rsidRPr="003D7879">
        <w:rPr>
          <w:rFonts w:ascii="Lato" w:hAnsi="Lato" w:cs="TimesNewRomanPSMT"/>
          <w:color w:val="000000"/>
          <w:sz w:val="20"/>
          <w:szCs w:val="20"/>
        </w:rPr>
        <w:t>, który</w:t>
      </w:r>
      <w:r w:rsidR="00F978A5">
        <w:rPr>
          <w:rFonts w:ascii="Lato" w:hAnsi="Lato" w:cs="TimesNewRomanPSMT"/>
          <w:color w:val="000000"/>
          <w:sz w:val="20"/>
          <w:szCs w:val="20"/>
        </w:rPr>
        <w:t xml:space="preserve"> </w:t>
      </w:r>
      <w:r w:rsidRPr="003D7879">
        <w:rPr>
          <w:rFonts w:ascii="Lato" w:hAnsi="Lato" w:cs="TimesNewRomanPSMT"/>
          <w:color w:val="000000"/>
          <w:sz w:val="20"/>
          <w:szCs w:val="20"/>
        </w:rPr>
        <w:t>został zaakceptowany przez Ministra Rodziny i Polityki Społecznej w związku z utrzymującym</w:t>
      </w:r>
      <w:r w:rsidR="00F978A5">
        <w:rPr>
          <w:rFonts w:ascii="Lato" w:hAnsi="Lato" w:cs="TimesNewRomanPSMT"/>
          <w:color w:val="000000"/>
          <w:sz w:val="20"/>
          <w:szCs w:val="20"/>
        </w:rPr>
        <w:t xml:space="preserve"> </w:t>
      </w:r>
      <w:r w:rsidRPr="003D7879">
        <w:rPr>
          <w:rFonts w:ascii="Lato" w:hAnsi="Lato" w:cs="TimesNewRomanPSMT"/>
          <w:color w:val="000000"/>
          <w:sz w:val="20"/>
          <w:szCs w:val="20"/>
        </w:rPr>
        <w:t>się na obszarze Rzeczypospolitej Polskiej stanem pandemii COVID-19. Celem programu było</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zapewnienie usługi wsparcia na rzecz seniorów w wieku 65 i więcej lat poprzez świadczenie usług</w:t>
      </w:r>
      <w:r w:rsidR="00F978A5">
        <w:rPr>
          <w:rFonts w:ascii="Lato" w:hAnsi="Lato" w:cs="TimesNewRomanPSMT"/>
          <w:color w:val="000000"/>
          <w:sz w:val="20"/>
          <w:szCs w:val="20"/>
        </w:rPr>
        <w:t xml:space="preserve"> </w:t>
      </w:r>
      <w:r w:rsidRPr="003D7879">
        <w:rPr>
          <w:rFonts w:ascii="Lato" w:hAnsi="Lato" w:cs="TimesNewRomanPSMT"/>
          <w:color w:val="000000"/>
          <w:sz w:val="20"/>
          <w:szCs w:val="20"/>
        </w:rPr>
        <w:t>wynikających z rozeznanych potrzeb na terenie danej gminy, wpisujących się we wskazane</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programie obszary, a także poprawa poczucia bezpieczeństwa oraz możliwości samodzielnego</w:t>
      </w:r>
      <w:r w:rsidR="00F978A5">
        <w:rPr>
          <w:rFonts w:ascii="Lato" w:hAnsi="Lato" w:cs="TimesNewRomanPSMT"/>
          <w:color w:val="000000"/>
          <w:sz w:val="20"/>
          <w:szCs w:val="20"/>
        </w:rPr>
        <w:t xml:space="preserve"> </w:t>
      </w:r>
      <w:r w:rsidRPr="003D7879">
        <w:rPr>
          <w:rFonts w:ascii="Lato" w:hAnsi="Lato" w:cs="TimesNewRomanPSMT"/>
          <w:color w:val="000000"/>
          <w:sz w:val="20"/>
          <w:szCs w:val="20"/>
        </w:rPr>
        <w:t>funkcjonowania w miejscu zamieszkania osób starszych poprzez dostęp do tzw. „opieki</w:t>
      </w:r>
      <w:r w:rsidR="00F978A5">
        <w:rPr>
          <w:rFonts w:ascii="Lato" w:hAnsi="Lato" w:cs="TimesNewRomanPSMT"/>
          <w:color w:val="000000"/>
          <w:sz w:val="20"/>
          <w:szCs w:val="20"/>
        </w:rPr>
        <w:t xml:space="preserve"> </w:t>
      </w:r>
      <w:r w:rsidRPr="003D7879">
        <w:rPr>
          <w:rFonts w:ascii="Lato" w:hAnsi="Lato" w:cs="TimesNewRomanPSMT"/>
          <w:color w:val="000000"/>
          <w:sz w:val="20"/>
          <w:szCs w:val="20"/>
        </w:rPr>
        <w:t>na odległość”. W wyniku rozeznania potrzeb występujących w danej gminie, pomocą w ramach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programu objęto ogółem 3 737 osób. Na jego realizację wykorzystano środki w łącznej wysokości</w:t>
      </w:r>
      <w:r w:rsidR="00F978A5">
        <w:rPr>
          <w:rFonts w:ascii="Lato" w:hAnsi="Lato" w:cs="TimesNewRomanPSMT"/>
          <w:color w:val="000000"/>
          <w:sz w:val="20"/>
          <w:szCs w:val="20"/>
        </w:rPr>
        <w:t xml:space="preserve"> </w:t>
      </w:r>
      <w:r w:rsidRPr="003D7879">
        <w:rPr>
          <w:rFonts w:ascii="Lato" w:hAnsi="Lato" w:cs="TimesNewRomanPSMT"/>
          <w:color w:val="000000"/>
          <w:sz w:val="20"/>
          <w:szCs w:val="20"/>
        </w:rPr>
        <w:t>2 472 891,17 zł. Program przyczynił się do poprawy bezpieczeństwa seniorów oraz umożliwił</w:t>
      </w:r>
      <w:r w:rsidR="00F978A5">
        <w:rPr>
          <w:rFonts w:ascii="Lato" w:hAnsi="Lato" w:cs="TimesNewRomanPSMT"/>
          <w:color w:val="000000"/>
          <w:sz w:val="20"/>
          <w:szCs w:val="20"/>
        </w:rPr>
        <w:t xml:space="preserve"> </w:t>
      </w:r>
      <w:r w:rsidRPr="003D7879">
        <w:rPr>
          <w:rFonts w:ascii="Lato" w:hAnsi="Lato" w:cs="TimesNewRomanPSMT"/>
          <w:color w:val="000000"/>
          <w:sz w:val="20"/>
          <w:szCs w:val="20"/>
        </w:rPr>
        <w:t>samodzielne funkcjonowanie osób starszych w miejscu zamieszkania.</w:t>
      </w:r>
      <w:r w:rsidR="00F978A5">
        <w:rPr>
          <w:rFonts w:ascii="Lato" w:hAnsi="Lato" w:cs="TimesNewRomanPSMT"/>
          <w:color w:val="000000"/>
          <w:sz w:val="20"/>
          <w:szCs w:val="20"/>
        </w:rPr>
        <w:t xml:space="preserve"> </w:t>
      </w:r>
    </w:p>
    <w:p w14:paraId="4B189DF7"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5F3DF068" w14:textId="2C5A2750"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Ważną formą wsparcia, świadczoną osobom wymagającym całodobowej opieki z powodu</w:t>
      </w:r>
      <w:r w:rsidR="00F978A5">
        <w:rPr>
          <w:rFonts w:ascii="Lato" w:hAnsi="Lato" w:cs="TimesNewRomanPSMT"/>
          <w:color w:val="000000"/>
          <w:sz w:val="20"/>
          <w:szCs w:val="20"/>
        </w:rPr>
        <w:t xml:space="preserve"> </w:t>
      </w:r>
      <w:r w:rsidRPr="003D7879">
        <w:rPr>
          <w:rFonts w:ascii="Lato" w:hAnsi="Lato" w:cs="TimesNewRomanPSMT"/>
          <w:color w:val="000000"/>
          <w:sz w:val="20"/>
          <w:szCs w:val="20"/>
        </w:rPr>
        <w:t>wieku, choroby lub niepełnosprawności, niemogącym samodzielnie funkcjonować w codziennym</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życiu, były </w:t>
      </w:r>
      <w:r w:rsidRPr="003D7879">
        <w:rPr>
          <w:rFonts w:ascii="Lato" w:hAnsi="Lato" w:cs="TimesNewRomanPS-BoldMT"/>
          <w:b/>
          <w:bCs/>
          <w:color w:val="000000"/>
          <w:sz w:val="20"/>
          <w:szCs w:val="20"/>
        </w:rPr>
        <w:t>domy pomocy społecznej</w:t>
      </w:r>
      <w:r w:rsidRPr="003D7879">
        <w:rPr>
          <w:rFonts w:ascii="Lato" w:hAnsi="Lato" w:cs="TimesNewRomanPSMT"/>
          <w:color w:val="000000"/>
          <w:sz w:val="20"/>
          <w:szCs w:val="20"/>
        </w:rPr>
        <w:t>. Na dzień 31 grudnia 2022 r. na terenie województwa</w:t>
      </w:r>
      <w:r w:rsidR="00F978A5">
        <w:rPr>
          <w:rFonts w:ascii="Lato" w:hAnsi="Lato" w:cs="TimesNewRomanPSMT"/>
          <w:color w:val="000000"/>
          <w:sz w:val="20"/>
          <w:szCs w:val="20"/>
        </w:rPr>
        <w:t xml:space="preserve"> </w:t>
      </w:r>
      <w:r w:rsidRPr="003D7879">
        <w:rPr>
          <w:rFonts w:ascii="Lato" w:hAnsi="Lato" w:cs="TimesNewRomanPSMT"/>
          <w:color w:val="000000"/>
          <w:sz w:val="20"/>
          <w:szCs w:val="20"/>
        </w:rPr>
        <w:t>funkcjonowało 106 domów pomocy społecznej z 9994 miejscami oraz 148 placówek zapewniających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całodobową opiekę osobom niepełnosprawnym, przewlekle chorym lub w podeszłym wieku</w:t>
      </w:r>
      <w:r w:rsidR="00F978A5">
        <w:rPr>
          <w:rFonts w:ascii="Lato" w:hAnsi="Lato" w:cs="TimesNewRomanPSMT"/>
          <w:color w:val="000000"/>
          <w:sz w:val="20"/>
          <w:szCs w:val="20"/>
        </w:rPr>
        <w:t xml:space="preserve"> </w:t>
      </w:r>
      <w:r w:rsidRPr="003D7879">
        <w:rPr>
          <w:rFonts w:ascii="Lato" w:hAnsi="Lato" w:cs="TimesNewRomanPSMT"/>
          <w:color w:val="000000"/>
          <w:sz w:val="20"/>
          <w:szCs w:val="20"/>
        </w:rPr>
        <w:t>(6482 – liczba miejsc; 5160 – liczba mieszkańców), działających na podstawie zezwolenia Wojewody</w:t>
      </w:r>
      <w:r w:rsidR="00F978A5">
        <w:rPr>
          <w:rFonts w:ascii="Lato" w:hAnsi="Lato" w:cs="TimesNewRomanPSMT"/>
          <w:color w:val="000000"/>
          <w:sz w:val="20"/>
          <w:szCs w:val="20"/>
        </w:rPr>
        <w:t xml:space="preserve"> </w:t>
      </w:r>
      <w:r w:rsidRPr="003D7879">
        <w:rPr>
          <w:rFonts w:ascii="Lato" w:hAnsi="Lato" w:cs="TimesNewRomanPSMT"/>
          <w:color w:val="000000"/>
          <w:sz w:val="20"/>
          <w:szCs w:val="20"/>
        </w:rPr>
        <w:t>Mazowieckiego. Uwzględniając domy pomocy społecznej według stanu na dzień 31 grudnia 2022 r,.</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województwie mazowieckim działało:</w:t>
      </w:r>
    </w:p>
    <w:p w14:paraId="42443051" w14:textId="77777777" w:rsidR="00F978A5" w:rsidRDefault="003D7879" w:rsidP="0059185B">
      <w:pPr>
        <w:pStyle w:val="Akapitzlist"/>
        <w:numPr>
          <w:ilvl w:val="0"/>
          <w:numId w:val="198"/>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dla osób w podeszłym wieku - 16 domów pomocy społecznej z 1019 miejscami;</w:t>
      </w:r>
    </w:p>
    <w:p w14:paraId="41650A2C" w14:textId="08806F8D" w:rsidR="003D7879" w:rsidRPr="00F978A5" w:rsidRDefault="003D7879" w:rsidP="0059185B">
      <w:pPr>
        <w:pStyle w:val="Akapitzlist"/>
        <w:numPr>
          <w:ilvl w:val="0"/>
          <w:numId w:val="198"/>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dla osób w podeszłym wieku oraz osób przewlekle somatycznie chorych - 18 domów pomocy</w:t>
      </w:r>
    </w:p>
    <w:p w14:paraId="6ADF2E06" w14:textId="77777777" w:rsidR="00F978A5"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społecznej z 1338 miejscami;</w:t>
      </w:r>
    </w:p>
    <w:p w14:paraId="133FA750" w14:textId="7FE7887C"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dla osób w podeszłym wieku oraz osób niepełnosprawnych fizycznie - dom pomocy społecznej</w:t>
      </w:r>
      <w:r w:rsidR="00F978A5">
        <w:rPr>
          <w:rFonts w:ascii="Lato" w:hAnsi="Lato" w:cs="TimesNewRomanPSMT"/>
          <w:color w:val="000000"/>
          <w:sz w:val="20"/>
          <w:szCs w:val="20"/>
        </w:rPr>
        <w:t xml:space="preserve"> </w:t>
      </w:r>
      <w:r w:rsidRPr="003D7879">
        <w:rPr>
          <w:rFonts w:ascii="Lato" w:hAnsi="Lato" w:cs="TimesNewRomanPSMT"/>
          <w:color w:val="000000"/>
          <w:sz w:val="20"/>
          <w:szCs w:val="20"/>
        </w:rPr>
        <w:t>z 54 miejscami.</w:t>
      </w:r>
    </w:p>
    <w:p w14:paraId="79F3712A"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650A5C1C" w14:textId="1A70A66F"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okresie od 1 stycznia 2021 r. do 31 grudnia 2022 r. Mazowieckie Centrum Polityki</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Społecznej przekazało 52 </w:t>
      </w:r>
      <w:r w:rsidRPr="003D7879">
        <w:rPr>
          <w:rFonts w:ascii="Lato" w:hAnsi="Lato" w:cs="TimesNewRomanPS-BoldMT"/>
          <w:b/>
          <w:bCs/>
          <w:color w:val="000000"/>
          <w:sz w:val="20"/>
          <w:szCs w:val="20"/>
        </w:rPr>
        <w:t xml:space="preserve">dotacje dla organizacji pozarządowych </w:t>
      </w:r>
      <w:r w:rsidRPr="003D7879">
        <w:rPr>
          <w:rFonts w:ascii="Lato" w:hAnsi="Lato" w:cs="TimesNewRomanPSMT"/>
          <w:color w:val="000000"/>
          <w:sz w:val="20"/>
          <w:szCs w:val="20"/>
        </w:rPr>
        <w:t>na łączną kwotę 2 700 000 zł</w:t>
      </w:r>
      <w:r w:rsidR="00F978A5">
        <w:rPr>
          <w:rFonts w:ascii="Lato" w:hAnsi="Lato" w:cs="TimesNewRomanPSMT"/>
          <w:color w:val="000000"/>
          <w:sz w:val="20"/>
          <w:szCs w:val="20"/>
        </w:rPr>
        <w:t xml:space="preserve"> </w:t>
      </w:r>
      <w:r w:rsidRPr="003D7879">
        <w:rPr>
          <w:rFonts w:ascii="Lato" w:hAnsi="Lato" w:cs="TimesNewRomanPSMT"/>
          <w:color w:val="000000"/>
          <w:sz w:val="20"/>
          <w:szCs w:val="20"/>
        </w:rPr>
        <w:t>na realizację zadań publicznych, w tym na zadania:</w:t>
      </w:r>
    </w:p>
    <w:p w14:paraId="0ACC6147" w14:textId="77777777" w:rsid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„Działania na rzecz seniorów w zakresie zwiększania samodzielności i przeciwdziałania zagrożeniu</w:t>
      </w:r>
      <w:r w:rsidR="00F978A5">
        <w:rPr>
          <w:rFonts w:ascii="Lato" w:hAnsi="Lato" w:cs="TimesNewRomanPSMT"/>
          <w:color w:val="000000"/>
          <w:sz w:val="20"/>
          <w:szCs w:val="20"/>
        </w:rPr>
        <w:t xml:space="preserve"> </w:t>
      </w:r>
      <w:r w:rsidRPr="00F978A5">
        <w:rPr>
          <w:rFonts w:ascii="Lato" w:hAnsi="Lato" w:cs="TimesNewRomanPSMT"/>
          <w:color w:val="000000"/>
          <w:sz w:val="20"/>
          <w:szCs w:val="20"/>
        </w:rPr>
        <w:t>marginalizacją społeczną” – 39 dotacji (w tym 4 małe dotacje udzielone w trybie art. 19a ustawy</w:t>
      </w:r>
      <w:r w:rsidR="00F978A5">
        <w:rPr>
          <w:rFonts w:ascii="Lato" w:hAnsi="Lato" w:cs="TimesNewRomanPSMT"/>
          <w:color w:val="000000"/>
          <w:sz w:val="20"/>
          <w:szCs w:val="20"/>
        </w:rPr>
        <w:t xml:space="preserve"> </w:t>
      </w:r>
      <w:r w:rsidRPr="00F978A5">
        <w:rPr>
          <w:rFonts w:ascii="Lato" w:hAnsi="Lato" w:cs="TimesNewRomanPSMT"/>
          <w:color w:val="000000"/>
          <w:sz w:val="20"/>
          <w:szCs w:val="20"/>
        </w:rPr>
        <w:t>o działalności pożytku publicznego i o wolontariacie) na łączną kwotę 1 635 270 zł;</w:t>
      </w:r>
    </w:p>
    <w:p w14:paraId="35D13C4D" w14:textId="77777777" w:rsid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„Partycypacja seniorów w życiu społecznym” – dotacja na kwotę 97 200 zł;</w:t>
      </w:r>
    </w:p>
    <w:p w14:paraId="29B8115D" w14:textId="77777777" w:rsid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lastRenderedPageBreak/>
        <w:t>„Ścieżką edukacyjną w trzeci wiek” – dotacja na kwotę 300 000 zł;</w:t>
      </w:r>
    </w:p>
    <w:p w14:paraId="0A164B4F" w14:textId="77777777" w:rsid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„Bony społeczne dla seniorów” – dotacja na kwotę 300 000 zł;</w:t>
      </w:r>
    </w:p>
    <w:p w14:paraId="06F45495" w14:textId="77777777" w:rsid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„Internetowa platforma informacyjno-poradnikowa dla seniorów” – dotacja na kwotę 99 950 zł;</w:t>
      </w:r>
    </w:p>
    <w:p w14:paraId="4D034E5B" w14:textId="21C7BEED" w:rsidR="003D7879" w:rsidRPr="00F978A5" w:rsidRDefault="003D7879" w:rsidP="0059185B">
      <w:pPr>
        <w:pStyle w:val="Akapitzlist"/>
        <w:numPr>
          <w:ilvl w:val="0"/>
          <w:numId w:val="199"/>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„Pomoc niemedyczna w zakresie ochrony zdrowia psychicznego seniorów” – 9 dotacji na łączną</w:t>
      </w:r>
    </w:p>
    <w:p w14:paraId="12E1C75D" w14:textId="665D7A5E" w:rsid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kwotę 267 580 zł</w:t>
      </w:r>
    </w:p>
    <w:p w14:paraId="2B2C68BA" w14:textId="77777777" w:rsidR="00F978A5" w:rsidRPr="003D7879" w:rsidRDefault="00F978A5" w:rsidP="003D7879">
      <w:pPr>
        <w:autoSpaceDE w:val="0"/>
        <w:autoSpaceDN w:val="0"/>
        <w:adjustRightInd w:val="0"/>
        <w:spacing w:after="0" w:line="240" w:lineRule="auto"/>
        <w:jc w:val="both"/>
        <w:rPr>
          <w:rFonts w:ascii="Lato" w:hAnsi="Lato" w:cs="TimesNewRomanPSMT"/>
          <w:color w:val="000000"/>
          <w:sz w:val="20"/>
          <w:szCs w:val="20"/>
        </w:rPr>
      </w:pPr>
    </w:p>
    <w:p w14:paraId="7D06CCF1" w14:textId="77777777" w:rsidR="00F978A5" w:rsidRPr="00F67604" w:rsidRDefault="00F978A5" w:rsidP="00F978A5">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3C1BB193" w14:textId="77777777" w:rsidR="00F978A5" w:rsidRDefault="003D7879" w:rsidP="003D7879">
      <w:pPr>
        <w:autoSpaceDE w:val="0"/>
        <w:autoSpaceDN w:val="0"/>
        <w:adjustRightInd w:val="0"/>
        <w:spacing w:after="0" w:line="240" w:lineRule="auto"/>
        <w:jc w:val="both"/>
        <w:rPr>
          <w:rFonts w:ascii="Lato" w:hAnsi="Lato" w:cs="TimesNewRomanPS-BoldMT"/>
          <w:b/>
          <w:bCs/>
          <w:color w:val="000000"/>
          <w:sz w:val="20"/>
          <w:szCs w:val="20"/>
        </w:rPr>
      </w:pPr>
      <w:r w:rsidRPr="003D7879">
        <w:rPr>
          <w:rFonts w:ascii="Lato" w:hAnsi="Lato" w:cs="TimesNewRomanPS-BoldMT"/>
          <w:b/>
          <w:bCs/>
          <w:color w:val="000000"/>
          <w:sz w:val="20"/>
          <w:szCs w:val="20"/>
        </w:rPr>
        <w:t xml:space="preserve">Powiat grójecki </w:t>
      </w:r>
    </w:p>
    <w:p w14:paraId="420DEB5F" w14:textId="18EF2B53" w:rsid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Stowarzyszenie W.A.R.K.A. zorganizowało w sierpniu 2022 roku dla seniorów</w:t>
      </w:r>
      <w:r w:rsidR="00F978A5">
        <w:rPr>
          <w:rFonts w:ascii="Lato" w:hAnsi="Lato" w:cs="TimesNewRomanPSMT"/>
          <w:color w:val="000000"/>
          <w:sz w:val="20"/>
          <w:szCs w:val="20"/>
        </w:rPr>
        <w:t xml:space="preserve"> </w:t>
      </w:r>
      <w:r w:rsidRPr="003D7879">
        <w:rPr>
          <w:rFonts w:ascii="Lato" w:hAnsi="Lato" w:cs="TimesNewRomanPSMT"/>
          <w:color w:val="000000"/>
          <w:sz w:val="20"/>
          <w:szCs w:val="20"/>
        </w:rPr>
        <w:t>powiatu grójeckiego spotkanie pn. Giełda Aktywności Grup Senioralnych (ponad 40 uczestników,</w:t>
      </w:r>
      <w:r w:rsidR="00F978A5">
        <w:rPr>
          <w:rFonts w:ascii="Lato" w:hAnsi="Lato" w:cs="TimesNewRomanPSMT"/>
          <w:color w:val="000000"/>
          <w:sz w:val="20"/>
          <w:szCs w:val="20"/>
        </w:rPr>
        <w:t xml:space="preserve"> </w:t>
      </w:r>
      <w:r w:rsidRPr="003D7879">
        <w:rPr>
          <w:rFonts w:ascii="Lato" w:hAnsi="Lato" w:cs="TimesNewRomanPSMT"/>
          <w:color w:val="000000"/>
          <w:sz w:val="20"/>
          <w:szCs w:val="20"/>
        </w:rPr>
        <w:t>22 grupy). Dzięki możliwości spotkania i rozmowy udało się zawiązać ciekawe partnerstwa, które</w:t>
      </w:r>
      <w:r w:rsidR="00F978A5">
        <w:rPr>
          <w:rFonts w:ascii="Lato" w:hAnsi="Lato" w:cs="TimesNewRomanPSMT"/>
          <w:color w:val="000000"/>
          <w:sz w:val="20"/>
          <w:szCs w:val="20"/>
        </w:rPr>
        <w:t xml:space="preserve"> </w:t>
      </w:r>
      <w:r w:rsidRPr="003D7879">
        <w:rPr>
          <w:rFonts w:ascii="Lato" w:hAnsi="Lato" w:cs="TimesNewRomanPSMT"/>
          <w:color w:val="000000"/>
          <w:sz w:val="20"/>
          <w:szCs w:val="20"/>
        </w:rPr>
        <w:t>wspólnie złożyły swoje mini-projekty. Realizowano także 5 Inicjatyw Partnerskich, kolejną edycję</w:t>
      </w:r>
      <w:r w:rsidR="00F978A5">
        <w:rPr>
          <w:rFonts w:ascii="Lato" w:hAnsi="Lato" w:cs="TimesNewRomanPSMT"/>
          <w:color w:val="000000"/>
          <w:sz w:val="20"/>
          <w:szCs w:val="20"/>
        </w:rPr>
        <w:t xml:space="preserve"> </w:t>
      </w:r>
      <w:proofErr w:type="spellStart"/>
      <w:r w:rsidRPr="003D7879">
        <w:rPr>
          <w:rFonts w:ascii="Lato" w:hAnsi="Lato" w:cs="TimesNewRomanPSMT"/>
          <w:color w:val="000000"/>
          <w:sz w:val="20"/>
          <w:szCs w:val="20"/>
        </w:rPr>
        <w:t>Senioriady</w:t>
      </w:r>
      <w:proofErr w:type="spellEnd"/>
      <w:r w:rsidRPr="003D7879">
        <w:rPr>
          <w:rFonts w:ascii="Lato" w:hAnsi="Lato" w:cs="TimesNewRomanPSMT"/>
          <w:color w:val="000000"/>
          <w:sz w:val="20"/>
          <w:szCs w:val="20"/>
        </w:rPr>
        <w:t>, Święto Aktywnych Seniorów Powiatu Grójeckiego (zgromadziło ponad 400 osób</w:t>
      </w:r>
      <w:r w:rsidR="00F978A5">
        <w:rPr>
          <w:rFonts w:ascii="Lato" w:hAnsi="Lato" w:cs="TimesNewRomanPSMT"/>
          <w:color w:val="000000"/>
          <w:sz w:val="20"/>
          <w:szCs w:val="20"/>
        </w:rPr>
        <w:t xml:space="preserve"> </w:t>
      </w:r>
      <w:r w:rsidRPr="003D7879">
        <w:rPr>
          <w:rFonts w:ascii="Lato" w:hAnsi="Lato" w:cs="TimesNewRomanPSMT"/>
          <w:color w:val="000000"/>
          <w:sz w:val="20"/>
          <w:szCs w:val="20"/>
        </w:rPr>
        <w:t>z 20 grup senioralnych), Piknik Rodzinny bez używek - bez względu na wiek (udział ok. 170 osób),</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badania profilaktyczne, kurs pierwszej pomocy, spotkanie z dietetykiem, Biegiem po zdrowie </w:t>
      </w:r>
      <w:r w:rsidR="00F978A5">
        <w:rPr>
          <w:rFonts w:ascii="Lato" w:hAnsi="Lato" w:cs="TimesNewRomanPSMT"/>
          <w:color w:val="000000"/>
          <w:sz w:val="20"/>
          <w:szCs w:val="20"/>
        </w:rPr>
        <w:t>–</w:t>
      </w:r>
      <w:r w:rsidRPr="003D7879">
        <w:rPr>
          <w:rFonts w:ascii="Lato" w:hAnsi="Lato" w:cs="TimesNewRomanPSMT"/>
          <w:color w:val="000000"/>
          <w:sz w:val="20"/>
          <w:szCs w:val="20"/>
        </w:rPr>
        <w:t xml:space="preserve"> bez</w:t>
      </w:r>
      <w:r w:rsidR="00F978A5">
        <w:rPr>
          <w:rFonts w:ascii="Lato" w:hAnsi="Lato" w:cs="TimesNewRomanPSMT"/>
          <w:color w:val="000000"/>
          <w:sz w:val="20"/>
          <w:szCs w:val="20"/>
        </w:rPr>
        <w:t xml:space="preserve"> </w:t>
      </w:r>
      <w:r w:rsidRPr="003D7879">
        <w:rPr>
          <w:rFonts w:ascii="Lato" w:hAnsi="Lato" w:cs="TimesNewRomanPSMT"/>
          <w:color w:val="000000"/>
          <w:sz w:val="20"/>
          <w:szCs w:val="20"/>
        </w:rPr>
        <w:t>względu na wiek (udział ok. 150 osób), zajęcia Gimnastyka przy muzyce - tylko dla kobiet w wieku</w:t>
      </w:r>
      <w:r w:rsidR="00F978A5">
        <w:rPr>
          <w:rFonts w:ascii="Lato" w:hAnsi="Lato" w:cs="TimesNewRomanPSMT"/>
          <w:color w:val="000000"/>
          <w:sz w:val="20"/>
          <w:szCs w:val="20"/>
        </w:rPr>
        <w:t xml:space="preserve"> </w:t>
      </w:r>
      <w:r w:rsidRPr="003D7879">
        <w:rPr>
          <w:rFonts w:ascii="Lato" w:hAnsi="Lato" w:cs="TimesNewRomanPSMT"/>
          <w:color w:val="000000"/>
          <w:sz w:val="20"/>
          <w:szCs w:val="20"/>
        </w:rPr>
        <w:t>20-70 (dla 15 osób z terenu powiatu grójeckiego).</w:t>
      </w:r>
    </w:p>
    <w:p w14:paraId="288C5AEF" w14:textId="77777777" w:rsidR="00F978A5" w:rsidRPr="003D7879" w:rsidRDefault="00F978A5" w:rsidP="003D7879">
      <w:pPr>
        <w:autoSpaceDE w:val="0"/>
        <w:autoSpaceDN w:val="0"/>
        <w:adjustRightInd w:val="0"/>
        <w:spacing w:after="0" w:line="240" w:lineRule="auto"/>
        <w:jc w:val="both"/>
        <w:rPr>
          <w:rFonts w:ascii="Lato" w:hAnsi="Lato" w:cs="TimesNewRomanPSMT"/>
          <w:color w:val="000000"/>
          <w:sz w:val="20"/>
          <w:szCs w:val="20"/>
        </w:rPr>
      </w:pPr>
    </w:p>
    <w:p w14:paraId="54068F54" w14:textId="77777777" w:rsidR="00F978A5" w:rsidRDefault="003D7879" w:rsidP="003D7879">
      <w:pPr>
        <w:autoSpaceDE w:val="0"/>
        <w:autoSpaceDN w:val="0"/>
        <w:adjustRightInd w:val="0"/>
        <w:spacing w:after="0" w:line="240" w:lineRule="auto"/>
        <w:jc w:val="both"/>
        <w:rPr>
          <w:rFonts w:ascii="Lato" w:hAnsi="Lato" w:cs="TimesNewRomanPS-BoldMT"/>
          <w:b/>
          <w:bCs/>
          <w:color w:val="000000"/>
          <w:sz w:val="20"/>
          <w:szCs w:val="20"/>
        </w:rPr>
      </w:pPr>
      <w:r w:rsidRPr="003D7879">
        <w:rPr>
          <w:rFonts w:ascii="Lato" w:hAnsi="Lato" w:cs="TimesNewRomanPS-BoldMT"/>
          <w:b/>
          <w:bCs/>
          <w:color w:val="000000"/>
          <w:sz w:val="20"/>
          <w:szCs w:val="20"/>
        </w:rPr>
        <w:t xml:space="preserve">Gmina Mława </w:t>
      </w:r>
    </w:p>
    <w:p w14:paraId="78BAC49A" w14:textId="25AD7E15"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Na terenie gminy funkcjonuje Dzienny Dom Senior + (dla 40 osób), który świadczy</w:t>
      </w:r>
      <w:r w:rsidR="00F978A5">
        <w:rPr>
          <w:rFonts w:ascii="Lato" w:hAnsi="Lato" w:cs="TimesNewRomanPSMT"/>
          <w:color w:val="000000"/>
          <w:sz w:val="20"/>
          <w:szCs w:val="20"/>
        </w:rPr>
        <w:t xml:space="preserve"> </w:t>
      </w:r>
      <w:r w:rsidRPr="003D7879">
        <w:rPr>
          <w:rFonts w:ascii="Lato" w:hAnsi="Lato" w:cs="TimesNewRomanPSMT"/>
          <w:color w:val="000000"/>
          <w:sz w:val="20"/>
          <w:szCs w:val="20"/>
        </w:rPr>
        <w:t>usługi: socjalne, edukacyjne, kulturalno-oświatowe, sportowo-rekreacyjne, aktywności ruchowej</w:t>
      </w:r>
      <w:r w:rsidR="00F978A5">
        <w:rPr>
          <w:rFonts w:ascii="Lato" w:hAnsi="Lato" w:cs="TimesNewRomanPSMT"/>
          <w:color w:val="000000"/>
          <w:sz w:val="20"/>
          <w:szCs w:val="20"/>
        </w:rPr>
        <w:t xml:space="preserve"> </w:t>
      </w:r>
      <w:r w:rsidRPr="003D7879">
        <w:rPr>
          <w:rFonts w:ascii="Lato" w:hAnsi="Lato" w:cs="TimesNewRomanPSMT"/>
          <w:color w:val="000000"/>
          <w:sz w:val="20"/>
          <w:szCs w:val="20"/>
        </w:rPr>
        <w:t>i kinezyterapii, aktywizujące społecznie (w tym wolontariat międzypokoleniowy), terapii zajęciowej</w:t>
      </w:r>
      <w:r w:rsidR="00F978A5">
        <w:rPr>
          <w:rFonts w:ascii="Lato" w:hAnsi="Lato" w:cs="TimesNewRomanPSMT"/>
          <w:color w:val="000000"/>
          <w:sz w:val="20"/>
          <w:szCs w:val="20"/>
        </w:rPr>
        <w:t xml:space="preserve"> </w:t>
      </w:r>
      <w:r w:rsidRPr="003D7879">
        <w:rPr>
          <w:rFonts w:ascii="Lato" w:hAnsi="Lato" w:cs="TimesNewRomanPSMT"/>
          <w:color w:val="000000"/>
          <w:sz w:val="20"/>
          <w:szCs w:val="20"/>
        </w:rPr>
        <w:t>i kurs języka angielskiego. Funkcjonuje też Mławska Rada Seniorów, która opiniuje m.in. Miejski</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Program Profilaktyki i Rozwiązywania Problemów Alkoholowych oraz Przeciwdziałania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Narkomanii.</w:t>
      </w:r>
    </w:p>
    <w:p w14:paraId="786EB328"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3B698C62" w14:textId="1864B404" w:rsidR="003D7879" w:rsidRPr="00F978A5"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2022 roku podejmowane były także następujące inicjatywy:</w:t>
      </w:r>
    </w:p>
    <w:p w14:paraId="3009CBCB" w14:textId="77777777" w:rsidR="00F978A5" w:rsidRDefault="003D7879" w:rsidP="0059185B">
      <w:pPr>
        <w:pStyle w:val="Akapitzlist"/>
        <w:numPr>
          <w:ilvl w:val="0"/>
          <w:numId w:val="200"/>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Karta Seniora: seniorzy posiadający ww. dokument mogą korzystać ze zniżek udzielanych</w:t>
      </w:r>
      <w:r w:rsidR="00F978A5">
        <w:rPr>
          <w:rFonts w:ascii="Lato" w:hAnsi="Lato" w:cs="TimesNewRomanPSMT"/>
          <w:color w:val="000000"/>
          <w:sz w:val="20"/>
          <w:szCs w:val="20"/>
        </w:rPr>
        <w:t xml:space="preserve"> </w:t>
      </w:r>
      <w:r w:rsidRPr="00F978A5">
        <w:rPr>
          <w:rFonts w:ascii="Lato" w:hAnsi="Lato" w:cs="TimesNewRomanPSMT"/>
          <w:color w:val="000000"/>
          <w:sz w:val="20"/>
          <w:szCs w:val="20"/>
        </w:rPr>
        <w:t>przez 12 firm na terenie Miasta Mława;</w:t>
      </w:r>
      <w:r w:rsidR="00F978A5" w:rsidRPr="00F978A5">
        <w:rPr>
          <w:rFonts w:ascii="Lato" w:hAnsi="Lato" w:cs="TimesNewRomanPSMT"/>
          <w:color w:val="000000"/>
          <w:sz w:val="20"/>
          <w:szCs w:val="20"/>
        </w:rPr>
        <w:t xml:space="preserve"> </w:t>
      </w:r>
      <w:r w:rsidRPr="00F978A5">
        <w:rPr>
          <w:rFonts w:ascii="Lato" w:hAnsi="Lato" w:cs="TimesNewRomanPSMT"/>
          <w:color w:val="000000"/>
          <w:sz w:val="20"/>
          <w:szCs w:val="20"/>
        </w:rPr>
        <w:t>Mławskie Stowarzyszenie "Amazonki" (skupia 16 osób): wyjazdy i spotkania integracyjne,</w:t>
      </w:r>
      <w:r w:rsidR="00F978A5">
        <w:rPr>
          <w:rFonts w:ascii="Lato" w:hAnsi="Lato" w:cs="TimesNewRomanPSMT"/>
          <w:color w:val="000000"/>
          <w:sz w:val="20"/>
          <w:szCs w:val="20"/>
        </w:rPr>
        <w:t xml:space="preserve"> </w:t>
      </w:r>
      <w:r w:rsidRPr="00F978A5">
        <w:rPr>
          <w:rFonts w:ascii="Lato" w:hAnsi="Lato" w:cs="TimesNewRomanPSMT"/>
          <w:color w:val="000000"/>
          <w:sz w:val="20"/>
          <w:szCs w:val="20"/>
        </w:rPr>
        <w:t>ćwiczenia w Body Club w Mławie,</w:t>
      </w:r>
    </w:p>
    <w:p w14:paraId="31E2AE01" w14:textId="77777777" w:rsidR="00F978A5" w:rsidRDefault="003D7879" w:rsidP="0059185B">
      <w:pPr>
        <w:pStyle w:val="Akapitzlist"/>
        <w:numPr>
          <w:ilvl w:val="0"/>
          <w:numId w:val="200"/>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Klub Emerytów i Rencistów: emeryci i renciści spotykali się w Sali Olimpijka przy MOSIR</w:t>
      </w:r>
      <w:r w:rsidR="00F978A5">
        <w:rPr>
          <w:rFonts w:ascii="Lato" w:hAnsi="Lato" w:cs="TimesNewRomanPSMT"/>
          <w:color w:val="000000"/>
          <w:sz w:val="20"/>
          <w:szCs w:val="20"/>
        </w:rPr>
        <w:t xml:space="preserve"> </w:t>
      </w:r>
      <w:r w:rsidRPr="00F978A5">
        <w:rPr>
          <w:rFonts w:ascii="Lato" w:hAnsi="Lato" w:cs="TimesNewRomanPSMT"/>
          <w:color w:val="000000"/>
          <w:sz w:val="20"/>
          <w:szCs w:val="20"/>
        </w:rPr>
        <w:t>w Mławie. Zorganizowano także wycieczki do Płocka, Zakopanego, Ustronia Morskiego oraz</w:t>
      </w:r>
      <w:r w:rsidR="00F978A5">
        <w:rPr>
          <w:rFonts w:ascii="Lato" w:hAnsi="Lato" w:cs="TimesNewRomanPSMT"/>
          <w:color w:val="000000"/>
          <w:sz w:val="20"/>
          <w:szCs w:val="20"/>
        </w:rPr>
        <w:t xml:space="preserve"> </w:t>
      </w:r>
      <w:r w:rsidRPr="00F978A5">
        <w:rPr>
          <w:rFonts w:ascii="Lato" w:hAnsi="Lato" w:cs="TimesNewRomanPSMT"/>
          <w:color w:val="000000"/>
          <w:sz w:val="20"/>
          <w:szCs w:val="20"/>
        </w:rPr>
        <w:t>Sanatorium w Inowrocławiu. Odbyło się również spotkanie wigilijne;</w:t>
      </w:r>
    </w:p>
    <w:p w14:paraId="1F798A34" w14:textId="77777777" w:rsidR="00F978A5" w:rsidRDefault="003D7879" w:rsidP="0059185B">
      <w:pPr>
        <w:pStyle w:val="Akapitzlist"/>
        <w:numPr>
          <w:ilvl w:val="0"/>
          <w:numId w:val="200"/>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Grupa Wsparcia emerytów i rencistów "Złota Jesień" (skupia około 31 emerytów i rencistów): celem</w:t>
      </w:r>
      <w:r w:rsidR="00F978A5">
        <w:rPr>
          <w:rFonts w:ascii="Lato" w:hAnsi="Lato" w:cs="TimesNewRomanPSMT"/>
          <w:color w:val="000000"/>
          <w:sz w:val="20"/>
          <w:szCs w:val="20"/>
        </w:rPr>
        <w:t xml:space="preserve"> </w:t>
      </w:r>
      <w:r w:rsidRPr="00F978A5">
        <w:rPr>
          <w:rFonts w:ascii="Lato" w:hAnsi="Lato" w:cs="TimesNewRomanPSMT"/>
          <w:color w:val="000000"/>
          <w:sz w:val="20"/>
          <w:szCs w:val="20"/>
        </w:rPr>
        <w:t>grupy jest poprawa funkcjonowania psychicznego i społecznego jej członków, zmniejszenie izolacji</w:t>
      </w:r>
      <w:r w:rsidR="00F978A5">
        <w:rPr>
          <w:rFonts w:ascii="Lato" w:hAnsi="Lato" w:cs="TimesNewRomanPSMT"/>
          <w:color w:val="000000"/>
          <w:sz w:val="20"/>
          <w:szCs w:val="20"/>
        </w:rPr>
        <w:t xml:space="preserve"> </w:t>
      </w:r>
      <w:r w:rsidRPr="00F978A5">
        <w:rPr>
          <w:rFonts w:ascii="Lato" w:hAnsi="Lato" w:cs="TimesNewRomanPSMT"/>
          <w:color w:val="000000"/>
          <w:sz w:val="20"/>
          <w:szCs w:val="20"/>
        </w:rPr>
        <w:t>społecznej, zapewnienie wzrostu poczucia własnej wartości i bezpieczeństwa, aktywizacja</w:t>
      </w:r>
      <w:r w:rsidR="00F978A5">
        <w:rPr>
          <w:rFonts w:ascii="Lato" w:hAnsi="Lato" w:cs="TimesNewRomanPSMT"/>
          <w:color w:val="000000"/>
          <w:sz w:val="20"/>
          <w:szCs w:val="20"/>
        </w:rPr>
        <w:t xml:space="preserve"> </w:t>
      </w:r>
      <w:r w:rsidRPr="00F978A5">
        <w:rPr>
          <w:rFonts w:ascii="Lato" w:hAnsi="Lato" w:cs="TimesNewRomanPSMT"/>
          <w:color w:val="000000"/>
          <w:sz w:val="20"/>
          <w:szCs w:val="20"/>
        </w:rPr>
        <w:t>i integracja społeczna polegająca m.in. na działaniach w ramach wolontariatu;</w:t>
      </w:r>
    </w:p>
    <w:p w14:paraId="47DFB6F0" w14:textId="77777777" w:rsidR="00F978A5" w:rsidRDefault="003D7879" w:rsidP="0059185B">
      <w:pPr>
        <w:pStyle w:val="Akapitzlist"/>
        <w:numPr>
          <w:ilvl w:val="0"/>
          <w:numId w:val="200"/>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Stowarzyszenie Wspierania Społeczności Lokalnej "Bądźmy Razem" działające przy MOPS</w:t>
      </w:r>
      <w:r w:rsidR="00F978A5">
        <w:rPr>
          <w:rFonts w:ascii="Lato" w:hAnsi="Lato" w:cs="TimesNewRomanPSMT"/>
          <w:color w:val="000000"/>
          <w:sz w:val="20"/>
          <w:szCs w:val="20"/>
        </w:rPr>
        <w:t xml:space="preserve"> </w:t>
      </w:r>
      <w:r w:rsidRPr="00F978A5">
        <w:rPr>
          <w:rFonts w:ascii="Lato" w:hAnsi="Lato" w:cs="TimesNewRomanPSMT"/>
          <w:color w:val="000000"/>
          <w:sz w:val="20"/>
          <w:szCs w:val="20"/>
        </w:rPr>
        <w:t>w Mławie (3 seniorów): warsztaty kulinarne i z racjonalnego gospodarowania żywnością</w:t>
      </w:r>
      <w:r w:rsidR="00F978A5">
        <w:rPr>
          <w:rFonts w:ascii="Lato" w:hAnsi="Lato" w:cs="TimesNewRomanPSMT"/>
          <w:color w:val="000000"/>
          <w:sz w:val="20"/>
          <w:szCs w:val="20"/>
        </w:rPr>
        <w:t xml:space="preserve"> </w:t>
      </w:r>
      <w:r w:rsidRPr="00F978A5">
        <w:rPr>
          <w:rFonts w:ascii="Lato" w:hAnsi="Lato" w:cs="TimesNewRomanPSMT"/>
          <w:color w:val="000000"/>
          <w:sz w:val="20"/>
          <w:szCs w:val="20"/>
        </w:rPr>
        <w:t>w świetlicy przy ul. Mariackiej w Mławie;</w:t>
      </w:r>
    </w:p>
    <w:p w14:paraId="3093E6B9" w14:textId="65CE980D" w:rsidR="003D7879" w:rsidRDefault="003D7879" w:rsidP="0059185B">
      <w:pPr>
        <w:pStyle w:val="Akapitzlist"/>
        <w:numPr>
          <w:ilvl w:val="0"/>
          <w:numId w:val="200"/>
        </w:numPr>
        <w:autoSpaceDE w:val="0"/>
        <w:autoSpaceDN w:val="0"/>
        <w:adjustRightInd w:val="0"/>
        <w:spacing w:after="0" w:line="240" w:lineRule="auto"/>
        <w:jc w:val="both"/>
        <w:rPr>
          <w:rFonts w:ascii="Lato" w:hAnsi="Lato" w:cs="TimesNewRomanPSMT"/>
          <w:color w:val="000000"/>
          <w:sz w:val="20"/>
          <w:szCs w:val="20"/>
        </w:rPr>
      </w:pPr>
      <w:r w:rsidRPr="00F978A5">
        <w:rPr>
          <w:rFonts w:ascii="Lato" w:hAnsi="Lato" w:cs="TimesNewRomanPSMT"/>
          <w:color w:val="000000"/>
          <w:sz w:val="20"/>
          <w:szCs w:val="20"/>
        </w:rPr>
        <w:t>Miejska Biblioteka Publiczna im. Bolesława Prusa w Mławie: zorganizowano 7 spotkań</w:t>
      </w:r>
      <w:r w:rsidR="00F978A5">
        <w:rPr>
          <w:rFonts w:ascii="Lato" w:hAnsi="Lato" w:cs="TimesNewRomanPSMT"/>
          <w:color w:val="000000"/>
          <w:sz w:val="20"/>
          <w:szCs w:val="20"/>
        </w:rPr>
        <w:t xml:space="preserve"> </w:t>
      </w:r>
      <w:r w:rsidRPr="00F978A5">
        <w:rPr>
          <w:rFonts w:ascii="Lato" w:hAnsi="Lato" w:cs="TimesNewRomanPSMT"/>
          <w:color w:val="000000"/>
          <w:sz w:val="20"/>
          <w:szCs w:val="20"/>
        </w:rPr>
        <w:t>dla mieszkańców miasta Mława, w których uczestniczyło ponad 200 seniorów.</w:t>
      </w:r>
      <w:r w:rsidR="00F978A5">
        <w:rPr>
          <w:rFonts w:ascii="Lato" w:hAnsi="Lato" w:cs="TimesNewRomanPSMT"/>
          <w:color w:val="000000"/>
          <w:sz w:val="20"/>
          <w:szCs w:val="20"/>
        </w:rPr>
        <w:t xml:space="preserve"> </w:t>
      </w:r>
      <w:r w:rsidRPr="00F978A5">
        <w:rPr>
          <w:rFonts w:ascii="Lato" w:hAnsi="Lato" w:cs="TimesNewRomanPSMT"/>
          <w:color w:val="000000"/>
          <w:sz w:val="20"/>
          <w:szCs w:val="20"/>
        </w:rPr>
        <w:t>Ponadto, Miejski Dom Kultury w Mławie (MDK) i Uniwersytet Trzeciego Wieku organizowały dla</w:t>
      </w:r>
      <w:r w:rsidR="00F978A5">
        <w:rPr>
          <w:rFonts w:ascii="Lato" w:hAnsi="Lato" w:cs="TimesNewRomanPSMT"/>
          <w:color w:val="000000"/>
          <w:sz w:val="20"/>
          <w:szCs w:val="20"/>
        </w:rPr>
        <w:t xml:space="preserve"> </w:t>
      </w:r>
      <w:r w:rsidRPr="00F978A5">
        <w:rPr>
          <w:rFonts w:ascii="Lato" w:hAnsi="Lato" w:cs="TimesNewRomanPSMT"/>
          <w:color w:val="000000"/>
          <w:sz w:val="20"/>
          <w:szCs w:val="20"/>
        </w:rPr>
        <w:t>seniorów zajecie: Z tańcem przez życie, sekcja gimnastyczna, warsztaty teatralne, informatyka, język</w:t>
      </w:r>
      <w:r w:rsidR="00F978A5">
        <w:rPr>
          <w:rFonts w:ascii="Lato" w:hAnsi="Lato" w:cs="TimesNewRomanPSMT"/>
          <w:color w:val="000000"/>
          <w:sz w:val="20"/>
          <w:szCs w:val="20"/>
        </w:rPr>
        <w:t xml:space="preserve"> </w:t>
      </w:r>
      <w:r w:rsidRPr="00F978A5">
        <w:rPr>
          <w:rFonts w:ascii="Lato" w:hAnsi="Lato" w:cs="TimesNewRomanPSMT"/>
          <w:color w:val="000000"/>
          <w:sz w:val="20"/>
          <w:szCs w:val="20"/>
        </w:rPr>
        <w:t xml:space="preserve">angielski, zajęcia na basenie, fotografia, wykłady z literatury i historii, brydż, </w:t>
      </w:r>
      <w:proofErr w:type="spellStart"/>
      <w:r w:rsidRPr="00F978A5">
        <w:rPr>
          <w:rFonts w:ascii="Lato" w:hAnsi="Lato" w:cs="TimesNewRomanPSMT"/>
          <w:color w:val="000000"/>
          <w:sz w:val="20"/>
          <w:szCs w:val="20"/>
        </w:rPr>
        <w:t>decoupage</w:t>
      </w:r>
      <w:proofErr w:type="spellEnd"/>
      <w:r w:rsidRPr="00F978A5">
        <w:rPr>
          <w:rFonts w:ascii="Lato" w:hAnsi="Lato" w:cs="TimesNewRomanPSMT"/>
          <w:color w:val="000000"/>
          <w:sz w:val="20"/>
          <w:szCs w:val="20"/>
        </w:rPr>
        <w:t xml:space="preserve"> i sztuka</w:t>
      </w:r>
      <w:r w:rsidR="00F978A5">
        <w:rPr>
          <w:rFonts w:ascii="Lato" w:hAnsi="Lato" w:cs="TimesNewRomanPSMT"/>
          <w:color w:val="000000"/>
          <w:sz w:val="20"/>
          <w:szCs w:val="20"/>
        </w:rPr>
        <w:t xml:space="preserve"> </w:t>
      </w:r>
      <w:r w:rsidRPr="00F978A5">
        <w:rPr>
          <w:rFonts w:ascii="Lato" w:hAnsi="Lato" w:cs="TimesNewRomanPSMT"/>
          <w:color w:val="000000"/>
          <w:sz w:val="20"/>
          <w:szCs w:val="20"/>
        </w:rPr>
        <w:t xml:space="preserve">zdobienia, florystyka. Działał również Zespół Artystyczny Seniorów </w:t>
      </w:r>
      <w:proofErr w:type="spellStart"/>
      <w:r w:rsidRPr="00F978A5">
        <w:rPr>
          <w:rFonts w:ascii="Lato" w:hAnsi="Lato" w:cs="TimesNewRomanPSMT"/>
          <w:color w:val="000000"/>
          <w:sz w:val="20"/>
          <w:szCs w:val="20"/>
        </w:rPr>
        <w:t>Cantare</w:t>
      </w:r>
      <w:proofErr w:type="spellEnd"/>
      <w:r w:rsidRPr="00F978A5">
        <w:rPr>
          <w:rFonts w:ascii="Lato" w:hAnsi="Lato" w:cs="TimesNewRomanPSMT"/>
          <w:color w:val="000000"/>
          <w:sz w:val="20"/>
          <w:szCs w:val="20"/>
        </w:rPr>
        <w:t xml:space="preserve"> i Klub Seniora </w:t>
      </w:r>
      <w:proofErr w:type="spellStart"/>
      <w:r w:rsidRPr="00F978A5">
        <w:rPr>
          <w:rFonts w:ascii="Lato" w:hAnsi="Lato" w:cs="TimesNewRomanPSMT"/>
          <w:color w:val="000000"/>
          <w:sz w:val="20"/>
          <w:szCs w:val="20"/>
        </w:rPr>
        <w:t>Milonga</w:t>
      </w:r>
      <w:proofErr w:type="spellEnd"/>
      <w:r w:rsidRPr="00F978A5">
        <w:rPr>
          <w:rFonts w:ascii="Lato" w:hAnsi="Lato" w:cs="TimesNewRomanPSMT"/>
          <w:color w:val="000000"/>
          <w:sz w:val="20"/>
          <w:szCs w:val="20"/>
        </w:rPr>
        <w:t>.</w:t>
      </w:r>
      <w:r w:rsidR="00F978A5">
        <w:rPr>
          <w:rFonts w:ascii="Lato" w:hAnsi="Lato" w:cs="TimesNewRomanPSMT"/>
          <w:color w:val="000000"/>
          <w:sz w:val="20"/>
          <w:szCs w:val="20"/>
        </w:rPr>
        <w:t xml:space="preserve"> </w:t>
      </w:r>
      <w:r w:rsidRPr="00F978A5">
        <w:rPr>
          <w:rFonts w:ascii="Lato" w:hAnsi="Lato" w:cs="TimesNewRomanPSMT"/>
          <w:color w:val="000000"/>
          <w:sz w:val="20"/>
          <w:szCs w:val="20"/>
        </w:rPr>
        <w:t>MDK onanizował także wyjazdy do opery kameralnej i Filharmonii Narodowej Warszawie, wyjazdy</w:t>
      </w:r>
      <w:r w:rsidR="00F978A5">
        <w:rPr>
          <w:rFonts w:ascii="Lato" w:hAnsi="Lato" w:cs="TimesNewRomanPSMT"/>
          <w:color w:val="000000"/>
          <w:sz w:val="20"/>
          <w:szCs w:val="20"/>
        </w:rPr>
        <w:t xml:space="preserve"> </w:t>
      </w:r>
      <w:r w:rsidRPr="00F978A5">
        <w:rPr>
          <w:rFonts w:ascii="Lato" w:hAnsi="Lato" w:cs="TimesNewRomanPSMT"/>
          <w:color w:val="000000"/>
          <w:sz w:val="20"/>
          <w:szCs w:val="20"/>
        </w:rPr>
        <w:t>i pikniki integracyjne, wernisaże, wystawy, koncerty w Sali Kina "Kosmos", turniej Scrabble,</w:t>
      </w:r>
      <w:r w:rsidR="00F978A5">
        <w:rPr>
          <w:rFonts w:ascii="Lato" w:hAnsi="Lato" w:cs="TimesNewRomanPSMT"/>
          <w:color w:val="000000"/>
          <w:sz w:val="20"/>
          <w:szCs w:val="20"/>
        </w:rPr>
        <w:t xml:space="preserve"> </w:t>
      </w:r>
      <w:r w:rsidRPr="00F978A5">
        <w:rPr>
          <w:rFonts w:ascii="Lato" w:hAnsi="Lato" w:cs="TimesNewRomanPSMT"/>
          <w:color w:val="000000"/>
          <w:sz w:val="20"/>
          <w:szCs w:val="20"/>
        </w:rPr>
        <w:t>koncerty i zabawy taneczne przy muzyce w Parku Miejskim, bal seniora i baj sylwestrowy oraz</w:t>
      </w:r>
      <w:r w:rsidR="00F978A5">
        <w:rPr>
          <w:rFonts w:ascii="Lato" w:hAnsi="Lato" w:cs="TimesNewRomanPSMT"/>
          <w:color w:val="000000"/>
          <w:sz w:val="20"/>
          <w:szCs w:val="20"/>
        </w:rPr>
        <w:t xml:space="preserve"> </w:t>
      </w:r>
      <w:r w:rsidRPr="00F978A5">
        <w:rPr>
          <w:rFonts w:ascii="Lato" w:hAnsi="Lato" w:cs="TimesNewRomanPSMT"/>
          <w:color w:val="000000"/>
          <w:sz w:val="20"/>
          <w:szCs w:val="20"/>
        </w:rPr>
        <w:t>spotkanie opłatkowe.</w:t>
      </w:r>
    </w:p>
    <w:p w14:paraId="41AC1DE3" w14:textId="77777777" w:rsidR="00F978A5" w:rsidRPr="00F978A5" w:rsidRDefault="00F978A5" w:rsidP="00F978A5">
      <w:pPr>
        <w:pStyle w:val="Akapitzlist"/>
        <w:autoSpaceDE w:val="0"/>
        <w:autoSpaceDN w:val="0"/>
        <w:adjustRightInd w:val="0"/>
        <w:spacing w:after="0" w:line="240" w:lineRule="auto"/>
        <w:jc w:val="both"/>
        <w:rPr>
          <w:rFonts w:ascii="Lato" w:hAnsi="Lato" w:cs="TimesNewRomanPSMT"/>
          <w:color w:val="000000"/>
          <w:sz w:val="20"/>
          <w:szCs w:val="20"/>
        </w:rPr>
      </w:pPr>
    </w:p>
    <w:p w14:paraId="35AA40FB" w14:textId="77777777" w:rsidR="00F978A5" w:rsidRPr="00C55821" w:rsidRDefault="00F978A5" w:rsidP="00F978A5">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51D1DCEB" w14:textId="4382D7B0" w:rsidR="003D7879" w:rsidRPr="003D7879" w:rsidRDefault="003D7879" w:rsidP="003D7879">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2022 roku Miasto Stołeczne Warszawa organizowało dla seniorów:</w:t>
      </w:r>
      <w:r w:rsidR="00F978A5">
        <w:rPr>
          <w:rFonts w:ascii="Lato" w:hAnsi="Lato" w:cs="TimesNewRomanPSMT"/>
          <w:color w:val="000000"/>
          <w:sz w:val="20"/>
          <w:szCs w:val="20"/>
        </w:rPr>
        <w:t xml:space="preserve"> </w:t>
      </w:r>
      <w:r w:rsidRPr="003D7879">
        <w:rPr>
          <w:rFonts w:ascii="Lato" w:hAnsi="Lato" w:cs="TimesNewRomanPSMT"/>
          <w:color w:val="000000"/>
          <w:sz w:val="20"/>
          <w:szCs w:val="20"/>
        </w:rPr>
        <w:t>- Kursy komputerowe - prowadzone na zlecenie miasta przez organizacje pozarządowe. Kursy</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prowadzone są na poziomie podstawowym, średniozaawansowanym i tematycznym, np. z zakresu</w:t>
      </w:r>
      <w:r w:rsidR="00F978A5">
        <w:rPr>
          <w:rFonts w:ascii="Lato" w:hAnsi="Lato" w:cs="TimesNewRomanPSMT"/>
          <w:color w:val="000000"/>
          <w:sz w:val="20"/>
          <w:szCs w:val="20"/>
        </w:rPr>
        <w:t xml:space="preserve"> </w:t>
      </w:r>
      <w:r w:rsidRPr="003D7879">
        <w:rPr>
          <w:rFonts w:ascii="Lato" w:hAnsi="Lato" w:cs="TimesNewRomanPSMT"/>
          <w:color w:val="000000"/>
          <w:sz w:val="20"/>
          <w:szCs w:val="20"/>
        </w:rPr>
        <w:t>fotografii i grafiki, narzędzia Google, komunikacji przez Internet, e-turystyki. Trenerami są osoby</w:t>
      </w:r>
      <w:r w:rsidR="00F978A5">
        <w:rPr>
          <w:rFonts w:ascii="Lato" w:hAnsi="Lato" w:cs="TimesNewRomanPSMT"/>
          <w:color w:val="000000"/>
          <w:sz w:val="20"/>
          <w:szCs w:val="20"/>
        </w:rPr>
        <w:t xml:space="preserve"> </w:t>
      </w:r>
      <w:r w:rsidRPr="003D7879">
        <w:rPr>
          <w:rFonts w:ascii="Lato" w:hAnsi="Lato" w:cs="TimesNewRomanPSMT"/>
          <w:color w:val="000000"/>
          <w:sz w:val="20"/>
          <w:szCs w:val="20"/>
        </w:rPr>
        <w:t>z odpowiednimi umiejętnościami interpersonalnymi, wspierani przez międzypokoleniowe zespoły</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wolontariuszy. </w:t>
      </w:r>
    </w:p>
    <w:p w14:paraId="77713975" w14:textId="77777777" w:rsidR="00F978A5" w:rsidRDefault="00F978A5" w:rsidP="003D7879">
      <w:pPr>
        <w:autoSpaceDE w:val="0"/>
        <w:autoSpaceDN w:val="0"/>
        <w:adjustRightInd w:val="0"/>
        <w:spacing w:after="0" w:line="240" w:lineRule="auto"/>
        <w:jc w:val="both"/>
        <w:rPr>
          <w:rFonts w:ascii="Lato" w:hAnsi="Lato" w:cs="TimesNewRomanPSMT"/>
          <w:color w:val="000000"/>
          <w:sz w:val="20"/>
          <w:szCs w:val="20"/>
        </w:rPr>
      </w:pPr>
    </w:p>
    <w:p w14:paraId="602DAE65" w14:textId="74746EB5" w:rsidR="003D7879" w:rsidRDefault="003D7879" w:rsidP="00F978A5">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Punkty Cyfrowego Wsparcia Seniora - są to miejsca zlokalizowane w różnych częściach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Warszawy, w których każdy mieszkaniec Warszawy powyżej 60. roku życia może spotkać się z</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Doradcą Cyfrowym na </w:t>
      </w:r>
      <w:r w:rsidRPr="003D7879">
        <w:rPr>
          <w:rFonts w:ascii="Lato" w:hAnsi="Lato" w:cs="TimesNewRomanPSMT"/>
          <w:color w:val="000000"/>
          <w:sz w:val="20"/>
          <w:szCs w:val="20"/>
        </w:rPr>
        <w:lastRenderedPageBreak/>
        <w:t>godzinną, bezpłatną indywidualną konsultację dotycząca obsługi</w:t>
      </w:r>
      <w:r w:rsidR="00F978A5">
        <w:rPr>
          <w:rFonts w:ascii="Lato" w:hAnsi="Lato" w:cs="TimesNewRomanPSMT"/>
          <w:color w:val="000000"/>
          <w:sz w:val="20"/>
          <w:szCs w:val="20"/>
        </w:rPr>
        <w:t xml:space="preserve"> </w:t>
      </w:r>
      <w:r w:rsidRPr="003D7879">
        <w:rPr>
          <w:rFonts w:ascii="Lato" w:hAnsi="Lato" w:cs="TimesNewRomanPSMT"/>
          <w:color w:val="000000"/>
          <w:sz w:val="20"/>
          <w:szCs w:val="20"/>
        </w:rPr>
        <w:t>smartfonu, tabletu czy laptopa. W Warszawie działa 20 takich punktów. W 2022 roku udzielono</w:t>
      </w:r>
      <w:r w:rsidR="00F978A5">
        <w:rPr>
          <w:rFonts w:ascii="Lato" w:hAnsi="Lato" w:cs="TimesNewRomanPSMT"/>
          <w:color w:val="000000"/>
          <w:sz w:val="20"/>
          <w:szCs w:val="20"/>
        </w:rPr>
        <w:t xml:space="preserve"> </w:t>
      </w:r>
      <w:r w:rsidRPr="003D7879">
        <w:rPr>
          <w:rFonts w:ascii="Lato" w:hAnsi="Lato" w:cs="TimesNewRomanPSMT"/>
          <w:color w:val="000000"/>
          <w:sz w:val="20"/>
          <w:szCs w:val="20"/>
        </w:rPr>
        <w:t xml:space="preserve">4245 porad, z których skorzystało 1124 osób. </w:t>
      </w:r>
    </w:p>
    <w:p w14:paraId="31C81582" w14:textId="77777777" w:rsidR="00F978A5" w:rsidRPr="003D7879" w:rsidRDefault="00F978A5" w:rsidP="00F978A5">
      <w:pPr>
        <w:autoSpaceDE w:val="0"/>
        <w:autoSpaceDN w:val="0"/>
        <w:adjustRightInd w:val="0"/>
        <w:spacing w:after="0" w:line="240" w:lineRule="auto"/>
        <w:jc w:val="both"/>
        <w:rPr>
          <w:rFonts w:ascii="Lato" w:hAnsi="Lato" w:cs="TimesNewRomanPSMT"/>
          <w:color w:val="0066CD"/>
          <w:sz w:val="20"/>
          <w:szCs w:val="20"/>
        </w:rPr>
      </w:pPr>
    </w:p>
    <w:p w14:paraId="394B0FC4" w14:textId="77777777" w:rsidR="00F978A5" w:rsidRPr="00C55821" w:rsidRDefault="00F978A5" w:rsidP="00F978A5">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49B741C8" w14:textId="1C6A7890" w:rsidR="003D7879" w:rsidRDefault="003D7879" w:rsidP="00F978A5">
      <w:pPr>
        <w:autoSpaceDE w:val="0"/>
        <w:autoSpaceDN w:val="0"/>
        <w:adjustRightInd w:val="0"/>
        <w:spacing w:after="0" w:line="240" w:lineRule="auto"/>
        <w:jc w:val="both"/>
        <w:rPr>
          <w:rFonts w:ascii="Lato" w:hAnsi="Lato" w:cs="TimesNewRomanPSMT"/>
          <w:color w:val="000000"/>
          <w:sz w:val="20"/>
          <w:szCs w:val="20"/>
        </w:rPr>
      </w:pPr>
      <w:r w:rsidRPr="003D7879">
        <w:rPr>
          <w:rFonts w:ascii="Lato" w:hAnsi="Lato" w:cs="TimesNewRomanPSMT"/>
          <w:color w:val="000000"/>
          <w:sz w:val="20"/>
          <w:szCs w:val="20"/>
        </w:rPr>
        <w:t>W 2022 r. podejmowano w województwie mazowieckim liczne działania wspierające realizację</w:t>
      </w:r>
      <w:r w:rsidR="00F978A5">
        <w:rPr>
          <w:rFonts w:ascii="Lato" w:hAnsi="Lato" w:cs="TimesNewRomanPSMT"/>
          <w:color w:val="000000"/>
          <w:sz w:val="20"/>
          <w:szCs w:val="20"/>
        </w:rPr>
        <w:t xml:space="preserve"> </w:t>
      </w:r>
      <w:r w:rsidRPr="003D7879">
        <w:rPr>
          <w:rFonts w:ascii="Lato" w:hAnsi="Lato" w:cs="TimesNewRomanPSMT"/>
          <w:color w:val="000000"/>
          <w:sz w:val="20"/>
          <w:szCs w:val="20"/>
        </w:rPr>
        <w:t>celów wskazanych w Informacji o sytuacji osób starszych w Polsce za 2021 r. oraz Polityce</w:t>
      </w:r>
      <w:r w:rsidR="00F978A5">
        <w:rPr>
          <w:rFonts w:ascii="Lato" w:hAnsi="Lato" w:cs="TimesNewRomanPSMT"/>
          <w:color w:val="000000"/>
          <w:sz w:val="20"/>
          <w:szCs w:val="20"/>
        </w:rPr>
        <w:t xml:space="preserve"> </w:t>
      </w:r>
      <w:r w:rsidRPr="003D7879">
        <w:rPr>
          <w:rFonts w:ascii="Lato" w:hAnsi="Lato" w:cs="TimesNewRomanPSMT"/>
          <w:color w:val="000000"/>
          <w:sz w:val="20"/>
          <w:szCs w:val="20"/>
        </w:rPr>
        <w:t>społecznej wobec osób starszych 2030. Bezpieczeństwo – Uczestnictwo – Solidarność.</w:t>
      </w:r>
      <w:r w:rsidR="00F978A5">
        <w:rPr>
          <w:rFonts w:ascii="Lato" w:hAnsi="Lato" w:cs="TimesNewRomanPSMT"/>
          <w:color w:val="000000"/>
          <w:sz w:val="20"/>
          <w:szCs w:val="20"/>
        </w:rPr>
        <w:t xml:space="preserve"> </w:t>
      </w:r>
      <w:r w:rsidRPr="003D7879">
        <w:rPr>
          <w:rFonts w:ascii="Lato" w:hAnsi="Lato" w:cs="TimesNewRomanPSMT"/>
          <w:color w:val="000000"/>
          <w:sz w:val="20"/>
          <w:szCs w:val="20"/>
        </w:rPr>
        <w:t>Do najciekawszych należą działania realizowane przez Urząd Pracy m.st. Warszawy. Od 2021 r.</w:t>
      </w:r>
      <w:r w:rsidR="00F978A5">
        <w:rPr>
          <w:rFonts w:ascii="Lato" w:hAnsi="Lato" w:cs="TimesNewRomanPSMT"/>
          <w:color w:val="000000"/>
          <w:sz w:val="20"/>
          <w:szCs w:val="20"/>
        </w:rPr>
        <w:t xml:space="preserve"> </w:t>
      </w:r>
      <w:r w:rsidRPr="003D7879">
        <w:rPr>
          <w:rFonts w:ascii="Lato" w:hAnsi="Lato" w:cs="TimesNewRomanPSMT"/>
          <w:color w:val="000000"/>
          <w:sz w:val="20"/>
          <w:szCs w:val="20"/>
        </w:rPr>
        <w:t>realizowany jest na terenie miasta projekt pilotażowy skierowany do osób na emeryturze „Dobry</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pracownik nie ma wieku", którego celem było zwiększenie szans emerytów na rynku pracy poprzez</w:t>
      </w:r>
      <w:r w:rsidR="00F978A5">
        <w:rPr>
          <w:rFonts w:ascii="Lato" w:hAnsi="Lato" w:cs="TimesNewRomanPSMT"/>
          <w:color w:val="000000"/>
          <w:sz w:val="20"/>
          <w:szCs w:val="20"/>
        </w:rPr>
        <w:t xml:space="preserve"> </w:t>
      </w:r>
      <w:r w:rsidRPr="003D7879">
        <w:rPr>
          <w:rFonts w:ascii="Lato" w:hAnsi="Lato" w:cs="TimesNewRomanPSMT"/>
          <w:color w:val="000000"/>
          <w:sz w:val="20"/>
          <w:szCs w:val="20"/>
        </w:rPr>
        <w:t>udostępnienie nowych instrumentów finansowych, wspierających zatrudnienie tej grupy oraz zmiana</w:t>
      </w:r>
      <w:r w:rsidR="00F978A5">
        <w:rPr>
          <w:rFonts w:ascii="Lato" w:hAnsi="Lato" w:cs="TimesNewRomanPSMT"/>
          <w:color w:val="000000"/>
          <w:sz w:val="20"/>
          <w:szCs w:val="20"/>
        </w:rPr>
        <w:t xml:space="preserve"> </w:t>
      </w:r>
      <w:r w:rsidRPr="003D7879">
        <w:rPr>
          <w:rFonts w:ascii="Lato" w:hAnsi="Lato" w:cs="TimesNewRomanPSMT"/>
          <w:color w:val="000000"/>
          <w:sz w:val="20"/>
          <w:szCs w:val="20"/>
        </w:rPr>
        <w:t>stereotypowego postrzegania „pracujących seniorów", jako pracowników mało wartościowych.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Przetestowanie systemu wsparcia osób w wieku emerytalnym, dotyczyło zarówno pozyskiwania</w:t>
      </w:r>
      <w:r w:rsidR="00F978A5">
        <w:rPr>
          <w:rFonts w:ascii="Lato" w:hAnsi="Lato" w:cs="TimesNewRomanPSMT"/>
          <w:color w:val="000000"/>
          <w:sz w:val="20"/>
          <w:szCs w:val="20"/>
        </w:rPr>
        <w:t xml:space="preserve"> </w:t>
      </w:r>
      <w:r w:rsidRPr="003D7879">
        <w:rPr>
          <w:rFonts w:ascii="Lato" w:hAnsi="Lato" w:cs="TimesNewRomanPSMT"/>
          <w:color w:val="000000"/>
          <w:sz w:val="20"/>
          <w:szCs w:val="20"/>
        </w:rPr>
        <w:t>chętnych do pracy seniorów, jak i wypracowania systemu zachęt finansowych dla pracodawców</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zatrudniających emerytów. Był to jeden z czterech projektów pilotażowych adresowanych do</w:t>
      </w:r>
      <w:r w:rsidR="00F978A5">
        <w:rPr>
          <w:rFonts w:ascii="Lato" w:hAnsi="Lato" w:cs="TimesNewRomanPSMT"/>
          <w:color w:val="000000"/>
          <w:sz w:val="20"/>
          <w:szCs w:val="20"/>
        </w:rPr>
        <w:t xml:space="preserve"> </w:t>
      </w:r>
      <w:r w:rsidRPr="003D7879">
        <w:rPr>
          <w:rFonts w:ascii="Lato" w:hAnsi="Lato" w:cs="TimesNewRomanPSMT"/>
          <w:color w:val="000000"/>
          <w:sz w:val="20"/>
          <w:szCs w:val="20"/>
        </w:rPr>
        <w:t>seniorów, jakie były realizowane w Polsce. Realizacja projektu obejmowała zorganizowanie kilku</w:t>
      </w:r>
      <w:r w:rsidR="00F978A5">
        <w:rPr>
          <w:rFonts w:ascii="Lato" w:hAnsi="Lato" w:cs="TimesNewRomanPSMT"/>
          <w:color w:val="000000"/>
          <w:sz w:val="20"/>
          <w:szCs w:val="20"/>
        </w:rPr>
        <w:t xml:space="preserve"> </w:t>
      </w:r>
      <w:r w:rsidRPr="003D7879">
        <w:rPr>
          <w:rFonts w:ascii="Lato" w:hAnsi="Lato" w:cs="TimesNewRomanPSMT"/>
          <w:color w:val="000000"/>
          <w:sz w:val="20"/>
          <w:szCs w:val="20"/>
        </w:rPr>
        <w:t>form aktywizacji, w których uczestniczyli beneficjenci projektu (osoby w wieku emerytalnym</w:t>
      </w:r>
      <w:r w:rsidR="00F978A5">
        <w:rPr>
          <w:rFonts w:ascii="Lato" w:hAnsi="Lato" w:cs="TimesNewRomanPSMT"/>
          <w:color w:val="000000"/>
          <w:sz w:val="20"/>
          <w:szCs w:val="20"/>
        </w:rPr>
        <w:t xml:space="preserve"> </w:t>
      </w:r>
      <w:r w:rsidRPr="003D7879">
        <w:rPr>
          <w:rFonts w:ascii="Lato" w:hAnsi="Lato" w:cs="TimesNewRomanPSMT"/>
          <w:color w:val="000000"/>
          <w:sz w:val="20"/>
          <w:szCs w:val="20"/>
        </w:rPr>
        <w:t>poszukujące pracy), a wsparcie zostało skierowane do zaangażowanych przedsiębiorstw. W projekcie</w:t>
      </w:r>
      <w:r w:rsidR="00F978A5">
        <w:rPr>
          <w:rFonts w:ascii="Lato" w:hAnsi="Lato" w:cs="TimesNewRomanPSMT"/>
          <w:color w:val="000000"/>
          <w:sz w:val="20"/>
          <w:szCs w:val="20"/>
        </w:rPr>
        <w:t xml:space="preserve"> </w:t>
      </w:r>
      <w:r w:rsidRPr="003D7879">
        <w:rPr>
          <w:rFonts w:ascii="Lato" w:hAnsi="Lato" w:cs="TimesNewRomanPSMT"/>
          <w:color w:val="000000"/>
          <w:sz w:val="20"/>
          <w:szCs w:val="20"/>
        </w:rPr>
        <w:t>uczestniczyło 150 emerytów (kobiety - 76%, mężczyźni - 24%), którzy skorzystali ze staży, szkoleń</w:t>
      </w:r>
      <w:r w:rsidR="00F978A5">
        <w:rPr>
          <w:rFonts w:ascii="Lato" w:hAnsi="Lato" w:cs="TimesNewRomanPSMT"/>
          <w:color w:val="000000"/>
          <w:sz w:val="20"/>
          <w:szCs w:val="20"/>
        </w:rPr>
        <w:t xml:space="preserve"> </w:t>
      </w:r>
      <w:r w:rsidRPr="003D7879">
        <w:rPr>
          <w:rFonts w:ascii="Lato" w:hAnsi="Lato" w:cs="TimesNewRomanPSMT"/>
          <w:color w:val="000000"/>
          <w:sz w:val="20"/>
          <w:szCs w:val="20"/>
        </w:rPr>
        <w:t>podnoszących kompetencje cyfrowe, kursów zawodowych oraz ofert pracy zgłoszonych w ramach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refundacji części kosztów wynagrodzenia dla pracodawcy. Projekt zakładał zbudowanie aktywnych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postaw wśród emerytów, wsparcie ich aktywności na rynku pracy w obszarze kompetencji miękkich,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cyfrowych i kwalifikacji zawodowych.</w:t>
      </w:r>
      <w:r w:rsidR="00F978A5">
        <w:rPr>
          <w:rFonts w:ascii="Lato" w:hAnsi="Lato" w:cs="TimesNewRomanPSMT"/>
          <w:color w:val="000000"/>
          <w:sz w:val="20"/>
          <w:szCs w:val="20"/>
        </w:rPr>
        <w:t xml:space="preserve"> </w:t>
      </w:r>
      <w:r w:rsidRPr="003D7879">
        <w:rPr>
          <w:rFonts w:ascii="Lato" w:hAnsi="Lato" w:cs="TimesNewRomanPSMT"/>
          <w:color w:val="000000"/>
          <w:sz w:val="20"/>
          <w:szCs w:val="20"/>
        </w:rPr>
        <w:t>W ramach realizacji celów wskazanych w Informacji o sytuacji osób starszych w Polsce</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 2021 r. w powiecie płockim zorganizowano debatę na temat „Porozmawiajmy o bezpieczeństwie</w:t>
      </w:r>
      <w:r w:rsidR="00F978A5">
        <w:rPr>
          <w:rFonts w:ascii="Lato" w:hAnsi="Lato" w:cs="TimesNewRomanPSMT"/>
          <w:color w:val="000000"/>
          <w:sz w:val="20"/>
          <w:szCs w:val="20"/>
        </w:rPr>
        <w:t xml:space="preserve"> </w:t>
      </w:r>
      <w:r w:rsidRPr="003D7879">
        <w:rPr>
          <w:rFonts w:ascii="Lato" w:hAnsi="Lato" w:cs="TimesNewRomanPSMT"/>
          <w:color w:val="000000"/>
          <w:sz w:val="20"/>
          <w:szCs w:val="20"/>
        </w:rPr>
        <w:t>seniorów – możesz mieć na nie wpływ” oraz opracowano i rozpowszechniono informator</w:t>
      </w:r>
      <w:r w:rsidR="00F978A5">
        <w:rPr>
          <w:rFonts w:ascii="Lato" w:hAnsi="Lato" w:cs="TimesNewRomanPSMT"/>
          <w:color w:val="000000"/>
          <w:sz w:val="20"/>
          <w:szCs w:val="20"/>
        </w:rPr>
        <w:t xml:space="preserve"> </w:t>
      </w:r>
      <w:r w:rsidRPr="003D7879">
        <w:rPr>
          <w:rFonts w:ascii="Lato" w:hAnsi="Lato" w:cs="TimesNewRomanPSMT"/>
          <w:color w:val="000000"/>
          <w:sz w:val="20"/>
          <w:szCs w:val="20"/>
        </w:rPr>
        <w:t>dla seniorów na temat opieki zdrowotnej, pomocy społecznej i aktywizacji zawodowej dla osób z</w:t>
      </w:r>
      <w:r w:rsidR="00F978A5">
        <w:rPr>
          <w:rFonts w:ascii="Lato" w:hAnsi="Lato" w:cs="TimesNewRomanPSMT"/>
          <w:color w:val="000000"/>
          <w:sz w:val="20"/>
          <w:szCs w:val="20"/>
        </w:rPr>
        <w:t xml:space="preserve"> </w:t>
      </w:r>
      <w:r w:rsidRPr="003D7879">
        <w:rPr>
          <w:rFonts w:ascii="Lato" w:hAnsi="Lato" w:cs="TimesNewRomanPSMT"/>
          <w:color w:val="000000"/>
          <w:sz w:val="20"/>
          <w:szCs w:val="20"/>
        </w:rPr>
        <w:t>zaburzeniami psychicznymi.</w:t>
      </w:r>
    </w:p>
    <w:p w14:paraId="3B9FFDFC" w14:textId="1F2DA801" w:rsidR="00E51C37" w:rsidRDefault="00E51C37" w:rsidP="00F978A5">
      <w:pPr>
        <w:autoSpaceDE w:val="0"/>
        <w:autoSpaceDN w:val="0"/>
        <w:adjustRightInd w:val="0"/>
        <w:spacing w:after="0" w:line="240" w:lineRule="auto"/>
        <w:jc w:val="both"/>
        <w:rPr>
          <w:rFonts w:ascii="Lato" w:hAnsi="Lato" w:cs="TimesNewRomanPSMT"/>
          <w:color w:val="000000"/>
          <w:sz w:val="20"/>
          <w:szCs w:val="20"/>
        </w:rPr>
      </w:pPr>
    </w:p>
    <w:p w14:paraId="43C928F7" w14:textId="0010260D" w:rsidR="00C332E9" w:rsidRDefault="00C332E9" w:rsidP="00C332E9">
      <w:pPr>
        <w:pStyle w:val="Legenda"/>
        <w:keepNext/>
      </w:pPr>
      <w:bookmarkStart w:id="156" w:name="_Toc142566029"/>
      <w:r>
        <w:t xml:space="preserve">Tabela </w:t>
      </w:r>
      <w:fldSimple w:instr=" SEQ Tabela \* ARABIC ">
        <w:r w:rsidR="00AA385B">
          <w:rPr>
            <w:noProof/>
          </w:rPr>
          <w:t>66</w:t>
        </w:r>
      </w:fldSimple>
      <w:r>
        <w:t xml:space="preserve"> Karta województwa mazowieckiego za 2022 r.</w:t>
      </w:r>
      <w:bookmarkEnd w:id="156"/>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C332E9" w:rsidRPr="00C332E9" w14:paraId="1CCBA96B"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0BBE40E1"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rPr>
              <w:t>WOJEWÓDZTWO MAZOWIECKIE</w:t>
            </w:r>
          </w:p>
        </w:tc>
      </w:tr>
      <w:tr w:rsidR="00C332E9" w:rsidRPr="00C332E9" w14:paraId="1FCA06BF" w14:textId="77777777" w:rsidTr="00C332E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C2F31C1" w14:textId="77777777" w:rsidR="00C332E9" w:rsidRPr="00C332E9" w:rsidRDefault="00C332E9" w:rsidP="00CA4EC0">
            <w:pPr>
              <w:rPr>
                <w:rFonts w:ascii="Lato" w:hAnsi="Lato" w:cs="Times New Roman"/>
                <w:color w:val="auto"/>
                <w:sz w:val="18"/>
                <w:szCs w:val="18"/>
              </w:rPr>
            </w:pPr>
            <w:r w:rsidRPr="00C332E9">
              <w:rPr>
                <w:rFonts w:ascii="Lato" w:hAnsi="Lato" w:cs="Times New Roman"/>
                <w:color w:val="auto"/>
                <w:sz w:val="18"/>
                <w:szCs w:val="18"/>
              </w:rPr>
              <w:t>Informacja o regionie</w:t>
            </w:r>
          </w:p>
        </w:tc>
        <w:tc>
          <w:tcPr>
            <w:tcW w:w="1346" w:type="pct"/>
            <w:shd w:val="clear" w:color="auto" w:fill="auto"/>
          </w:tcPr>
          <w:p w14:paraId="4994A8A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Liczba gmin</w:t>
            </w:r>
          </w:p>
        </w:tc>
        <w:tc>
          <w:tcPr>
            <w:tcW w:w="2693" w:type="pct"/>
            <w:gridSpan w:val="2"/>
            <w:shd w:val="clear" w:color="auto" w:fill="auto"/>
          </w:tcPr>
          <w:p w14:paraId="671806C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314</w:t>
            </w:r>
          </w:p>
        </w:tc>
      </w:tr>
      <w:tr w:rsidR="00C332E9" w:rsidRPr="00C332E9" w14:paraId="49014EDE" w14:textId="77777777" w:rsidTr="00C332E9">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471952C" w14:textId="77777777" w:rsidR="00C332E9" w:rsidRPr="00C332E9" w:rsidRDefault="00C332E9" w:rsidP="00CA4EC0">
            <w:pPr>
              <w:rPr>
                <w:rFonts w:ascii="Lato" w:hAnsi="Lato" w:cs="Times New Roman"/>
                <w:color w:val="auto"/>
                <w:sz w:val="18"/>
                <w:szCs w:val="18"/>
              </w:rPr>
            </w:pPr>
          </w:p>
        </w:tc>
        <w:tc>
          <w:tcPr>
            <w:tcW w:w="1346" w:type="pct"/>
            <w:shd w:val="clear" w:color="auto" w:fill="auto"/>
          </w:tcPr>
          <w:p w14:paraId="34746CE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Liczba powiatów</w:t>
            </w:r>
          </w:p>
        </w:tc>
        <w:tc>
          <w:tcPr>
            <w:tcW w:w="2693" w:type="pct"/>
            <w:gridSpan w:val="2"/>
            <w:shd w:val="clear" w:color="auto" w:fill="auto"/>
          </w:tcPr>
          <w:p w14:paraId="7182FBC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37 powiatów i 5 miasta na prawach powiatu</w:t>
            </w:r>
          </w:p>
        </w:tc>
      </w:tr>
      <w:tr w:rsidR="00C332E9" w:rsidRPr="00C332E9" w14:paraId="2A6850E6" w14:textId="77777777" w:rsidTr="00C332E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23B6B32" w14:textId="77777777" w:rsidR="00C332E9" w:rsidRPr="00C332E9" w:rsidRDefault="00C332E9" w:rsidP="00CA4EC0">
            <w:pPr>
              <w:rPr>
                <w:rFonts w:ascii="Lato" w:hAnsi="Lato" w:cs="Times New Roman"/>
                <w:color w:val="auto"/>
                <w:sz w:val="18"/>
                <w:szCs w:val="18"/>
              </w:rPr>
            </w:pPr>
          </w:p>
        </w:tc>
        <w:tc>
          <w:tcPr>
            <w:tcW w:w="1346" w:type="pct"/>
            <w:shd w:val="clear" w:color="auto" w:fill="auto"/>
          </w:tcPr>
          <w:p w14:paraId="4C8C411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Powierzchnia</w:t>
            </w:r>
          </w:p>
        </w:tc>
        <w:tc>
          <w:tcPr>
            <w:tcW w:w="2693" w:type="pct"/>
            <w:gridSpan w:val="2"/>
            <w:shd w:val="clear" w:color="auto" w:fill="auto"/>
          </w:tcPr>
          <w:p w14:paraId="3BAB0194"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35 559 km</w:t>
            </w:r>
            <w:r w:rsidRPr="00C332E9">
              <w:rPr>
                <w:rFonts w:ascii="Lato" w:hAnsi="Lato" w:cs="Times New Roman"/>
                <w:color w:val="auto"/>
                <w:sz w:val="18"/>
                <w:szCs w:val="18"/>
                <w:vertAlign w:val="superscript"/>
              </w:rPr>
              <w:t>2</w:t>
            </w:r>
          </w:p>
        </w:tc>
      </w:tr>
      <w:tr w:rsidR="00C332E9" w:rsidRPr="00C332E9" w14:paraId="00603055"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EF461FD" w14:textId="77777777" w:rsidR="00C332E9" w:rsidRPr="00C332E9" w:rsidRDefault="00C332E9" w:rsidP="00CA4EC0">
            <w:pPr>
              <w:jc w:val="center"/>
              <w:rPr>
                <w:rFonts w:ascii="Lato" w:hAnsi="Lato" w:cs="Times New Roman"/>
                <w:b w:val="0"/>
                <w:color w:val="auto"/>
                <w:sz w:val="18"/>
                <w:szCs w:val="18"/>
              </w:rPr>
            </w:pPr>
            <w:r w:rsidRPr="00C332E9">
              <w:rPr>
                <w:rFonts w:ascii="Lato" w:hAnsi="Lato" w:cs="Times New Roman"/>
                <w:color w:val="auto"/>
                <w:sz w:val="18"/>
                <w:szCs w:val="18"/>
              </w:rPr>
              <w:t>DEMOGRAFIA</w:t>
            </w:r>
          </w:p>
        </w:tc>
      </w:tr>
      <w:tr w:rsidR="00C332E9" w:rsidRPr="00C332E9" w14:paraId="3C56C42E"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52AE574" w14:textId="77777777" w:rsidR="00C332E9" w:rsidRPr="00C332E9" w:rsidRDefault="00C332E9" w:rsidP="00CA4EC0">
            <w:pPr>
              <w:jc w:val="center"/>
              <w:rPr>
                <w:rFonts w:ascii="Lato" w:hAnsi="Lato" w:cs="Times New Roman"/>
                <w:b w:val="0"/>
                <w:color w:val="auto"/>
                <w:sz w:val="18"/>
                <w:szCs w:val="18"/>
                <w:lang w:eastAsia="pl-PL"/>
              </w:rPr>
            </w:pPr>
            <w:r w:rsidRPr="00C332E9">
              <w:rPr>
                <w:rFonts w:ascii="Lato" w:hAnsi="Lato" w:cs="Times New Roman"/>
                <w:color w:val="auto"/>
                <w:sz w:val="18"/>
                <w:szCs w:val="18"/>
                <w:lang w:eastAsia="pl-PL"/>
              </w:rPr>
              <w:t>Treść</w:t>
            </w:r>
          </w:p>
        </w:tc>
        <w:tc>
          <w:tcPr>
            <w:tcW w:w="1346" w:type="pct"/>
            <w:shd w:val="clear" w:color="auto" w:fill="auto"/>
          </w:tcPr>
          <w:p w14:paraId="59B14BF0"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2020 r.</w:t>
            </w:r>
          </w:p>
        </w:tc>
        <w:tc>
          <w:tcPr>
            <w:tcW w:w="1346" w:type="pct"/>
            <w:shd w:val="clear" w:color="auto" w:fill="auto"/>
          </w:tcPr>
          <w:p w14:paraId="01BB1244"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2021 r.</w:t>
            </w:r>
          </w:p>
        </w:tc>
        <w:tc>
          <w:tcPr>
            <w:tcW w:w="1347" w:type="pct"/>
            <w:shd w:val="clear" w:color="auto" w:fill="auto"/>
          </w:tcPr>
          <w:p w14:paraId="00B86065"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2022 r.</w:t>
            </w:r>
          </w:p>
        </w:tc>
      </w:tr>
      <w:tr w:rsidR="00C332E9" w:rsidRPr="00C332E9" w14:paraId="17950915"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7B1001B"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Populacja ogółem</w:t>
            </w:r>
          </w:p>
        </w:tc>
        <w:tc>
          <w:tcPr>
            <w:tcW w:w="1346" w:type="pct"/>
            <w:shd w:val="clear" w:color="auto" w:fill="auto"/>
          </w:tcPr>
          <w:p w14:paraId="0C5DEC05"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5517616</w:t>
            </w:r>
          </w:p>
        </w:tc>
        <w:tc>
          <w:tcPr>
            <w:tcW w:w="1346" w:type="pct"/>
            <w:shd w:val="clear" w:color="auto" w:fill="auto"/>
          </w:tcPr>
          <w:p w14:paraId="0A3437F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5512794</w:t>
            </w:r>
          </w:p>
        </w:tc>
        <w:tc>
          <w:tcPr>
            <w:tcW w:w="1347" w:type="pct"/>
            <w:shd w:val="clear" w:color="auto" w:fill="auto"/>
          </w:tcPr>
          <w:p w14:paraId="105492EB"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5510612</w:t>
            </w:r>
          </w:p>
        </w:tc>
      </w:tr>
      <w:tr w:rsidR="00C332E9" w:rsidRPr="00C332E9" w14:paraId="0BB7AEBC"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4B8A1796" w14:textId="77777777" w:rsidR="00C332E9" w:rsidRPr="00C332E9" w:rsidRDefault="00C332E9" w:rsidP="00CA4EC0">
            <w:pPr>
              <w:rPr>
                <w:rFonts w:ascii="Lato" w:hAnsi="Lato" w:cs="Times New Roman"/>
                <w:b w:val="0"/>
                <w:color w:val="auto"/>
                <w:sz w:val="18"/>
                <w:szCs w:val="18"/>
              </w:rPr>
            </w:pPr>
          </w:p>
        </w:tc>
      </w:tr>
      <w:tr w:rsidR="00C332E9" w:rsidRPr="00C332E9" w14:paraId="18BF9B86"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0B72296" w14:textId="77777777" w:rsidR="00C332E9" w:rsidRPr="00C332E9" w:rsidRDefault="00C332E9" w:rsidP="00CA4EC0">
            <w:pPr>
              <w:rPr>
                <w:rFonts w:ascii="Lato" w:hAnsi="Lato" w:cs="Times New Roman"/>
                <w:b w:val="0"/>
                <w:color w:val="auto"/>
                <w:sz w:val="18"/>
                <w:szCs w:val="18"/>
              </w:rPr>
            </w:pPr>
            <w:r w:rsidRPr="00C332E9">
              <w:rPr>
                <w:rFonts w:ascii="Lato" w:hAnsi="Lato" w:cs="Times New Roman"/>
                <w:color w:val="auto"/>
                <w:sz w:val="18"/>
                <w:szCs w:val="18"/>
                <w:lang w:eastAsia="pl-PL"/>
              </w:rPr>
              <w:t>w wieku 60 lat i więcej</w:t>
            </w:r>
          </w:p>
        </w:tc>
        <w:tc>
          <w:tcPr>
            <w:tcW w:w="1346" w:type="pct"/>
            <w:shd w:val="clear" w:color="auto" w:fill="auto"/>
          </w:tcPr>
          <w:p w14:paraId="2CB6A87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1350695</w:t>
            </w:r>
          </w:p>
        </w:tc>
        <w:tc>
          <w:tcPr>
            <w:tcW w:w="1346" w:type="pct"/>
            <w:shd w:val="clear" w:color="auto" w:fill="auto"/>
          </w:tcPr>
          <w:p w14:paraId="766A8EA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1348362</w:t>
            </w:r>
          </w:p>
        </w:tc>
        <w:tc>
          <w:tcPr>
            <w:tcW w:w="1347" w:type="pct"/>
            <w:shd w:val="clear" w:color="auto" w:fill="auto"/>
          </w:tcPr>
          <w:p w14:paraId="70EEEB2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1353321</w:t>
            </w:r>
          </w:p>
        </w:tc>
      </w:tr>
      <w:tr w:rsidR="00C332E9" w:rsidRPr="00C332E9" w14:paraId="794C35EC"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9BE1643"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60–64 lata</w:t>
            </w:r>
          </w:p>
        </w:tc>
        <w:tc>
          <w:tcPr>
            <w:tcW w:w="1346" w:type="pct"/>
            <w:shd w:val="clear" w:color="auto" w:fill="auto"/>
          </w:tcPr>
          <w:p w14:paraId="5C68ACC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353283</w:t>
            </w:r>
          </w:p>
        </w:tc>
        <w:tc>
          <w:tcPr>
            <w:tcW w:w="1346" w:type="pct"/>
            <w:shd w:val="clear" w:color="auto" w:fill="auto"/>
          </w:tcPr>
          <w:p w14:paraId="36B84C98"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336266</w:t>
            </w:r>
          </w:p>
        </w:tc>
        <w:tc>
          <w:tcPr>
            <w:tcW w:w="1347" w:type="pct"/>
            <w:shd w:val="clear" w:color="auto" w:fill="auto"/>
          </w:tcPr>
          <w:p w14:paraId="575F2CF2"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318956</w:t>
            </w:r>
          </w:p>
        </w:tc>
      </w:tr>
      <w:tr w:rsidR="00C332E9" w:rsidRPr="00C332E9" w14:paraId="58F8D7CC"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BBDA228"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65–69</w:t>
            </w:r>
          </w:p>
        </w:tc>
        <w:tc>
          <w:tcPr>
            <w:tcW w:w="1346" w:type="pct"/>
            <w:shd w:val="clear" w:color="auto" w:fill="auto"/>
          </w:tcPr>
          <w:p w14:paraId="3502C97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344800</w:t>
            </w:r>
          </w:p>
        </w:tc>
        <w:tc>
          <w:tcPr>
            <w:tcW w:w="1346" w:type="pct"/>
            <w:shd w:val="clear" w:color="auto" w:fill="auto"/>
          </w:tcPr>
          <w:p w14:paraId="46F7106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346374</w:t>
            </w:r>
          </w:p>
        </w:tc>
        <w:tc>
          <w:tcPr>
            <w:tcW w:w="1347" w:type="pct"/>
            <w:shd w:val="clear" w:color="auto" w:fill="auto"/>
          </w:tcPr>
          <w:p w14:paraId="0F3E02A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347745</w:t>
            </w:r>
          </w:p>
        </w:tc>
      </w:tr>
      <w:tr w:rsidR="00C332E9" w:rsidRPr="00C332E9" w14:paraId="2A1840D4"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D7B951C"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70–74</w:t>
            </w:r>
          </w:p>
        </w:tc>
        <w:tc>
          <w:tcPr>
            <w:tcW w:w="1346" w:type="pct"/>
            <w:shd w:val="clear" w:color="auto" w:fill="auto"/>
          </w:tcPr>
          <w:p w14:paraId="6914318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258716</w:t>
            </w:r>
          </w:p>
        </w:tc>
        <w:tc>
          <w:tcPr>
            <w:tcW w:w="1346" w:type="pct"/>
            <w:shd w:val="clear" w:color="auto" w:fill="auto"/>
          </w:tcPr>
          <w:p w14:paraId="46BC160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269372</w:t>
            </w:r>
          </w:p>
        </w:tc>
        <w:tc>
          <w:tcPr>
            <w:tcW w:w="1347" w:type="pct"/>
            <w:shd w:val="clear" w:color="auto" w:fill="auto"/>
          </w:tcPr>
          <w:p w14:paraId="38A4ECAB"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279156</w:t>
            </w:r>
          </w:p>
        </w:tc>
      </w:tr>
      <w:tr w:rsidR="00C332E9" w:rsidRPr="00C332E9" w14:paraId="1F134B1D"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F7BBD49"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75–79</w:t>
            </w:r>
          </w:p>
        </w:tc>
        <w:tc>
          <w:tcPr>
            <w:tcW w:w="1346" w:type="pct"/>
            <w:shd w:val="clear" w:color="auto" w:fill="auto"/>
          </w:tcPr>
          <w:p w14:paraId="4919832B"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144493</w:t>
            </w:r>
          </w:p>
        </w:tc>
        <w:tc>
          <w:tcPr>
            <w:tcW w:w="1346" w:type="pct"/>
            <w:shd w:val="clear" w:color="auto" w:fill="auto"/>
          </w:tcPr>
          <w:p w14:paraId="72C9E6F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154061</w:t>
            </w:r>
          </w:p>
        </w:tc>
        <w:tc>
          <w:tcPr>
            <w:tcW w:w="1347" w:type="pct"/>
            <w:shd w:val="clear" w:color="auto" w:fill="auto"/>
          </w:tcPr>
          <w:p w14:paraId="46AE12C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169678</w:t>
            </w:r>
          </w:p>
        </w:tc>
      </w:tr>
      <w:tr w:rsidR="00C332E9" w:rsidRPr="00C332E9" w14:paraId="5ADB3849"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23563D0"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80–84</w:t>
            </w:r>
          </w:p>
        </w:tc>
        <w:tc>
          <w:tcPr>
            <w:tcW w:w="1346" w:type="pct"/>
            <w:shd w:val="clear" w:color="auto" w:fill="auto"/>
          </w:tcPr>
          <w:p w14:paraId="1542F8F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123516</w:t>
            </w:r>
          </w:p>
        </w:tc>
        <w:tc>
          <w:tcPr>
            <w:tcW w:w="1346" w:type="pct"/>
            <w:shd w:val="clear" w:color="auto" w:fill="auto"/>
          </w:tcPr>
          <w:p w14:paraId="4555930A"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118055</w:t>
            </w:r>
          </w:p>
        </w:tc>
        <w:tc>
          <w:tcPr>
            <w:tcW w:w="1347" w:type="pct"/>
            <w:shd w:val="clear" w:color="auto" w:fill="auto"/>
          </w:tcPr>
          <w:p w14:paraId="7EF6BDC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113454</w:t>
            </w:r>
          </w:p>
        </w:tc>
      </w:tr>
      <w:tr w:rsidR="00C332E9" w:rsidRPr="00C332E9" w14:paraId="3784AD1C"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70B1CF7"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85 lat i więcej</w:t>
            </w:r>
          </w:p>
        </w:tc>
        <w:tc>
          <w:tcPr>
            <w:tcW w:w="1346" w:type="pct"/>
            <w:shd w:val="clear" w:color="auto" w:fill="auto"/>
          </w:tcPr>
          <w:p w14:paraId="7062FE67"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125887</w:t>
            </w:r>
          </w:p>
        </w:tc>
        <w:tc>
          <w:tcPr>
            <w:tcW w:w="1346" w:type="pct"/>
            <w:shd w:val="clear" w:color="auto" w:fill="auto"/>
          </w:tcPr>
          <w:p w14:paraId="20C6AAF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124234</w:t>
            </w:r>
          </w:p>
        </w:tc>
        <w:tc>
          <w:tcPr>
            <w:tcW w:w="1347" w:type="pct"/>
            <w:shd w:val="clear" w:color="auto" w:fill="auto"/>
          </w:tcPr>
          <w:p w14:paraId="009A38E1"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124332</w:t>
            </w:r>
          </w:p>
        </w:tc>
      </w:tr>
      <w:tr w:rsidR="00C332E9" w:rsidRPr="00C332E9" w14:paraId="46E355D0"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7F1ECCD"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Przeciętne dalsze trwanie życia</w:t>
            </w:r>
          </w:p>
        </w:tc>
        <w:tc>
          <w:tcPr>
            <w:tcW w:w="1346" w:type="pct"/>
            <w:shd w:val="clear" w:color="auto" w:fill="auto"/>
          </w:tcPr>
          <w:p w14:paraId="171673C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męskiej – 72,8</w:t>
            </w:r>
          </w:p>
          <w:p w14:paraId="5364642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żeńskiej – 80,9</w:t>
            </w:r>
          </w:p>
          <w:p w14:paraId="4D62CAE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Mężczyzna w wieku 60 lat – 18,2</w:t>
            </w:r>
          </w:p>
          <w:p w14:paraId="620E526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Kobieta w wieku 60 – 23,4</w:t>
            </w:r>
          </w:p>
        </w:tc>
        <w:tc>
          <w:tcPr>
            <w:tcW w:w="1346" w:type="pct"/>
            <w:shd w:val="clear" w:color="auto" w:fill="auto"/>
          </w:tcPr>
          <w:p w14:paraId="5A7D62B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męskiej – 71,6</w:t>
            </w:r>
          </w:p>
          <w:p w14:paraId="1740B9A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Noworodek płci żeńskiej – 80,0</w:t>
            </w:r>
          </w:p>
          <w:p w14:paraId="291F3E32"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Mężczyzna w wieku 60 lat – 17,4</w:t>
            </w:r>
          </w:p>
          <w:p w14:paraId="2EA1C7AD"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Kobieta w wieku 60 – 22,6</w:t>
            </w:r>
          </w:p>
        </w:tc>
        <w:tc>
          <w:tcPr>
            <w:tcW w:w="1347" w:type="pct"/>
            <w:shd w:val="clear" w:color="auto" w:fill="auto"/>
          </w:tcPr>
          <w:p w14:paraId="0F760494"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 xml:space="preserve">Noworodek płci męskiej – </w:t>
            </w:r>
            <w:r w:rsidRPr="00C332E9">
              <w:rPr>
                <w:rFonts w:ascii="Lato" w:hAnsi="Lato"/>
                <w:sz w:val="18"/>
                <w:szCs w:val="18"/>
              </w:rPr>
              <w:t xml:space="preserve"> </w:t>
            </w:r>
            <w:r w:rsidRPr="00C332E9">
              <w:rPr>
                <w:rFonts w:ascii="Lato" w:hAnsi="Lato" w:cs="Times New Roman"/>
                <w:color w:val="auto"/>
                <w:sz w:val="18"/>
                <w:szCs w:val="18"/>
              </w:rPr>
              <w:t>73,8</w:t>
            </w:r>
          </w:p>
          <w:p w14:paraId="3D9A553E"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 xml:space="preserve">Noworodek płci żeńskiej – </w:t>
            </w:r>
            <w:r w:rsidRPr="00C332E9">
              <w:rPr>
                <w:rFonts w:ascii="Lato" w:hAnsi="Lato"/>
                <w:sz w:val="18"/>
                <w:szCs w:val="18"/>
              </w:rPr>
              <w:t xml:space="preserve"> </w:t>
            </w:r>
            <w:r w:rsidRPr="00C332E9">
              <w:rPr>
                <w:rFonts w:ascii="Lato" w:hAnsi="Lato" w:cs="Times New Roman"/>
                <w:color w:val="auto"/>
                <w:sz w:val="18"/>
                <w:szCs w:val="18"/>
              </w:rPr>
              <w:t>81,5</w:t>
            </w:r>
          </w:p>
          <w:p w14:paraId="64C4FD3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 xml:space="preserve">Mężczyzna w wieku 60 lat – </w:t>
            </w:r>
            <w:r w:rsidRPr="00C332E9">
              <w:rPr>
                <w:rFonts w:ascii="Lato" w:hAnsi="Lato"/>
                <w:sz w:val="18"/>
                <w:szCs w:val="18"/>
              </w:rPr>
              <w:t xml:space="preserve"> </w:t>
            </w:r>
            <w:r w:rsidRPr="00C332E9">
              <w:rPr>
                <w:rFonts w:ascii="Lato" w:hAnsi="Lato" w:cs="Times New Roman"/>
                <w:color w:val="auto"/>
                <w:sz w:val="18"/>
                <w:szCs w:val="18"/>
              </w:rPr>
              <w:t>19,0</w:t>
            </w:r>
          </w:p>
          <w:p w14:paraId="7432408D"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Kobieta w wieku 60 – 23,9</w:t>
            </w:r>
          </w:p>
        </w:tc>
      </w:tr>
      <w:tr w:rsidR="00C332E9" w:rsidRPr="00C332E9" w14:paraId="0894B06C"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A5FD85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feminizacji</w:t>
            </w:r>
          </w:p>
        </w:tc>
        <w:tc>
          <w:tcPr>
            <w:tcW w:w="1346" w:type="pct"/>
            <w:shd w:val="clear" w:color="auto" w:fill="auto"/>
          </w:tcPr>
          <w:p w14:paraId="69FA6767"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109</w:t>
            </w:r>
          </w:p>
        </w:tc>
        <w:tc>
          <w:tcPr>
            <w:tcW w:w="1346" w:type="pct"/>
            <w:shd w:val="clear" w:color="auto" w:fill="auto"/>
          </w:tcPr>
          <w:p w14:paraId="465DBB4D"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109</w:t>
            </w:r>
          </w:p>
        </w:tc>
        <w:tc>
          <w:tcPr>
            <w:tcW w:w="1347" w:type="pct"/>
            <w:shd w:val="clear" w:color="auto" w:fill="auto"/>
          </w:tcPr>
          <w:p w14:paraId="14E74D7F"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109</w:t>
            </w:r>
          </w:p>
        </w:tc>
      </w:tr>
      <w:tr w:rsidR="00C332E9" w:rsidRPr="00C332E9" w14:paraId="4D01D397" w14:textId="77777777" w:rsidTr="00C3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B40C3F3"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0EAA1B4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27,6</w:t>
            </w:r>
          </w:p>
        </w:tc>
        <w:tc>
          <w:tcPr>
            <w:tcW w:w="1346" w:type="pct"/>
            <w:shd w:val="clear" w:color="auto" w:fill="auto"/>
          </w:tcPr>
          <w:p w14:paraId="2EE4DF5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28,2</w:t>
            </w:r>
          </w:p>
        </w:tc>
        <w:tc>
          <w:tcPr>
            <w:tcW w:w="1347" w:type="pct"/>
            <w:shd w:val="clear" w:color="auto" w:fill="auto"/>
          </w:tcPr>
          <w:p w14:paraId="1D57D13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28,9</w:t>
            </w:r>
          </w:p>
        </w:tc>
      </w:tr>
      <w:tr w:rsidR="00C332E9" w:rsidRPr="00C332E9" w14:paraId="6E11CDC1" w14:textId="77777777" w:rsidTr="00C332E9">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A1F32ED"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lastRenderedPageBreak/>
              <w:t>Współczynnik zgonów</w:t>
            </w:r>
          </w:p>
        </w:tc>
        <w:tc>
          <w:tcPr>
            <w:tcW w:w="1346" w:type="pct"/>
            <w:shd w:val="clear" w:color="auto" w:fill="auto"/>
          </w:tcPr>
          <w:p w14:paraId="79F19D96"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12,2</w:t>
            </w:r>
          </w:p>
        </w:tc>
        <w:tc>
          <w:tcPr>
            <w:tcW w:w="1346" w:type="pct"/>
            <w:shd w:val="clear" w:color="auto" w:fill="auto"/>
          </w:tcPr>
          <w:p w14:paraId="45378E7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13,3</w:t>
            </w:r>
          </w:p>
        </w:tc>
        <w:tc>
          <w:tcPr>
            <w:tcW w:w="1347" w:type="pct"/>
            <w:shd w:val="clear" w:color="auto" w:fill="auto"/>
          </w:tcPr>
          <w:p w14:paraId="7F6202C9"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11,4</w:t>
            </w:r>
          </w:p>
        </w:tc>
      </w:tr>
      <w:tr w:rsidR="00C332E9" w:rsidRPr="00C332E9" w14:paraId="35AEA62C"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3C0F6551"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lang w:eastAsia="pl-PL"/>
              </w:rPr>
              <w:t>AKTYWNOŚĆ EKONOMICZNA OSÓB STARSZYCH – DANE ZA 2022 R.</w:t>
            </w:r>
            <w:r w:rsidRPr="00C332E9">
              <w:rPr>
                <w:rFonts w:ascii="Lato" w:hAnsi="Lato" w:cs="Times New Roman"/>
                <w:color w:val="auto"/>
                <w:sz w:val="18"/>
                <w:szCs w:val="18"/>
                <w:vertAlign w:val="superscript"/>
                <w:lang w:eastAsia="pl-PL"/>
              </w:rPr>
              <w:t>1)</w:t>
            </w:r>
          </w:p>
        </w:tc>
      </w:tr>
      <w:tr w:rsidR="00C332E9" w:rsidRPr="00C332E9" w14:paraId="4895ED07"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0829C659" w14:textId="77777777" w:rsidR="00C332E9" w:rsidRPr="00C332E9" w:rsidRDefault="00C332E9" w:rsidP="00CA4EC0">
            <w:pPr>
              <w:rPr>
                <w:rFonts w:ascii="Lato" w:hAnsi="Lato" w:cs="Times New Roman"/>
                <w:color w:val="auto"/>
                <w:sz w:val="18"/>
                <w:szCs w:val="18"/>
              </w:rPr>
            </w:pPr>
            <w:r w:rsidRPr="00C332E9">
              <w:rPr>
                <w:rFonts w:ascii="Lato" w:hAnsi="Lato" w:cs="Times New Roman"/>
                <w:color w:val="auto"/>
                <w:sz w:val="18"/>
                <w:szCs w:val="18"/>
              </w:rPr>
              <w:t>Podział</w:t>
            </w:r>
          </w:p>
        </w:tc>
        <w:tc>
          <w:tcPr>
            <w:tcW w:w="2693" w:type="pct"/>
            <w:gridSpan w:val="2"/>
            <w:shd w:val="clear" w:color="auto" w:fill="auto"/>
          </w:tcPr>
          <w:p w14:paraId="45AAE813"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Liczba</w:t>
            </w:r>
          </w:p>
        </w:tc>
      </w:tr>
      <w:tr w:rsidR="00C332E9" w:rsidRPr="00C332E9" w14:paraId="046E814C" w14:textId="77777777" w:rsidTr="00C332E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AB3145D"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Osoby aktywne zawodowo razem (w tys.)</w:t>
            </w:r>
          </w:p>
        </w:tc>
        <w:tc>
          <w:tcPr>
            <w:tcW w:w="1346" w:type="pct"/>
            <w:shd w:val="clear" w:color="auto" w:fill="auto"/>
          </w:tcPr>
          <w:p w14:paraId="0321001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240C3C35"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2676</w:t>
            </w:r>
          </w:p>
        </w:tc>
      </w:tr>
      <w:tr w:rsidR="00C332E9" w:rsidRPr="00C332E9" w14:paraId="5817AF29"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E62E208"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528600D5"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79DAC07F"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250</w:t>
            </w:r>
          </w:p>
        </w:tc>
      </w:tr>
      <w:tr w:rsidR="00C332E9" w:rsidRPr="00C332E9" w14:paraId="4BEB8305" w14:textId="77777777" w:rsidTr="00C332E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FA7AECF"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 xml:space="preserve">Osoby aktywne zawodowo </w:t>
            </w:r>
            <w:r w:rsidRPr="00C332E9">
              <w:rPr>
                <w:rFonts w:ascii="Lato" w:hAnsi="Lato" w:cs="Times New Roman"/>
                <w:color w:val="auto"/>
                <w:sz w:val="18"/>
                <w:szCs w:val="18"/>
                <w:lang w:eastAsia="pl-PL"/>
              </w:rPr>
              <w:br/>
              <w:t>– pracujący (w tys.)</w:t>
            </w:r>
          </w:p>
        </w:tc>
        <w:tc>
          <w:tcPr>
            <w:tcW w:w="1346" w:type="pct"/>
            <w:shd w:val="clear" w:color="auto" w:fill="auto"/>
          </w:tcPr>
          <w:p w14:paraId="7EE9F8C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70FA430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2605</w:t>
            </w:r>
          </w:p>
        </w:tc>
      </w:tr>
      <w:tr w:rsidR="00C332E9" w:rsidRPr="00C332E9" w14:paraId="70576390" w14:textId="77777777" w:rsidTr="00C332E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50E384D"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2D92A18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6D4AF9A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246</w:t>
            </w:r>
          </w:p>
        </w:tc>
      </w:tr>
      <w:tr w:rsidR="00C332E9" w:rsidRPr="00C332E9" w14:paraId="5E3BF3A3" w14:textId="77777777" w:rsidTr="00C332E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3936FA4"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Osoby bierne zawodowo (w tys.)</w:t>
            </w:r>
          </w:p>
        </w:tc>
        <w:tc>
          <w:tcPr>
            <w:tcW w:w="1346" w:type="pct"/>
            <w:shd w:val="clear" w:color="auto" w:fill="auto"/>
          </w:tcPr>
          <w:p w14:paraId="2A2EC8D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5FDA8C0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1627</w:t>
            </w:r>
          </w:p>
        </w:tc>
      </w:tr>
      <w:tr w:rsidR="00C332E9" w:rsidRPr="00C332E9" w14:paraId="5B65D3FE" w14:textId="77777777" w:rsidTr="00C332E9">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CFEAC66"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1128AC62"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6069F195"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1050</w:t>
            </w:r>
          </w:p>
        </w:tc>
      </w:tr>
      <w:tr w:rsidR="00C332E9" w:rsidRPr="00C332E9" w14:paraId="6D779848" w14:textId="77777777" w:rsidTr="00C332E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C82A291"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Współczynnik aktywności zawodowej %</w:t>
            </w:r>
          </w:p>
        </w:tc>
        <w:tc>
          <w:tcPr>
            <w:tcW w:w="1346" w:type="pct"/>
            <w:shd w:val="clear" w:color="auto" w:fill="auto"/>
          </w:tcPr>
          <w:p w14:paraId="6AA39912"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2134463F"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62,2</w:t>
            </w:r>
          </w:p>
        </w:tc>
      </w:tr>
      <w:tr w:rsidR="00C332E9" w:rsidRPr="00C332E9" w14:paraId="46DF17AA" w14:textId="77777777" w:rsidTr="00C332E9">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19E13E"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1BE2CE55"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67125F4E"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19,2</w:t>
            </w:r>
          </w:p>
        </w:tc>
      </w:tr>
      <w:tr w:rsidR="00C332E9" w:rsidRPr="00C332E9" w14:paraId="4ED3D2F7" w14:textId="77777777" w:rsidTr="00C332E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79BB6E9" w14:textId="77777777" w:rsidR="00C332E9" w:rsidRPr="00C332E9" w:rsidRDefault="00C332E9" w:rsidP="00CA4EC0">
            <w:pPr>
              <w:rPr>
                <w:rFonts w:ascii="Lato" w:hAnsi="Lato" w:cs="Times New Roman"/>
                <w:b w:val="0"/>
                <w:color w:val="auto"/>
                <w:sz w:val="18"/>
                <w:szCs w:val="18"/>
                <w:lang w:eastAsia="pl-PL"/>
              </w:rPr>
            </w:pPr>
            <w:r w:rsidRPr="00C332E9">
              <w:rPr>
                <w:rFonts w:ascii="Lato" w:hAnsi="Lato" w:cs="Times New Roman"/>
                <w:color w:val="auto"/>
                <w:sz w:val="18"/>
                <w:szCs w:val="18"/>
                <w:lang w:eastAsia="pl-PL"/>
              </w:rPr>
              <w:t>Wskaźnik zatrudnienia %</w:t>
            </w:r>
          </w:p>
        </w:tc>
        <w:tc>
          <w:tcPr>
            <w:tcW w:w="1346" w:type="pct"/>
            <w:shd w:val="clear" w:color="auto" w:fill="auto"/>
          </w:tcPr>
          <w:p w14:paraId="2BC506E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40A681F1"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60,5</w:t>
            </w:r>
          </w:p>
        </w:tc>
      </w:tr>
      <w:tr w:rsidR="00C332E9" w:rsidRPr="00C332E9" w14:paraId="5648F454" w14:textId="77777777" w:rsidTr="00C332E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F513475" w14:textId="77777777" w:rsidR="00C332E9" w:rsidRPr="00C332E9" w:rsidRDefault="00C332E9" w:rsidP="00CA4EC0">
            <w:pPr>
              <w:rPr>
                <w:rFonts w:ascii="Lato" w:hAnsi="Lato" w:cs="Times New Roman"/>
                <w:b w:val="0"/>
                <w:color w:val="auto"/>
                <w:sz w:val="18"/>
                <w:szCs w:val="18"/>
                <w:lang w:eastAsia="pl-PL"/>
              </w:rPr>
            </w:pPr>
          </w:p>
        </w:tc>
        <w:tc>
          <w:tcPr>
            <w:tcW w:w="1346" w:type="pct"/>
            <w:shd w:val="clear" w:color="auto" w:fill="auto"/>
          </w:tcPr>
          <w:p w14:paraId="59564777"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60-89 lat</w:t>
            </w:r>
          </w:p>
        </w:tc>
        <w:tc>
          <w:tcPr>
            <w:tcW w:w="2693" w:type="pct"/>
            <w:gridSpan w:val="2"/>
            <w:shd w:val="clear" w:color="auto" w:fill="auto"/>
          </w:tcPr>
          <w:p w14:paraId="5E008DB3"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18,9</w:t>
            </w:r>
          </w:p>
        </w:tc>
      </w:tr>
      <w:tr w:rsidR="00C332E9" w:rsidRPr="00C332E9" w14:paraId="6056A928" w14:textId="77777777" w:rsidTr="00C332E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7D20E5C" w14:textId="77777777" w:rsidR="00C332E9" w:rsidRPr="00C332E9" w:rsidRDefault="00C332E9" w:rsidP="00CA4EC0">
            <w:pPr>
              <w:rPr>
                <w:rFonts w:ascii="Lato" w:hAnsi="Lato" w:cs="Times New Roman"/>
                <w:b w:val="0"/>
                <w:color w:val="auto"/>
                <w:sz w:val="18"/>
                <w:szCs w:val="18"/>
                <w:lang w:eastAsia="pl-PL"/>
              </w:rPr>
            </w:pPr>
            <w:r w:rsidRPr="00C332E9">
              <w:rPr>
                <w:rFonts w:ascii="Lato" w:eastAsia="Times New Roman" w:hAnsi="Lato" w:cs="Times New Roman"/>
                <w:color w:val="auto"/>
                <w:sz w:val="18"/>
                <w:szCs w:val="18"/>
                <w:lang w:eastAsia="pl-PL"/>
              </w:rPr>
              <w:t xml:space="preserve">Osoby bierne zawodowo  w wieku 60-74 lata  według wybranych przyczyn bierności </w:t>
            </w:r>
            <w:r w:rsidRPr="00C332E9">
              <w:rPr>
                <w:rFonts w:ascii="Lato" w:eastAsia="Times New Roman" w:hAnsi="Lato" w:cs="Times New Roman"/>
                <w:color w:val="auto"/>
                <w:sz w:val="18"/>
                <w:szCs w:val="18"/>
                <w:lang w:eastAsia="pl-PL"/>
              </w:rPr>
              <w:br/>
              <w:t>(w tys.)</w:t>
            </w:r>
          </w:p>
        </w:tc>
        <w:tc>
          <w:tcPr>
            <w:tcW w:w="1346" w:type="pct"/>
            <w:shd w:val="clear" w:color="auto" w:fill="auto"/>
          </w:tcPr>
          <w:p w14:paraId="607DC313"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53B1A012"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742</w:t>
            </w:r>
          </w:p>
        </w:tc>
      </w:tr>
      <w:tr w:rsidR="00C332E9" w:rsidRPr="00C332E9" w14:paraId="00ABE8EE" w14:textId="77777777" w:rsidTr="00C332E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7A43C78"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72B0B8B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w:t>
            </w:r>
          </w:p>
        </w:tc>
      </w:tr>
      <w:tr w:rsidR="00C332E9" w:rsidRPr="00C332E9" w14:paraId="3061FFD3" w14:textId="77777777" w:rsidTr="00C332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E13A3D6"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2813D7C"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C332E9">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23207CD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742</w:t>
            </w:r>
          </w:p>
        </w:tc>
      </w:tr>
      <w:tr w:rsidR="00C332E9" w:rsidRPr="00C332E9" w14:paraId="1928ECEF" w14:textId="77777777" w:rsidTr="00C332E9">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AA01293"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9F571D6"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481CEFD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689</w:t>
            </w:r>
          </w:p>
        </w:tc>
      </w:tr>
      <w:tr w:rsidR="00C332E9" w:rsidRPr="00C332E9" w14:paraId="1A44EEE5" w14:textId="77777777" w:rsidTr="00C332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21655A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DE0D6C9"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759CC52B"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34</w:t>
            </w:r>
          </w:p>
        </w:tc>
      </w:tr>
      <w:tr w:rsidR="00C332E9" w:rsidRPr="00C332E9" w14:paraId="02DB0A03" w14:textId="77777777" w:rsidTr="00C332E9">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18D8CCC" w14:textId="77777777" w:rsidR="00C332E9" w:rsidRPr="00C332E9" w:rsidRDefault="00C332E9" w:rsidP="00CA4EC0">
            <w:pPr>
              <w:rPr>
                <w:rFonts w:ascii="Lato" w:eastAsia="Times New Roman" w:hAnsi="Lato" w:cs="Times New Roman"/>
                <w:b w:val="0"/>
                <w:bCs w:val="0"/>
                <w:color w:val="auto"/>
                <w:sz w:val="18"/>
                <w:szCs w:val="18"/>
                <w:lang w:eastAsia="pl-PL"/>
              </w:rPr>
            </w:pPr>
            <w:r w:rsidRPr="00C332E9">
              <w:rPr>
                <w:rFonts w:ascii="Lato" w:eastAsia="Times New Roman" w:hAnsi="Lato" w:cs="Times New Roman"/>
                <w:color w:val="auto"/>
                <w:sz w:val="18"/>
                <w:szCs w:val="18"/>
                <w:lang w:eastAsia="pl-PL"/>
              </w:rPr>
              <w:t>Osoby bezrobotne zarejestrowane w urzędach pracy (w tys.)</w:t>
            </w:r>
            <w:r w:rsidRPr="00C332E9">
              <w:rPr>
                <w:rFonts w:ascii="Lato" w:eastAsia="Times New Roman" w:hAnsi="Lato" w:cs="Times New Roman"/>
                <w:color w:val="auto"/>
                <w:sz w:val="18"/>
                <w:szCs w:val="18"/>
                <w:vertAlign w:val="superscript"/>
                <w:lang w:eastAsia="pl-PL"/>
              </w:rPr>
              <w:t>2)</w:t>
            </w:r>
          </w:p>
        </w:tc>
        <w:tc>
          <w:tcPr>
            <w:tcW w:w="1346" w:type="pct"/>
            <w:shd w:val="clear" w:color="auto" w:fill="auto"/>
          </w:tcPr>
          <w:p w14:paraId="0E5F648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Ogółem</w:t>
            </w:r>
          </w:p>
        </w:tc>
        <w:tc>
          <w:tcPr>
            <w:tcW w:w="2693" w:type="pct"/>
            <w:gridSpan w:val="2"/>
            <w:shd w:val="clear" w:color="auto" w:fill="auto"/>
          </w:tcPr>
          <w:p w14:paraId="7C9F35AC"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116,5</w:t>
            </w:r>
          </w:p>
        </w:tc>
      </w:tr>
      <w:tr w:rsidR="00C332E9" w:rsidRPr="00C332E9" w14:paraId="3AC29287" w14:textId="77777777" w:rsidTr="00C332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81BD8C0"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F57186A"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w tym w wieku 60-64 lata</w:t>
            </w:r>
          </w:p>
        </w:tc>
        <w:tc>
          <w:tcPr>
            <w:tcW w:w="2693" w:type="pct"/>
            <w:gridSpan w:val="2"/>
            <w:shd w:val="clear" w:color="auto" w:fill="auto"/>
          </w:tcPr>
          <w:p w14:paraId="5B50831B"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8,3</w:t>
            </w:r>
          </w:p>
        </w:tc>
      </w:tr>
      <w:tr w:rsidR="00C332E9" w:rsidRPr="00C332E9" w14:paraId="3538D60D" w14:textId="77777777" w:rsidTr="00C332E9">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57C1836" w14:textId="77777777" w:rsidR="00C332E9" w:rsidRPr="00C332E9" w:rsidRDefault="00C332E9" w:rsidP="00CA4EC0">
            <w:pPr>
              <w:rPr>
                <w:rFonts w:ascii="Lato" w:eastAsia="Times New Roman" w:hAnsi="Lato" w:cs="Times New Roman"/>
                <w:b w:val="0"/>
                <w:bCs w:val="0"/>
                <w:color w:val="auto"/>
                <w:sz w:val="18"/>
                <w:szCs w:val="18"/>
                <w:lang w:eastAsia="pl-PL"/>
              </w:rPr>
            </w:pPr>
            <w:r w:rsidRPr="00C332E9">
              <w:rPr>
                <w:rFonts w:ascii="Lato" w:eastAsia="Times New Roman" w:hAnsi="Lato" w:cs="Times New Roman"/>
                <w:color w:val="auto"/>
                <w:sz w:val="18"/>
                <w:szCs w:val="18"/>
                <w:lang w:eastAsia="pl-PL"/>
              </w:rPr>
              <w:t xml:space="preserve">Osoby pobierające renty </w:t>
            </w:r>
            <w:r w:rsidRPr="00C332E9">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14B9C149" w14:textId="77777777" w:rsidR="00C332E9" w:rsidRPr="00C332E9" w:rsidRDefault="00C332E9"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ZUS</w:t>
            </w:r>
          </w:p>
        </w:tc>
      </w:tr>
      <w:tr w:rsidR="00C332E9" w:rsidRPr="00C332E9" w14:paraId="373CDE92" w14:textId="77777777" w:rsidTr="00C332E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07883F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A6B935E"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Rodzaj świadczenia</w:t>
            </w:r>
          </w:p>
        </w:tc>
        <w:tc>
          <w:tcPr>
            <w:tcW w:w="2693" w:type="pct"/>
            <w:gridSpan w:val="2"/>
            <w:shd w:val="clear" w:color="auto" w:fill="auto"/>
          </w:tcPr>
          <w:p w14:paraId="5C01418E" w14:textId="77777777" w:rsidR="00C332E9" w:rsidRPr="00C332E9" w:rsidRDefault="00C332E9"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Przeciętna miesięczna liczba emerytów i rencistów (w tys.)</w:t>
            </w:r>
          </w:p>
        </w:tc>
      </w:tr>
      <w:tr w:rsidR="00C332E9" w:rsidRPr="00C332E9" w14:paraId="013289FD" w14:textId="77777777" w:rsidTr="00C332E9">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53355CA"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D6EFC8E"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Emerytury</w:t>
            </w:r>
          </w:p>
        </w:tc>
        <w:tc>
          <w:tcPr>
            <w:tcW w:w="2693" w:type="pct"/>
            <w:gridSpan w:val="2"/>
            <w:shd w:val="clear" w:color="auto" w:fill="auto"/>
          </w:tcPr>
          <w:p w14:paraId="75DB82B6"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843,0</w:t>
            </w:r>
          </w:p>
        </w:tc>
      </w:tr>
      <w:tr w:rsidR="00C332E9" w:rsidRPr="00C332E9" w14:paraId="2835D282" w14:textId="77777777" w:rsidTr="00C332E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AE46AC8"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7E1332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z tytułu niezdolności do pracy</w:t>
            </w:r>
          </w:p>
        </w:tc>
        <w:tc>
          <w:tcPr>
            <w:tcW w:w="2693" w:type="pct"/>
            <w:gridSpan w:val="2"/>
            <w:shd w:val="clear" w:color="auto" w:fill="auto"/>
          </w:tcPr>
          <w:p w14:paraId="157442DD"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62,4</w:t>
            </w:r>
          </w:p>
        </w:tc>
      </w:tr>
      <w:tr w:rsidR="00C332E9" w:rsidRPr="00C332E9" w14:paraId="0FA6D51C" w14:textId="77777777" w:rsidTr="00C332E9">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3D97DE0"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9BEBA24"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rodzinne</w:t>
            </w:r>
          </w:p>
        </w:tc>
        <w:tc>
          <w:tcPr>
            <w:tcW w:w="2693" w:type="pct"/>
            <w:gridSpan w:val="2"/>
            <w:shd w:val="clear" w:color="auto" w:fill="auto"/>
          </w:tcPr>
          <w:p w14:paraId="64F7C0A8"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135,5</w:t>
            </w:r>
          </w:p>
        </w:tc>
      </w:tr>
      <w:tr w:rsidR="00C332E9" w:rsidRPr="00C332E9" w14:paraId="403DDC7B" w14:textId="77777777" w:rsidTr="00C332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E4A521D"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543CEC30" w14:textId="77777777" w:rsidR="00C332E9" w:rsidRPr="00C332E9" w:rsidRDefault="00C332E9"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KRUS</w:t>
            </w:r>
          </w:p>
        </w:tc>
      </w:tr>
      <w:tr w:rsidR="00C332E9" w:rsidRPr="00C332E9" w14:paraId="761FA616" w14:textId="77777777" w:rsidTr="00C332E9">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403BDE"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B457DAD"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Rodzaj świadczenia</w:t>
            </w:r>
          </w:p>
        </w:tc>
        <w:tc>
          <w:tcPr>
            <w:tcW w:w="2693" w:type="pct"/>
            <w:gridSpan w:val="2"/>
            <w:shd w:val="clear" w:color="auto" w:fill="auto"/>
          </w:tcPr>
          <w:p w14:paraId="13F3415F" w14:textId="77777777" w:rsidR="00C332E9" w:rsidRPr="00C332E9" w:rsidRDefault="00C332E9"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C332E9">
              <w:rPr>
                <w:rFonts w:ascii="Lato" w:hAnsi="Lato" w:cs="Times New Roman"/>
                <w:b/>
                <w:color w:val="auto"/>
                <w:sz w:val="18"/>
                <w:szCs w:val="18"/>
              </w:rPr>
              <w:t>Przeciętna miesięczna liczba emerytów i rencistów (w tys.)</w:t>
            </w:r>
          </w:p>
        </w:tc>
      </w:tr>
      <w:tr w:rsidR="00C332E9" w:rsidRPr="00C332E9" w14:paraId="32B072C1"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7338C42"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F9899F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Emerytury</w:t>
            </w:r>
          </w:p>
        </w:tc>
        <w:tc>
          <w:tcPr>
            <w:tcW w:w="2693" w:type="pct"/>
            <w:gridSpan w:val="2"/>
            <w:shd w:val="clear" w:color="auto" w:fill="auto"/>
          </w:tcPr>
          <w:p w14:paraId="2C577857"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123,8</w:t>
            </w:r>
          </w:p>
        </w:tc>
      </w:tr>
      <w:tr w:rsidR="00C332E9" w:rsidRPr="00C332E9" w14:paraId="5A725DF7" w14:textId="77777777" w:rsidTr="00C332E9">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62F2517"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9AEA810"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z tytułu niezdolności do pracy</w:t>
            </w:r>
          </w:p>
        </w:tc>
        <w:tc>
          <w:tcPr>
            <w:tcW w:w="2693" w:type="pct"/>
            <w:gridSpan w:val="2"/>
            <w:shd w:val="clear" w:color="auto" w:fill="auto"/>
          </w:tcPr>
          <w:p w14:paraId="4C725D4E" w14:textId="77777777" w:rsidR="00C332E9" w:rsidRPr="00C332E9" w:rsidRDefault="00C332E9"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22,2</w:t>
            </w:r>
          </w:p>
        </w:tc>
      </w:tr>
      <w:tr w:rsidR="00C332E9" w:rsidRPr="00C332E9" w14:paraId="65BD5671"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08BA465" w14:textId="77777777" w:rsidR="00C332E9" w:rsidRPr="00C332E9" w:rsidRDefault="00C332E9"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82EA476"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Renty rodzinne</w:t>
            </w:r>
          </w:p>
        </w:tc>
        <w:tc>
          <w:tcPr>
            <w:tcW w:w="2693" w:type="pct"/>
            <w:gridSpan w:val="2"/>
            <w:shd w:val="clear" w:color="auto" w:fill="auto"/>
          </w:tcPr>
          <w:p w14:paraId="706820C0" w14:textId="77777777" w:rsidR="00C332E9" w:rsidRPr="00C332E9" w:rsidRDefault="00C332E9"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C332E9">
              <w:rPr>
                <w:rFonts w:ascii="Lato" w:hAnsi="Lato" w:cs="Times New Roman"/>
                <w:color w:val="auto"/>
                <w:sz w:val="18"/>
                <w:szCs w:val="18"/>
              </w:rPr>
              <w:t>6,9</w:t>
            </w:r>
          </w:p>
        </w:tc>
      </w:tr>
      <w:tr w:rsidR="00C332E9" w:rsidRPr="00C332E9" w14:paraId="35EB1E16"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2BAA0E16" w14:textId="77777777" w:rsidR="00C332E9" w:rsidRPr="00C332E9" w:rsidRDefault="00C332E9" w:rsidP="00CA4EC0">
            <w:pPr>
              <w:jc w:val="center"/>
              <w:rPr>
                <w:rFonts w:ascii="Lato" w:hAnsi="Lato" w:cs="Times New Roman"/>
                <w:color w:val="auto"/>
                <w:sz w:val="18"/>
                <w:szCs w:val="18"/>
              </w:rPr>
            </w:pPr>
            <w:r w:rsidRPr="00C332E9">
              <w:rPr>
                <w:rFonts w:ascii="Lato" w:hAnsi="Lato" w:cs="Times New Roman"/>
                <w:color w:val="auto"/>
                <w:sz w:val="18"/>
                <w:szCs w:val="18"/>
              </w:rPr>
              <w:t xml:space="preserve">SYTUACJA DOCHODOWA, WARUNKI BYTU, W TYM WARUNKI MIESZKANIOWE – DANE ZA 2022 R. </w:t>
            </w:r>
          </w:p>
        </w:tc>
      </w:tr>
      <w:tr w:rsidR="00C332E9" w:rsidRPr="00C332E9" w14:paraId="6024DD19" w14:textId="77777777" w:rsidTr="00C332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9BA6E43" w14:textId="2D20B962" w:rsidR="00C332E9" w:rsidRPr="00C332E9" w:rsidRDefault="00C332E9" w:rsidP="00CA4EC0">
            <w:pPr>
              <w:tabs>
                <w:tab w:val="left" w:pos="2340"/>
              </w:tabs>
              <w:jc w:val="both"/>
              <w:rPr>
                <w:rFonts w:ascii="Lato" w:hAnsi="Lato" w:cs="Times New Roman"/>
                <w:b w:val="0"/>
                <w:color w:val="auto"/>
                <w:sz w:val="18"/>
                <w:szCs w:val="18"/>
              </w:rPr>
            </w:pPr>
            <w:r w:rsidRPr="00C332E9">
              <w:rPr>
                <w:rFonts w:ascii="Lato" w:hAnsi="Lato" w:cs="Times New Roman"/>
                <w:b w:val="0"/>
                <w:color w:val="auto"/>
                <w:sz w:val="18"/>
                <w:szCs w:val="18"/>
              </w:rPr>
              <w:t>W 2022 r. w województwie mazowieckim przeciętny miesięczny dochód rozporządzalny przypadający na 1 osobę w gospodarstwach domowych wyniósł 2685,93 zł. Na dochód rozporządzalny gospodarstwa domowego składają się przede wszystkim dochody z pracy najemnej oraz dochody ze świadczeń społecznych. W 2022 r. ich udział w dochodzie rozporządzalnym wyniósł odpowiednio 58,1% i 24,0%. W 2022 r. przeciętne miesięczne wydatki na 1 osobę w gospodarstwach domowych wyniosły 1672,67 zł.  Na żywność i napoje bezalkoholowe gospodarstwa domowe przeznaczały przeciętnie 23,6% ogólnej kwoty wydatków, na opłaty z tytułu użytkowania mieszkania lub domu i za korzystanie z nośników energii - 18,3%, a na zdrowie – 5,9%.</w:t>
            </w:r>
            <w:r w:rsidR="0031646A">
              <w:rPr>
                <w:rFonts w:ascii="Lato" w:hAnsi="Lato" w:cs="Times New Roman"/>
                <w:b w:val="0"/>
                <w:color w:val="auto"/>
                <w:sz w:val="18"/>
                <w:szCs w:val="18"/>
              </w:rPr>
              <w:t xml:space="preserve"> </w:t>
            </w:r>
            <w:r w:rsidRPr="00C332E9">
              <w:rPr>
                <w:rFonts w:ascii="Lato" w:hAnsi="Lato" w:cs="Times New Roman"/>
                <w:b w:val="0"/>
                <w:color w:val="auto"/>
                <w:sz w:val="18"/>
                <w:szCs w:val="18"/>
              </w:rPr>
              <w:t>W 2022 r. swoją sytuację materialną jako dobrą lub raczej dobrą oceniło 56,2% gospodarstw domowych. Udział gospodarstw określających swoją sytuację materialną jako przeciętną wyniósł 38,8%, a raczej złą lub złą ukształtował się na poziomie 5,0%.</w:t>
            </w:r>
            <w:r w:rsidR="0031646A">
              <w:rPr>
                <w:rFonts w:ascii="Lato" w:hAnsi="Lato" w:cs="Times New Roman"/>
                <w:b w:val="0"/>
                <w:color w:val="auto"/>
                <w:sz w:val="18"/>
                <w:szCs w:val="18"/>
              </w:rPr>
              <w:t xml:space="preserve"> </w:t>
            </w:r>
            <w:r w:rsidRPr="00C332E9">
              <w:rPr>
                <w:rFonts w:ascii="Lato" w:hAnsi="Lato" w:cs="Times New Roman"/>
                <w:b w:val="0"/>
                <w:color w:val="auto"/>
                <w:sz w:val="18"/>
                <w:szCs w:val="18"/>
              </w:rPr>
              <w:t>W analizowanym roku przeciętna liczba osób w gospodarstwie domowym ukształtowała się na poziomie 2,40. Przeciętna powierzchnia użytkowa mieszkania zajmowana przez gospodarstwo domowe wyniosła 81,9 m</w:t>
            </w:r>
            <w:r w:rsidRPr="00C332E9">
              <w:rPr>
                <w:rFonts w:ascii="Lato" w:hAnsi="Lato" w:cs="Times New Roman"/>
                <w:b w:val="0"/>
                <w:color w:val="auto"/>
                <w:sz w:val="18"/>
                <w:szCs w:val="18"/>
                <w:vertAlign w:val="superscript"/>
              </w:rPr>
              <w:t>2</w:t>
            </w:r>
            <w:r w:rsidRPr="00C332E9">
              <w:rPr>
                <w:rFonts w:ascii="Lato" w:hAnsi="Lato" w:cs="Times New Roman"/>
                <w:b w:val="0"/>
                <w:color w:val="auto"/>
                <w:sz w:val="18"/>
                <w:szCs w:val="18"/>
              </w:rPr>
              <w:t>.</w:t>
            </w:r>
          </w:p>
        </w:tc>
      </w:tr>
    </w:tbl>
    <w:p w14:paraId="3940592E"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74AA0875"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3A136D09" w14:textId="77777777" w:rsidR="00C332E9" w:rsidRPr="002A7F1A" w:rsidRDefault="00C332E9" w:rsidP="00C332E9">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1CCDF6C0" w14:textId="29D518E5" w:rsidR="00C332E9" w:rsidRPr="00C332E9" w:rsidRDefault="00C332E9" w:rsidP="00C332E9">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187347F5" w14:textId="33EC831D" w:rsidR="00BA7CBC" w:rsidRPr="002B0821" w:rsidRDefault="00586D97" w:rsidP="00B73AF7">
      <w:pPr>
        <w:pStyle w:val="Nagwek2"/>
        <w:numPr>
          <w:ilvl w:val="1"/>
          <w:numId w:val="44"/>
        </w:numPr>
        <w:rPr>
          <w:b/>
          <w:bCs/>
        </w:rPr>
      </w:pPr>
      <w:bookmarkStart w:id="157" w:name="_Toc142565955"/>
      <w:r w:rsidRPr="002B0821">
        <w:rPr>
          <w:b/>
          <w:bCs/>
        </w:rPr>
        <w:lastRenderedPageBreak/>
        <w:t>Województwo opolskie</w:t>
      </w:r>
      <w:bookmarkEnd w:id="157"/>
    </w:p>
    <w:p w14:paraId="5F57FBD9" w14:textId="77777777" w:rsidR="00631A93" w:rsidRPr="00631A93" w:rsidRDefault="00631A93" w:rsidP="00631A93">
      <w:pPr>
        <w:autoSpaceDE w:val="0"/>
        <w:autoSpaceDN w:val="0"/>
        <w:adjustRightInd w:val="0"/>
        <w:spacing w:after="0" w:line="240" w:lineRule="auto"/>
        <w:jc w:val="both"/>
        <w:rPr>
          <w:rFonts w:ascii="Lato" w:hAnsi="Lato" w:cs="Arial-BoldMT"/>
          <w:b/>
          <w:bCs/>
          <w:sz w:val="20"/>
          <w:szCs w:val="20"/>
        </w:rPr>
      </w:pPr>
      <w:r w:rsidRPr="00631A93">
        <w:rPr>
          <w:rFonts w:ascii="Lato" w:hAnsi="Lato" w:cs="Arial-BoldMT"/>
          <w:b/>
          <w:bCs/>
          <w:sz w:val="20"/>
          <w:szCs w:val="20"/>
        </w:rPr>
        <w:t>Wojewódzka Strategia w Zakresie Polityki Społecznej na lata 2016-2025</w:t>
      </w:r>
    </w:p>
    <w:p w14:paraId="213C69C4" w14:textId="0ABDA6FD" w:rsid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MT"/>
          <w:sz w:val="20"/>
          <w:szCs w:val="20"/>
        </w:rPr>
        <w:t>W Wojewódzkiej Strategii w Zakresie Polityki Społecznej na lata 2016-2025,</w:t>
      </w:r>
      <w:r>
        <w:rPr>
          <w:rFonts w:ascii="Lato" w:hAnsi="Lato" w:cs="ArialMT"/>
          <w:sz w:val="20"/>
          <w:szCs w:val="20"/>
        </w:rPr>
        <w:t xml:space="preserve"> </w:t>
      </w:r>
      <w:r w:rsidRPr="00631A93">
        <w:rPr>
          <w:rFonts w:ascii="Lato" w:hAnsi="Lato" w:cs="ArialMT"/>
          <w:sz w:val="20"/>
          <w:szCs w:val="20"/>
        </w:rPr>
        <w:t xml:space="preserve">w ramach Celu strategicznego 2 </w:t>
      </w:r>
      <w:r w:rsidRPr="00631A93">
        <w:rPr>
          <w:rFonts w:ascii="Lato" w:hAnsi="Lato" w:cs="Arial-BoldMT"/>
          <w:b/>
          <w:bCs/>
          <w:sz w:val="20"/>
          <w:szCs w:val="20"/>
        </w:rPr>
        <w:t xml:space="preserve">- </w:t>
      </w:r>
      <w:r w:rsidRPr="00631A93">
        <w:rPr>
          <w:rFonts w:ascii="Lato" w:hAnsi="Lato" w:cs="ArialMT"/>
          <w:sz w:val="20"/>
          <w:szCs w:val="20"/>
        </w:rPr>
        <w:t>zapisany jest opolski model wsparcia i aktywizacji seniorów,</w:t>
      </w:r>
      <w:r>
        <w:rPr>
          <w:rFonts w:ascii="Lato" w:hAnsi="Lato" w:cs="ArialMT"/>
          <w:sz w:val="20"/>
          <w:szCs w:val="20"/>
        </w:rPr>
        <w:t xml:space="preserve"> </w:t>
      </w:r>
      <w:r w:rsidRPr="00631A93">
        <w:rPr>
          <w:rFonts w:ascii="Lato" w:hAnsi="Lato" w:cs="ArialMT"/>
          <w:sz w:val="20"/>
          <w:szCs w:val="20"/>
        </w:rPr>
        <w:t>który szczegółowo określa działania wspierające i aktywizujące osoby starsze. Jednocześnie</w:t>
      </w:r>
      <w:r>
        <w:rPr>
          <w:rFonts w:ascii="Lato" w:hAnsi="Lato" w:cs="ArialMT"/>
          <w:sz w:val="20"/>
          <w:szCs w:val="20"/>
        </w:rPr>
        <w:t xml:space="preserve"> </w:t>
      </w:r>
      <w:r w:rsidRPr="00631A93">
        <w:rPr>
          <w:rFonts w:ascii="Lato" w:hAnsi="Lato" w:cs="ArialMT"/>
          <w:sz w:val="20"/>
          <w:szCs w:val="20"/>
        </w:rPr>
        <w:t>w ramach tego celu Strategia zakłada m. in. rozwój usług i form wsparcia takich jak np.</w:t>
      </w:r>
      <w:r>
        <w:rPr>
          <w:rFonts w:ascii="Lato" w:hAnsi="Lato" w:cs="ArialMT"/>
          <w:sz w:val="20"/>
          <w:szCs w:val="20"/>
        </w:rPr>
        <w:t xml:space="preserve"> </w:t>
      </w:r>
      <w:r w:rsidRPr="00631A93">
        <w:rPr>
          <w:rFonts w:ascii="Lato" w:hAnsi="Lato" w:cs="ArialMT"/>
          <w:sz w:val="20"/>
          <w:szCs w:val="20"/>
        </w:rPr>
        <w:t xml:space="preserve">mieszkania wspomagane, </w:t>
      </w:r>
      <w:proofErr w:type="spellStart"/>
      <w:r w:rsidRPr="00631A93">
        <w:rPr>
          <w:rFonts w:ascii="Lato" w:hAnsi="Lato" w:cs="ArialMT"/>
          <w:sz w:val="20"/>
          <w:szCs w:val="20"/>
        </w:rPr>
        <w:t>teleopieka</w:t>
      </w:r>
      <w:proofErr w:type="spellEnd"/>
      <w:r w:rsidRPr="00631A93">
        <w:rPr>
          <w:rFonts w:ascii="Lato" w:hAnsi="Lato" w:cs="ArialMT"/>
          <w:sz w:val="20"/>
          <w:szCs w:val="20"/>
        </w:rPr>
        <w:t>, usługi edukacyjne, kulturalne i rekreacyjne, zwiększenie</w:t>
      </w:r>
      <w:r>
        <w:rPr>
          <w:rFonts w:ascii="Lato" w:hAnsi="Lato" w:cs="ArialMT"/>
          <w:sz w:val="20"/>
          <w:szCs w:val="20"/>
        </w:rPr>
        <w:t xml:space="preserve"> </w:t>
      </w:r>
      <w:r w:rsidRPr="00631A93">
        <w:rPr>
          <w:rFonts w:ascii="Lato" w:hAnsi="Lato" w:cs="ArialMT"/>
          <w:sz w:val="20"/>
          <w:szCs w:val="20"/>
        </w:rPr>
        <w:t>aktywności seniorów i ich udziału w życiu społeczności lokalnych, w tym utworzenie</w:t>
      </w:r>
      <w:r>
        <w:rPr>
          <w:rFonts w:ascii="Lato" w:hAnsi="Lato" w:cs="ArialMT"/>
          <w:sz w:val="20"/>
          <w:szCs w:val="20"/>
        </w:rPr>
        <w:t xml:space="preserve"> </w:t>
      </w:r>
      <w:r w:rsidRPr="00631A93">
        <w:rPr>
          <w:rFonts w:ascii="Lato" w:hAnsi="Lato" w:cs="ArialMT"/>
          <w:sz w:val="20"/>
          <w:szCs w:val="20"/>
        </w:rPr>
        <w:t>regionalnego centrum wolontariatu seniorów.</w:t>
      </w:r>
    </w:p>
    <w:p w14:paraId="28BC00E4" w14:textId="77777777" w:rsidR="00631A93" w:rsidRPr="00631A93" w:rsidRDefault="00631A93" w:rsidP="00631A93">
      <w:pPr>
        <w:autoSpaceDE w:val="0"/>
        <w:autoSpaceDN w:val="0"/>
        <w:adjustRightInd w:val="0"/>
        <w:spacing w:after="0" w:line="240" w:lineRule="auto"/>
        <w:jc w:val="both"/>
        <w:rPr>
          <w:rFonts w:ascii="Lato" w:hAnsi="Lato" w:cs="ArialMT"/>
          <w:sz w:val="20"/>
          <w:szCs w:val="20"/>
        </w:rPr>
      </w:pPr>
    </w:p>
    <w:p w14:paraId="58AF7004" w14:textId="77777777" w:rsidR="00631A93" w:rsidRDefault="00631A93" w:rsidP="00631A93">
      <w:pPr>
        <w:autoSpaceDE w:val="0"/>
        <w:autoSpaceDN w:val="0"/>
        <w:adjustRightInd w:val="0"/>
        <w:spacing w:after="0" w:line="240" w:lineRule="auto"/>
        <w:jc w:val="both"/>
        <w:rPr>
          <w:rFonts w:ascii="Lato" w:hAnsi="Lato" w:cs="Arial-BoldMT"/>
          <w:b/>
          <w:bCs/>
          <w:sz w:val="20"/>
          <w:szCs w:val="20"/>
        </w:rPr>
      </w:pPr>
      <w:r w:rsidRPr="00631A93">
        <w:rPr>
          <w:rFonts w:ascii="Lato" w:hAnsi="Lato" w:cs="Arial-BoldMT"/>
          <w:b/>
          <w:bCs/>
          <w:sz w:val="20"/>
          <w:szCs w:val="20"/>
        </w:rPr>
        <w:t>Regionalny Plan Rozwoju Usług Społecznych i Deinstytucjonalizacji dla Województwa</w:t>
      </w:r>
      <w:r>
        <w:rPr>
          <w:rFonts w:ascii="Lato" w:hAnsi="Lato" w:cs="Arial-BoldMT"/>
          <w:b/>
          <w:bCs/>
          <w:sz w:val="20"/>
          <w:szCs w:val="20"/>
        </w:rPr>
        <w:t xml:space="preserve"> </w:t>
      </w:r>
      <w:r w:rsidRPr="00631A93">
        <w:rPr>
          <w:rFonts w:ascii="Lato" w:hAnsi="Lato" w:cs="Arial-BoldMT"/>
          <w:b/>
          <w:bCs/>
          <w:sz w:val="20"/>
          <w:szCs w:val="20"/>
        </w:rPr>
        <w:t>Opolskiego na lata 2023-2025.</w:t>
      </w:r>
      <w:r>
        <w:rPr>
          <w:rFonts w:ascii="Lato" w:hAnsi="Lato" w:cs="Arial-BoldMT"/>
          <w:b/>
          <w:bCs/>
          <w:sz w:val="20"/>
          <w:szCs w:val="20"/>
        </w:rPr>
        <w:t xml:space="preserve"> </w:t>
      </w:r>
      <w:r w:rsidRPr="00631A93">
        <w:rPr>
          <w:rFonts w:ascii="Lato" w:hAnsi="Lato" w:cs="ArialMT"/>
          <w:sz w:val="20"/>
          <w:szCs w:val="20"/>
        </w:rPr>
        <w:t>Jest to dokument, który stanowi uporządkowaną koncepcję zmiany w obszarach</w:t>
      </w:r>
      <w:r>
        <w:rPr>
          <w:rFonts w:ascii="Lato" w:hAnsi="Lato" w:cs="Arial-BoldMT"/>
          <w:b/>
          <w:bCs/>
          <w:sz w:val="20"/>
          <w:szCs w:val="20"/>
        </w:rPr>
        <w:t xml:space="preserve"> </w:t>
      </w:r>
      <w:r w:rsidRPr="00631A93">
        <w:rPr>
          <w:rFonts w:ascii="Lato" w:hAnsi="Lato" w:cs="ArialMT"/>
          <w:sz w:val="20"/>
          <w:szCs w:val="20"/>
        </w:rPr>
        <w:t xml:space="preserve">objętych </w:t>
      </w:r>
      <w:proofErr w:type="spellStart"/>
      <w:r w:rsidRPr="00631A93">
        <w:rPr>
          <w:rFonts w:ascii="Lato" w:hAnsi="Lato" w:cs="ArialMT"/>
          <w:sz w:val="20"/>
          <w:szCs w:val="20"/>
        </w:rPr>
        <w:t>deinstytucjonalizacją</w:t>
      </w:r>
      <w:proofErr w:type="spellEnd"/>
      <w:r w:rsidRPr="00631A93">
        <w:rPr>
          <w:rFonts w:ascii="Lato" w:hAnsi="Lato" w:cs="ArialMT"/>
          <w:sz w:val="20"/>
          <w:szCs w:val="20"/>
        </w:rPr>
        <w:t xml:space="preserve"> na poziomie regionalnym. Wytycza on kierunki rozwoju usług</w:t>
      </w:r>
      <w:r>
        <w:rPr>
          <w:rFonts w:ascii="Lato" w:hAnsi="Lato" w:cs="Arial-BoldMT"/>
          <w:b/>
          <w:bCs/>
          <w:sz w:val="20"/>
          <w:szCs w:val="20"/>
        </w:rPr>
        <w:t xml:space="preserve"> </w:t>
      </w:r>
      <w:r w:rsidRPr="00631A93">
        <w:rPr>
          <w:rFonts w:ascii="Lato" w:hAnsi="Lato" w:cs="ArialMT"/>
          <w:sz w:val="20"/>
          <w:szCs w:val="20"/>
        </w:rPr>
        <w:t>społecznych, jednocześnie wskazując możliwe źródła finansowania poszczególnych działań</w:t>
      </w:r>
      <w:r>
        <w:rPr>
          <w:rFonts w:ascii="Lato" w:hAnsi="Lato" w:cs="ArialMT"/>
          <w:sz w:val="20"/>
          <w:szCs w:val="20"/>
        </w:rPr>
        <w:t xml:space="preserve"> </w:t>
      </w:r>
      <w:r w:rsidRPr="00631A93">
        <w:rPr>
          <w:rFonts w:ascii="Lato" w:hAnsi="Lato" w:cs="ArialMT"/>
          <w:sz w:val="20"/>
          <w:szCs w:val="20"/>
        </w:rPr>
        <w:t>do realizacji w ramach 5 obszarów tematycznych:</w:t>
      </w:r>
    </w:p>
    <w:p w14:paraId="730028C7" w14:textId="77777777" w:rsidR="00631A93" w:rsidRPr="00631A93" w:rsidRDefault="00631A93" w:rsidP="0059185B">
      <w:pPr>
        <w:pStyle w:val="Akapitzlist"/>
        <w:numPr>
          <w:ilvl w:val="0"/>
          <w:numId w:val="74"/>
        </w:num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Osoby starsze i z niepełnosprawnościami oraz osoby potrzebujące wsparcia</w:t>
      </w:r>
      <w:r>
        <w:rPr>
          <w:rFonts w:ascii="Lato" w:hAnsi="Lato" w:cs="ArialMT"/>
          <w:sz w:val="20"/>
          <w:szCs w:val="20"/>
        </w:rPr>
        <w:t xml:space="preserve"> </w:t>
      </w:r>
      <w:r w:rsidRPr="00631A93">
        <w:rPr>
          <w:rFonts w:ascii="Lato" w:hAnsi="Lato" w:cs="ArialMT"/>
          <w:sz w:val="20"/>
          <w:szCs w:val="20"/>
        </w:rPr>
        <w:t>w codziennym funkcjonowaniu;</w:t>
      </w:r>
    </w:p>
    <w:p w14:paraId="3EFF61D2" w14:textId="77777777" w:rsidR="00631A93" w:rsidRPr="00631A93" w:rsidRDefault="00631A93" w:rsidP="0059185B">
      <w:pPr>
        <w:pStyle w:val="Akapitzlist"/>
        <w:numPr>
          <w:ilvl w:val="0"/>
          <w:numId w:val="74"/>
        </w:num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Rodzina i dzieci, w tym w kryzysie;</w:t>
      </w:r>
    </w:p>
    <w:p w14:paraId="6269BC6A" w14:textId="77777777" w:rsidR="00631A93" w:rsidRPr="00631A93" w:rsidRDefault="00631A93" w:rsidP="0059185B">
      <w:pPr>
        <w:pStyle w:val="Akapitzlist"/>
        <w:numPr>
          <w:ilvl w:val="0"/>
          <w:numId w:val="74"/>
        </w:num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Osoby z zaburzeniami psychicznymi i w kryzysie psychicznym;</w:t>
      </w:r>
    </w:p>
    <w:p w14:paraId="189E9C3C" w14:textId="77777777" w:rsidR="00631A93" w:rsidRPr="00631A93" w:rsidRDefault="00631A93" w:rsidP="0059185B">
      <w:pPr>
        <w:pStyle w:val="Akapitzlist"/>
        <w:numPr>
          <w:ilvl w:val="0"/>
          <w:numId w:val="74"/>
        </w:num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Osoby w kryzysie bezdomności;</w:t>
      </w:r>
    </w:p>
    <w:p w14:paraId="5F1A49F5" w14:textId="50DF1111" w:rsidR="00631A93" w:rsidRPr="00631A93" w:rsidRDefault="00631A93" w:rsidP="0059185B">
      <w:pPr>
        <w:pStyle w:val="Akapitzlist"/>
        <w:numPr>
          <w:ilvl w:val="0"/>
          <w:numId w:val="74"/>
        </w:num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Cudzoziemcy (w tym osoby przybyłe w wyniku wojny w Ukrainie).</w:t>
      </w:r>
    </w:p>
    <w:p w14:paraId="7CB0CF90" w14:textId="77777777" w:rsidR="00631A93" w:rsidRDefault="00631A93" w:rsidP="00631A93">
      <w:pPr>
        <w:autoSpaceDE w:val="0"/>
        <w:autoSpaceDN w:val="0"/>
        <w:adjustRightInd w:val="0"/>
        <w:spacing w:after="0" w:line="240" w:lineRule="auto"/>
        <w:jc w:val="both"/>
        <w:rPr>
          <w:rFonts w:ascii="Lato" w:hAnsi="Lato" w:cs="ArialMT"/>
          <w:sz w:val="20"/>
          <w:szCs w:val="20"/>
        </w:rPr>
      </w:pPr>
    </w:p>
    <w:p w14:paraId="1BECE172" w14:textId="45BDFDAA"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MT"/>
          <w:sz w:val="20"/>
          <w:szCs w:val="20"/>
        </w:rPr>
        <w:t>Dokument został opracowany przez Regionalny Ośrodek Polityki Społecznej w Opolu</w:t>
      </w:r>
      <w:r>
        <w:rPr>
          <w:rFonts w:ascii="Lato" w:hAnsi="Lato" w:cs="ArialMT"/>
          <w:sz w:val="20"/>
          <w:szCs w:val="20"/>
        </w:rPr>
        <w:t xml:space="preserve"> </w:t>
      </w:r>
      <w:r w:rsidRPr="00631A93">
        <w:rPr>
          <w:rFonts w:ascii="Lato" w:hAnsi="Lato" w:cs="ArialMT"/>
          <w:sz w:val="20"/>
          <w:szCs w:val="20"/>
        </w:rPr>
        <w:t>we współpracy z Wojewódzkim Urzędem Pracy, Departamentem Programowania Funduszy</w:t>
      </w:r>
      <w:r>
        <w:rPr>
          <w:rFonts w:ascii="Lato" w:hAnsi="Lato" w:cs="ArialMT"/>
          <w:sz w:val="20"/>
          <w:szCs w:val="20"/>
        </w:rPr>
        <w:t xml:space="preserve"> </w:t>
      </w:r>
      <w:r w:rsidRPr="00631A93">
        <w:rPr>
          <w:rFonts w:ascii="Lato" w:hAnsi="Lato" w:cs="ArialMT"/>
          <w:sz w:val="20"/>
          <w:szCs w:val="20"/>
        </w:rPr>
        <w:t>Europejskich oraz Departamentem Zdrowia i Polityki Społecznej UMWO. Projekt RPDI został</w:t>
      </w:r>
      <w:r>
        <w:rPr>
          <w:rFonts w:ascii="Lato" w:hAnsi="Lato" w:cs="ArialMT"/>
          <w:sz w:val="20"/>
          <w:szCs w:val="20"/>
        </w:rPr>
        <w:t xml:space="preserve"> </w:t>
      </w:r>
      <w:r w:rsidRPr="00631A93">
        <w:rPr>
          <w:rFonts w:ascii="Lato" w:hAnsi="Lato" w:cs="ArialMT"/>
          <w:sz w:val="20"/>
          <w:szCs w:val="20"/>
        </w:rPr>
        <w:t>upubliczniony i poddany konsultacjom zewnętrznym w dniach 15-24 marca 2023 r.</w:t>
      </w:r>
      <w:r>
        <w:rPr>
          <w:rFonts w:ascii="Lato" w:hAnsi="Lato" w:cs="ArialMT"/>
          <w:sz w:val="20"/>
          <w:szCs w:val="20"/>
        </w:rPr>
        <w:t xml:space="preserve"> </w:t>
      </w:r>
      <w:r w:rsidRPr="00631A93">
        <w:rPr>
          <w:rFonts w:ascii="Lato" w:hAnsi="Lato" w:cs="ArialMT"/>
          <w:sz w:val="20"/>
          <w:szCs w:val="20"/>
        </w:rPr>
        <w:t>Zaproszono do zapoznania się z projektem ponad 1 000 osób i przedstawicieli instytucji,</w:t>
      </w:r>
      <w:r>
        <w:rPr>
          <w:rFonts w:ascii="Lato" w:hAnsi="Lato" w:cs="ArialMT"/>
          <w:sz w:val="20"/>
          <w:szCs w:val="20"/>
        </w:rPr>
        <w:t xml:space="preserve"> </w:t>
      </w:r>
      <w:r w:rsidRPr="00631A93">
        <w:rPr>
          <w:rFonts w:ascii="Lato" w:hAnsi="Lato" w:cs="ArialMT"/>
          <w:sz w:val="20"/>
          <w:szCs w:val="20"/>
        </w:rPr>
        <w:t>podmiotów i organizacji, w tym pozarządowych.</w:t>
      </w:r>
    </w:p>
    <w:p w14:paraId="7181A950" w14:textId="77777777" w:rsidR="00631A93" w:rsidRDefault="00631A93" w:rsidP="00631A93">
      <w:pPr>
        <w:autoSpaceDE w:val="0"/>
        <w:autoSpaceDN w:val="0"/>
        <w:adjustRightInd w:val="0"/>
        <w:spacing w:after="0" w:line="240" w:lineRule="auto"/>
        <w:jc w:val="both"/>
        <w:rPr>
          <w:rFonts w:ascii="Lato" w:hAnsi="Lato" w:cs="CourierNewPSMT"/>
          <w:sz w:val="20"/>
          <w:szCs w:val="20"/>
        </w:rPr>
      </w:pPr>
    </w:p>
    <w:p w14:paraId="2C55563F" w14:textId="534EF64B" w:rsidR="00631A93" w:rsidRPr="00631A93" w:rsidRDefault="00631A93" w:rsidP="00631A93">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306C1629" w14:textId="711F4CDC" w:rsid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MT"/>
          <w:sz w:val="20"/>
          <w:szCs w:val="20"/>
        </w:rPr>
        <w:t>W ramach projektów Samorządu Województwa Opolskiego / Regionalnego Ośrodka</w:t>
      </w:r>
      <w:r>
        <w:rPr>
          <w:rFonts w:ascii="Lato" w:hAnsi="Lato" w:cs="ArialMT"/>
          <w:sz w:val="20"/>
          <w:szCs w:val="20"/>
        </w:rPr>
        <w:t xml:space="preserve"> </w:t>
      </w:r>
      <w:r w:rsidRPr="00631A93">
        <w:rPr>
          <w:rFonts w:ascii="Lato" w:hAnsi="Lato" w:cs="ArialMT"/>
          <w:sz w:val="20"/>
          <w:szCs w:val="20"/>
        </w:rPr>
        <w:t>Polityki Społecznej wspierających osoby starsze i niepełnosprawne warto wymienić:</w:t>
      </w:r>
    </w:p>
    <w:p w14:paraId="5884FE1D" w14:textId="011574A2" w:rsidR="00631A93" w:rsidRPr="00631A93" w:rsidRDefault="00631A93" w:rsidP="00631A93">
      <w:pPr>
        <w:autoSpaceDE w:val="0"/>
        <w:autoSpaceDN w:val="0"/>
        <w:adjustRightInd w:val="0"/>
        <w:spacing w:after="0" w:line="240" w:lineRule="auto"/>
        <w:jc w:val="both"/>
        <w:rPr>
          <w:rFonts w:ascii="Lato" w:hAnsi="Lato" w:cs="ArialMT"/>
          <w:sz w:val="20"/>
          <w:szCs w:val="20"/>
        </w:rPr>
      </w:pPr>
    </w:p>
    <w:p w14:paraId="77DE22FA" w14:textId="6934B0E7" w:rsidR="00631A93" w:rsidRPr="00631A93" w:rsidRDefault="00631A93" w:rsidP="00631A93">
      <w:pPr>
        <w:autoSpaceDE w:val="0"/>
        <w:autoSpaceDN w:val="0"/>
        <w:adjustRightInd w:val="0"/>
        <w:spacing w:after="0" w:line="240" w:lineRule="auto"/>
        <w:jc w:val="both"/>
        <w:rPr>
          <w:rFonts w:ascii="Lato" w:hAnsi="Lato" w:cs="Arial-BoldItalicMT"/>
          <w:b/>
          <w:bCs/>
          <w:i/>
          <w:iCs/>
          <w:sz w:val="20"/>
          <w:szCs w:val="20"/>
        </w:rPr>
      </w:pPr>
      <w:r w:rsidRPr="00631A93">
        <w:rPr>
          <w:rFonts w:ascii="Lato" w:hAnsi="Lato" w:cs="Arial-BoldMT"/>
          <w:b/>
          <w:bCs/>
          <w:sz w:val="20"/>
          <w:szCs w:val="20"/>
        </w:rPr>
        <w:t xml:space="preserve">Projekt </w:t>
      </w:r>
      <w:r w:rsidRPr="00631A93">
        <w:rPr>
          <w:rFonts w:ascii="Lato" w:hAnsi="Lato" w:cs="Arial-BoldItalicMT"/>
          <w:b/>
          <w:bCs/>
          <w:i/>
          <w:iCs/>
          <w:sz w:val="20"/>
          <w:szCs w:val="20"/>
        </w:rPr>
        <w:t>Nie-Sami-Dzielni – rozwój usług społecznych oraz wspierających osoby</w:t>
      </w:r>
      <w:r>
        <w:rPr>
          <w:rFonts w:ascii="Lato" w:hAnsi="Lato" w:cs="Arial-BoldItalicMT"/>
          <w:b/>
          <w:bCs/>
          <w:i/>
          <w:iCs/>
          <w:sz w:val="20"/>
          <w:szCs w:val="20"/>
        </w:rPr>
        <w:t xml:space="preserve"> </w:t>
      </w:r>
      <w:r w:rsidRPr="00631A93">
        <w:rPr>
          <w:rFonts w:ascii="Lato" w:hAnsi="Lato" w:cs="Arial-BoldItalicMT"/>
          <w:b/>
          <w:bCs/>
          <w:i/>
          <w:iCs/>
          <w:sz w:val="20"/>
          <w:szCs w:val="20"/>
        </w:rPr>
        <w:t xml:space="preserve">niesamodzielne </w:t>
      </w:r>
      <w:r w:rsidRPr="00631A93">
        <w:rPr>
          <w:rFonts w:ascii="Lato" w:hAnsi="Lato" w:cs="ArialMT"/>
          <w:sz w:val="20"/>
          <w:szCs w:val="20"/>
        </w:rPr>
        <w:t>(RPO WO 2014 – 2020). Głównym celem projektu jest zwiększenie</w:t>
      </w:r>
      <w:r>
        <w:rPr>
          <w:rFonts w:ascii="Lato" w:hAnsi="Lato" w:cs="Arial-BoldItalicMT"/>
          <w:b/>
          <w:bCs/>
          <w:i/>
          <w:iCs/>
          <w:sz w:val="20"/>
          <w:szCs w:val="20"/>
        </w:rPr>
        <w:t xml:space="preserve"> </w:t>
      </w:r>
      <w:r w:rsidRPr="00631A93">
        <w:rPr>
          <w:rFonts w:ascii="Lato" w:hAnsi="Lato" w:cs="ArialMT"/>
          <w:sz w:val="20"/>
          <w:szCs w:val="20"/>
        </w:rPr>
        <w:t>dostępu do usług społecznych świadczonych dla osób niesamodzielnych, starszych</w:t>
      </w:r>
      <w:r>
        <w:rPr>
          <w:rFonts w:ascii="Lato" w:hAnsi="Lato" w:cs="Arial-BoldItalicMT"/>
          <w:b/>
          <w:bCs/>
          <w:i/>
          <w:iCs/>
          <w:sz w:val="20"/>
          <w:szCs w:val="20"/>
        </w:rPr>
        <w:t xml:space="preserve"> </w:t>
      </w:r>
      <w:r w:rsidRPr="00631A93">
        <w:rPr>
          <w:rFonts w:ascii="Lato" w:hAnsi="Lato" w:cs="ArialMT"/>
          <w:sz w:val="20"/>
          <w:szCs w:val="20"/>
        </w:rPr>
        <w:t>i niepełnosprawnych, które pozwolą przeciwdziałać ich marginalizacji i wykluczeniu</w:t>
      </w:r>
      <w:r>
        <w:rPr>
          <w:rFonts w:ascii="Lato" w:hAnsi="Lato" w:cs="Arial-BoldItalicMT"/>
          <w:b/>
          <w:bCs/>
          <w:i/>
          <w:iCs/>
          <w:sz w:val="20"/>
          <w:szCs w:val="20"/>
        </w:rPr>
        <w:t xml:space="preserve"> </w:t>
      </w:r>
      <w:r w:rsidRPr="00631A93">
        <w:rPr>
          <w:rFonts w:ascii="Lato" w:hAnsi="Lato" w:cs="ArialMT"/>
          <w:sz w:val="20"/>
          <w:szCs w:val="20"/>
        </w:rPr>
        <w:t>społecznemu;</w:t>
      </w:r>
    </w:p>
    <w:p w14:paraId="242C98EE" w14:textId="77777777" w:rsidR="00631A93" w:rsidRDefault="00631A93" w:rsidP="00631A93">
      <w:pPr>
        <w:autoSpaceDE w:val="0"/>
        <w:autoSpaceDN w:val="0"/>
        <w:adjustRightInd w:val="0"/>
        <w:spacing w:after="0" w:line="240" w:lineRule="auto"/>
        <w:jc w:val="both"/>
        <w:rPr>
          <w:rFonts w:ascii="Lato" w:hAnsi="Lato" w:cs="Arial-BoldMT"/>
          <w:b/>
          <w:bCs/>
          <w:sz w:val="20"/>
          <w:szCs w:val="20"/>
        </w:rPr>
      </w:pPr>
    </w:p>
    <w:p w14:paraId="320894AF" w14:textId="5D4A2C4D"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MT"/>
          <w:sz w:val="20"/>
          <w:szCs w:val="20"/>
        </w:rPr>
        <w:t xml:space="preserve">Wsparcie </w:t>
      </w:r>
      <w:r w:rsidRPr="00631A93">
        <w:rPr>
          <w:rFonts w:ascii="Lato" w:hAnsi="Lato" w:cs="Arial-BoldItalicMT"/>
          <w:b/>
          <w:bCs/>
          <w:i/>
          <w:iCs/>
          <w:sz w:val="20"/>
          <w:szCs w:val="20"/>
        </w:rPr>
        <w:t xml:space="preserve">Marszałkowskiego kuriera społecznego </w:t>
      </w:r>
      <w:r w:rsidRPr="00631A93">
        <w:rPr>
          <w:rFonts w:ascii="Lato" w:hAnsi="Lato" w:cs="Arial-BoldMT"/>
          <w:b/>
          <w:bCs/>
          <w:sz w:val="20"/>
          <w:szCs w:val="20"/>
        </w:rPr>
        <w:t xml:space="preserve">(MKS) </w:t>
      </w:r>
      <w:r w:rsidRPr="00631A93">
        <w:rPr>
          <w:rFonts w:ascii="Lato" w:hAnsi="Lato" w:cs="ArialMT"/>
          <w:sz w:val="20"/>
          <w:szCs w:val="20"/>
        </w:rPr>
        <w:t>dla osób</w:t>
      </w:r>
      <w:r>
        <w:rPr>
          <w:rFonts w:ascii="Lato" w:hAnsi="Lato" w:cs="ArialMT"/>
          <w:sz w:val="20"/>
          <w:szCs w:val="20"/>
        </w:rPr>
        <w:t xml:space="preserve"> </w:t>
      </w:r>
      <w:r w:rsidRPr="00631A93">
        <w:rPr>
          <w:rFonts w:ascii="Lato" w:hAnsi="Lato" w:cs="ArialMT"/>
          <w:sz w:val="20"/>
          <w:szCs w:val="20"/>
        </w:rPr>
        <w:t xml:space="preserve">niesamodzielnych, starszych i osób z niepełnosprawnością – </w:t>
      </w:r>
      <w:r w:rsidRPr="00631A93">
        <w:rPr>
          <w:rFonts w:ascii="Lato" w:hAnsi="Lato" w:cs="Arial-BoldMT"/>
          <w:b/>
          <w:bCs/>
          <w:sz w:val="20"/>
          <w:szCs w:val="20"/>
        </w:rPr>
        <w:t>nowa usługa powstała</w:t>
      </w:r>
      <w:r>
        <w:rPr>
          <w:rFonts w:ascii="Lato" w:hAnsi="Lato" w:cs="ArialMT"/>
          <w:sz w:val="20"/>
          <w:szCs w:val="20"/>
        </w:rPr>
        <w:t xml:space="preserve"> </w:t>
      </w:r>
      <w:r w:rsidRPr="00631A93">
        <w:rPr>
          <w:rFonts w:ascii="Lato" w:hAnsi="Lato" w:cs="Arial-BoldMT"/>
          <w:b/>
          <w:bCs/>
          <w:sz w:val="20"/>
          <w:szCs w:val="20"/>
        </w:rPr>
        <w:t xml:space="preserve">w związku z pandemią. </w:t>
      </w:r>
      <w:r w:rsidRPr="00631A93">
        <w:rPr>
          <w:rFonts w:ascii="Lato" w:hAnsi="Lato" w:cs="ArialMT"/>
          <w:sz w:val="20"/>
          <w:szCs w:val="20"/>
        </w:rPr>
        <w:t>Skierowana jest do osób potrzebujących, które ze względu</w:t>
      </w:r>
      <w:r>
        <w:rPr>
          <w:rFonts w:ascii="Lato" w:hAnsi="Lato" w:cs="ArialMT"/>
          <w:sz w:val="20"/>
          <w:szCs w:val="20"/>
        </w:rPr>
        <w:t xml:space="preserve"> </w:t>
      </w:r>
      <w:r w:rsidRPr="00631A93">
        <w:rPr>
          <w:rFonts w:ascii="Lato" w:hAnsi="Lato" w:cs="ArialMT"/>
          <w:sz w:val="20"/>
          <w:szCs w:val="20"/>
        </w:rPr>
        <w:t>na wiek, stan zdrowia lub niesamodzielność, wymagają wsparcia. Usługa obejmuje:</w:t>
      </w:r>
      <w:r>
        <w:rPr>
          <w:rFonts w:ascii="Lato" w:hAnsi="Lato" w:cs="ArialMT"/>
          <w:sz w:val="20"/>
          <w:szCs w:val="20"/>
        </w:rPr>
        <w:t xml:space="preserve"> </w:t>
      </w:r>
      <w:r w:rsidRPr="00631A93">
        <w:rPr>
          <w:rFonts w:ascii="Lato" w:hAnsi="Lato" w:cs="ArialMT"/>
          <w:sz w:val="20"/>
          <w:szCs w:val="20"/>
        </w:rPr>
        <w:t>sprawienie zakupów, dowożenie artykułów spożywczych, leków, posiłków, doraźnej</w:t>
      </w:r>
      <w:r>
        <w:rPr>
          <w:rFonts w:ascii="Lato" w:hAnsi="Lato" w:cs="ArialMT"/>
          <w:sz w:val="20"/>
          <w:szCs w:val="20"/>
        </w:rPr>
        <w:t xml:space="preserve"> </w:t>
      </w:r>
      <w:r w:rsidRPr="00631A93">
        <w:rPr>
          <w:rFonts w:ascii="Lato" w:hAnsi="Lato" w:cs="ArialMT"/>
          <w:sz w:val="20"/>
          <w:szCs w:val="20"/>
        </w:rPr>
        <w:t>pomocy wg potrzeb, w tym na podstawie indywidualnych uzgodnień między kurierem</w:t>
      </w:r>
      <w:r>
        <w:rPr>
          <w:rFonts w:ascii="Lato" w:hAnsi="Lato" w:cs="ArialMT"/>
          <w:sz w:val="20"/>
          <w:szCs w:val="20"/>
        </w:rPr>
        <w:t xml:space="preserve"> </w:t>
      </w:r>
      <w:r w:rsidRPr="00631A93">
        <w:rPr>
          <w:rFonts w:ascii="Lato" w:hAnsi="Lato" w:cs="ArialMT"/>
          <w:sz w:val="20"/>
          <w:szCs w:val="20"/>
        </w:rPr>
        <w:t xml:space="preserve">społecznym i osobą wspieraną. W </w:t>
      </w:r>
      <w:r w:rsidRPr="00631A93">
        <w:rPr>
          <w:rFonts w:ascii="Lato" w:hAnsi="Lato" w:cs="Arial-BoldMT"/>
          <w:b/>
          <w:bCs/>
          <w:sz w:val="20"/>
          <w:szCs w:val="20"/>
        </w:rPr>
        <w:t>2022 r. z usług 121 kurierów skorzystały 2</w:t>
      </w:r>
      <w:r>
        <w:rPr>
          <w:rFonts w:ascii="Lato" w:hAnsi="Lato" w:cs="Arial-BoldMT"/>
          <w:b/>
          <w:bCs/>
          <w:sz w:val="20"/>
          <w:szCs w:val="20"/>
        </w:rPr>
        <w:t> </w:t>
      </w:r>
      <w:r w:rsidRPr="00631A93">
        <w:rPr>
          <w:rFonts w:ascii="Lato" w:hAnsi="Lato" w:cs="Arial-BoldMT"/>
          <w:b/>
          <w:bCs/>
          <w:sz w:val="20"/>
          <w:szCs w:val="20"/>
        </w:rPr>
        <w:t>842</w:t>
      </w:r>
      <w:r>
        <w:rPr>
          <w:rFonts w:ascii="Lato" w:hAnsi="Lato" w:cs="ArialMT"/>
          <w:sz w:val="20"/>
          <w:szCs w:val="20"/>
        </w:rPr>
        <w:t xml:space="preserve"> </w:t>
      </w:r>
      <w:r w:rsidRPr="00631A93">
        <w:rPr>
          <w:rFonts w:ascii="Lato" w:hAnsi="Lato" w:cs="Arial-BoldMT"/>
          <w:b/>
          <w:bCs/>
          <w:sz w:val="20"/>
          <w:szCs w:val="20"/>
        </w:rPr>
        <w:t>osoby w 42 gminach</w:t>
      </w:r>
      <w:r w:rsidRPr="00631A93">
        <w:rPr>
          <w:rFonts w:ascii="Lato" w:hAnsi="Lato" w:cs="ArialMT"/>
          <w:sz w:val="20"/>
          <w:szCs w:val="20"/>
        </w:rPr>
        <w:t xml:space="preserve">. Łącznie wydatkowano na ten cel </w:t>
      </w:r>
      <w:r w:rsidRPr="00631A93">
        <w:rPr>
          <w:rFonts w:ascii="Lato" w:hAnsi="Lato" w:cs="Arial-BoldMT"/>
          <w:b/>
          <w:bCs/>
          <w:sz w:val="20"/>
          <w:szCs w:val="20"/>
        </w:rPr>
        <w:t>4 668 850,72 zł;</w:t>
      </w:r>
    </w:p>
    <w:p w14:paraId="22D29C90" w14:textId="77777777" w:rsidR="00631A93" w:rsidRDefault="00631A93" w:rsidP="00631A93">
      <w:pPr>
        <w:autoSpaceDE w:val="0"/>
        <w:autoSpaceDN w:val="0"/>
        <w:adjustRightInd w:val="0"/>
        <w:spacing w:after="0" w:line="240" w:lineRule="auto"/>
        <w:jc w:val="both"/>
        <w:rPr>
          <w:rFonts w:ascii="Lato" w:hAnsi="Lato" w:cs="Arial-BoldMT"/>
          <w:b/>
          <w:bCs/>
          <w:sz w:val="20"/>
          <w:szCs w:val="20"/>
        </w:rPr>
      </w:pPr>
    </w:p>
    <w:p w14:paraId="6ABC14E8" w14:textId="4B04C7F5"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BoldMT"/>
          <w:b/>
          <w:bCs/>
          <w:sz w:val="20"/>
          <w:szCs w:val="20"/>
        </w:rPr>
        <w:t xml:space="preserve">Specjalistyczną rehabilitację społeczną osób po laryngektomii </w:t>
      </w:r>
      <w:r w:rsidRPr="00631A93">
        <w:rPr>
          <w:rFonts w:ascii="Lato" w:hAnsi="Lato" w:cs="ArialMT"/>
          <w:sz w:val="20"/>
          <w:szCs w:val="20"/>
        </w:rPr>
        <w:t>(po usunięciu</w:t>
      </w:r>
      <w:r>
        <w:rPr>
          <w:rFonts w:ascii="Lato" w:hAnsi="Lato" w:cs="ArialMT"/>
          <w:sz w:val="20"/>
          <w:szCs w:val="20"/>
        </w:rPr>
        <w:t xml:space="preserve"> </w:t>
      </w:r>
      <w:r w:rsidRPr="00631A93">
        <w:rPr>
          <w:rFonts w:ascii="Lato" w:hAnsi="Lato" w:cs="ArialMT"/>
          <w:sz w:val="20"/>
          <w:szCs w:val="20"/>
        </w:rPr>
        <w:t>krtani) – turnusy rehabilitacyjne oraz indywidualne poradnictwo i wsparcie</w:t>
      </w:r>
      <w:r>
        <w:rPr>
          <w:rFonts w:ascii="Lato" w:hAnsi="Lato" w:cs="ArialMT"/>
          <w:sz w:val="20"/>
          <w:szCs w:val="20"/>
        </w:rPr>
        <w:t xml:space="preserve"> </w:t>
      </w:r>
      <w:r w:rsidRPr="00631A93">
        <w:rPr>
          <w:rFonts w:ascii="Lato" w:hAnsi="Lato" w:cs="ArialMT"/>
          <w:sz w:val="20"/>
          <w:szCs w:val="20"/>
        </w:rPr>
        <w:t>terapeutyczne dla 30 osób (wykonawca:</w:t>
      </w:r>
      <w:r>
        <w:rPr>
          <w:rFonts w:ascii="Lato" w:hAnsi="Lato" w:cs="ArialMT"/>
          <w:sz w:val="20"/>
          <w:szCs w:val="20"/>
        </w:rPr>
        <w:t xml:space="preserve"> </w:t>
      </w:r>
      <w:r w:rsidRPr="00631A93">
        <w:rPr>
          <w:rFonts w:ascii="Lato" w:hAnsi="Lato" w:cs="ArialMT"/>
          <w:sz w:val="20"/>
          <w:szCs w:val="20"/>
        </w:rPr>
        <w:t>Opolska Szkoła Trenerów Rehabilitacji</w:t>
      </w:r>
      <w:r>
        <w:rPr>
          <w:rFonts w:ascii="Lato" w:hAnsi="Lato" w:cs="ArialMT"/>
          <w:sz w:val="20"/>
          <w:szCs w:val="20"/>
        </w:rPr>
        <w:t xml:space="preserve"> </w:t>
      </w:r>
      <w:r w:rsidRPr="00631A93">
        <w:rPr>
          <w:rFonts w:ascii="Lato" w:hAnsi="Lato" w:cs="ArialMT"/>
          <w:sz w:val="20"/>
          <w:szCs w:val="20"/>
        </w:rPr>
        <w:t>Laryngektomowanych w Opolu);</w:t>
      </w:r>
    </w:p>
    <w:p w14:paraId="6933396E" w14:textId="77777777" w:rsidR="00631A93" w:rsidRDefault="00631A93" w:rsidP="00631A93">
      <w:pPr>
        <w:autoSpaceDE w:val="0"/>
        <w:autoSpaceDN w:val="0"/>
        <w:adjustRightInd w:val="0"/>
        <w:spacing w:after="0" w:line="240" w:lineRule="auto"/>
        <w:jc w:val="both"/>
        <w:rPr>
          <w:rFonts w:ascii="Lato" w:hAnsi="Lato" w:cs="ArialMT"/>
          <w:sz w:val="20"/>
          <w:szCs w:val="20"/>
        </w:rPr>
      </w:pPr>
    </w:p>
    <w:p w14:paraId="6CDD9DF6" w14:textId="6CE2EAC2" w:rsidR="00631A93" w:rsidRPr="00631A93" w:rsidRDefault="00631A93" w:rsidP="00631A93">
      <w:pPr>
        <w:autoSpaceDE w:val="0"/>
        <w:autoSpaceDN w:val="0"/>
        <w:adjustRightInd w:val="0"/>
        <w:spacing w:after="0" w:line="240" w:lineRule="auto"/>
        <w:jc w:val="both"/>
        <w:rPr>
          <w:rFonts w:ascii="Lato" w:hAnsi="Lato" w:cs="Arial-BoldMT"/>
          <w:b/>
          <w:bCs/>
          <w:sz w:val="20"/>
          <w:szCs w:val="20"/>
        </w:rPr>
      </w:pPr>
      <w:r w:rsidRPr="00631A93">
        <w:rPr>
          <w:rFonts w:ascii="Lato" w:hAnsi="Lato" w:cs="Arial-BoldMT"/>
          <w:b/>
          <w:bCs/>
          <w:sz w:val="20"/>
          <w:szCs w:val="20"/>
        </w:rPr>
        <w:t>Indywidualną rehabilitację społeczno-zawodową osób z niepełnosprawnościami</w:t>
      </w:r>
      <w:r>
        <w:rPr>
          <w:rFonts w:ascii="Lato" w:hAnsi="Lato" w:cs="Arial-BoldMT"/>
          <w:b/>
          <w:bCs/>
          <w:sz w:val="20"/>
          <w:szCs w:val="20"/>
        </w:rPr>
        <w:t xml:space="preserve"> </w:t>
      </w:r>
      <w:r w:rsidRPr="00631A93">
        <w:rPr>
          <w:rFonts w:ascii="Lato" w:hAnsi="Lato" w:cs="ArialMT"/>
          <w:sz w:val="20"/>
          <w:szCs w:val="20"/>
        </w:rPr>
        <w:t>(zajęcia ruchowo-rehabilitacyjne i usprawniające dostosowane do potrzeb osoby</w:t>
      </w:r>
      <w:r>
        <w:rPr>
          <w:rFonts w:ascii="Lato" w:hAnsi="Lato" w:cs="Arial-BoldMT"/>
          <w:b/>
          <w:bCs/>
          <w:sz w:val="20"/>
          <w:szCs w:val="20"/>
        </w:rPr>
        <w:t xml:space="preserve"> </w:t>
      </w:r>
      <w:r w:rsidRPr="00631A93">
        <w:rPr>
          <w:rFonts w:ascii="Lato" w:hAnsi="Lato" w:cs="ArialMT"/>
          <w:sz w:val="20"/>
          <w:szCs w:val="20"/>
        </w:rPr>
        <w:t>w miejscu jej zamieszkania). W 2022 r. z tych usług skorzystało 200 osób</w:t>
      </w:r>
      <w:r>
        <w:rPr>
          <w:rFonts w:ascii="Lato" w:hAnsi="Lato" w:cs="Arial-BoldMT"/>
          <w:b/>
          <w:bCs/>
          <w:sz w:val="20"/>
          <w:szCs w:val="20"/>
        </w:rPr>
        <w:t xml:space="preserve"> </w:t>
      </w:r>
      <w:r w:rsidRPr="00631A93">
        <w:rPr>
          <w:rFonts w:ascii="Lato" w:hAnsi="Lato" w:cs="ArialMT"/>
          <w:sz w:val="20"/>
          <w:szCs w:val="20"/>
        </w:rPr>
        <w:t>z niepełnosprawnościami (wykonawca: Stowarzyszenie Pozytywni – Klub Myśli</w:t>
      </w:r>
      <w:r>
        <w:rPr>
          <w:rFonts w:ascii="Lato" w:hAnsi="Lato" w:cs="Arial-BoldMT"/>
          <w:b/>
          <w:bCs/>
          <w:sz w:val="20"/>
          <w:szCs w:val="20"/>
        </w:rPr>
        <w:t xml:space="preserve"> </w:t>
      </w:r>
      <w:r w:rsidRPr="00631A93">
        <w:rPr>
          <w:rFonts w:ascii="Lato" w:hAnsi="Lato" w:cs="ArialMT"/>
          <w:sz w:val="20"/>
          <w:szCs w:val="20"/>
        </w:rPr>
        <w:t>Społecznej Inicjatywy w Nysie);</w:t>
      </w:r>
    </w:p>
    <w:p w14:paraId="319835C2" w14:textId="77777777" w:rsidR="00631A93" w:rsidRDefault="00631A93" w:rsidP="00631A93">
      <w:pPr>
        <w:autoSpaceDE w:val="0"/>
        <w:autoSpaceDN w:val="0"/>
        <w:adjustRightInd w:val="0"/>
        <w:spacing w:after="0" w:line="240" w:lineRule="auto"/>
        <w:jc w:val="both"/>
        <w:rPr>
          <w:rFonts w:ascii="Lato" w:hAnsi="Lato" w:cs="ArialMT"/>
          <w:sz w:val="20"/>
          <w:szCs w:val="20"/>
        </w:rPr>
      </w:pPr>
    </w:p>
    <w:p w14:paraId="188E6E26" w14:textId="655F5EAC"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BoldMT"/>
          <w:b/>
          <w:bCs/>
          <w:sz w:val="20"/>
          <w:szCs w:val="20"/>
        </w:rPr>
        <w:t xml:space="preserve">Spotkania integracyjno-aktywizujące </w:t>
      </w:r>
      <w:r w:rsidRPr="00631A93">
        <w:rPr>
          <w:rFonts w:ascii="Lato" w:hAnsi="Lato" w:cs="ArialMT"/>
          <w:sz w:val="20"/>
          <w:szCs w:val="20"/>
        </w:rPr>
        <w:t>(dla osób niesamodzielnych oraz osób z ich</w:t>
      </w:r>
      <w:r>
        <w:rPr>
          <w:rFonts w:ascii="Lato" w:hAnsi="Lato" w:cs="ArialMT"/>
          <w:sz w:val="20"/>
          <w:szCs w:val="20"/>
        </w:rPr>
        <w:t xml:space="preserve"> </w:t>
      </w:r>
      <w:r w:rsidRPr="00631A93">
        <w:rPr>
          <w:rFonts w:ascii="Lato" w:hAnsi="Lato" w:cs="ArialMT"/>
          <w:sz w:val="20"/>
          <w:szCs w:val="20"/>
        </w:rPr>
        <w:t>otoczenia, w tym opiekunów osób z niepełnosprawnościami), celem integracji</w:t>
      </w:r>
      <w:r>
        <w:rPr>
          <w:rFonts w:ascii="Lato" w:hAnsi="Lato" w:cs="ArialMT"/>
          <w:sz w:val="20"/>
          <w:szCs w:val="20"/>
        </w:rPr>
        <w:t xml:space="preserve"> </w:t>
      </w:r>
      <w:r w:rsidRPr="00631A93">
        <w:rPr>
          <w:rFonts w:ascii="Lato" w:hAnsi="Lato" w:cs="ArialMT"/>
          <w:sz w:val="20"/>
          <w:szCs w:val="20"/>
        </w:rPr>
        <w:t>środowisk zagrożonych wykluczeniem</w:t>
      </w:r>
      <w:r>
        <w:rPr>
          <w:rFonts w:ascii="Lato" w:hAnsi="Lato" w:cs="ArialMT"/>
          <w:sz w:val="20"/>
          <w:szCs w:val="20"/>
        </w:rPr>
        <w:t xml:space="preserve"> </w:t>
      </w:r>
      <w:r w:rsidRPr="00631A93">
        <w:rPr>
          <w:rFonts w:ascii="Lato" w:hAnsi="Lato" w:cs="ArialMT"/>
          <w:sz w:val="20"/>
          <w:szCs w:val="20"/>
        </w:rPr>
        <w:t>społecznym, osamotnieniem i marginalizacją,</w:t>
      </w:r>
      <w:r>
        <w:rPr>
          <w:rFonts w:ascii="Lato" w:hAnsi="Lato" w:cs="ArialMT"/>
          <w:sz w:val="20"/>
          <w:szCs w:val="20"/>
        </w:rPr>
        <w:t xml:space="preserve"> </w:t>
      </w:r>
      <w:r w:rsidRPr="00631A93">
        <w:rPr>
          <w:rFonts w:ascii="Lato" w:hAnsi="Lato" w:cs="ArialMT"/>
          <w:sz w:val="20"/>
          <w:szCs w:val="20"/>
        </w:rPr>
        <w:t xml:space="preserve">poprzez ich aktywizację społeczno-artystyczną i </w:t>
      </w:r>
      <w:r w:rsidRPr="00631A93">
        <w:rPr>
          <w:rFonts w:ascii="Lato" w:hAnsi="Lato" w:cs="ArialMT"/>
          <w:sz w:val="20"/>
          <w:szCs w:val="20"/>
        </w:rPr>
        <w:lastRenderedPageBreak/>
        <w:t>edukacyjną. W 2022 r. uczestnikami</w:t>
      </w:r>
      <w:r>
        <w:rPr>
          <w:rFonts w:ascii="Lato" w:hAnsi="Lato" w:cs="ArialMT"/>
          <w:sz w:val="20"/>
          <w:szCs w:val="20"/>
        </w:rPr>
        <w:t xml:space="preserve"> </w:t>
      </w:r>
      <w:r w:rsidRPr="00631A93">
        <w:rPr>
          <w:rFonts w:ascii="Lato" w:hAnsi="Lato" w:cs="ArialMT"/>
          <w:sz w:val="20"/>
          <w:szCs w:val="20"/>
        </w:rPr>
        <w:t>tych spotkań było ok. 1 000 osób (Nysa, Zakrzów k. Kędzierzyna-Koźla, Wysoka k.</w:t>
      </w:r>
      <w:r>
        <w:rPr>
          <w:rFonts w:ascii="Lato" w:hAnsi="Lato" w:cs="ArialMT"/>
          <w:sz w:val="20"/>
          <w:szCs w:val="20"/>
        </w:rPr>
        <w:t xml:space="preserve"> </w:t>
      </w:r>
      <w:r w:rsidRPr="00631A93">
        <w:rPr>
          <w:rFonts w:ascii="Lato" w:hAnsi="Lato" w:cs="ArialMT"/>
          <w:sz w:val="20"/>
          <w:szCs w:val="20"/>
        </w:rPr>
        <w:t>Branic);</w:t>
      </w:r>
    </w:p>
    <w:p w14:paraId="15A48E7E" w14:textId="77777777" w:rsidR="00631A93" w:rsidRDefault="00631A93" w:rsidP="00631A93">
      <w:pPr>
        <w:autoSpaceDE w:val="0"/>
        <w:autoSpaceDN w:val="0"/>
        <w:adjustRightInd w:val="0"/>
        <w:spacing w:after="0" w:line="240" w:lineRule="auto"/>
        <w:jc w:val="both"/>
        <w:rPr>
          <w:rFonts w:ascii="Lato" w:hAnsi="Lato" w:cs="Arial-BoldItalicMT"/>
          <w:b/>
          <w:bCs/>
          <w:i/>
          <w:iCs/>
          <w:sz w:val="20"/>
          <w:szCs w:val="20"/>
        </w:rPr>
      </w:pPr>
    </w:p>
    <w:p w14:paraId="3964543A" w14:textId="0A9E75E6"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BoldMT"/>
          <w:b/>
          <w:bCs/>
          <w:sz w:val="20"/>
          <w:szCs w:val="20"/>
        </w:rPr>
        <w:t xml:space="preserve">Utworzenie kolejnego mieszkania wspomaganego </w:t>
      </w:r>
      <w:r w:rsidRPr="00631A93">
        <w:rPr>
          <w:rFonts w:ascii="Lato" w:hAnsi="Lato" w:cs="ArialMT"/>
          <w:sz w:val="20"/>
          <w:szCs w:val="20"/>
        </w:rPr>
        <w:t>dla osób niesamodzielnych,</w:t>
      </w:r>
      <w:r>
        <w:rPr>
          <w:rFonts w:ascii="Lato" w:hAnsi="Lato" w:cs="ArialMT"/>
          <w:sz w:val="20"/>
          <w:szCs w:val="20"/>
        </w:rPr>
        <w:t xml:space="preserve"> </w:t>
      </w:r>
      <w:r w:rsidRPr="00631A93">
        <w:rPr>
          <w:rFonts w:ascii="Lato" w:hAnsi="Lato" w:cs="ArialMT"/>
          <w:sz w:val="20"/>
          <w:szCs w:val="20"/>
        </w:rPr>
        <w:t>w tym z niepełnosprawnościami, w Popielowie. Łącznie w latach 2017-2022 utworzono</w:t>
      </w:r>
      <w:r>
        <w:rPr>
          <w:rFonts w:ascii="Lato" w:hAnsi="Lato" w:cs="ArialMT"/>
          <w:sz w:val="20"/>
          <w:szCs w:val="20"/>
        </w:rPr>
        <w:t xml:space="preserve"> </w:t>
      </w:r>
      <w:r w:rsidRPr="00631A93">
        <w:rPr>
          <w:rFonts w:ascii="Lato" w:hAnsi="Lato" w:cs="ArialMT"/>
          <w:sz w:val="20"/>
          <w:szCs w:val="20"/>
        </w:rPr>
        <w:t>w ramach projektu w województwie 12 mieszkań dla 18 osób (2 w Białej, 7</w:t>
      </w:r>
      <w:r>
        <w:rPr>
          <w:rFonts w:ascii="Lato" w:hAnsi="Lato" w:cs="ArialMT"/>
          <w:sz w:val="20"/>
          <w:szCs w:val="20"/>
        </w:rPr>
        <w:t xml:space="preserve"> </w:t>
      </w:r>
      <w:r w:rsidRPr="00631A93">
        <w:rPr>
          <w:rFonts w:ascii="Lato" w:hAnsi="Lato" w:cs="ArialMT"/>
          <w:sz w:val="20"/>
          <w:szCs w:val="20"/>
        </w:rPr>
        <w:t>w Paczkowie i 3 w Popielowie);</w:t>
      </w:r>
    </w:p>
    <w:p w14:paraId="26EC4A72" w14:textId="77777777" w:rsidR="00631A93" w:rsidRDefault="00631A93" w:rsidP="00631A93">
      <w:pPr>
        <w:autoSpaceDE w:val="0"/>
        <w:autoSpaceDN w:val="0"/>
        <w:adjustRightInd w:val="0"/>
        <w:spacing w:after="0" w:line="240" w:lineRule="auto"/>
        <w:jc w:val="both"/>
        <w:rPr>
          <w:rFonts w:ascii="Lato" w:hAnsi="Lato" w:cs="ArialMT"/>
          <w:sz w:val="20"/>
          <w:szCs w:val="20"/>
        </w:rPr>
      </w:pPr>
    </w:p>
    <w:p w14:paraId="5CBC1D82" w14:textId="5CD1C683" w:rsidR="00631A93" w:rsidRPr="00631A93" w:rsidRDefault="00631A93" w:rsidP="00631A93">
      <w:pPr>
        <w:autoSpaceDE w:val="0"/>
        <w:autoSpaceDN w:val="0"/>
        <w:adjustRightInd w:val="0"/>
        <w:spacing w:after="0" w:line="240" w:lineRule="auto"/>
        <w:jc w:val="both"/>
        <w:rPr>
          <w:rFonts w:ascii="Lato" w:hAnsi="Lato" w:cs="Arial-BoldItalicMT"/>
          <w:b/>
          <w:bCs/>
          <w:i/>
          <w:iCs/>
          <w:sz w:val="20"/>
          <w:szCs w:val="20"/>
        </w:rPr>
      </w:pPr>
      <w:r w:rsidRPr="00631A93">
        <w:rPr>
          <w:rFonts w:ascii="Lato" w:hAnsi="Lato" w:cs="Arial-BoldItalicMT"/>
          <w:b/>
          <w:bCs/>
          <w:i/>
          <w:iCs/>
          <w:sz w:val="20"/>
          <w:szCs w:val="20"/>
        </w:rPr>
        <w:t>Projekt Opolski senior – zapewnienie wsparcia osobom niesamodzielnym oraz</w:t>
      </w:r>
      <w:r>
        <w:rPr>
          <w:rFonts w:ascii="Lato" w:hAnsi="Lato" w:cs="Arial-BoldItalicMT"/>
          <w:b/>
          <w:bCs/>
          <w:i/>
          <w:iCs/>
          <w:sz w:val="20"/>
          <w:szCs w:val="20"/>
        </w:rPr>
        <w:t xml:space="preserve"> </w:t>
      </w:r>
      <w:r w:rsidRPr="00631A93">
        <w:rPr>
          <w:rFonts w:ascii="Lato" w:hAnsi="Lato" w:cs="Arial-BoldItalicMT"/>
          <w:b/>
          <w:bCs/>
          <w:i/>
          <w:iCs/>
          <w:sz w:val="20"/>
          <w:szCs w:val="20"/>
        </w:rPr>
        <w:t xml:space="preserve">ich opiekunom </w:t>
      </w:r>
      <w:r w:rsidRPr="00631A93">
        <w:rPr>
          <w:rFonts w:ascii="Lato" w:hAnsi="Lato" w:cs="ArialMT"/>
          <w:sz w:val="20"/>
          <w:szCs w:val="20"/>
        </w:rPr>
        <w:t>(RPO WO 2014-2020) Głównym celem realizacji projektu jest</w:t>
      </w:r>
      <w:r>
        <w:rPr>
          <w:rFonts w:ascii="Lato" w:hAnsi="Lato" w:cs="Arial-BoldItalicMT"/>
          <w:b/>
          <w:bCs/>
          <w:i/>
          <w:iCs/>
          <w:sz w:val="20"/>
          <w:szCs w:val="20"/>
        </w:rPr>
        <w:t xml:space="preserve"> </w:t>
      </w:r>
      <w:r w:rsidRPr="00631A93">
        <w:rPr>
          <w:rFonts w:ascii="Lato" w:hAnsi="Lato" w:cs="ArialMT"/>
          <w:sz w:val="20"/>
          <w:szCs w:val="20"/>
        </w:rPr>
        <w:t>zwiększenie dostępu do usług społecznych świadczonych w województwie na rzecz</w:t>
      </w:r>
      <w:r>
        <w:rPr>
          <w:rFonts w:ascii="Lato" w:hAnsi="Lato" w:cs="Arial-BoldItalicMT"/>
          <w:b/>
          <w:bCs/>
          <w:i/>
          <w:iCs/>
          <w:sz w:val="20"/>
          <w:szCs w:val="20"/>
        </w:rPr>
        <w:t xml:space="preserve"> </w:t>
      </w:r>
      <w:r w:rsidRPr="00631A93">
        <w:rPr>
          <w:rFonts w:ascii="Lato" w:hAnsi="Lato" w:cs="ArialMT"/>
          <w:sz w:val="20"/>
          <w:szCs w:val="20"/>
        </w:rPr>
        <w:t>osób niesamodzielnych, starszych lub niepełnosprawnych oraz do usług wspierających</w:t>
      </w:r>
      <w:r>
        <w:rPr>
          <w:rFonts w:ascii="Lato" w:hAnsi="Lato" w:cs="Arial-BoldItalicMT"/>
          <w:b/>
          <w:bCs/>
          <w:i/>
          <w:iCs/>
          <w:sz w:val="20"/>
          <w:szCs w:val="20"/>
        </w:rPr>
        <w:t xml:space="preserve"> </w:t>
      </w:r>
      <w:r w:rsidRPr="00631A93">
        <w:rPr>
          <w:rFonts w:ascii="Lato" w:hAnsi="Lato" w:cs="ArialMT"/>
          <w:sz w:val="20"/>
          <w:szCs w:val="20"/>
        </w:rPr>
        <w:t>te osoby, które pozwolą przeciwdziałać ich marginalizacji i wykluczeniu społecznemu.</w:t>
      </w:r>
      <w:r>
        <w:rPr>
          <w:rFonts w:ascii="Lato" w:hAnsi="Lato" w:cs="Arial-BoldItalicMT"/>
          <w:b/>
          <w:bCs/>
          <w:i/>
          <w:iCs/>
          <w:sz w:val="20"/>
          <w:szCs w:val="20"/>
        </w:rPr>
        <w:t xml:space="preserve"> </w:t>
      </w:r>
      <w:r w:rsidRPr="00631A93">
        <w:rPr>
          <w:rFonts w:ascii="Lato" w:hAnsi="Lato" w:cs="ArialMT"/>
          <w:sz w:val="20"/>
          <w:szCs w:val="20"/>
        </w:rPr>
        <w:t xml:space="preserve">Liderem projektu jest Towarzystwo </w:t>
      </w:r>
      <w:proofErr w:type="spellStart"/>
      <w:r w:rsidRPr="00631A93">
        <w:rPr>
          <w:rFonts w:ascii="Lato" w:hAnsi="Lato" w:cs="ArialMT"/>
          <w:sz w:val="20"/>
          <w:szCs w:val="20"/>
        </w:rPr>
        <w:t>Społeczno</w:t>
      </w:r>
      <w:proofErr w:type="spellEnd"/>
      <w:r w:rsidRPr="00631A93">
        <w:rPr>
          <w:rFonts w:ascii="Lato" w:hAnsi="Lato" w:cs="ArialMT"/>
          <w:sz w:val="20"/>
          <w:szCs w:val="20"/>
        </w:rPr>
        <w:t xml:space="preserve"> - Kulturalne Niemców na Śląsku</w:t>
      </w:r>
      <w:r>
        <w:rPr>
          <w:rFonts w:ascii="Lato" w:hAnsi="Lato" w:cs="Arial-BoldItalicMT"/>
          <w:b/>
          <w:bCs/>
          <w:i/>
          <w:iCs/>
          <w:sz w:val="20"/>
          <w:szCs w:val="20"/>
        </w:rPr>
        <w:t xml:space="preserve"> </w:t>
      </w:r>
      <w:r w:rsidRPr="00631A93">
        <w:rPr>
          <w:rFonts w:ascii="Lato" w:hAnsi="Lato" w:cs="ArialMT"/>
          <w:sz w:val="20"/>
          <w:szCs w:val="20"/>
        </w:rPr>
        <w:t xml:space="preserve">Opolskim, a jednym z partnerów ROPS w Opolu (całkowita wartość projektu wynosi </w:t>
      </w:r>
      <w:r w:rsidRPr="00631A93">
        <w:rPr>
          <w:rFonts w:ascii="Lato" w:hAnsi="Lato" w:cs="Arial-BoldMT"/>
          <w:b/>
          <w:bCs/>
          <w:sz w:val="20"/>
          <w:szCs w:val="20"/>
        </w:rPr>
        <w:t>7</w:t>
      </w:r>
      <w:r>
        <w:rPr>
          <w:rFonts w:ascii="Lato" w:hAnsi="Lato" w:cs="Arial-BoldItalicMT"/>
          <w:b/>
          <w:bCs/>
          <w:i/>
          <w:iCs/>
          <w:sz w:val="20"/>
          <w:szCs w:val="20"/>
        </w:rPr>
        <w:t xml:space="preserve"> </w:t>
      </w:r>
      <w:r w:rsidRPr="00631A93">
        <w:rPr>
          <w:rFonts w:ascii="Lato" w:hAnsi="Lato" w:cs="Arial-BoldMT"/>
          <w:b/>
          <w:bCs/>
          <w:sz w:val="20"/>
          <w:szCs w:val="20"/>
        </w:rPr>
        <w:t>mln zł</w:t>
      </w:r>
      <w:r w:rsidRPr="00631A93">
        <w:rPr>
          <w:rFonts w:ascii="Lato" w:hAnsi="Lato" w:cs="ArialMT"/>
          <w:sz w:val="20"/>
          <w:szCs w:val="20"/>
        </w:rPr>
        <w:t>);</w:t>
      </w:r>
    </w:p>
    <w:p w14:paraId="04465324" w14:textId="77777777" w:rsidR="00631A93" w:rsidRDefault="00631A93" w:rsidP="00631A93">
      <w:pPr>
        <w:autoSpaceDE w:val="0"/>
        <w:autoSpaceDN w:val="0"/>
        <w:adjustRightInd w:val="0"/>
        <w:spacing w:after="0" w:line="240" w:lineRule="auto"/>
        <w:jc w:val="both"/>
        <w:rPr>
          <w:rFonts w:ascii="Lato" w:hAnsi="Lato" w:cs="Arial-BoldItalicMT"/>
          <w:b/>
          <w:bCs/>
          <w:i/>
          <w:iCs/>
          <w:sz w:val="20"/>
          <w:szCs w:val="20"/>
        </w:rPr>
      </w:pPr>
    </w:p>
    <w:p w14:paraId="15ECCAD6" w14:textId="51C35347" w:rsidR="00631A93" w:rsidRPr="00631A93" w:rsidRDefault="00631A93" w:rsidP="00631A93">
      <w:pPr>
        <w:autoSpaceDE w:val="0"/>
        <w:autoSpaceDN w:val="0"/>
        <w:adjustRightInd w:val="0"/>
        <w:spacing w:after="0" w:line="240" w:lineRule="auto"/>
        <w:jc w:val="both"/>
        <w:rPr>
          <w:rFonts w:ascii="Lato" w:hAnsi="Lato" w:cs="ArialMT"/>
          <w:sz w:val="20"/>
          <w:szCs w:val="20"/>
        </w:rPr>
      </w:pPr>
      <w:r w:rsidRPr="00631A93">
        <w:rPr>
          <w:rFonts w:ascii="Lato" w:hAnsi="Lato" w:cs="Arial-BoldMT"/>
          <w:b/>
          <w:bCs/>
          <w:sz w:val="20"/>
          <w:szCs w:val="20"/>
        </w:rPr>
        <w:t xml:space="preserve">Regionalny Dzień Seniora </w:t>
      </w:r>
      <w:r w:rsidRPr="00631A93">
        <w:rPr>
          <w:rFonts w:ascii="Lato" w:hAnsi="Lato" w:cs="ArialMT"/>
          <w:sz w:val="20"/>
          <w:szCs w:val="20"/>
        </w:rPr>
        <w:t>(Teatr im. J. Kochanowskiego w Opolu) – dla ponad 400</w:t>
      </w:r>
      <w:r>
        <w:rPr>
          <w:rFonts w:ascii="Lato" w:hAnsi="Lato" w:cs="ArialMT"/>
          <w:sz w:val="20"/>
          <w:szCs w:val="20"/>
        </w:rPr>
        <w:t xml:space="preserve"> </w:t>
      </w:r>
      <w:r w:rsidRPr="00631A93">
        <w:rPr>
          <w:rFonts w:ascii="Lato" w:hAnsi="Lato" w:cs="ArialMT"/>
          <w:sz w:val="20"/>
          <w:szCs w:val="20"/>
        </w:rPr>
        <w:t xml:space="preserve">osób. Ogółem koszt wszystkich zadań ROPS w 2022 r. wyniósł </w:t>
      </w:r>
      <w:r w:rsidRPr="00631A93">
        <w:rPr>
          <w:rFonts w:ascii="Lato" w:hAnsi="Lato" w:cs="Arial-BoldMT"/>
          <w:b/>
          <w:bCs/>
          <w:sz w:val="20"/>
          <w:szCs w:val="20"/>
        </w:rPr>
        <w:t>296 895,30 zł</w:t>
      </w:r>
      <w:r w:rsidRPr="00631A93">
        <w:rPr>
          <w:rFonts w:ascii="Lato" w:hAnsi="Lato" w:cs="ArialMT"/>
          <w:sz w:val="20"/>
          <w:szCs w:val="20"/>
        </w:rPr>
        <w:t>;</w:t>
      </w:r>
    </w:p>
    <w:p w14:paraId="6745019E" w14:textId="77777777" w:rsidR="00631A93" w:rsidRDefault="00631A93" w:rsidP="00631A93">
      <w:pPr>
        <w:autoSpaceDE w:val="0"/>
        <w:autoSpaceDN w:val="0"/>
        <w:adjustRightInd w:val="0"/>
        <w:spacing w:after="0" w:line="240" w:lineRule="auto"/>
        <w:jc w:val="both"/>
        <w:rPr>
          <w:rFonts w:ascii="Lato" w:hAnsi="Lato" w:cs="ArialMT"/>
          <w:sz w:val="20"/>
          <w:szCs w:val="20"/>
        </w:rPr>
      </w:pPr>
    </w:p>
    <w:p w14:paraId="4E22A4C0" w14:textId="109CF1DB" w:rsidR="005E037B" w:rsidRDefault="00631A93" w:rsidP="005E037B">
      <w:pPr>
        <w:autoSpaceDE w:val="0"/>
        <w:autoSpaceDN w:val="0"/>
        <w:adjustRightInd w:val="0"/>
        <w:spacing w:after="0" w:line="240" w:lineRule="auto"/>
        <w:jc w:val="both"/>
        <w:rPr>
          <w:rFonts w:ascii="Lato" w:hAnsi="Lato" w:cs="Arial-BoldMT"/>
          <w:b/>
          <w:bCs/>
          <w:sz w:val="20"/>
          <w:szCs w:val="20"/>
        </w:rPr>
      </w:pPr>
      <w:r w:rsidRPr="00631A93">
        <w:rPr>
          <w:rFonts w:ascii="Lato" w:hAnsi="Lato" w:cs="ArialMT"/>
          <w:sz w:val="20"/>
          <w:szCs w:val="20"/>
        </w:rPr>
        <w:t xml:space="preserve">Projekt </w:t>
      </w:r>
      <w:r w:rsidRPr="00631A93">
        <w:rPr>
          <w:rFonts w:ascii="Lato" w:hAnsi="Lato" w:cs="Arial-BoldItalicMT"/>
          <w:b/>
          <w:bCs/>
          <w:i/>
          <w:iCs/>
          <w:sz w:val="20"/>
          <w:szCs w:val="20"/>
        </w:rPr>
        <w:t>Niezależne życie – wypracowanie standardu i przeprowadzenie pilotażu</w:t>
      </w:r>
      <w:r>
        <w:rPr>
          <w:rFonts w:ascii="Lato" w:hAnsi="Lato" w:cs="Arial-BoldItalicMT"/>
          <w:b/>
          <w:bCs/>
          <w:i/>
          <w:iCs/>
          <w:sz w:val="20"/>
          <w:szCs w:val="20"/>
        </w:rPr>
        <w:t xml:space="preserve"> </w:t>
      </w:r>
      <w:r w:rsidRPr="00631A93">
        <w:rPr>
          <w:rFonts w:ascii="Lato" w:hAnsi="Lato" w:cs="Arial-BoldItalicMT"/>
          <w:b/>
          <w:bCs/>
          <w:i/>
          <w:iCs/>
          <w:sz w:val="20"/>
          <w:szCs w:val="20"/>
        </w:rPr>
        <w:t xml:space="preserve">w zakresie usług mieszkalnictwa wspomaganego dla osób z </w:t>
      </w:r>
      <w:r w:rsidRPr="005E037B">
        <w:rPr>
          <w:rFonts w:ascii="Lato" w:hAnsi="Lato" w:cs="Arial-BoldItalicMT"/>
          <w:b/>
          <w:bCs/>
          <w:i/>
          <w:iCs/>
          <w:sz w:val="20"/>
          <w:szCs w:val="20"/>
        </w:rPr>
        <w:t xml:space="preserve">chorobami neurologicznymi, w tym z chorobą Alzheimera i chorobą Parkinsona oraz osób starszych (PO WER 2014-2020). </w:t>
      </w:r>
      <w:r w:rsidRPr="005E037B">
        <w:rPr>
          <w:rFonts w:ascii="Lato" w:hAnsi="Lato" w:cs="ArialMT"/>
          <w:sz w:val="20"/>
          <w:szCs w:val="20"/>
        </w:rPr>
        <w:t>Celem projektu było wypracowanie rozwiązań</w:t>
      </w:r>
      <w:r w:rsidRPr="005E037B">
        <w:rPr>
          <w:rFonts w:ascii="Lato" w:hAnsi="Lato" w:cs="Arial-BoldItalicMT"/>
          <w:b/>
          <w:bCs/>
          <w:i/>
          <w:iCs/>
          <w:sz w:val="20"/>
          <w:szCs w:val="20"/>
        </w:rPr>
        <w:t xml:space="preserve"> </w:t>
      </w:r>
      <w:r w:rsidRPr="005E037B">
        <w:rPr>
          <w:rFonts w:ascii="Lato" w:hAnsi="Lato" w:cs="ArialMT"/>
          <w:sz w:val="20"/>
          <w:szCs w:val="20"/>
        </w:rPr>
        <w:t>umożliwiających niezależne życie osobom z chorobami neurologicznymi, w tym</w:t>
      </w:r>
      <w:r w:rsidRPr="005E037B">
        <w:rPr>
          <w:rFonts w:ascii="Lato" w:hAnsi="Lato" w:cs="Arial-BoldItalicMT"/>
          <w:b/>
          <w:bCs/>
          <w:i/>
          <w:iCs/>
          <w:sz w:val="20"/>
          <w:szCs w:val="20"/>
        </w:rPr>
        <w:t xml:space="preserve"> </w:t>
      </w:r>
      <w:r w:rsidRPr="005E037B">
        <w:rPr>
          <w:rFonts w:ascii="Lato" w:hAnsi="Lato" w:cs="ArialMT"/>
          <w:sz w:val="20"/>
          <w:szCs w:val="20"/>
        </w:rPr>
        <w:t>z chorobą Alzheimera i chorobą Parkinsona. Był to projekt partnerski, realizowany</w:t>
      </w:r>
      <w:r w:rsidRPr="005E037B">
        <w:rPr>
          <w:rFonts w:ascii="Lato" w:hAnsi="Lato" w:cs="Arial-BoldItalicMT"/>
          <w:b/>
          <w:bCs/>
          <w:i/>
          <w:iCs/>
          <w:sz w:val="20"/>
          <w:szCs w:val="20"/>
        </w:rPr>
        <w:t xml:space="preserve"> </w:t>
      </w:r>
      <w:r w:rsidRPr="005E037B">
        <w:rPr>
          <w:rFonts w:ascii="Lato" w:hAnsi="Lato" w:cs="ArialMT"/>
          <w:sz w:val="20"/>
          <w:szCs w:val="20"/>
        </w:rPr>
        <w:t>przez Samorząd Województwa Opolskiego/ROPS w Opolu wspólnie z Województwem</w:t>
      </w:r>
      <w:r w:rsidRPr="005E037B">
        <w:rPr>
          <w:rFonts w:ascii="Lato" w:hAnsi="Lato" w:cs="Arial-BoldItalicMT"/>
          <w:b/>
          <w:bCs/>
          <w:i/>
          <w:iCs/>
          <w:sz w:val="20"/>
          <w:szCs w:val="20"/>
        </w:rPr>
        <w:t xml:space="preserve"> </w:t>
      </w:r>
      <w:r w:rsidRPr="005E037B">
        <w:rPr>
          <w:rFonts w:ascii="Lato" w:hAnsi="Lato" w:cs="ArialMT"/>
          <w:sz w:val="20"/>
          <w:szCs w:val="20"/>
        </w:rPr>
        <w:t>Łódzkim i organizacją pozarządową. Projekt był realizowany w okresie kwiecień 2018</w:t>
      </w:r>
      <w:r w:rsidRPr="005E037B">
        <w:rPr>
          <w:rFonts w:ascii="Lato" w:hAnsi="Lato" w:cs="Arial-BoldItalicMT"/>
          <w:b/>
          <w:bCs/>
          <w:i/>
          <w:iCs/>
          <w:sz w:val="20"/>
          <w:szCs w:val="20"/>
        </w:rPr>
        <w:t xml:space="preserve"> </w:t>
      </w:r>
      <w:r w:rsidRPr="005E037B">
        <w:rPr>
          <w:rFonts w:ascii="Lato" w:hAnsi="Lato" w:cs="ArialMT"/>
          <w:sz w:val="20"/>
          <w:szCs w:val="20"/>
        </w:rPr>
        <w:t>– grudzień 2022. Po utworzeniu trzech mieszkań wspomaganych (w Brzegu, Białej</w:t>
      </w:r>
      <w:r w:rsidRPr="005E037B">
        <w:rPr>
          <w:rFonts w:ascii="Lato" w:hAnsi="Lato" w:cs="Arial-BoldItalicMT"/>
          <w:b/>
          <w:bCs/>
          <w:i/>
          <w:iCs/>
          <w:sz w:val="20"/>
          <w:szCs w:val="20"/>
        </w:rPr>
        <w:t xml:space="preserve"> </w:t>
      </w:r>
      <w:r w:rsidRPr="005E037B">
        <w:rPr>
          <w:rFonts w:ascii="Lato" w:hAnsi="Lato" w:cs="ArialMT"/>
          <w:sz w:val="20"/>
          <w:szCs w:val="20"/>
        </w:rPr>
        <w:t>i Paczkowe – dla łącznie 6 osób) w latach 2019-2020, dostosowanych zgodnie</w:t>
      </w:r>
      <w:r w:rsidRPr="005E037B">
        <w:rPr>
          <w:rFonts w:ascii="Lato" w:hAnsi="Lato" w:cs="Arial-BoldItalicMT"/>
          <w:b/>
          <w:bCs/>
          <w:i/>
          <w:iCs/>
          <w:sz w:val="20"/>
          <w:szCs w:val="20"/>
        </w:rPr>
        <w:t xml:space="preserve"> </w:t>
      </w:r>
      <w:r w:rsidRPr="005E037B">
        <w:rPr>
          <w:rFonts w:ascii="Lato" w:hAnsi="Lato" w:cs="ArialMT"/>
          <w:sz w:val="20"/>
          <w:szCs w:val="20"/>
        </w:rPr>
        <w:t>z opracowanym modelem do potrzeb osób starszych, niepełnosprawnych i chorych,</w:t>
      </w:r>
      <w:r w:rsidRPr="005E037B">
        <w:rPr>
          <w:rFonts w:ascii="Lato" w:hAnsi="Lato" w:cs="Arial-BoldItalicMT"/>
          <w:b/>
          <w:bCs/>
          <w:i/>
          <w:iCs/>
          <w:sz w:val="20"/>
          <w:szCs w:val="20"/>
        </w:rPr>
        <w:t xml:space="preserve"> </w:t>
      </w:r>
      <w:r w:rsidRPr="005E037B">
        <w:rPr>
          <w:rFonts w:ascii="Lato" w:hAnsi="Lato" w:cs="ArialMT"/>
          <w:sz w:val="20"/>
          <w:szCs w:val="20"/>
        </w:rPr>
        <w:t>oraz zakończeniu ich finansowania (w tym personelu), od listopada 2021 r.</w:t>
      </w:r>
      <w:r w:rsidRPr="005E037B">
        <w:rPr>
          <w:rFonts w:ascii="Lato" w:hAnsi="Lato" w:cs="Arial-BoldItalicMT"/>
          <w:b/>
          <w:bCs/>
          <w:i/>
          <w:iCs/>
          <w:sz w:val="20"/>
          <w:szCs w:val="20"/>
        </w:rPr>
        <w:t xml:space="preserve"> </w:t>
      </w:r>
      <w:r w:rsidRPr="005E037B">
        <w:rPr>
          <w:rFonts w:ascii="Lato" w:hAnsi="Lato" w:cs="ArialMT"/>
          <w:sz w:val="20"/>
          <w:szCs w:val="20"/>
        </w:rPr>
        <w:t>zapewnienie odpowiednich usług w tych mieszkaniach należy do gmin. Natomiast</w:t>
      </w:r>
      <w:r w:rsidR="005E037B" w:rsidRPr="005E037B">
        <w:rPr>
          <w:rFonts w:ascii="Lato" w:hAnsi="Lato" w:cs="ArialMT"/>
          <w:sz w:val="20"/>
          <w:szCs w:val="20"/>
        </w:rPr>
        <w:t xml:space="preserve"> w latach 2021-2022 celem m. in. </w:t>
      </w:r>
      <w:r w:rsidR="005E037B" w:rsidRPr="005E037B">
        <w:rPr>
          <w:rFonts w:ascii="Lato" w:hAnsi="Lato" w:cs="Arial-BoldMT"/>
          <w:b/>
          <w:bCs/>
          <w:sz w:val="20"/>
          <w:szCs w:val="20"/>
        </w:rPr>
        <w:t>rozwoju i przygotowania kadry do utworzonych</w:t>
      </w:r>
      <w:r w:rsidR="005E037B">
        <w:rPr>
          <w:rFonts w:ascii="Lato" w:hAnsi="Lato" w:cs="Arial-BoldMT"/>
          <w:b/>
          <w:bCs/>
          <w:sz w:val="20"/>
          <w:szCs w:val="20"/>
        </w:rPr>
        <w:t xml:space="preserve"> </w:t>
      </w:r>
      <w:r w:rsidR="005E037B" w:rsidRPr="005E037B">
        <w:rPr>
          <w:rFonts w:ascii="Lato" w:hAnsi="Lato" w:cs="Arial-BoldMT"/>
          <w:b/>
          <w:bCs/>
          <w:sz w:val="20"/>
          <w:szCs w:val="20"/>
        </w:rPr>
        <w:t xml:space="preserve">i przyszłych mieszkań wspomaganych </w:t>
      </w:r>
      <w:r w:rsidR="005E037B" w:rsidRPr="005E037B">
        <w:rPr>
          <w:rFonts w:ascii="Lato" w:hAnsi="Lato" w:cs="ArialMT"/>
          <w:sz w:val="20"/>
          <w:szCs w:val="20"/>
        </w:rPr>
        <w:t>(w tym w Brzegu, Paczkowie, Białej oraz ich</w:t>
      </w:r>
      <w:r w:rsidR="005E037B">
        <w:rPr>
          <w:rFonts w:ascii="Lato" w:hAnsi="Lato" w:cs="Arial-BoldMT"/>
          <w:b/>
          <w:bCs/>
          <w:sz w:val="20"/>
          <w:szCs w:val="20"/>
        </w:rPr>
        <w:t xml:space="preserve"> </w:t>
      </w:r>
      <w:r w:rsidR="005E037B" w:rsidRPr="005E037B">
        <w:rPr>
          <w:rFonts w:ascii="Lato" w:hAnsi="Lato" w:cs="ArialMT"/>
          <w:sz w:val="20"/>
          <w:szCs w:val="20"/>
        </w:rPr>
        <w:t xml:space="preserve">gmin ościennych), </w:t>
      </w:r>
      <w:r w:rsidR="005E037B" w:rsidRPr="005E037B">
        <w:rPr>
          <w:rFonts w:ascii="Lato" w:hAnsi="Lato" w:cs="Arial-BoldMT"/>
          <w:b/>
          <w:bCs/>
          <w:sz w:val="20"/>
          <w:szCs w:val="20"/>
        </w:rPr>
        <w:t xml:space="preserve">przeszkolono 49 osób </w:t>
      </w:r>
      <w:r w:rsidR="005E037B" w:rsidRPr="005E037B">
        <w:rPr>
          <w:rFonts w:ascii="Lato" w:hAnsi="Lato" w:cs="ArialMT"/>
          <w:sz w:val="20"/>
          <w:szCs w:val="20"/>
        </w:rPr>
        <w:t>związanych z instytucjami pomocy</w:t>
      </w:r>
      <w:r w:rsidR="005E037B">
        <w:rPr>
          <w:rFonts w:ascii="Lato" w:hAnsi="Lato" w:cs="Arial-BoldMT"/>
          <w:b/>
          <w:bCs/>
          <w:sz w:val="20"/>
          <w:szCs w:val="20"/>
        </w:rPr>
        <w:t xml:space="preserve"> </w:t>
      </w:r>
      <w:r w:rsidR="005E037B" w:rsidRPr="005E037B">
        <w:rPr>
          <w:rFonts w:ascii="Lato" w:hAnsi="Lato" w:cs="ArialMT"/>
          <w:sz w:val="20"/>
          <w:szCs w:val="20"/>
        </w:rPr>
        <w:t>i integracji społecznej, głównie ośrodków pomocy społecznej. Na zakończenie projektu</w:t>
      </w:r>
      <w:r w:rsidR="005E037B">
        <w:rPr>
          <w:rFonts w:ascii="Lato" w:hAnsi="Lato" w:cs="Arial-BoldMT"/>
          <w:b/>
          <w:bCs/>
          <w:sz w:val="20"/>
          <w:szCs w:val="20"/>
        </w:rPr>
        <w:t xml:space="preserve"> </w:t>
      </w:r>
      <w:r w:rsidR="005E037B" w:rsidRPr="005E037B">
        <w:rPr>
          <w:rFonts w:ascii="Lato" w:hAnsi="Lato" w:cs="ArialMT"/>
          <w:sz w:val="20"/>
          <w:szCs w:val="20"/>
        </w:rPr>
        <w:t>(grudzień 2022 r.) zorganizowano spotkanie regionalne dot. wdrożonego standardu</w:t>
      </w:r>
      <w:r w:rsidR="005E037B">
        <w:rPr>
          <w:rFonts w:ascii="Lato" w:hAnsi="Lato" w:cs="Arial-BoldMT"/>
          <w:b/>
          <w:bCs/>
          <w:sz w:val="20"/>
          <w:szCs w:val="20"/>
        </w:rPr>
        <w:t xml:space="preserve"> </w:t>
      </w:r>
      <w:r w:rsidR="005E037B" w:rsidRPr="005E037B">
        <w:rPr>
          <w:rFonts w:ascii="Lato" w:hAnsi="Lato" w:cs="ArialMT"/>
          <w:sz w:val="20"/>
          <w:szCs w:val="20"/>
        </w:rPr>
        <w:t>mieszkań wspomaganych dla ok. 100 osób (włodarze i przedstawiciele JST, jednostki</w:t>
      </w:r>
      <w:r w:rsidR="005E037B">
        <w:rPr>
          <w:rFonts w:ascii="Lato" w:hAnsi="Lato" w:cs="Arial-BoldMT"/>
          <w:b/>
          <w:bCs/>
          <w:sz w:val="20"/>
          <w:szCs w:val="20"/>
        </w:rPr>
        <w:t xml:space="preserve"> </w:t>
      </w:r>
      <w:r w:rsidR="005E037B" w:rsidRPr="005E037B">
        <w:rPr>
          <w:rFonts w:ascii="Lato" w:hAnsi="Lato" w:cs="ArialMT"/>
          <w:sz w:val="20"/>
          <w:szCs w:val="20"/>
        </w:rPr>
        <w:t>pomocy społecznej, org. pozarządowe) w Kamieniu Śl. z udziałem m. in. Realizatorów</w:t>
      </w:r>
      <w:r w:rsidR="005E037B">
        <w:rPr>
          <w:rFonts w:ascii="Lato" w:hAnsi="Lato" w:cs="Arial-BoldMT"/>
          <w:b/>
          <w:bCs/>
          <w:sz w:val="20"/>
          <w:szCs w:val="20"/>
        </w:rPr>
        <w:t xml:space="preserve"> </w:t>
      </w:r>
      <w:r w:rsidR="005E037B" w:rsidRPr="005E037B">
        <w:rPr>
          <w:rFonts w:ascii="Lato" w:hAnsi="Lato" w:cs="ArialMT"/>
          <w:sz w:val="20"/>
          <w:szCs w:val="20"/>
        </w:rPr>
        <w:t>projektu i ekspertów zajmujących się tematyką rozwoju usług społecznych i procesu</w:t>
      </w:r>
      <w:r w:rsidR="005E037B">
        <w:rPr>
          <w:rFonts w:ascii="Lato" w:hAnsi="Lato" w:cs="Arial-BoldMT"/>
          <w:b/>
          <w:bCs/>
          <w:sz w:val="20"/>
          <w:szCs w:val="20"/>
        </w:rPr>
        <w:t xml:space="preserve"> </w:t>
      </w:r>
      <w:r w:rsidR="005E037B" w:rsidRPr="005E037B">
        <w:rPr>
          <w:rFonts w:ascii="Lato" w:hAnsi="Lato" w:cs="ArialMT"/>
          <w:sz w:val="20"/>
          <w:szCs w:val="20"/>
        </w:rPr>
        <w:t>deinstytucjonalizacji w kraju i regionie. Łączna wartość projektu wynosi 10 172 000 zł,</w:t>
      </w:r>
      <w:r w:rsidR="005E037B">
        <w:rPr>
          <w:rFonts w:ascii="Lato" w:hAnsi="Lato" w:cs="Arial-BoldMT"/>
          <w:b/>
          <w:bCs/>
          <w:sz w:val="20"/>
          <w:szCs w:val="20"/>
        </w:rPr>
        <w:t xml:space="preserve"> </w:t>
      </w:r>
      <w:r w:rsidR="005E037B" w:rsidRPr="005E037B">
        <w:rPr>
          <w:rFonts w:ascii="Lato" w:hAnsi="Lato" w:cs="ArialMT"/>
          <w:sz w:val="20"/>
          <w:szCs w:val="20"/>
        </w:rPr>
        <w:t xml:space="preserve">w tym dla Województwa Opolskiego </w:t>
      </w:r>
      <w:r w:rsidR="005E037B" w:rsidRPr="005E037B">
        <w:rPr>
          <w:rFonts w:ascii="Lato" w:hAnsi="Lato" w:cs="Arial-BoldMT"/>
          <w:b/>
          <w:bCs/>
          <w:sz w:val="20"/>
          <w:szCs w:val="20"/>
        </w:rPr>
        <w:t>3 272 000 zł;</w:t>
      </w:r>
    </w:p>
    <w:p w14:paraId="6FF724EA" w14:textId="77777777" w:rsidR="005E037B" w:rsidRPr="005E037B" w:rsidRDefault="005E037B" w:rsidP="005E037B">
      <w:pPr>
        <w:autoSpaceDE w:val="0"/>
        <w:autoSpaceDN w:val="0"/>
        <w:adjustRightInd w:val="0"/>
        <w:spacing w:after="0" w:line="240" w:lineRule="auto"/>
        <w:jc w:val="both"/>
        <w:rPr>
          <w:rFonts w:ascii="Lato" w:hAnsi="Lato" w:cs="Arial-BoldMT"/>
          <w:b/>
          <w:bCs/>
          <w:sz w:val="20"/>
          <w:szCs w:val="20"/>
        </w:rPr>
      </w:pPr>
    </w:p>
    <w:p w14:paraId="508BBEAC" w14:textId="034D095D" w:rsidR="005E037B" w:rsidRDefault="005E037B" w:rsidP="005E037B">
      <w:pPr>
        <w:autoSpaceDE w:val="0"/>
        <w:autoSpaceDN w:val="0"/>
        <w:adjustRightInd w:val="0"/>
        <w:spacing w:after="0" w:line="240" w:lineRule="auto"/>
        <w:jc w:val="both"/>
        <w:rPr>
          <w:rFonts w:ascii="Lato" w:hAnsi="Lato" w:cs="ArialMT"/>
          <w:sz w:val="20"/>
          <w:szCs w:val="20"/>
        </w:rPr>
      </w:pPr>
      <w:r w:rsidRPr="005E037B">
        <w:rPr>
          <w:rFonts w:ascii="Lato" w:hAnsi="Lato" w:cs="Arial-BoldMT"/>
          <w:b/>
          <w:bCs/>
          <w:sz w:val="20"/>
          <w:szCs w:val="20"/>
        </w:rPr>
        <w:t xml:space="preserve">Opolską Kartę Rodziny i Seniora. </w:t>
      </w:r>
      <w:r w:rsidRPr="005E037B">
        <w:rPr>
          <w:rFonts w:ascii="Lato" w:hAnsi="Lato" w:cs="ArialMT"/>
          <w:sz w:val="20"/>
          <w:szCs w:val="20"/>
        </w:rPr>
        <w:t>To jedno z najbardziej rozpoznawalnych narzędzi</w:t>
      </w:r>
      <w:r>
        <w:rPr>
          <w:rFonts w:ascii="Lato" w:hAnsi="Lato" w:cs="ArialMT"/>
          <w:sz w:val="20"/>
          <w:szCs w:val="20"/>
        </w:rPr>
        <w:t xml:space="preserve"> </w:t>
      </w:r>
      <w:r w:rsidRPr="005E037B">
        <w:rPr>
          <w:rFonts w:ascii="Lato" w:hAnsi="Lato" w:cs="ArialMT"/>
          <w:sz w:val="20"/>
          <w:szCs w:val="20"/>
        </w:rPr>
        <w:t>Programu Opolskie dla Rodziny. Działa od maja 2014 r. bezpośrednio wspierając</w:t>
      </w:r>
      <w:r>
        <w:rPr>
          <w:rFonts w:ascii="Lato" w:hAnsi="Lato" w:cs="ArialMT"/>
          <w:sz w:val="20"/>
          <w:szCs w:val="20"/>
        </w:rPr>
        <w:t xml:space="preserve"> </w:t>
      </w:r>
      <w:r w:rsidRPr="005E037B">
        <w:rPr>
          <w:rFonts w:ascii="Lato" w:hAnsi="Lato" w:cs="ArialMT"/>
          <w:sz w:val="20"/>
          <w:szCs w:val="20"/>
        </w:rPr>
        <w:t>opolskie rodziny, osoby sprawujące opiekę nad osobą zależną oraz osoby powyżej 60</w:t>
      </w:r>
      <w:r>
        <w:rPr>
          <w:rFonts w:ascii="Lato" w:hAnsi="Lato" w:cs="ArialMT"/>
          <w:sz w:val="20"/>
          <w:szCs w:val="20"/>
        </w:rPr>
        <w:t xml:space="preserve"> </w:t>
      </w:r>
      <w:r w:rsidRPr="005E037B">
        <w:rPr>
          <w:rFonts w:ascii="Lato" w:hAnsi="Lato" w:cs="ArialMT"/>
          <w:sz w:val="20"/>
          <w:szCs w:val="20"/>
        </w:rPr>
        <w:t>roku życia. Celem wprowadzenia inicjatywy jest przede wszystkim chęć wspólnego</w:t>
      </w:r>
      <w:r>
        <w:rPr>
          <w:rFonts w:ascii="Lato" w:hAnsi="Lato" w:cs="ArialMT"/>
          <w:sz w:val="20"/>
          <w:szCs w:val="20"/>
        </w:rPr>
        <w:t xml:space="preserve"> </w:t>
      </w:r>
      <w:r w:rsidRPr="005E037B">
        <w:rPr>
          <w:rFonts w:ascii="Lato" w:hAnsi="Lato" w:cs="ArialMT"/>
          <w:sz w:val="20"/>
          <w:szCs w:val="20"/>
        </w:rPr>
        <w:t>działania na rzecz budowy przyjaznego klimatu dla rodzin i seniorów w regionie</w:t>
      </w:r>
      <w:r>
        <w:rPr>
          <w:rFonts w:ascii="Lato" w:hAnsi="Lato" w:cs="ArialMT"/>
          <w:sz w:val="20"/>
          <w:szCs w:val="20"/>
        </w:rPr>
        <w:t xml:space="preserve"> </w:t>
      </w:r>
      <w:r w:rsidRPr="005E037B">
        <w:rPr>
          <w:rFonts w:ascii="Lato" w:hAnsi="Lato" w:cs="ArialMT"/>
          <w:sz w:val="20"/>
          <w:szCs w:val="20"/>
        </w:rPr>
        <w:t>poprzez wprowadzenie systemu powszechnych zniżek oraz ulg zarówno w instytucjach</w:t>
      </w:r>
      <w:r>
        <w:rPr>
          <w:rFonts w:ascii="Lato" w:hAnsi="Lato" w:cs="ArialMT"/>
          <w:sz w:val="20"/>
          <w:szCs w:val="20"/>
        </w:rPr>
        <w:t xml:space="preserve"> </w:t>
      </w:r>
      <w:r w:rsidRPr="005E037B">
        <w:rPr>
          <w:rFonts w:ascii="Lato" w:hAnsi="Lato" w:cs="ArialMT"/>
          <w:sz w:val="20"/>
          <w:szCs w:val="20"/>
        </w:rPr>
        <w:t>podległych jednostkom samorządowym, jak również w podmiotach prywatnych.</w:t>
      </w:r>
      <w:r>
        <w:rPr>
          <w:rFonts w:ascii="Lato" w:hAnsi="Lato" w:cs="ArialMT"/>
          <w:sz w:val="20"/>
          <w:szCs w:val="20"/>
        </w:rPr>
        <w:t xml:space="preserve"> </w:t>
      </w:r>
      <w:r w:rsidRPr="005E037B">
        <w:rPr>
          <w:rFonts w:ascii="Lato" w:hAnsi="Lato" w:cs="ArialMT"/>
          <w:sz w:val="20"/>
          <w:szCs w:val="20"/>
        </w:rPr>
        <w:t>W inicjatywie uczestniczą niemal wszystkie</w:t>
      </w:r>
      <w:r>
        <w:rPr>
          <w:rFonts w:ascii="Lato" w:hAnsi="Lato" w:cs="ArialMT"/>
          <w:sz w:val="20"/>
          <w:szCs w:val="20"/>
        </w:rPr>
        <w:t xml:space="preserve"> </w:t>
      </w:r>
      <w:r w:rsidRPr="005E037B">
        <w:rPr>
          <w:rFonts w:ascii="Lato" w:hAnsi="Lato" w:cs="ArialMT"/>
          <w:sz w:val="20"/>
          <w:szCs w:val="20"/>
        </w:rPr>
        <w:t>gminy z terenu województwa opolskiego</w:t>
      </w:r>
      <w:r>
        <w:rPr>
          <w:rFonts w:ascii="Lato" w:hAnsi="Lato" w:cs="ArialMT"/>
          <w:sz w:val="20"/>
          <w:szCs w:val="20"/>
        </w:rPr>
        <w:t xml:space="preserve"> </w:t>
      </w:r>
      <w:r w:rsidRPr="005E037B">
        <w:rPr>
          <w:rFonts w:ascii="Lato" w:hAnsi="Lato" w:cs="ArialMT"/>
          <w:sz w:val="20"/>
          <w:szCs w:val="20"/>
        </w:rPr>
        <w:t>(68 gmin na 71). Partnerami Programu są głównie firmy prywatne oferujące</w:t>
      </w:r>
      <w:r>
        <w:rPr>
          <w:rFonts w:ascii="Lato" w:hAnsi="Lato" w:cs="ArialMT"/>
          <w:sz w:val="20"/>
          <w:szCs w:val="20"/>
        </w:rPr>
        <w:t xml:space="preserve"> </w:t>
      </w:r>
      <w:r w:rsidRPr="005E037B">
        <w:rPr>
          <w:rFonts w:ascii="Lato" w:hAnsi="Lato" w:cs="ArialMT"/>
          <w:sz w:val="20"/>
          <w:szCs w:val="20"/>
        </w:rPr>
        <w:t xml:space="preserve">posiadaczom karty atrakcyjne zniżki na usługi i produkty. Wysokość zniżki </w:t>
      </w:r>
      <w:proofErr w:type="spellStart"/>
      <w:r w:rsidRPr="005E037B">
        <w:rPr>
          <w:rFonts w:ascii="Lato" w:hAnsi="Lato" w:cs="ArialMT"/>
          <w:sz w:val="20"/>
          <w:szCs w:val="20"/>
        </w:rPr>
        <w:t>to</w:t>
      </w:r>
      <w:r>
        <w:rPr>
          <w:rFonts w:ascii="Lato" w:hAnsi="Lato" w:cs="ArialMT"/>
          <w:sz w:val="20"/>
          <w:szCs w:val="20"/>
        </w:rPr>
        <w:t>m</w:t>
      </w:r>
      <w:r w:rsidRPr="005E037B">
        <w:rPr>
          <w:rFonts w:ascii="Lato" w:hAnsi="Lato" w:cs="ArialMT"/>
          <w:sz w:val="20"/>
          <w:szCs w:val="20"/>
        </w:rPr>
        <w:t>najczęściej</w:t>
      </w:r>
      <w:proofErr w:type="spellEnd"/>
      <w:r w:rsidRPr="005E037B">
        <w:rPr>
          <w:rFonts w:ascii="Lato" w:hAnsi="Lato" w:cs="ArialMT"/>
          <w:sz w:val="20"/>
          <w:szCs w:val="20"/>
        </w:rPr>
        <w:t xml:space="preserve"> 10-20%.</w:t>
      </w:r>
    </w:p>
    <w:p w14:paraId="3D6CF36D" w14:textId="77777777" w:rsidR="005E037B" w:rsidRPr="005E037B" w:rsidRDefault="005E037B" w:rsidP="005E037B">
      <w:pPr>
        <w:autoSpaceDE w:val="0"/>
        <w:autoSpaceDN w:val="0"/>
        <w:adjustRightInd w:val="0"/>
        <w:spacing w:after="0" w:line="240" w:lineRule="auto"/>
        <w:jc w:val="both"/>
        <w:rPr>
          <w:rFonts w:ascii="Lato" w:hAnsi="Lato" w:cs="ArialMT"/>
          <w:sz w:val="20"/>
          <w:szCs w:val="20"/>
        </w:rPr>
      </w:pPr>
    </w:p>
    <w:p w14:paraId="00118783" w14:textId="436DDA05" w:rsidR="005E037B" w:rsidRDefault="005E037B" w:rsidP="005E037B">
      <w:pPr>
        <w:autoSpaceDE w:val="0"/>
        <w:autoSpaceDN w:val="0"/>
        <w:adjustRightInd w:val="0"/>
        <w:spacing w:after="0" w:line="240" w:lineRule="auto"/>
        <w:jc w:val="both"/>
        <w:rPr>
          <w:rFonts w:ascii="Lato" w:hAnsi="Lato" w:cs="ArialMT"/>
          <w:sz w:val="20"/>
          <w:szCs w:val="20"/>
        </w:rPr>
      </w:pPr>
      <w:r w:rsidRPr="005E037B">
        <w:rPr>
          <w:rFonts w:ascii="Lato" w:hAnsi="Lato" w:cs="ArialMT"/>
          <w:sz w:val="20"/>
          <w:szCs w:val="20"/>
        </w:rPr>
        <w:t>Powołano Forum Seniorów Samorządu Województwa Opolskiego, jest to organ</w:t>
      </w:r>
      <w:r>
        <w:rPr>
          <w:rFonts w:ascii="Lato" w:hAnsi="Lato" w:cs="ArialMT"/>
          <w:sz w:val="20"/>
          <w:szCs w:val="20"/>
        </w:rPr>
        <w:t xml:space="preserve"> </w:t>
      </w:r>
      <w:r w:rsidRPr="005E037B">
        <w:rPr>
          <w:rFonts w:ascii="Lato" w:hAnsi="Lato" w:cs="ArialMT"/>
          <w:sz w:val="20"/>
          <w:szCs w:val="20"/>
        </w:rPr>
        <w:t>doradczy, konsultacyjny oraz inicjatywny, powołany przez Marszałka Województwa. W skład</w:t>
      </w:r>
      <w:r>
        <w:rPr>
          <w:rFonts w:ascii="Lato" w:hAnsi="Lato" w:cs="ArialMT"/>
          <w:sz w:val="20"/>
          <w:szCs w:val="20"/>
        </w:rPr>
        <w:t xml:space="preserve"> </w:t>
      </w:r>
      <w:r w:rsidRPr="005E037B">
        <w:rPr>
          <w:rFonts w:ascii="Lato" w:hAnsi="Lato" w:cs="ArialMT"/>
          <w:sz w:val="20"/>
          <w:szCs w:val="20"/>
        </w:rPr>
        <w:t>Forum wchodzi 36 członków, którymi są: przedstawiciele Rad Seniorów, Uniwersytetów</w:t>
      </w:r>
      <w:r>
        <w:rPr>
          <w:rFonts w:ascii="Lato" w:hAnsi="Lato" w:cs="ArialMT"/>
          <w:sz w:val="20"/>
          <w:szCs w:val="20"/>
        </w:rPr>
        <w:t xml:space="preserve"> </w:t>
      </w:r>
      <w:r w:rsidRPr="005E037B">
        <w:rPr>
          <w:rFonts w:ascii="Lato" w:hAnsi="Lato" w:cs="ArialMT"/>
          <w:sz w:val="20"/>
          <w:szCs w:val="20"/>
        </w:rPr>
        <w:t>Trzeciego Wieku oraz organizacji senioralnych funkcjonujących na terenie Województwa</w:t>
      </w:r>
      <w:r>
        <w:rPr>
          <w:rFonts w:ascii="Lato" w:hAnsi="Lato" w:cs="ArialMT"/>
          <w:sz w:val="20"/>
          <w:szCs w:val="20"/>
        </w:rPr>
        <w:t xml:space="preserve"> </w:t>
      </w:r>
      <w:r w:rsidRPr="005E037B">
        <w:rPr>
          <w:rFonts w:ascii="Lato" w:hAnsi="Lato" w:cs="ArialMT"/>
          <w:sz w:val="20"/>
          <w:szCs w:val="20"/>
        </w:rPr>
        <w:t>Opolskiego. Członkami Forum są osoby, które ukończyły 60 lat. Kadencja Forum trwa 4 lata.</w:t>
      </w:r>
      <w:r>
        <w:rPr>
          <w:rFonts w:ascii="Lato" w:hAnsi="Lato" w:cs="ArialMT"/>
          <w:sz w:val="20"/>
          <w:szCs w:val="20"/>
        </w:rPr>
        <w:t xml:space="preserve"> </w:t>
      </w:r>
      <w:r w:rsidRPr="005E037B">
        <w:rPr>
          <w:rFonts w:ascii="Lato" w:hAnsi="Lato" w:cs="ArialMT"/>
          <w:sz w:val="20"/>
          <w:szCs w:val="20"/>
        </w:rPr>
        <w:t>Forum Seniorów Samorządu Województwa Opolskiego to gremium, którego zadaniem</w:t>
      </w:r>
      <w:r>
        <w:rPr>
          <w:rFonts w:ascii="Lato" w:hAnsi="Lato" w:cs="ArialMT"/>
          <w:sz w:val="20"/>
          <w:szCs w:val="20"/>
        </w:rPr>
        <w:t xml:space="preserve"> </w:t>
      </w:r>
      <w:r w:rsidRPr="005E037B">
        <w:rPr>
          <w:rFonts w:ascii="Lato" w:hAnsi="Lato" w:cs="ArialMT"/>
          <w:sz w:val="20"/>
          <w:szCs w:val="20"/>
        </w:rPr>
        <w:t>jest uczestniczenie w inicjatywach, wydarzeniach i spotkaniach ze społecznością senioralną</w:t>
      </w:r>
      <w:r w:rsidR="00C55821">
        <w:rPr>
          <w:rFonts w:ascii="Lato" w:hAnsi="Lato" w:cs="ArialMT"/>
          <w:sz w:val="20"/>
          <w:szCs w:val="20"/>
        </w:rPr>
        <w:t xml:space="preserve"> </w:t>
      </w:r>
      <w:r w:rsidRPr="005E037B">
        <w:rPr>
          <w:rFonts w:ascii="Lato" w:hAnsi="Lato" w:cs="ArialMT"/>
          <w:sz w:val="20"/>
          <w:szCs w:val="20"/>
        </w:rPr>
        <w:t>na terenie całego województwa podczas których wsłuchuje się w potrzeby, problemy lokalnej</w:t>
      </w:r>
      <w:r w:rsidR="00C55821">
        <w:rPr>
          <w:rFonts w:ascii="Lato" w:hAnsi="Lato" w:cs="ArialMT"/>
          <w:sz w:val="20"/>
          <w:szCs w:val="20"/>
        </w:rPr>
        <w:t xml:space="preserve"> </w:t>
      </w:r>
      <w:r w:rsidRPr="005E037B">
        <w:rPr>
          <w:rFonts w:ascii="Lato" w:hAnsi="Lato" w:cs="ArialMT"/>
          <w:sz w:val="20"/>
          <w:szCs w:val="20"/>
        </w:rPr>
        <w:t>społeczności. Członkowie Forum zapraszani byli na liczne spotkania edukacyjne, konferencje,</w:t>
      </w:r>
      <w:r w:rsidR="00C55821">
        <w:rPr>
          <w:rFonts w:ascii="Lato" w:hAnsi="Lato" w:cs="ArialMT"/>
          <w:sz w:val="20"/>
          <w:szCs w:val="20"/>
        </w:rPr>
        <w:t xml:space="preserve"> </w:t>
      </w:r>
      <w:r w:rsidRPr="005E037B">
        <w:rPr>
          <w:rFonts w:ascii="Lato" w:hAnsi="Lato" w:cs="ArialMT"/>
          <w:sz w:val="20"/>
          <w:szCs w:val="20"/>
        </w:rPr>
        <w:t>warsztaty, olimpiady sportowe, wyjazdy do regionów partnerskich oraz na spotkania</w:t>
      </w:r>
      <w:r w:rsidR="00C55821">
        <w:rPr>
          <w:rFonts w:ascii="Lato" w:hAnsi="Lato" w:cs="ArialMT"/>
          <w:sz w:val="20"/>
          <w:szCs w:val="20"/>
        </w:rPr>
        <w:t xml:space="preserve"> </w:t>
      </w:r>
      <w:r w:rsidRPr="005E037B">
        <w:rPr>
          <w:rFonts w:ascii="Lato" w:hAnsi="Lato" w:cs="ArialMT"/>
          <w:sz w:val="20"/>
          <w:szCs w:val="20"/>
        </w:rPr>
        <w:t>z przedstawicielami władz regionu. Do tej pory przedstawiciele Forum Seniorów brali również</w:t>
      </w:r>
      <w:r w:rsidR="00C55821">
        <w:rPr>
          <w:rFonts w:ascii="Lato" w:hAnsi="Lato" w:cs="ArialMT"/>
          <w:sz w:val="20"/>
          <w:szCs w:val="20"/>
        </w:rPr>
        <w:t xml:space="preserve"> </w:t>
      </w:r>
      <w:r w:rsidRPr="005E037B">
        <w:rPr>
          <w:rFonts w:ascii="Lato" w:hAnsi="Lato" w:cs="ArialMT"/>
          <w:sz w:val="20"/>
          <w:szCs w:val="20"/>
        </w:rPr>
        <w:t>niezwykle czynny udział w pracach Zespołu ds. opracowania Strategii Województwa</w:t>
      </w:r>
      <w:r w:rsidR="00C55821">
        <w:rPr>
          <w:rFonts w:ascii="Lato" w:hAnsi="Lato" w:cs="ArialMT"/>
          <w:sz w:val="20"/>
          <w:szCs w:val="20"/>
        </w:rPr>
        <w:t xml:space="preserve"> </w:t>
      </w:r>
      <w:r w:rsidRPr="005E037B">
        <w:rPr>
          <w:rFonts w:ascii="Lato" w:hAnsi="Lato" w:cs="ArialMT"/>
          <w:sz w:val="20"/>
          <w:szCs w:val="20"/>
        </w:rPr>
        <w:t xml:space="preserve">Opolskiego na lata 2020 – 2030. Problematyka wciąż postępującego </w:t>
      </w:r>
      <w:r w:rsidRPr="005E037B">
        <w:rPr>
          <w:rFonts w:ascii="Lato" w:hAnsi="Lato" w:cs="ArialMT"/>
          <w:sz w:val="20"/>
          <w:szCs w:val="20"/>
        </w:rPr>
        <w:lastRenderedPageBreak/>
        <w:t>procesu starzenia się</w:t>
      </w:r>
      <w:r w:rsidR="00C55821">
        <w:rPr>
          <w:rFonts w:ascii="Lato" w:hAnsi="Lato" w:cs="ArialMT"/>
          <w:sz w:val="20"/>
          <w:szCs w:val="20"/>
        </w:rPr>
        <w:t xml:space="preserve"> </w:t>
      </w:r>
      <w:r w:rsidRPr="005E037B">
        <w:rPr>
          <w:rFonts w:ascii="Lato" w:hAnsi="Lato" w:cs="ArialMT"/>
          <w:sz w:val="20"/>
          <w:szCs w:val="20"/>
        </w:rPr>
        <w:t>społeczeństwa, zwłaszcza w odniesieniu do województwa opolskiego, stawia przez władzami</w:t>
      </w:r>
      <w:r w:rsidR="00C55821">
        <w:rPr>
          <w:rFonts w:ascii="Lato" w:hAnsi="Lato" w:cs="ArialMT"/>
          <w:sz w:val="20"/>
          <w:szCs w:val="20"/>
        </w:rPr>
        <w:t xml:space="preserve"> </w:t>
      </w:r>
      <w:r w:rsidRPr="005E037B">
        <w:rPr>
          <w:rFonts w:ascii="Lato" w:hAnsi="Lato" w:cs="ArialMT"/>
          <w:sz w:val="20"/>
          <w:szCs w:val="20"/>
        </w:rPr>
        <w:t>regionalnymi oraz samorządami lokalnymi szereg nowych wyzwań z tym związanych,</w:t>
      </w:r>
      <w:r w:rsidR="00C55821">
        <w:rPr>
          <w:rFonts w:ascii="Lato" w:hAnsi="Lato" w:cs="ArialMT"/>
          <w:sz w:val="20"/>
          <w:szCs w:val="20"/>
        </w:rPr>
        <w:t xml:space="preserve"> </w:t>
      </w:r>
      <w:r w:rsidRPr="005E037B">
        <w:rPr>
          <w:rFonts w:ascii="Lato" w:hAnsi="Lato" w:cs="ArialMT"/>
          <w:sz w:val="20"/>
          <w:szCs w:val="20"/>
        </w:rPr>
        <w:t>w związku z tym działalność Forum skupia się na aktywizacji społecznej seniorów oraz ich</w:t>
      </w:r>
      <w:r w:rsidR="00C55821">
        <w:rPr>
          <w:rFonts w:ascii="Lato" w:hAnsi="Lato" w:cs="ArialMT"/>
          <w:sz w:val="20"/>
          <w:szCs w:val="20"/>
        </w:rPr>
        <w:t xml:space="preserve"> </w:t>
      </w:r>
      <w:r w:rsidRPr="005E037B">
        <w:rPr>
          <w:rFonts w:ascii="Lato" w:hAnsi="Lato" w:cs="ArialMT"/>
          <w:sz w:val="20"/>
          <w:szCs w:val="20"/>
        </w:rPr>
        <w:t>integracji</w:t>
      </w:r>
      <w:r w:rsidR="00C55821">
        <w:rPr>
          <w:rFonts w:ascii="Lato" w:hAnsi="Lato" w:cs="ArialMT"/>
          <w:sz w:val="20"/>
          <w:szCs w:val="20"/>
        </w:rPr>
        <w:t xml:space="preserve"> </w:t>
      </w:r>
      <w:r w:rsidRPr="005E037B">
        <w:rPr>
          <w:rFonts w:ascii="Lato" w:hAnsi="Lato" w:cs="ArialMT"/>
          <w:sz w:val="20"/>
          <w:szCs w:val="20"/>
        </w:rPr>
        <w:t>międzypokoleniowej, w celu eliminacji wykluczenia społecznego seniorów.</w:t>
      </w:r>
      <w:r w:rsidR="00C55821">
        <w:rPr>
          <w:rFonts w:ascii="Lato" w:hAnsi="Lato" w:cs="ArialMT"/>
          <w:sz w:val="20"/>
          <w:szCs w:val="20"/>
        </w:rPr>
        <w:t xml:space="preserve"> </w:t>
      </w:r>
      <w:r w:rsidRPr="005E037B">
        <w:rPr>
          <w:rFonts w:ascii="Lato" w:hAnsi="Lato" w:cs="ArialMT"/>
          <w:sz w:val="20"/>
          <w:szCs w:val="20"/>
        </w:rPr>
        <w:t>Członkowie Forum Seniorów Samorządu Województwa Opolskiego, pomimo ograniczeń</w:t>
      </w:r>
      <w:r w:rsidR="00C55821">
        <w:rPr>
          <w:rFonts w:ascii="Lato" w:hAnsi="Lato" w:cs="ArialMT"/>
          <w:sz w:val="20"/>
          <w:szCs w:val="20"/>
        </w:rPr>
        <w:t xml:space="preserve"> </w:t>
      </w:r>
      <w:r w:rsidRPr="005E037B">
        <w:rPr>
          <w:rFonts w:ascii="Lato" w:hAnsi="Lato" w:cs="ArialMT"/>
          <w:sz w:val="20"/>
          <w:szCs w:val="20"/>
        </w:rPr>
        <w:t>pandemicznych starali się realizować działania założone na 2021 rok. Kontynuowana była</w:t>
      </w:r>
      <w:r w:rsidR="00C55821">
        <w:rPr>
          <w:rFonts w:ascii="Lato" w:hAnsi="Lato" w:cs="ArialMT"/>
          <w:sz w:val="20"/>
          <w:szCs w:val="20"/>
        </w:rPr>
        <w:t xml:space="preserve"> </w:t>
      </w:r>
      <w:r w:rsidRPr="005E037B">
        <w:rPr>
          <w:rFonts w:ascii="Lato" w:hAnsi="Lato" w:cs="ArialMT"/>
          <w:sz w:val="20"/>
          <w:szCs w:val="20"/>
        </w:rPr>
        <w:t>współpraca z szerszym gronem środowiska senioralnego, a także kontynuowana była</w:t>
      </w:r>
      <w:r w:rsidR="00C55821">
        <w:rPr>
          <w:rFonts w:ascii="Lato" w:hAnsi="Lato" w:cs="ArialMT"/>
          <w:sz w:val="20"/>
          <w:szCs w:val="20"/>
        </w:rPr>
        <w:t xml:space="preserve"> </w:t>
      </w:r>
      <w:r w:rsidRPr="005E037B">
        <w:rPr>
          <w:rFonts w:ascii="Lato" w:hAnsi="Lato" w:cs="ArialMT"/>
          <w:sz w:val="20"/>
          <w:szCs w:val="20"/>
        </w:rPr>
        <w:t>współpraca przy wielu projektach realizowanych przez Samorząd Województwa Opolskiego.</w:t>
      </w:r>
    </w:p>
    <w:p w14:paraId="6851DCD0" w14:textId="77777777" w:rsidR="00C55821" w:rsidRPr="005E037B" w:rsidRDefault="00C55821" w:rsidP="005E037B">
      <w:pPr>
        <w:autoSpaceDE w:val="0"/>
        <w:autoSpaceDN w:val="0"/>
        <w:adjustRightInd w:val="0"/>
        <w:spacing w:after="0" w:line="240" w:lineRule="auto"/>
        <w:jc w:val="both"/>
        <w:rPr>
          <w:rFonts w:ascii="Lato" w:hAnsi="Lato" w:cs="ArialMT"/>
          <w:sz w:val="20"/>
          <w:szCs w:val="20"/>
        </w:rPr>
      </w:pPr>
    </w:p>
    <w:p w14:paraId="1377D6C5" w14:textId="590EC45A" w:rsidR="00C55821" w:rsidRDefault="005E037B" w:rsidP="00C55821">
      <w:pPr>
        <w:autoSpaceDE w:val="0"/>
        <w:autoSpaceDN w:val="0"/>
        <w:adjustRightInd w:val="0"/>
        <w:spacing w:after="0" w:line="240" w:lineRule="auto"/>
        <w:jc w:val="both"/>
        <w:rPr>
          <w:rFonts w:ascii="Lato" w:hAnsi="Lato" w:cs="ArialMT"/>
          <w:color w:val="000000"/>
          <w:sz w:val="20"/>
          <w:szCs w:val="20"/>
        </w:rPr>
      </w:pPr>
      <w:r w:rsidRPr="005E037B">
        <w:rPr>
          <w:rFonts w:ascii="Lato" w:hAnsi="Lato" w:cs="ArialMT"/>
          <w:sz w:val="20"/>
          <w:szCs w:val="20"/>
        </w:rPr>
        <w:t>System wsparcia osób w podeszłym wieku i niesamodzielnych obejmuje wiele innych</w:t>
      </w:r>
      <w:r w:rsidR="00C55821">
        <w:rPr>
          <w:rFonts w:ascii="Lato" w:hAnsi="Lato" w:cs="ArialMT"/>
          <w:sz w:val="20"/>
          <w:szCs w:val="20"/>
        </w:rPr>
        <w:t xml:space="preserve"> </w:t>
      </w:r>
      <w:r w:rsidRPr="005E037B">
        <w:rPr>
          <w:rFonts w:ascii="Lato" w:hAnsi="Lato" w:cs="ArialMT"/>
          <w:sz w:val="20"/>
          <w:szCs w:val="20"/>
        </w:rPr>
        <w:t>instytucji i podmiotów, w tym administracji rządowej oraz działających w samorządzie</w:t>
      </w:r>
      <w:r w:rsidR="00C55821">
        <w:rPr>
          <w:rFonts w:ascii="Lato" w:hAnsi="Lato" w:cs="ArialMT"/>
          <w:sz w:val="20"/>
          <w:szCs w:val="20"/>
        </w:rPr>
        <w:t xml:space="preserve"> </w:t>
      </w:r>
      <w:r w:rsidRPr="005E037B">
        <w:rPr>
          <w:rFonts w:ascii="Lato" w:hAnsi="Lato" w:cs="ArialMT"/>
          <w:sz w:val="20"/>
          <w:szCs w:val="20"/>
        </w:rPr>
        <w:t>terytorialnym, wśród organizacji pozarządowych, a także w sektorze komercyjnym.</w:t>
      </w:r>
      <w:r w:rsidR="00C55821">
        <w:rPr>
          <w:rFonts w:ascii="Lato" w:hAnsi="Lato" w:cs="ArialMT"/>
          <w:sz w:val="20"/>
          <w:szCs w:val="20"/>
        </w:rPr>
        <w:t xml:space="preserve"> </w:t>
      </w:r>
      <w:r w:rsidRPr="005E037B">
        <w:rPr>
          <w:rFonts w:ascii="Lato" w:hAnsi="Lato" w:cs="ArialMT"/>
          <w:sz w:val="20"/>
          <w:szCs w:val="20"/>
        </w:rPr>
        <w:t>W strukturze pomocy społecznej udzielają wsparcia (wskazane w karcie województwa):</w:t>
      </w:r>
      <w:r w:rsidR="00C55821">
        <w:rPr>
          <w:rFonts w:ascii="Lato" w:hAnsi="Lato" w:cs="ArialMT"/>
          <w:sz w:val="20"/>
          <w:szCs w:val="20"/>
        </w:rPr>
        <w:t xml:space="preserve"> </w:t>
      </w:r>
      <w:r w:rsidRPr="005E037B">
        <w:rPr>
          <w:rFonts w:ascii="Lato" w:hAnsi="Lato" w:cs="ArialMT"/>
          <w:sz w:val="20"/>
          <w:szCs w:val="20"/>
        </w:rPr>
        <w:t>domy pomocy społecznej, placówki całodobowej opieki, w tym z miejscami krótkookresowego</w:t>
      </w:r>
      <w:r w:rsidR="00C55821">
        <w:rPr>
          <w:rFonts w:ascii="Lato" w:hAnsi="Lato" w:cs="ArialMT"/>
          <w:sz w:val="20"/>
          <w:szCs w:val="20"/>
        </w:rPr>
        <w:t xml:space="preserve"> </w:t>
      </w:r>
      <w:r w:rsidRPr="005E037B">
        <w:rPr>
          <w:rFonts w:ascii="Lato" w:hAnsi="Lato" w:cs="ArialMT"/>
          <w:sz w:val="20"/>
          <w:szCs w:val="20"/>
        </w:rPr>
        <w:t>pobytu, dzienne domy pomocy, kluby seniora, a prawie 3 tys. osób objętych jest usługami</w:t>
      </w:r>
      <w:r w:rsidR="00C55821">
        <w:rPr>
          <w:rFonts w:ascii="Lato" w:hAnsi="Lato" w:cs="ArialMT"/>
          <w:sz w:val="20"/>
          <w:szCs w:val="20"/>
        </w:rPr>
        <w:t xml:space="preserve"> </w:t>
      </w:r>
      <w:r w:rsidRPr="005E037B">
        <w:rPr>
          <w:rFonts w:ascii="Lato" w:hAnsi="Lato" w:cs="ArialMT"/>
          <w:sz w:val="20"/>
          <w:szCs w:val="20"/>
        </w:rPr>
        <w:t>opiekuńczymi. Wielu starszych mieszkańców regionu korzysta także z oferty uniwersytetów III</w:t>
      </w:r>
      <w:r w:rsidR="00C55821">
        <w:rPr>
          <w:rFonts w:ascii="Lato" w:hAnsi="Lato" w:cs="ArialMT"/>
          <w:sz w:val="20"/>
          <w:szCs w:val="20"/>
        </w:rPr>
        <w:t xml:space="preserve"> </w:t>
      </w:r>
      <w:r w:rsidRPr="005E037B">
        <w:rPr>
          <w:rFonts w:ascii="Lato" w:hAnsi="Lato" w:cs="ArialMT"/>
          <w:sz w:val="20"/>
          <w:szCs w:val="20"/>
        </w:rPr>
        <w:t>wieku oraz różnych środowiskowych form wsparcia, finansowanych przez gminy (Koperta</w:t>
      </w:r>
      <w:r w:rsidR="00C55821">
        <w:rPr>
          <w:rFonts w:ascii="Lato" w:hAnsi="Lato" w:cs="ArialMT"/>
          <w:sz w:val="20"/>
          <w:szCs w:val="20"/>
        </w:rPr>
        <w:t xml:space="preserve"> </w:t>
      </w:r>
      <w:r w:rsidRPr="005E037B">
        <w:rPr>
          <w:rFonts w:ascii="Lato" w:hAnsi="Lato" w:cs="ArialMT"/>
          <w:sz w:val="20"/>
          <w:szCs w:val="20"/>
        </w:rPr>
        <w:t>życia, Karta Rodziny i Seniora, udział w imprezach integracyjnych, możliwość wypożyczania</w:t>
      </w:r>
      <w:r w:rsidR="00C55821">
        <w:rPr>
          <w:rFonts w:ascii="Lato" w:hAnsi="Lato" w:cs="ArialMT"/>
          <w:sz w:val="20"/>
          <w:szCs w:val="20"/>
        </w:rPr>
        <w:t xml:space="preserve"> </w:t>
      </w:r>
      <w:r w:rsidR="00C55821" w:rsidRPr="00C55821">
        <w:rPr>
          <w:rFonts w:ascii="Lato" w:hAnsi="Lato" w:cs="ArialMT"/>
          <w:color w:val="000000"/>
          <w:sz w:val="20"/>
          <w:szCs w:val="20"/>
        </w:rPr>
        <w:t xml:space="preserve">sprzętu rehabilitacyjnego, czy wsparcie w formie </w:t>
      </w:r>
      <w:proofErr w:type="spellStart"/>
      <w:r w:rsidR="00C55821" w:rsidRPr="00C55821">
        <w:rPr>
          <w:rFonts w:ascii="Lato" w:hAnsi="Lato" w:cs="ArialMT"/>
          <w:color w:val="000000"/>
          <w:sz w:val="20"/>
          <w:szCs w:val="20"/>
        </w:rPr>
        <w:t>teleopieki</w:t>
      </w:r>
      <w:proofErr w:type="spellEnd"/>
      <w:r w:rsidR="00C55821" w:rsidRPr="00C55821">
        <w:rPr>
          <w:rFonts w:ascii="Lato" w:hAnsi="Lato" w:cs="ArialMT"/>
          <w:color w:val="000000"/>
          <w:sz w:val="20"/>
          <w:szCs w:val="20"/>
        </w:rPr>
        <w:t>). Powstają również (choć na razie</w:t>
      </w:r>
      <w:r w:rsidR="00C55821">
        <w:rPr>
          <w:rFonts w:ascii="Lato" w:hAnsi="Lato" w:cs="ArialMT"/>
          <w:sz w:val="20"/>
          <w:szCs w:val="20"/>
        </w:rPr>
        <w:t xml:space="preserve"> </w:t>
      </w:r>
      <w:r w:rsidR="00C55821" w:rsidRPr="00C55821">
        <w:rPr>
          <w:rFonts w:ascii="Lato" w:hAnsi="Lato" w:cs="ArialMT"/>
          <w:color w:val="000000"/>
          <w:sz w:val="20"/>
          <w:szCs w:val="20"/>
        </w:rPr>
        <w:t>liczba tych instytucji jest znikoma) punkty/centra informacji senioralnej, centra wolontariatu,</w:t>
      </w:r>
      <w:r w:rsidR="00C55821">
        <w:rPr>
          <w:rFonts w:ascii="Lato" w:hAnsi="Lato" w:cs="ArialMT"/>
          <w:sz w:val="20"/>
          <w:szCs w:val="20"/>
        </w:rPr>
        <w:t xml:space="preserve"> </w:t>
      </w:r>
      <w:r w:rsidR="00C55821" w:rsidRPr="00C55821">
        <w:rPr>
          <w:rFonts w:ascii="Lato" w:hAnsi="Lato" w:cs="ArialMT"/>
          <w:color w:val="000000"/>
          <w:sz w:val="20"/>
          <w:szCs w:val="20"/>
        </w:rPr>
        <w:t>mieszkania wspomagane/serwisowane, rady seniorów. W części samorządów (Opole, Nysa,</w:t>
      </w:r>
      <w:r w:rsidR="00C55821">
        <w:rPr>
          <w:rFonts w:ascii="Lato" w:hAnsi="Lato" w:cs="ArialMT"/>
          <w:sz w:val="20"/>
          <w:szCs w:val="20"/>
        </w:rPr>
        <w:t xml:space="preserve"> </w:t>
      </w:r>
      <w:r w:rsidR="00C55821" w:rsidRPr="00C55821">
        <w:rPr>
          <w:rFonts w:ascii="Lato" w:hAnsi="Lato" w:cs="ArialMT"/>
          <w:color w:val="000000"/>
          <w:sz w:val="20"/>
          <w:szCs w:val="20"/>
        </w:rPr>
        <w:t>Kluczbork, Kędzierzyn-Koźle, Gogolin, Strzelce Opolskie) polityka senioralna jest częścią</w:t>
      </w:r>
      <w:r w:rsidR="00C55821">
        <w:rPr>
          <w:rFonts w:ascii="Lato" w:hAnsi="Lato" w:cs="ArialMT"/>
          <w:sz w:val="20"/>
          <w:szCs w:val="20"/>
        </w:rPr>
        <w:t xml:space="preserve"> </w:t>
      </w:r>
      <w:r w:rsidR="00C55821" w:rsidRPr="00C55821">
        <w:rPr>
          <w:rFonts w:ascii="Lato" w:hAnsi="Lato" w:cs="ArialMT"/>
          <w:color w:val="000000"/>
          <w:sz w:val="20"/>
          <w:szCs w:val="20"/>
        </w:rPr>
        <w:t>przyjętych przez rady gminy strategii i programów.</w:t>
      </w:r>
      <w:r w:rsidR="00C55821">
        <w:rPr>
          <w:rFonts w:ascii="Lato" w:hAnsi="Lato" w:cs="ArialMT"/>
          <w:sz w:val="20"/>
          <w:szCs w:val="20"/>
        </w:rPr>
        <w:t xml:space="preserve"> </w:t>
      </w:r>
      <w:r w:rsidR="00C55821" w:rsidRPr="00C55821">
        <w:rPr>
          <w:rFonts w:ascii="Lato" w:hAnsi="Lato" w:cs="ArialMT"/>
          <w:color w:val="000000"/>
          <w:sz w:val="20"/>
          <w:szCs w:val="20"/>
        </w:rPr>
        <w:t>Spośród wielu organizacji non-profit działających na rzecz osób niesamodzielnych,</w:t>
      </w:r>
      <w:r w:rsidR="00C55821">
        <w:rPr>
          <w:rFonts w:ascii="Lato" w:hAnsi="Lato" w:cs="ArialMT"/>
          <w:sz w:val="20"/>
          <w:szCs w:val="20"/>
        </w:rPr>
        <w:t xml:space="preserve"> </w:t>
      </w:r>
      <w:r w:rsidR="00C55821" w:rsidRPr="00C55821">
        <w:rPr>
          <w:rFonts w:ascii="Lato" w:hAnsi="Lato" w:cs="ArialMT"/>
          <w:color w:val="000000"/>
          <w:sz w:val="20"/>
          <w:szCs w:val="20"/>
        </w:rPr>
        <w:t>wiodącą rolę odgrywa Caritas Diecezji Opolskiej, obejmując wsparciem ok. 45 tys. Starszych</w:t>
      </w:r>
      <w:r w:rsidR="00C55821">
        <w:rPr>
          <w:rFonts w:ascii="Lato" w:hAnsi="Lato" w:cs="ArialMT"/>
          <w:sz w:val="20"/>
          <w:szCs w:val="20"/>
        </w:rPr>
        <w:t xml:space="preserve"> </w:t>
      </w:r>
      <w:r w:rsidR="00C55821" w:rsidRPr="00C55821">
        <w:rPr>
          <w:rFonts w:ascii="Lato" w:hAnsi="Lato" w:cs="ArialMT"/>
          <w:color w:val="000000"/>
          <w:sz w:val="20"/>
          <w:szCs w:val="20"/>
        </w:rPr>
        <w:t>i niesamodzielnych mieszkańców województwa.</w:t>
      </w:r>
    </w:p>
    <w:p w14:paraId="268F8FDB" w14:textId="77777777" w:rsidR="00C55821" w:rsidRPr="00C55821" w:rsidRDefault="00C55821" w:rsidP="00C55821">
      <w:pPr>
        <w:autoSpaceDE w:val="0"/>
        <w:autoSpaceDN w:val="0"/>
        <w:adjustRightInd w:val="0"/>
        <w:spacing w:after="0" w:line="240" w:lineRule="auto"/>
        <w:jc w:val="both"/>
        <w:rPr>
          <w:rFonts w:ascii="Lato" w:hAnsi="Lato" w:cs="ArialMT"/>
          <w:sz w:val="20"/>
          <w:szCs w:val="20"/>
        </w:rPr>
      </w:pPr>
    </w:p>
    <w:p w14:paraId="7776F757" w14:textId="564FC72F" w:rsidR="00C55821" w:rsidRPr="00C55821" w:rsidRDefault="00C55821" w:rsidP="00C55821">
      <w:pPr>
        <w:autoSpaceDE w:val="0"/>
        <w:autoSpaceDN w:val="0"/>
        <w:adjustRightInd w:val="0"/>
        <w:spacing w:after="0" w:line="240" w:lineRule="auto"/>
        <w:jc w:val="both"/>
        <w:rPr>
          <w:rFonts w:ascii="Lato" w:hAnsi="Lato" w:cs="Arial-BoldMT"/>
          <w:b/>
          <w:bCs/>
          <w:color w:val="000000"/>
          <w:sz w:val="20"/>
          <w:szCs w:val="20"/>
        </w:rPr>
      </w:pPr>
      <w:r w:rsidRPr="00C55821">
        <w:rPr>
          <w:rFonts w:ascii="Lato" w:hAnsi="Lato" w:cs="Arial-BoldMT"/>
          <w:b/>
          <w:bCs/>
          <w:color w:val="000000"/>
          <w:sz w:val="20"/>
          <w:szCs w:val="20"/>
        </w:rPr>
        <w:t>Program Senior+.</w:t>
      </w:r>
    </w:p>
    <w:p w14:paraId="30966A39" w14:textId="19F65138" w:rsidR="00C55821" w:rsidRDefault="00C55821" w:rsidP="00C55821">
      <w:pPr>
        <w:autoSpaceDE w:val="0"/>
        <w:autoSpaceDN w:val="0"/>
        <w:adjustRightInd w:val="0"/>
        <w:spacing w:after="0" w:line="240" w:lineRule="auto"/>
        <w:jc w:val="both"/>
        <w:rPr>
          <w:rFonts w:ascii="Lato" w:hAnsi="Lato" w:cs="ArialMT"/>
          <w:color w:val="000000"/>
          <w:sz w:val="20"/>
          <w:szCs w:val="20"/>
        </w:rPr>
      </w:pPr>
      <w:r w:rsidRPr="00C55821">
        <w:rPr>
          <w:rFonts w:ascii="Lato" w:hAnsi="Lato" w:cs="ArialMT"/>
          <w:color w:val="000000"/>
          <w:sz w:val="20"/>
          <w:szCs w:val="20"/>
        </w:rPr>
        <w:t>W województwie opolskim funkcjonuje: 7 Domów Dziennego Pobytu Senior + oraz 24</w:t>
      </w:r>
      <w:r>
        <w:rPr>
          <w:rFonts w:ascii="Lato" w:hAnsi="Lato" w:cs="ArialMT"/>
          <w:color w:val="000000"/>
          <w:sz w:val="20"/>
          <w:szCs w:val="20"/>
        </w:rPr>
        <w:t xml:space="preserve"> </w:t>
      </w:r>
      <w:r w:rsidRPr="00C55821">
        <w:rPr>
          <w:rFonts w:ascii="Lato" w:hAnsi="Lato" w:cs="ArialMT"/>
          <w:color w:val="000000"/>
          <w:sz w:val="20"/>
          <w:szCs w:val="20"/>
        </w:rPr>
        <w:t>Kluby Senior+ w gminach: Głogówek, Niemodlin, Polska Cerekiew, Pokój, Dąbrowa, Strzelce</w:t>
      </w:r>
      <w:r>
        <w:rPr>
          <w:rFonts w:ascii="Lato" w:hAnsi="Lato" w:cs="ArialMT"/>
          <w:color w:val="000000"/>
          <w:sz w:val="20"/>
          <w:szCs w:val="20"/>
        </w:rPr>
        <w:t xml:space="preserve"> </w:t>
      </w:r>
      <w:r w:rsidRPr="00C55821">
        <w:rPr>
          <w:rFonts w:ascii="Lato" w:hAnsi="Lato" w:cs="ArialMT"/>
          <w:color w:val="000000"/>
          <w:sz w:val="20"/>
          <w:szCs w:val="20"/>
        </w:rPr>
        <w:t>Opolskie, Nysa, Prudnik, Olesno, Kietrz, Reńska Wieś, Łambinowice, Skoroszyce, Głuchołazy,</w:t>
      </w:r>
      <w:r>
        <w:rPr>
          <w:rFonts w:ascii="Lato" w:hAnsi="Lato" w:cs="ArialMT"/>
          <w:color w:val="000000"/>
          <w:sz w:val="20"/>
          <w:szCs w:val="20"/>
        </w:rPr>
        <w:t xml:space="preserve"> </w:t>
      </w:r>
      <w:r w:rsidRPr="00C55821">
        <w:rPr>
          <w:rFonts w:ascii="Lato" w:hAnsi="Lato" w:cs="ArialMT"/>
          <w:color w:val="000000"/>
          <w:sz w:val="20"/>
          <w:szCs w:val="20"/>
        </w:rPr>
        <w:t>Biała, Branice, Lewin Brzeski, Popielów, Grodków, Walce, Bierawa, Paczków, Dobrzeń Wielki</w:t>
      </w:r>
      <w:r>
        <w:rPr>
          <w:rFonts w:ascii="Lato" w:hAnsi="Lato" w:cs="ArialMT"/>
          <w:color w:val="000000"/>
          <w:sz w:val="20"/>
          <w:szCs w:val="20"/>
        </w:rPr>
        <w:t xml:space="preserve"> </w:t>
      </w:r>
      <w:r w:rsidRPr="00C55821">
        <w:rPr>
          <w:rFonts w:ascii="Lato" w:hAnsi="Lato" w:cs="ArialMT"/>
          <w:color w:val="000000"/>
          <w:sz w:val="20"/>
          <w:szCs w:val="20"/>
        </w:rPr>
        <w:t>oraz w powiecie namysłowskim. Liczba miejsc wynosi: 177 w Domach oraz 612 w Klubach.</w:t>
      </w:r>
    </w:p>
    <w:p w14:paraId="199692E9" w14:textId="408EA5A6" w:rsidR="00C55821" w:rsidRDefault="00C55821" w:rsidP="00C55821">
      <w:pPr>
        <w:autoSpaceDE w:val="0"/>
        <w:autoSpaceDN w:val="0"/>
        <w:adjustRightInd w:val="0"/>
        <w:spacing w:after="0" w:line="240" w:lineRule="auto"/>
        <w:jc w:val="both"/>
        <w:rPr>
          <w:rFonts w:ascii="Lato" w:hAnsi="Lato" w:cs="ArialMT"/>
          <w:color w:val="000000"/>
          <w:sz w:val="20"/>
          <w:szCs w:val="20"/>
        </w:rPr>
      </w:pPr>
    </w:p>
    <w:p w14:paraId="3B75A334" w14:textId="05003E7E" w:rsidR="00C55821" w:rsidRPr="00C55821" w:rsidRDefault="00C55821" w:rsidP="00C55821">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627A0FD0" w14:textId="4712A14F" w:rsidR="00C55821" w:rsidRPr="00C55821" w:rsidRDefault="00C55821" w:rsidP="00C55821">
      <w:pPr>
        <w:autoSpaceDE w:val="0"/>
        <w:autoSpaceDN w:val="0"/>
        <w:adjustRightInd w:val="0"/>
        <w:spacing w:after="0" w:line="240" w:lineRule="auto"/>
        <w:jc w:val="both"/>
        <w:rPr>
          <w:rFonts w:ascii="Lato" w:hAnsi="Lato" w:cs="Arial-BoldMT"/>
          <w:b/>
          <w:bCs/>
          <w:color w:val="000000"/>
          <w:sz w:val="20"/>
          <w:szCs w:val="20"/>
        </w:rPr>
      </w:pPr>
      <w:r w:rsidRPr="00C55821">
        <w:rPr>
          <w:rFonts w:ascii="Lato" w:hAnsi="Lato" w:cs="Arial-BoldMT"/>
          <w:b/>
          <w:bCs/>
          <w:color w:val="000000"/>
          <w:sz w:val="20"/>
          <w:szCs w:val="20"/>
        </w:rPr>
        <w:t>Powiat Oleski</w:t>
      </w:r>
    </w:p>
    <w:p w14:paraId="74527FBA" w14:textId="7817115B" w:rsidR="00C55821" w:rsidRDefault="00C55821" w:rsidP="00C55821">
      <w:pPr>
        <w:autoSpaceDE w:val="0"/>
        <w:autoSpaceDN w:val="0"/>
        <w:adjustRightInd w:val="0"/>
        <w:spacing w:after="0" w:line="240" w:lineRule="auto"/>
        <w:jc w:val="both"/>
        <w:rPr>
          <w:rFonts w:ascii="Lato" w:hAnsi="Lato" w:cs="ArialMT"/>
          <w:color w:val="000000"/>
          <w:sz w:val="20"/>
          <w:szCs w:val="20"/>
        </w:rPr>
      </w:pPr>
      <w:r w:rsidRPr="00C55821">
        <w:rPr>
          <w:rFonts w:ascii="Lato" w:hAnsi="Lato" w:cs="ArialMT"/>
          <w:color w:val="000000"/>
          <w:sz w:val="20"/>
          <w:szCs w:val="20"/>
        </w:rPr>
        <w:t>Powiat Oleski, za pośrednictwem Powiatowego Centrum Pomocy Rodzinie w Oleśnie</w:t>
      </w:r>
      <w:r>
        <w:rPr>
          <w:rFonts w:ascii="Lato" w:hAnsi="Lato" w:cs="ArialMT"/>
          <w:color w:val="000000"/>
          <w:sz w:val="20"/>
          <w:szCs w:val="20"/>
        </w:rPr>
        <w:t xml:space="preserve"> </w:t>
      </w:r>
      <w:r w:rsidRPr="00C55821">
        <w:rPr>
          <w:rFonts w:ascii="Lato" w:hAnsi="Lato" w:cs="ArialMT"/>
          <w:color w:val="000000"/>
          <w:sz w:val="20"/>
          <w:szCs w:val="20"/>
        </w:rPr>
        <w:t>wykorzystując nowe technologie w opiece nad osobami starszymi zakupił i rozdysponował</w:t>
      </w:r>
      <w:r>
        <w:rPr>
          <w:rFonts w:ascii="Lato" w:hAnsi="Lato" w:cs="ArialMT"/>
          <w:color w:val="000000"/>
          <w:sz w:val="20"/>
          <w:szCs w:val="20"/>
        </w:rPr>
        <w:t xml:space="preserve"> </w:t>
      </w:r>
      <w:r w:rsidRPr="00C55821">
        <w:rPr>
          <w:rFonts w:ascii="Lato" w:hAnsi="Lato" w:cs="ArialMT"/>
          <w:color w:val="000000"/>
          <w:sz w:val="20"/>
          <w:szCs w:val="20"/>
        </w:rPr>
        <w:t>wśród seniorów 100 opasek SOS z funkcją opieki Telecentrum medycznego. Zakup opasek</w:t>
      </w:r>
      <w:r>
        <w:rPr>
          <w:rFonts w:ascii="Lato" w:hAnsi="Lato" w:cs="ArialMT"/>
          <w:color w:val="000000"/>
          <w:sz w:val="20"/>
          <w:szCs w:val="20"/>
        </w:rPr>
        <w:t xml:space="preserve"> </w:t>
      </w:r>
      <w:r w:rsidRPr="00C55821">
        <w:rPr>
          <w:rFonts w:ascii="Lato" w:hAnsi="Lato" w:cs="ArialMT"/>
          <w:color w:val="000000"/>
          <w:sz w:val="20"/>
          <w:szCs w:val="20"/>
        </w:rPr>
        <w:t>SOS został zrealizowany w ramach programu Państwowego Funduszu Rehabilitacji Osób</w:t>
      </w:r>
      <w:r>
        <w:rPr>
          <w:rFonts w:ascii="Lato" w:hAnsi="Lato" w:cs="ArialMT"/>
          <w:color w:val="000000"/>
          <w:sz w:val="20"/>
          <w:szCs w:val="20"/>
        </w:rPr>
        <w:t xml:space="preserve"> </w:t>
      </w:r>
      <w:r w:rsidRPr="00C55821">
        <w:rPr>
          <w:rFonts w:ascii="Lato" w:hAnsi="Lato" w:cs="ArialMT"/>
          <w:color w:val="000000"/>
          <w:sz w:val="20"/>
          <w:szCs w:val="20"/>
        </w:rPr>
        <w:t>Niepełnosprawnych – Moduł IV „</w:t>
      </w:r>
      <w:r w:rsidRPr="00C55821">
        <w:rPr>
          <w:rFonts w:ascii="Lato" w:hAnsi="Lato" w:cs="Arial-ItalicMT"/>
          <w:i/>
          <w:iCs/>
          <w:color w:val="000000"/>
          <w:sz w:val="20"/>
          <w:szCs w:val="20"/>
        </w:rPr>
        <w:t>Pomoc osobom niepełnosprawnym poszkodowanym</w:t>
      </w:r>
      <w:r>
        <w:rPr>
          <w:rFonts w:ascii="Lato" w:hAnsi="Lato" w:cs="ArialMT"/>
          <w:color w:val="000000"/>
          <w:sz w:val="20"/>
          <w:szCs w:val="20"/>
        </w:rPr>
        <w:t xml:space="preserve"> </w:t>
      </w:r>
      <w:r w:rsidRPr="00C55821">
        <w:rPr>
          <w:rFonts w:ascii="Lato" w:hAnsi="Lato" w:cs="Arial-ItalicMT"/>
          <w:i/>
          <w:iCs/>
          <w:color w:val="000000"/>
          <w:sz w:val="20"/>
          <w:szCs w:val="20"/>
        </w:rPr>
        <w:t>w wyniku żywiołu lub sytuacji kryzysowych wywołanych chorobami zakaźnymi</w:t>
      </w:r>
      <w:r w:rsidRPr="00C55821">
        <w:rPr>
          <w:rFonts w:ascii="Lato" w:hAnsi="Lato" w:cs="ArialMT"/>
          <w:color w:val="000000"/>
          <w:sz w:val="20"/>
          <w:szCs w:val="20"/>
        </w:rPr>
        <w:t>”. Seniorzy mogli</w:t>
      </w:r>
      <w:r>
        <w:rPr>
          <w:rFonts w:ascii="Lato" w:hAnsi="Lato" w:cs="ArialMT"/>
          <w:color w:val="000000"/>
          <w:sz w:val="20"/>
          <w:szCs w:val="20"/>
        </w:rPr>
        <w:t xml:space="preserve"> </w:t>
      </w:r>
      <w:r w:rsidRPr="00C55821">
        <w:rPr>
          <w:rFonts w:ascii="Lato" w:hAnsi="Lato" w:cs="ArialMT"/>
          <w:color w:val="000000"/>
          <w:sz w:val="20"/>
          <w:szCs w:val="20"/>
        </w:rPr>
        <w:t xml:space="preserve">zatem przez cały rok 2022 korzystać z całodobowej, bezpłatnej opieki na odległość. </w:t>
      </w:r>
    </w:p>
    <w:p w14:paraId="2801D9C7" w14:textId="77777777" w:rsidR="00C55821" w:rsidRPr="00C55821" w:rsidRDefault="00C55821" w:rsidP="00C55821">
      <w:pPr>
        <w:autoSpaceDE w:val="0"/>
        <w:autoSpaceDN w:val="0"/>
        <w:adjustRightInd w:val="0"/>
        <w:spacing w:after="0" w:line="240" w:lineRule="auto"/>
        <w:jc w:val="both"/>
        <w:rPr>
          <w:rFonts w:ascii="Lato" w:hAnsi="Lato" w:cs="ArialMT"/>
          <w:color w:val="0563C2"/>
          <w:sz w:val="20"/>
          <w:szCs w:val="20"/>
        </w:rPr>
      </w:pPr>
    </w:p>
    <w:p w14:paraId="49BECC3C" w14:textId="7B324520" w:rsidR="00C55821" w:rsidRPr="00C55821" w:rsidRDefault="00C55821" w:rsidP="00C55821">
      <w:pPr>
        <w:autoSpaceDE w:val="0"/>
        <w:autoSpaceDN w:val="0"/>
        <w:adjustRightInd w:val="0"/>
        <w:spacing w:after="0" w:line="240" w:lineRule="auto"/>
        <w:jc w:val="both"/>
        <w:rPr>
          <w:rFonts w:ascii="Lato" w:hAnsi="Lato" w:cs="ArialMT"/>
          <w:color w:val="0563C2"/>
          <w:sz w:val="20"/>
          <w:szCs w:val="20"/>
        </w:rPr>
      </w:pPr>
      <w:r w:rsidRPr="00C55821">
        <w:rPr>
          <w:rFonts w:ascii="Lato" w:hAnsi="Lato" w:cs="ArialMT"/>
          <w:color w:val="000000"/>
          <w:sz w:val="20"/>
          <w:szCs w:val="20"/>
        </w:rPr>
        <w:t>Powiatowe Centrum Pomocy Rodzinie w Oleśnie realizuje również projekt partnerski</w:t>
      </w:r>
      <w:r>
        <w:rPr>
          <w:rFonts w:ascii="Lato" w:hAnsi="Lato" w:cs="ArialMT"/>
          <w:color w:val="000000"/>
          <w:sz w:val="20"/>
          <w:szCs w:val="20"/>
        </w:rPr>
        <w:t xml:space="preserve"> </w:t>
      </w:r>
      <w:r w:rsidRPr="00C55821">
        <w:rPr>
          <w:rFonts w:ascii="Lato" w:hAnsi="Lato" w:cs="ArialMT"/>
          <w:color w:val="000000"/>
          <w:sz w:val="20"/>
          <w:szCs w:val="20"/>
        </w:rPr>
        <w:t xml:space="preserve">pn. </w:t>
      </w:r>
      <w:r w:rsidRPr="00C55821">
        <w:rPr>
          <w:rFonts w:ascii="Lato" w:hAnsi="Lato" w:cs="Arial-ItalicMT"/>
          <w:i/>
          <w:iCs/>
          <w:color w:val="000000"/>
          <w:sz w:val="20"/>
          <w:szCs w:val="20"/>
        </w:rPr>
        <w:t>Nie-Sami-Dzielni II – rozwój usług społecznych oraz wspierających osoby niesamodzielne</w:t>
      </w:r>
      <w:r>
        <w:rPr>
          <w:rFonts w:ascii="Lato" w:hAnsi="Lato" w:cs="ArialMT"/>
          <w:color w:val="000000"/>
          <w:sz w:val="20"/>
          <w:szCs w:val="20"/>
        </w:rPr>
        <w:t xml:space="preserve"> </w:t>
      </w:r>
      <w:r w:rsidRPr="00C55821">
        <w:rPr>
          <w:rFonts w:ascii="Lato" w:hAnsi="Lato" w:cs="Arial-ItalicMT"/>
          <w:i/>
          <w:iCs/>
          <w:color w:val="000000"/>
          <w:sz w:val="20"/>
          <w:szCs w:val="20"/>
        </w:rPr>
        <w:t>w ramach Regionalnego Programu Operacyjnego Województwa Opolskiego na lata 2014-</w:t>
      </w:r>
      <w:r>
        <w:rPr>
          <w:rFonts w:ascii="Lato" w:hAnsi="Lato" w:cs="ArialMT"/>
          <w:color w:val="000000"/>
          <w:sz w:val="20"/>
          <w:szCs w:val="20"/>
        </w:rPr>
        <w:t xml:space="preserve"> </w:t>
      </w:r>
      <w:r w:rsidRPr="00C55821">
        <w:rPr>
          <w:rFonts w:ascii="Lato" w:hAnsi="Lato" w:cs="Arial-ItalicMT"/>
          <w:i/>
          <w:iCs/>
          <w:color w:val="000000"/>
          <w:sz w:val="20"/>
          <w:szCs w:val="20"/>
        </w:rPr>
        <w:t>2020, Oś priorytetowa VIII-Integracja Społeczna, współfinansowanego z Europejskiego</w:t>
      </w:r>
      <w:r>
        <w:rPr>
          <w:rFonts w:ascii="Lato" w:hAnsi="Lato" w:cs="ArialMT"/>
          <w:color w:val="000000"/>
          <w:sz w:val="20"/>
          <w:szCs w:val="20"/>
        </w:rPr>
        <w:t xml:space="preserve"> </w:t>
      </w:r>
      <w:r w:rsidRPr="00C55821">
        <w:rPr>
          <w:rFonts w:ascii="Lato" w:hAnsi="Lato" w:cs="Arial-ItalicMT"/>
          <w:i/>
          <w:iCs/>
          <w:color w:val="000000"/>
          <w:sz w:val="20"/>
          <w:szCs w:val="20"/>
        </w:rPr>
        <w:t>Funduszu Społecznego</w:t>
      </w:r>
      <w:r w:rsidRPr="00C55821">
        <w:rPr>
          <w:rFonts w:ascii="Lato" w:hAnsi="Lato" w:cs="ArialMT"/>
          <w:color w:val="000000"/>
          <w:sz w:val="20"/>
          <w:szCs w:val="20"/>
        </w:rPr>
        <w:t>. Celem głównym projektu jest zwiększenie dostępu do usług</w:t>
      </w:r>
      <w:r>
        <w:rPr>
          <w:rFonts w:ascii="Lato" w:hAnsi="Lato" w:cs="ArialMT"/>
          <w:color w:val="000000"/>
          <w:sz w:val="20"/>
          <w:szCs w:val="20"/>
        </w:rPr>
        <w:t xml:space="preserve"> </w:t>
      </w:r>
      <w:r w:rsidRPr="00C55821">
        <w:rPr>
          <w:rFonts w:ascii="Lato" w:hAnsi="Lato" w:cs="ArialMT"/>
          <w:color w:val="000000"/>
          <w:sz w:val="20"/>
          <w:szCs w:val="20"/>
        </w:rPr>
        <w:t>społecznych i usług wspierających świadczonych na rzecz osób niesamodzielnych, starszych</w:t>
      </w:r>
      <w:r>
        <w:rPr>
          <w:rFonts w:ascii="Lato" w:hAnsi="Lato" w:cs="ArialMT"/>
          <w:color w:val="000000"/>
          <w:sz w:val="20"/>
          <w:szCs w:val="20"/>
        </w:rPr>
        <w:t xml:space="preserve"> </w:t>
      </w:r>
      <w:r w:rsidRPr="00C55821">
        <w:rPr>
          <w:rFonts w:ascii="Lato" w:hAnsi="Lato" w:cs="ArialMT"/>
          <w:color w:val="000000"/>
          <w:sz w:val="20"/>
          <w:szCs w:val="20"/>
        </w:rPr>
        <w:t xml:space="preserve">i niepełnosprawnych na terenie województwa opolskiego. </w:t>
      </w:r>
    </w:p>
    <w:p w14:paraId="0B53246B" w14:textId="77777777" w:rsidR="00C55821" w:rsidRDefault="00C55821" w:rsidP="00C55821">
      <w:pPr>
        <w:autoSpaceDE w:val="0"/>
        <w:autoSpaceDN w:val="0"/>
        <w:adjustRightInd w:val="0"/>
        <w:spacing w:after="0" w:line="240" w:lineRule="auto"/>
        <w:jc w:val="both"/>
        <w:rPr>
          <w:rFonts w:ascii="Lato" w:hAnsi="Lato" w:cs="Arial-BoldMT"/>
          <w:b/>
          <w:bCs/>
          <w:color w:val="000000"/>
          <w:sz w:val="20"/>
          <w:szCs w:val="20"/>
        </w:rPr>
      </w:pPr>
    </w:p>
    <w:p w14:paraId="2A25E655" w14:textId="4D54225F" w:rsidR="00C55821" w:rsidRPr="00C55821" w:rsidRDefault="00C55821" w:rsidP="00C55821">
      <w:pPr>
        <w:autoSpaceDE w:val="0"/>
        <w:autoSpaceDN w:val="0"/>
        <w:adjustRightInd w:val="0"/>
        <w:spacing w:after="0" w:line="240" w:lineRule="auto"/>
        <w:jc w:val="both"/>
        <w:rPr>
          <w:rFonts w:ascii="Lato" w:hAnsi="Lato" w:cs="Arial-BoldMT"/>
          <w:b/>
          <w:bCs/>
          <w:color w:val="000000"/>
          <w:sz w:val="20"/>
          <w:szCs w:val="20"/>
        </w:rPr>
      </w:pPr>
      <w:r w:rsidRPr="00C55821">
        <w:rPr>
          <w:rFonts w:ascii="Lato" w:hAnsi="Lato" w:cs="Arial-BoldMT"/>
          <w:b/>
          <w:bCs/>
          <w:color w:val="000000"/>
          <w:sz w:val="20"/>
          <w:szCs w:val="20"/>
        </w:rPr>
        <w:t>Powiat krapkowicki</w:t>
      </w:r>
      <w:r>
        <w:rPr>
          <w:rFonts w:ascii="Lato" w:hAnsi="Lato" w:cs="Arial-BoldMT"/>
          <w:b/>
          <w:bCs/>
          <w:color w:val="000000"/>
          <w:sz w:val="20"/>
          <w:szCs w:val="20"/>
        </w:rPr>
        <w:t xml:space="preserve"> </w:t>
      </w:r>
    </w:p>
    <w:p w14:paraId="4A4C428E" w14:textId="49B992FF" w:rsidR="00C55821" w:rsidRPr="00C55821" w:rsidRDefault="00C55821" w:rsidP="00C55821">
      <w:pPr>
        <w:autoSpaceDE w:val="0"/>
        <w:autoSpaceDN w:val="0"/>
        <w:adjustRightInd w:val="0"/>
        <w:spacing w:after="0" w:line="240" w:lineRule="auto"/>
        <w:jc w:val="both"/>
        <w:rPr>
          <w:rFonts w:ascii="Lato" w:hAnsi="Lato" w:cs="ArialMT"/>
          <w:color w:val="000000"/>
          <w:sz w:val="20"/>
          <w:szCs w:val="20"/>
        </w:rPr>
      </w:pPr>
      <w:r w:rsidRPr="00C55821">
        <w:rPr>
          <w:rFonts w:ascii="Lato" w:hAnsi="Lato" w:cs="ArialMT"/>
          <w:color w:val="000000"/>
          <w:sz w:val="20"/>
          <w:szCs w:val="20"/>
        </w:rPr>
        <w:t>Powiat Krapkowicki współpracuje z Uniwersytetami III Wieku, Związkami Emerytów</w:t>
      </w:r>
      <w:r>
        <w:rPr>
          <w:rFonts w:ascii="Lato" w:hAnsi="Lato" w:cs="ArialMT"/>
          <w:color w:val="000000"/>
          <w:sz w:val="20"/>
          <w:szCs w:val="20"/>
        </w:rPr>
        <w:t xml:space="preserve"> </w:t>
      </w:r>
      <w:r w:rsidRPr="00C55821">
        <w:rPr>
          <w:rFonts w:ascii="Lato" w:hAnsi="Lato" w:cs="ArialMT"/>
          <w:color w:val="000000"/>
          <w:sz w:val="20"/>
          <w:szCs w:val="20"/>
        </w:rPr>
        <w:t>i Rencistów, klubami seniora, nie tylko poprzez organizowanie wydarzeń, spotkań, wspieranie</w:t>
      </w:r>
      <w:r>
        <w:rPr>
          <w:rFonts w:ascii="Lato" w:hAnsi="Lato" w:cs="ArialMT"/>
          <w:color w:val="000000"/>
          <w:sz w:val="20"/>
          <w:szCs w:val="20"/>
        </w:rPr>
        <w:t xml:space="preserve"> </w:t>
      </w:r>
      <w:r w:rsidRPr="00C55821">
        <w:rPr>
          <w:rFonts w:ascii="Lato" w:hAnsi="Lato" w:cs="ArialMT"/>
          <w:color w:val="000000"/>
          <w:sz w:val="20"/>
          <w:szCs w:val="20"/>
        </w:rPr>
        <w:t>aktywizacji osób starszych ale również informuje o wydarzeniach na szczeblach</w:t>
      </w:r>
      <w:r>
        <w:rPr>
          <w:rFonts w:ascii="Lato" w:hAnsi="Lato" w:cs="ArialMT"/>
          <w:color w:val="000000"/>
          <w:sz w:val="20"/>
          <w:szCs w:val="20"/>
        </w:rPr>
        <w:t xml:space="preserve"> </w:t>
      </w:r>
      <w:proofErr w:type="spellStart"/>
      <w:r w:rsidRPr="00C55821">
        <w:rPr>
          <w:rFonts w:ascii="Lato" w:hAnsi="Lato" w:cs="ArialMT"/>
          <w:color w:val="000000"/>
          <w:sz w:val="20"/>
          <w:szCs w:val="20"/>
        </w:rPr>
        <w:t>ponadpowiatowych</w:t>
      </w:r>
      <w:proofErr w:type="spellEnd"/>
      <w:r w:rsidRPr="00C55821">
        <w:rPr>
          <w:rFonts w:ascii="Lato" w:hAnsi="Lato" w:cs="ArialMT"/>
          <w:color w:val="000000"/>
          <w:sz w:val="20"/>
          <w:szCs w:val="20"/>
        </w:rPr>
        <w:t>, propagując ideę współpracy na różnych poziomach. W dniu 11 lutego</w:t>
      </w:r>
      <w:r>
        <w:rPr>
          <w:rFonts w:ascii="Lato" w:hAnsi="Lato" w:cs="ArialMT"/>
          <w:color w:val="000000"/>
          <w:sz w:val="20"/>
          <w:szCs w:val="20"/>
        </w:rPr>
        <w:t xml:space="preserve"> </w:t>
      </w:r>
      <w:r w:rsidRPr="00C55821">
        <w:rPr>
          <w:rFonts w:ascii="Lato" w:hAnsi="Lato" w:cs="ArialMT"/>
          <w:color w:val="000000"/>
          <w:sz w:val="20"/>
          <w:szCs w:val="20"/>
        </w:rPr>
        <w:t>2022 r. podopiecznym Zakładu Opiekuńczo-Leczniczego w Górażdżach i Krapkowicach oraz</w:t>
      </w:r>
      <w:r>
        <w:rPr>
          <w:rFonts w:ascii="Lato" w:hAnsi="Lato" w:cs="ArialMT"/>
          <w:color w:val="000000"/>
          <w:sz w:val="20"/>
          <w:szCs w:val="20"/>
        </w:rPr>
        <w:t xml:space="preserve"> </w:t>
      </w:r>
      <w:r w:rsidRPr="00C55821">
        <w:rPr>
          <w:rFonts w:ascii="Lato" w:hAnsi="Lato" w:cs="ArialMT"/>
          <w:color w:val="000000"/>
          <w:sz w:val="20"/>
          <w:szCs w:val="20"/>
        </w:rPr>
        <w:t>pensjonariuszom DPS „Anna” zostały wręczone drobne upominki z okazji Światowego Dnia</w:t>
      </w:r>
      <w:r>
        <w:rPr>
          <w:rFonts w:ascii="Lato" w:hAnsi="Lato" w:cs="ArialMT"/>
          <w:color w:val="000000"/>
          <w:sz w:val="20"/>
          <w:szCs w:val="20"/>
        </w:rPr>
        <w:t xml:space="preserve"> </w:t>
      </w:r>
      <w:r w:rsidRPr="00C55821">
        <w:rPr>
          <w:rFonts w:ascii="Lato" w:hAnsi="Lato" w:cs="ArialMT"/>
          <w:color w:val="000000"/>
          <w:sz w:val="20"/>
          <w:szCs w:val="20"/>
        </w:rPr>
        <w:t>Chorego. W dniu 12 maja 2022 r. w Powiecie Krapkowickim odbyło się uroczyste otwarcie</w:t>
      </w:r>
      <w:r>
        <w:rPr>
          <w:rFonts w:ascii="Lato" w:hAnsi="Lato" w:cs="ArialMT"/>
          <w:color w:val="000000"/>
          <w:sz w:val="20"/>
          <w:szCs w:val="20"/>
        </w:rPr>
        <w:t xml:space="preserve"> </w:t>
      </w:r>
      <w:r w:rsidRPr="00C55821">
        <w:rPr>
          <w:rFonts w:ascii="Lato" w:hAnsi="Lato" w:cs="ArialMT"/>
          <w:color w:val="000000"/>
          <w:sz w:val="20"/>
          <w:szCs w:val="20"/>
        </w:rPr>
        <w:t>wystawy „Senat wczoraj i dziś w 100 rocznicę pierwszego posiedzenia Senatu II RP” oraz</w:t>
      </w:r>
      <w:r>
        <w:rPr>
          <w:rFonts w:ascii="Lato" w:hAnsi="Lato" w:cs="ArialMT"/>
          <w:color w:val="000000"/>
          <w:sz w:val="20"/>
          <w:szCs w:val="20"/>
        </w:rPr>
        <w:t xml:space="preserve"> </w:t>
      </w:r>
      <w:r w:rsidRPr="00C55821">
        <w:rPr>
          <w:rFonts w:ascii="Lato" w:hAnsi="Lato" w:cs="ArialMT"/>
          <w:color w:val="000000"/>
          <w:sz w:val="20"/>
          <w:szCs w:val="20"/>
        </w:rPr>
        <w:t>posiedzenie Komisji Rodziny, Polityki Senioralnej i Społecznej pod przewodnictwem senatora</w:t>
      </w:r>
      <w:r>
        <w:rPr>
          <w:rFonts w:ascii="Lato" w:hAnsi="Lato" w:cs="ArialMT"/>
          <w:color w:val="000000"/>
          <w:sz w:val="20"/>
          <w:szCs w:val="20"/>
        </w:rPr>
        <w:t xml:space="preserve"> </w:t>
      </w:r>
      <w:r w:rsidRPr="00C55821">
        <w:rPr>
          <w:rFonts w:ascii="Lato" w:hAnsi="Lato" w:cs="ArialMT"/>
          <w:color w:val="000000"/>
          <w:sz w:val="20"/>
          <w:szCs w:val="20"/>
        </w:rPr>
        <w:t xml:space="preserve">Jana Filipa </w:t>
      </w:r>
      <w:r w:rsidRPr="00C55821">
        <w:rPr>
          <w:rFonts w:ascii="Lato" w:hAnsi="Lato" w:cs="ArialMT"/>
          <w:color w:val="000000"/>
          <w:sz w:val="20"/>
          <w:szCs w:val="20"/>
        </w:rPr>
        <w:lastRenderedPageBreak/>
        <w:t>Libickiego, podczas której prowadzono dyskusję w gronie senatorów,</w:t>
      </w:r>
      <w:r>
        <w:rPr>
          <w:rFonts w:ascii="Lato" w:hAnsi="Lato" w:cs="ArialMT"/>
          <w:color w:val="000000"/>
          <w:sz w:val="20"/>
          <w:szCs w:val="20"/>
        </w:rPr>
        <w:t xml:space="preserve"> </w:t>
      </w:r>
      <w:r w:rsidRPr="00C55821">
        <w:rPr>
          <w:rFonts w:ascii="Lato" w:hAnsi="Lato" w:cs="ArialMT"/>
          <w:color w:val="000000"/>
          <w:sz w:val="20"/>
          <w:szCs w:val="20"/>
        </w:rPr>
        <w:t>samorządowców oraz dyrektorów placówek opieki dotyczącą rozwiązań i zagrożeń w opiece</w:t>
      </w:r>
      <w:r>
        <w:rPr>
          <w:rFonts w:ascii="Lato" w:hAnsi="Lato" w:cs="ArialMT"/>
          <w:color w:val="000000"/>
          <w:sz w:val="20"/>
          <w:szCs w:val="20"/>
        </w:rPr>
        <w:t xml:space="preserve"> </w:t>
      </w:r>
      <w:r w:rsidRPr="00C55821">
        <w:rPr>
          <w:rFonts w:ascii="Lato" w:hAnsi="Lato" w:cs="ArialMT"/>
          <w:color w:val="000000"/>
          <w:sz w:val="20"/>
          <w:szCs w:val="20"/>
        </w:rPr>
        <w:t>nad osobami starszymi i niepełnosprawnymi. W dniu 3 czerwca 2022 r. w ramach partnerstwa</w:t>
      </w:r>
      <w:r>
        <w:rPr>
          <w:rFonts w:ascii="Lato" w:hAnsi="Lato" w:cs="ArialMT"/>
          <w:color w:val="000000"/>
          <w:sz w:val="20"/>
          <w:szCs w:val="20"/>
        </w:rPr>
        <w:t xml:space="preserve"> </w:t>
      </w:r>
      <w:r w:rsidRPr="00C55821">
        <w:rPr>
          <w:rFonts w:ascii="Lato" w:hAnsi="Lato" w:cs="ArialMT"/>
          <w:color w:val="000000"/>
          <w:sz w:val="20"/>
          <w:szCs w:val="20"/>
        </w:rPr>
        <w:t xml:space="preserve">Powiatu Krapkowickiego z </w:t>
      </w:r>
      <w:proofErr w:type="spellStart"/>
      <w:r w:rsidRPr="00C55821">
        <w:rPr>
          <w:rFonts w:ascii="Lato" w:hAnsi="Lato" w:cs="ArialMT"/>
          <w:color w:val="000000"/>
          <w:sz w:val="20"/>
          <w:szCs w:val="20"/>
        </w:rPr>
        <w:t>Altenkirchen</w:t>
      </w:r>
      <w:proofErr w:type="spellEnd"/>
      <w:r w:rsidRPr="00C55821">
        <w:rPr>
          <w:rFonts w:ascii="Lato" w:hAnsi="Lato" w:cs="ArialMT"/>
          <w:color w:val="000000"/>
          <w:sz w:val="20"/>
          <w:szCs w:val="20"/>
        </w:rPr>
        <w:t xml:space="preserve"> odbyła się wizyta studyjna Związku Śląskich Kobiet</w:t>
      </w:r>
      <w:r>
        <w:rPr>
          <w:rFonts w:ascii="Lato" w:hAnsi="Lato" w:cs="ArialMT"/>
          <w:color w:val="000000"/>
          <w:sz w:val="20"/>
          <w:szCs w:val="20"/>
        </w:rPr>
        <w:t xml:space="preserve"> </w:t>
      </w:r>
      <w:r w:rsidRPr="00C55821">
        <w:rPr>
          <w:rFonts w:ascii="Lato" w:hAnsi="Lato" w:cs="ArialMT"/>
          <w:color w:val="000000"/>
          <w:sz w:val="20"/>
          <w:szCs w:val="20"/>
        </w:rPr>
        <w:t>Wiejskich. Przyczyniła się ona do wzmocnienia partnerstwa, nastąpiła wymiana doświadczeń</w:t>
      </w:r>
      <w:r>
        <w:rPr>
          <w:rFonts w:ascii="Lato" w:hAnsi="Lato" w:cs="ArialMT"/>
          <w:color w:val="000000"/>
          <w:sz w:val="20"/>
          <w:szCs w:val="20"/>
        </w:rPr>
        <w:t xml:space="preserve"> </w:t>
      </w:r>
      <w:r w:rsidRPr="00C55821">
        <w:rPr>
          <w:rFonts w:ascii="Lato" w:hAnsi="Lato" w:cs="ArialMT"/>
          <w:color w:val="000000"/>
          <w:sz w:val="20"/>
          <w:szCs w:val="20"/>
        </w:rPr>
        <w:t>kulturowych i promocja obu regionów. W dniu 18 sierpnia 2022 r. odbyło się spotkanie</w:t>
      </w:r>
      <w:r>
        <w:rPr>
          <w:rFonts w:ascii="Lato" w:hAnsi="Lato" w:cs="ArialMT"/>
          <w:color w:val="000000"/>
          <w:sz w:val="20"/>
          <w:szCs w:val="20"/>
        </w:rPr>
        <w:t xml:space="preserve"> </w:t>
      </w:r>
      <w:r w:rsidRPr="00C55821">
        <w:rPr>
          <w:rFonts w:ascii="Lato" w:hAnsi="Lato" w:cs="ArialMT"/>
          <w:color w:val="000000"/>
          <w:sz w:val="20"/>
          <w:szCs w:val="20"/>
        </w:rPr>
        <w:t xml:space="preserve">z członkami Uniwersytetu III Wieku w związku ze zmianą zarządu. W trakcie spotkania </w:t>
      </w:r>
      <w:r w:rsidRPr="00C55821">
        <w:rPr>
          <w:rFonts w:ascii="Lato" w:hAnsi="Lato" w:cs="ArialMT"/>
          <w:sz w:val="20"/>
          <w:szCs w:val="20"/>
        </w:rPr>
        <w:t>nastąpiło podsumowanie dotychczasowej współpracy i omówienie planów na przyszłość</w:t>
      </w:r>
      <w:r>
        <w:rPr>
          <w:rFonts w:ascii="Lato" w:hAnsi="Lato" w:cs="ArialMT"/>
          <w:color w:val="000000"/>
          <w:sz w:val="20"/>
          <w:szCs w:val="20"/>
        </w:rPr>
        <w:t xml:space="preserve"> </w:t>
      </w:r>
      <w:r w:rsidRPr="00C55821">
        <w:rPr>
          <w:rFonts w:ascii="Lato" w:hAnsi="Lato" w:cs="ArialMT"/>
          <w:sz w:val="20"/>
          <w:szCs w:val="20"/>
        </w:rPr>
        <w:t>w zakresie</w:t>
      </w:r>
      <w:r>
        <w:rPr>
          <w:rFonts w:ascii="Lato" w:hAnsi="Lato" w:cs="ArialMT"/>
          <w:sz w:val="20"/>
          <w:szCs w:val="20"/>
        </w:rPr>
        <w:t xml:space="preserve"> </w:t>
      </w:r>
      <w:r w:rsidRPr="00C55821">
        <w:rPr>
          <w:rFonts w:ascii="Lato" w:hAnsi="Lato" w:cs="ArialMT"/>
          <w:sz w:val="20"/>
          <w:szCs w:val="20"/>
        </w:rPr>
        <w:t>działalności kulturalnej. Wyróżnieni aktywiści, ustępujący i nowo powołany zarząd</w:t>
      </w:r>
      <w:r>
        <w:rPr>
          <w:rFonts w:ascii="Lato" w:hAnsi="Lato" w:cs="ArialMT"/>
          <w:color w:val="000000"/>
          <w:sz w:val="20"/>
          <w:szCs w:val="20"/>
        </w:rPr>
        <w:t xml:space="preserve"> </w:t>
      </w:r>
      <w:r w:rsidRPr="00C55821">
        <w:rPr>
          <w:rFonts w:ascii="Lato" w:hAnsi="Lato" w:cs="ArialMT"/>
          <w:sz w:val="20"/>
          <w:szCs w:val="20"/>
        </w:rPr>
        <w:t>otrzymał dyplomy. W</w:t>
      </w:r>
      <w:r>
        <w:rPr>
          <w:rFonts w:ascii="Lato" w:hAnsi="Lato" w:cs="ArialMT"/>
          <w:sz w:val="20"/>
          <w:szCs w:val="20"/>
        </w:rPr>
        <w:t xml:space="preserve"> </w:t>
      </w:r>
      <w:r w:rsidRPr="00C55821">
        <w:rPr>
          <w:rFonts w:ascii="Lato" w:hAnsi="Lato" w:cs="ArialMT"/>
          <w:sz w:val="20"/>
          <w:szCs w:val="20"/>
        </w:rPr>
        <w:t>dniu 1 października 2022 r. Powiat Krapkowicki był organizatorem</w:t>
      </w:r>
      <w:r>
        <w:rPr>
          <w:rFonts w:ascii="Lato" w:hAnsi="Lato" w:cs="ArialMT"/>
          <w:color w:val="000000"/>
          <w:sz w:val="20"/>
          <w:szCs w:val="20"/>
        </w:rPr>
        <w:t xml:space="preserve"> </w:t>
      </w:r>
      <w:r w:rsidRPr="00C55821">
        <w:rPr>
          <w:rFonts w:ascii="Lato" w:hAnsi="Lato" w:cs="ArialMT"/>
          <w:sz w:val="20"/>
          <w:szCs w:val="20"/>
        </w:rPr>
        <w:t>Festiwalu Dyni Bania Fest. W wydarzeniu brali udział członkowie koła gospodyń wiejskich oraz</w:t>
      </w:r>
      <w:r>
        <w:rPr>
          <w:rFonts w:ascii="Lato" w:hAnsi="Lato" w:cs="ArialMT"/>
          <w:color w:val="000000"/>
          <w:sz w:val="20"/>
          <w:szCs w:val="20"/>
        </w:rPr>
        <w:t xml:space="preserve"> </w:t>
      </w:r>
      <w:r w:rsidRPr="00C55821">
        <w:rPr>
          <w:rFonts w:ascii="Lato" w:hAnsi="Lato" w:cs="ArialMT"/>
          <w:sz w:val="20"/>
          <w:szCs w:val="20"/>
        </w:rPr>
        <w:t>stowarzyszenia, przygotowując stoły jesienne z potrawami i dekoracjami, których tematem</w:t>
      </w:r>
      <w:r>
        <w:rPr>
          <w:rFonts w:ascii="Lato" w:hAnsi="Lato" w:cs="ArialMT"/>
          <w:color w:val="000000"/>
          <w:sz w:val="20"/>
          <w:szCs w:val="20"/>
        </w:rPr>
        <w:t xml:space="preserve"> </w:t>
      </w:r>
      <w:r w:rsidRPr="00C55821">
        <w:rPr>
          <w:rFonts w:ascii="Lato" w:hAnsi="Lato" w:cs="ArialMT"/>
          <w:sz w:val="20"/>
          <w:szCs w:val="20"/>
        </w:rPr>
        <w:t>przewodnim była dynia.</w:t>
      </w:r>
    </w:p>
    <w:p w14:paraId="6167390D" w14:textId="77777777" w:rsidR="00C55821" w:rsidRDefault="00C55821" w:rsidP="00C55821">
      <w:pPr>
        <w:autoSpaceDE w:val="0"/>
        <w:autoSpaceDN w:val="0"/>
        <w:adjustRightInd w:val="0"/>
        <w:spacing w:after="0" w:line="240" w:lineRule="auto"/>
        <w:jc w:val="both"/>
        <w:rPr>
          <w:rFonts w:ascii="Lato" w:hAnsi="Lato" w:cs="ArialMT"/>
          <w:sz w:val="20"/>
          <w:szCs w:val="20"/>
        </w:rPr>
      </w:pPr>
    </w:p>
    <w:p w14:paraId="458FE26C" w14:textId="05BC4091"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 dniach 18 - 19 listopada 2022 r. Powiat Krapkowicki, KCZ Sp. z o.o. w Krapkowicach</w:t>
      </w:r>
      <w:r>
        <w:rPr>
          <w:rFonts w:ascii="Lato" w:hAnsi="Lato" w:cs="ArialMT"/>
          <w:sz w:val="20"/>
          <w:szCs w:val="20"/>
        </w:rPr>
        <w:t xml:space="preserve"> </w:t>
      </w:r>
      <w:r w:rsidRPr="00C55821">
        <w:rPr>
          <w:rFonts w:ascii="Lato" w:hAnsi="Lato" w:cs="ArialMT"/>
          <w:sz w:val="20"/>
          <w:szCs w:val="20"/>
        </w:rPr>
        <w:t xml:space="preserve">oraz firma </w:t>
      </w:r>
      <w:proofErr w:type="spellStart"/>
      <w:r w:rsidRPr="00C55821">
        <w:rPr>
          <w:rFonts w:ascii="Lato" w:hAnsi="Lato" w:cs="ArialMT"/>
          <w:sz w:val="20"/>
          <w:szCs w:val="20"/>
        </w:rPr>
        <w:t>Nutrikon</w:t>
      </w:r>
      <w:proofErr w:type="spellEnd"/>
      <w:r w:rsidRPr="00C55821">
        <w:rPr>
          <w:rFonts w:ascii="Lato" w:hAnsi="Lato" w:cs="ArialMT"/>
          <w:sz w:val="20"/>
          <w:szCs w:val="20"/>
        </w:rPr>
        <w:t xml:space="preserve"> byli organizatorami „XIII Opolskich Warsztatów Medycznych – postępy</w:t>
      </w:r>
      <w:r>
        <w:rPr>
          <w:rFonts w:ascii="Lato" w:hAnsi="Lato" w:cs="ArialMT"/>
          <w:sz w:val="20"/>
          <w:szCs w:val="20"/>
        </w:rPr>
        <w:t xml:space="preserve"> </w:t>
      </w:r>
      <w:r w:rsidRPr="00C55821">
        <w:rPr>
          <w:rFonts w:ascii="Lato" w:hAnsi="Lato" w:cs="ArialMT"/>
          <w:sz w:val="20"/>
          <w:szCs w:val="20"/>
        </w:rPr>
        <w:t>w leczeniu ran przewlekłych. Laseroterapia – Zastosowanie i skuteczność w procesie gojenia</w:t>
      </w:r>
      <w:r>
        <w:rPr>
          <w:rFonts w:ascii="Lato" w:hAnsi="Lato" w:cs="ArialMT"/>
          <w:sz w:val="20"/>
          <w:szCs w:val="20"/>
        </w:rPr>
        <w:t xml:space="preserve"> </w:t>
      </w:r>
      <w:r w:rsidRPr="00C55821">
        <w:rPr>
          <w:rFonts w:ascii="Lato" w:hAnsi="Lato" w:cs="ArialMT"/>
          <w:sz w:val="20"/>
          <w:szCs w:val="20"/>
        </w:rPr>
        <w:t>ran. Leczenie żywieniowe dojelitowe i pozajelitowe”. Warsztaty odbywały się stacjonarnie</w:t>
      </w:r>
      <w:r>
        <w:rPr>
          <w:rFonts w:ascii="Lato" w:hAnsi="Lato" w:cs="ArialMT"/>
          <w:sz w:val="20"/>
          <w:szCs w:val="20"/>
        </w:rPr>
        <w:t xml:space="preserve"> </w:t>
      </w:r>
      <w:r w:rsidRPr="00C55821">
        <w:rPr>
          <w:rFonts w:ascii="Lato" w:hAnsi="Lato" w:cs="ArialMT"/>
          <w:sz w:val="20"/>
          <w:szCs w:val="20"/>
        </w:rPr>
        <w:t>w Kamieniu Śląskim oraz były transmitowane online w sieci. Tematyka warsztatów związana</w:t>
      </w:r>
      <w:r>
        <w:rPr>
          <w:rFonts w:ascii="Lato" w:hAnsi="Lato" w:cs="ArialMT"/>
          <w:sz w:val="20"/>
          <w:szCs w:val="20"/>
        </w:rPr>
        <w:t xml:space="preserve"> </w:t>
      </w:r>
      <w:r w:rsidRPr="00C55821">
        <w:rPr>
          <w:rFonts w:ascii="Lato" w:hAnsi="Lato" w:cs="ArialMT"/>
          <w:sz w:val="20"/>
          <w:szCs w:val="20"/>
        </w:rPr>
        <w:t>była z profilaktyką leczenia ran przewlekłych oraz zaprezentowaniem m.in. starszym</w:t>
      </w:r>
      <w:r>
        <w:rPr>
          <w:rFonts w:ascii="Lato" w:hAnsi="Lato" w:cs="ArialMT"/>
          <w:sz w:val="20"/>
          <w:szCs w:val="20"/>
        </w:rPr>
        <w:t xml:space="preserve"> </w:t>
      </w:r>
      <w:r w:rsidRPr="00C55821">
        <w:rPr>
          <w:rFonts w:ascii="Lato" w:hAnsi="Lato" w:cs="ArialMT"/>
          <w:sz w:val="20"/>
          <w:szCs w:val="20"/>
        </w:rPr>
        <w:t>mieszkańcom z terenu powiatu krapkowickiego metod i sposobów ich leczenia. Ponadto</w:t>
      </w:r>
      <w:r>
        <w:rPr>
          <w:rFonts w:ascii="Lato" w:hAnsi="Lato" w:cs="ArialMT"/>
          <w:sz w:val="20"/>
          <w:szCs w:val="20"/>
        </w:rPr>
        <w:t xml:space="preserve"> </w:t>
      </w:r>
      <w:r w:rsidRPr="00C55821">
        <w:rPr>
          <w:rFonts w:ascii="Lato" w:hAnsi="Lato" w:cs="ArialMT"/>
          <w:sz w:val="20"/>
          <w:szCs w:val="20"/>
        </w:rPr>
        <w:t>warsztaty miały na celu wymianę dobrych praktyk pomiędzy kadrą medyczną zajmującą się</w:t>
      </w:r>
      <w:r>
        <w:rPr>
          <w:rFonts w:ascii="Lato" w:hAnsi="Lato" w:cs="ArialMT"/>
          <w:sz w:val="20"/>
          <w:szCs w:val="20"/>
        </w:rPr>
        <w:t xml:space="preserve"> t</w:t>
      </w:r>
      <w:r w:rsidRPr="00C55821">
        <w:rPr>
          <w:rFonts w:ascii="Lato" w:hAnsi="Lato" w:cs="ArialMT"/>
          <w:sz w:val="20"/>
          <w:szCs w:val="20"/>
        </w:rPr>
        <w:t>ematyką leczenia ran przewlekłych.</w:t>
      </w:r>
    </w:p>
    <w:p w14:paraId="4DD48CE7" w14:textId="77777777" w:rsidR="00C55821" w:rsidRDefault="00C55821" w:rsidP="00C55821">
      <w:pPr>
        <w:autoSpaceDE w:val="0"/>
        <w:autoSpaceDN w:val="0"/>
        <w:adjustRightInd w:val="0"/>
        <w:spacing w:after="0" w:line="240" w:lineRule="auto"/>
        <w:jc w:val="both"/>
        <w:rPr>
          <w:rFonts w:ascii="Lato" w:hAnsi="Lato" w:cs="ArialMT"/>
          <w:sz w:val="20"/>
          <w:szCs w:val="20"/>
        </w:rPr>
      </w:pPr>
    </w:p>
    <w:p w14:paraId="71CD67B8" w14:textId="6064C4FB"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 dniu 9 października 2022 roku Powiat Krapkowicki oraz Krapkowickie Centrum</w:t>
      </w:r>
      <w:r>
        <w:rPr>
          <w:rFonts w:ascii="Lato" w:hAnsi="Lato" w:cs="ArialMT"/>
          <w:sz w:val="20"/>
          <w:szCs w:val="20"/>
        </w:rPr>
        <w:t xml:space="preserve"> </w:t>
      </w:r>
      <w:r w:rsidRPr="00C55821">
        <w:rPr>
          <w:rFonts w:ascii="Lato" w:hAnsi="Lato" w:cs="ArialMT"/>
          <w:sz w:val="20"/>
          <w:szCs w:val="20"/>
        </w:rPr>
        <w:t>Zdrowia Sp. z o.o. byli organizatorami wydarzenia z cyklu „Siła kobiet”, które odbyło się podhasłem „Miej czas dla siebie, miej czas na zdrowie”. Spotkanie skierowane było do wszystkich</w:t>
      </w:r>
      <w:r>
        <w:rPr>
          <w:rFonts w:ascii="Lato" w:hAnsi="Lato" w:cs="ArialMT"/>
          <w:sz w:val="20"/>
          <w:szCs w:val="20"/>
        </w:rPr>
        <w:t xml:space="preserve"> </w:t>
      </w:r>
      <w:r w:rsidRPr="00C55821">
        <w:rPr>
          <w:rFonts w:ascii="Lato" w:hAnsi="Lato" w:cs="ArialMT"/>
          <w:sz w:val="20"/>
          <w:szCs w:val="20"/>
        </w:rPr>
        <w:t>kobiet z terenu Powiatu Krapkowickiego, a jego tematyka ukierunkowana została na</w:t>
      </w:r>
      <w:r>
        <w:rPr>
          <w:rFonts w:ascii="Lato" w:hAnsi="Lato" w:cs="ArialMT"/>
          <w:sz w:val="20"/>
          <w:szCs w:val="20"/>
        </w:rPr>
        <w:t xml:space="preserve"> </w:t>
      </w:r>
      <w:r w:rsidRPr="00C55821">
        <w:rPr>
          <w:rFonts w:ascii="Lato" w:hAnsi="Lato" w:cs="ArialMT"/>
          <w:sz w:val="20"/>
          <w:szCs w:val="20"/>
        </w:rPr>
        <w:t xml:space="preserve">profilaktykę </w:t>
      </w:r>
      <w:proofErr w:type="spellStart"/>
      <w:r w:rsidRPr="00C55821">
        <w:rPr>
          <w:rFonts w:ascii="Lato" w:hAnsi="Lato" w:cs="ArialMT"/>
          <w:sz w:val="20"/>
          <w:szCs w:val="20"/>
        </w:rPr>
        <w:t>ginekologiczno</w:t>
      </w:r>
      <w:proofErr w:type="spellEnd"/>
      <w:r w:rsidRPr="00C55821">
        <w:rPr>
          <w:rFonts w:ascii="Lato" w:hAnsi="Lato" w:cs="ArialMT"/>
          <w:sz w:val="20"/>
          <w:szCs w:val="20"/>
        </w:rPr>
        <w:t xml:space="preserve"> – onkologiczną. W trakcie spotkania został wygłoszony m.in.</w:t>
      </w:r>
      <w:r>
        <w:rPr>
          <w:rFonts w:ascii="Lato" w:hAnsi="Lato" w:cs="ArialMT"/>
          <w:sz w:val="20"/>
          <w:szCs w:val="20"/>
        </w:rPr>
        <w:t xml:space="preserve"> </w:t>
      </w:r>
      <w:r w:rsidRPr="00C55821">
        <w:rPr>
          <w:rFonts w:ascii="Lato" w:hAnsi="Lato" w:cs="ArialMT"/>
          <w:sz w:val="20"/>
          <w:szCs w:val="20"/>
        </w:rPr>
        <w:t>wykład dr n. med. Katarzyny Seweryn-</w:t>
      </w:r>
      <w:proofErr w:type="spellStart"/>
      <w:r w:rsidRPr="00C55821">
        <w:rPr>
          <w:rFonts w:ascii="Lato" w:hAnsi="Lato" w:cs="ArialMT"/>
          <w:sz w:val="20"/>
          <w:szCs w:val="20"/>
        </w:rPr>
        <w:t>Serkis</w:t>
      </w:r>
      <w:proofErr w:type="spellEnd"/>
      <w:r w:rsidRPr="00C55821">
        <w:rPr>
          <w:rFonts w:ascii="Lato" w:hAnsi="Lato" w:cs="ArialMT"/>
          <w:sz w:val="20"/>
          <w:szCs w:val="20"/>
        </w:rPr>
        <w:t xml:space="preserve"> – specjalistki położnictwa i ginekologii</w:t>
      </w:r>
      <w:r>
        <w:rPr>
          <w:rFonts w:ascii="Lato" w:hAnsi="Lato" w:cs="ArialMT"/>
          <w:sz w:val="20"/>
          <w:szCs w:val="20"/>
        </w:rPr>
        <w:t xml:space="preserve"> </w:t>
      </w:r>
      <w:r w:rsidRPr="00C55821">
        <w:rPr>
          <w:rFonts w:ascii="Lato" w:hAnsi="Lato" w:cs="ArialMT"/>
          <w:sz w:val="20"/>
          <w:szCs w:val="20"/>
        </w:rPr>
        <w:t>onkologicznej. Ponadto zwieńczeniem wydarzenia był recital Pani Alicji Majewskiej i Pana</w:t>
      </w:r>
    </w:p>
    <w:p w14:paraId="54D83C29" w14:textId="4CAA96A6"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Włodzimierza Korcza pn. „Chce się żyć” skierowany do zebranych kobiet z życzeniami</w:t>
      </w:r>
      <w:r>
        <w:rPr>
          <w:rFonts w:ascii="Lato" w:hAnsi="Lato" w:cs="ArialMT"/>
          <w:sz w:val="20"/>
          <w:szCs w:val="20"/>
        </w:rPr>
        <w:t xml:space="preserve"> </w:t>
      </w:r>
      <w:r w:rsidRPr="00C55821">
        <w:rPr>
          <w:rFonts w:ascii="Lato" w:hAnsi="Lato" w:cs="ArialMT"/>
          <w:sz w:val="20"/>
          <w:szCs w:val="20"/>
        </w:rPr>
        <w:t>wszelkiej pomyślności oraz zdrowia.</w:t>
      </w:r>
    </w:p>
    <w:p w14:paraId="0F1EC544" w14:textId="77777777" w:rsidR="00C55821" w:rsidRDefault="00C55821" w:rsidP="00C55821">
      <w:pPr>
        <w:autoSpaceDE w:val="0"/>
        <w:autoSpaceDN w:val="0"/>
        <w:adjustRightInd w:val="0"/>
        <w:spacing w:after="0" w:line="240" w:lineRule="auto"/>
        <w:jc w:val="both"/>
        <w:rPr>
          <w:rFonts w:ascii="Lato" w:hAnsi="Lato" w:cs="ArialMT"/>
          <w:sz w:val="20"/>
          <w:szCs w:val="20"/>
        </w:rPr>
      </w:pPr>
    </w:p>
    <w:p w14:paraId="75D7D77E" w14:textId="396114F4"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Powiat Krapkowicki w ramach partnerskiego projektu pn. „Nie-Sami-Dzielni II”</w:t>
      </w:r>
      <w:r>
        <w:rPr>
          <w:rFonts w:ascii="Lato" w:hAnsi="Lato" w:cs="ArialMT"/>
          <w:sz w:val="20"/>
          <w:szCs w:val="20"/>
        </w:rPr>
        <w:t xml:space="preserve"> </w:t>
      </w:r>
      <w:r w:rsidRPr="00C55821">
        <w:rPr>
          <w:rFonts w:ascii="Lato" w:hAnsi="Lato" w:cs="ArialMT"/>
          <w:sz w:val="20"/>
          <w:szCs w:val="20"/>
        </w:rPr>
        <w:t>w ramach działania Rozwój usług społecznych oraz wspierających osoby niesamodzielne – II</w:t>
      </w:r>
      <w:r>
        <w:rPr>
          <w:rFonts w:ascii="Lato" w:hAnsi="Lato" w:cs="ArialMT"/>
          <w:sz w:val="20"/>
          <w:szCs w:val="20"/>
        </w:rPr>
        <w:t xml:space="preserve"> </w:t>
      </w:r>
      <w:r w:rsidRPr="00C55821">
        <w:rPr>
          <w:rFonts w:ascii="Lato" w:hAnsi="Lato" w:cs="ArialMT"/>
          <w:sz w:val="20"/>
          <w:szCs w:val="20"/>
        </w:rPr>
        <w:t>edycja, programu współfinansowanego z Europejskiego Funduszu Społecznego w ramach</w:t>
      </w:r>
      <w:r>
        <w:rPr>
          <w:rFonts w:ascii="Lato" w:hAnsi="Lato" w:cs="ArialMT"/>
          <w:sz w:val="20"/>
          <w:szCs w:val="20"/>
        </w:rPr>
        <w:t xml:space="preserve"> </w:t>
      </w:r>
      <w:r w:rsidRPr="00C55821">
        <w:rPr>
          <w:rFonts w:ascii="Lato" w:hAnsi="Lato" w:cs="ArialMT"/>
          <w:sz w:val="20"/>
          <w:szCs w:val="20"/>
        </w:rPr>
        <w:t>RPO WO 2014-2020, realizuje zadanie polegające na usługach skierowanych do osób</w:t>
      </w:r>
      <w:r>
        <w:rPr>
          <w:rFonts w:ascii="Lato" w:hAnsi="Lato" w:cs="ArialMT"/>
          <w:sz w:val="20"/>
          <w:szCs w:val="20"/>
        </w:rPr>
        <w:t xml:space="preserve"> </w:t>
      </w:r>
      <w:r w:rsidRPr="00C55821">
        <w:rPr>
          <w:rFonts w:ascii="Lato" w:hAnsi="Lato" w:cs="ArialMT"/>
          <w:sz w:val="20"/>
          <w:szCs w:val="20"/>
        </w:rPr>
        <w:t>starszych, niesamodzielnych i niepełnosprawnych w ich miejscu zamieszkania w formie tzw.</w:t>
      </w:r>
      <w:r>
        <w:rPr>
          <w:rFonts w:ascii="Lato" w:hAnsi="Lato" w:cs="ArialMT"/>
          <w:sz w:val="20"/>
          <w:szCs w:val="20"/>
        </w:rPr>
        <w:t xml:space="preserve"> </w:t>
      </w:r>
      <w:proofErr w:type="spellStart"/>
      <w:r w:rsidRPr="00C55821">
        <w:rPr>
          <w:rFonts w:ascii="Lato" w:hAnsi="Lato" w:cs="ArialMT"/>
          <w:sz w:val="20"/>
          <w:szCs w:val="20"/>
        </w:rPr>
        <w:t>teleopieki</w:t>
      </w:r>
      <w:proofErr w:type="spellEnd"/>
      <w:r w:rsidRPr="00C55821">
        <w:rPr>
          <w:rFonts w:ascii="Lato" w:hAnsi="Lato" w:cs="ArialMT"/>
          <w:sz w:val="20"/>
          <w:szCs w:val="20"/>
        </w:rPr>
        <w:t>, tj. udostępnienie sprzętów teleinformatycznych do domu osoby niesamodzielnej.</w:t>
      </w:r>
    </w:p>
    <w:p w14:paraId="73DD381B" w14:textId="77777777" w:rsidR="00C55821" w:rsidRDefault="00C55821" w:rsidP="00C55821">
      <w:pPr>
        <w:autoSpaceDE w:val="0"/>
        <w:autoSpaceDN w:val="0"/>
        <w:adjustRightInd w:val="0"/>
        <w:spacing w:after="0" w:line="240" w:lineRule="auto"/>
        <w:jc w:val="both"/>
        <w:rPr>
          <w:rFonts w:ascii="Lato" w:hAnsi="Lato" w:cs="ArialMT"/>
          <w:sz w:val="20"/>
          <w:szCs w:val="20"/>
        </w:rPr>
      </w:pPr>
    </w:p>
    <w:p w14:paraId="226B0F35" w14:textId="6E9FFC32"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 xml:space="preserve">W 2022 roku uruchomiono świadczenie ww. usługi dla 76 osób. Dzięki </w:t>
      </w:r>
      <w:proofErr w:type="spellStart"/>
      <w:r w:rsidRPr="00C55821">
        <w:rPr>
          <w:rFonts w:ascii="Lato" w:hAnsi="Lato" w:cs="ArialMT"/>
          <w:sz w:val="20"/>
          <w:szCs w:val="20"/>
        </w:rPr>
        <w:t>teleopiece</w:t>
      </w:r>
      <w:proofErr w:type="spellEnd"/>
      <w:r w:rsidRPr="00C55821">
        <w:rPr>
          <w:rFonts w:ascii="Lato" w:hAnsi="Lato" w:cs="ArialMT"/>
          <w:sz w:val="20"/>
          <w:szCs w:val="20"/>
        </w:rPr>
        <w:t xml:space="preserve"> istnieje</w:t>
      </w:r>
      <w:r>
        <w:rPr>
          <w:rFonts w:ascii="Lato" w:hAnsi="Lato" w:cs="ArialMT"/>
          <w:sz w:val="20"/>
          <w:szCs w:val="20"/>
        </w:rPr>
        <w:t xml:space="preserve"> </w:t>
      </w:r>
      <w:r w:rsidRPr="00C55821">
        <w:rPr>
          <w:rFonts w:ascii="Lato" w:hAnsi="Lato" w:cs="ArialMT"/>
          <w:sz w:val="20"/>
          <w:szCs w:val="20"/>
        </w:rPr>
        <w:t>możliwość szybkiego wezwania pomocy oraz skutecznej interwencji służb ratowniczych</w:t>
      </w:r>
      <w:r>
        <w:rPr>
          <w:rFonts w:ascii="Lato" w:hAnsi="Lato" w:cs="ArialMT"/>
          <w:sz w:val="20"/>
          <w:szCs w:val="20"/>
        </w:rPr>
        <w:t xml:space="preserve">. </w:t>
      </w:r>
      <w:r w:rsidRPr="00C55821">
        <w:rPr>
          <w:rFonts w:ascii="Lato" w:hAnsi="Lato" w:cs="ArialMT"/>
          <w:sz w:val="20"/>
          <w:szCs w:val="20"/>
        </w:rPr>
        <w:t>Projekt w części realizowanej przez powiat krapkowicki zakończy się w 2023 r. Całkowita</w:t>
      </w:r>
      <w:r>
        <w:rPr>
          <w:rFonts w:ascii="Lato" w:hAnsi="Lato" w:cs="ArialMT"/>
          <w:sz w:val="20"/>
          <w:szCs w:val="20"/>
        </w:rPr>
        <w:t xml:space="preserve"> </w:t>
      </w:r>
      <w:r w:rsidRPr="00C55821">
        <w:rPr>
          <w:rFonts w:ascii="Lato" w:hAnsi="Lato" w:cs="ArialMT"/>
          <w:sz w:val="20"/>
          <w:szCs w:val="20"/>
        </w:rPr>
        <w:t>wartość projektu to: 142.800,00 zł, z czego dofinansowanie wyniosło: 134.946,00 zł.</w:t>
      </w:r>
    </w:p>
    <w:p w14:paraId="77878146" w14:textId="77777777" w:rsidR="00C55821" w:rsidRDefault="00C55821" w:rsidP="00C55821">
      <w:pPr>
        <w:autoSpaceDE w:val="0"/>
        <w:autoSpaceDN w:val="0"/>
        <w:adjustRightInd w:val="0"/>
        <w:spacing w:after="0" w:line="240" w:lineRule="auto"/>
        <w:jc w:val="both"/>
        <w:rPr>
          <w:rFonts w:ascii="Lato" w:hAnsi="Lato" w:cs="Arial-BoldMT"/>
          <w:b/>
          <w:bCs/>
          <w:sz w:val="20"/>
          <w:szCs w:val="20"/>
        </w:rPr>
      </w:pPr>
    </w:p>
    <w:p w14:paraId="00331EB4" w14:textId="76961A9A" w:rsidR="00C55821" w:rsidRPr="00C55821" w:rsidRDefault="00C55821" w:rsidP="00C55821">
      <w:pPr>
        <w:autoSpaceDE w:val="0"/>
        <w:autoSpaceDN w:val="0"/>
        <w:adjustRightInd w:val="0"/>
        <w:spacing w:after="0" w:line="240" w:lineRule="auto"/>
        <w:jc w:val="both"/>
        <w:rPr>
          <w:rFonts w:ascii="Lato" w:hAnsi="Lato" w:cs="Arial-BoldMT"/>
          <w:b/>
          <w:bCs/>
          <w:sz w:val="20"/>
          <w:szCs w:val="20"/>
        </w:rPr>
      </w:pPr>
      <w:r w:rsidRPr="00C55821">
        <w:rPr>
          <w:rFonts w:ascii="Lato" w:hAnsi="Lato" w:cs="Arial-BoldMT"/>
          <w:b/>
          <w:bCs/>
          <w:sz w:val="20"/>
          <w:szCs w:val="20"/>
        </w:rPr>
        <w:t>Gmina Gogolin</w:t>
      </w:r>
    </w:p>
    <w:p w14:paraId="5C0DEAAF" w14:textId="4F028927"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Najistotniejszą usługą społeczną realizowaną przez gminę, która może być inspiracją</w:t>
      </w:r>
      <w:r>
        <w:rPr>
          <w:rFonts w:ascii="Lato" w:hAnsi="Lato" w:cs="ArialMT"/>
          <w:sz w:val="20"/>
          <w:szCs w:val="20"/>
        </w:rPr>
        <w:t xml:space="preserve"> </w:t>
      </w:r>
      <w:r w:rsidRPr="00C55821">
        <w:rPr>
          <w:rFonts w:ascii="Lato" w:hAnsi="Lato" w:cs="ArialMT"/>
          <w:sz w:val="20"/>
          <w:szCs w:val="20"/>
        </w:rPr>
        <w:t>a zarazem w sposób wzorcowy pokazuje, iż jesień życia to czas na rozwijanie pasji i talentów,</w:t>
      </w:r>
      <w:r>
        <w:rPr>
          <w:rFonts w:ascii="Lato" w:hAnsi="Lato" w:cs="ArialMT"/>
          <w:sz w:val="20"/>
          <w:szCs w:val="20"/>
        </w:rPr>
        <w:t xml:space="preserve"> </w:t>
      </w:r>
      <w:r w:rsidRPr="00C55821">
        <w:rPr>
          <w:rFonts w:ascii="Lato" w:hAnsi="Lato" w:cs="ArialMT"/>
          <w:sz w:val="20"/>
          <w:szCs w:val="20"/>
        </w:rPr>
        <w:t>a także podejmowanie nowych wyzwań jak i realizacje marzeń jest usługa pt. „Klub Aktywności</w:t>
      </w:r>
      <w:r>
        <w:rPr>
          <w:rFonts w:ascii="Lato" w:hAnsi="Lato" w:cs="ArialMT"/>
          <w:sz w:val="20"/>
          <w:szCs w:val="20"/>
        </w:rPr>
        <w:t xml:space="preserve"> </w:t>
      </w:r>
      <w:r w:rsidRPr="00C55821">
        <w:rPr>
          <w:rFonts w:ascii="Lato" w:hAnsi="Lato" w:cs="ArialMT"/>
          <w:sz w:val="20"/>
          <w:szCs w:val="20"/>
        </w:rPr>
        <w:t>Lokalnej”, która daje możliwość aktywnego uczestnictwa w życiu społecznym i kulturalnym</w:t>
      </w:r>
      <w:r>
        <w:rPr>
          <w:rFonts w:ascii="Lato" w:hAnsi="Lato" w:cs="ArialMT"/>
          <w:sz w:val="20"/>
          <w:szCs w:val="20"/>
        </w:rPr>
        <w:t xml:space="preserve"> </w:t>
      </w:r>
      <w:r w:rsidRPr="00C55821">
        <w:rPr>
          <w:rFonts w:ascii="Lato" w:hAnsi="Lato" w:cs="ArialMT"/>
          <w:sz w:val="20"/>
          <w:szCs w:val="20"/>
        </w:rPr>
        <w:t>kraju i lokalnych społeczności. Kluby Aktywności Lokalnej prowadzone są we wszystkich</w:t>
      </w:r>
      <w:r>
        <w:rPr>
          <w:rFonts w:ascii="Lato" w:hAnsi="Lato" w:cs="ArialMT"/>
          <w:sz w:val="20"/>
          <w:szCs w:val="20"/>
        </w:rPr>
        <w:t xml:space="preserve"> </w:t>
      </w:r>
      <w:r w:rsidRPr="00C55821">
        <w:rPr>
          <w:rFonts w:ascii="Lato" w:hAnsi="Lato" w:cs="ArialMT"/>
          <w:sz w:val="20"/>
          <w:szCs w:val="20"/>
        </w:rPr>
        <w:t>sołectwach gminy Gogolin, co pozwala na bezpośredni i nieograniczony dostęp do</w:t>
      </w:r>
      <w:r>
        <w:rPr>
          <w:rFonts w:ascii="Lato" w:hAnsi="Lato" w:cs="ArialMT"/>
          <w:sz w:val="20"/>
          <w:szCs w:val="20"/>
        </w:rPr>
        <w:t xml:space="preserve"> </w:t>
      </w:r>
      <w:r w:rsidRPr="00C55821">
        <w:rPr>
          <w:rFonts w:ascii="Lato" w:hAnsi="Lato" w:cs="ArialMT"/>
          <w:sz w:val="20"/>
          <w:szCs w:val="20"/>
        </w:rPr>
        <w:t>proponowanych form aktywnego spędzania czasu skutkującego nawiązywaniem nowych więzi</w:t>
      </w:r>
      <w:r>
        <w:rPr>
          <w:rFonts w:ascii="Lato" w:hAnsi="Lato" w:cs="ArialMT"/>
          <w:sz w:val="20"/>
          <w:szCs w:val="20"/>
        </w:rPr>
        <w:t xml:space="preserve"> </w:t>
      </w:r>
      <w:r w:rsidRPr="00C55821">
        <w:rPr>
          <w:rFonts w:ascii="Lato" w:hAnsi="Lato" w:cs="ArialMT"/>
          <w:sz w:val="20"/>
          <w:szCs w:val="20"/>
        </w:rPr>
        <w:t>społecznych, które następnie przekładają się na tworzenie własnych inicjatyw tj. wspólne</w:t>
      </w:r>
      <w:r>
        <w:rPr>
          <w:rFonts w:ascii="Lato" w:hAnsi="Lato" w:cs="ArialMT"/>
          <w:sz w:val="20"/>
          <w:szCs w:val="20"/>
        </w:rPr>
        <w:t xml:space="preserve"> </w:t>
      </w:r>
      <w:r w:rsidRPr="00C55821">
        <w:rPr>
          <w:rFonts w:ascii="Lato" w:hAnsi="Lato" w:cs="ArialMT"/>
          <w:sz w:val="20"/>
          <w:szCs w:val="20"/>
        </w:rPr>
        <w:t>spędzanie czasu z mieszkańcami Domu Spokojnej Starości. Łączna liczba osób w wieku</w:t>
      </w:r>
      <w:r>
        <w:rPr>
          <w:rFonts w:ascii="Lato" w:hAnsi="Lato" w:cs="ArialMT"/>
          <w:sz w:val="20"/>
          <w:szCs w:val="20"/>
        </w:rPr>
        <w:t xml:space="preserve"> </w:t>
      </w:r>
      <w:r w:rsidRPr="00C55821">
        <w:rPr>
          <w:rFonts w:ascii="Lato" w:hAnsi="Lato" w:cs="ArialMT"/>
          <w:sz w:val="20"/>
          <w:szCs w:val="20"/>
        </w:rPr>
        <w:t>senioralnym, która bierze systematyczny udział w oferowanej usłudze wynosi 134 osoby.</w:t>
      </w:r>
      <w:r>
        <w:rPr>
          <w:rFonts w:ascii="Lato" w:hAnsi="Lato" w:cs="ArialMT"/>
          <w:sz w:val="20"/>
          <w:szCs w:val="20"/>
        </w:rPr>
        <w:t xml:space="preserve"> </w:t>
      </w:r>
      <w:r w:rsidRPr="00C55821">
        <w:rPr>
          <w:rFonts w:ascii="Lato" w:hAnsi="Lato" w:cs="ArialMT"/>
          <w:sz w:val="20"/>
          <w:szCs w:val="20"/>
        </w:rPr>
        <w:t>Dzięki wprowadzonej usłudze osoby w wieku senioralnym są odbiorcami m.in. takich</w:t>
      </w:r>
      <w:r>
        <w:rPr>
          <w:rFonts w:ascii="Lato" w:hAnsi="Lato" w:cs="ArialMT"/>
          <w:sz w:val="20"/>
          <w:szCs w:val="20"/>
        </w:rPr>
        <w:t xml:space="preserve"> </w:t>
      </w:r>
      <w:r w:rsidRPr="00C55821">
        <w:rPr>
          <w:rFonts w:ascii="Lato" w:hAnsi="Lato" w:cs="ArialMT"/>
          <w:sz w:val="20"/>
          <w:szCs w:val="20"/>
        </w:rPr>
        <w:t>działań jak:</w:t>
      </w:r>
    </w:p>
    <w:p w14:paraId="678A5848" w14:textId="1FA5B58B"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Interaktywne zajęcia z muzyką – prowadzone z uwzględnieniem następujących</w:t>
      </w:r>
      <w:r>
        <w:rPr>
          <w:rFonts w:ascii="Lato" w:hAnsi="Lato" w:cs="ArialMT"/>
          <w:sz w:val="20"/>
          <w:szCs w:val="20"/>
        </w:rPr>
        <w:t xml:space="preserve"> </w:t>
      </w:r>
      <w:r w:rsidRPr="00C55821">
        <w:rPr>
          <w:rFonts w:ascii="Lato" w:hAnsi="Lato" w:cs="ArialMT"/>
          <w:sz w:val="20"/>
          <w:szCs w:val="20"/>
        </w:rPr>
        <w:t>elementów:</w:t>
      </w:r>
    </w:p>
    <w:p w14:paraId="52CDC3BD" w14:textId="77777777" w:rsidR="00C55821" w:rsidRDefault="00C55821" w:rsidP="0059185B">
      <w:pPr>
        <w:pStyle w:val="Akapitzlist"/>
        <w:numPr>
          <w:ilvl w:val="0"/>
          <w:numId w:val="76"/>
        </w:num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„wspólny śpiew” – jest dobrą zabawą i jednocześnie okazją do budowania więzi,</w:t>
      </w:r>
      <w:r>
        <w:rPr>
          <w:rFonts w:ascii="Lato" w:hAnsi="Lato" w:cs="ArialMT"/>
          <w:sz w:val="20"/>
          <w:szCs w:val="20"/>
        </w:rPr>
        <w:t xml:space="preserve"> </w:t>
      </w:r>
      <w:r w:rsidRPr="00C55821">
        <w:rPr>
          <w:rFonts w:ascii="Lato" w:hAnsi="Lato" w:cs="ArialMT"/>
          <w:sz w:val="20"/>
          <w:szCs w:val="20"/>
        </w:rPr>
        <w:t>ponadto przywołuje przyjemne wspomnienia, historie z życia, które mają silny ładunek</w:t>
      </w:r>
      <w:r>
        <w:rPr>
          <w:rFonts w:ascii="Lato" w:hAnsi="Lato" w:cs="ArialMT"/>
          <w:sz w:val="20"/>
          <w:szCs w:val="20"/>
        </w:rPr>
        <w:t xml:space="preserve"> </w:t>
      </w:r>
      <w:r w:rsidRPr="00C55821">
        <w:rPr>
          <w:rFonts w:ascii="Lato" w:hAnsi="Lato" w:cs="ArialMT"/>
          <w:sz w:val="20"/>
          <w:szCs w:val="20"/>
        </w:rPr>
        <w:t>emocjonalny. Przekłada się to na lepsze samopoczucie i jest doskonałym bodźcem do</w:t>
      </w:r>
      <w:r>
        <w:rPr>
          <w:rFonts w:ascii="Lato" w:hAnsi="Lato" w:cs="ArialMT"/>
          <w:sz w:val="20"/>
          <w:szCs w:val="20"/>
        </w:rPr>
        <w:t xml:space="preserve"> </w:t>
      </w:r>
      <w:r w:rsidRPr="00C55821">
        <w:rPr>
          <w:rFonts w:ascii="Lato" w:hAnsi="Lato" w:cs="ArialMT"/>
          <w:sz w:val="20"/>
          <w:szCs w:val="20"/>
        </w:rPr>
        <w:t>podejmowania rozmów z innymi osobami, otwarcia się i dzielenie własnymi</w:t>
      </w:r>
      <w:r>
        <w:rPr>
          <w:rFonts w:ascii="Lato" w:hAnsi="Lato" w:cs="ArialMT"/>
          <w:sz w:val="20"/>
          <w:szCs w:val="20"/>
        </w:rPr>
        <w:t xml:space="preserve"> </w:t>
      </w:r>
      <w:r w:rsidRPr="00C55821">
        <w:rPr>
          <w:rFonts w:ascii="Lato" w:hAnsi="Lato" w:cs="ArialMT"/>
          <w:sz w:val="20"/>
          <w:szCs w:val="20"/>
        </w:rPr>
        <w:t xml:space="preserve">doświadczeniami i wspomnieniami; </w:t>
      </w:r>
    </w:p>
    <w:p w14:paraId="43614289" w14:textId="77777777" w:rsidR="00C55821" w:rsidRPr="00C55821" w:rsidRDefault="00C55821" w:rsidP="0059185B">
      <w:pPr>
        <w:pStyle w:val="Akapitzlist"/>
        <w:numPr>
          <w:ilvl w:val="0"/>
          <w:numId w:val="76"/>
        </w:numPr>
        <w:autoSpaceDE w:val="0"/>
        <w:autoSpaceDN w:val="0"/>
        <w:adjustRightInd w:val="0"/>
        <w:spacing w:after="0" w:line="240" w:lineRule="auto"/>
        <w:jc w:val="both"/>
        <w:rPr>
          <w:rFonts w:ascii="Lato" w:hAnsi="Lato" w:cs="ArialMT"/>
          <w:sz w:val="20"/>
          <w:szCs w:val="20"/>
        </w:rPr>
      </w:pPr>
      <w:r w:rsidRPr="00C55821">
        <w:rPr>
          <w:rFonts w:ascii="Lato" w:hAnsi="Lato" w:cs="ArialMT"/>
          <w:color w:val="000000"/>
          <w:sz w:val="20"/>
          <w:szCs w:val="20"/>
        </w:rPr>
        <w:lastRenderedPageBreak/>
        <w:t>„choreoterapia” – terapia tańcem , wykorzystuje ćwiczenia oraz improwizacje ruchowe</w:t>
      </w:r>
      <w:r>
        <w:rPr>
          <w:rFonts w:ascii="Lato" w:hAnsi="Lato" w:cs="ArialMT"/>
          <w:color w:val="000000"/>
          <w:sz w:val="20"/>
          <w:szCs w:val="20"/>
        </w:rPr>
        <w:t xml:space="preserve"> </w:t>
      </w:r>
      <w:r w:rsidRPr="00C55821">
        <w:rPr>
          <w:rFonts w:ascii="Lato" w:hAnsi="Lato" w:cs="ArialMT"/>
          <w:color w:val="000000"/>
          <w:sz w:val="20"/>
          <w:szCs w:val="20"/>
        </w:rPr>
        <w:t>do wybranej muzyki. Dla seniorów terapia tańcem podtrzymuje jego sprawność</w:t>
      </w:r>
      <w:r>
        <w:rPr>
          <w:rFonts w:ascii="Lato" w:hAnsi="Lato" w:cs="ArialMT"/>
          <w:color w:val="000000"/>
          <w:sz w:val="20"/>
          <w:szCs w:val="20"/>
        </w:rPr>
        <w:t xml:space="preserve"> </w:t>
      </w:r>
      <w:r w:rsidRPr="00C55821">
        <w:rPr>
          <w:rFonts w:ascii="Lato" w:hAnsi="Lato" w:cs="ArialMT"/>
          <w:color w:val="000000"/>
          <w:sz w:val="20"/>
          <w:szCs w:val="20"/>
        </w:rPr>
        <w:t>fizyczną, pobudza do dalszej aktywności fizycznej oraz pozwala na integrację z drugim</w:t>
      </w:r>
      <w:r>
        <w:rPr>
          <w:rFonts w:ascii="Lato" w:hAnsi="Lato" w:cs="ArialMT"/>
          <w:color w:val="000000"/>
          <w:sz w:val="20"/>
          <w:szCs w:val="20"/>
        </w:rPr>
        <w:t xml:space="preserve"> </w:t>
      </w:r>
      <w:r w:rsidRPr="00C55821">
        <w:rPr>
          <w:rFonts w:ascii="Lato" w:hAnsi="Lato" w:cs="ArialMT"/>
          <w:color w:val="000000"/>
          <w:sz w:val="20"/>
          <w:szCs w:val="20"/>
        </w:rPr>
        <w:t>człowiekiem;</w:t>
      </w:r>
    </w:p>
    <w:p w14:paraId="00243537" w14:textId="77777777" w:rsidR="00C55821" w:rsidRPr="00C55821" w:rsidRDefault="00C55821" w:rsidP="0059185B">
      <w:pPr>
        <w:pStyle w:val="Akapitzlist"/>
        <w:numPr>
          <w:ilvl w:val="0"/>
          <w:numId w:val="76"/>
        </w:numPr>
        <w:autoSpaceDE w:val="0"/>
        <w:autoSpaceDN w:val="0"/>
        <w:adjustRightInd w:val="0"/>
        <w:spacing w:after="0" w:line="240" w:lineRule="auto"/>
        <w:jc w:val="both"/>
        <w:rPr>
          <w:rFonts w:ascii="Lato" w:hAnsi="Lato" w:cs="ArialMT"/>
          <w:sz w:val="20"/>
          <w:szCs w:val="20"/>
        </w:rPr>
      </w:pPr>
      <w:r w:rsidRPr="00C55821">
        <w:rPr>
          <w:rFonts w:ascii="Lato" w:hAnsi="Lato" w:cs="ArialMT"/>
          <w:color w:val="000000"/>
          <w:sz w:val="20"/>
          <w:szCs w:val="20"/>
        </w:rPr>
        <w:t>„instrumentalizacja” – polegająca na tworzeniu i uzyskaniu kolorytu orkiestrowego,</w:t>
      </w:r>
      <w:r>
        <w:rPr>
          <w:rFonts w:ascii="Lato" w:hAnsi="Lato" w:cs="ArialMT"/>
          <w:color w:val="000000"/>
          <w:sz w:val="20"/>
          <w:szCs w:val="20"/>
        </w:rPr>
        <w:t xml:space="preserve"> </w:t>
      </w:r>
      <w:r w:rsidRPr="00C55821">
        <w:rPr>
          <w:rFonts w:ascii="Lato" w:hAnsi="Lato" w:cs="ArialMT"/>
          <w:color w:val="000000"/>
          <w:sz w:val="20"/>
          <w:szCs w:val="20"/>
        </w:rPr>
        <w:t xml:space="preserve">łączeniu brzmień instrumentów np. poprzez „body </w:t>
      </w:r>
      <w:proofErr w:type="spellStart"/>
      <w:r w:rsidRPr="00C55821">
        <w:rPr>
          <w:rFonts w:ascii="Lato" w:hAnsi="Lato" w:cs="ArialMT"/>
          <w:color w:val="000000"/>
          <w:sz w:val="20"/>
          <w:szCs w:val="20"/>
        </w:rPr>
        <w:t>perkussion</w:t>
      </w:r>
      <w:proofErr w:type="spellEnd"/>
      <w:r w:rsidRPr="00C55821">
        <w:rPr>
          <w:rFonts w:ascii="Lato" w:hAnsi="Lato" w:cs="ArialMT"/>
          <w:color w:val="000000"/>
          <w:sz w:val="20"/>
          <w:szCs w:val="20"/>
        </w:rPr>
        <w:t>” czyli grę na własnym</w:t>
      </w:r>
      <w:r>
        <w:rPr>
          <w:rFonts w:ascii="Lato" w:hAnsi="Lato" w:cs="ArialMT"/>
          <w:color w:val="000000"/>
          <w:sz w:val="20"/>
          <w:szCs w:val="20"/>
        </w:rPr>
        <w:t xml:space="preserve"> </w:t>
      </w:r>
      <w:r w:rsidRPr="00C55821">
        <w:rPr>
          <w:rFonts w:ascii="Lato" w:hAnsi="Lato" w:cs="ArialMT"/>
          <w:color w:val="000000"/>
          <w:sz w:val="20"/>
          <w:szCs w:val="20"/>
        </w:rPr>
        <w:t xml:space="preserve">ciele, metodę </w:t>
      </w:r>
      <w:proofErr w:type="spellStart"/>
      <w:r w:rsidRPr="00C55821">
        <w:rPr>
          <w:rFonts w:ascii="Lato" w:hAnsi="Lato" w:cs="ArialMT"/>
          <w:color w:val="000000"/>
          <w:sz w:val="20"/>
          <w:szCs w:val="20"/>
        </w:rPr>
        <w:t>Carl’a</w:t>
      </w:r>
      <w:proofErr w:type="spellEnd"/>
      <w:r w:rsidRPr="00C55821">
        <w:rPr>
          <w:rFonts w:ascii="Lato" w:hAnsi="Lato" w:cs="ArialMT"/>
          <w:color w:val="000000"/>
          <w:sz w:val="20"/>
          <w:szCs w:val="20"/>
        </w:rPr>
        <w:t xml:space="preserve"> </w:t>
      </w:r>
      <w:proofErr w:type="spellStart"/>
      <w:r w:rsidRPr="00C55821">
        <w:rPr>
          <w:rFonts w:ascii="Lato" w:hAnsi="Lato" w:cs="ArialMT"/>
          <w:color w:val="000000"/>
          <w:sz w:val="20"/>
          <w:szCs w:val="20"/>
        </w:rPr>
        <w:t>Orff’a</w:t>
      </w:r>
      <w:proofErr w:type="spellEnd"/>
      <w:r w:rsidRPr="00C55821">
        <w:rPr>
          <w:rFonts w:ascii="Lato" w:hAnsi="Lato" w:cs="ArialMT"/>
          <w:color w:val="000000"/>
          <w:sz w:val="20"/>
          <w:szCs w:val="20"/>
        </w:rPr>
        <w:t>, która polega na stworzeniu akompaniamentu perkusyjnego</w:t>
      </w:r>
      <w:r>
        <w:rPr>
          <w:rFonts w:ascii="Lato" w:hAnsi="Lato" w:cs="ArialMT"/>
          <w:color w:val="000000"/>
          <w:sz w:val="20"/>
          <w:szCs w:val="20"/>
        </w:rPr>
        <w:t xml:space="preserve"> </w:t>
      </w:r>
      <w:r w:rsidRPr="00C55821">
        <w:rPr>
          <w:rFonts w:ascii="Lato" w:hAnsi="Lato" w:cs="ArialMT"/>
          <w:color w:val="000000"/>
          <w:sz w:val="20"/>
          <w:szCs w:val="20"/>
        </w:rPr>
        <w:t>do konkretnego utworu muzycznego przy pomocy prostych instrumentów</w:t>
      </w:r>
      <w:r>
        <w:rPr>
          <w:rFonts w:ascii="Lato" w:hAnsi="Lato" w:cs="ArialMT"/>
          <w:color w:val="000000"/>
          <w:sz w:val="20"/>
          <w:szCs w:val="20"/>
        </w:rPr>
        <w:t xml:space="preserve"> </w:t>
      </w:r>
      <w:r w:rsidRPr="00C55821">
        <w:rPr>
          <w:rFonts w:ascii="Lato" w:hAnsi="Lato" w:cs="ArialMT"/>
          <w:color w:val="000000"/>
          <w:sz w:val="20"/>
          <w:szCs w:val="20"/>
        </w:rPr>
        <w:t>perkusyjnych</w:t>
      </w:r>
      <w:r>
        <w:rPr>
          <w:rFonts w:ascii="Lato" w:hAnsi="Lato" w:cs="ArialMT"/>
          <w:color w:val="000000"/>
          <w:sz w:val="20"/>
          <w:szCs w:val="20"/>
        </w:rPr>
        <w:t>;</w:t>
      </w:r>
    </w:p>
    <w:p w14:paraId="2BF25148" w14:textId="77777777" w:rsidR="00C55821" w:rsidRPr="00C55821" w:rsidRDefault="00C55821" w:rsidP="0059185B">
      <w:pPr>
        <w:pStyle w:val="Akapitzlist"/>
        <w:numPr>
          <w:ilvl w:val="0"/>
          <w:numId w:val="76"/>
        </w:numPr>
        <w:autoSpaceDE w:val="0"/>
        <w:autoSpaceDN w:val="0"/>
        <w:adjustRightInd w:val="0"/>
        <w:spacing w:after="0" w:line="240" w:lineRule="auto"/>
        <w:jc w:val="both"/>
        <w:rPr>
          <w:rFonts w:ascii="Lato" w:hAnsi="Lato" w:cs="ArialMT"/>
          <w:sz w:val="20"/>
          <w:szCs w:val="20"/>
        </w:rPr>
      </w:pPr>
      <w:r w:rsidRPr="00C55821">
        <w:rPr>
          <w:rFonts w:ascii="Lato" w:hAnsi="Lato" w:cs="ArialMT"/>
          <w:color w:val="000000"/>
          <w:sz w:val="20"/>
          <w:szCs w:val="20"/>
        </w:rPr>
        <w:t>„relaksacja”- celem treningu jest nabycie umiejętności zapobiegania skutkom stresu</w:t>
      </w:r>
      <w:r>
        <w:rPr>
          <w:rFonts w:ascii="Lato" w:hAnsi="Lato" w:cs="ArialMT"/>
          <w:color w:val="000000"/>
          <w:sz w:val="20"/>
          <w:szCs w:val="20"/>
        </w:rPr>
        <w:t xml:space="preserve"> </w:t>
      </w:r>
      <w:r w:rsidRPr="00C55821">
        <w:rPr>
          <w:rFonts w:ascii="Lato" w:hAnsi="Lato" w:cs="ArialMT"/>
          <w:color w:val="000000"/>
          <w:sz w:val="20"/>
          <w:szCs w:val="20"/>
        </w:rPr>
        <w:t>łagodzenia problemów układu nerwowego, przyjęcia odpowiedniego stan</w:t>
      </w:r>
      <w:r>
        <w:rPr>
          <w:rFonts w:ascii="Lato" w:hAnsi="Lato" w:cs="ArialMT"/>
          <w:color w:val="000000"/>
          <w:sz w:val="20"/>
          <w:szCs w:val="20"/>
        </w:rPr>
        <w:t xml:space="preserve"> </w:t>
      </w:r>
      <w:r w:rsidRPr="00C55821">
        <w:rPr>
          <w:rFonts w:ascii="Lato" w:hAnsi="Lato" w:cs="ArialMT"/>
          <w:color w:val="000000"/>
          <w:sz w:val="20"/>
          <w:szCs w:val="20"/>
        </w:rPr>
        <w:t>koncentracji;</w:t>
      </w:r>
    </w:p>
    <w:p w14:paraId="3C4C481C" w14:textId="77777777" w:rsidR="00C55821" w:rsidRPr="00C55821" w:rsidRDefault="00C55821" w:rsidP="0059185B">
      <w:pPr>
        <w:pStyle w:val="Akapitzlist"/>
        <w:numPr>
          <w:ilvl w:val="0"/>
          <w:numId w:val="76"/>
        </w:numPr>
        <w:autoSpaceDE w:val="0"/>
        <w:autoSpaceDN w:val="0"/>
        <w:adjustRightInd w:val="0"/>
        <w:spacing w:after="0" w:line="240" w:lineRule="auto"/>
        <w:jc w:val="both"/>
        <w:rPr>
          <w:rFonts w:ascii="Lato" w:hAnsi="Lato" w:cs="ArialMT"/>
          <w:sz w:val="20"/>
          <w:szCs w:val="20"/>
        </w:rPr>
      </w:pPr>
      <w:r w:rsidRPr="00C55821">
        <w:rPr>
          <w:rFonts w:ascii="Lato" w:hAnsi="Lato" w:cs="ArialMT"/>
          <w:color w:val="000000"/>
          <w:sz w:val="20"/>
          <w:szCs w:val="20"/>
        </w:rPr>
        <w:t>„</w:t>
      </w:r>
      <w:r w:rsidRPr="00C55821">
        <w:rPr>
          <w:rFonts w:ascii="Lato" w:hAnsi="Lato" w:cs="ArialMT"/>
          <w:color w:val="050505"/>
          <w:sz w:val="20"/>
          <w:szCs w:val="20"/>
        </w:rPr>
        <w:t>terapia grafomotoryczna” - inaczej terapia ręki, która dotyczy motorycznego</w:t>
      </w:r>
      <w:r>
        <w:rPr>
          <w:rFonts w:ascii="Lato" w:hAnsi="Lato" w:cs="ArialMT"/>
          <w:color w:val="050505"/>
          <w:sz w:val="20"/>
          <w:szCs w:val="20"/>
        </w:rPr>
        <w:t xml:space="preserve"> </w:t>
      </w:r>
      <w:r w:rsidRPr="00C55821">
        <w:rPr>
          <w:rFonts w:ascii="Lato" w:hAnsi="Lato" w:cs="ArialMT"/>
          <w:color w:val="050505"/>
          <w:sz w:val="20"/>
          <w:szCs w:val="20"/>
        </w:rPr>
        <w:t>usprawnienia rąk - szczególnie dłoni oraz palców. Ćwiczenia manualne koordynują</w:t>
      </w:r>
      <w:r>
        <w:rPr>
          <w:rFonts w:ascii="Lato" w:hAnsi="Lato" w:cs="ArialMT"/>
          <w:color w:val="050505"/>
          <w:sz w:val="20"/>
          <w:szCs w:val="20"/>
        </w:rPr>
        <w:t xml:space="preserve"> </w:t>
      </w:r>
      <w:r w:rsidRPr="00C55821">
        <w:rPr>
          <w:rFonts w:ascii="Lato" w:hAnsi="Lato" w:cs="ArialMT"/>
          <w:color w:val="050505"/>
          <w:sz w:val="20"/>
          <w:szCs w:val="20"/>
        </w:rPr>
        <w:t>nasze zmysły (słuch, wzrok, dotyk), korzystnie wpływają na poprawienie motoryki</w:t>
      </w:r>
      <w:r>
        <w:rPr>
          <w:rFonts w:ascii="Lato" w:hAnsi="Lato" w:cs="ArialMT"/>
          <w:color w:val="050505"/>
          <w:sz w:val="20"/>
          <w:szCs w:val="20"/>
        </w:rPr>
        <w:t xml:space="preserve"> </w:t>
      </w:r>
      <w:r w:rsidRPr="00C55821">
        <w:rPr>
          <w:rFonts w:ascii="Lato" w:hAnsi="Lato" w:cs="ArialMT"/>
          <w:color w:val="050505"/>
          <w:sz w:val="20"/>
          <w:szCs w:val="20"/>
        </w:rPr>
        <w:t>małej, a co za tym idzie - ułatwiają wykonywanie codziennych czynności. Wraz z</w:t>
      </w:r>
      <w:r>
        <w:rPr>
          <w:rFonts w:ascii="Lato" w:hAnsi="Lato" w:cs="ArialMT"/>
          <w:color w:val="050505"/>
          <w:sz w:val="20"/>
          <w:szCs w:val="20"/>
        </w:rPr>
        <w:t xml:space="preserve"> </w:t>
      </w:r>
      <w:r w:rsidRPr="00C55821">
        <w:rPr>
          <w:rFonts w:ascii="Lato" w:hAnsi="Lato" w:cs="ArialMT"/>
          <w:color w:val="050505"/>
          <w:sz w:val="20"/>
          <w:szCs w:val="20"/>
        </w:rPr>
        <w:t>wiekiem sprawność manualna pogarsza się, dlatego zajęcia grafomotoryczne są</w:t>
      </w:r>
      <w:r>
        <w:rPr>
          <w:rFonts w:ascii="Lato" w:hAnsi="Lato" w:cs="ArialMT"/>
          <w:color w:val="050505"/>
          <w:sz w:val="20"/>
          <w:szCs w:val="20"/>
        </w:rPr>
        <w:t xml:space="preserve"> </w:t>
      </w:r>
      <w:r w:rsidRPr="00C55821">
        <w:rPr>
          <w:rFonts w:ascii="Lato" w:hAnsi="Lato" w:cs="ArialMT"/>
          <w:color w:val="050505"/>
          <w:sz w:val="20"/>
          <w:szCs w:val="20"/>
        </w:rPr>
        <w:t>bardzo przydatnym narzędziem w pracy z seniorami.</w:t>
      </w:r>
    </w:p>
    <w:p w14:paraId="5DA6DC65" w14:textId="77777777"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color w:val="050505"/>
          <w:sz w:val="20"/>
          <w:szCs w:val="20"/>
        </w:rPr>
        <w:t>Spotkania z fizjoterapeutą, które dotyczyły m.in. metod zapobiegania i leczenia</w:t>
      </w:r>
      <w:r>
        <w:rPr>
          <w:rFonts w:ascii="Lato" w:hAnsi="Lato" w:cs="ArialMT"/>
          <w:color w:val="050505"/>
          <w:sz w:val="20"/>
          <w:szCs w:val="20"/>
        </w:rPr>
        <w:t xml:space="preserve"> </w:t>
      </w:r>
      <w:r w:rsidRPr="00C55821">
        <w:rPr>
          <w:rFonts w:ascii="Lato" w:hAnsi="Lato" w:cs="ArialMT"/>
          <w:color w:val="050505"/>
          <w:sz w:val="20"/>
          <w:szCs w:val="20"/>
        </w:rPr>
        <w:t>schorzeń kręgosłupa (zaprezentowano techniki wykonywania typowych czynności</w:t>
      </w:r>
      <w:r>
        <w:rPr>
          <w:rFonts w:ascii="Lato" w:hAnsi="Lato" w:cs="ArialMT"/>
          <w:color w:val="050505"/>
          <w:sz w:val="20"/>
          <w:szCs w:val="20"/>
        </w:rPr>
        <w:t xml:space="preserve"> </w:t>
      </w:r>
      <w:r w:rsidRPr="00C55821">
        <w:rPr>
          <w:rFonts w:ascii="Lato" w:hAnsi="Lato" w:cs="ArialMT"/>
          <w:color w:val="050505"/>
          <w:sz w:val="20"/>
          <w:szCs w:val="20"/>
        </w:rPr>
        <w:t>życiowych w sposób bezpieczny dla kręgosłupa), aktywności fizycznej w wieku</w:t>
      </w:r>
      <w:r>
        <w:rPr>
          <w:rFonts w:ascii="Lato" w:hAnsi="Lato" w:cs="ArialMT"/>
          <w:color w:val="050505"/>
          <w:sz w:val="20"/>
          <w:szCs w:val="20"/>
        </w:rPr>
        <w:t xml:space="preserve"> </w:t>
      </w:r>
      <w:r w:rsidRPr="00C55821">
        <w:rPr>
          <w:rFonts w:ascii="Lato" w:hAnsi="Lato" w:cs="ArialMT"/>
          <w:color w:val="050505"/>
          <w:sz w:val="20"/>
          <w:szCs w:val="20"/>
        </w:rPr>
        <w:t>senioralnym poprzez prezentację zestawów ćwiczeń, które można samemu wykonać</w:t>
      </w:r>
      <w:r>
        <w:rPr>
          <w:rFonts w:ascii="Lato" w:hAnsi="Lato" w:cs="ArialMT"/>
          <w:color w:val="050505"/>
          <w:sz w:val="20"/>
          <w:szCs w:val="20"/>
        </w:rPr>
        <w:t xml:space="preserve"> </w:t>
      </w:r>
      <w:r w:rsidRPr="00C55821">
        <w:rPr>
          <w:rFonts w:ascii="Lato" w:hAnsi="Lato" w:cs="ArialMT"/>
          <w:color w:val="050505"/>
          <w:sz w:val="20"/>
          <w:szCs w:val="20"/>
        </w:rPr>
        <w:t>w domu a ponadto uczestnicy spotkań mogli skorzystać z indywidualnych porad</w:t>
      </w:r>
      <w:r>
        <w:rPr>
          <w:rFonts w:ascii="Lato" w:hAnsi="Lato" w:cs="ArialMT"/>
          <w:color w:val="050505"/>
          <w:sz w:val="20"/>
          <w:szCs w:val="20"/>
        </w:rPr>
        <w:t xml:space="preserve"> </w:t>
      </w:r>
      <w:r w:rsidRPr="00C55821">
        <w:rPr>
          <w:rFonts w:ascii="Lato" w:hAnsi="Lato" w:cs="ArialMT"/>
          <w:color w:val="050505"/>
          <w:sz w:val="20"/>
          <w:szCs w:val="20"/>
        </w:rPr>
        <w:t>fizjoterapeuty.</w:t>
      </w:r>
    </w:p>
    <w:p w14:paraId="008D886F" w14:textId="77777777"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color w:val="050505"/>
          <w:sz w:val="20"/>
          <w:szCs w:val="20"/>
        </w:rPr>
        <w:t xml:space="preserve">Spotkania z </w:t>
      </w:r>
      <w:proofErr w:type="spellStart"/>
      <w:r w:rsidRPr="00C55821">
        <w:rPr>
          <w:rFonts w:ascii="Lato" w:hAnsi="Lato" w:cs="ArialMT"/>
          <w:color w:val="050505"/>
          <w:sz w:val="20"/>
          <w:szCs w:val="20"/>
        </w:rPr>
        <w:t>podologiem</w:t>
      </w:r>
      <w:proofErr w:type="spellEnd"/>
      <w:r w:rsidRPr="00C55821">
        <w:rPr>
          <w:rFonts w:ascii="Lato" w:hAnsi="Lato" w:cs="ArialMT"/>
          <w:color w:val="050505"/>
          <w:sz w:val="20"/>
          <w:szCs w:val="20"/>
        </w:rPr>
        <w:t>, podczas których uczestnicy usługi dowiedzieli się kim tak</w:t>
      </w:r>
      <w:r>
        <w:rPr>
          <w:rFonts w:ascii="Lato" w:hAnsi="Lato" w:cs="ArialMT"/>
          <w:color w:val="050505"/>
          <w:sz w:val="20"/>
          <w:szCs w:val="20"/>
        </w:rPr>
        <w:t xml:space="preserve"> </w:t>
      </w:r>
      <w:r w:rsidRPr="00C55821">
        <w:rPr>
          <w:rFonts w:ascii="Lato" w:hAnsi="Lato" w:cs="ArialMT"/>
          <w:color w:val="050505"/>
          <w:sz w:val="20"/>
          <w:szCs w:val="20"/>
        </w:rPr>
        <w:t xml:space="preserve">właściwie jest </w:t>
      </w:r>
      <w:proofErr w:type="spellStart"/>
      <w:r w:rsidRPr="00C55821">
        <w:rPr>
          <w:rFonts w:ascii="Lato" w:hAnsi="Lato" w:cs="ArialMT"/>
          <w:color w:val="050505"/>
          <w:sz w:val="20"/>
          <w:szCs w:val="20"/>
        </w:rPr>
        <w:t>podolog</w:t>
      </w:r>
      <w:proofErr w:type="spellEnd"/>
      <w:r w:rsidRPr="00C55821">
        <w:rPr>
          <w:rFonts w:ascii="Lato" w:hAnsi="Lato" w:cs="ArialMT"/>
          <w:color w:val="050505"/>
          <w:sz w:val="20"/>
          <w:szCs w:val="20"/>
        </w:rPr>
        <w:t xml:space="preserve"> i czym się zajmuje, które zmiany na stopach są naturalne, które</w:t>
      </w:r>
      <w:r>
        <w:rPr>
          <w:rFonts w:ascii="Lato" w:hAnsi="Lato" w:cs="ArialMT"/>
          <w:color w:val="050505"/>
          <w:sz w:val="20"/>
          <w:szCs w:val="20"/>
        </w:rPr>
        <w:t xml:space="preserve"> </w:t>
      </w:r>
      <w:r w:rsidRPr="00C55821">
        <w:rPr>
          <w:rFonts w:ascii="Lato" w:hAnsi="Lato" w:cs="ArialMT"/>
          <w:color w:val="050505"/>
          <w:sz w:val="20"/>
          <w:szCs w:val="20"/>
        </w:rPr>
        <w:t>powinny budzić niepokój i kiedy należy rozpocząć leczenie. Uczestnicy prelekcji</w:t>
      </w:r>
      <w:r>
        <w:rPr>
          <w:rFonts w:ascii="Lato" w:hAnsi="Lato" w:cs="ArialMT"/>
          <w:color w:val="050505"/>
          <w:sz w:val="20"/>
          <w:szCs w:val="20"/>
        </w:rPr>
        <w:t xml:space="preserve"> </w:t>
      </w:r>
      <w:r w:rsidRPr="00C55821">
        <w:rPr>
          <w:rFonts w:ascii="Lato" w:hAnsi="Lato" w:cs="ArialMT"/>
          <w:color w:val="050505"/>
          <w:sz w:val="20"/>
          <w:szCs w:val="20"/>
        </w:rPr>
        <w:t>dowiedzieli się również jak dbać o stopy w warunkach domowych i kiedy należy udać</w:t>
      </w:r>
      <w:r>
        <w:rPr>
          <w:rFonts w:ascii="Lato" w:hAnsi="Lato" w:cs="ArialMT"/>
          <w:color w:val="050505"/>
          <w:sz w:val="20"/>
          <w:szCs w:val="20"/>
        </w:rPr>
        <w:t xml:space="preserve"> </w:t>
      </w:r>
      <w:r w:rsidRPr="00C55821">
        <w:rPr>
          <w:rFonts w:ascii="Lato" w:hAnsi="Lato" w:cs="ArialMT"/>
          <w:color w:val="050505"/>
          <w:sz w:val="20"/>
          <w:szCs w:val="20"/>
        </w:rPr>
        <w:t xml:space="preserve">się do </w:t>
      </w:r>
      <w:proofErr w:type="spellStart"/>
      <w:r w:rsidRPr="00C55821">
        <w:rPr>
          <w:rFonts w:ascii="Lato" w:hAnsi="Lato" w:cs="ArialMT"/>
          <w:color w:val="050505"/>
          <w:sz w:val="20"/>
          <w:szCs w:val="20"/>
        </w:rPr>
        <w:t>podologa</w:t>
      </w:r>
      <w:proofErr w:type="spellEnd"/>
      <w:r w:rsidRPr="00C55821">
        <w:rPr>
          <w:rFonts w:ascii="Lato" w:hAnsi="Lato" w:cs="ArialMT"/>
          <w:color w:val="050505"/>
          <w:sz w:val="20"/>
          <w:szCs w:val="20"/>
        </w:rPr>
        <w:t xml:space="preserve"> na specjalistyczne zabiegi;</w:t>
      </w:r>
    </w:p>
    <w:p w14:paraId="32482C41" w14:textId="77777777"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color w:val="050505"/>
          <w:sz w:val="20"/>
          <w:szCs w:val="20"/>
        </w:rPr>
        <w:t>Szkolenia z zakresu pierwszej pomocy - pierwsza pomoc to umiejętność, którą</w:t>
      </w:r>
      <w:r>
        <w:rPr>
          <w:rFonts w:ascii="Lato" w:hAnsi="Lato" w:cs="ArialMT"/>
          <w:color w:val="050505"/>
          <w:sz w:val="20"/>
          <w:szCs w:val="20"/>
        </w:rPr>
        <w:t xml:space="preserve"> </w:t>
      </w:r>
      <w:r w:rsidRPr="00C55821">
        <w:rPr>
          <w:rFonts w:ascii="Lato" w:hAnsi="Lato" w:cs="ArialMT"/>
          <w:color w:val="050505"/>
          <w:sz w:val="20"/>
          <w:szCs w:val="20"/>
        </w:rPr>
        <w:t>powinien posiąść każdy człowiek, bez względu na wiek dlatego wśród uczestników</w:t>
      </w:r>
      <w:r>
        <w:rPr>
          <w:rFonts w:ascii="Lato" w:hAnsi="Lato" w:cs="ArialMT"/>
          <w:color w:val="050505"/>
          <w:sz w:val="20"/>
          <w:szCs w:val="20"/>
        </w:rPr>
        <w:t xml:space="preserve"> </w:t>
      </w:r>
      <w:proofErr w:type="spellStart"/>
      <w:r w:rsidRPr="00C55821">
        <w:rPr>
          <w:rFonts w:ascii="Lato" w:hAnsi="Lato" w:cs="ArialMT"/>
          <w:color w:val="050505"/>
          <w:sz w:val="20"/>
          <w:szCs w:val="20"/>
        </w:rPr>
        <w:t>KAL’ów</w:t>
      </w:r>
      <w:proofErr w:type="spellEnd"/>
      <w:r w:rsidRPr="00C55821">
        <w:rPr>
          <w:rFonts w:ascii="Lato" w:hAnsi="Lato" w:cs="ArialMT"/>
          <w:color w:val="050505"/>
          <w:sz w:val="20"/>
          <w:szCs w:val="20"/>
        </w:rPr>
        <w:t xml:space="preserve"> zostały przeprowadzone stacjonarne szkolenia z pp., które obejmowały</w:t>
      </w:r>
      <w:r>
        <w:rPr>
          <w:rFonts w:ascii="Lato" w:hAnsi="Lato" w:cs="ArialMT"/>
          <w:color w:val="050505"/>
          <w:sz w:val="20"/>
          <w:szCs w:val="20"/>
        </w:rPr>
        <w:t xml:space="preserve"> </w:t>
      </w:r>
      <w:r w:rsidRPr="00C55821">
        <w:rPr>
          <w:rFonts w:ascii="Lato" w:hAnsi="Lato" w:cs="ArialMT"/>
          <w:color w:val="050505"/>
          <w:sz w:val="20"/>
          <w:szCs w:val="20"/>
        </w:rPr>
        <w:t>podstawowy kurs oraz pokazy i działalność edukacyjną związaną z bezpieczeństwem</w:t>
      </w:r>
      <w:r>
        <w:rPr>
          <w:rFonts w:ascii="Lato" w:hAnsi="Lato" w:cs="ArialMT"/>
          <w:color w:val="050505"/>
          <w:sz w:val="20"/>
          <w:szCs w:val="20"/>
        </w:rPr>
        <w:t xml:space="preserve"> </w:t>
      </w:r>
      <w:r w:rsidRPr="00C55821">
        <w:rPr>
          <w:rFonts w:ascii="Lato" w:hAnsi="Lato" w:cs="ArialMT"/>
          <w:color w:val="050505"/>
          <w:sz w:val="20"/>
          <w:szCs w:val="20"/>
        </w:rPr>
        <w:t>oraz zdrowiem.</w:t>
      </w:r>
    </w:p>
    <w:p w14:paraId="251C4E4E" w14:textId="77777777"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color w:val="050505"/>
          <w:sz w:val="20"/>
          <w:szCs w:val="20"/>
        </w:rPr>
        <w:t>Spotkania z dietetykiem, podczas których omawiane były kwestie związane z szeroko</w:t>
      </w:r>
      <w:r>
        <w:rPr>
          <w:rFonts w:ascii="Lato" w:hAnsi="Lato" w:cs="ArialMT"/>
          <w:color w:val="050505"/>
          <w:sz w:val="20"/>
          <w:szCs w:val="20"/>
        </w:rPr>
        <w:t xml:space="preserve"> </w:t>
      </w:r>
      <w:r w:rsidRPr="00C55821">
        <w:rPr>
          <w:rFonts w:ascii="Lato" w:hAnsi="Lato" w:cs="ArialMT"/>
          <w:color w:val="050505"/>
          <w:sz w:val="20"/>
          <w:szCs w:val="20"/>
        </w:rPr>
        <w:t>pojętym zdrowym trybem życia, zmianami nawyków żywieniowych oraz podejściem</w:t>
      </w:r>
      <w:r>
        <w:rPr>
          <w:rFonts w:ascii="Lato" w:hAnsi="Lato" w:cs="ArialMT"/>
          <w:color w:val="050505"/>
          <w:sz w:val="20"/>
          <w:szCs w:val="20"/>
        </w:rPr>
        <w:t xml:space="preserve"> </w:t>
      </w:r>
      <w:r w:rsidRPr="00C55821">
        <w:rPr>
          <w:rFonts w:ascii="Lato" w:hAnsi="Lato" w:cs="ArialMT"/>
          <w:color w:val="050505"/>
          <w:sz w:val="20"/>
          <w:szCs w:val="20"/>
        </w:rPr>
        <w:t>holistycznym do zdrowia. Podczas grupowych warsztatów uczestnicy poznawali</w:t>
      </w:r>
      <w:r>
        <w:rPr>
          <w:rFonts w:ascii="Lato" w:hAnsi="Lato" w:cs="ArialMT"/>
          <w:color w:val="050505"/>
          <w:sz w:val="20"/>
          <w:szCs w:val="20"/>
        </w:rPr>
        <w:t xml:space="preserve"> </w:t>
      </w:r>
      <w:r w:rsidRPr="00C55821">
        <w:rPr>
          <w:rFonts w:ascii="Lato" w:hAnsi="Lato" w:cs="ArialMT"/>
          <w:color w:val="050505"/>
          <w:sz w:val="20"/>
          <w:szCs w:val="20"/>
        </w:rPr>
        <w:t>piramidę żywieniową seniora, prozdrowotne składniki diety, interakcje leków</w:t>
      </w:r>
      <w:r>
        <w:rPr>
          <w:rFonts w:ascii="Lato" w:hAnsi="Lato" w:cs="ArialMT"/>
          <w:color w:val="050505"/>
          <w:sz w:val="20"/>
          <w:szCs w:val="20"/>
        </w:rPr>
        <w:t xml:space="preserve"> </w:t>
      </w:r>
      <w:r w:rsidRPr="00C55821">
        <w:rPr>
          <w:rFonts w:ascii="Lato" w:hAnsi="Lato" w:cs="ArialMT"/>
          <w:color w:val="050505"/>
          <w:sz w:val="20"/>
          <w:szCs w:val="20"/>
        </w:rPr>
        <w:t>z pożywieniem, a także praktyczne wskazówki dotyczące zakupów (np. jak czytać</w:t>
      </w:r>
      <w:r>
        <w:rPr>
          <w:rFonts w:ascii="Lato" w:hAnsi="Lato" w:cs="ArialMT"/>
          <w:color w:val="050505"/>
          <w:sz w:val="20"/>
          <w:szCs w:val="20"/>
        </w:rPr>
        <w:t xml:space="preserve"> </w:t>
      </w:r>
      <w:r w:rsidRPr="00C55821">
        <w:rPr>
          <w:rFonts w:ascii="Lato" w:hAnsi="Lato" w:cs="ArialMT"/>
          <w:color w:val="050505"/>
          <w:sz w:val="20"/>
          <w:szCs w:val="20"/>
        </w:rPr>
        <w:t>etykiety) czy komponowania zdrowych posiłków, które warto wprowadzić do codziennej</w:t>
      </w:r>
      <w:r>
        <w:rPr>
          <w:rFonts w:ascii="Lato" w:hAnsi="Lato" w:cs="ArialMT"/>
          <w:color w:val="050505"/>
          <w:sz w:val="20"/>
          <w:szCs w:val="20"/>
        </w:rPr>
        <w:t xml:space="preserve"> </w:t>
      </w:r>
      <w:r w:rsidRPr="00C55821">
        <w:rPr>
          <w:rFonts w:ascii="Lato" w:hAnsi="Lato" w:cs="ArialMT"/>
          <w:color w:val="050505"/>
          <w:sz w:val="20"/>
          <w:szCs w:val="20"/>
        </w:rPr>
        <w:t>diety.</w:t>
      </w:r>
    </w:p>
    <w:p w14:paraId="7790CA5B" w14:textId="792F8AA4" w:rsidR="00C55821" w:rsidRPr="00C55821" w:rsidRDefault="00C55821" w:rsidP="0059185B">
      <w:pPr>
        <w:pStyle w:val="Akapitzlist"/>
        <w:numPr>
          <w:ilvl w:val="0"/>
          <w:numId w:val="75"/>
        </w:numPr>
        <w:autoSpaceDE w:val="0"/>
        <w:autoSpaceDN w:val="0"/>
        <w:adjustRightInd w:val="0"/>
        <w:spacing w:after="0" w:line="240" w:lineRule="auto"/>
        <w:jc w:val="both"/>
        <w:rPr>
          <w:rFonts w:ascii="Lato" w:hAnsi="Lato" w:cs="ArialMT"/>
          <w:sz w:val="20"/>
          <w:szCs w:val="20"/>
        </w:rPr>
      </w:pPr>
      <w:r w:rsidRPr="00C55821">
        <w:rPr>
          <w:rFonts w:ascii="Lato" w:hAnsi="Lato" w:cs="ArialMT"/>
          <w:color w:val="000000"/>
          <w:sz w:val="20"/>
          <w:szCs w:val="20"/>
        </w:rPr>
        <w:t xml:space="preserve">Spotkanie z Fryzjerką oraz makijażystką - ideą przewodnią spotkania „Senior </w:t>
      </w:r>
      <w:proofErr w:type="spellStart"/>
      <w:r w:rsidRPr="00C55821">
        <w:rPr>
          <w:rFonts w:ascii="Lato" w:hAnsi="Lato" w:cs="ArialMT"/>
          <w:color w:val="000000"/>
          <w:sz w:val="20"/>
          <w:szCs w:val="20"/>
        </w:rPr>
        <w:t>glamour</w:t>
      </w:r>
      <w:proofErr w:type="spellEnd"/>
      <w:r w:rsidRPr="00C55821">
        <w:rPr>
          <w:rFonts w:ascii="Lato" w:hAnsi="Lato" w:cs="ArialMT"/>
          <w:color w:val="000000"/>
          <w:sz w:val="20"/>
          <w:szCs w:val="20"/>
        </w:rPr>
        <w:t>”</w:t>
      </w:r>
      <w:r>
        <w:rPr>
          <w:rFonts w:ascii="Lato" w:hAnsi="Lato" w:cs="ArialMT"/>
          <w:color w:val="000000"/>
          <w:sz w:val="20"/>
          <w:szCs w:val="20"/>
        </w:rPr>
        <w:t xml:space="preserve"> </w:t>
      </w:r>
      <w:r w:rsidRPr="00C55821">
        <w:rPr>
          <w:rFonts w:ascii="Lato" w:hAnsi="Lato" w:cs="ArialMT"/>
          <w:color w:val="000000"/>
          <w:sz w:val="20"/>
          <w:szCs w:val="20"/>
        </w:rPr>
        <w:t>było przekonanie, że każda kobieta jest wyjątkowa i może czuć się atrakcyjna bez</w:t>
      </w:r>
      <w:r>
        <w:rPr>
          <w:rFonts w:ascii="Lato" w:hAnsi="Lato" w:cs="ArialMT"/>
          <w:color w:val="000000"/>
          <w:sz w:val="20"/>
          <w:szCs w:val="20"/>
        </w:rPr>
        <w:t xml:space="preserve"> </w:t>
      </w:r>
      <w:r w:rsidRPr="00C55821">
        <w:rPr>
          <w:rFonts w:ascii="Lato" w:hAnsi="Lato" w:cs="ArialMT"/>
          <w:color w:val="000000"/>
          <w:sz w:val="20"/>
          <w:szCs w:val="20"/>
        </w:rPr>
        <w:t>względu na wiek. Praca nad makijażem i stylizacją fryzur uczestniczek dała im</w:t>
      </w:r>
      <w:r>
        <w:rPr>
          <w:rFonts w:ascii="Lato" w:hAnsi="Lato" w:cs="ArialMT"/>
          <w:color w:val="000000"/>
          <w:sz w:val="20"/>
          <w:szCs w:val="20"/>
        </w:rPr>
        <w:t xml:space="preserve"> </w:t>
      </w:r>
      <w:r w:rsidRPr="00C55821">
        <w:rPr>
          <w:rFonts w:ascii="Lato" w:hAnsi="Lato" w:cs="ArialMT"/>
          <w:color w:val="000000"/>
          <w:sz w:val="20"/>
          <w:szCs w:val="20"/>
        </w:rPr>
        <w:t>ogromną satysfakcję oraz korzyści w postaci otrzymanych wskazówek. Były to</w:t>
      </w:r>
      <w:r>
        <w:rPr>
          <w:rFonts w:ascii="Lato" w:hAnsi="Lato" w:cs="ArialMT"/>
          <w:color w:val="000000"/>
          <w:sz w:val="20"/>
          <w:szCs w:val="20"/>
        </w:rPr>
        <w:t xml:space="preserve"> </w:t>
      </w:r>
      <w:r w:rsidRPr="00C55821">
        <w:rPr>
          <w:rFonts w:ascii="Lato" w:hAnsi="Lato" w:cs="ArialMT"/>
          <w:color w:val="000000"/>
          <w:sz w:val="20"/>
          <w:szCs w:val="20"/>
        </w:rPr>
        <w:t>spotkania dotyczące makijażu, skutecznej pielęgnacji włosów oraz ich stylizacji jak</w:t>
      </w:r>
      <w:r>
        <w:rPr>
          <w:rFonts w:ascii="Lato" w:hAnsi="Lato" w:cs="ArialMT"/>
          <w:color w:val="000000"/>
          <w:sz w:val="20"/>
          <w:szCs w:val="20"/>
        </w:rPr>
        <w:t xml:space="preserve"> </w:t>
      </w:r>
      <w:r w:rsidRPr="00C55821">
        <w:rPr>
          <w:rFonts w:ascii="Lato" w:hAnsi="Lato" w:cs="ArialMT"/>
          <w:color w:val="000000"/>
          <w:sz w:val="20"/>
          <w:szCs w:val="20"/>
        </w:rPr>
        <w:t>i doboru właściwych kosmetyków dopasowanych do wieku seniorek. Uczestniczki</w:t>
      </w:r>
      <w:r>
        <w:rPr>
          <w:rFonts w:ascii="Lato" w:hAnsi="Lato" w:cs="ArialMT"/>
          <w:color w:val="000000"/>
          <w:sz w:val="20"/>
          <w:szCs w:val="20"/>
        </w:rPr>
        <w:t xml:space="preserve"> </w:t>
      </w:r>
      <w:r w:rsidRPr="00C55821">
        <w:rPr>
          <w:rFonts w:ascii="Lato" w:hAnsi="Lato" w:cs="ArialMT"/>
          <w:color w:val="000000"/>
          <w:sz w:val="20"/>
          <w:szCs w:val="20"/>
        </w:rPr>
        <w:t>wykonywały makijaż oraz fryzury pod okiem i z pomocą, specjalistek, dzięki czemu</w:t>
      </w:r>
      <w:r>
        <w:rPr>
          <w:rFonts w:ascii="Lato" w:hAnsi="Lato" w:cs="ArialMT"/>
          <w:color w:val="000000"/>
          <w:sz w:val="20"/>
          <w:szCs w:val="20"/>
        </w:rPr>
        <w:t xml:space="preserve"> </w:t>
      </w:r>
      <w:r w:rsidRPr="00C55821">
        <w:rPr>
          <w:rFonts w:ascii="Lato" w:hAnsi="Lato" w:cs="ArialMT"/>
          <w:color w:val="000000"/>
          <w:sz w:val="20"/>
          <w:szCs w:val="20"/>
        </w:rPr>
        <w:t>doświadczyły małej przemiany. Szkolenie takie pokazuje jak korzystać z pomocy fachowców od estetyki wyglądu i wzmocnią poczucie własnej wartości</w:t>
      </w:r>
      <w:r>
        <w:rPr>
          <w:rFonts w:ascii="Lato" w:hAnsi="Lato" w:cs="ArialMT"/>
          <w:color w:val="000000"/>
          <w:sz w:val="20"/>
          <w:szCs w:val="20"/>
        </w:rPr>
        <w:t xml:space="preserve"> </w:t>
      </w:r>
      <w:r w:rsidRPr="00C55821">
        <w:rPr>
          <w:rFonts w:ascii="Lato" w:hAnsi="Lato" w:cs="ArialMT"/>
          <w:color w:val="000000"/>
          <w:sz w:val="20"/>
          <w:szCs w:val="20"/>
        </w:rPr>
        <w:t>i bezpieczeństwa.</w:t>
      </w:r>
    </w:p>
    <w:p w14:paraId="41AA61E3" w14:textId="77777777" w:rsidR="00C55821" w:rsidRDefault="00C55821" w:rsidP="00C55821">
      <w:pPr>
        <w:autoSpaceDE w:val="0"/>
        <w:autoSpaceDN w:val="0"/>
        <w:adjustRightInd w:val="0"/>
        <w:spacing w:after="0" w:line="240" w:lineRule="auto"/>
        <w:jc w:val="both"/>
        <w:rPr>
          <w:rFonts w:ascii="Lato" w:hAnsi="Lato" w:cs="Arial-BoldMT"/>
          <w:b/>
          <w:bCs/>
          <w:color w:val="000000"/>
          <w:sz w:val="20"/>
          <w:szCs w:val="20"/>
        </w:rPr>
      </w:pPr>
    </w:p>
    <w:p w14:paraId="298CF8F8" w14:textId="098368D8" w:rsid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BoldMT"/>
          <w:b/>
          <w:bCs/>
          <w:color w:val="000000"/>
          <w:sz w:val="20"/>
          <w:szCs w:val="20"/>
        </w:rPr>
        <w:t xml:space="preserve">Na podstawie Uchwały Rady Miejskiej w Gogolinie, </w:t>
      </w:r>
      <w:r w:rsidRPr="00C55821">
        <w:rPr>
          <w:rFonts w:ascii="Lato" w:hAnsi="Lato" w:cs="ArialMT"/>
          <w:color w:val="000000"/>
          <w:sz w:val="20"/>
          <w:szCs w:val="20"/>
        </w:rPr>
        <w:t>z dnia 28 kwietnia 2022 r.</w:t>
      </w:r>
      <w:r>
        <w:rPr>
          <w:rFonts w:ascii="Lato" w:hAnsi="Lato" w:cs="ArialMT"/>
          <w:color w:val="000000"/>
          <w:sz w:val="20"/>
          <w:szCs w:val="20"/>
        </w:rPr>
        <w:t xml:space="preserve"> </w:t>
      </w:r>
      <w:r w:rsidRPr="00C55821">
        <w:rPr>
          <w:rFonts w:ascii="Lato" w:hAnsi="Lato" w:cs="Arial-BoldMT"/>
          <w:b/>
          <w:bCs/>
          <w:color w:val="000000"/>
          <w:sz w:val="20"/>
          <w:szCs w:val="20"/>
        </w:rPr>
        <w:t xml:space="preserve">NR L/542/2022, </w:t>
      </w:r>
      <w:r w:rsidRPr="00C55821">
        <w:rPr>
          <w:rFonts w:ascii="Lato" w:hAnsi="Lato" w:cs="ArialMT"/>
          <w:color w:val="000000"/>
          <w:sz w:val="20"/>
          <w:szCs w:val="20"/>
        </w:rPr>
        <w:t>w sprawie przyjęcia Programu osłonowego "Korpus Wsparcia Seniorów" na</w:t>
      </w:r>
      <w:r>
        <w:rPr>
          <w:rFonts w:ascii="Lato" w:hAnsi="Lato" w:cs="ArialMT"/>
          <w:color w:val="000000"/>
          <w:sz w:val="20"/>
          <w:szCs w:val="20"/>
        </w:rPr>
        <w:t xml:space="preserve"> </w:t>
      </w:r>
      <w:r w:rsidRPr="00C55821">
        <w:rPr>
          <w:rFonts w:ascii="Lato" w:hAnsi="Lato" w:cs="ArialMT"/>
          <w:color w:val="000000"/>
          <w:sz w:val="20"/>
          <w:szCs w:val="20"/>
        </w:rPr>
        <w:t>rok 2022 w Gminie Gogolin, realizowany jest program osłonowy „Korpus Wsparcia Seniorów”</w:t>
      </w:r>
      <w:r>
        <w:rPr>
          <w:rFonts w:ascii="Lato" w:hAnsi="Lato" w:cs="ArialMT"/>
          <w:color w:val="000000"/>
          <w:sz w:val="20"/>
          <w:szCs w:val="20"/>
        </w:rPr>
        <w:t xml:space="preserve"> </w:t>
      </w:r>
      <w:r w:rsidRPr="00C55821">
        <w:rPr>
          <w:rFonts w:ascii="Lato" w:hAnsi="Lato" w:cs="ArialMT"/>
          <w:color w:val="000000"/>
          <w:sz w:val="20"/>
          <w:szCs w:val="20"/>
        </w:rPr>
        <w:t xml:space="preserve">na rok 2022, Centrum Usług Społecznych w Gogolinie wdrożyło i nadzoruje usługę nazywaną </w:t>
      </w:r>
      <w:proofErr w:type="spellStart"/>
      <w:r w:rsidRPr="00C55821">
        <w:rPr>
          <w:rFonts w:ascii="Lato" w:hAnsi="Lato" w:cs="ArialMT"/>
          <w:sz w:val="20"/>
          <w:szCs w:val="20"/>
        </w:rPr>
        <w:t>teleopieką</w:t>
      </w:r>
      <w:proofErr w:type="spellEnd"/>
      <w:r w:rsidRPr="00C55821">
        <w:rPr>
          <w:rFonts w:ascii="Lato" w:hAnsi="Lato" w:cs="ArialMT"/>
          <w:sz w:val="20"/>
          <w:szCs w:val="20"/>
        </w:rPr>
        <w:t xml:space="preserve"> dla osób samotnie</w:t>
      </w:r>
      <w:r>
        <w:rPr>
          <w:rFonts w:ascii="Lato" w:hAnsi="Lato" w:cs="ArialMT"/>
          <w:sz w:val="20"/>
          <w:szCs w:val="20"/>
        </w:rPr>
        <w:t xml:space="preserve"> </w:t>
      </w:r>
      <w:r w:rsidRPr="00C55821">
        <w:rPr>
          <w:rFonts w:ascii="Lato" w:hAnsi="Lato" w:cs="ArialMT"/>
          <w:sz w:val="20"/>
          <w:szCs w:val="20"/>
        </w:rPr>
        <w:t>zamieszkujących w grupie wiekowej 65+. Pozyskano</w:t>
      </w:r>
      <w:r>
        <w:rPr>
          <w:rFonts w:ascii="Lato" w:hAnsi="Lato" w:cs="ArialMT"/>
          <w:color w:val="000000"/>
          <w:sz w:val="20"/>
          <w:szCs w:val="20"/>
        </w:rPr>
        <w:t xml:space="preserve"> </w:t>
      </w:r>
      <w:r w:rsidRPr="00C55821">
        <w:rPr>
          <w:rFonts w:ascii="Lato" w:hAnsi="Lato" w:cs="ArialMT"/>
          <w:sz w:val="20"/>
          <w:szCs w:val="20"/>
        </w:rPr>
        <w:t>i wydatkowano na to zadanie środki rządowe w kwocie 22.617,20 zł. i zakupiono 27 opasek</w:t>
      </w:r>
      <w:r>
        <w:rPr>
          <w:rFonts w:ascii="Lato" w:hAnsi="Lato" w:cs="ArialMT"/>
          <w:color w:val="000000"/>
          <w:sz w:val="20"/>
          <w:szCs w:val="20"/>
        </w:rPr>
        <w:t xml:space="preserve"> </w:t>
      </w:r>
      <w:r w:rsidRPr="00C55821">
        <w:rPr>
          <w:rFonts w:ascii="Lato" w:hAnsi="Lato" w:cs="ArialMT"/>
          <w:sz w:val="20"/>
          <w:szCs w:val="20"/>
        </w:rPr>
        <w:t>monitorujących kondycję zdrowotną podopiecznych, dając możliwość uzyskiwania porad</w:t>
      </w:r>
      <w:r>
        <w:rPr>
          <w:rFonts w:ascii="Lato" w:hAnsi="Lato" w:cs="ArialMT"/>
          <w:color w:val="000000"/>
          <w:sz w:val="20"/>
          <w:szCs w:val="20"/>
        </w:rPr>
        <w:t xml:space="preserve"> </w:t>
      </w:r>
      <w:r w:rsidRPr="00C55821">
        <w:rPr>
          <w:rFonts w:ascii="Lato" w:hAnsi="Lato" w:cs="ArialMT"/>
          <w:sz w:val="20"/>
          <w:szCs w:val="20"/>
        </w:rPr>
        <w:t>w centrum obsługi medycznej w razie potrzeby. Inicjatywa ta spotkała się z dużym</w:t>
      </w:r>
      <w:r>
        <w:rPr>
          <w:rFonts w:ascii="Lato" w:hAnsi="Lato" w:cs="ArialMT"/>
          <w:color w:val="000000"/>
          <w:sz w:val="20"/>
          <w:szCs w:val="20"/>
        </w:rPr>
        <w:t xml:space="preserve"> </w:t>
      </w:r>
      <w:r w:rsidRPr="00C55821">
        <w:rPr>
          <w:rFonts w:ascii="Lato" w:hAnsi="Lato" w:cs="ArialMT"/>
          <w:sz w:val="20"/>
          <w:szCs w:val="20"/>
        </w:rPr>
        <w:t>zainteresowaniem seniorów naszej Gminy, przewidziano kontynuację tych działań.</w:t>
      </w:r>
    </w:p>
    <w:p w14:paraId="1159D261" w14:textId="3DE897A6" w:rsidR="00C55821" w:rsidRDefault="00C55821" w:rsidP="00C55821">
      <w:pPr>
        <w:autoSpaceDE w:val="0"/>
        <w:autoSpaceDN w:val="0"/>
        <w:adjustRightInd w:val="0"/>
        <w:spacing w:after="0" w:line="240" w:lineRule="auto"/>
        <w:jc w:val="both"/>
        <w:rPr>
          <w:rFonts w:ascii="Lato" w:hAnsi="Lato" w:cs="ArialMT"/>
          <w:sz w:val="20"/>
          <w:szCs w:val="20"/>
        </w:rPr>
      </w:pPr>
    </w:p>
    <w:p w14:paraId="1F0E8EED" w14:textId="1E618307" w:rsidR="00C55821" w:rsidRPr="00C55821" w:rsidRDefault="00C55821" w:rsidP="00C55821">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06A2E216" w14:textId="77777777" w:rsid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b/>
          <w:bCs/>
          <w:sz w:val="20"/>
          <w:szCs w:val="20"/>
        </w:rPr>
        <w:t>Powiat Krapkowicki</w:t>
      </w:r>
      <w:r w:rsidRPr="00C55821">
        <w:rPr>
          <w:rFonts w:ascii="Lato" w:hAnsi="Lato" w:cs="ArialMT"/>
          <w:sz w:val="20"/>
          <w:szCs w:val="20"/>
        </w:rPr>
        <w:t xml:space="preserve"> </w:t>
      </w:r>
    </w:p>
    <w:p w14:paraId="5963929D" w14:textId="212CB67E" w:rsidR="00C55821" w:rsidRPr="00C55821" w:rsidRDefault="00C55821" w:rsidP="00C55821">
      <w:pPr>
        <w:autoSpaceDE w:val="0"/>
        <w:autoSpaceDN w:val="0"/>
        <w:adjustRightInd w:val="0"/>
        <w:spacing w:after="0" w:line="240" w:lineRule="auto"/>
        <w:jc w:val="both"/>
        <w:rPr>
          <w:rFonts w:ascii="Lato" w:hAnsi="Lato" w:cs="ArialMT"/>
          <w:sz w:val="20"/>
          <w:szCs w:val="20"/>
        </w:rPr>
      </w:pPr>
      <w:r>
        <w:rPr>
          <w:rFonts w:ascii="Lato" w:hAnsi="Lato" w:cs="ArialMT"/>
          <w:sz w:val="20"/>
          <w:szCs w:val="20"/>
        </w:rPr>
        <w:t xml:space="preserve">Powiat </w:t>
      </w:r>
      <w:r w:rsidRPr="00C55821">
        <w:rPr>
          <w:rFonts w:ascii="Lato" w:hAnsi="Lato" w:cs="ArialMT"/>
          <w:sz w:val="20"/>
          <w:szCs w:val="20"/>
        </w:rPr>
        <w:t>uruchomił aplikację WPA informującą mieszkańców o otwartych,</w:t>
      </w:r>
      <w:r>
        <w:rPr>
          <w:rFonts w:ascii="Lato" w:hAnsi="Lato" w:cs="ArialMT"/>
          <w:sz w:val="20"/>
          <w:szCs w:val="20"/>
        </w:rPr>
        <w:t xml:space="preserve"> </w:t>
      </w:r>
      <w:r w:rsidRPr="00C55821">
        <w:rPr>
          <w:rFonts w:ascii="Lato" w:hAnsi="Lato" w:cs="ArialMT"/>
          <w:sz w:val="20"/>
          <w:szCs w:val="20"/>
        </w:rPr>
        <w:t>zamkniętych i dyżurujących aptekach na terenie powiatu krapkowickiego. Aplikacja jest</w:t>
      </w:r>
      <w:r>
        <w:rPr>
          <w:rFonts w:ascii="Lato" w:hAnsi="Lato" w:cs="ArialMT"/>
          <w:sz w:val="20"/>
          <w:szCs w:val="20"/>
        </w:rPr>
        <w:t xml:space="preserve"> </w:t>
      </w:r>
      <w:r w:rsidRPr="00C55821">
        <w:rPr>
          <w:rFonts w:ascii="Lato" w:hAnsi="Lato" w:cs="ArialMT"/>
          <w:sz w:val="20"/>
          <w:szCs w:val="20"/>
        </w:rPr>
        <w:t>możliwa do pobrania na smartfony. Ponadto w 10 aptekach z terenu powiatu</w:t>
      </w:r>
      <w:r>
        <w:rPr>
          <w:rFonts w:ascii="Lato" w:hAnsi="Lato" w:cs="ArialMT"/>
          <w:sz w:val="20"/>
          <w:szCs w:val="20"/>
        </w:rPr>
        <w:t xml:space="preserve"> </w:t>
      </w:r>
      <w:r w:rsidRPr="00C55821">
        <w:rPr>
          <w:rFonts w:ascii="Lato" w:hAnsi="Lato" w:cs="ArialMT"/>
          <w:sz w:val="20"/>
          <w:szCs w:val="20"/>
        </w:rPr>
        <w:t>krapkowickiego oraz w Krapkowickim Centrum Zdrowia Sp. z o.o. zostały umieszczone</w:t>
      </w:r>
      <w:r>
        <w:rPr>
          <w:rFonts w:ascii="Lato" w:hAnsi="Lato" w:cs="ArialMT"/>
          <w:sz w:val="20"/>
          <w:szCs w:val="20"/>
        </w:rPr>
        <w:t xml:space="preserve"> </w:t>
      </w:r>
      <w:r w:rsidRPr="00C55821">
        <w:rPr>
          <w:rFonts w:ascii="Lato" w:hAnsi="Lato" w:cs="ArialMT"/>
          <w:sz w:val="20"/>
          <w:szCs w:val="20"/>
        </w:rPr>
        <w:t>w miejscach widocznych dla mieszkańców tablety, na których 24 godziny na dobę</w:t>
      </w:r>
    </w:p>
    <w:p w14:paraId="5BFC7CEC" w14:textId="77777777"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wyświetla się aktualna informacja o dyżurujących aptekach.</w:t>
      </w:r>
    </w:p>
    <w:p w14:paraId="4F63AF81" w14:textId="77777777" w:rsidR="00C55821" w:rsidRDefault="00C55821" w:rsidP="00C55821">
      <w:pPr>
        <w:autoSpaceDE w:val="0"/>
        <w:autoSpaceDN w:val="0"/>
        <w:adjustRightInd w:val="0"/>
        <w:spacing w:after="0" w:line="240" w:lineRule="auto"/>
        <w:jc w:val="both"/>
        <w:rPr>
          <w:rFonts w:ascii="Lato" w:hAnsi="Lato" w:cs="ArialMT"/>
          <w:sz w:val="20"/>
          <w:szCs w:val="20"/>
        </w:rPr>
      </w:pPr>
    </w:p>
    <w:p w14:paraId="47AB30E0" w14:textId="19101A64"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„E - porada dla seniorów i ich opiekunów”. Na stronie internetowej MOPS</w:t>
      </w:r>
      <w:r>
        <w:rPr>
          <w:rFonts w:ascii="Lato" w:hAnsi="Lato" w:cs="ArialMT"/>
          <w:sz w:val="20"/>
          <w:szCs w:val="20"/>
        </w:rPr>
        <w:t xml:space="preserve"> </w:t>
      </w:r>
      <w:r w:rsidRPr="00C55821">
        <w:rPr>
          <w:rFonts w:ascii="Lato" w:hAnsi="Lato" w:cs="ArialMT"/>
          <w:sz w:val="20"/>
          <w:szCs w:val="20"/>
        </w:rPr>
        <w:t>znajduje się zakładka „E-PORADA dla seniorów i ich opiekunów”. Za pomocą tejże</w:t>
      </w:r>
      <w:r>
        <w:rPr>
          <w:rFonts w:ascii="Lato" w:hAnsi="Lato" w:cs="ArialMT"/>
          <w:sz w:val="20"/>
          <w:szCs w:val="20"/>
        </w:rPr>
        <w:t xml:space="preserve"> </w:t>
      </w:r>
      <w:r w:rsidRPr="00C55821">
        <w:rPr>
          <w:rFonts w:ascii="Lato" w:hAnsi="Lato" w:cs="ArialMT"/>
          <w:sz w:val="20"/>
          <w:szCs w:val="20"/>
        </w:rPr>
        <w:t>zakładki i znajdującego się formularza kontaktowego seniorzy mogą uzyskać porady</w:t>
      </w:r>
      <w:r>
        <w:rPr>
          <w:rFonts w:ascii="Lato" w:hAnsi="Lato" w:cs="ArialMT"/>
          <w:sz w:val="20"/>
          <w:szCs w:val="20"/>
        </w:rPr>
        <w:t xml:space="preserve"> </w:t>
      </w:r>
      <w:r w:rsidRPr="00C55821">
        <w:rPr>
          <w:rFonts w:ascii="Lato" w:hAnsi="Lato" w:cs="ArialMT"/>
          <w:sz w:val="20"/>
          <w:szCs w:val="20"/>
        </w:rPr>
        <w:t>w zakresie pomocy społecznej. Odpowiedzi są udzielane przez specjalistów pracy</w:t>
      </w:r>
      <w:r>
        <w:rPr>
          <w:rFonts w:ascii="Lato" w:hAnsi="Lato" w:cs="ArialMT"/>
          <w:sz w:val="20"/>
          <w:szCs w:val="20"/>
        </w:rPr>
        <w:t xml:space="preserve"> </w:t>
      </w:r>
      <w:r w:rsidRPr="00C55821">
        <w:rPr>
          <w:rFonts w:ascii="Lato" w:hAnsi="Lato" w:cs="ArialMT"/>
          <w:sz w:val="20"/>
          <w:szCs w:val="20"/>
        </w:rPr>
        <w:t>socjalnej drogą elektroniczną.</w:t>
      </w:r>
    </w:p>
    <w:p w14:paraId="4BBF3121" w14:textId="6266D587" w:rsidR="00C55821" w:rsidRDefault="00C55821" w:rsidP="00C55821">
      <w:pPr>
        <w:autoSpaceDE w:val="0"/>
        <w:autoSpaceDN w:val="0"/>
        <w:adjustRightInd w:val="0"/>
        <w:spacing w:after="0" w:line="240" w:lineRule="auto"/>
        <w:jc w:val="both"/>
        <w:rPr>
          <w:rFonts w:ascii="Lato" w:hAnsi="Lato" w:cs="SymbolMT"/>
          <w:sz w:val="20"/>
          <w:szCs w:val="20"/>
        </w:rPr>
      </w:pPr>
    </w:p>
    <w:p w14:paraId="1E1A761C" w14:textId="52CE48F3" w:rsidR="00C55821" w:rsidRPr="00C55821" w:rsidRDefault="00C55821" w:rsidP="00C55821">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6595E060" w14:textId="0EF429E5"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Konkretne działania adresowane do osób starszych zawarto</w:t>
      </w:r>
      <w:r w:rsidR="003F0EC8">
        <w:rPr>
          <w:rFonts w:ascii="Lato" w:hAnsi="Lato" w:cs="ArialMT"/>
          <w:sz w:val="20"/>
          <w:szCs w:val="20"/>
        </w:rPr>
        <w:t xml:space="preserve"> </w:t>
      </w:r>
      <w:r w:rsidRPr="00C55821">
        <w:rPr>
          <w:rFonts w:ascii="Lato" w:hAnsi="Lato" w:cs="ArialMT"/>
          <w:sz w:val="20"/>
          <w:szCs w:val="20"/>
        </w:rPr>
        <w:t>przede wszystkim w celu strategicznym Człowiek i relacje – Mieszkańcy gotowi na wyzwania</w:t>
      </w:r>
      <w:r w:rsidR="003F0EC8">
        <w:rPr>
          <w:rFonts w:ascii="Lato" w:hAnsi="Lato" w:cs="ArialMT"/>
          <w:sz w:val="20"/>
          <w:szCs w:val="20"/>
        </w:rPr>
        <w:t xml:space="preserve"> </w:t>
      </w:r>
      <w:r w:rsidRPr="00C55821">
        <w:rPr>
          <w:rFonts w:ascii="Lato" w:hAnsi="Lato" w:cs="ArialMT"/>
          <w:sz w:val="20"/>
          <w:szCs w:val="20"/>
        </w:rPr>
        <w:t>i tworzący otwartą wspólnotę m.in. w ramach kierunków działań:</w:t>
      </w:r>
    </w:p>
    <w:p w14:paraId="4D357FAB" w14:textId="77777777" w:rsid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integracja i aktywizacja społeczna,</w:t>
      </w:r>
    </w:p>
    <w:p w14:paraId="33D9F780" w14:textId="77777777" w:rsidR="003F0EC8" w:rsidRDefault="003F0EC8"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Pr>
          <w:rFonts w:ascii="Lato" w:hAnsi="Lato" w:cs="ArialMT"/>
          <w:sz w:val="20"/>
          <w:szCs w:val="20"/>
        </w:rPr>
        <w:t>w</w:t>
      </w:r>
      <w:r w:rsidR="00C55821" w:rsidRPr="003F0EC8">
        <w:rPr>
          <w:rFonts w:ascii="Lato" w:hAnsi="Lato" w:cs="ArialMT"/>
          <w:sz w:val="20"/>
          <w:szCs w:val="20"/>
        </w:rPr>
        <w:t>sparcie rozwiązań prorodzinnych,</w:t>
      </w:r>
    </w:p>
    <w:p w14:paraId="276A0481" w14:textId="77777777" w:rsid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rozwój społeczeństwa wielokulturowego,</w:t>
      </w:r>
    </w:p>
    <w:p w14:paraId="4EE24B42" w14:textId="77777777" w:rsid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wzrost jakości kształcenia,</w:t>
      </w:r>
    </w:p>
    <w:p w14:paraId="6EBF3CC8" w14:textId="77777777" w:rsid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aktywizacja zawodowa,</w:t>
      </w:r>
    </w:p>
    <w:p w14:paraId="09E66448" w14:textId="77777777" w:rsid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rozwój opieki i profilaktyki zdrowotnej,</w:t>
      </w:r>
    </w:p>
    <w:p w14:paraId="7560C370" w14:textId="77777777" w:rsidR="003F0EC8" w:rsidRDefault="003F0EC8"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Pr>
          <w:rFonts w:ascii="Lato" w:hAnsi="Lato" w:cs="ArialMT"/>
          <w:sz w:val="20"/>
          <w:szCs w:val="20"/>
        </w:rPr>
        <w:t>r</w:t>
      </w:r>
      <w:r w:rsidR="00C55821" w:rsidRPr="003F0EC8">
        <w:rPr>
          <w:rFonts w:ascii="Lato" w:hAnsi="Lato" w:cs="ArialMT"/>
          <w:sz w:val="20"/>
          <w:szCs w:val="20"/>
        </w:rPr>
        <w:t>ozwój usług społecznych,</w:t>
      </w:r>
    </w:p>
    <w:p w14:paraId="20DDB5C1" w14:textId="5C885639" w:rsidR="00C55821" w:rsidRPr="003F0EC8" w:rsidRDefault="00C55821" w:rsidP="0059185B">
      <w:pPr>
        <w:pStyle w:val="Akapitzlist"/>
        <w:numPr>
          <w:ilvl w:val="0"/>
          <w:numId w:val="77"/>
        </w:numPr>
        <w:autoSpaceDE w:val="0"/>
        <w:autoSpaceDN w:val="0"/>
        <w:adjustRightInd w:val="0"/>
        <w:spacing w:after="0" w:line="240" w:lineRule="auto"/>
        <w:jc w:val="both"/>
        <w:rPr>
          <w:rFonts w:ascii="Lato" w:hAnsi="Lato" w:cs="ArialMT"/>
          <w:sz w:val="20"/>
          <w:szCs w:val="20"/>
        </w:rPr>
      </w:pPr>
      <w:r w:rsidRPr="003F0EC8">
        <w:rPr>
          <w:rFonts w:ascii="Lato" w:hAnsi="Lato" w:cs="ArialMT"/>
          <w:sz w:val="20"/>
          <w:szCs w:val="20"/>
        </w:rPr>
        <w:t>rozszerzanie oferty spędzania wolnego czasu.</w:t>
      </w:r>
    </w:p>
    <w:p w14:paraId="73E91EDE" w14:textId="77777777" w:rsidR="003F0EC8" w:rsidRDefault="003F0EC8" w:rsidP="00C55821">
      <w:pPr>
        <w:autoSpaceDE w:val="0"/>
        <w:autoSpaceDN w:val="0"/>
        <w:adjustRightInd w:val="0"/>
        <w:spacing w:after="0" w:line="240" w:lineRule="auto"/>
        <w:jc w:val="both"/>
        <w:rPr>
          <w:rFonts w:ascii="Lato" w:hAnsi="Lato" w:cs="ArialMT"/>
          <w:sz w:val="20"/>
          <w:szCs w:val="20"/>
        </w:rPr>
      </w:pPr>
    </w:p>
    <w:p w14:paraId="163465A3" w14:textId="4B79E661" w:rsid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W większości gmin w województwie opolskim realizowane są różnego rodzaju</w:t>
      </w:r>
      <w:r w:rsidR="003F0EC8">
        <w:rPr>
          <w:rFonts w:ascii="Lato" w:hAnsi="Lato" w:cs="ArialMT"/>
          <w:sz w:val="20"/>
          <w:szCs w:val="20"/>
        </w:rPr>
        <w:t xml:space="preserve"> </w:t>
      </w:r>
      <w:r w:rsidRPr="00C55821">
        <w:rPr>
          <w:rFonts w:ascii="Lato" w:hAnsi="Lato" w:cs="ArialMT"/>
          <w:sz w:val="20"/>
          <w:szCs w:val="20"/>
        </w:rPr>
        <w:t>przedsięwzięcia dla osób w zaawansowanym wieku w większym lub mniejszym zakresie.</w:t>
      </w:r>
      <w:r w:rsidR="003F0EC8">
        <w:rPr>
          <w:rFonts w:ascii="Lato" w:hAnsi="Lato" w:cs="ArialMT"/>
          <w:sz w:val="20"/>
          <w:szCs w:val="20"/>
        </w:rPr>
        <w:t xml:space="preserve"> </w:t>
      </w:r>
      <w:r w:rsidRPr="00C55821">
        <w:rPr>
          <w:rFonts w:ascii="Lato" w:hAnsi="Lato" w:cs="ArialMT"/>
          <w:sz w:val="20"/>
          <w:szCs w:val="20"/>
        </w:rPr>
        <w:t>Prowadzona polityka senioralna oraz podejmowanie inicjatyw w obszarze kultury, edukacji oraz opieki nad seniorami w ramach dobrych praktyk, odbywa się – przy ścisłej współpracy</w:t>
      </w:r>
      <w:r w:rsidR="003F0EC8">
        <w:rPr>
          <w:rFonts w:ascii="Lato" w:hAnsi="Lato" w:cs="ArialMT"/>
          <w:sz w:val="20"/>
          <w:szCs w:val="20"/>
        </w:rPr>
        <w:t xml:space="preserve"> </w:t>
      </w:r>
      <w:r w:rsidRPr="00C55821">
        <w:rPr>
          <w:rFonts w:ascii="Lato" w:hAnsi="Lato" w:cs="ArialMT"/>
          <w:sz w:val="20"/>
          <w:szCs w:val="20"/>
        </w:rPr>
        <w:t>samorządów terytorialnych oraz lokalnych organizacji pozarządowych, nieformalnych grup</w:t>
      </w:r>
      <w:r w:rsidR="003F0EC8">
        <w:rPr>
          <w:rFonts w:ascii="Lato" w:hAnsi="Lato" w:cs="ArialMT"/>
          <w:sz w:val="20"/>
          <w:szCs w:val="20"/>
        </w:rPr>
        <w:t xml:space="preserve"> </w:t>
      </w:r>
      <w:r w:rsidRPr="00C55821">
        <w:rPr>
          <w:rFonts w:ascii="Lato" w:hAnsi="Lato" w:cs="ArialMT"/>
          <w:sz w:val="20"/>
          <w:szCs w:val="20"/>
        </w:rPr>
        <w:t>zrzeszających osoby o wspólnych zainteresowaniach, czy też osób zrzeszających się w celu</w:t>
      </w:r>
      <w:r w:rsidR="003F0EC8">
        <w:rPr>
          <w:rFonts w:ascii="Lato" w:hAnsi="Lato" w:cs="ArialMT"/>
          <w:sz w:val="20"/>
          <w:szCs w:val="20"/>
        </w:rPr>
        <w:t xml:space="preserve"> </w:t>
      </w:r>
      <w:r w:rsidRPr="00C55821">
        <w:rPr>
          <w:rFonts w:ascii="Lato" w:hAnsi="Lato" w:cs="ArialMT"/>
          <w:sz w:val="20"/>
          <w:szCs w:val="20"/>
        </w:rPr>
        <w:t>realizowania określonych inicjatyw – poprzez wymianę doświadczeń, wspieranie i tworzenie</w:t>
      </w:r>
      <w:r w:rsidR="003F0EC8">
        <w:rPr>
          <w:rFonts w:ascii="Lato" w:hAnsi="Lato" w:cs="ArialMT"/>
          <w:sz w:val="20"/>
          <w:szCs w:val="20"/>
        </w:rPr>
        <w:t xml:space="preserve"> </w:t>
      </w:r>
      <w:r w:rsidRPr="00C55821">
        <w:rPr>
          <w:rFonts w:ascii="Lato" w:hAnsi="Lato" w:cs="ArialMT"/>
          <w:sz w:val="20"/>
          <w:szCs w:val="20"/>
        </w:rPr>
        <w:t>projektów międzypokoleniowych oraz kampanii edukacyjnych. W uchwalanych przez jednostki</w:t>
      </w:r>
      <w:r w:rsidR="003F0EC8">
        <w:rPr>
          <w:rFonts w:ascii="Lato" w:hAnsi="Lato" w:cs="ArialMT"/>
          <w:sz w:val="20"/>
          <w:szCs w:val="20"/>
        </w:rPr>
        <w:t xml:space="preserve"> </w:t>
      </w:r>
      <w:r w:rsidRPr="00C55821">
        <w:rPr>
          <w:rFonts w:ascii="Lato" w:hAnsi="Lato" w:cs="ArialMT"/>
          <w:sz w:val="20"/>
          <w:szCs w:val="20"/>
        </w:rPr>
        <w:t>samorządu terytorialnego strategiach dotyczących problemów społecznych uwzględnia się</w:t>
      </w:r>
      <w:r w:rsidR="003F0EC8">
        <w:rPr>
          <w:rFonts w:ascii="Lato" w:hAnsi="Lato" w:cs="ArialMT"/>
          <w:sz w:val="20"/>
          <w:szCs w:val="20"/>
        </w:rPr>
        <w:t xml:space="preserve"> </w:t>
      </w:r>
      <w:r w:rsidRPr="00C55821">
        <w:rPr>
          <w:rFonts w:ascii="Lato" w:hAnsi="Lato" w:cs="ArialMT"/>
          <w:sz w:val="20"/>
          <w:szCs w:val="20"/>
        </w:rPr>
        <w:t>potrzeby seniorów, w tym przede wszystkim ich bezpieczeństwo i aktywność, w wielu sferach</w:t>
      </w:r>
      <w:r w:rsidR="003F0EC8">
        <w:rPr>
          <w:rFonts w:ascii="Lato" w:hAnsi="Lato" w:cs="ArialMT"/>
          <w:sz w:val="20"/>
          <w:szCs w:val="20"/>
        </w:rPr>
        <w:t xml:space="preserve"> </w:t>
      </w:r>
      <w:r w:rsidRPr="00C55821">
        <w:rPr>
          <w:rFonts w:ascii="Lato" w:hAnsi="Lato" w:cs="ArialMT"/>
          <w:sz w:val="20"/>
          <w:szCs w:val="20"/>
        </w:rPr>
        <w:t>życia m.in.: zawodowej, społecznej, obywatelskiej, edukacyjnej, kulturalnej, zdrowotnej oraz</w:t>
      </w:r>
      <w:r w:rsidR="003F0EC8">
        <w:rPr>
          <w:rFonts w:ascii="Lato" w:hAnsi="Lato" w:cs="ArialMT"/>
          <w:sz w:val="20"/>
          <w:szCs w:val="20"/>
        </w:rPr>
        <w:t xml:space="preserve"> </w:t>
      </w:r>
      <w:proofErr w:type="spellStart"/>
      <w:r w:rsidRPr="00C55821">
        <w:rPr>
          <w:rFonts w:ascii="Lato" w:hAnsi="Lato" w:cs="ArialMT"/>
          <w:sz w:val="20"/>
          <w:szCs w:val="20"/>
        </w:rPr>
        <w:t>rekreacyjno</w:t>
      </w:r>
      <w:proofErr w:type="spellEnd"/>
      <w:r w:rsidRPr="00C55821">
        <w:rPr>
          <w:rFonts w:ascii="Lato" w:hAnsi="Lato" w:cs="ArialMT"/>
          <w:sz w:val="20"/>
          <w:szCs w:val="20"/>
        </w:rPr>
        <w:t xml:space="preserve"> – sportowej.</w:t>
      </w:r>
    </w:p>
    <w:p w14:paraId="1E87E59E" w14:textId="77777777" w:rsidR="003F0EC8" w:rsidRPr="00C55821" w:rsidRDefault="003F0EC8" w:rsidP="00C55821">
      <w:pPr>
        <w:autoSpaceDE w:val="0"/>
        <w:autoSpaceDN w:val="0"/>
        <w:adjustRightInd w:val="0"/>
        <w:spacing w:after="0" w:line="240" w:lineRule="auto"/>
        <w:jc w:val="both"/>
        <w:rPr>
          <w:rFonts w:ascii="Lato" w:hAnsi="Lato" w:cs="ArialMT"/>
          <w:sz w:val="20"/>
          <w:szCs w:val="20"/>
        </w:rPr>
      </w:pPr>
    </w:p>
    <w:p w14:paraId="7F9A1CE7" w14:textId="2C63A039" w:rsid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Poszczególne samorządy na bieżącą monitorują sytuację społeczności lokalnej,</w:t>
      </w:r>
      <w:r w:rsidR="003F0EC8">
        <w:rPr>
          <w:rFonts w:ascii="Lato" w:hAnsi="Lato" w:cs="ArialMT"/>
          <w:sz w:val="20"/>
          <w:szCs w:val="20"/>
        </w:rPr>
        <w:t xml:space="preserve"> </w:t>
      </w:r>
      <w:r w:rsidRPr="00C55821">
        <w:rPr>
          <w:rFonts w:ascii="Lato" w:hAnsi="Lato" w:cs="ArialMT"/>
          <w:sz w:val="20"/>
          <w:szCs w:val="20"/>
        </w:rPr>
        <w:t>prowadzone są obserwacje pod kątem zachodzących zmian w strukturze wiekowej ludności,</w:t>
      </w:r>
      <w:r w:rsidR="003F0EC8">
        <w:rPr>
          <w:rFonts w:ascii="Lato" w:hAnsi="Lato" w:cs="ArialMT"/>
          <w:sz w:val="20"/>
          <w:szCs w:val="20"/>
        </w:rPr>
        <w:t xml:space="preserve"> </w:t>
      </w:r>
      <w:r w:rsidRPr="00C55821">
        <w:rPr>
          <w:rFonts w:ascii="Lato" w:hAnsi="Lato" w:cs="ArialMT"/>
          <w:sz w:val="20"/>
          <w:szCs w:val="20"/>
        </w:rPr>
        <w:t>w tym także prowadzone są analizy pod kątem konieczności zapewnienia osobom w wieku</w:t>
      </w:r>
      <w:r w:rsidR="003F0EC8">
        <w:rPr>
          <w:rFonts w:ascii="Lato" w:hAnsi="Lato" w:cs="ArialMT"/>
          <w:sz w:val="20"/>
          <w:szCs w:val="20"/>
        </w:rPr>
        <w:t xml:space="preserve"> </w:t>
      </w:r>
      <w:r w:rsidRPr="00C55821">
        <w:rPr>
          <w:rFonts w:ascii="Lato" w:hAnsi="Lato" w:cs="ArialMT"/>
          <w:sz w:val="20"/>
          <w:szCs w:val="20"/>
        </w:rPr>
        <w:t>senioralnym odpowiednich warunków umożliwiających im godne spędzenie starości. Oprócz</w:t>
      </w:r>
      <w:r w:rsidR="003F0EC8">
        <w:rPr>
          <w:rFonts w:ascii="Lato" w:hAnsi="Lato" w:cs="ArialMT"/>
          <w:sz w:val="20"/>
          <w:szCs w:val="20"/>
        </w:rPr>
        <w:t xml:space="preserve"> </w:t>
      </w:r>
      <w:r w:rsidRPr="00C55821">
        <w:rPr>
          <w:rFonts w:ascii="Lato" w:hAnsi="Lato" w:cs="ArialMT"/>
          <w:sz w:val="20"/>
          <w:szCs w:val="20"/>
        </w:rPr>
        <w:t>realizowanych różnego rodzaju wydarzeń kulturalno-rozrywkowych, sportowych, czy też</w:t>
      </w:r>
      <w:r w:rsidR="003F0EC8">
        <w:rPr>
          <w:rFonts w:ascii="Lato" w:hAnsi="Lato" w:cs="ArialMT"/>
          <w:sz w:val="20"/>
          <w:szCs w:val="20"/>
        </w:rPr>
        <w:t xml:space="preserve"> </w:t>
      </w:r>
      <w:r w:rsidRPr="00C55821">
        <w:rPr>
          <w:rFonts w:ascii="Lato" w:hAnsi="Lato" w:cs="ArialMT"/>
          <w:sz w:val="20"/>
          <w:szCs w:val="20"/>
        </w:rPr>
        <w:t>edukacyjnych, które mają jak najdłużej utrzymać osoby w sprawności umysłowej i fizycznej</w:t>
      </w:r>
      <w:r w:rsidR="003F0EC8">
        <w:rPr>
          <w:rFonts w:ascii="Lato" w:hAnsi="Lato" w:cs="ArialMT"/>
          <w:sz w:val="20"/>
          <w:szCs w:val="20"/>
        </w:rPr>
        <w:t xml:space="preserve"> </w:t>
      </w:r>
      <w:r w:rsidRPr="00C55821">
        <w:rPr>
          <w:rFonts w:ascii="Lato" w:hAnsi="Lato" w:cs="ArialMT"/>
          <w:sz w:val="20"/>
          <w:szCs w:val="20"/>
        </w:rPr>
        <w:t>prowadzone są również działania w kierunku zapewnienia osobom w podeszłym wieku, które</w:t>
      </w:r>
      <w:r w:rsidR="003F0EC8">
        <w:rPr>
          <w:rFonts w:ascii="Lato" w:hAnsi="Lato" w:cs="ArialMT"/>
          <w:sz w:val="20"/>
          <w:szCs w:val="20"/>
        </w:rPr>
        <w:t xml:space="preserve"> </w:t>
      </w:r>
      <w:r w:rsidRPr="00C55821">
        <w:rPr>
          <w:rFonts w:ascii="Lato" w:hAnsi="Lato" w:cs="ArialMT"/>
          <w:sz w:val="20"/>
          <w:szCs w:val="20"/>
        </w:rPr>
        <w:t>ze względu na pogarszającą się sprawność i stan zdrowia nie mogą już same funkcjonować</w:t>
      </w:r>
      <w:r w:rsidR="003F0EC8">
        <w:rPr>
          <w:rFonts w:ascii="Lato" w:hAnsi="Lato" w:cs="ArialMT"/>
          <w:sz w:val="20"/>
          <w:szCs w:val="20"/>
        </w:rPr>
        <w:t xml:space="preserve"> </w:t>
      </w:r>
      <w:r w:rsidRPr="00C55821">
        <w:rPr>
          <w:rFonts w:ascii="Lato" w:hAnsi="Lato" w:cs="ArialMT"/>
          <w:sz w:val="20"/>
          <w:szCs w:val="20"/>
        </w:rPr>
        <w:t>w środowisku, opieki w formie usług opiekuńczych w miejscu zamieszkania, usług w dziennych</w:t>
      </w:r>
      <w:r w:rsidR="003F0EC8">
        <w:rPr>
          <w:rFonts w:ascii="Lato" w:hAnsi="Lato" w:cs="ArialMT"/>
          <w:sz w:val="20"/>
          <w:szCs w:val="20"/>
        </w:rPr>
        <w:t xml:space="preserve"> </w:t>
      </w:r>
      <w:r w:rsidRPr="00C55821">
        <w:rPr>
          <w:rFonts w:ascii="Lato" w:hAnsi="Lato" w:cs="ArialMT"/>
          <w:sz w:val="20"/>
          <w:szCs w:val="20"/>
        </w:rPr>
        <w:t>domach pomocy, czy też całodobowej opieki w domach pomocy społecznej lub poprzez</w:t>
      </w:r>
      <w:r w:rsidR="003F0EC8">
        <w:rPr>
          <w:rFonts w:ascii="Lato" w:hAnsi="Lato" w:cs="ArialMT"/>
          <w:sz w:val="20"/>
          <w:szCs w:val="20"/>
        </w:rPr>
        <w:t xml:space="preserve"> </w:t>
      </w:r>
      <w:r w:rsidRPr="00C55821">
        <w:rPr>
          <w:rFonts w:ascii="Lato" w:hAnsi="Lato" w:cs="ArialMT"/>
          <w:sz w:val="20"/>
          <w:szCs w:val="20"/>
        </w:rPr>
        <w:t>informowanie o placówkach zapewniających całodobową opiekę, jeżeli osoby wyrażają wolę</w:t>
      </w:r>
      <w:r w:rsidR="003F0EC8">
        <w:rPr>
          <w:rFonts w:ascii="Lato" w:hAnsi="Lato" w:cs="ArialMT"/>
          <w:sz w:val="20"/>
          <w:szCs w:val="20"/>
        </w:rPr>
        <w:t xml:space="preserve"> </w:t>
      </w:r>
      <w:r w:rsidRPr="00C55821">
        <w:rPr>
          <w:rFonts w:ascii="Lato" w:hAnsi="Lato" w:cs="ArialMT"/>
          <w:sz w:val="20"/>
          <w:szCs w:val="20"/>
        </w:rPr>
        <w:t>skorzystania z tego rodzaju usług.</w:t>
      </w:r>
    </w:p>
    <w:p w14:paraId="05067484" w14:textId="77777777" w:rsidR="003F0EC8" w:rsidRPr="00C55821" w:rsidRDefault="003F0EC8" w:rsidP="00C55821">
      <w:pPr>
        <w:autoSpaceDE w:val="0"/>
        <w:autoSpaceDN w:val="0"/>
        <w:adjustRightInd w:val="0"/>
        <w:spacing w:after="0" w:line="240" w:lineRule="auto"/>
        <w:jc w:val="both"/>
        <w:rPr>
          <w:rFonts w:ascii="Lato" w:hAnsi="Lato" w:cs="ArialMT"/>
          <w:sz w:val="20"/>
          <w:szCs w:val="20"/>
        </w:rPr>
      </w:pPr>
    </w:p>
    <w:p w14:paraId="0F0349BA" w14:textId="1FC7F8CE" w:rsidR="00C55821" w:rsidRP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Przejawem realizowania rekomendacji sformułowanych w ww. dokumentach jest</w:t>
      </w:r>
      <w:r w:rsidR="003F0EC8">
        <w:rPr>
          <w:rFonts w:ascii="Lato" w:hAnsi="Lato" w:cs="ArialMT"/>
          <w:sz w:val="20"/>
          <w:szCs w:val="20"/>
        </w:rPr>
        <w:t xml:space="preserve"> </w:t>
      </w:r>
      <w:r w:rsidRPr="00C55821">
        <w:rPr>
          <w:rFonts w:ascii="Lato" w:hAnsi="Lato" w:cs="ArialMT"/>
          <w:sz w:val="20"/>
          <w:szCs w:val="20"/>
        </w:rPr>
        <w:t>niewątpliwie rozwijająca się sieć Dziennych Domów i Klubów „Senior +”, które cieszą się</w:t>
      </w:r>
      <w:r w:rsidR="003F0EC8">
        <w:rPr>
          <w:rFonts w:ascii="Lato" w:hAnsi="Lato" w:cs="ArialMT"/>
          <w:sz w:val="20"/>
          <w:szCs w:val="20"/>
        </w:rPr>
        <w:t xml:space="preserve"> </w:t>
      </w:r>
      <w:r w:rsidRPr="00C55821">
        <w:rPr>
          <w:rFonts w:ascii="Lato" w:hAnsi="Lato" w:cs="ArialMT"/>
          <w:sz w:val="20"/>
          <w:szCs w:val="20"/>
        </w:rPr>
        <w:t>dużym zainteresowaniem lokalnej społeczności. Osoby starsze mogą w tych placówkach</w:t>
      </w:r>
      <w:r w:rsidR="003F0EC8">
        <w:rPr>
          <w:rFonts w:ascii="Lato" w:hAnsi="Lato" w:cs="ArialMT"/>
          <w:sz w:val="20"/>
          <w:szCs w:val="20"/>
        </w:rPr>
        <w:t xml:space="preserve"> </w:t>
      </w:r>
      <w:r w:rsidRPr="00C55821">
        <w:rPr>
          <w:rFonts w:ascii="Lato" w:hAnsi="Lato" w:cs="ArialMT"/>
          <w:sz w:val="20"/>
          <w:szCs w:val="20"/>
        </w:rPr>
        <w:t>rozwijać swoje pasje, aktywnie w gronie rówieśników spędzać wolny czas poprzez udział</w:t>
      </w:r>
      <w:r w:rsidR="003F0EC8">
        <w:rPr>
          <w:rFonts w:ascii="Lato" w:hAnsi="Lato" w:cs="ArialMT"/>
          <w:sz w:val="20"/>
          <w:szCs w:val="20"/>
        </w:rPr>
        <w:t xml:space="preserve"> </w:t>
      </w:r>
      <w:r w:rsidRPr="00C55821">
        <w:rPr>
          <w:rFonts w:ascii="Lato" w:hAnsi="Lato" w:cs="ArialMT"/>
          <w:sz w:val="20"/>
          <w:szCs w:val="20"/>
        </w:rPr>
        <w:t>w różnego rodzaju organizowanych wycieczkach, zajęciach sportowo-rekreacyjnych,</w:t>
      </w:r>
      <w:r w:rsidR="003F0EC8">
        <w:rPr>
          <w:rFonts w:ascii="Lato" w:hAnsi="Lato" w:cs="ArialMT"/>
          <w:sz w:val="20"/>
          <w:szCs w:val="20"/>
        </w:rPr>
        <w:t xml:space="preserve"> </w:t>
      </w:r>
      <w:r w:rsidRPr="00C55821">
        <w:rPr>
          <w:rFonts w:ascii="Lato" w:hAnsi="Lato" w:cs="ArialMT"/>
          <w:sz w:val="20"/>
          <w:szCs w:val="20"/>
        </w:rPr>
        <w:t>kulturalnych, stają się aktywnymi członkami w życiu gminy. Wspomniane placówki, są także</w:t>
      </w:r>
      <w:r w:rsidR="003F0EC8">
        <w:rPr>
          <w:rFonts w:ascii="Lato" w:hAnsi="Lato" w:cs="ArialMT"/>
          <w:sz w:val="20"/>
          <w:szCs w:val="20"/>
        </w:rPr>
        <w:t xml:space="preserve"> </w:t>
      </w:r>
      <w:r w:rsidRPr="00C55821">
        <w:rPr>
          <w:rFonts w:ascii="Lato" w:hAnsi="Lato" w:cs="ArialMT"/>
          <w:sz w:val="20"/>
          <w:szCs w:val="20"/>
        </w:rPr>
        <w:t>doskonałym miejscem dla osób, które wymagają także większego wsparcia z uwagi na</w:t>
      </w:r>
      <w:r w:rsidR="003F0EC8">
        <w:rPr>
          <w:rFonts w:ascii="Lato" w:hAnsi="Lato" w:cs="ArialMT"/>
          <w:sz w:val="20"/>
          <w:szCs w:val="20"/>
        </w:rPr>
        <w:t xml:space="preserve"> </w:t>
      </w:r>
      <w:r w:rsidRPr="00C55821">
        <w:rPr>
          <w:rFonts w:ascii="Lato" w:hAnsi="Lato" w:cs="ArialMT"/>
          <w:sz w:val="20"/>
          <w:szCs w:val="20"/>
        </w:rPr>
        <w:t>pogarszający się stan zdrowia, ale mimo chorób nadal chcą przebywać wśród osób</w:t>
      </w:r>
    </w:p>
    <w:p w14:paraId="03E6B047" w14:textId="6EAE1594" w:rsidR="00C55821" w:rsidRDefault="00C55821" w:rsidP="00C55821">
      <w:pPr>
        <w:autoSpaceDE w:val="0"/>
        <w:autoSpaceDN w:val="0"/>
        <w:adjustRightInd w:val="0"/>
        <w:spacing w:after="0" w:line="240" w:lineRule="auto"/>
        <w:jc w:val="both"/>
        <w:rPr>
          <w:rFonts w:ascii="Lato" w:hAnsi="Lato" w:cs="ArialMT"/>
          <w:sz w:val="20"/>
          <w:szCs w:val="20"/>
        </w:rPr>
      </w:pPr>
      <w:r w:rsidRPr="00C55821">
        <w:rPr>
          <w:rFonts w:ascii="Lato" w:hAnsi="Lato" w:cs="ArialMT"/>
          <w:sz w:val="20"/>
          <w:szCs w:val="20"/>
        </w:rPr>
        <w:t>aktywnych, a przez to same w pewien sposób opóźniają proces starzenia się, poprzez</w:t>
      </w:r>
      <w:r w:rsidR="003F0EC8">
        <w:rPr>
          <w:rFonts w:ascii="Lato" w:hAnsi="Lato" w:cs="ArialMT"/>
          <w:sz w:val="20"/>
          <w:szCs w:val="20"/>
        </w:rPr>
        <w:t xml:space="preserve"> </w:t>
      </w:r>
      <w:r w:rsidRPr="00C55821">
        <w:rPr>
          <w:rFonts w:ascii="Lato" w:hAnsi="Lato" w:cs="ArialMT"/>
          <w:sz w:val="20"/>
          <w:szCs w:val="20"/>
        </w:rPr>
        <w:t>uczestnictwo w zajęciach aktywizujących i rehabilitacyjnych.</w:t>
      </w:r>
      <w:r w:rsidR="003F0EC8">
        <w:rPr>
          <w:rFonts w:ascii="Lato" w:hAnsi="Lato" w:cs="ArialMT"/>
          <w:sz w:val="20"/>
          <w:szCs w:val="20"/>
        </w:rPr>
        <w:t xml:space="preserve"> </w:t>
      </w:r>
      <w:r w:rsidRPr="00C55821">
        <w:rPr>
          <w:rFonts w:ascii="Lato" w:hAnsi="Lato" w:cs="ArialMT"/>
          <w:sz w:val="20"/>
          <w:szCs w:val="20"/>
        </w:rPr>
        <w:t>Pozytywnym zjawiskiem jest także zwiększająca się z roku na rok liczba gmin</w:t>
      </w:r>
      <w:r w:rsidR="003F0EC8">
        <w:rPr>
          <w:rFonts w:ascii="Lato" w:hAnsi="Lato" w:cs="ArialMT"/>
          <w:sz w:val="20"/>
          <w:szCs w:val="20"/>
        </w:rPr>
        <w:t xml:space="preserve"> </w:t>
      </w:r>
      <w:r w:rsidRPr="00C55821">
        <w:rPr>
          <w:rFonts w:ascii="Lato" w:hAnsi="Lato" w:cs="ArialMT"/>
          <w:sz w:val="20"/>
          <w:szCs w:val="20"/>
        </w:rPr>
        <w:t xml:space="preserve">uczestniczących w Programach „Opieka 75+” oraz „Opieka </w:t>
      </w:r>
      <w:proofErr w:type="spellStart"/>
      <w:r w:rsidRPr="00C55821">
        <w:rPr>
          <w:rFonts w:ascii="Lato" w:hAnsi="Lato" w:cs="ArialMT"/>
          <w:sz w:val="20"/>
          <w:szCs w:val="20"/>
        </w:rPr>
        <w:t>wytchnieniowa</w:t>
      </w:r>
      <w:proofErr w:type="spellEnd"/>
      <w:r w:rsidRPr="00C55821">
        <w:rPr>
          <w:rFonts w:ascii="Lato" w:hAnsi="Lato" w:cs="ArialMT"/>
          <w:sz w:val="20"/>
          <w:szCs w:val="20"/>
        </w:rPr>
        <w:t>”, dzięki czemu</w:t>
      </w:r>
      <w:r w:rsidR="003F0EC8">
        <w:rPr>
          <w:rFonts w:ascii="Lato" w:hAnsi="Lato" w:cs="ArialMT"/>
          <w:sz w:val="20"/>
          <w:szCs w:val="20"/>
        </w:rPr>
        <w:t xml:space="preserve"> </w:t>
      </w:r>
      <w:r w:rsidRPr="00C55821">
        <w:rPr>
          <w:rFonts w:ascii="Lato" w:hAnsi="Lato" w:cs="ArialMT"/>
          <w:sz w:val="20"/>
          <w:szCs w:val="20"/>
        </w:rPr>
        <w:t>osobom wymagającym opieki poprawia się jakość i poziom życia, a przez to także możliwość</w:t>
      </w:r>
      <w:r w:rsidR="003F0EC8">
        <w:rPr>
          <w:rFonts w:ascii="Lato" w:hAnsi="Lato" w:cs="ArialMT"/>
          <w:sz w:val="20"/>
          <w:szCs w:val="20"/>
        </w:rPr>
        <w:t xml:space="preserve"> </w:t>
      </w:r>
      <w:r w:rsidRPr="00C55821">
        <w:rPr>
          <w:rFonts w:ascii="Lato" w:hAnsi="Lato" w:cs="ArialMT"/>
          <w:sz w:val="20"/>
          <w:szCs w:val="20"/>
        </w:rPr>
        <w:t>jak najdłuższego pozostania w swoim środowisku, gdzie osoby starsze czują się najlepiej.</w:t>
      </w:r>
      <w:r w:rsidR="003F0EC8">
        <w:rPr>
          <w:rFonts w:ascii="Lato" w:hAnsi="Lato" w:cs="ArialMT"/>
          <w:sz w:val="20"/>
          <w:szCs w:val="20"/>
        </w:rPr>
        <w:t xml:space="preserve"> </w:t>
      </w:r>
    </w:p>
    <w:p w14:paraId="277ECAC6" w14:textId="41A245B5" w:rsidR="00E8348B" w:rsidRDefault="00E8348B" w:rsidP="00C55821">
      <w:pPr>
        <w:autoSpaceDE w:val="0"/>
        <w:autoSpaceDN w:val="0"/>
        <w:adjustRightInd w:val="0"/>
        <w:spacing w:after="0" w:line="240" w:lineRule="auto"/>
        <w:jc w:val="both"/>
        <w:rPr>
          <w:rFonts w:ascii="Lato" w:hAnsi="Lato" w:cs="ArialMT"/>
          <w:sz w:val="20"/>
          <w:szCs w:val="20"/>
        </w:rPr>
      </w:pPr>
    </w:p>
    <w:p w14:paraId="357EDE0F" w14:textId="7562F0F3" w:rsidR="00B36A32" w:rsidRDefault="00B36A32" w:rsidP="00B36A32">
      <w:pPr>
        <w:pStyle w:val="Legenda"/>
        <w:keepNext/>
      </w:pPr>
      <w:bookmarkStart w:id="158" w:name="_Toc142566030"/>
      <w:r>
        <w:lastRenderedPageBreak/>
        <w:t xml:space="preserve">Tabela </w:t>
      </w:r>
      <w:fldSimple w:instr=" SEQ Tabela \* ARABIC ">
        <w:r w:rsidR="00AA385B">
          <w:rPr>
            <w:noProof/>
          </w:rPr>
          <w:t>67</w:t>
        </w:r>
      </w:fldSimple>
      <w:r>
        <w:t xml:space="preserve"> Karta województwa opolskiego za 2022 r.</w:t>
      </w:r>
      <w:bookmarkEnd w:id="158"/>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B36A32" w:rsidRPr="00B36A32" w14:paraId="3A354836"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4690C07D" w14:textId="77777777" w:rsidR="00B36A32" w:rsidRPr="00B36A32" w:rsidRDefault="00B36A32" w:rsidP="00CA4EC0">
            <w:pPr>
              <w:jc w:val="center"/>
              <w:rPr>
                <w:rFonts w:ascii="Lato" w:hAnsi="Lato" w:cs="Times New Roman"/>
                <w:color w:val="auto"/>
                <w:sz w:val="18"/>
                <w:szCs w:val="18"/>
              </w:rPr>
            </w:pPr>
            <w:r w:rsidRPr="00B36A32">
              <w:rPr>
                <w:rFonts w:ascii="Lato" w:hAnsi="Lato" w:cs="Times New Roman"/>
                <w:color w:val="auto"/>
                <w:sz w:val="18"/>
                <w:szCs w:val="18"/>
              </w:rPr>
              <w:t>WOJEWÓDZTWO OPOLSKIE</w:t>
            </w:r>
          </w:p>
        </w:tc>
      </w:tr>
      <w:tr w:rsidR="00B36A32" w:rsidRPr="00B36A32" w14:paraId="61D945BE" w14:textId="77777777" w:rsidTr="00B36A3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920206D" w14:textId="77777777" w:rsidR="00B36A32" w:rsidRPr="00B36A32" w:rsidRDefault="00B36A32" w:rsidP="00CA4EC0">
            <w:pPr>
              <w:rPr>
                <w:rFonts w:ascii="Lato" w:hAnsi="Lato" w:cs="Times New Roman"/>
                <w:color w:val="auto"/>
                <w:sz w:val="18"/>
                <w:szCs w:val="18"/>
              </w:rPr>
            </w:pPr>
            <w:r w:rsidRPr="00B36A32">
              <w:rPr>
                <w:rFonts w:ascii="Lato" w:hAnsi="Lato" w:cs="Times New Roman"/>
                <w:color w:val="auto"/>
                <w:sz w:val="18"/>
                <w:szCs w:val="18"/>
              </w:rPr>
              <w:t>Informacja o regionie</w:t>
            </w:r>
          </w:p>
        </w:tc>
        <w:tc>
          <w:tcPr>
            <w:tcW w:w="1346" w:type="pct"/>
            <w:shd w:val="clear" w:color="auto" w:fill="auto"/>
          </w:tcPr>
          <w:p w14:paraId="5088C326"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Liczba gmin</w:t>
            </w:r>
          </w:p>
        </w:tc>
        <w:tc>
          <w:tcPr>
            <w:tcW w:w="2693" w:type="pct"/>
            <w:gridSpan w:val="2"/>
            <w:shd w:val="clear" w:color="auto" w:fill="auto"/>
          </w:tcPr>
          <w:p w14:paraId="29B36292"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71</w:t>
            </w:r>
          </w:p>
        </w:tc>
      </w:tr>
      <w:tr w:rsidR="00B36A32" w:rsidRPr="00B36A32" w14:paraId="5D9F30DA" w14:textId="77777777" w:rsidTr="00B36A32">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7556788" w14:textId="77777777" w:rsidR="00B36A32" w:rsidRPr="00B36A32" w:rsidRDefault="00B36A32" w:rsidP="00CA4EC0">
            <w:pPr>
              <w:rPr>
                <w:rFonts w:ascii="Lato" w:hAnsi="Lato" w:cs="Times New Roman"/>
                <w:color w:val="auto"/>
                <w:sz w:val="18"/>
                <w:szCs w:val="18"/>
              </w:rPr>
            </w:pPr>
          </w:p>
        </w:tc>
        <w:tc>
          <w:tcPr>
            <w:tcW w:w="1346" w:type="pct"/>
            <w:shd w:val="clear" w:color="auto" w:fill="auto"/>
          </w:tcPr>
          <w:p w14:paraId="5271C09F"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Liczba powiatów</w:t>
            </w:r>
          </w:p>
        </w:tc>
        <w:tc>
          <w:tcPr>
            <w:tcW w:w="2693" w:type="pct"/>
            <w:gridSpan w:val="2"/>
            <w:shd w:val="clear" w:color="auto" w:fill="auto"/>
          </w:tcPr>
          <w:p w14:paraId="70F76308"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11 powiatów i 1 miasto na prawach powiatu</w:t>
            </w:r>
          </w:p>
        </w:tc>
      </w:tr>
      <w:tr w:rsidR="00B36A32" w:rsidRPr="00B36A32" w14:paraId="628EFAF8" w14:textId="77777777" w:rsidTr="00B36A32">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F21FA48" w14:textId="77777777" w:rsidR="00B36A32" w:rsidRPr="00B36A32" w:rsidRDefault="00B36A32" w:rsidP="00CA4EC0">
            <w:pPr>
              <w:rPr>
                <w:rFonts w:ascii="Lato" w:hAnsi="Lato" w:cs="Times New Roman"/>
                <w:color w:val="auto"/>
                <w:sz w:val="18"/>
                <w:szCs w:val="18"/>
              </w:rPr>
            </w:pPr>
          </w:p>
        </w:tc>
        <w:tc>
          <w:tcPr>
            <w:tcW w:w="1346" w:type="pct"/>
            <w:shd w:val="clear" w:color="auto" w:fill="auto"/>
          </w:tcPr>
          <w:p w14:paraId="158B62E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Powierzchnia</w:t>
            </w:r>
          </w:p>
        </w:tc>
        <w:tc>
          <w:tcPr>
            <w:tcW w:w="2693" w:type="pct"/>
            <w:gridSpan w:val="2"/>
            <w:shd w:val="clear" w:color="auto" w:fill="auto"/>
          </w:tcPr>
          <w:p w14:paraId="1F5D8A4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9 411 km</w:t>
            </w:r>
            <w:r w:rsidRPr="00B36A32">
              <w:rPr>
                <w:rFonts w:ascii="Lato" w:hAnsi="Lato" w:cs="Times New Roman"/>
                <w:color w:val="auto"/>
                <w:sz w:val="18"/>
                <w:szCs w:val="18"/>
                <w:vertAlign w:val="superscript"/>
              </w:rPr>
              <w:t>2</w:t>
            </w:r>
          </w:p>
        </w:tc>
      </w:tr>
      <w:tr w:rsidR="00B36A32" w:rsidRPr="00B36A32" w14:paraId="60D2B5C9"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223EDDE1" w14:textId="77777777" w:rsidR="00B36A32" w:rsidRPr="00B36A32" w:rsidRDefault="00B36A32" w:rsidP="00CA4EC0">
            <w:pPr>
              <w:jc w:val="center"/>
              <w:rPr>
                <w:rFonts w:ascii="Lato" w:hAnsi="Lato" w:cs="Times New Roman"/>
                <w:b w:val="0"/>
                <w:color w:val="auto"/>
                <w:sz w:val="18"/>
                <w:szCs w:val="18"/>
              </w:rPr>
            </w:pPr>
            <w:r w:rsidRPr="00B36A32">
              <w:rPr>
                <w:rFonts w:ascii="Lato" w:hAnsi="Lato" w:cs="Times New Roman"/>
                <w:color w:val="auto"/>
                <w:sz w:val="18"/>
                <w:szCs w:val="18"/>
              </w:rPr>
              <w:t>DEMOGRAFIA</w:t>
            </w:r>
          </w:p>
        </w:tc>
      </w:tr>
      <w:tr w:rsidR="00B36A32" w:rsidRPr="00B36A32" w14:paraId="218D8CD5"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E94D0F1" w14:textId="77777777" w:rsidR="00B36A32" w:rsidRPr="00B36A32" w:rsidRDefault="00B36A32" w:rsidP="00CA4EC0">
            <w:pPr>
              <w:jc w:val="center"/>
              <w:rPr>
                <w:rFonts w:ascii="Lato" w:hAnsi="Lato" w:cs="Times New Roman"/>
                <w:b w:val="0"/>
                <w:color w:val="auto"/>
                <w:sz w:val="18"/>
                <w:szCs w:val="18"/>
                <w:lang w:eastAsia="pl-PL"/>
              </w:rPr>
            </w:pPr>
            <w:r w:rsidRPr="00B36A32">
              <w:rPr>
                <w:rFonts w:ascii="Lato" w:hAnsi="Lato" w:cs="Times New Roman"/>
                <w:color w:val="auto"/>
                <w:sz w:val="18"/>
                <w:szCs w:val="18"/>
                <w:lang w:eastAsia="pl-PL"/>
              </w:rPr>
              <w:t>Treść</w:t>
            </w:r>
          </w:p>
        </w:tc>
        <w:tc>
          <w:tcPr>
            <w:tcW w:w="1346" w:type="pct"/>
            <w:shd w:val="clear" w:color="auto" w:fill="auto"/>
          </w:tcPr>
          <w:p w14:paraId="7E2056C2" w14:textId="77777777" w:rsidR="00B36A32" w:rsidRPr="00B36A32" w:rsidRDefault="00B36A32"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2020 r.</w:t>
            </w:r>
          </w:p>
        </w:tc>
        <w:tc>
          <w:tcPr>
            <w:tcW w:w="1346" w:type="pct"/>
            <w:shd w:val="clear" w:color="auto" w:fill="auto"/>
          </w:tcPr>
          <w:p w14:paraId="39AD4CEF" w14:textId="77777777" w:rsidR="00B36A32" w:rsidRPr="00B36A32" w:rsidRDefault="00B36A32"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2021 r.</w:t>
            </w:r>
          </w:p>
        </w:tc>
        <w:tc>
          <w:tcPr>
            <w:tcW w:w="1347" w:type="pct"/>
            <w:shd w:val="clear" w:color="auto" w:fill="auto"/>
          </w:tcPr>
          <w:p w14:paraId="486D3B6C" w14:textId="77777777" w:rsidR="00B36A32" w:rsidRPr="00B36A32" w:rsidRDefault="00B36A32"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2022 r.</w:t>
            </w:r>
          </w:p>
        </w:tc>
      </w:tr>
      <w:tr w:rsidR="00B36A32" w:rsidRPr="00B36A32" w14:paraId="181277AE"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E607EC0"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Populacja ogółem</w:t>
            </w:r>
          </w:p>
        </w:tc>
        <w:tc>
          <w:tcPr>
            <w:tcW w:w="1346" w:type="pct"/>
            <w:shd w:val="clear" w:color="auto" w:fill="auto"/>
          </w:tcPr>
          <w:p w14:paraId="66EB6E81"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955844</w:t>
            </w:r>
          </w:p>
        </w:tc>
        <w:tc>
          <w:tcPr>
            <w:tcW w:w="1346" w:type="pct"/>
            <w:shd w:val="clear" w:color="auto" w:fill="auto"/>
          </w:tcPr>
          <w:p w14:paraId="70FB3423"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948583</w:t>
            </w:r>
          </w:p>
        </w:tc>
        <w:tc>
          <w:tcPr>
            <w:tcW w:w="1347" w:type="pct"/>
            <w:shd w:val="clear" w:color="auto" w:fill="auto"/>
          </w:tcPr>
          <w:p w14:paraId="700C046B"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942441</w:t>
            </w:r>
          </w:p>
        </w:tc>
      </w:tr>
      <w:tr w:rsidR="00B36A32" w:rsidRPr="00B36A32" w14:paraId="0F11DF8A"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17861CF7" w14:textId="77777777" w:rsidR="00B36A32" w:rsidRPr="00B36A32" w:rsidRDefault="00B36A32" w:rsidP="00CA4EC0">
            <w:pPr>
              <w:rPr>
                <w:rFonts w:ascii="Lato" w:hAnsi="Lato" w:cs="Times New Roman"/>
                <w:b w:val="0"/>
                <w:color w:val="auto"/>
                <w:sz w:val="18"/>
                <w:szCs w:val="18"/>
              </w:rPr>
            </w:pPr>
          </w:p>
        </w:tc>
      </w:tr>
      <w:tr w:rsidR="00B36A32" w:rsidRPr="00B36A32" w14:paraId="7B396AA7"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BB96043" w14:textId="77777777" w:rsidR="00B36A32" w:rsidRPr="00B36A32" w:rsidRDefault="00B36A32" w:rsidP="00CA4EC0">
            <w:pPr>
              <w:rPr>
                <w:rFonts w:ascii="Lato" w:hAnsi="Lato" w:cs="Times New Roman"/>
                <w:b w:val="0"/>
                <w:color w:val="auto"/>
                <w:sz w:val="18"/>
                <w:szCs w:val="18"/>
              </w:rPr>
            </w:pPr>
            <w:r w:rsidRPr="00B36A32">
              <w:rPr>
                <w:rFonts w:ascii="Lato" w:hAnsi="Lato" w:cs="Times New Roman"/>
                <w:color w:val="auto"/>
                <w:sz w:val="18"/>
                <w:szCs w:val="18"/>
                <w:lang w:eastAsia="pl-PL"/>
              </w:rPr>
              <w:t>w wieku 60 lat i więcej</w:t>
            </w:r>
          </w:p>
        </w:tc>
        <w:tc>
          <w:tcPr>
            <w:tcW w:w="1346" w:type="pct"/>
            <w:shd w:val="clear" w:color="auto" w:fill="auto"/>
          </w:tcPr>
          <w:p w14:paraId="51AECDD8"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253675</w:t>
            </w:r>
          </w:p>
        </w:tc>
        <w:tc>
          <w:tcPr>
            <w:tcW w:w="1346" w:type="pct"/>
            <w:shd w:val="clear" w:color="auto" w:fill="auto"/>
          </w:tcPr>
          <w:p w14:paraId="3A1BB9B3"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255713</w:t>
            </w:r>
          </w:p>
        </w:tc>
        <w:tc>
          <w:tcPr>
            <w:tcW w:w="1347" w:type="pct"/>
            <w:shd w:val="clear" w:color="auto" w:fill="auto"/>
          </w:tcPr>
          <w:p w14:paraId="54AFE6E3"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258352</w:t>
            </w:r>
          </w:p>
        </w:tc>
      </w:tr>
      <w:tr w:rsidR="00B36A32" w:rsidRPr="00B36A32" w14:paraId="4F48C146"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4BD80DA"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60–64 lata</w:t>
            </w:r>
          </w:p>
        </w:tc>
        <w:tc>
          <w:tcPr>
            <w:tcW w:w="1346" w:type="pct"/>
            <w:shd w:val="clear" w:color="auto" w:fill="auto"/>
          </w:tcPr>
          <w:p w14:paraId="55051285"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70367</w:t>
            </w:r>
          </w:p>
        </w:tc>
        <w:tc>
          <w:tcPr>
            <w:tcW w:w="1346" w:type="pct"/>
            <w:shd w:val="clear" w:color="auto" w:fill="auto"/>
          </w:tcPr>
          <w:p w14:paraId="3EA464A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69265</w:t>
            </w:r>
          </w:p>
        </w:tc>
        <w:tc>
          <w:tcPr>
            <w:tcW w:w="1347" w:type="pct"/>
            <w:shd w:val="clear" w:color="auto" w:fill="auto"/>
          </w:tcPr>
          <w:p w14:paraId="43B69A42"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67730</w:t>
            </w:r>
          </w:p>
        </w:tc>
      </w:tr>
      <w:tr w:rsidR="00B36A32" w:rsidRPr="00B36A32" w14:paraId="1AE51AB2"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52B7877"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65–69</w:t>
            </w:r>
          </w:p>
        </w:tc>
        <w:tc>
          <w:tcPr>
            <w:tcW w:w="1346" w:type="pct"/>
            <w:shd w:val="clear" w:color="auto" w:fill="auto"/>
          </w:tcPr>
          <w:p w14:paraId="5FB9457F"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63428</w:t>
            </w:r>
          </w:p>
        </w:tc>
        <w:tc>
          <w:tcPr>
            <w:tcW w:w="1346" w:type="pct"/>
            <w:shd w:val="clear" w:color="auto" w:fill="auto"/>
          </w:tcPr>
          <w:p w14:paraId="61ABF1ED"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63615</w:t>
            </w:r>
          </w:p>
        </w:tc>
        <w:tc>
          <w:tcPr>
            <w:tcW w:w="1347" w:type="pct"/>
            <w:shd w:val="clear" w:color="auto" w:fill="auto"/>
          </w:tcPr>
          <w:p w14:paraId="1C6CF44E"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64012</w:t>
            </w:r>
          </w:p>
        </w:tc>
      </w:tr>
      <w:tr w:rsidR="00B36A32" w:rsidRPr="00B36A32" w14:paraId="592ACCFD"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23DE7A4"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70–74</w:t>
            </w:r>
          </w:p>
        </w:tc>
        <w:tc>
          <w:tcPr>
            <w:tcW w:w="1346" w:type="pct"/>
            <w:shd w:val="clear" w:color="auto" w:fill="auto"/>
          </w:tcPr>
          <w:p w14:paraId="7BEC7BA1"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47680</w:t>
            </w:r>
          </w:p>
        </w:tc>
        <w:tc>
          <w:tcPr>
            <w:tcW w:w="1346" w:type="pct"/>
            <w:shd w:val="clear" w:color="auto" w:fill="auto"/>
          </w:tcPr>
          <w:p w14:paraId="3A4FD5C3"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50765</w:t>
            </w:r>
          </w:p>
        </w:tc>
        <w:tc>
          <w:tcPr>
            <w:tcW w:w="1347" w:type="pct"/>
            <w:shd w:val="clear" w:color="auto" w:fill="auto"/>
          </w:tcPr>
          <w:p w14:paraId="23C86080"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52885</w:t>
            </w:r>
          </w:p>
        </w:tc>
      </w:tr>
      <w:tr w:rsidR="00B36A32" w:rsidRPr="00B36A32" w14:paraId="35098CD9"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A06F27B"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75–79</w:t>
            </w:r>
          </w:p>
        </w:tc>
        <w:tc>
          <w:tcPr>
            <w:tcW w:w="1346" w:type="pct"/>
            <w:shd w:val="clear" w:color="auto" w:fill="auto"/>
          </w:tcPr>
          <w:p w14:paraId="57913A17"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26232</w:t>
            </w:r>
          </w:p>
        </w:tc>
        <w:tc>
          <w:tcPr>
            <w:tcW w:w="1346" w:type="pct"/>
            <w:shd w:val="clear" w:color="auto" w:fill="auto"/>
          </w:tcPr>
          <w:p w14:paraId="796E6349"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26215</w:t>
            </w:r>
          </w:p>
        </w:tc>
        <w:tc>
          <w:tcPr>
            <w:tcW w:w="1347" w:type="pct"/>
            <w:shd w:val="clear" w:color="auto" w:fill="auto"/>
          </w:tcPr>
          <w:p w14:paraId="1AE3ED0B"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28752</w:t>
            </w:r>
          </w:p>
        </w:tc>
      </w:tr>
      <w:tr w:rsidR="00B36A32" w:rsidRPr="00B36A32" w14:paraId="7B05CA17"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A6D301B"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80–84</w:t>
            </w:r>
          </w:p>
        </w:tc>
        <w:tc>
          <w:tcPr>
            <w:tcW w:w="1346" w:type="pct"/>
            <w:shd w:val="clear" w:color="auto" w:fill="auto"/>
          </w:tcPr>
          <w:p w14:paraId="59DB5C6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25553</w:t>
            </w:r>
          </w:p>
        </w:tc>
        <w:tc>
          <w:tcPr>
            <w:tcW w:w="1346" w:type="pct"/>
            <w:shd w:val="clear" w:color="auto" w:fill="auto"/>
          </w:tcPr>
          <w:p w14:paraId="4F744756"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24934</w:t>
            </w:r>
          </w:p>
        </w:tc>
        <w:tc>
          <w:tcPr>
            <w:tcW w:w="1347" w:type="pct"/>
            <w:shd w:val="clear" w:color="auto" w:fill="auto"/>
          </w:tcPr>
          <w:p w14:paraId="3AE1945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23452</w:t>
            </w:r>
          </w:p>
        </w:tc>
      </w:tr>
      <w:tr w:rsidR="00B36A32" w:rsidRPr="00B36A32" w14:paraId="75EACBD4"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826BC6F"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85 lat i więcej</w:t>
            </w:r>
          </w:p>
        </w:tc>
        <w:tc>
          <w:tcPr>
            <w:tcW w:w="1346" w:type="pct"/>
            <w:shd w:val="clear" w:color="auto" w:fill="auto"/>
          </w:tcPr>
          <w:p w14:paraId="7117AD56"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20415</w:t>
            </w:r>
          </w:p>
        </w:tc>
        <w:tc>
          <w:tcPr>
            <w:tcW w:w="1346" w:type="pct"/>
            <w:shd w:val="clear" w:color="auto" w:fill="auto"/>
          </w:tcPr>
          <w:p w14:paraId="3461B33B"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20919</w:t>
            </w:r>
          </w:p>
        </w:tc>
        <w:tc>
          <w:tcPr>
            <w:tcW w:w="1347" w:type="pct"/>
            <w:shd w:val="clear" w:color="auto" w:fill="auto"/>
          </w:tcPr>
          <w:p w14:paraId="2325A2FF"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21521</w:t>
            </w:r>
          </w:p>
        </w:tc>
      </w:tr>
      <w:tr w:rsidR="00B36A32" w:rsidRPr="00B36A32" w14:paraId="1531EF5B"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B9A70E3"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Przeciętne dalsze trwanie życia</w:t>
            </w:r>
          </w:p>
        </w:tc>
        <w:tc>
          <w:tcPr>
            <w:tcW w:w="1346" w:type="pct"/>
            <w:shd w:val="clear" w:color="auto" w:fill="auto"/>
          </w:tcPr>
          <w:p w14:paraId="7EE98B7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Noworodek płci męskiej – 73,0</w:t>
            </w:r>
          </w:p>
          <w:p w14:paraId="6097DCEC"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Noworodek płci żeńskiej – 81,0</w:t>
            </w:r>
          </w:p>
          <w:p w14:paraId="3D032645"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Mężczyzna w wieku 60 lat – 17,8</w:t>
            </w:r>
          </w:p>
          <w:p w14:paraId="3CE00B6B"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Kobieta w wieku 60 – 23,3</w:t>
            </w:r>
          </w:p>
        </w:tc>
        <w:tc>
          <w:tcPr>
            <w:tcW w:w="1346" w:type="pct"/>
            <w:shd w:val="clear" w:color="auto" w:fill="auto"/>
          </w:tcPr>
          <w:p w14:paraId="7A22E65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Noworodek płci męskiej – 72,4</w:t>
            </w:r>
          </w:p>
          <w:p w14:paraId="27EC0CC6"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Noworodek płci żeńskiej – 80,4</w:t>
            </w:r>
          </w:p>
          <w:p w14:paraId="25B2C7F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Mężczyzna w wieku 60 lat – 17,8</w:t>
            </w:r>
          </w:p>
          <w:p w14:paraId="56AF40B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Kobieta w wieku 60 –  22,8</w:t>
            </w:r>
          </w:p>
        </w:tc>
        <w:tc>
          <w:tcPr>
            <w:tcW w:w="1347" w:type="pct"/>
            <w:shd w:val="clear" w:color="auto" w:fill="auto"/>
          </w:tcPr>
          <w:p w14:paraId="1C52F72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 xml:space="preserve">Noworodek płci męskiej – </w:t>
            </w:r>
            <w:r w:rsidRPr="00B36A32">
              <w:rPr>
                <w:rFonts w:ascii="Lato" w:hAnsi="Lato"/>
                <w:sz w:val="18"/>
                <w:szCs w:val="18"/>
              </w:rPr>
              <w:t xml:space="preserve"> </w:t>
            </w:r>
            <w:r w:rsidRPr="00B36A32">
              <w:rPr>
                <w:rFonts w:ascii="Lato" w:hAnsi="Lato" w:cs="Times New Roman"/>
                <w:color w:val="auto"/>
                <w:sz w:val="18"/>
                <w:szCs w:val="18"/>
              </w:rPr>
              <w:t>73,6</w:t>
            </w:r>
          </w:p>
          <w:p w14:paraId="35E0C6B2"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 xml:space="preserve">Noworodek płci żeńskiej –  </w:t>
            </w:r>
            <w:r w:rsidRPr="00B36A32">
              <w:rPr>
                <w:rFonts w:ascii="Lato" w:hAnsi="Lato"/>
                <w:sz w:val="18"/>
                <w:szCs w:val="18"/>
              </w:rPr>
              <w:t xml:space="preserve"> </w:t>
            </w:r>
            <w:r w:rsidRPr="00B36A32">
              <w:rPr>
                <w:rFonts w:ascii="Lato" w:hAnsi="Lato" w:cs="Times New Roman"/>
                <w:color w:val="auto"/>
                <w:sz w:val="18"/>
                <w:szCs w:val="18"/>
              </w:rPr>
              <w:t>81,4</w:t>
            </w:r>
          </w:p>
          <w:p w14:paraId="0B337C99"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 xml:space="preserve">Mężczyzna w wieku 60 lat – </w:t>
            </w:r>
            <w:r w:rsidRPr="00B36A32">
              <w:rPr>
                <w:rFonts w:ascii="Lato" w:hAnsi="Lato"/>
                <w:sz w:val="18"/>
                <w:szCs w:val="18"/>
              </w:rPr>
              <w:t xml:space="preserve"> </w:t>
            </w:r>
            <w:r w:rsidRPr="00B36A32">
              <w:rPr>
                <w:rFonts w:ascii="Lato" w:hAnsi="Lato" w:cs="Times New Roman"/>
                <w:color w:val="auto"/>
                <w:sz w:val="18"/>
                <w:szCs w:val="18"/>
              </w:rPr>
              <w:t>18,6</w:t>
            </w:r>
          </w:p>
          <w:p w14:paraId="513FBC91"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 xml:space="preserve">Kobieta w wieku 60 –  </w:t>
            </w:r>
            <w:r w:rsidRPr="00B36A32">
              <w:rPr>
                <w:rFonts w:ascii="Lato" w:hAnsi="Lato"/>
                <w:sz w:val="18"/>
                <w:szCs w:val="18"/>
              </w:rPr>
              <w:t xml:space="preserve"> </w:t>
            </w:r>
            <w:r w:rsidRPr="00B36A32">
              <w:rPr>
                <w:rFonts w:ascii="Lato" w:hAnsi="Lato" w:cs="Times New Roman"/>
                <w:color w:val="auto"/>
                <w:sz w:val="18"/>
                <w:szCs w:val="18"/>
              </w:rPr>
              <w:t>23,7</w:t>
            </w:r>
          </w:p>
        </w:tc>
      </w:tr>
      <w:tr w:rsidR="00B36A32" w:rsidRPr="00B36A32" w14:paraId="3A397EAF"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7B82005"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Współczynnik feminizacji</w:t>
            </w:r>
          </w:p>
        </w:tc>
        <w:tc>
          <w:tcPr>
            <w:tcW w:w="1346" w:type="pct"/>
            <w:shd w:val="clear" w:color="auto" w:fill="auto"/>
          </w:tcPr>
          <w:p w14:paraId="2DB12EDE"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107</w:t>
            </w:r>
          </w:p>
        </w:tc>
        <w:tc>
          <w:tcPr>
            <w:tcW w:w="1346" w:type="pct"/>
            <w:shd w:val="clear" w:color="auto" w:fill="auto"/>
          </w:tcPr>
          <w:p w14:paraId="015FC655"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107</w:t>
            </w:r>
          </w:p>
        </w:tc>
        <w:tc>
          <w:tcPr>
            <w:tcW w:w="1347" w:type="pct"/>
            <w:shd w:val="clear" w:color="auto" w:fill="auto"/>
          </w:tcPr>
          <w:p w14:paraId="52484986"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107</w:t>
            </w:r>
          </w:p>
        </w:tc>
      </w:tr>
      <w:tr w:rsidR="00B36A32" w:rsidRPr="00B36A32" w14:paraId="5872FB64" w14:textId="77777777" w:rsidTr="00B36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ABDDF2F"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7127DF38"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28,7</w:t>
            </w:r>
          </w:p>
        </w:tc>
        <w:tc>
          <w:tcPr>
            <w:tcW w:w="1346" w:type="pct"/>
            <w:shd w:val="clear" w:color="auto" w:fill="auto"/>
          </w:tcPr>
          <w:p w14:paraId="21AB5CA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29,6</w:t>
            </w:r>
          </w:p>
        </w:tc>
        <w:tc>
          <w:tcPr>
            <w:tcW w:w="1347" w:type="pct"/>
            <w:shd w:val="clear" w:color="auto" w:fill="auto"/>
          </w:tcPr>
          <w:p w14:paraId="460F6A6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30,7</w:t>
            </w:r>
          </w:p>
        </w:tc>
      </w:tr>
      <w:tr w:rsidR="00B36A32" w:rsidRPr="00B36A32" w14:paraId="263C6E5A" w14:textId="77777777" w:rsidTr="00B36A32">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E2307B7"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Współczynnik zgonów</w:t>
            </w:r>
          </w:p>
        </w:tc>
        <w:tc>
          <w:tcPr>
            <w:tcW w:w="1346" w:type="pct"/>
            <w:shd w:val="clear" w:color="auto" w:fill="auto"/>
          </w:tcPr>
          <w:p w14:paraId="30EBCFE6"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13,2</w:t>
            </w:r>
          </w:p>
        </w:tc>
        <w:tc>
          <w:tcPr>
            <w:tcW w:w="1346" w:type="pct"/>
            <w:shd w:val="clear" w:color="auto" w:fill="auto"/>
          </w:tcPr>
          <w:p w14:paraId="61936AEB"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13,8</w:t>
            </w:r>
          </w:p>
        </w:tc>
        <w:tc>
          <w:tcPr>
            <w:tcW w:w="1347" w:type="pct"/>
            <w:shd w:val="clear" w:color="auto" w:fill="auto"/>
          </w:tcPr>
          <w:p w14:paraId="6F799455"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12,4</w:t>
            </w:r>
          </w:p>
        </w:tc>
      </w:tr>
      <w:tr w:rsidR="00B36A32" w:rsidRPr="00B36A32" w14:paraId="0D8CDE92"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76234B4" w14:textId="77777777" w:rsidR="00B36A32" w:rsidRPr="00B36A32" w:rsidRDefault="00B36A32" w:rsidP="00CA4EC0">
            <w:pPr>
              <w:jc w:val="center"/>
              <w:rPr>
                <w:rFonts w:ascii="Lato" w:hAnsi="Lato" w:cs="Times New Roman"/>
                <w:color w:val="auto"/>
                <w:sz w:val="18"/>
                <w:szCs w:val="18"/>
              </w:rPr>
            </w:pPr>
            <w:r w:rsidRPr="00B36A32">
              <w:rPr>
                <w:rFonts w:ascii="Lato" w:hAnsi="Lato" w:cs="Times New Roman"/>
                <w:color w:val="auto"/>
                <w:sz w:val="18"/>
                <w:szCs w:val="18"/>
                <w:lang w:eastAsia="pl-PL"/>
              </w:rPr>
              <w:t>AKTYWNOŚĆ EKONOMICZNA OSÓB STARSZYCH – DANE ZA 2022 R.</w:t>
            </w:r>
            <w:r w:rsidRPr="00B36A32">
              <w:rPr>
                <w:rFonts w:ascii="Lato" w:hAnsi="Lato" w:cs="Times New Roman"/>
                <w:color w:val="auto"/>
                <w:sz w:val="18"/>
                <w:szCs w:val="18"/>
                <w:vertAlign w:val="superscript"/>
                <w:lang w:eastAsia="pl-PL"/>
              </w:rPr>
              <w:t>1)</w:t>
            </w:r>
          </w:p>
        </w:tc>
      </w:tr>
      <w:tr w:rsidR="00B36A32" w:rsidRPr="00B36A32" w14:paraId="1634625C" w14:textId="77777777" w:rsidTr="00B36A32">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70434035" w14:textId="77777777" w:rsidR="00B36A32" w:rsidRPr="00B36A32" w:rsidRDefault="00B36A32" w:rsidP="00CA4EC0">
            <w:pPr>
              <w:rPr>
                <w:rFonts w:ascii="Lato" w:hAnsi="Lato" w:cs="Times New Roman"/>
                <w:color w:val="auto"/>
                <w:sz w:val="18"/>
                <w:szCs w:val="18"/>
              </w:rPr>
            </w:pPr>
            <w:r w:rsidRPr="00B36A32">
              <w:rPr>
                <w:rFonts w:ascii="Lato" w:hAnsi="Lato" w:cs="Times New Roman"/>
                <w:color w:val="auto"/>
                <w:sz w:val="18"/>
                <w:szCs w:val="18"/>
              </w:rPr>
              <w:t>Podział</w:t>
            </w:r>
          </w:p>
        </w:tc>
        <w:tc>
          <w:tcPr>
            <w:tcW w:w="2693" w:type="pct"/>
            <w:gridSpan w:val="2"/>
            <w:shd w:val="clear" w:color="auto" w:fill="auto"/>
          </w:tcPr>
          <w:p w14:paraId="5F0321CB" w14:textId="77777777" w:rsidR="00B36A32" w:rsidRPr="00B36A32" w:rsidRDefault="00B36A32"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Liczba</w:t>
            </w:r>
          </w:p>
        </w:tc>
      </w:tr>
      <w:tr w:rsidR="00B36A32" w:rsidRPr="00B36A32" w14:paraId="6FF0997B" w14:textId="77777777" w:rsidTr="00B36A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2AE0F54"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Osoby aktywne zawodowo razem (w tys.)</w:t>
            </w:r>
          </w:p>
        </w:tc>
        <w:tc>
          <w:tcPr>
            <w:tcW w:w="1346" w:type="pct"/>
            <w:shd w:val="clear" w:color="auto" w:fill="auto"/>
          </w:tcPr>
          <w:p w14:paraId="1A8EF44B"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793E8E93"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404</w:t>
            </w:r>
          </w:p>
        </w:tc>
      </w:tr>
      <w:tr w:rsidR="00B36A32" w:rsidRPr="00B36A32" w14:paraId="5DC95BB5" w14:textId="77777777" w:rsidTr="00B36A32">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C3CFC17" w14:textId="77777777" w:rsidR="00B36A32" w:rsidRPr="00B36A32" w:rsidRDefault="00B36A32" w:rsidP="00CA4EC0">
            <w:pPr>
              <w:rPr>
                <w:rFonts w:ascii="Lato" w:hAnsi="Lato" w:cs="Times New Roman"/>
                <w:b w:val="0"/>
                <w:color w:val="auto"/>
                <w:sz w:val="18"/>
                <w:szCs w:val="18"/>
                <w:lang w:eastAsia="pl-PL"/>
              </w:rPr>
            </w:pPr>
          </w:p>
        </w:tc>
        <w:tc>
          <w:tcPr>
            <w:tcW w:w="1346" w:type="pct"/>
            <w:shd w:val="clear" w:color="auto" w:fill="auto"/>
          </w:tcPr>
          <w:p w14:paraId="4A9FFAA9"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60-89 lat</w:t>
            </w:r>
          </w:p>
        </w:tc>
        <w:tc>
          <w:tcPr>
            <w:tcW w:w="2693" w:type="pct"/>
            <w:gridSpan w:val="2"/>
            <w:shd w:val="clear" w:color="auto" w:fill="auto"/>
          </w:tcPr>
          <w:p w14:paraId="76600C6B"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36</w:t>
            </w:r>
          </w:p>
        </w:tc>
      </w:tr>
      <w:tr w:rsidR="00B36A32" w:rsidRPr="00B36A32" w14:paraId="7759EF7D" w14:textId="77777777" w:rsidTr="00B36A3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0D00BE5"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 xml:space="preserve">Osoby aktywne zawodowo </w:t>
            </w:r>
            <w:r w:rsidRPr="00B36A32">
              <w:rPr>
                <w:rFonts w:ascii="Lato" w:hAnsi="Lato" w:cs="Times New Roman"/>
                <w:color w:val="auto"/>
                <w:sz w:val="18"/>
                <w:szCs w:val="18"/>
                <w:lang w:eastAsia="pl-PL"/>
              </w:rPr>
              <w:br/>
              <w:t>– pracujący (w tys.)</w:t>
            </w:r>
          </w:p>
        </w:tc>
        <w:tc>
          <w:tcPr>
            <w:tcW w:w="1346" w:type="pct"/>
            <w:shd w:val="clear" w:color="auto" w:fill="auto"/>
          </w:tcPr>
          <w:p w14:paraId="1864FB3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7505B767"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393</w:t>
            </w:r>
          </w:p>
        </w:tc>
      </w:tr>
      <w:tr w:rsidR="00B36A32" w:rsidRPr="00B36A32" w14:paraId="669FEC61" w14:textId="77777777" w:rsidTr="00B36A32">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0457F07" w14:textId="77777777" w:rsidR="00B36A32" w:rsidRPr="00B36A32" w:rsidRDefault="00B36A32" w:rsidP="00CA4EC0">
            <w:pPr>
              <w:rPr>
                <w:rFonts w:ascii="Lato" w:hAnsi="Lato" w:cs="Times New Roman"/>
                <w:b w:val="0"/>
                <w:color w:val="auto"/>
                <w:sz w:val="18"/>
                <w:szCs w:val="18"/>
                <w:lang w:eastAsia="pl-PL"/>
              </w:rPr>
            </w:pPr>
          </w:p>
        </w:tc>
        <w:tc>
          <w:tcPr>
            <w:tcW w:w="1346" w:type="pct"/>
            <w:shd w:val="clear" w:color="auto" w:fill="auto"/>
          </w:tcPr>
          <w:p w14:paraId="152709AF"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60-89 lat</w:t>
            </w:r>
          </w:p>
        </w:tc>
        <w:tc>
          <w:tcPr>
            <w:tcW w:w="2693" w:type="pct"/>
            <w:gridSpan w:val="2"/>
            <w:shd w:val="clear" w:color="auto" w:fill="auto"/>
          </w:tcPr>
          <w:p w14:paraId="15AB45C2"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36</w:t>
            </w:r>
          </w:p>
        </w:tc>
      </w:tr>
      <w:tr w:rsidR="00B36A32" w:rsidRPr="00B36A32" w14:paraId="587F936F" w14:textId="77777777" w:rsidTr="00B36A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03C3B54"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Osoby bierne zawodowo (w tys.)</w:t>
            </w:r>
          </w:p>
        </w:tc>
        <w:tc>
          <w:tcPr>
            <w:tcW w:w="1346" w:type="pct"/>
            <w:shd w:val="clear" w:color="auto" w:fill="auto"/>
          </w:tcPr>
          <w:p w14:paraId="41BCC32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0198A85C"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307</w:t>
            </w:r>
          </w:p>
        </w:tc>
      </w:tr>
      <w:tr w:rsidR="00B36A32" w:rsidRPr="00B36A32" w14:paraId="3CA0D754" w14:textId="77777777" w:rsidTr="00B36A32">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147E424" w14:textId="77777777" w:rsidR="00B36A32" w:rsidRPr="00B36A32" w:rsidRDefault="00B36A32" w:rsidP="00CA4EC0">
            <w:pPr>
              <w:rPr>
                <w:rFonts w:ascii="Lato" w:hAnsi="Lato" w:cs="Times New Roman"/>
                <w:b w:val="0"/>
                <w:color w:val="auto"/>
                <w:sz w:val="18"/>
                <w:szCs w:val="18"/>
                <w:lang w:eastAsia="pl-PL"/>
              </w:rPr>
            </w:pPr>
          </w:p>
        </w:tc>
        <w:tc>
          <w:tcPr>
            <w:tcW w:w="1346" w:type="pct"/>
            <w:shd w:val="clear" w:color="auto" w:fill="auto"/>
          </w:tcPr>
          <w:p w14:paraId="2E07FDB7"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60-89 lat</w:t>
            </w:r>
          </w:p>
        </w:tc>
        <w:tc>
          <w:tcPr>
            <w:tcW w:w="2693" w:type="pct"/>
            <w:gridSpan w:val="2"/>
            <w:shd w:val="clear" w:color="auto" w:fill="auto"/>
          </w:tcPr>
          <w:p w14:paraId="039D17A5"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200</w:t>
            </w:r>
          </w:p>
        </w:tc>
      </w:tr>
      <w:tr w:rsidR="00B36A32" w:rsidRPr="00B36A32" w14:paraId="42227119" w14:textId="77777777" w:rsidTr="00B36A3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17188D0"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Współczynnik aktywności zawodowej %</w:t>
            </w:r>
          </w:p>
        </w:tc>
        <w:tc>
          <w:tcPr>
            <w:tcW w:w="1346" w:type="pct"/>
            <w:shd w:val="clear" w:color="auto" w:fill="auto"/>
          </w:tcPr>
          <w:p w14:paraId="7B9A3820"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6668160A"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56,8</w:t>
            </w:r>
          </w:p>
        </w:tc>
      </w:tr>
      <w:tr w:rsidR="00B36A32" w:rsidRPr="00B36A32" w14:paraId="4E0F1FAE" w14:textId="77777777" w:rsidTr="00B36A32">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E59A266" w14:textId="77777777" w:rsidR="00B36A32" w:rsidRPr="00B36A32" w:rsidRDefault="00B36A32" w:rsidP="00CA4EC0">
            <w:pPr>
              <w:rPr>
                <w:rFonts w:ascii="Lato" w:hAnsi="Lato" w:cs="Times New Roman"/>
                <w:b w:val="0"/>
                <w:color w:val="auto"/>
                <w:sz w:val="18"/>
                <w:szCs w:val="18"/>
                <w:lang w:eastAsia="pl-PL"/>
              </w:rPr>
            </w:pPr>
          </w:p>
        </w:tc>
        <w:tc>
          <w:tcPr>
            <w:tcW w:w="1346" w:type="pct"/>
            <w:shd w:val="clear" w:color="auto" w:fill="auto"/>
          </w:tcPr>
          <w:p w14:paraId="0FB8067D"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60-89 lat</w:t>
            </w:r>
          </w:p>
        </w:tc>
        <w:tc>
          <w:tcPr>
            <w:tcW w:w="2693" w:type="pct"/>
            <w:gridSpan w:val="2"/>
            <w:shd w:val="clear" w:color="auto" w:fill="auto"/>
          </w:tcPr>
          <w:p w14:paraId="21DD9E50"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15,2</w:t>
            </w:r>
          </w:p>
        </w:tc>
      </w:tr>
      <w:tr w:rsidR="00B36A32" w:rsidRPr="00B36A32" w14:paraId="1B9DDE62" w14:textId="77777777" w:rsidTr="00B36A32">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53F2E07" w14:textId="77777777" w:rsidR="00B36A32" w:rsidRPr="00B36A32" w:rsidRDefault="00B36A32" w:rsidP="00CA4EC0">
            <w:pPr>
              <w:rPr>
                <w:rFonts w:ascii="Lato" w:hAnsi="Lato" w:cs="Times New Roman"/>
                <w:b w:val="0"/>
                <w:color w:val="auto"/>
                <w:sz w:val="18"/>
                <w:szCs w:val="18"/>
                <w:lang w:eastAsia="pl-PL"/>
              </w:rPr>
            </w:pPr>
            <w:r w:rsidRPr="00B36A32">
              <w:rPr>
                <w:rFonts w:ascii="Lato" w:hAnsi="Lato" w:cs="Times New Roman"/>
                <w:color w:val="auto"/>
                <w:sz w:val="18"/>
                <w:szCs w:val="18"/>
                <w:lang w:eastAsia="pl-PL"/>
              </w:rPr>
              <w:t>Wskaźnik zatrudnienia %</w:t>
            </w:r>
          </w:p>
        </w:tc>
        <w:tc>
          <w:tcPr>
            <w:tcW w:w="1346" w:type="pct"/>
            <w:shd w:val="clear" w:color="auto" w:fill="auto"/>
          </w:tcPr>
          <w:p w14:paraId="53D597E3"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4430B508"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55,3</w:t>
            </w:r>
          </w:p>
        </w:tc>
      </w:tr>
      <w:tr w:rsidR="00B36A32" w:rsidRPr="00B36A32" w14:paraId="68CBE48C" w14:textId="77777777" w:rsidTr="00B36A32">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2690D5A" w14:textId="77777777" w:rsidR="00B36A32" w:rsidRPr="00B36A32" w:rsidRDefault="00B36A32" w:rsidP="00CA4EC0">
            <w:pPr>
              <w:rPr>
                <w:rFonts w:ascii="Lato" w:hAnsi="Lato" w:cs="Times New Roman"/>
                <w:b w:val="0"/>
                <w:color w:val="auto"/>
                <w:sz w:val="18"/>
                <w:szCs w:val="18"/>
                <w:lang w:eastAsia="pl-PL"/>
              </w:rPr>
            </w:pPr>
          </w:p>
        </w:tc>
        <w:tc>
          <w:tcPr>
            <w:tcW w:w="1346" w:type="pct"/>
            <w:shd w:val="clear" w:color="auto" w:fill="auto"/>
          </w:tcPr>
          <w:p w14:paraId="6331EE90"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60-89 lat</w:t>
            </w:r>
          </w:p>
        </w:tc>
        <w:tc>
          <w:tcPr>
            <w:tcW w:w="2693" w:type="pct"/>
            <w:gridSpan w:val="2"/>
            <w:shd w:val="clear" w:color="auto" w:fill="auto"/>
          </w:tcPr>
          <w:p w14:paraId="0D9A0559"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15,2</w:t>
            </w:r>
          </w:p>
        </w:tc>
      </w:tr>
      <w:tr w:rsidR="00B36A32" w:rsidRPr="00B36A32" w14:paraId="3ADB7889" w14:textId="77777777" w:rsidTr="00B36A3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10BB80E" w14:textId="77777777" w:rsidR="00B36A32" w:rsidRPr="00B36A32" w:rsidRDefault="00B36A32" w:rsidP="00CA4EC0">
            <w:pPr>
              <w:rPr>
                <w:rFonts w:ascii="Lato" w:hAnsi="Lato" w:cs="Times New Roman"/>
                <w:b w:val="0"/>
                <w:color w:val="auto"/>
                <w:sz w:val="18"/>
                <w:szCs w:val="18"/>
                <w:lang w:eastAsia="pl-PL"/>
              </w:rPr>
            </w:pPr>
            <w:r w:rsidRPr="00B36A32">
              <w:rPr>
                <w:rFonts w:ascii="Lato" w:eastAsia="Times New Roman" w:hAnsi="Lato" w:cs="Times New Roman"/>
                <w:color w:val="auto"/>
                <w:sz w:val="18"/>
                <w:szCs w:val="18"/>
                <w:lang w:eastAsia="pl-PL"/>
              </w:rPr>
              <w:t xml:space="preserve">Osoby bierne zawodowo  w wieku 60-74 lata  według wybranych przyczyn bierności </w:t>
            </w:r>
            <w:r w:rsidRPr="00B36A32">
              <w:rPr>
                <w:rFonts w:ascii="Lato" w:eastAsia="Times New Roman" w:hAnsi="Lato" w:cs="Times New Roman"/>
                <w:color w:val="auto"/>
                <w:sz w:val="18"/>
                <w:szCs w:val="18"/>
                <w:lang w:eastAsia="pl-PL"/>
              </w:rPr>
              <w:br/>
              <w:t>(w tys.)</w:t>
            </w:r>
          </w:p>
        </w:tc>
        <w:tc>
          <w:tcPr>
            <w:tcW w:w="1346" w:type="pct"/>
            <w:shd w:val="clear" w:color="auto" w:fill="auto"/>
          </w:tcPr>
          <w:p w14:paraId="69A0F22F"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5E77F413"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142</w:t>
            </w:r>
          </w:p>
        </w:tc>
      </w:tr>
      <w:tr w:rsidR="00B36A32" w:rsidRPr="00B36A32" w14:paraId="0E45A8C3" w14:textId="77777777" w:rsidTr="00B36A32">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0ABEE5F"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2EE47ABE"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w:t>
            </w:r>
          </w:p>
        </w:tc>
      </w:tr>
      <w:tr w:rsidR="00B36A32" w:rsidRPr="00B36A32" w14:paraId="6750914F" w14:textId="77777777" w:rsidTr="00B36A3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167FD3C"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D6AA9B6"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B36A32">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6FFD6675"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142</w:t>
            </w:r>
          </w:p>
        </w:tc>
      </w:tr>
      <w:tr w:rsidR="00B36A32" w:rsidRPr="00B36A32" w14:paraId="34F1E91A" w14:textId="77777777" w:rsidTr="00B36A32">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8E378D1"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99E99BA"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047C706E"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128</w:t>
            </w:r>
          </w:p>
        </w:tc>
      </w:tr>
      <w:tr w:rsidR="00B36A32" w:rsidRPr="00B36A32" w14:paraId="27BE4FD0" w14:textId="77777777" w:rsidTr="00B36A3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F886CAD"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FBE07B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683A82F1"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t>
            </w:r>
          </w:p>
        </w:tc>
      </w:tr>
      <w:tr w:rsidR="00B36A32" w:rsidRPr="00B36A32" w14:paraId="5A0F6D26" w14:textId="77777777" w:rsidTr="00B36A32">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B08A67E" w14:textId="77777777" w:rsidR="00B36A32" w:rsidRPr="00B36A32" w:rsidRDefault="00B36A32" w:rsidP="00CA4EC0">
            <w:pPr>
              <w:rPr>
                <w:rFonts w:ascii="Lato" w:eastAsia="Times New Roman" w:hAnsi="Lato" w:cs="Times New Roman"/>
                <w:b w:val="0"/>
                <w:bCs w:val="0"/>
                <w:color w:val="auto"/>
                <w:sz w:val="18"/>
                <w:szCs w:val="18"/>
                <w:lang w:eastAsia="pl-PL"/>
              </w:rPr>
            </w:pPr>
            <w:r w:rsidRPr="00B36A32">
              <w:rPr>
                <w:rFonts w:ascii="Lato" w:eastAsia="Times New Roman" w:hAnsi="Lato" w:cs="Times New Roman"/>
                <w:color w:val="auto"/>
                <w:sz w:val="18"/>
                <w:szCs w:val="18"/>
                <w:lang w:eastAsia="pl-PL"/>
              </w:rPr>
              <w:t>Osoby bezrobotne zarejestrowane w urzędach pracy (w tys.)</w:t>
            </w:r>
            <w:r w:rsidRPr="00B36A32">
              <w:rPr>
                <w:rFonts w:ascii="Lato" w:eastAsia="Times New Roman" w:hAnsi="Lato" w:cs="Times New Roman"/>
                <w:color w:val="auto"/>
                <w:sz w:val="18"/>
                <w:szCs w:val="18"/>
                <w:vertAlign w:val="superscript"/>
                <w:lang w:eastAsia="pl-PL"/>
              </w:rPr>
              <w:t>2)</w:t>
            </w:r>
          </w:p>
        </w:tc>
        <w:tc>
          <w:tcPr>
            <w:tcW w:w="1346" w:type="pct"/>
            <w:shd w:val="clear" w:color="auto" w:fill="auto"/>
          </w:tcPr>
          <w:p w14:paraId="25E81800"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Ogółem</w:t>
            </w:r>
          </w:p>
        </w:tc>
        <w:tc>
          <w:tcPr>
            <w:tcW w:w="2693" w:type="pct"/>
            <w:gridSpan w:val="2"/>
            <w:shd w:val="clear" w:color="auto" w:fill="auto"/>
          </w:tcPr>
          <w:p w14:paraId="53ED84E0"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20,5</w:t>
            </w:r>
          </w:p>
        </w:tc>
      </w:tr>
      <w:tr w:rsidR="00B36A32" w:rsidRPr="00B36A32" w14:paraId="516CA63C" w14:textId="77777777" w:rsidTr="00B36A3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CDB3A9A"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163D9B9"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w tym w wieku 60-64 lata</w:t>
            </w:r>
          </w:p>
        </w:tc>
        <w:tc>
          <w:tcPr>
            <w:tcW w:w="2693" w:type="pct"/>
            <w:gridSpan w:val="2"/>
            <w:shd w:val="clear" w:color="auto" w:fill="auto"/>
          </w:tcPr>
          <w:p w14:paraId="0EA45564"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1,7</w:t>
            </w:r>
          </w:p>
        </w:tc>
      </w:tr>
      <w:tr w:rsidR="00B36A32" w:rsidRPr="00B36A32" w14:paraId="6F78999D" w14:textId="77777777" w:rsidTr="00B36A32">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0321B85" w14:textId="77777777" w:rsidR="00B36A32" w:rsidRPr="00B36A32" w:rsidRDefault="00B36A32" w:rsidP="00CA4EC0">
            <w:pPr>
              <w:rPr>
                <w:rFonts w:ascii="Lato" w:eastAsia="Times New Roman" w:hAnsi="Lato" w:cs="Times New Roman"/>
                <w:b w:val="0"/>
                <w:bCs w:val="0"/>
                <w:color w:val="auto"/>
                <w:sz w:val="18"/>
                <w:szCs w:val="18"/>
                <w:lang w:eastAsia="pl-PL"/>
              </w:rPr>
            </w:pPr>
            <w:r w:rsidRPr="00B36A32">
              <w:rPr>
                <w:rFonts w:ascii="Lato" w:eastAsia="Times New Roman" w:hAnsi="Lato" w:cs="Times New Roman"/>
                <w:color w:val="auto"/>
                <w:sz w:val="18"/>
                <w:szCs w:val="18"/>
                <w:lang w:eastAsia="pl-PL"/>
              </w:rPr>
              <w:t xml:space="preserve">Osoby pobierające renty </w:t>
            </w:r>
            <w:r w:rsidRPr="00B36A32">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2D56A159" w14:textId="77777777" w:rsidR="00B36A32" w:rsidRPr="00B36A32" w:rsidRDefault="00B36A32"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ZUS</w:t>
            </w:r>
          </w:p>
        </w:tc>
      </w:tr>
      <w:tr w:rsidR="00B36A32" w:rsidRPr="00B36A32" w14:paraId="375145B4" w14:textId="77777777" w:rsidTr="00B36A32">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0AA046A"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5780B09" w14:textId="77777777" w:rsidR="00B36A32" w:rsidRPr="00B36A32" w:rsidRDefault="00B36A32"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Rodzaj świadczenia</w:t>
            </w:r>
          </w:p>
        </w:tc>
        <w:tc>
          <w:tcPr>
            <w:tcW w:w="2693" w:type="pct"/>
            <w:gridSpan w:val="2"/>
            <w:shd w:val="clear" w:color="auto" w:fill="auto"/>
          </w:tcPr>
          <w:p w14:paraId="394C1869" w14:textId="77777777" w:rsidR="00B36A32" w:rsidRPr="00B36A32" w:rsidRDefault="00B36A32"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Przeciętna miesięczna liczba emerytów i rencistów (w tys.)</w:t>
            </w:r>
          </w:p>
        </w:tc>
      </w:tr>
      <w:tr w:rsidR="00B36A32" w:rsidRPr="00B36A32" w14:paraId="42CE8F42" w14:textId="77777777" w:rsidTr="00B36A32">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3EBEC8C"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CDE8EC0"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Emerytury</w:t>
            </w:r>
          </w:p>
        </w:tc>
        <w:tc>
          <w:tcPr>
            <w:tcW w:w="2693" w:type="pct"/>
            <w:gridSpan w:val="2"/>
            <w:shd w:val="clear" w:color="auto" w:fill="auto"/>
          </w:tcPr>
          <w:p w14:paraId="11173811"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148,9</w:t>
            </w:r>
          </w:p>
        </w:tc>
      </w:tr>
      <w:tr w:rsidR="00B36A32" w:rsidRPr="00B36A32" w14:paraId="540415B6" w14:textId="77777777" w:rsidTr="00B36A3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95AC1D4"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9CA963D"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Renty z tytułu niezdolności do pracy</w:t>
            </w:r>
          </w:p>
        </w:tc>
        <w:tc>
          <w:tcPr>
            <w:tcW w:w="2693" w:type="pct"/>
            <w:gridSpan w:val="2"/>
            <w:shd w:val="clear" w:color="auto" w:fill="auto"/>
          </w:tcPr>
          <w:p w14:paraId="6BF29326"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8,6</w:t>
            </w:r>
          </w:p>
        </w:tc>
      </w:tr>
      <w:tr w:rsidR="00B36A32" w:rsidRPr="00B36A32" w14:paraId="0EA3D34D" w14:textId="77777777" w:rsidTr="00B36A32">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BC1B92A"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1E95621"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Renty rodzinne</w:t>
            </w:r>
          </w:p>
        </w:tc>
        <w:tc>
          <w:tcPr>
            <w:tcW w:w="2693" w:type="pct"/>
            <w:gridSpan w:val="2"/>
            <w:shd w:val="clear" w:color="auto" w:fill="auto"/>
          </w:tcPr>
          <w:p w14:paraId="3F99E99C"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31,1</w:t>
            </w:r>
          </w:p>
        </w:tc>
      </w:tr>
      <w:tr w:rsidR="00B36A32" w:rsidRPr="00B36A32" w14:paraId="6960E01B" w14:textId="77777777" w:rsidTr="00B36A3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DEDEB58"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6B6A558D" w14:textId="77777777" w:rsidR="00B36A32" w:rsidRPr="00B36A32" w:rsidRDefault="00B36A32"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KRUS</w:t>
            </w:r>
          </w:p>
        </w:tc>
      </w:tr>
      <w:tr w:rsidR="00B36A32" w:rsidRPr="00B36A32" w14:paraId="142C25E4" w14:textId="77777777" w:rsidTr="00B36A32">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4825C93"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8265B67" w14:textId="77777777" w:rsidR="00B36A32" w:rsidRPr="00B36A32" w:rsidRDefault="00B36A32"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Rodzaj świadczenia</w:t>
            </w:r>
          </w:p>
        </w:tc>
        <w:tc>
          <w:tcPr>
            <w:tcW w:w="2693" w:type="pct"/>
            <w:gridSpan w:val="2"/>
            <w:shd w:val="clear" w:color="auto" w:fill="auto"/>
          </w:tcPr>
          <w:p w14:paraId="528D5CC0" w14:textId="77777777" w:rsidR="00B36A32" w:rsidRPr="00B36A32" w:rsidRDefault="00B36A32"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B36A32">
              <w:rPr>
                <w:rFonts w:ascii="Lato" w:hAnsi="Lato" w:cs="Times New Roman"/>
                <w:b/>
                <w:color w:val="auto"/>
                <w:sz w:val="18"/>
                <w:szCs w:val="18"/>
              </w:rPr>
              <w:t>Przeciętna miesięczna liczba emerytów i rencistów (w tys.)</w:t>
            </w:r>
          </w:p>
        </w:tc>
      </w:tr>
      <w:tr w:rsidR="00B36A32" w:rsidRPr="00B36A32" w14:paraId="4DDAD091" w14:textId="77777777" w:rsidTr="00B36A3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CB66421"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C2C510D"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Emerytury</w:t>
            </w:r>
          </w:p>
        </w:tc>
        <w:tc>
          <w:tcPr>
            <w:tcW w:w="2693" w:type="pct"/>
            <w:gridSpan w:val="2"/>
            <w:shd w:val="clear" w:color="auto" w:fill="auto"/>
          </w:tcPr>
          <w:p w14:paraId="4B2E64B8"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17,1</w:t>
            </w:r>
          </w:p>
        </w:tc>
      </w:tr>
      <w:tr w:rsidR="00B36A32" w:rsidRPr="00B36A32" w14:paraId="060460CD" w14:textId="77777777" w:rsidTr="00B36A32">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E802FD4"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6B7BA18"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Renty z tytułu niezdolności do pracy</w:t>
            </w:r>
          </w:p>
        </w:tc>
        <w:tc>
          <w:tcPr>
            <w:tcW w:w="2693" w:type="pct"/>
            <w:gridSpan w:val="2"/>
            <w:shd w:val="clear" w:color="auto" w:fill="auto"/>
          </w:tcPr>
          <w:p w14:paraId="016B2202" w14:textId="77777777" w:rsidR="00B36A32" w:rsidRPr="00B36A32" w:rsidRDefault="00B36A32"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2,1</w:t>
            </w:r>
          </w:p>
        </w:tc>
      </w:tr>
      <w:tr w:rsidR="00B36A32" w:rsidRPr="00B36A32" w14:paraId="6A4EC520" w14:textId="77777777" w:rsidTr="00B36A3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102432E" w14:textId="77777777" w:rsidR="00B36A32" w:rsidRPr="00B36A32" w:rsidRDefault="00B36A32"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ED83593"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Renty rodzinne</w:t>
            </w:r>
          </w:p>
        </w:tc>
        <w:tc>
          <w:tcPr>
            <w:tcW w:w="2693" w:type="pct"/>
            <w:gridSpan w:val="2"/>
            <w:shd w:val="clear" w:color="auto" w:fill="auto"/>
          </w:tcPr>
          <w:p w14:paraId="478C3EB7" w14:textId="77777777" w:rsidR="00B36A32" w:rsidRPr="00B36A32" w:rsidRDefault="00B36A32"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B36A32">
              <w:rPr>
                <w:rFonts w:ascii="Lato" w:hAnsi="Lato" w:cs="Times New Roman"/>
                <w:color w:val="auto"/>
                <w:sz w:val="18"/>
                <w:szCs w:val="18"/>
              </w:rPr>
              <w:t>0,7</w:t>
            </w:r>
          </w:p>
        </w:tc>
      </w:tr>
      <w:tr w:rsidR="00B36A32" w:rsidRPr="00B36A32" w14:paraId="2B51CDC1"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AED43E0" w14:textId="77777777" w:rsidR="00B36A32" w:rsidRPr="00B36A32" w:rsidRDefault="00B36A32" w:rsidP="00CA4EC0">
            <w:pPr>
              <w:jc w:val="center"/>
              <w:rPr>
                <w:rFonts w:ascii="Lato" w:hAnsi="Lato" w:cs="Times New Roman"/>
                <w:color w:val="auto"/>
                <w:sz w:val="18"/>
                <w:szCs w:val="18"/>
              </w:rPr>
            </w:pPr>
            <w:r w:rsidRPr="00B36A32">
              <w:rPr>
                <w:rFonts w:ascii="Lato" w:hAnsi="Lato" w:cs="Times New Roman"/>
                <w:color w:val="auto"/>
                <w:sz w:val="18"/>
                <w:szCs w:val="18"/>
              </w:rPr>
              <w:t xml:space="preserve">SYTUACJA DOCHODOWA, WARUNKI BYTU, W TYM WARUNKI MIESZKANIOWE – DANE ZA 2022 R. </w:t>
            </w:r>
          </w:p>
        </w:tc>
      </w:tr>
      <w:tr w:rsidR="00B36A32" w:rsidRPr="00B36A32" w14:paraId="6DA5DDA0" w14:textId="77777777" w:rsidTr="00B36A3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004A7CB" w14:textId="5E69ED83" w:rsidR="00B36A32" w:rsidRPr="00B36A32" w:rsidRDefault="00B36A32" w:rsidP="00CA4EC0">
            <w:pPr>
              <w:jc w:val="both"/>
              <w:rPr>
                <w:rFonts w:ascii="Lato" w:hAnsi="Lato" w:cs="Times New Roman"/>
                <w:b w:val="0"/>
                <w:color w:val="auto"/>
                <w:sz w:val="18"/>
                <w:szCs w:val="18"/>
              </w:rPr>
            </w:pPr>
            <w:r w:rsidRPr="00B36A32">
              <w:rPr>
                <w:rFonts w:ascii="Lato" w:hAnsi="Lato" w:cs="Times New Roman"/>
                <w:b w:val="0"/>
                <w:color w:val="auto"/>
                <w:sz w:val="18"/>
                <w:szCs w:val="18"/>
              </w:rPr>
              <w:t>W 2022 r. w województwie opolskim przeciętny miesięczny dochód rozporządzalny przypadający na 1 osobę w gospodarstwach domowych wyniósł 1909,81 zł. Na dochód rozporządzalny gospodarstwa domowego składają się przede wszystkim dochody z pracy najemnej oraz dochody ze świadczeń społecznych. W 2022 r. ich udział w dochodzie rozporządzalnym wyniósł odpowiednio 48,4% i 35,5%. W 2022 r. przeciętne miesięczne wydatki na 1 osobę w gospodarstwach domowych wyniosły 1560,96 zł.  Na żywność i napoje bezalkoholowe gospodarstwa domowe przeznaczały przeciętnie 26,0% ogólnej kwoty wydatków, na opłaty z tytułu użytkowania mieszkania lub domu i za korzystanie z nośników energii - 17,8%, a na zdrowie – 5,8%.</w:t>
            </w:r>
            <w:r w:rsidR="0031646A">
              <w:rPr>
                <w:rFonts w:ascii="Lato" w:hAnsi="Lato" w:cs="Times New Roman"/>
                <w:b w:val="0"/>
                <w:color w:val="auto"/>
                <w:sz w:val="18"/>
                <w:szCs w:val="18"/>
              </w:rPr>
              <w:t xml:space="preserve"> </w:t>
            </w:r>
            <w:r w:rsidRPr="00B36A32">
              <w:rPr>
                <w:rFonts w:ascii="Lato" w:hAnsi="Lato" w:cs="Times New Roman"/>
                <w:b w:val="0"/>
                <w:color w:val="auto"/>
                <w:sz w:val="18"/>
                <w:szCs w:val="18"/>
              </w:rPr>
              <w:t>W 2022 r. swoją sytuację materialną jako dobrą lub raczej dobrą oceniło 59,3% gospodarstw domowych. Udział gospodarstw określających swoją sytuację materialną jako przeciętną wyniósł 37,1%, a raczej złą lub złą ukształtował się na poziomie 3,6%.</w:t>
            </w:r>
            <w:r w:rsidR="0031646A">
              <w:rPr>
                <w:rFonts w:ascii="Lato" w:hAnsi="Lato" w:cs="Times New Roman"/>
                <w:b w:val="0"/>
                <w:color w:val="auto"/>
                <w:sz w:val="18"/>
                <w:szCs w:val="18"/>
              </w:rPr>
              <w:t xml:space="preserve"> </w:t>
            </w:r>
            <w:r w:rsidRPr="00B36A32">
              <w:rPr>
                <w:rFonts w:ascii="Lato" w:hAnsi="Lato" w:cs="Times New Roman"/>
                <w:b w:val="0"/>
                <w:color w:val="auto"/>
                <w:sz w:val="18"/>
                <w:szCs w:val="18"/>
              </w:rPr>
              <w:t>W analizowanym roku przeciętna liczba osób w gospodarstwie domowym ukształtowała się na poziomie 2,45. Przeciętna powierzchnia użytkowa mieszkania zajmowana przez gospodarstwo domowe wyniosła 93,2 m</w:t>
            </w:r>
            <w:r w:rsidRPr="00B36A32">
              <w:rPr>
                <w:rFonts w:ascii="Lato" w:hAnsi="Lato" w:cs="Times New Roman"/>
                <w:b w:val="0"/>
                <w:color w:val="auto"/>
                <w:sz w:val="18"/>
                <w:szCs w:val="18"/>
                <w:vertAlign w:val="superscript"/>
              </w:rPr>
              <w:t>2</w:t>
            </w:r>
            <w:r w:rsidRPr="00B36A32">
              <w:rPr>
                <w:rFonts w:ascii="Lato" w:hAnsi="Lato" w:cs="Times New Roman"/>
                <w:b w:val="0"/>
                <w:color w:val="auto"/>
                <w:sz w:val="18"/>
                <w:szCs w:val="18"/>
              </w:rPr>
              <w:t>.</w:t>
            </w:r>
          </w:p>
        </w:tc>
      </w:tr>
    </w:tbl>
    <w:p w14:paraId="1704B900" w14:textId="77777777" w:rsidR="00B36A32" w:rsidRPr="002A7F1A" w:rsidRDefault="00B36A32" w:rsidP="00B36A32">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2B39E5DB" w14:textId="77777777" w:rsidR="00B36A32" w:rsidRPr="002A7F1A" w:rsidRDefault="00B36A32" w:rsidP="00B36A32">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6733C684" w14:textId="77777777" w:rsidR="00B36A32" w:rsidRPr="002A7F1A" w:rsidRDefault="00B36A32" w:rsidP="00B36A32">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0958FAA3" w14:textId="7FA2A039" w:rsidR="00B36A32" w:rsidRPr="00B36A32" w:rsidRDefault="00B36A32" w:rsidP="00B36A32">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759D7F6F" w14:textId="22EEA699" w:rsidR="00E8348B" w:rsidRPr="002B0821" w:rsidRDefault="00586D97" w:rsidP="00E8348B">
      <w:pPr>
        <w:pStyle w:val="Nagwek2"/>
        <w:numPr>
          <w:ilvl w:val="1"/>
          <w:numId w:val="44"/>
        </w:numPr>
        <w:rPr>
          <w:b/>
          <w:bCs/>
        </w:rPr>
      </w:pPr>
      <w:bookmarkStart w:id="159" w:name="_Toc142565956"/>
      <w:r w:rsidRPr="002B0821">
        <w:rPr>
          <w:b/>
          <w:bCs/>
        </w:rPr>
        <w:t>Województwo podkarpackie</w:t>
      </w:r>
      <w:bookmarkEnd w:id="159"/>
    </w:p>
    <w:p w14:paraId="4BDE9C5E" w14:textId="08064953" w:rsidR="00E8348B" w:rsidRDefault="00E8348B" w:rsidP="00E8348B">
      <w:pPr>
        <w:spacing w:after="0" w:line="240" w:lineRule="auto"/>
        <w:contextualSpacing/>
        <w:jc w:val="both"/>
        <w:rPr>
          <w:rFonts w:ascii="Lato" w:eastAsia="Times New Roman" w:hAnsi="Lato" w:cs="Times New Roman"/>
          <w:sz w:val="20"/>
          <w:szCs w:val="20"/>
          <w:lang w:eastAsia="pl-PL"/>
        </w:rPr>
      </w:pPr>
      <w:r w:rsidRPr="00E8348B">
        <w:rPr>
          <w:rFonts w:ascii="Lato" w:hAnsi="Lato" w:cs="Times New Roman"/>
          <w:sz w:val="20"/>
          <w:szCs w:val="20"/>
        </w:rPr>
        <w:t>W 2022 r</w:t>
      </w:r>
      <w:r>
        <w:rPr>
          <w:rFonts w:ascii="Lato" w:hAnsi="Lato" w:cs="Times New Roman"/>
          <w:sz w:val="20"/>
          <w:szCs w:val="20"/>
        </w:rPr>
        <w:t>.</w:t>
      </w:r>
      <w:r w:rsidRPr="00E8348B">
        <w:rPr>
          <w:rFonts w:ascii="Lato" w:hAnsi="Lato" w:cs="Times New Roman"/>
          <w:sz w:val="20"/>
          <w:szCs w:val="20"/>
        </w:rPr>
        <w:t xml:space="preserve"> Samorząd Województwa Podkarpackiego podejmował działania na rzecz osób starszych wynikające, m.in. ze </w:t>
      </w:r>
      <w:r w:rsidRPr="00E8348B">
        <w:rPr>
          <w:rFonts w:ascii="Lato" w:eastAsia="Times New Roman" w:hAnsi="Lato" w:cs="Arial"/>
          <w:b/>
          <w:i/>
          <w:sz w:val="20"/>
          <w:szCs w:val="20"/>
          <w:lang w:eastAsia="pl-PL"/>
        </w:rPr>
        <w:t xml:space="preserve"> </w:t>
      </w:r>
      <w:r w:rsidRPr="00E8348B">
        <w:rPr>
          <w:rFonts w:ascii="Lato" w:eastAsia="Times New Roman" w:hAnsi="Lato" w:cs="Times New Roman"/>
          <w:b/>
          <w:iCs/>
          <w:sz w:val="20"/>
          <w:szCs w:val="20"/>
          <w:lang w:eastAsia="pl-PL"/>
        </w:rPr>
        <w:t>Strategii rozwoju województwa – Podkarpackie 2030</w:t>
      </w:r>
      <w:r w:rsidRPr="00E8348B">
        <w:rPr>
          <w:rFonts w:ascii="Lato" w:eastAsia="Times New Roman" w:hAnsi="Lato" w:cs="Times New Roman"/>
          <w:iCs/>
          <w:sz w:val="20"/>
          <w:szCs w:val="20"/>
          <w:lang w:eastAsia="pl-PL"/>
        </w:rPr>
        <w:t>,</w:t>
      </w:r>
      <w:r>
        <w:rPr>
          <w:rFonts w:ascii="Lato" w:eastAsia="Times New Roman" w:hAnsi="Lato" w:cs="Times New Roman"/>
          <w:sz w:val="20"/>
          <w:szCs w:val="20"/>
          <w:lang w:eastAsia="pl-PL"/>
        </w:rPr>
        <w:t xml:space="preserve"> w której </w:t>
      </w:r>
      <w:r w:rsidRPr="00E8348B">
        <w:rPr>
          <w:rFonts w:ascii="Lato" w:eastAsia="Times New Roman" w:hAnsi="Lato" w:cs="Times New Roman"/>
          <w:sz w:val="20"/>
          <w:szCs w:val="20"/>
          <w:lang w:eastAsia="pl-PL"/>
        </w:rPr>
        <w:t>zawarte są poniższe priorytety i kierunki działań wspierające osoby starsze:</w:t>
      </w:r>
    </w:p>
    <w:p w14:paraId="74379718" w14:textId="77777777" w:rsidR="00E8348B" w:rsidRPr="00E8348B" w:rsidRDefault="00E8348B" w:rsidP="00E8348B">
      <w:pPr>
        <w:spacing w:after="0" w:line="240" w:lineRule="auto"/>
        <w:contextualSpacing/>
        <w:jc w:val="both"/>
        <w:rPr>
          <w:rFonts w:ascii="Lato" w:eastAsia="Times New Roman" w:hAnsi="Lato" w:cs="Times New Roman"/>
          <w:sz w:val="20"/>
          <w:szCs w:val="20"/>
          <w:lang w:eastAsia="pl-PL"/>
        </w:rPr>
      </w:pPr>
    </w:p>
    <w:p w14:paraId="57A70DEB" w14:textId="4A590880" w:rsidR="00E8348B" w:rsidRPr="005D6546" w:rsidRDefault="00E8348B" w:rsidP="00E8348B">
      <w:pPr>
        <w:spacing w:after="0" w:line="240" w:lineRule="auto"/>
        <w:contextualSpacing/>
        <w:jc w:val="both"/>
        <w:rPr>
          <w:rFonts w:ascii="Lato" w:eastAsia="Times New Roman" w:hAnsi="Lato" w:cs="Times New Roman"/>
          <w:b/>
          <w:sz w:val="20"/>
          <w:szCs w:val="20"/>
          <w:lang w:eastAsia="pl-PL"/>
        </w:rPr>
      </w:pPr>
      <w:r w:rsidRPr="00E8348B">
        <w:rPr>
          <w:rFonts w:ascii="Lato" w:eastAsia="Times New Roman" w:hAnsi="Lato" w:cs="Times New Roman"/>
          <w:b/>
          <w:sz w:val="20"/>
          <w:szCs w:val="20"/>
          <w:lang w:eastAsia="pl-PL"/>
        </w:rPr>
        <w:t>OBSZAR TEMATYCZNY 2. KAPITAŁ LUDZKI I SPOŁECZNY</w:t>
      </w:r>
      <w:r>
        <w:rPr>
          <w:rFonts w:ascii="Lato" w:eastAsia="Times New Roman" w:hAnsi="Lato" w:cs="Times New Roman"/>
          <w:b/>
          <w:sz w:val="20"/>
          <w:szCs w:val="20"/>
          <w:lang w:eastAsia="pl-PL"/>
        </w:rPr>
        <w:t xml:space="preserve"> - </w:t>
      </w:r>
      <w:r>
        <w:rPr>
          <w:rFonts w:ascii="Lato" w:eastAsia="Times New Roman" w:hAnsi="Lato" w:cs="Times New Roman"/>
          <w:sz w:val="20"/>
          <w:szCs w:val="20"/>
          <w:lang w:eastAsia="pl-PL"/>
        </w:rPr>
        <w:t>o</w:t>
      </w:r>
      <w:r w:rsidRPr="00E8348B">
        <w:rPr>
          <w:rFonts w:ascii="Lato" w:eastAsia="Times New Roman" w:hAnsi="Lato" w:cs="Times New Roman"/>
          <w:sz w:val="20"/>
          <w:szCs w:val="20"/>
          <w:lang w:eastAsia="pl-PL"/>
        </w:rPr>
        <w:t>soby starsze wspierane są w ramach następujących priorytetów i kierunków działań</w:t>
      </w:r>
      <w:r>
        <w:rPr>
          <w:rFonts w:ascii="Lato" w:eastAsia="Times New Roman" w:hAnsi="Lato" w:cs="Times New Roman"/>
          <w:sz w:val="20"/>
          <w:szCs w:val="20"/>
          <w:lang w:eastAsia="pl-PL"/>
        </w:rPr>
        <w:t xml:space="preserve">: </w:t>
      </w:r>
    </w:p>
    <w:p w14:paraId="423B19B8" w14:textId="4D65DB9E"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sz w:val="20"/>
          <w:szCs w:val="20"/>
          <w:lang w:eastAsia="pl-PL"/>
        </w:rPr>
        <w:t>Edukacja</w:t>
      </w:r>
      <w:r w:rsidRPr="005D6546">
        <w:rPr>
          <w:rFonts w:ascii="Lato" w:eastAsia="Times New Roman" w:hAnsi="Lato" w:cs="Times New Roman"/>
          <w:sz w:val="20"/>
          <w:szCs w:val="20"/>
          <w:lang w:eastAsia="pl-PL"/>
        </w:rPr>
        <w:t xml:space="preserve"> i </w:t>
      </w:r>
      <w:r w:rsidRPr="005D6546">
        <w:rPr>
          <w:rFonts w:ascii="Lato" w:eastAsia="Times New Roman" w:hAnsi="Lato" w:cs="Times New Roman"/>
          <w:b/>
          <w:bCs/>
          <w:sz w:val="20"/>
          <w:szCs w:val="20"/>
          <w:lang w:eastAsia="pl-PL"/>
        </w:rPr>
        <w:t>Rozwój edukacji nieformalnej</w:t>
      </w:r>
    </w:p>
    <w:p w14:paraId="3FF18D3B" w14:textId="3942668E" w:rsidR="00E8348B" w:rsidRDefault="00E8348B" w:rsidP="00E8348B">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System edukacji nieformalnej to edukacja poza szkołą instytucjonalną, tworzona przez podmioty z nakierowaniem na odbiorcę i realizację określonego celu. Jednym z odbiorców edukacji nieformalnej wskazanymi w Strategii są seniorzy. Zakładane działania to: powstanie oraz stałe rozwijanie oferty Podkarpackiego Centrum Nauki oraz innych podmiotów prowadzących edukację nieformalną, skierowaną do szkół i osób prywatnych, w tym dzieci, młodzieży, osób dorosłych, studentów i seniorów.</w:t>
      </w:r>
      <w:bookmarkStart w:id="160" w:name="_Toc52266105"/>
    </w:p>
    <w:p w14:paraId="6B25F43A" w14:textId="38A28946"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bCs/>
          <w:sz w:val="20"/>
          <w:szCs w:val="20"/>
          <w:lang w:eastAsia="pl-PL"/>
        </w:rPr>
        <w:t>Regionalna polityka zdrowotna</w:t>
      </w:r>
      <w:bookmarkEnd w:id="160"/>
      <w:r w:rsidRPr="005D6546">
        <w:rPr>
          <w:rFonts w:ascii="Lato" w:eastAsia="Times New Roman" w:hAnsi="Lato" w:cs="Times New Roman"/>
          <w:sz w:val="20"/>
          <w:szCs w:val="20"/>
          <w:lang w:eastAsia="pl-PL"/>
        </w:rPr>
        <w:t xml:space="preserve"> i </w:t>
      </w:r>
      <w:r w:rsidRPr="005D6546">
        <w:rPr>
          <w:rFonts w:ascii="Lato" w:eastAsia="Times New Roman" w:hAnsi="Lato" w:cs="Times New Roman"/>
          <w:b/>
          <w:bCs/>
          <w:sz w:val="20"/>
          <w:szCs w:val="20"/>
          <w:lang w:eastAsia="pl-PL"/>
        </w:rPr>
        <w:t xml:space="preserve">Promocja </w:t>
      </w:r>
      <w:proofErr w:type="spellStart"/>
      <w:r w:rsidRPr="005D6546">
        <w:rPr>
          <w:rFonts w:ascii="Lato" w:eastAsia="Times New Roman" w:hAnsi="Lato" w:cs="Times New Roman"/>
          <w:b/>
          <w:bCs/>
          <w:sz w:val="20"/>
          <w:szCs w:val="20"/>
          <w:lang w:eastAsia="pl-PL"/>
        </w:rPr>
        <w:t>zachowań</w:t>
      </w:r>
      <w:proofErr w:type="spellEnd"/>
      <w:r w:rsidRPr="005D6546">
        <w:rPr>
          <w:rFonts w:ascii="Lato" w:eastAsia="Times New Roman" w:hAnsi="Lato" w:cs="Times New Roman"/>
          <w:b/>
          <w:bCs/>
          <w:sz w:val="20"/>
          <w:szCs w:val="20"/>
          <w:lang w:eastAsia="pl-PL"/>
        </w:rPr>
        <w:t xml:space="preserve"> prozdrowotnych</w:t>
      </w:r>
    </w:p>
    <w:p w14:paraId="7DA5EDF8" w14:textId="43653246" w:rsidR="00E8348B" w:rsidRDefault="00E8348B" w:rsidP="00E8348B">
      <w:pPr>
        <w:spacing w:after="0" w:line="240" w:lineRule="auto"/>
        <w:jc w:val="both"/>
        <w:rPr>
          <w:rFonts w:ascii="Lato" w:eastAsia="Times New Roman" w:hAnsi="Lato" w:cs="Times New Roman"/>
          <w:bCs/>
          <w:sz w:val="20"/>
          <w:szCs w:val="20"/>
          <w:lang w:eastAsia="pl-PL"/>
        </w:rPr>
      </w:pPr>
      <w:r w:rsidRPr="00E8348B">
        <w:rPr>
          <w:rFonts w:ascii="Lato" w:eastAsia="Times New Roman" w:hAnsi="Lato" w:cs="Times New Roman"/>
          <w:bCs/>
          <w:sz w:val="20"/>
          <w:szCs w:val="20"/>
          <w:lang w:eastAsia="pl-PL"/>
        </w:rPr>
        <w:t xml:space="preserve">Konieczne jest wspieranie programów edukacji zdrowotnej, ukierunkowanych na zapobieganie tzw. chorobom cywilizacyjnym oraz chorobom wieku podeszłego. </w:t>
      </w:r>
      <w:r w:rsidRPr="00E8348B">
        <w:rPr>
          <w:rFonts w:ascii="Lato" w:eastAsia="Times New Roman" w:hAnsi="Lato" w:cs="Times New Roman"/>
          <w:sz w:val="20"/>
          <w:szCs w:val="20"/>
          <w:lang w:eastAsia="pl-PL"/>
        </w:rPr>
        <w:t xml:space="preserve">Zakładane działania to: </w:t>
      </w:r>
      <w:r w:rsidRPr="00E8348B">
        <w:rPr>
          <w:rFonts w:ascii="Lato" w:eastAsia="Times New Roman" w:hAnsi="Lato" w:cs="Times New Roman"/>
          <w:bCs/>
          <w:sz w:val="20"/>
          <w:szCs w:val="20"/>
          <w:lang w:eastAsia="pl-PL"/>
        </w:rPr>
        <w:t>promocja zdrowego żywienia, jako integralnego elementu leczenia,</w:t>
      </w:r>
      <w:r w:rsidRPr="00E8348B">
        <w:rPr>
          <w:rFonts w:ascii="Lato" w:eastAsia="Times New Roman" w:hAnsi="Lato" w:cs="Times New Roman"/>
          <w:sz w:val="20"/>
          <w:szCs w:val="20"/>
          <w:lang w:eastAsia="pl-PL"/>
        </w:rPr>
        <w:t xml:space="preserve"> </w:t>
      </w:r>
      <w:r w:rsidRPr="00E8348B">
        <w:rPr>
          <w:rFonts w:ascii="Lato" w:eastAsia="Times New Roman" w:hAnsi="Lato" w:cs="Times New Roman"/>
          <w:bCs/>
          <w:sz w:val="20"/>
          <w:szCs w:val="20"/>
          <w:lang w:eastAsia="pl-PL"/>
        </w:rPr>
        <w:t>wzmacnianie świadomości społecznej w zakresie promocji zdrowia, profilaktyki i rekreacji,</w:t>
      </w:r>
      <w:r w:rsidRPr="00E8348B">
        <w:rPr>
          <w:rFonts w:ascii="Lato" w:eastAsia="Times New Roman" w:hAnsi="Lato" w:cs="Times New Roman"/>
          <w:sz w:val="20"/>
          <w:szCs w:val="20"/>
          <w:lang w:eastAsia="pl-PL"/>
        </w:rPr>
        <w:t xml:space="preserve"> </w:t>
      </w:r>
      <w:r w:rsidRPr="00E8348B">
        <w:rPr>
          <w:rFonts w:ascii="Lato" w:eastAsia="Times New Roman" w:hAnsi="Lato" w:cs="Times New Roman"/>
          <w:bCs/>
          <w:sz w:val="20"/>
          <w:szCs w:val="20"/>
          <w:lang w:eastAsia="pl-PL"/>
        </w:rPr>
        <w:t xml:space="preserve">promowanie zdrowego i aktywnego trybu życia wraz z profilaktyką </w:t>
      </w:r>
      <w:r w:rsidRPr="00E8348B">
        <w:rPr>
          <w:rFonts w:ascii="Lato" w:eastAsia="Times New Roman" w:hAnsi="Lato" w:cs="Times New Roman"/>
          <w:sz w:val="20"/>
          <w:szCs w:val="20"/>
          <w:lang w:eastAsia="pl-PL"/>
        </w:rPr>
        <w:t>(m.in. uzależnień i stresu)</w:t>
      </w:r>
      <w:r w:rsidRPr="00E8348B">
        <w:rPr>
          <w:rFonts w:ascii="Lato" w:eastAsia="Times New Roman" w:hAnsi="Lato" w:cs="Times New Roman"/>
          <w:bCs/>
          <w:sz w:val="20"/>
          <w:szCs w:val="20"/>
          <w:lang w:eastAsia="pl-PL"/>
        </w:rPr>
        <w:t>,</w:t>
      </w:r>
      <w:r w:rsidRPr="00E8348B">
        <w:rPr>
          <w:rFonts w:ascii="Lato" w:eastAsia="Times New Roman" w:hAnsi="Lato" w:cs="Times New Roman"/>
          <w:sz w:val="20"/>
          <w:szCs w:val="20"/>
          <w:lang w:eastAsia="pl-PL"/>
        </w:rPr>
        <w:t xml:space="preserve"> </w:t>
      </w:r>
      <w:r w:rsidRPr="00E8348B">
        <w:rPr>
          <w:rFonts w:ascii="Lato" w:eastAsia="Times New Roman" w:hAnsi="Lato" w:cs="Times New Roman"/>
          <w:bCs/>
          <w:sz w:val="20"/>
          <w:szCs w:val="20"/>
          <w:lang w:eastAsia="pl-PL"/>
        </w:rPr>
        <w:t>upowszechnianie odpowiedzialnych postaw przeciwdziałających przenoszeniu chorób zakaźnych,</w:t>
      </w:r>
      <w:r w:rsidRPr="00E8348B">
        <w:rPr>
          <w:rFonts w:ascii="Lato" w:eastAsia="Times New Roman" w:hAnsi="Lato" w:cs="Times New Roman"/>
          <w:sz w:val="20"/>
          <w:szCs w:val="20"/>
          <w:lang w:eastAsia="pl-PL"/>
        </w:rPr>
        <w:t xml:space="preserve"> </w:t>
      </w:r>
      <w:r w:rsidRPr="00E8348B">
        <w:rPr>
          <w:rFonts w:ascii="Lato" w:eastAsia="Times New Roman" w:hAnsi="Lato" w:cs="Times New Roman"/>
          <w:bCs/>
          <w:sz w:val="20"/>
          <w:szCs w:val="20"/>
          <w:lang w:eastAsia="pl-PL"/>
        </w:rPr>
        <w:t>upowszechnienie w społeczeństwie aktywności ruchowej, jako składowej zdrowego stylu życia.</w:t>
      </w:r>
      <w:bookmarkStart w:id="161" w:name="_Toc52266107"/>
    </w:p>
    <w:p w14:paraId="40F93A3E" w14:textId="7247D616"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bCs/>
          <w:iCs/>
          <w:sz w:val="20"/>
          <w:szCs w:val="20"/>
          <w:lang w:eastAsia="pl-PL"/>
        </w:rPr>
        <w:t>Rynek pracy</w:t>
      </w:r>
      <w:bookmarkEnd w:id="161"/>
      <w:r w:rsidRPr="005D6546">
        <w:rPr>
          <w:rFonts w:ascii="Lato" w:eastAsia="Times New Roman" w:hAnsi="Lato" w:cs="Times New Roman"/>
          <w:b/>
          <w:bCs/>
          <w:iCs/>
          <w:sz w:val="20"/>
          <w:szCs w:val="20"/>
          <w:lang w:eastAsia="pl-PL"/>
        </w:rPr>
        <w:t xml:space="preserve"> </w:t>
      </w:r>
      <w:r w:rsidRPr="005D6546">
        <w:rPr>
          <w:rFonts w:ascii="Lato" w:eastAsia="Times New Roman" w:hAnsi="Lato" w:cs="Times New Roman"/>
          <w:sz w:val="20"/>
          <w:szCs w:val="20"/>
          <w:lang w:eastAsia="pl-PL"/>
        </w:rPr>
        <w:t xml:space="preserve">i </w:t>
      </w:r>
      <w:r w:rsidRPr="005D6546">
        <w:rPr>
          <w:rFonts w:ascii="Lato" w:eastAsia="Times New Roman" w:hAnsi="Lato" w:cs="Times New Roman"/>
          <w:b/>
          <w:bCs/>
          <w:color w:val="000000"/>
          <w:sz w:val="20"/>
          <w:szCs w:val="20"/>
          <w:lang w:eastAsia="pl-PL"/>
        </w:rPr>
        <w:t>Miejsca pracy dobrej jakości</w:t>
      </w:r>
    </w:p>
    <w:p w14:paraId="07B4F20F" w14:textId="77777777" w:rsidR="00E8348B" w:rsidRDefault="00E8348B" w:rsidP="00E8348B">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Priorytet zakłada m.in. inicjowanie i wspieranie samozatrudnienia, także wśród osób starszych. Zakładane działania to: promocja samozatrudnienia, w tym w grupach </w:t>
      </w:r>
      <w:proofErr w:type="spellStart"/>
      <w:r w:rsidRPr="00E8348B">
        <w:rPr>
          <w:rFonts w:ascii="Lato" w:eastAsia="Times New Roman" w:hAnsi="Lato" w:cs="Times New Roman"/>
          <w:sz w:val="20"/>
          <w:szCs w:val="20"/>
          <w:lang w:eastAsia="pl-PL"/>
        </w:rPr>
        <w:t>defaworyzowanych</w:t>
      </w:r>
      <w:proofErr w:type="spellEnd"/>
      <w:r w:rsidRPr="00E8348B">
        <w:rPr>
          <w:rFonts w:ascii="Lato" w:eastAsia="Times New Roman" w:hAnsi="Lato" w:cs="Times New Roman"/>
          <w:sz w:val="20"/>
          <w:szCs w:val="20"/>
          <w:lang w:eastAsia="pl-PL"/>
        </w:rPr>
        <w:t xml:space="preserve">, poprawa bezpieczeństwa i higieny pracy, wsparcie podmiotów w zachowaniu miejsc pracy w czasie zastoju gospodarczego wynikającego z krajowych uwarunkowań kryzysowych, w tym epidemia COVID-19 w 2020 r., dostosowanie miejsc pracy do potrzeb starszych pracowników i osób z niepełnosprawnościami, </w:t>
      </w:r>
      <w:r w:rsidRPr="00E8348B">
        <w:rPr>
          <w:rFonts w:ascii="Lato" w:eastAsia="Times New Roman" w:hAnsi="Lato" w:cs="Times New Roman"/>
          <w:sz w:val="20"/>
          <w:szCs w:val="20"/>
          <w:lang w:eastAsia="pl-PL"/>
        </w:rPr>
        <w:lastRenderedPageBreak/>
        <w:t>profilaktyka w zakresie przeciwdziałania chorobom skutkującym przedwczesnym opuszczeniem rynku pracy.</w:t>
      </w:r>
    </w:p>
    <w:p w14:paraId="667C523D" w14:textId="201B2436"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bCs/>
          <w:iCs/>
          <w:sz w:val="20"/>
          <w:szCs w:val="20"/>
          <w:lang w:eastAsia="pl-PL"/>
        </w:rPr>
        <w:t>Włączenie społeczne</w:t>
      </w:r>
      <w:r w:rsidRPr="005D6546">
        <w:rPr>
          <w:rFonts w:ascii="Lato" w:eastAsia="Times New Roman" w:hAnsi="Lato" w:cs="Times New Roman"/>
          <w:sz w:val="20"/>
          <w:szCs w:val="20"/>
          <w:lang w:eastAsia="pl-PL"/>
        </w:rPr>
        <w:t xml:space="preserve"> </w:t>
      </w:r>
      <w:r w:rsidRPr="005D6546">
        <w:rPr>
          <w:rFonts w:ascii="Lato" w:eastAsia="Times New Roman" w:hAnsi="Lato" w:cs="Times New Roman"/>
          <w:b/>
          <w:bCs/>
          <w:sz w:val="20"/>
          <w:szCs w:val="20"/>
          <w:lang w:eastAsia="pl-PL"/>
        </w:rPr>
        <w:t xml:space="preserve">oraz </w:t>
      </w:r>
      <w:r w:rsidRPr="005D6546">
        <w:rPr>
          <w:rFonts w:ascii="Lato" w:eastAsia="Times New Roman" w:hAnsi="Lato" w:cs="Times New Roman"/>
          <w:b/>
          <w:bCs/>
          <w:iCs/>
          <w:sz w:val="20"/>
          <w:szCs w:val="20"/>
          <w:lang w:eastAsia="pl-PL"/>
        </w:rPr>
        <w:t xml:space="preserve">Działania zmierzające do </w:t>
      </w:r>
      <w:r w:rsidRPr="005D6546">
        <w:rPr>
          <w:rFonts w:ascii="Lato" w:eastAsia="Times New Roman" w:hAnsi="Lato" w:cs="Times New Roman"/>
          <w:b/>
          <w:bCs/>
          <w:sz w:val="20"/>
          <w:szCs w:val="20"/>
          <w:lang w:eastAsia="pl-PL"/>
        </w:rPr>
        <w:t>zmniejszenia poziomu ubóstwa i wykluczenia społecznego w województwie</w:t>
      </w:r>
    </w:p>
    <w:p w14:paraId="4A6BEE96" w14:textId="4C48EF5A" w:rsidR="00E8348B" w:rsidRPr="00E8348B" w:rsidRDefault="00E8348B" w:rsidP="00E8348B">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Priorytet zakłada wzmocnienie zintegrowanych systemów wsparcia oraz poprawie dostępu do usług społecznych, wyrównując szanse wykluczonych grup społecznych.  Zakładane działania to: tworzenie zintegrowanego systemu wsparcia dla środowisk zagrożonych marginalizacją i wykluczeniem społecznym, w szczególności w sytuacji kryzysu gospodarczego regionu, rozwój systemu wsparcia poprzez działania z zakresu łagodzenia skutków wykluczenia osób z niepełnosprawnościami i osób starzejących się, wzmocnienia systemu wczesnej interwencji rehabilitacyjnej, likwidacji barier architektonicznych oraz kształtowania pozytywnych postaw wobec osób starszych i osób z niepełnosprawnościami, poprawa dostępu do usług transportowych dla osób z niepełnosprawnościami i starszych, poprawa dostępu i zwiększenie efektywności usług społecznych m.in. mieszkalnictwa, opieki nad osobami potrzebującymi wsparcia w codziennym funkcjonowaniu, dla osób z niepełnosprawnościami, wykluczonych i starszych, usług opiekuńczych świadczonych nieinstytucjonalnie.</w:t>
      </w:r>
    </w:p>
    <w:p w14:paraId="29ACD712" w14:textId="08D2F405" w:rsidR="00E8348B" w:rsidRPr="005D6546" w:rsidRDefault="00E8348B" w:rsidP="0059185B">
      <w:pPr>
        <w:pStyle w:val="Akapitzlist"/>
        <w:numPr>
          <w:ilvl w:val="0"/>
          <w:numId w:val="79"/>
        </w:numPr>
        <w:spacing w:after="0" w:line="240" w:lineRule="auto"/>
        <w:jc w:val="both"/>
        <w:rPr>
          <w:rFonts w:ascii="Lato" w:eastAsia="Times New Roman" w:hAnsi="Lato" w:cs="Times New Roman"/>
          <w:b/>
          <w:sz w:val="20"/>
          <w:szCs w:val="20"/>
          <w:lang w:eastAsia="pl-PL"/>
        </w:rPr>
      </w:pPr>
      <w:r w:rsidRPr="005D6546">
        <w:rPr>
          <w:rFonts w:ascii="Lato" w:eastAsia="Times New Roman" w:hAnsi="Lato" w:cs="Times New Roman"/>
          <w:b/>
          <w:bCs/>
          <w:sz w:val="20"/>
          <w:szCs w:val="20"/>
          <w:lang w:eastAsia="pl-PL"/>
        </w:rPr>
        <w:t>Rozwój sektora ekonomii społecznej i solidarnej jako element polityki społecznej województwa</w:t>
      </w:r>
    </w:p>
    <w:p w14:paraId="21A2F635" w14:textId="77777777" w:rsidR="005D6546" w:rsidRDefault="00E8348B" w:rsidP="005D6546">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Ekonomia społeczna i solidarna działaniami obejmuje osoby w trudnej sytuacji życiowej i zagrożone wykluczeniem społecznym w szczególności seniorów, bezrobotnych i osób z niepełnosprawnościami. Zakładane działania to: rozwój systemowych form wsparcia, w tym zapewnienie możliwości wsparcia infrastrukturalnego podmiotów ekonomii społecznej, wspieranie wykorzystania ekonomii społecznej i solidarnej, jako pola aktywizacji zawodowej i społecznej grup </w:t>
      </w:r>
      <w:proofErr w:type="spellStart"/>
      <w:r w:rsidRPr="00E8348B">
        <w:rPr>
          <w:rFonts w:ascii="Lato" w:eastAsia="Times New Roman" w:hAnsi="Lato" w:cs="Times New Roman"/>
          <w:sz w:val="20"/>
          <w:szCs w:val="20"/>
          <w:lang w:eastAsia="pl-PL"/>
        </w:rPr>
        <w:t>defaworyzowanych</w:t>
      </w:r>
      <w:proofErr w:type="spellEnd"/>
      <w:r w:rsidRPr="00E8348B">
        <w:rPr>
          <w:rFonts w:ascii="Lato" w:eastAsia="Times New Roman" w:hAnsi="Lato" w:cs="Times New Roman"/>
          <w:sz w:val="20"/>
          <w:szCs w:val="20"/>
          <w:lang w:eastAsia="pl-PL"/>
        </w:rPr>
        <w:t>, upowszechnianie modelu odpowiedzialnej wspólnoty wykorzystującej zasoby lokalne i dostępne instrumenty.</w:t>
      </w:r>
      <w:bookmarkStart w:id="162" w:name="_Toc52266110"/>
    </w:p>
    <w:p w14:paraId="155BD9BC" w14:textId="3974F141"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bCs/>
          <w:sz w:val="20"/>
          <w:szCs w:val="20"/>
          <w:lang w:eastAsia="pl-PL"/>
        </w:rPr>
        <w:t>Aktywny styl życia i sport</w:t>
      </w:r>
      <w:bookmarkEnd w:id="162"/>
      <w:r w:rsidRPr="005D6546">
        <w:rPr>
          <w:rFonts w:ascii="Lato" w:eastAsia="Times New Roman" w:hAnsi="Lato" w:cs="Times New Roman"/>
          <w:b/>
          <w:bCs/>
          <w:sz w:val="20"/>
          <w:szCs w:val="20"/>
          <w:lang w:eastAsia="pl-PL"/>
        </w:rPr>
        <w:t xml:space="preserve"> </w:t>
      </w:r>
      <w:r w:rsidR="005D6546">
        <w:rPr>
          <w:rFonts w:ascii="Lato" w:eastAsia="Times New Roman" w:hAnsi="Lato" w:cs="Times New Roman"/>
          <w:b/>
          <w:bCs/>
          <w:sz w:val="20"/>
          <w:szCs w:val="20"/>
          <w:lang w:eastAsia="pl-PL"/>
        </w:rPr>
        <w:t xml:space="preserve">oraz </w:t>
      </w:r>
      <w:r w:rsidRPr="005D6546">
        <w:rPr>
          <w:rFonts w:ascii="Lato" w:eastAsia="Times New Roman" w:hAnsi="Lato" w:cs="Times New Roman"/>
          <w:b/>
          <w:bCs/>
          <w:sz w:val="20"/>
          <w:szCs w:val="20"/>
          <w:lang w:eastAsia="pl-PL"/>
        </w:rPr>
        <w:t>Zapewnienie korzystnych warunków rozwoju sportu</w:t>
      </w:r>
    </w:p>
    <w:p w14:paraId="49E458A9" w14:textId="77777777" w:rsidR="005D6546" w:rsidRDefault="00E8348B" w:rsidP="005D6546">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W celu kształtowania aktywnego fizycznie społeczeństwa podejmowane są działania upowszechniające sport wraz z dostosowaniem infrastruktury, w tym również do aktywności ruchowej osób z niepełnosprawnościami. Zakładane działania to: promocja aktywności ruchowej osób dorosłych, w tym osób w wieku 65+, rozwój infrastruktury sportowej z uwzględnieniem osób z niepełnosprawnościami oraz starszych, upowszechnianie sportu i rekreacji ruchowej w środowisku osób z niepełnosprawnościami oraz starszych.</w:t>
      </w:r>
    </w:p>
    <w:p w14:paraId="059DDF89" w14:textId="5DB6D3B3" w:rsidR="00E8348B" w:rsidRPr="005D6546" w:rsidRDefault="00E8348B" w:rsidP="0059185B">
      <w:pPr>
        <w:pStyle w:val="Akapitzlist"/>
        <w:numPr>
          <w:ilvl w:val="0"/>
          <w:numId w:val="79"/>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
          <w:iCs/>
          <w:sz w:val="20"/>
          <w:szCs w:val="20"/>
          <w:lang w:eastAsia="pl-PL"/>
        </w:rPr>
        <w:t>Promocja aktywnego stylu życia</w:t>
      </w:r>
    </w:p>
    <w:p w14:paraId="149548BD" w14:textId="77777777" w:rsidR="00E8348B" w:rsidRPr="00E8348B" w:rsidRDefault="00E8348B" w:rsidP="00E8348B">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Priorytet zakłada promocję aktywnego stylu życia, jako wartościowej formy spędzania wolnego czasu i kierowanie usług rekreacyjnych i aktywnego wypoczynku do wszystkich grup wiekowych, w tym osób starszych i z niepełnosprawnościami. Zakładane działania to: rozwój infrastruktury i oferty zajęć rozwijających potencjał kreatywny wszystkich grup wiekowych w tym osób starszych.</w:t>
      </w:r>
    </w:p>
    <w:p w14:paraId="614D0882" w14:textId="77777777" w:rsidR="005D6546" w:rsidRDefault="005D6546" w:rsidP="005D6546">
      <w:pPr>
        <w:spacing w:after="0" w:line="240" w:lineRule="auto"/>
        <w:contextualSpacing/>
        <w:jc w:val="both"/>
        <w:rPr>
          <w:rFonts w:ascii="Lato" w:eastAsia="Times New Roman" w:hAnsi="Lato" w:cs="Times New Roman"/>
          <w:b/>
          <w:sz w:val="20"/>
          <w:szCs w:val="20"/>
          <w:lang w:eastAsia="pl-PL"/>
        </w:rPr>
      </w:pPr>
    </w:p>
    <w:p w14:paraId="3C753269" w14:textId="77777777" w:rsidR="005D6546" w:rsidRDefault="00E8348B" w:rsidP="005D6546">
      <w:pPr>
        <w:spacing w:after="0" w:line="240" w:lineRule="auto"/>
        <w:contextualSpacing/>
        <w:jc w:val="both"/>
        <w:rPr>
          <w:rFonts w:ascii="Lato" w:eastAsia="Times New Roman" w:hAnsi="Lato" w:cs="Times New Roman"/>
          <w:b/>
          <w:sz w:val="20"/>
          <w:szCs w:val="20"/>
          <w:lang w:eastAsia="pl-PL"/>
        </w:rPr>
      </w:pPr>
      <w:r w:rsidRPr="00E8348B">
        <w:rPr>
          <w:rFonts w:ascii="Lato" w:eastAsia="Times New Roman" w:hAnsi="Lato" w:cs="Times New Roman"/>
          <w:b/>
          <w:sz w:val="20"/>
          <w:szCs w:val="20"/>
          <w:lang w:eastAsia="pl-PL"/>
        </w:rPr>
        <w:t>OBSZAR TEMATYCZNY 4. DOSTĘPNOŚĆ USŁUG</w:t>
      </w:r>
      <w:r w:rsidR="005D6546">
        <w:rPr>
          <w:rFonts w:ascii="Lato" w:eastAsia="Times New Roman" w:hAnsi="Lato" w:cs="Times New Roman"/>
          <w:b/>
          <w:sz w:val="20"/>
          <w:szCs w:val="20"/>
          <w:lang w:eastAsia="pl-PL"/>
        </w:rPr>
        <w:t xml:space="preserve"> - o</w:t>
      </w:r>
      <w:r w:rsidRPr="00E8348B">
        <w:rPr>
          <w:rFonts w:ascii="Lato" w:eastAsia="Times New Roman" w:hAnsi="Lato" w:cs="Times New Roman"/>
          <w:sz w:val="20"/>
          <w:szCs w:val="20"/>
          <w:lang w:eastAsia="pl-PL"/>
        </w:rPr>
        <w:t>soby starsze wspierane są w ramach następujących priorytetów i kierunków działań:</w:t>
      </w:r>
      <w:bookmarkStart w:id="163" w:name="_Toc52266122"/>
    </w:p>
    <w:p w14:paraId="6DA76067" w14:textId="77777777" w:rsidR="00F66267" w:rsidRDefault="00F66267" w:rsidP="005D6546">
      <w:pPr>
        <w:spacing w:after="0" w:line="240" w:lineRule="auto"/>
        <w:contextualSpacing/>
        <w:jc w:val="both"/>
        <w:rPr>
          <w:rFonts w:ascii="Lato" w:eastAsia="Times New Roman" w:hAnsi="Lato" w:cs="Times New Roman"/>
          <w:b/>
          <w:bCs/>
          <w:sz w:val="20"/>
          <w:szCs w:val="20"/>
          <w:lang w:eastAsia="pl-PL"/>
        </w:rPr>
      </w:pPr>
    </w:p>
    <w:p w14:paraId="698D40CA" w14:textId="33FF8BEA" w:rsidR="00E8348B" w:rsidRPr="005D6546" w:rsidRDefault="00E8348B" w:rsidP="005D6546">
      <w:pPr>
        <w:spacing w:after="0" w:line="240" w:lineRule="auto"/>
        <w:contextualSpacing/>
        <w:jc w:val="both"/>
        <w:rPr>
          <w:rFonts w:ascii="Lato" w:eastAsia="Times New Roman" w:hAnsi="Lato" w:cs="Times New Roman"/>
          <w:b/>
          <w:sz w:val="20"/>
          <w:szCs w:val="20"/>
          <w:lang w:eastAsia="pl-PL"/>
        </w:rPr>
      </w:pPr>
      <w:r w:rsidRPr="00E8348B">
        <w:rPr>
          <w:rFonts w:ascii="Lato" w:eastAsia="Times New Roman" w:hAnsi="Lato" w:cs="Times New Roman"/>
          <w:b/>
          <w:bCs/>
          <w:sz w:val="20"/>
          <w:szCs w:val="20"/>
          <w:lang w:eastAsia="pl-PL"/>
        </w:rPr>
        <w:t>Planowanie przestrzenne wspierające aktywizację społeczności i aktywizacja obszarów zdegradowanych</w:t>
      </w:r>
      <w:bookmarkEnd w:id="163"/>
      <w:r w:rsidR="005D6546">
        <w:rPr>
          <w:rFonts w:ascii="Lato" w:eastAsia="Times New Roman" w:hAnsi="Lato" w:cs="Times New Roman"/>
          <w:b/>
          <w:sz w:val="20"/>
          <w:szCs w:val="20"/>
          <w:lang w:eastAsia="pl-PL"/>
        </w:rPr>
        <w:t xml:space="preserve"> oraz </w:t>
      </w:r>
      <w:r w:rsidRPr="00E8348B">
        <w:rPr>
          <w:rFonts w:ascii="Lato" w:eastAsia="Times New Roman" w:hAnsi="Lato" w:cs="Times New Roman"/>
          <w:b/>
          <w:bCs/>
          <w:sz w:val="20"/>
          <w:szCs w:val="20"/>
          <w:lang w:eastAsia="pl-PL"/>
        </w:rPr>
        <w:t>Lokalne działania aktywizujące społeczność regionu</w:t>
      </w:r>
    </w:p>
    <w:p w14:paraId="6AFB703A" w14:textId="77777777" w:rsidR="00E8348B" w:rsidRPr="00E8348B" w:rsidRDefault="00E8348B" w:rsidP="00E8348B">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Poprawa dostępności przestrzeni publicznej zarówno w aspekcie architektonicznym, komunikacyjnym jak też informacyjnym, poprzez projektowanie obiektów uniwersalnych (dostępnych dla wszystkich i bezpiecznych w użytkowaniu) oraz modernizację istniejącej infrastruktury społecznej, przyczyni się do wykorzystania potencjału wszystkich mieszkańców, integracji międzypokoleniowej, poprawy bezpieczeństwa i podejmowania innowacyjnych kierunków rozwoju regionów. Wyzwaniem będzie zapewnienie komplementarności inwestycji z działaniami. Zakładane działania to: tworzenie </w:t>
      </w:r>
      <w:r w:rsidRPr="00E8348B">
        <w:rPr>
          <w:rFonts w:ascii="Lato" w:eastAsia="Times New Roman" w:hAnsi="Lato" w:cs="Times New Roman"/>
          <w:sz w:val="20"/>
          <w:szCs w:val="20"/>
          <w:lang w:eastAsia="pl-PL"/>
        </w:rPr>
        <w:br/>
        <w:t>i udostępnienie wysokiej jakości przestrzeni publicznej oraz poprawa jakości jej wykorzystania</w:t>
      </w:r>
      <w:bookmarkStart w:id="164" w:name="_Hlk19536049"/>
      <w:r w:rsidRPr="00E8348B">
        <w:rPr>
          <w:rFonts w:ascii="Lato" w:eastAsia="Times New Roman" w:hAnsi="Lato" w:cs="Times New Roman"/>
          <w:sz w:val="20"/>
          <w:szCs w:val="20"/>
          <w:lang w:eastAsia="pl-PL"/>
        </w:rPr>
        <w:t>, budowa, rozbudowa i modernizacja obiektów służących rehabilitacji zawodowej i społecznej osób starszych i z niepełnosprawnościami</w:t>
      </w:r>
      <w:bookmarkEnd w:id="164"/>
      <w:r w:rsidRPr="00E8348B">
        <w:rPr>
          <w:rFonts w:ascii="Lato" w:eastAsia="Times New Roman" w:hAnsi="Lato" w:cs="Times New Roman"/>
          <w:sz w:val="20"/>
          <w:szCs w:val="20"/>
          <w:lang w:eastAsia="pl-PL"/>
        </w:rPr>
        <w:t>, zapewnienie komplementarności inwestycji infrastrukturalnych z działaniami społecznymi, wsparcie rozwoju lokalnego kierowanego przez społeczność, wsparcie lokalnych strategii i programów rozwoju w kierunku wykorzystania regionalnych potencjałów i zasobów.</w:t>
      </w:r>
    </w:p>
    <w:p w14:paraId="69481A2B" w14:textId="77777777" w:rsidR="005D6546" w:rsidRDefault="005D6546" w:rsidP="005D6546">
      <w:pPr>
        <w:spacing w:after="0" w:line="240" w:lineRule="auto"/>
        <w:jc w:val="both"/>
        <w:rPr>
          <w:rFonts w:ascii="Lato" w:eastAsia="Calibri" w:hAnsi="Lato" w:cs="Times New Roman"/>
          <w:b/>
          <w:sz w:val="20"/>
          <w:szCs w:val="20"/>
        </w:rPr>
      </w:pPr>
    </w:p>
    <w:p w14:paraId="5A9148BD" w14:textId="77777777" w:rsidR="005D6546" w:rsidRDefault="00E8348B" w:rsidP="005D6546">
      <w:pPr>
        <w:spacing w:after="0" w:line="240" w:lineRule="auto"/>
        <w:jc w:val="both"/>
        <w:rPr>
          <w:rFonts w:ascii="Lato" w:eastAsia="Calibri" w:hAnsi="Lato" w:cs="Times New Roman"/>
          <w:sz w:val="20"/>
          <w:szCs w:val="20"/>
        </w:rPr>
      </w:pPr>
      <w:r w:rsidRPr="00E8348B">
        <w:rPr>
          <w:rFonts w:ascii="Lato" w:eastAsia="Calibri" w:hAnsi="Lato" w:cs="Times New Roman"/>
          <w:b/>
          <w:sz w:val="20"/>
          <w:szCs w:val="20"/>
        </w:rPr>
        <w:t xml:space="preserve">Wojewódzki Urząd Pracy w Rzeszowie </w:t>
      </w:r>
      <w:r w:rsidRPr="00E8348B">
        <w:rPr>
          <w:rFonts w:ascii="Lato" w:eastAsia="Calibri" w:hAnsi="Lato" w:cs="Times New Roman"/>
          <w:sz w:val="20"/>
          <w:szCs w:val="20"/>
        </w:rPr>
        <w:t>w ramach projektów wdrażanych w Działaniach 8.3 i 8.8 RPO WP 2014-2020 realizował działanie na rzecz osób starszych w następujących formach:</w:t>
      </w:r>
    </w:p>
    <w:p w14:paraId="16075F06" w14:textId="77777777" w:rsidR="005D6546" w:rsidRPr="005D6546" w:rsidRDefault="00E8348B" w:rsidP="0059185B">
      <w:pPr>
        <w:pStyle w:val="Akapitzlist"/>
        <w:numPr>
          <w:ilvl w:val="0"/>
          <w:numId w:val="79"/>
        </w:numPr>
        <w:spacing w:after="0" w:line="240" w:lineRule="auto"/>
        <w:jc w:val="both"/>
        <w:rPr>
          <w:rFonts w:ascii="Lato" w:eastAsia="Calibri" w:hAnsi="Lato" w:cs="Times New Roman"/>
          <w:b/>
          <w:sz w:val="20"/>
          <w:szCs w:val="20"/>
        </w:rPr>
      </w:pPr>
      <w:r w:rsidRPr="005D6546">
        <w:rPr>
          <w:rFonts w:ascii="Lato" w:eastAsia="Calibri" w:hAnsi="Lato" w:cs="Times New Roman"/>
          <w:sz w:val="20"/>
          <w:szCs w:val="20"/>
        </w:rPr>
        <w:t>Dzienne Domy Pomocy,</w:t>
      </w:r>
    </w:p>
    <w:p w14:paraId="584E5439" w14:textId="77777777" w:rsidR="005D6546" w:rsidRPr="005D6546" w:rsidRDefault="00E8348B" w:rsidP="0059185B">
      <w:pPr>
        <w:pStyle w:val="Akapitzlist"/>
        <w:numPr>
          <w:ilvl w:val="0"/>
          <w:numId w:val="79"/>
        </w:numPr>
        <w:spacing w:after="0" w:line="240" w:lineRule="auto"/>
        <w:jc w:val="both"/>
        <w:rPr>
          <w:rFonts w:ascii="Lato" w:eastAsia="Calibri" w:hAnsi="Lato" w:cs="Times New Roman"/>
          <w:b/>
          <w:sz w:val="20"/>
          <w:szCs w:val="20"/>
        </w:rPr>
      </w:pPr>
      <w:r w:rsidRPr="005D6546">
        <w:rPr>
          <w:rFonts w:ascii="Lato" w:eastAsia="Calibri" w:hAnsi="Lato" w:cs="Times New Roman"/>
          <w:sz w:val="20"/>
          <w:szCs w:val="20"/>
        </w:rPr>
        <w:t>Usługi opiekuńcze w miejscu zamieszkania,</w:t>
      </w:r>
    </w:p>
    <w:p w14:paraId="470DB386" w14:textId="77777777" w:rsidR="005D6546" w:rsidRPr="005D6546" w:rsidRDefault="00E8348B" w:rsidP="0059185B">
      <w:pPr>
        <w:pStyle w:val="Akapitzlist"/>
        <w:numPr>
          <w:ilvl w:val="0"/>
          <w:numId w:val="79"/>
        </w:numPr>
        <w:spacing w:after="0" w:line="240" w:lineRule="auto"/>
        <w:jc w:val="both"/>
        <w:rPr>
          <w:rFonts w:ascii="Lato" w:eastAsia="Calibri" w:hAnsi="Lato" w:cs="Times New Roman"/>
          <w:b/>
          <w:sz w:val="20"/>
          <w:szCs w:val="20"/>
        </w:rPr>
      </w:pPr>
      <w:r w:rsidRPr="005D6546">
        <w:rPr>
          <w:rFonts w:ascii="Lato" w:eastAsia="Calibri" w:hAnsi="Lato" w:cs="Times New Roman"/>
          <w:sz w:val="20"/>
          <w:szCs w:val="20"/>
        </w:rPr>
        <w:t>Kluby Seniora,</w:t>
      </w:r>
    </w:p>
    <w:p w14:paraId="72AC52D6" w14:textId="77777777" w:rsidR="005D6546" w:rsidRPr="005D6546" w:rsidRDefault="00E8348B" w:rsidP="0059185B">
      <w:pPr>
        <w:pStyle w:val="Akapitzlist"/>
        <w:numPr>
          <w:ilvl w:val="0"/>
          <w:numId w:val="79"/>
        </w:numPr>
        <w:spacing w:after="0" w:line="240" w:lineRule="auto"/>
        <w:jc w:val="both"/>
        <w:rPr>
          <w:rFonts w:ascii="Lato" w:eastAsia="Calibri" w:hAnsi="Lato" w:cs="Times New Roman"/>
          <w:b/>
          <w:sz w:val="20"/>
          <w:szCs w:val="20"/>
        </w:rPr>
      </w:pPr>
      <w:r w:rsidRPr="005D6546">
        <w:rPr>
          <w:rFonts w:ascii="Lato" w:eastAsia="Calibri" w:hAnsi="Lato" w:cs="Times New Roman"/>
          <w:sz w:val="20"/>
          <w:szCs w:val="20"/>
        </w:rPr>
        <w:t>Dzienne Domy Opieki Medycznej,</w:t>
      </w:r>
    </w:p>
    <w:p w14:paraId="6A61DF3E" w14:textId="57C3193E" w:rsidR="00E8348B" w:rsidRPr="005D6546" w:rsidRDefault="00E8348B" w:rsidP="0059185B">
      <w:pPr>
        <w:pStyle w:val="Akapitzlist"/>
        <w:numPr>
          <w:ilvl w:val="0"/>
          <w:numId w:val="79"/>
        </w:numPr>
        <w:spacing w:after="0" w:line="240" w:lineRule="auto"/>
        <w:jc w:val="both"/>
        <w:rPr>
          <w:rFonts w:ascii="Lato" w:eastAsia="Calibri" w:hAnsi="Lato" w:cs="Times New Roman"/>
          <w:b/>
          <w:sz w:val="20"/>
          <w:szCs w:val="20"/>
        </w:rPr>
      </w:pPr>
      <w:r w:rsidRPr="005D6546">
        <w:rPr>
          <w:rFonts w:ascii="Lato" w:eastAsia="Calibri" w:hAnsi="Lato" w:cs="Times New Roman"/>
          <w:sz w:val="20"/>
          <w:szCs w:val="20"/>
        </w:rPr>
        <w:lastRenderedPageBreak/>
        <w:t>Wypożyczalnie sprzętu pielęgnacyjnego, rehabilitacyjnego i  wspomagającego dla osób, które ze względu na podeszły wiek, stan zdrowia lub niepełnosprawność wymagają opieki lub pomocy w zaspokajaniu niezbędnych potrzeb życiowych.</w:t>
      </w:r>
    </w:p>
    <w:p w14:paraId="184EE2DF" w14:textId="77777777" w:rsidR="005D6546" w:rsidRDefault="005D6546" w:rsidP="005D6546">
      <w:pPr>
        <w:spacing w:after="0" w:line="240" w:lineRule="auto"/>
        <w:jc w:val="both"/>
        <w:rPr>
          <w:rFonts w:ascii="Lato" w:eastAsia="Calibri" w:hAnsi="Lato" w:cs="Times New Roman"/>
          <w:sz w:val="20"/>
          <w:szCs w:val="20"/>
        </w:rPr>
      </w:pPr>
    </w:p>
    <w:p w14:paraId="47BE2C88" w14:textId="464E6BDD" w:rsidR="00E8348B" w:rsidRDefault="00E8348B" w:rsidP="005D6546">
      <w:pPr>
        <w:spacing w:after="0" w:line="240" w:lineRule="auto"/>
        <w:jc w:val="both"/>
        <w:rPr>
          <w:rFonts w:ascii="Lato" w:eastAsia="Calibri" w:hAnsi="Lato" w:cs="Times New Roman"/>
          <w:sz w:val="20"/>
          <w:szCs w:val="20"/>
        </w:rPr>
      </w:pPr>
      <w:r w:rsidRPr="00E8348B">
        <w:rPr>
          <w:rFonts w:ascii="Lato" w:eastAsia="Calibri" w:hAnsi="Lato" w:cs="Times New Roman"/>
          <w:sz w:val="20"/>
          <w:szCs w:val="20"/>
        </w:rPr>
        <w:t xml:space="preserve">W okresie od 1 stycznia 2022 r. do 31 grudnia 2022 r. z wymienionych form wsparcia skorzystało </w:t>
      </w:r>
      <w:r w:rsidRPr="00E8348B">
        <w:rPr>
          <w:rFonts w:ascii="Lato" w:eastAsia="Calibri" w:hAnsi="Lato" w:cs="Times New Roman"/>
          <w:b/>
          <w:bCs/>
          <w:sz w:val="20"/>
          <w:szCs w:val="20"/>
        </w:rPr>
        <w:t>5 477 osób starszych</w:t>
      </w:r>
      <w:r w:rsidRPr="00E8348B">
        <w:rPr>
          <w:rFonts w:ascii="Lato" w:eastAsia="Calibri" w:hAnsi="Lato" w:cs="Times New Roman"/>
          <w:sz w:val="20"/>
          <w:szCs w:val="20"/>
        </w:rPr>
        <w:t xml:space="preserve"> (tj. osoby po 60 roku życia). W 2022 roku w ramach Działania 8.3 podpisano 56 umów o dofinansowanie projektów o wartości ogółem </w:t>
      </w:r>
      <w:r w:rsidRPr="00E8348B">
        <w:rPr>
          <w:rFonts w:ascii="Lato" w:eastAsia="Calibri" w:hAnsi="Lato" w:cs="Times New Roman"/>
          <w:b/>
          <w:bCs/>
          <w:sz w:val="20"/>
          <w:szCs w:val="20"/>
        </w:rPr>
        <w:t>69 439 502,68 PLN</w:t>
      </w:r>
      <w:r w:rsidRPr="00E8348B">
        <w:rPr>
          <w:rFonts w:ascii="Lato" w:eastAsia="Calibri" w:hAnsi="Lato" w:cs="Times New Roman"/>
          <w:sz w:val="20"/>
          <w:szCs w:val="20"/>
        </w:rPr>
        <w:t>, w których realizowane są ww. formy wsparcia.</w:t>
      </w:r>
    </w:p>
    <w:p w14:paraId="37FCFF19" w14:textId="242190F7" w:rsidR="005D6546" w:rsidRDefault="005D6546" w:rsidP="005D6546">
      <w:pPr>
        <w:spacing w:after="0" w:line="240" w:lineRule="auto"/>
        <w:jc w:val="both"/>
        <w:rPr>
          <w:rFonts w:ascii="Lato" w:eastAsia="Calibri" w:hAnsi="Lato" w:cs="Times New Roman"/>
          <w:sz w:val="20"/>
          <w:szCs w:val="20"/>
        </w:rPr>
      </w:pPr>
    </w:p>
    <w:p w14:paraId="77117EB8" w14:textId="77777777" w:rsidR="003D7879" w:rsidRPr="00757CE7" w:rsidRDefault="003D7879" w:rsidP="003D7879">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36C3228E" w14:textId="17EF5903" w:rsidR="003D7879" w:rsidRPr="00380FD5" w:rsidRDefault="00380FD5" w:rsidP="005D6546">
      <w:pPr>
        <w:spacing w:after="0" w:line="240" w:lineRule="auto"/>
        <w:jc w:val="both"/>
        <w:rPr>
          <w:rFonts w:ascii="Lato" w:eastAsia="Calibri" w:hAnsi="Lato" w:cs="Times New Roman"/>
          <w:b/>
          <w:bCs/>
          <w:sz w:val="20"/>
          <w:szCs w:val="20"/>
        </w:rPr>
      </w:pPr>
      <w:r w:rsidRPr="00380FD5">
        <w:rPr>
          <w:rFonts w:ascii="Lato" w:eastAsia="Calibri" w:hAnsi="Lato" w:cs="Times New Roman"/>
          <w:b/>
          <w:bCs/>
          <w:sz w:val="20"/>
          <w:szCs w:val="20"/>
        </w:rPr>
        <w:t>Gmina Łańcut</w:t>
      </w:r>
    </w:p>
    <w:p w14:paraId="6ED5DB91" w14:textId="5B3C3D3A" w:rsidR="00380FD5" w:rsidRDefault="00380FD5" w:rsidP="00380FD5">
      <w:p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Cel</w:t>
      </w:r>
      <w:r>
        <w:rPr>
          <w:rFonts w:ascii="Lato" w:eastAsia="Calibri" w:hAnsi="Lato" w:cs="Times New Roman"/>
          <w:sz w:val="20"/>
          <w:szCs w:val="20"/>
        </w:rPr>
        <w:t>em</w:t>
      </w:r>
      <w:r w:rsidRPr="00380FD5">
        <w:rPr>
          <w:rFonts w:ascii="Lato" w:eastAsia="Calibri" w:hAnsi="Lato" w:cs="Times New Roman"/>
          <w:sz w:val="20"/>
          <w:szCs w:val="20"/>
        </w:rPr>
        <w:t xml:space="preserve"> główny</w:t>
      </w:r>
      <w:r>
        <w:rPr>
          <w:rFonts w:ascii="Lato" w:eastAsia="Calibri" w:hAnsi="Lato" w:cs="Times New Roman"/>
          <w:sz w:val="20"/>
          <w:szCs w:val="20"/>
        </w:rPr>
        <w:t>m</w:t>
      </w:r>
      <w:r w:rsidRPr="00380FD5">
        <w:rPr>
          <w:rFonts w:ascii="Lato" w:eastAsia="Calibri" w:hAnsi="Lato" w:cs="Times New Roman"/>
          <w:sz w:val="20"/>
          <w:szCs w:val="20"/>
        </w:rPr>
        <w:t xml:space="preserve"> projektu</w:t>
      </w:r>
      <w:r>
        <w:rPr>
          <w:rFonts w:ascii="Lato" w:eastAsia="Calibri" w:hAnsi="Lato" w:cs="Times New Roman"/>
          <w:sz w:val="20"/>
          <w:szCs w:val="20"/>
        </w:rPr>
        <w:t xml:space="preserve"> </w:t>
      </w:r>
      <w:r w:rsidRPr="00380FD5">
        <w:rPr>
          <w:rFonts w:ascii="Lato" w:eastAsia="Calibri" w:hAnsi="Lato" w:cs="Times New Roman"/>
          <w:sz w:val="20"/>
          <w:szCs w:val="20"/>
        </w:rPr>
        <w:t>POGODNY SENIOR edycja II - Ośrodek Opieki Dziennej i Klub Seniora</w:t>
      </w:r>
      <w:r>
        <w:rPr>
          <w:rFonts w:ascii="Lato" w:eastAsia="Calibri" w:hAnsi="Lato" w:cs="Times New Roman"/>
          <w:sz w:val="20"/>
          <w:szCs w:val="20"/>
        </w:rPr>
        <w:t xml:space="preserve"> była </w:t>
      </w:r>
      <w:r w:rsidRPr="00380FD5">
        <w:rPr>
          <w:rFonts w:ascii="Lato" w:eastAsia="Calibri" w:hAnsi="Lato" w:cs="Times New Roman"/>
          <w:sz w:val="20"/>
          <w:szCs w:val="20"/>
        </w:rPr>
        <w:t xml:space="preserve">poprawa jakości poziomu życia 40 seniorów (27 </w:t>
      </w:r>
      <w:r>
        <w:rPr>
          <w:rFonts w:ascii="Lato" w:eastAsia="Calibri" w:hAnsi="Lato" w:cs="Times New Roman"/>
          <w:sz w:val="20"/>
          <w:szCs w:val="20"/>
        </w:rPr>
        <w:t>kobiet</w:t>
      </w:r>
      <w:r w:rsidRPr="00380FD5">
        <w:rPr>
          <w:rFonts w:ascii="Lato" w:eastAsia="Calibri" w:hAnsi="Lato" w:cs="Times New Roman"/>
          <w:sz w:val="20"/>
          <w:szCs w:val="20"/>
        </w:rPr>
        <w:t xml:space="preserve">,13 </w:t>
      </w:r>
      <w:r>
        <w:rPr>
          <w:rFonts w:ascii="Lato" w:eastAsia="Calibri" w:hAnsi="Lato" w:cs="Times New Roman"/>
          <w:sz w:val="20"/>
          <w:szCs w:val="20"/>
        </w:rPr>
        <w:t>mężczyzn</w:t>
      </w:r>
      <w:r w:rsidRPr="00380FD5">
        <w:rPr>
          <w:rFonts w:ascii="Lato" w:eastAsia="Calibri" w:hAnsi="Lato" w:cs="Times New Roman"/>
          <w:sz w:val="20"/>
          <w:szCs w:val="20"/>
        </w:rPr>
        <w:t>) powyżej 60 roku życia</w:t>
      </w:r>
      <w:r>
        <w:rPr>
          <w:rFonts w:ascii="Lato" w:eastAsia="Calibri" w:hAnsi="Lato" w:cs="Times New Roman"/>
          <w:sz w:val="20"/>
          <w:szCs w:val="20"/>
        </w:rPr>
        <w:t xml:space="preserve">. Były to osoby </w:t>
      </w:r>
      <w:r w:rsidRPr="00380FD5">
        <w:rPr>
          <w:rFonts w:ascii="Lato" w:eastAsia="Calibri" w:hAnsi="Lato" w:cs="Times New Roman"/>
          <w:sz w:val="20"/>
          <w:szCs w:val="20"/>
        </w:rPr>
        <w:t xml:space="preserve"> potrzebując</w:t>
      </w:r>
      <w:r>
        <w:rPr>
          <w:rFonts w:ascii="Lato" w:eastAsia="Calibri" w:hAnsi="Lato" w:cs="Times New Roman"/>
          <w:sz w:val="20"/>
          <w:szCs w:val="20"/>
        </w:rPr>
        <w:t>e</w:t>
      </w:r>
      <w:r w:rsidRPr="00380FD5">
        <w:rPr>
          <w:rFonts w:ascii="Lato" w:eastAsia="Calibri" w:hAnsi="Lato" w:cs="Times New Roman"/>
          <w:sz w:val="20"/>
          <w:szCs w:val="20"/>
        </w:rPr>
        <w:t xml:space="preserve"> wsparcia w codziennym funkcjonowaniu</w:t>
      </w:r>
      <w:r>
        <w:rPr>
          <w:rFonts w:ascii="Lato" w:eastAsia="Calibri" w:hAnsi="Lato" w:cs="Times New Roman"/>
          <w:sz w:val="20"/>
          <w:szCs w:val="20"/>
        </w:rPr>
        <w:t xml:space="preserve"> i </w:t>
      </w:r>
      <w:r w:rsidRPr="00380FD5">
        <w:rPr>
          <w:rFonts w:ascii="Lato" w:eastAsia="Calibri" w:hAnsi="Lato" w:cs="Times New Roman"/>
          <w:sz w:val="20"/>
          <w:szCs w:val="20"/>
        </w:rPr>
        <w:t>zamieszkując</w:t>
      </w:r>
      <w:r>
        <w:rPr>
          <w:rFonts w:ascii="Lato" w:eastAsia="Calibri" w:hAnsi="Lato" w:cs="Times New Roman"/>
          <w:sz w:val="20"/>
          <w:szCs w:val="20"/>
        </w:rPr>
        <w:t>e</w:t>
      </w:r>
      <w:r w:rsidRPr="00380FD5">
        <w:rPr>
          <w:rFonts w:ascii="Lato" w:eastAsia="Calibri" w:hAnsi="Lato" w:cs="Times New Roman"/>
          <w:sz w:val="20"/>
          <w:szCs w:val="20"/>
        </w:rPr>
        <w:t xml:space="preserve"> obszar gminy wiejskiej Łańcut </w:t>
      </w:r>
      <w:r>
        <w:rPr>
          <w:rFonts w:ascii="Lato" w:eastAsia="Calibri" w:hAnsi="Lato" w:cs="Times New Roman"/>
          <w:sz w:val="20"/>
          <w:szCs w:val="20"/>
        </w:rPr>
        <w:t>Projekt umożliwił</w:t>
      </w:r>
      <w:r w:rsidRPr="00380FD5">
        <w:rPr>
          <w:rFonts w:ascii="Lato" w:eastAsia="Calibri" w:hAnsi="Lato" w:cs="Times New Roman"/>
          <w:sz w:val="20"/>
          <w:szCs w:val="20"/>
        </w:rPr>
        <w:t xml:space="preserve"> zapewnienie dostępu do miejsc świadczenia usług społecznych w istniejącym Ośrodku Opieki Dziennej w Wysokiej dla 30 osób (20 </w:t>
      </w:r>
      <w:r>
        <w:rPr>
          <w:rFonts w:ascii="Lato" w:eastAsia="Calibri" w:hAnsi="Lato" w:cs="Times New Roman"/>
          <w:sz w:val="20"/>
          <w:szCs w:val="20"/>
        </w:rPr>
        <w:t>kobiet</w:t>
      </w:r>
      <w:r w:rsidRPr="00380FD5">
        <w:rPr>
          <w:rFonts w:ascii="Lato" w:eastAsia="Calibri" w:hAnsi="Lato" w:cs="Times New Roman"/>
          <w:sz w:val="20"/>
          <w:szCs w:val="20"/>
        </w:rPr>
        <w:t>, 10</w:t>
      </w:r>
      <w:r>
        <w:rPr>
          <w:rFonts w:ascii="Lato" w:eastAsia="Calibri" w:hAnsi="Lato" w:cs="Times New Roman"/>
          <w:sz w:val="20"/>
          <w:szCs w:val="20"/>
        </w:rPr>
        <w:t xml:space="preserve"> mężczyzn</w:t>
      </w:r>
      <w:r w:rsidRPr="00380FD5">
        <w:rPr>
          <w:rFonts w:ascii="Lato" w:eastAsia="Calibri" w:hAnsi="Lato" w:cs="Times New Roman"/>
          <w:sz w:val="20"/>
          <w:szCs w:val="20"/>
        </w:rPr>
        <w:t xml:space="preserve">) oraz nowoutworzonym Klubie Seniora dla 10 osób (7 </w:t>
      </w:r>
      <w:r>
        <w:rPr>
          <w:rFonts w:ascii="Lato" w:eastAsia="Calibri" w:hAnsi="Lato" w:cs="Times New Roman"/>
          <w:sz w:val="20"/>
          <w:szCs w:val="20"/>
        </w:rPr>
        <w:t>kobiet</w:t>
      </w:r>
      <w:r w:rsidRPr="00380FD5">
        <w:rPr>
          <w:rFonts w:ascii="Lato" w:eastAsia="Calibri" w:hAnsi="Lato" w:cs="Times New Roman"/>
          <w:sz w:val="20"/>
          <w:szCs w:val="20"/>
        </w:rPr>
        <w:t>,3</w:t>
      </w:r>
      <w:r>
        <w:rPr>
          <w:rFonts w:ascii="Lato" w:eastAsia="Calibri" w:hAnsi="Lato" w:cs="Times New Roman"/>
          <w:sz w:val="20"/>
          <w:szCs w:val="20"/>
        </w:rPr>
        <w:t xml:space="preserve"> mężczyzn</w:t>
      </w:r>
      <w:r w:rsidRPr="00380FD5">
        <w:rPr>
          <w:rFonts w:ascii="Lato" w:eastAsia="Calibri" w:hAnsi="Lato" w:cs="Times New Roman"/>
          <w:sz w:val="20"/>
          <w:szCs w:val="20"/>
        </w:rPr>
        <w:t xml:space="preserve">) do 31.12.2023 r. </w:t>
      </w:r>
    </w:p>
    <w:p w14:paraId="32D3A534" w14:textId="77777777" w:rsidR="00380FD5" w:rsidRDefault="00380FD5" w:rsidP="00380FD5">
      <w:pPr>
        <w:spacing w:after="0" w:line="240" w:lineRule="auto"/>
        <w:jc w:val="both"/>
        <w:rPr>
          <w:rFonts w:ascii="Lato" w:eastAsia="Calibri" w:hAnsi="Lato" w:cs="Times New Roman"/>
          <w:sz w:val="20"/>
          <w:szCs w:val="20"/>
        </w:rPr>
      </w:pPr>
    </w:p>
    <w:p w14:paraId="59E2FF88" w14:textId="77777777" w:rsidR="00380FD5" w:rsidRDefault="00380FD5" w:rsidP="00380FD5">
      <w:p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Grupa docelowa:</w:t>
      </w:r>
      <w:r>
        <w:rPr>
          <w:rFonts w:ascii="Lato" w:eastAsia="Calibri" w:hAnsi="Lato" w:cs="Times New Roman"/>
          <w:sz w:val="20"/>
          <w:szCs w:val="20"/>
        </w:rPr>
        <w:t xml:space="preserve"> </w:t>
      </w:r>
      <w:r w:rsidRPr="00380FD5">
        <w:rPr>
          <w:rFonts w:ascii="Lato" w:eastAsia="Calibri" w:hAnsi="Lato" w:cs="Times New Roman"/>
          <w:sz w:val="20"/>
          <w:szCs w:val="20"/>
        </w:rPr>
        <w:t>40 os</w:t>
      </w:r>
      <w:r>
        <w:rPr>
          <w:rFonts w:ascii="Lato" w:eastAsia="Calibri" w:hAnsi="Lato" w:cs="Times New Roman"/>
          <w:sz w:val="20"/>
          <w:szCs w:val="20"/>
        </w:rPr>
        <w:t>ób</w:t>
      </w:r>
      <w:r w:rsidRPr="00380FD5">
        <w:rPr>
          <w:rFonts w:ascii="Lato" w:eastAsia="Calibri" w:hAnsi="Lato" w:cs="Times New Roman"/>
          <w:sz w:val="20"/>
          <w:szCs w:val="20"/>
        </w:rPr>
        <w:t xml:space="preserve"> (27K, 13M</w:t>
      </w:r>
      <w:r>
        <w:rPr>
          <w:rFonts w:ascii="Lato" w:eastAsia="Calibri" w:hAnsi="Lato" w:cs="Times New Roman"/>
          <w:sz w:val="20"/>
          <w:szCs w:val="20"/>
        </w:rPr>
        <w:t>)</w:t>
      </w:r>
      <w:r w:rsidRPr="00380FD5">
        <w:rPr>
          <w:rFonts w:ascii="Lato" w:eastAsia="Calibri" w:hAnsi="Lato" w:cs="Times New Roman"/>
          <w:sz w:val="20"/>
          <w:szCs w:val="20"/>
        </w:rPr>
        <w:t xml:space="preserve"> zagrożonych ubóstwem lub wykluczeniem społecznym. </w:t>
      </w:r>
      <w:r>
        <w:rPr>
          <w:rFonts w:ascii="Lato" w:eastAsia="Calibri" w:hAnsi="Lato" w:cs="Times New Roman"/>
          <w:sz w:val="20"/>
          <w:szCs w:val="20"/>
        </w:rPr>
        <w:t>Były</w:t>
      </w:r>
      <w:r w:rsidRPr="00380FD5">
        <w:rPr>
          <w:rFonts w:ascii="Lato" w:eastAsia="Calibri" w:hAnsi="Lato" w:cs="Times New Roman"/>
          <w:sz w:val="20"/>
          <w:szCs w:val="20"/>
        </w:rPr>
        <w:t xml:space="preserve"> to osoby:</w:t>
      </w:r>
      <w:r>
        <w:rPr>
          <w:rFonts w:ascii="Lato" w:eastAsia="Calibri" w:hAnsi="Lato" w:cs="Times New Roman"/>
          <w:sz w:val="20"/>
          <w:szCs w:val="20"/>
        </w:rPr>
        <w:t xml:space="preserve"> </w:t>
      </w:r>
    </w:p>
    <w:p w14:paraId="5331974F" w14:textId="77777777" w:rsidR="00380FD5" w:rsidRDefault="00380FD5" w:rsidP="007335F8">
      <w:pPr>
        <w:pStyle w:val="Akapitzlist"/>
        <w:numPr>
          <w:ilvl w:val="0"/>
          <w:numId w:val="229"/>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zamieszkające teren gminy wiejskiej Łańcut</w:t>
      </w:r>
    </w:p>
    <w:p w14:paraId="62BF5A95" w14:textId="77777777" w:rsidR="00380FD5" w:rsidRDefault="00380FD5" w:rsidP="007335F8">
      <w:pPr>
        <w:pStyle w:val="Akapitzlist"/>
        <w:numPr>
          <w:ilvl w:val="0"/>
          <w:numId w:val="229"/>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 xml:space="preserve">starsze w wieku 60+ (kobiety i mężczyźni), które ze względu na wiek, stan zdrowia lub </w:t>
      </w:r>
      <w:proofErr w:type="spellStart"/>
      <w:r w:rsidRPr="00380FD5">
        <w:rPr>
          <w:rFonts w:ascii="Lato" w:eastAsia="Calibri" w:hAnsi="Lato" w:cs="Times New Roman"/>
          <w:sz w:val="20"/>
          <w:szCs w:val="20"/>
        </w:rPr>
        <w:t>niepełnospr</w:t>
      </w:r>
      <w:proofErr w:type="spellEnd"/>
      <w:r w:rsidRPr="00380FD5">
        <w:rPr>
          <w:rFonts w:ascii="Lato" w:eastAsia="Calibri" w:hAnsi="Lato" w:cs="Times New Roman"/>
          <w:sz w:val="20"/>
          <w:szCs w:val="20"/>
        </w:rPr>
        <w:t>. potrzebują opieki lub wsparcia w związku z niemożnością</w:t>
      </w:r>
      <w:r>
        <w:rPr>
          <w:rFonts w:ascii="Lato" w:eastAsia="Calibri" w:hAnsi="Lato" w:cs="Times New Roman"/>
          <w:sz w:val="20"/>
          <w:szCs w:val="20"/>
        </w:rPr>
        <w:t xml:space="preserve"> </w:t>
      </w:r>
      <w:r w:rsidRPr="00380FD5">
        <w:rPr>
          <w:rFonts w:ascii="Lato" w:eastAsia="Calibri" w:hAnsi="Lato" w:cs="Times New Roman"/>
          <w:sz w:val="20"/>
          <w:szCs w:val="20"/>
        </w:rPr>
        <w:t>samodzielnego wykonywania co najmniej jednej z podstawowych czynności dnia codziennego</w:t>
      </w:r>
    </w:p>
    <w:p w14:paraId="5FCFA1D0" w14:textId="6202E7E9" w:rsidR="00380FD5" w:rsidRDefault="00380FD5" w:rsidP="007335F8">
      <w:pPr>
        <w:pStyle w:val="Akapitzlist"/>
        <w:numPr>
          <w:ilvl w:val="0"/>
          <w:numId w:val="229"/>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nieaktywne zawodowo.</w:t>
      </w:r>
    </w:p>
    <w:p w14:paraId="2487BF72" w14:textId="77777777" w:rsidR="00380FD5" w:rsidRPr="00380FD5" w:rsidRDefault="00380FD5" w:rsidP="00380FD5">
      <w:pPr>
        <w:pStyle w:val="Akapitzlist"/>
        <w:spacing w:after="0" w:line="240" w:lineRule="auto"/>
        <w:jc w:val="both"/>
        <w:rPr>
          <w:rFonts w:ascii="Lato" w:eastAsia="Calibri" w:hAnsi="Lato" w:cs="Times New Roman"/>
          <w:sz w:val="20"/>
          <w:szCs w:val="20"/>
        </w:rPr>
      </w:pPr>
    </w:p>
    <w:p w14:paraId="5806267C" w14:textId="77777777" w:rsidR="00380FD5" w:rsidRPr="00380FD5" w:rsidRDefault="00380FD5" w:rsidP="00380FD5">
      <w:p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Rezultaty:</w:t>
      </w:r>
    </w:p>
    <w:p w14:paraId="0A005BF3" w14:textId="77777777" w:rsidR="00380FD5" w:rsidRDefault="00380FD5" w:rsidP="007335F8">
      <w:pPr>
        <w:pStyle w:val="Akapitzlist"/>
        <w:numPr>
          <w:ilvl w:val="0"/>
          <w:numId w:val="230"/>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Liczba wspartych w programie miejsc świadczenia usług społecznych, istniejących po zakończeniu projektu – 40</w:t>
      </w:r>
    </w:p>
    <w:p w14:paraId="18F9CB68" w14:textId="22BCC2F4" w:rsidR="00380FD5" w:rsidRDefault="00380FD5" w:rsidP="007335F8">
      <w:pPr>
        <w:pStyle w:val="Akapitzlist"/>
        <w:numPr>
          <w:ilvl w:val="0"/>
          <w:numId w:val="230"/>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 xml:space="preserve">Liczba utworzonych w programie miejsc świadczenia usług asystenckich i opiekuńczych istniejących po zakończeniu projektu </w:t>
      </w:r>
      <w:r>
        <w:rPr>
          <w:rFonts w:ascii="Lato" w:eastAsia="Calibri" w:hAnsi="Lato" w:cs="Times New Roman"/>
          <w:sz w:val="20"/>
          <w:szCs w:val="20"/>
        </w:rPr>
        <w:t>–</w:t>
      </w:r>
      <w:r w:rsidRPr="00380FD5">
        <w:rPr>
          <w:rFonts w:ascii="Lato" w:eastAsia="Calibri" w:hAnsi="Lato" w:cs="Times New Roman"/>
          <w:sz w:val="20"/>
          <w:szCs w:val="20"/>
        </w:rPr>
        <w:t xml:space="preserve"> 10</w:t>
      </w:r>
    </w:p>
    <w:p w14:paraId="4617AD6E" w14:textId="3E8FCD2D" w:rsidR="00380FD5" w:rsidRDefault="00380FD5" w:rsidP="007335F8">
      <w:pPr>
        <w:pStyle w:val="Akapitzlist"/>
        <w:numPr>
          <w:ilvl w:val="0"/>
          <w:numId w:val="230"/>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 xml:space="preserve">Liczba osób zagrożonych ubóstwem lub wykluczeniem społecznym, u których nastąpił wzrost sprawności </w:t>
      </w:r>
      <w:proofErr w:type="spellStart"/>
      <w:r w:rsidRPr="00380FD5">
        <w:rPr>
          <w:rFonts w:ascii="Lato" w:eastAsia="Calibri" w:hAnsi="Lato" w:cs="Times New Roman"/>
          <w:sz w:val="20"/>
          <w:szCs w:val="20"/>
        </w:rPr>
        <w:t>sprawności</w:t>
      </w:r>
      <w:proofErr w:type="spellEnd"/>
      <w:r w:rsidRPr="00380FD5">
        <w:rPr>
          <w:rFonts w:ascii="Lato" w:eastAsia="Calibri" w:hAnsi="Lato" w:cs="Times New Roman"/>
          <w:sz w:val="20"/>
          <w:szCs w:val="20"/>
        </w:rPr>
        <w:t xml:space="preserve"> fizycznej/umiejętności artystycznych – 40</w:t>
      </w:r>
    </w:p>
    <w:p w14:paraId="257184FE" w14:textId="492A4BCC" w:rsidR="005D6546" w:rsidRDefault="00380FD5" w:rsidP="007335F8">
      <w:pPr>
        <w:pStyle w:val="Akapitzlist"/>
        <w:numPr>
          <w:ilvl w:val="0"/>
          <w:numId w:val="230"/>
        </w:numPr>
        <w:spacing w:after="0" w:line="240" w:lineRule="auto"/>
        <w:jc w:val="both"/>
        <w:rPr>
          <w:rFonts w:ascii="Lato" w:eastAsia="Calibri" w:hAnsi="Lato" w:cs="Times New Roman"/>
          <w:sz w:val="20"/>
          <w:szCs w:val="20"/>
        </w:rPr>
      </w:pPr>
      <w:r w:rsidRPr="00380FD5">
        <w:rPr>
          <w:rFonts w:ascii="Lato" w:eastAsia="Calibri" w:hAnsi="Lato" w:cs="Times New Roman"/>
          <w:sz w:val="20"/>
          <w:szCs w:val="20"/>
        </w:rPr>
        <w:t xml:space="preserve">Liczba osób zagrożonych ubóstwem lub wykluczeniem społecznym, u których nastąpił wzrost wiedzy z zakresu zdrowego żywienia/bezpieczeństwa </w:t>
      </w:r>
      <w:r>
        <w:rPr>
          <w:rFonts w:ascii="Lato" w:eastAsia="Calibri" w:hAnsi="Lato" w:cs="Times New Roman"/>
          <w:sz w:val="20"/>
          <w:szCs w:val="20"/>
        </w:rPr>
        <w:t>–</w:t>
      </w:r>
      <w:r w:rsidRPr="00380FD5">
        <w:rPr>
          <w:rFonts w:ascii="Lato" w:eastAsia="Calibri" w:hAnsi="Lato" w:cs="Times New Roman"/>
          <w:sz w:val="20"/>
          <w:szCs w:val="20"/>
        </w:rPr>
        <w:t xml:space="preserve"> 10</w:t>
      </w:r>
      <w:r>
        <w:rPr>
          <w:rFonts w:ascii="Lato" w:eastAsia="Calibri" w:hAnsi="Lato" w:cs="Times New Roman"/>
          <w:sz w:val="20"/>
          <w:szCs w:val="20"/>
        </w:rPr>
        <w:t>.</w:t>
      </w:r>
    </w:p>
    <w:p w14:paraId="0F77066D" w14:textId="77777777" w:rsidR="00380FD5" w:rsidRPr="0092562F" w:rsidRDefault="00380FD5" w:rsidP="0092562F">
      <w:pPr>
        <w:spacing w:after="0" w:line="240" w:lineRule="auto"/>
        <w:jc w:val="both"/>
        <w:rPr>
          <w:rFonts w:ascii="Lato" w:eastAsia="Calibri" w:hAnsi="Lato" w:cs="Times New Roman"/>
          <w:sz w:val="20"/>
          <w:szCs w:val="20"/>
        </w:rPr>
      </w:pPr>
    </w:p>
    <w:p w14:paraId="1297EC2F" w14:textId="77777777" w:rsidR="005D6546" w:rsidRDefault="00E8348B" w:rsidP="005D6546">
      <w:pPr>
        <w:spacing w:after="0" w:line="240" w:lineRule="auto"/>
        <w:jc w:val="both"/>
        <w:rPr>
          <w:rFonts w:ascii="Lato" w:eastAsia="Times New Roman" w:hAnsi="Lato" w:cs="Times New Roman"/>
          <w:sz w:val="20"/>
          <w:szCs w:val="20"/>
          <w:lang w:eastAsia="pl-PL"/>
        </w:rPr>
      </w:pPr>
      <w:r w:rsidRPr="00E8348B">
        <w:rPr>
          <w:rFonts w:ascii="Lato" w:eastAsia="Times New Roman" w:hAnsi="Lato" w:cs="Times New Roman"/>
          <w:b/>
          <w:sz w:val="20"/>
          <w:szCs w:val="20"/>
          <w:lang w:eastAsia="pl-PL"/>
        </w:rPr>
        <w:t>Ponadto Regionalny Ośrodek Polityki Społecznej w Rzeszowie</w:t>
      </w:r>
      <w:r w:rsidRPr="00E8348B">
        <w:rPr>
          <w:rFonts w:ascii="Lato" w:eastAsia="Times New Roman" w:hAnsi="Lato" w:cs="Times New Roman"/>
          <w:sz w:val="20"/>
          <w:szCs w:val="20"/>
          <w:lang w:eastAsia="pl-PL"/>
        </w:rPr>
        <w:t xml:space="preserve"> podejmował działania na rzecz osób starszych w 2022 r. wynikające m. in. z: </w:t>
      </w:r>
    </w:p>
    <w:p w14:paraId="2A59C053" w14:textId="77777777" w:rsidR="005D6546" w:rsidRDefault="00E8348B" w:rsidP="0059185B">
      <w:pPr>
        <w:pStyle w:val="Akapitzlist"/>
        <w:numPr>
          <w:ilvl w:val="0"/>
          <w:numId w:val="80"/>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sz w:val="20"/>
          <w:szCs w:val="20"/>
          <w:lang w:eastAsia="pl-PL"/>
        </w:rPr>
        <w:t xml:space="preserve">dokumentacji strategicznej na poziomie województwa – Strategia rozwoju województwa – Podkarpackie 2030 – Rozdział 2. Kapitał ludzki i społeczny, podrozdział 2.6. Wyłączenie społeczne – szczegółowe informacje i zapisy znajdują się na stronie </w:t>
      </w:r>
      <w:hyperlink r:id="rId36" w:history="1">
        <w:r w:rsidRPr="005D6546">
          <w:rPr>
            <w:rFonts w:ascii="Lato" w:eastAsia="Times New Roman" w:hAnsi="Lato" w:cs="Times New Roman"/>
            <w:color w:val="0563C1"/>
            <w:sz w:val="20"/>
            <w:szCs w:val="20"/>
            <w:u w:val="single"/>
            <w:lang w:eastAsia="pl-PL"/>
          </w:rPr>
          <w:t>www.podkarpackie.pl</w:t>
        </w:r>
      </w:hyperlink>
      <w:r w:rsidRPr="005D6546">
        <w:rPr>
          <w:rFonts w:ascii="Lato" w:eastAsia="Times New Roman" w:hAnsi="Lato" w:cs="Times New Roman"/>
          <w:sz w:val="20"/>
          <w:szCs w:val="20"/>
          <w:lang w:eastAsia="pl-PL"/>
        </w:rPr>
        <w:t xml:space="preserve">, zakładka: Strategia rozwoju województwa – Podkarpackie 2030;  </w:t>
      </w:r>
    </w:p>
    <w:p w14:paraId="25F4FF46" w14:textId="517255FE" w:rsidR="005D6546" w:rsidRPr="005D6546" w:rsidRDefault="00E8348B" w:rsidP="0059185B">
      <w:pPr>
        <w:pStyle w:val="Akapitzlist"/>
        <w:numPr>
          <w:ilvl w:val="0"/>
          <w:numId w:val="80"/>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sz w:val="20"/>
          <w:szCs w:val="20"/>
          <w:lang w:eastAsia="pl-PL"/>
        </w:rPr>
        <w:t xml:space="preserve">programów wspierających aktywność społeczną (…) – w ramach Wojewódzkiego Programu Pomocy Społecznej na lata 2016 – 2023 – Cel operacyjny III: Zwiększenie i rozwój oferty świadczeń pomocy społecznej dla seniorów. </w:t>
      </w:r>
    </w:p>
    <w:p w14:paraId="7654D6B5" w14:textId="77777777" w:rsidR="00380FD5" w:rsidRPr="00E8348B" w:rsidRDefault="00380FD5" w:rsidP="00E8348B">
      <w:pPr>
        <w:spacing w:after="0" w:line="240" w:lineRule="auto"/>
        <w:contextualSpacing/>
        <w:jc w:val="both"/>
        <w:rPr>
          <w:rFonts w:ascii="Lato" w:hAnsi="Lato" w:cs="Times New Roman"/>
          <w:sz w:val="20"/>
          <w:szCs w:val="20"/>
        </w:rPr>
      </w:pPr>
    </w:p>
    <w:p w14:paraId="0B24158A" w14:textId="7FD32CDB" w:rsidR="00E8348B" w:rsidRPr="00E8348B" w:rsidRDefault="00E8348B" w:rsidP="00E8348B">
      <w:pPr>
        <w:spacing w:after="0" w:line="240" w:lineRule="auto"/>
        <w:jc w:val="both"/>
        <w:rPr>
          <w:rFonts w:ascii="Lato" w:hAnsi="Lato"/>
          <w:b/>
          <w:sz w:val="20"/>
          <w:szCs w:val="20"/>
        </w:rPr>
      </w:pPr>
      <w:r w:rsidRPr="00E8348B">
        <w:rPr>
          <w:rFonts w:ascii="Lato" w:hAnsi="Lato" w:cs="Times New Roman"/>
          <w:sz w:val="20"/>
          <w:szCs w:val="20"/>
        </w:rPr>
        <w:t>W ramach otwartego konkursu ofert na realizację programów z obszaru wsparcia działań innowacyjnych skierowanych do środowisk zagrożonych bezradnością w sprawach opiekuńczo-wychowawczych lub mających na celu aktywizację osób starszych w 2022 roku, z budżetu Wojewody Podkarpackiego wsparcie otrzymało 17 projektów skierowanych do osób starszych realizowanych przez następujące organizacje:</w:t>
      </w:r>
    </w:p>
    <w:p w14:paraId="025AFC2B"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 xml:space="preserve"> Towarzystwo Inicjatyw Społecznych GAMA z Łukawca pn. „Świadomy Senior. Przeciwdziałanie chorobie Alzheimera. Edycja III”.</w:t>
      </w:r>
    </w:p>
    <w:p w14:paraId="7788B776"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Łańcucki Uniwersytet Trzeciego Wieku w Łańcucie pn. „Zdrowy styl życia”.</w:t>
      </w:r>
    </w:p>
    <w:p w14:paraId="52F332C3"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Fundacja Pomocy Młodzieży im. Jana Pawła II „Wzrastanie” Oddział w Jarosławiu pn. „Dofinansowanie działań innowacyjnych mających na celu aktywizację osób starszych w Schronisku dla Bezdomnych Mężczyzn w Jarosławiu 2022 r. Klub Seniora”.</w:t>
      </w:r>
    </w:p>
    <w:p w14:paraId="56EF4E36"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Parafialny Klub Sportowy „</w:t>
      </w:r>
      <w:proofErr w:type="spellStart"/>
      <w:r w:rsidRPr="00E8348B">
        <w:rPr>
          <w:rFonts w:ascii="Lato" w:hAnsi="Lato" w:cs="Times New Roman"/>
          <w:sz w:val="20"/>
          <w:szCs w:val="20"/>
        </w:rPr>
        <w:t>Calasanz</w:t>
      </w:r>
      <w:proofErr w:type="spellEnd"/>
      <w:r w:rsidRPr="00E8348B">
        <w:rPr>
          <w:rFonts w:ascii="Lato" w:hAnsi="Lato" w:cs="Times New Roman"/>
          <w:sz w:val="20"/>
          <w:szCs w:val="20"/>
        </w:rPr>
        <w:t>” w Rzeszowie pn. „Seniorzy z kulturą”.</w:t>
      </w:r>
    </w:p>
    <w:p w14:paraId="3598529F" w14:textId="5033FBD4"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lastRenderedPageBreak/>
        <w:t xml:space="preserve">Parafia rzymsko-katolicka pw. św. Józefa </w:t>
      </w:r>
      <w:proofErr w:type="spellStart"/>
      <w:r w:rsidRPr="00E8348B">
        <w:rPr>
          <w:rFonts w:ascii="Lato" w:hAnsi="Lato" w:cs="Times New Roman"/>
          <w:sz w:val="20"/>
          <w:szCs w:val="20"/>
        </w:rPr>
        <w:t>Kalasancjusza</w:t>
      </w:r>
      <w:proofErr w:type="spellEnd"/>
      <w:r w:rsidRPr="00E8348B">
        <w:rPr>
          <w:rFonts w:ascii="Lato" w:hAnsi="Lato" w:cs="Times New Roman"/>
          <w:sz w:val="20"/>
          <w:szCs w:val="20"/>
        </w:rPr>
        <w:t xml:space="preserve"> w Rzeszowie pn. „Aktywność daje radość”.</w:t>
      </w:r>
    </w:p>
    <w:p w14:paraId="2FA671E8" w14:textId="7550DF63"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Podkarpackie Stowarzyszenie Pracowników Pomocy Społecznej w Tyczynie pn. „Nowa szansa”.</w:t>
      </w:r>
    </w:p>
    <w:p w14:paraId="1F6CAA73"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Miłośników Ziemi Pruchnickiej pn. „</w:t>
      </w:r>
      <w:proofErr w:type="spellStart"/>
      <w:r w:rsidRPr="00E8348B">
        <w:rPr>
          <w:rFonts w:ascii="Lato" w:hAnsi="Lato" w:cs="Times-Bold"/>
          <w:bCs/>
          <w:sz w:val="20"/>
          <w:szCs w:val="20"/>
        </w:rPr>
        <w:t>EmeryTOwane</w:t>
      </w:r>
      <w:proofErr w:type="spellEnd"/>
      <w:r w:rsidRPr="00E8348B">
        <w:rPr>
          <w:rFonts w:ascii="Lato" w:hAnsi="Lato" w:cs="Times-Bold"/>
          <w:bCs/>
          <w:sz w:val="20"/>
          <w:szCs w:val="20"/>
        </w:rPr>
        <w:t xml:space="preserve"> TALENTY”.</w:t>
      </w:r>
    </w:p>
    <w:p w14:paraId="26D3B719"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Fundacja na rzecz pomocy społecznej „Promyk” w Rzeszowie pn. „Kreatywny senior dla integracji pokoleń – III edycja”.</w:t>
      </w:r>
    </w:p>
    <w:p w14:paraId="23241233"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 xml:space="preserve">Chorągiew Podkarpacka Związku Harcerstwa Polskiego Hufiec im Antoniny </w:t>
      </w:r>
      <w:proofErr w:type="spellStart"/>
      <w:r w:rsidRPr="00E8348B">
        <w:rPr>
          <w:rFonts w:ascii="Lato" w:hAnsi="Lato" w:cs="Times New Roman"/>
          <w:sz w:val="20"/>
          <w:szCs w:val="20"/>
        </w:rPr>
        <w:t>Gębicowej</w:t>
      </w:r>
      <w:proofErr w:type="spellEnd"/>
      <w:r w:rsidRPr="00E8348B">
        <w:rPr>
          <w:rFonts w:ascii="Lato" w:hAnsi="Lato" w:cs="Times New Roman"/>
          <w:sz w:val="20"/>
          <w:szCs w:val="20"/>
        </w:rPr>
        <w:t xml:space="preserve"> w Mielcu pn. „Senior w akcji”.</w:t>
      </w:r>
    </w:p>
    <w:p w14:paraId="39DAF962"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Miłośników Sztuk Walki „IWARASHII” w Jarosławiu pn. Sport to młodość III”.</w:t>
      </w:r>
    </w:p>
    <w:p w14:paraId="209DE9B0"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Fundacja Moja Droga z Rzeszowa pn. „Przywrócić kobiecość. Przeciwdziałanie samotności oraz pomoc w powrocie do normalnego funkcjonowania w społeczeństwie kobiet seniorek 60+. Edycja II”.</w:t>
      </w:r>
    </w:p>
    <w:p w14:paraId="651ACA8B" w14:textId="4402A73D"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Katolickie Stowarzyszenie Młodzieży Diecezji Rzeszowskiej pn. „Senior  w akcji – życie zaczyna</w:t>
      </w:r>
      <w:r w:rsidR="005D6546">
        <w:rPr>
          <w:rFonts w:ascii="Lato" w:hAnsi="Lato" w:cs="Times New Roman"/>
          <w:sz w:val="20"/>
          <w:szCs w:val="20"/>
        </w:rPr>
        <w:t xml:space="preserve"> </w:t>
      </w:r>
      <w:r w:rsidRPr="00E8348B">
        <w:rPr>
          <w:rFonts w:ascii="Lato" w:hAnsi="Lato" w:cs="Times New Roman"/>
          <w:sz w:val="20"/>
          <w:szCs w:val="20"/>
        </w:rPr>
        <w:t>się na emeryturze!”.</w:t>
      </w:r>
    </w:p>
    <w:p w14:paraId="4FD92CE2"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Polski Związek Emerytów i Rencistów pn. „Aktywny senior Powiatu Dębickiego”.</w:t>
      </w:r>
    </w:p>
    <w:p w14:paraId="599BB3A4"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Zarząd Okręgowy Polski Komitet Pomocy Społecznej pn. „Aktywni razem!”.</w:t>
      </w:r>
    </w:p>
    <w:p w14:paraId="454776BD"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„Edukacyjny RESTART” pn. „Pełni życia, pełni sił”.</w:t>
      </w:r>
    </w:p>
    <w:p w14:paraId="61A31A88"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na Rzecz Wszechstronnego Rozwoju Dzieci i młodzieży i Dorosłych „Nasza Arka” pn. „Klub Seniora Nasza Arka – aktywnie przez życie”.</w:t>
      </w:r>
    </w:p>
    <w:p w14:paraId="493DC67F" w14:textId="77777777" w:rsidR="00E8348B" w:rsidRPr="00E8348B" w:rsidRDefault="00E8348B" w:rsidP="0059185B">
      <w:pPr>
        <w:pStyle w:val="Akapitzlist"/>
        <w:numPr>
          <w:ilvl w:val="0"/>
          <w:numId w:val="78"/>
        </w:numPr>
        <w:spacing w:after="0" w:line="240" w:lineRule="auto"/>
        <w:jc w:val="both"/>
        <w:rPr>
          <w:rFonts w:ascii="Lato" w:hAnsi="Lato" w:cs="Times New Roman"/>
          <w:sz w:val="20"/>
          <w:szCs w:val="20"/>
        </w:rPr>
      </w:pPr>
      <w:r w:rsidRPr="00E8348B">
        <w:rPr>
          <w:rFonts w:ascii="Lato" w:hAnsi="Lato" w:cs="Times New Roman"/>
          <w:sz w:val="20"/>
          <w:szCs w:val="20"/>
        </w:rPr>
        <w:t>Stowarzyszenie „Pogodny Senior” w Markowej pn. „Pogodni seniorzy z Markowej działają”.</w:t>
      </w:r>
    </w:p>
    <w:p w14:paraId="61F4CFF9" w14:textId="2A0457D6" w:rsidR="00E8348B" w:rsidRPr="00E8348B" w:rsidRDefault="00E8348B" w:rsidP="00E8348B">
      <w:pPr>
        <w:spacing w:after="0" w:line="240" w:lineRule="auto"/>
        <w:contextualSpacing/>
        <w:jc w:val="both"/>
        <w:rPr>
          <w:rFonts w:ascii="Lato" w:hAnsi="Lato" w:cs="Times New Roman"/>
          <w:strike/>
          <w:sz w:val="20"/>
          <w:szCs w:val="20"/>
        </w:rPr>
      </w:pPr>
      <w:r w:rsidRPr="00E8348B">
        <w:rPr>
          <w:rFonts w:ascii="Lato" w:hAnsi="Lato" w:cs="Times New Roman"/>
          <w:sz w:val="20"/>
          <w:szCs w:val="20"/>
        </w:rPr>
        <w:t xml:space="preserve">W projektach skierowanych do seniorów przedstawiciele organizacji pozarządowych prowadzili zajęcia rehabilitacyjne i sportowe. Organizowane były również szkolenia </w:t>
      </w:r>
      <w:r w:rsidR="005D6546">
        <w:rPr>
          <w:rFonts w:ascii="Lato" w:hAnsi="Lato" w:cs="Times New Roman"/>
          <w:sz w:val="20"/>
          <w:szCs w:val="20"/>
        </w:rPr>
        <w:t xml:space="preserve"> </w:t>
      </w:r>
      <w:r w:rsidRPr="00E8348B">
        <w:rPr>
          <w:rFonts w:ascii="Lato" w:hAnsi="Lato" w:cs="Times New Roman"/>
          <w:sz w:val="20"/>
          <w:szCs w:val="20"/>
        </w:rPr>
        <w:t>i warsztaty m.in: artystyczne, kulinarne, komputerowe, nauki języków obcych.</w:t>
      </w:r>
    </w:p>
    <w:p w14:paraId="07DB7B7F" w14:textId="77777777" w:rsidR="00E8348B" w:rsidRPr="00E8348B" w:rsidRDefault="00E8348B" w:rsidP="00E8348B">
      <w:pPr>
        <w:spacing w:after="0" w:line="240" w:lineRule="auto"/>
        <w:contextualSpacing/>
        <w:jc w:val="both"/>
        <w:rPr>
          <w:rFonts w:ascii="Lato" w:hAnsi="Lato" w:cs="Times New Roman"/>
          <w:strike/>
          <w:sz w:val="20"/>
          <w:szCs w:val="20"/>
        </w:rPr>
      </w:pPr>
    </w:p>
    <w:p w14:paraId="2BA81774" w14:textId="2DD01E27" w:rsidR="00E8348B" w:rsidRPr="003D7879" w:rsidRDefault="005D6546" w:rsidP="00E8348B">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6A9877A8" w14:textId="77777777"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hAnsi="Lato" w:cs="Times New Roman"/>
          <w:b/>
          <w:sz w:val="20"/>
          <w:szCs w:val="20"/>
          <w:lang w:eastAsia="pl-PL"/>
        </w:rPr>
        <w:t>Krosno miasto na prawach powiatu</w:t>
      </w:r>
    </w:p>
    <w:p w14:paraId="763362E9" w14:textId="02D82A16" w:rsidR="00E8348B" w:rsidRPr="00E8348B" w:rsidRDefault="00E8348B" w:rsidP="00E8348B">
      <w:pPr>
        <w:spacing w:after="0" w:line="240" w:lineRule="auto"/>
        <w:contextualSpacing/>
        <w:jc w:val="both"/>
        <w:rPr>
          <w:rFonts w:ascii="Lato" w:eastAsia="Calibri" w:hAnsi="Lato" w:cs="Times New Roman"/>
          <w:sz w:val="20"/>
          <w:szCs w:val="20"/>
        </w:rPr>
      </w:pPr>
      <w:r w:rsidRPr="00E8348B">
        <w:rPr>
          <w:rFonts w:ascii="Lato" w:eastAsia="Calibri" w:hAnsi="Lato" w:cs="Times New Roman"/>
          <w:color w:val="000000"/>
          <w:sz w:val="20"/>
          <w:szCs w:val="20"/>
        </w:rPr>
        <w:t xml:space="preserve">Krośnieńscy seniorzy </w:t>
      </w:r>
      <w:r w:rsidRPr="00E8348B">
        <w:rPr>
          <w:rFonts w:ascii="Lato" w:eastAsia="Calibri" w:hAnsi="Lato" w:cs="Times New Roman"/>
          <w:sz w:val="20"/>
          <w:szCs w:val="20"/>
        </w:rPr>
        <w:t xml:space="preserve">po raz kolejny mogli wziąć udział w projekcie pn. </w:t>
      </w:r>
      <w:r w:rsidRPr="005D6546">
        <w:rPr>
          <w:rFonts w:ascii="Lato" w:eastAsia="Calibri" w:hAnsi="Lato" w:cs="Times New Roman"/>
          <w:sz w:val="20"/>
          <w:szCs w:val="20"/>
        </w:rPr>
        <w:t>„Bon Zdrowotny dla Seniora”</w:t>
      </w:r>
      <w:r w:rsidRPr="005D6546">
        <w:rPr>
          <w:rFonts w:ascii="Lato" w:eastAsia="Calibri" w:hAnsi="Lato" w:cs="Times New Roman"/>
          <w:b/>
          <w:bCs/>
          <w:sz w:val="20"/>
          <w:szCs w:val="20"/>
        </w:rPr>
        <w:t xml:space="preserve"> – </w:t>
      </w:r>
      <w:r w:rsidRPr="00E8348B">
        <w:rPr>
          <w:rFonts w:ascii="Lato" w:eastAsia="Calibri" w:hAnsi="Lato" w:cs="Times New Roman"/>
          <w:sz w:val="20"/>
          <w:szCs w:val="20"/>
        </w:rPr>
        <w:t>edycja 2022, którego celem była poprawa jakości życia poprzez usprawnienie układu ruchu, zwiększenie dostępności do świadczeń rehabilitacji leczniczej oraz przeciwdziałanie izolacji seniorów. Zadanie realizował wyłoniony w drodze konkursu podmiot leczniczy, który wykonywał takie rodzaje zabiegów jak np.: masaż leczniczy, elektroterapię, laseroterapię, ultradźwięki, krioterapię oraz gimnastykę leczniczą. Łącznie w projekcie wzięło udział 150 seniorów</w:t>
      </w:r>
      <w:r w:rsidRPr="00E8348B">
        <w:rPr>
          <w:rFonts w:ascii="Lato" w:eastAsia="Calibri" w:hAnsi="Lato" w:cs="Times New Roman"/>
          <w:b/>
          <w:sz w:val="20"/>
          <w:szCs w:val="20"/>
        </w:rPr>
        <w:t xml:space="preserve"> </w:t>
      </w:r>
      <w:r w:rsidRPr="00E8348B">
        <w:rPr>
          <w:rFonts w:ascii="Lato" w:eastAsia="Calibri" w:hAnsi="Lato" w:cs="Times New Roman"/>
          <w:sz w:val="20"/>
          <w:szCs w:val="20"/>
        </w:rPr>
        <w:t xml:space="preserve">z terenu Miasta Krosna. </w:t>
      </w:r>
    </w:p>
    <w:p w14:paraId="68DADFA6" w14:textId="6076DCBA" w:rsidR="005D6546" w:rsidRDefault="005D6546" w:rsidP="00E8348B">
      <w:pPr>
        <w:spacing w:after="0" w:line="240" w:lineRule="auto"/>
        <w:contextualSpacing/>
        <w:jc w:val="both"/>
        <w:rPr>
          <w:rFonts w:ascii="Lato" w:eastAsia="Calibri" w:hAnsi="Lato" w:cs="Times New Roman"/>
          <w:sz w:val="20"/>
          <w:szCs w:val="20"/>
        </w:rPr>
      </w:pPr>
    </w:p>
    <w:p w14:paraId="2C6680A7" w14:textId="2C3C4E70" w:rsidR="00E8348B" w:rsidRDefault="00E8348B" w:rsidP="00E8348B">
      <w:pPr>
        <w:spacing w:after="0" w:line="240" w:lineRule="auto"/>
        <w:contextualSpacing/>
        <w:jc w:val="both"/>
        <w:rPr>
          <w:rFonts w:ascii="Lato" w:hAnsi="Lato"/>
          <w:sz w:val="20"/>
          <w:szCs w:val="20"/>
        </w:rPr>
      </w:pPr>
      <w:r w:rsidRPr="00E8348B">
        <w:rPr>
          <w:rFonts w:ascii="Lato" w:eastAsia="Calibri" w:hAnsi="Lato" w:cs="Times New Roman"/>
          <w:sz w:val="20"/>
          <w:szCs w:val="20"/>
        </w:rPr>
        <w:t xml:space="preserve">We współpracy z Krośnieńską Radą Seniorów – Gmina Miasto Krosno zorganizowała </w:t>
      </w:r>
      <w:r w:rsidRPr="005D6546">
        <w:rPr>
          <w:rFonts w:ascii="Lato" w:eastAsia="Calibri" w:hAnsi="Lato" w:cs="Times New Roman"/>
          <w:sz w:val="20"/>
          <w:szCs w:val="20"/>
        </w:rPr>
        <w:t>Krośnieński Sejmik Senioralny</w:t>
      </w:r>
      <w:r w:rsidRPr="00E8348B">
        <w:rPr>
          <w:rFonts w:ascii="Lato" w:eastAsia="Calibri" w:hAnsi="Lato" w:cs="Times New Roman"/>
          <w:sz w:val="20"/>
          <w:szCs w:val="20"/>
        </w:rPr>
        <w:t xml:space="preserve"> pod hasłem: „Świadomy Senior Bezpieczny Senior”, podczas którego wygłoszone zostały prelekcje na temat „Ryzyka przemocy wobec osób starszych i zagrożeń ze strony oszustów” oraz „Bezpieczeństwo w domu i mieszkaniu”. W Sejmiku wzięło udział około 140 seniorów. Podczas spotkania osoby starsze z terenu Miasta Krosna mogły zgłosić swoje propozycje działań, dotyczących realizacji polityki senioralnej w mieście oraz poszerzyć wiedzę na temat swojego bezpieczeństwa. Spotkanie było także okazją do wzajemnej integracji. </w:t>
      </w:r>
    </w:p>
    <w:p w14:paraId="30660394" w14:textId="77777777" w:rsidR="005D6546" w:rsidRPr="00E8348B" w:rsidRDefault="005D6546" w:rsidP="00E8348B">
      <w:pPr>
        <w:spacing w:after="0" w:line="240" w:lineRule="auto"/>
        <w:contextualSpacing/>
        <w:jc w:val="both"/>
        <w:rPr>
          <w:rFonts w:ascii="Lato" w:hAnsi="Lato" w:cs="Times New Roman"/>
          <w:b/>
          <w:sz w:val="20"/>
          <w:szCs w:val="20"/>
          <w:lang w:eastAsia="pl-PL"/>
        </w:rPr>
      </w:pPr>
    </w:p>
    <w:p w14:paraId="736251D1" w14:textId="196CB2A7" w:rsidR="00E8348B" w:rsidRDefault="00E8348B" w:rsidP="00E8348B">
      <w:pPr>
        <w:spacing w:after="0" w:line="240" w:lineRule="auto"/>
        <w:contextualSpacing/>
        <w:jc w:val="both"/>
        <w:rPr>
          <w:rFonts w:ascii="Lato" w:eastAsia="Calibri" w:hAnsi="Lato" w:cs="Times New Roman"/>
          <w:sz w:val="20"/>
          <w:szCs w:val="20"/>
        </w:rPr>
      </w:pPr>
      <w:r w:rsidRPr="00E8348B">
        <w:rPr>
          <w:rFonts w:ascii="Lato" w:eastAsia="Calibri" w:hAnsi="Lato" w:cs="Times New Roman"/>
          <w:sz w:val="20"/>
          <w:szCs w:val="20"/>
        </w:rPr>
        <w:t xml:space="preserve">Gmina Miasto Krosno podjęła również współpracę ze Stowarzyszeniem MANKO z Krakowa w celu przystąpienia do programu „Gmina Przyjazna Seniorom” oraz wdrożenia Ogólnopolskiej Karty Seniora w Krośnie. Działanie to ma na celu umożliwienie seniorom korzystanie w całej Polsce z szeregu ulg i zniżek, zarówno w sektorze zdrowia, kultury jak i aktywności fizycznej. </w:t>
      </w:r>
    </w:p>
    <w:p w14:paraId="291E8DFF" w14:textId="77777777" w:rsidR="005D6546" w:rsidRPr="00E8348B" w:rsidRDefault="005D6546" w:rsidP="00E8348B">
      <w:pPr>
        <w:spacing w:after="0" w:line="240" w:lineRule="auto"/>
        <w:contextualSpacing/>
        <w:jc w:val="both"/>
        <w:rPr>
          <w:rFonts w:ascii="Lato" w:hAnsi="Lato" w:cs="Times New Roman"/>
          <w:b/>
          <w:sz w:val="20"/>
          <w:szCs w:val="20"/>
          <w:lang w:eastAsia="pl-PL"/>
        </w:rPr>
      </w:pPr>
    </w:p>
    <w:p w14:paraId="1DE9C640" w14:textId="7A0E7047"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eastAsia="Calibri" w:hAnsi="Lato" w:cs="Times New Roman"/>
          <w:sz w:val="20"/>
          <w:szCs w:val="20"/>
        </w:rPr>
        <w:t xml:space="preserve">Nawiązano współpracę z miejskimi jednostkami kultury w celu powołania asystentów do koordynowania i przekazywania informacji w zakresie wydarzeń kulturalnych, które realizowane są na terenie Krosna i skierowane są do osób starszych. Na potrzeby informowania seniorów o różnych wydarzeniach przygotowano zakładkę na stronie internetowej krosno.pl przeznaczoną do publikowania przedmiotowych treści. Zakładka zawiera treści ułatwiające seniorom odnajdywanie właściwych informacji na stronach miejskich instytucji oraz pozwala na bieżąco śledzić wszystkie wydarzenia miejskie. </w:t>
      </w:r>
    </w:p>
    <w:p w14:paraId="2C673A87" w14:textId="5B2D53CF"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eastAsia="Times New Roman" w:hAnsi="Lato" w:cs="Times New Roman"/>
          <w:sz w:val="20"/>
          <w:szCs w:val="20"/>
          <w:lang w:eastAsia="pl-PL"/>
        </w:rPr>
        <w:t>Pracownicy socjalni Miejskiego Ośrodka Pomocy Rodzinie w Krośnie w 2022 r</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zrealizowali projekt socjalny skierowany do osób starszych, w którym wzięło</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udział 23 uczestników w wieku 60 lat i więcej. Projekt pt. „Bezpieczny senior</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w cyberprzestrzeni” miał na celu poszerzenie świadomości osób starszych</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 xml:space="preserve">w zakresie </w:t>
      </w:r>
      <w:proofErr w:type="spellStart"/>
      <w:r w:rsidRPr="00E8348B">
        <w:rPr>
          <w:rFonts w:ascii="Lato" w:eastAsia="Times New Roman" w:hAnsi="Lato" w:cs="Times New Roman"/>
          <w:sz w:val="20"/>
          <w:szCs w:val="20"/>
          <w:lang w:eastAsia="pl-PL"/>
        </w:rPr>
        <w:t>cyberbezpieczeństwa</w:t>
      </w:r>
      <w:proofErr w:type="spellEnd"/>
      <w:r w:rsidRPr="00E8348B">
        <w:rPr>
          <w:rFonts w:ascii="Lato" w:eastAsia="Times New Roman" w:hAnsi="Lato" w:cs="Times New Roman"/>
          <w:sz w:val="20"/>
          <w:szCs w:val="20"/>
          <w:lang w:eastAsia="pl-PL"/>
        </w:rPr>
        <w:t xml:space="preserve">, w kontekście zagrożeń występujących w </w:t>
      </w:r>
      <w:r w:rsidR="005D6546" w:rsidRPr="00E8348B">
        <w:rPr>
          <w:rFonts w:ascii="Lato" w:eastAsia="Times New Roman" w:hAnsi="Lato" w:cs="Times New Roman"/>
          <w:sz w:val="20"/>
          <w:szCs w:val="20"/>
          <w:lang w:eastAsia="pl-PL"/>
        </w:rPr>
        <w:t>Internecie</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i oszustw na urządzeniach mobilnych. Spotkanie z uczestnikami odbyło się</w:t>
      </w:r>
      <w:r w:rsidR="005D6546">
        <w:rPr>
          <w:rFonts w:ascii="Lato" w:eastAsia="Times New Roman" w:hAnsi="Lato" w:cs="Times New Roman"/>
          <w:sz w:val="20"/>
          <w:szCs w:val="20"/>
          <w:lang w:eastAsia="pl-PL"/>
        </w:rPr>
        <w:t xml:space="preserve"> </w:t>
      </w:r>
      <w:r w:rsidRPr="00E8348B">
        <w:rPr>
          <w:rFonts w:ascii="Lato" w:eastAsia="Times New Roman" w:hAnsi="Lato" w:cs="Times New Roman"/>
          <w:sz w:val="20"/>
          <w:szCs w:val="20"/>
          <w:lang w:eastAsia="pl-PL"/>
        </w:rPr>
        <w:t>w formie online w ramach projektu edukacyjnego „Centrum Edukacji dla uczestników – CEDUR”.</w:t>
      </w:r>
    </w:p>
    <w:p w14:paraId="62A7F3C8" w14:textId="77777777" w:rsidR="005D6546" w:rsidRDefault="005D6546" w:rsidP="00E8348B">
      <w:pPr>
        <w:spacing w:after="0" w:line="240" w:lineRule="auto"/>
        <w:contextualSpacing/>
        <w:jc w:val="both"/>
        <w:rPr>
          <w:rFonts w:ascii="Lato" w:hAnsi="Lato" w:cs="Times New Roman"/>
          <w:b/>
          <w:sz w:val="20"/>
          <w:szCs w:val="20"/>
          <w:lang w:eastAsia="pl-PL"/>
        </w:rPr>
      </w:pPr>
    </w:p>
    <w:p w14:paraId="0F3D0624" w14:textId="76DBA077"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eastAsia="Times New Roman" w:hAnsi="Lato" w:cs="Times New Roman"/>
          <w:sz w:val="20"/>
          <w:szCs w:val="20"/>
          <w:lang w:eastAsia="pl-PL"/>
        </w:rPr>
        <w:t xml:space="preserve">W ramach realizowanych przez Gminę Miasto Krosno programów polityki zdrowotnej, seniorzy mogli wziąć udział w następujących badaniach: </w:t>
      </w:r>
    </w:p>
    <w:p w14:paraId="4261AB44" w14:textId="77777777" w:rsidR="005D6546" w:rsidRPr="005D6546" w:rsidRDefault="00E8348B" w:rsidP="0059185B">
      <w:pPr>
        <w:pStyle w:val="Akapitzlist"/>
        <w:numPr>
          <w:ilvl w:val="0"/>
          <w:numId w:val="81"/>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Cs/>
          <w:sz w:val="20"/>
          <w:szCs w:val="20"/>
          <w:lang w:eastAsia="pl-PL"/>
        </w:rPr>
        <w:t>wczesnego wykrywania nowotworów jelita grubego,</w:t>
      </w:r>
    </w:p>
    <w:p w14:paraId="480C27F6" w14:textId="77777777" w:rsidR="005D6546" w:rsidRPr="005D6546" w:rsidRDefault="00E8348B" w:rsidP="0059185B">
      <w:pPr>
        <w:pStyle w:val="Akapitzlist"/>
        <w:numPr>
          <w:ilvl w:val="0"/>
          <w:numId w:val="81"/>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Cs/>
          <w:sz w:val="20"/>
          <w:szCs w:val="20"/>
          <w:lang w:eastAsia="pl-PL"/>
        </w:rPr>
        <w:t>profilaktyki cukrzycy typu 2,</w:t>
      </w:r>
    </w:p>
    <w:p w14:paraId="6BC0A567" w14:textId="2A20D15A" w:rsidR="00E8348B" w:rsidRPr="005D6546" w:rsidRDefault="00E8348B" w:rsidP="0059185B">
      <w:pPr>
        <w:pStyle w:val="Akapitzlist"/>
        <w:numPr>
          <w:ilvl w:val="0"/>
          <w:numId w:val="81"/>
        </w:numPr>
        <w:spacing w:after="0" w:line="240" w:lineRule="auto"/>
        <w:jc w:val="both"/>
        <w:rPr>
          <w:rFonts w:ascii="Lato" w:eastAsia="Times New Roman" w:hAnsi="Lato" w:cs="Times New Roman"/>
          <w:sz w:val="20"/>
          <w:szCs w:val="20"/>
          <w:lang w:eastAsia="pl-PL"/>
        </w:rPr>
      </w:pPr>
      <w:r w:rsidRPr="005D6546">
        <w:rPr>
          <w:rFonts w:ascii="Lato" w:eastAsia="Times New Roman" w:hAnsi="Lato" w:cs="Times New Roman"/>
          <w:bCs/>
          <w:sz w:val="20"/>
          <w:szCs w:val="20"/>
          <w:lang w:eastAsia="pl-PL"/>
        </w:rPr>
        <w:t>profilaktyki chorób układu krążenia.</w:t>
      </w:r>
    </w:p>
    <w:p w14:paraId="2B654AA9" w14:textId="77777777" w:rsidR="005D6546" w:rsidRDefault="005D6546" w:rsidP="00E8348B">
      <w:pPr>
        <w:spacing w:after="0" w:line="240" w:lineRule="auto"/>
        <w:contextualSpacing/>
        <w:jc w:val="both"/>
        <w:rPr>
          <w:rFonts w:ascii="Lato" w:eastAsia="Times New Roman" w:hAnsi="Lato" w:cs="Times New Roman"/>
          <w:sz w:val="20"/>
          <w:szCs w:val="20"/>
          <w:lang w:eastAsia="pl-PL"/>
        </w:rPr>
      </w:pPr>
    </w:p>
    <w:p w14:paraId="589656F4" w14:textId="2F6CF7A7" w:rsidR="00E8348B" w:rsidRPr="00E8348B" w:rsidRDefault="00E8348B" w:rsidP="00E8348B">
      <w:pPr>
        <w:spacing w:after="0" w:line="240" w:lineRule="auto"/>
        <w:contextualSpacing/>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Dodatkowo w ramach realizacji zadania z zakresu promocji zdrowia psychicznego mogli uczestniczyć w indywidualnej konsultacji z psychologiem, który udzielał wsparcia w postaci porad psychologicznych. Zadanie zostało zrealizowane przez Fundację, wybraną w drodze otwartego konkursu ofert. </w:t>
      </w:r>
    </w:p>
    <w:p w14:paraId="1C0FA6EB" w14:textId="77777777" w:rsidR="005D6546" w:rsidRDefault="005D6546" w:rsidP="00E8348B">
      <w:pPr>
        <w:spacing w:after="0" w:line="240" w:lineRule="auto"/>
        <w:contextualSpacing/>
        <w:jc w:val="both"/>
        <w:rPr>
          <w:rFonts w:ascii="Lato" w:eastAsia="Times New Roman" w:hAnsi="Lato" w:cs="Times New Roman"/>
          <w:sz w:val="20"/>
          <w:szCs w:val="20"/>
          <w:lang w:eastAsia="pl-PL"/>
        </w:rPr>
      </w:pPr>
    </w:p>
    <w:p w14:paraId="1A92B645" w14:textId="1F835579" w:rsidR="00E8348B" w:rsidRPr="00E8348B" w:rsidRDefault="00E8348B" w:rsidP="00E8348B">
      <w:pPr>
        <w:spacing w:after="0" w:line="240" w:lineRule="auto"/>
        <w:contextualSpacing/>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Kolejnym działaniem, realizowanym przez Centrum Integracji Społecznej w Krośnie był projekt </w:t>
      </w:r>
      <w:proofErr w:type="spellStart"/>
      <w:r w:rsidRPr="00E8348B">
        <w:rPr>
          <w:rFonts w:ascii="Lato" w:eastAsia="Times New Roman" w:hAnsi="Lato" w:cs="Times New Roman"/>
          <w:sz w:val="20"/>
          <w:szCs w:val="20"/>
          <w:lang w:eastAsia="pl-PL"/>
        </w:rPr>
        <w:t>Hipowolontariat</w:t>
      </w:r>
      <w:proofErr w:type="spellEnd"/>
      <w:r w:rsidRPr="00E8348B">
        <w:rPr>
          <w:rFonts w:ascii="Lato" w:eastAsia="Times New Roman" w:hAnsi="Lato" w:cs="Times New Roman"/>
          <w:sz w:val="20"/>
          <w:szCs w:val="20"/>
          <w:lang w:eastAsia="pl-PL"/>
        </w:rPr>
        <w:t xml:space="preserve"> 60+ organizowany przez Stajnię Fanaberia w Krośnie. Seniorzy brali udział w zajęciach, podczas których zdobywali wiedzę i umiejętności potrzebne do bezpiecznego obcowania z końmi. W czasie różnych spotkań i zajęć </w:t>
      </w:r>
      <w:proofErr w:type="spellStart"/>
      <w:r w:rsidRPr="00E8348B">
        <w:rPr>
          <w:rFonts w:ascii="Lato" w:eastAsia="Times New Roman" w:hAnsi="Lato" w:cs="Times New Roman"/>
          <w:sz w:val="20"/>
          <w:szCs w:val="20"/>
          <w:lang w:eastAsia="pl-PL"/>
        </w:rPr>
        <w:t>hipowolontariusze</w:t>
      </w:r>
      <w:proofErr w:type="spellEnd"/>
      <w:r w:rsidRPr="00E8348B">
        <w:rPr>
          <w:rFonts w:ascii="Lato" w:eastAsia="Times New Roman" w:hAnsi="Lato" w:cs="Times New Roman"/>
          <w:sz w:val="20"/>
          <w:szCs w:val="20"/>
          <w:lang w:eastAsia="pl-PL"/>
        </w:rPr>
        <w:t xml:space="preserve"> przeprowadzali zajęcia edukacyjne, dzieląc się wiedzą zdobytą podczas warsztatów. </w:t>
      </w:r>
    </w:p>
    <w:p w14:paraId="2CACC83C" w14:textId="77777777" w:rsidR="005D6546" w:rsidRDefault="005D6546" w:rsidP="00E8348B">
      <w:pPr>
        <w:spacing w:after="0" w:line="240" w:lineRule="auto"/>
        <w:contextualSpacing/>
        <w:jc w:val="both"/>
        <w:rPr>
          <w:rFonts w:ascii="Lato" w:eastAsia="Times New Roman" w:hAnsi="Lato" w:cs="Times New Roman"/>
          <w:sz w:val="20"/>
          <w:szCs w:val="20"/>
          <w:lang w:eastAsia="pl-PL"/>
        </w:rPr>
      </w:pPr>
    </w:p>
    <w:p w14:paraId="09673090" w14:textId="69F665D0" w:rsidR="00E8348B" w:rsidRPr="00E8348B" w:rsidRDefault="00E8348B" w:rsidP="00E8348B">
      <w:pPr>
        <w:spacing w:after="0" w:line="240" w:lineRule="auto"/>
        <w:contextualSpacing/>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 xml:space="preserve">Na rzecz seniorów działa również Krośnieńska Biblioteka Publiczna, która organizowała wystawy książek oraz spotkania w Dyskusyjnym Klubie Seniora. Ponadto seniorzy mogli brać udział w spotkaniach autorskich, dzięki którym rozwijali swoje zainteresowania i aktywnie spędzali wolny czas. Biblioteka dostarczała również seniorom książki bezpośrednio do domu. </w:t>
      </w:r>
    </w:p>
    <w:p w14:paraId="5FE4D3F2" w14:textId="77777777" w:rsidR="005D6546" w:rsidRDefault="005D6546" w:rsidP="00E8348B">
      <w:pPr>
        <w:spacing w:after="0" w:line="240" w:lineRule="auto"/>
        <w:contextualSpacing/>
        <w:jc w:val="both"/>
        <w:rPr>
          <w:rFonts w:ascii="Lato" w:eastAsia="Times New Roman" w:hAnsi="Lato" w:cs="Times New Roman"/>
          <w:sz w:val="20"/>
          <w:szCs w:val="20"/>
          <w:lang w:eastAsia="pl-PL"/>
        </w:rPr>
      </w:pPr>
    </w:p>
    <w:p w14:paraId="56BEC054" w14:textId="68A3C37A" w:rsidR="00E8348B" w:rsidRPr="00E8348B" w:rsidRDefault="00E8348B" w:rsidP="00E8348B">
      <w:pPr>
        <w:spacing w:after="0" w:line="240" w:lineRule="auto"/>
        <w:contextualSpacing/>
        <w:jc w:val="both"/>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Aktywne działania na rzecz osób starszych prowadziło Regionalne Centrum Kultur Pogranicza w Krośnie, oferując szereg propozycji takich jak: Weekend seniora z kulturą, seanse filmowe dla seniorów, cykle koncertów i widowiska artystyczne. Seniorzy mogli również korzystać z ulg na bilety, co dawało im możliwość regularnego uczestnictwa w wybranych formach kulturalnej aktywności.</w:t>
      </w:r>
    </w:p>
    <w:p w14:paraId="6EE5434F" w14:textId="77777777" w:rsidR="00E8348B" w:rsidRPr="00E8348B" w:rsidRDefault="00E8348B" w:rsidP="00E8348B">
      <w:pPr>
        <w:spacing w:after="0" w:line="240" w:lineRule="auto"/>
        <w:contextualSpacing/>
        <w:jc w:val="both"/>
        <w:rPr>
          <w:rFonts w:ascii="Lato" w:hAnsi="Lato" w:cs="Times New Roman"/>
          <w:sz w:val="20"/>
          <w:szCs w:val="20"/>
          <w:lang w:eastAsia="pl-PL"/>
        </w:rPr>
      </w:pPr>
    </w:p>
    <w:p w14:paraId="6C542402" w14:textId="77777777"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hAnsi="Lato" w:cs="Times New Roman"/>
          <w:b/>
          <w:sz w:val="20"/>
          <w:szCs w:val="20"/>
          <w:lang w:eastAsia="pl-PL"/>
        </w:rPr>
        <w:t>Lutowiska gmina wiejska</w:t>
      </w:r>
    </w:p>
    <w:p w14:paraId="72F659BC" w14:textId="13EFDFDB" w:rsidR="00E8348B" w:rsidRDefault="00E8348B" w:rsidP="00E8348B">
      <w:pPr>
        <w:pStyle w:val="Akapitzlist"/>
        <w:spacing w:after="0" w:line="240" w:lineRule="auto"/>
        <w:ind w:left="0"/>
        <w:jc w:val="both"/>
        <w:rPr>
          <w:rFonts w:ascii="Lato" w:hAnsi="Lato"/>
          <w:sz w:val="20"/>
          <w:szCs w:val="20"/>
        </w:rPr>
      </w:pPr>
      <w:r w:rsidRPr="00E8348B">
        <w:rPr>
          <w:rFonts w:ascii="Lato" w:eastAsia="Andale Sans UI" w:hAnsi="Lato" w:cs="Tahoma"/>
          <w:kern w:val="3"/>
          <w:sz w:val="20"/>
          <w:szCs w:val="20"/>
        </w:rPr>
        <w:t xml:space="preserve">W ramach działalności Klubu Seniora „Złota Jesień” (funkcjonującym przy Gminnym Ośrodku Kultury w Lutowiskach) realizowane były zajęcia artystyczne, kulinarne, edukacyjne (w tym również mające na celu ostrzeganie przed zagrożeniami), wyjazdy, spotkania z seniorami mające na celu integrację i aktywizację seniorów z terenu gminy. W spotkaniach klubu, które odbywały się cyklicznie 1 raz w tygodniu uczestniczyło 28 seniorów z terenu gminy. </w:t>
      </w:r>
    </w:p>
    <w:p w14:paraId="4B924C78" w14:textId="77777777" w:rsidR="005D6546" w:rsidRPr="00E8348B" w:rsidRDefault="005D6546" w:rsidP="00E8348B">
      <w:pPr>
        <w:pStyle w:val="Akapitzlist"/>
        <w:spacing w:after="0" w:line="240" w:lineRule="auto"/>
        <w:ind w:left="0"/>
        <w:jc w:val="both"/>
        <w:rPr>
          <w:rFonts w:ascii="Lato" w:eastAsia="Andale Sans UI" w:hAnsi="Lato" w:cs="Tahoma"/>
          <w:color w:val="5F5F5F"/>
          <w:kern w:val="3"/>
          <w:sz w:val="20"/>
          <w:szCs w:val="20"/>
          <w:u w:val="single"/>
        </w:rPr>
      </w:pPr>
    </w:p>
    <w:p w14:paraId="6FDD689F" w14:textId="468C648C" w:rsidR="00E8348B" w:rsidRPr="00E8348B" w:rsidRDefault="00E8348B" w:rsidP="00E8348B">
      <w:pPr>
        <w:pStyle w:val="Akapitzlist"/>
        <w:spacing w:after="0" w:line="240" w:lineRule="auto"/>
        <w:ind w:left="0"/>
        <w:jc w:val="both"/>
        <w:rPr>
          <w:rFonts w:ascii="Lato" w:eastAsia="Andale Sans UI" w:hAnsi="Lato" w:cs="Tahoma"/>
          <w:kern w:val="3"/>
          <w:sz w:val="20"/>
          <w:szCs w:val="20"/>
        </w:rPr>
      </w:pPr>
      <w:r w:rsidRPr="00E8348B">
        <w:rPr>
          <w:rFonts w:ascii="Lato" w:eastAsia="Andale Sans UI" w:hAnsi="Lato" w:cs="Tahoma"/>
          <w:kern w:val="3"/>
          <w:sz w:val="20"/>
          <w:szCs w:val="20"/>
        </w:rPr>
        <w:t>Prowadzone były również zajęcia warsztatowe dla osób 60+ „Czas na Twoją opowieść” w trakcie których seniorzy m. in. mieli możliwość podzielenia się z innymi swoimi wspomnieniami. Dodatkowo w ramach działalności zespołu śpiewaczego „</w:t>
      </w:r>
      <w:proofErr w:type="spellStart"/>
      <w:r w:rsidRPr="00E8348B">
        <w:rPr>
          <w:rFonts w:ascii="Lato" w:eastAsia="Andale Sans UI" w:hAnsi="Lato" w:cs="Tahoma"/>
          <w:kern w:val="3"/>
          <w:sz w:val="20"/>
          <w:szCs w:val="20"/>
        </w:rPr>
        <w:t>Senioreczki</w:t>
      </w:r>
      <w:proofErr w:type="spellEnd"/>
      <w:r w:rsidRPr="00E8348B">
        <w:rPr>
          <w:rFonts w:ascii="Lato" w:eastAsia="Andale Sans UI" w:hAnsi="Lato" w:cs="Tahoma"/>
          <w:kern w:val="3"/>
          <w:sz w:val="20"/>
          <w:szCs w:val="20"/>
        </w:rPr>
        <w:t xml:space="preserve">” seniorzy mogą szlifować i prezentować swoją twórczość artystyczną. </w:t>
      </w:r>
    </w:p>
    <w:p w14:paraId="6AC147E4" w14:textId="77777777" w:rsidR="005D6546" w:rsidRDefault="005D6546" w:rsidP="00E8348B">
      <w:pPr>
        <w:pStyle w:val="Akapitzlist"/>
        <w:spacing w:after="0" w:line="240" w:lineRule="auto"/>
        <w:ind w:left="0"/>
        <w:jc w:val="both"/>
        <w:rPr>
          <w:rFonts w:ascii="Lato" w:eastAsia="Andale Sans UI" w:hAnsi="Lato" w:cs="Tahoma"/>
          <w:kern w:val="3"/>
          <w:sz w:val="20"/>
          <w:szCs w:val="20"/>
        </w:rPr>
      </w:pPr>
    </w:p>
    <w:p w14:paraId="1C03882F" w14:textId="1F5A6AD6" w:rsidR="00E8348B" w:rsidRPr="00E8348B" w:rsidRDefault="00E8348B" w:rsidP="00E8348B">
      <w:pPr>
        <w:pStyle w:val="Akapitzlist"/>
        <w:spacing w:after="0" w:line="240" w:lineRule="auto"/>
        <w:ind w:left="0"/>
        <w:jc w:val="both"/>
        <w:rPr>
          <w:rFonts w:ascii="Lato" w:hAnsi="Lato" w:cs="Times New Roman"/>
          <w:b/>
          <w:sz w:val="20"/>
          <w:szCs w:val="20"/>
          <w:lang w:eastAsia="pl-PL"/>
        </w:rPr>
      </w:pPr>
      <w:r w:rsidRPr="00E8348B">
        <w:rPr>
          <w:rFonts w:ascii="Lato" w:eastAsia="Andale Sans UI" w:hAnsi="Lato" w:cs="Tahoma"/>
          <w:kern w:val="3"/>
          <w:sz w:val="20"/>
          <w:szCs w:val="20"/>
        </w:rPr>
        <w:t>Zorganizowany został</w:t>
      </w:r>
      <w:r w:rsidRPr="00E8348B">
        <w:rPr>
          <w:rFonts w:ascii="Lato" w:hAnsi="Lato" w:cs="Times New Roman"/>
          <w:b/>
          <w:sz w:val="20"/>
          <w:szCs w:val="20"/>
          <w:lang w:eastAsia="pl-PL"/>
        </w:rPr>
        <w:t xml:space="preserve"> </w:t>
      </w:r>
      <w:r w:rsidRPr="00E8348B">
        <w:rPr>
          <w:rFonts w:ascii="Lato" w:eastAsia="Andale Sans UI" w:hAnsi="Lato" w:cs="Tahoma"/>
          <w:kern w:val="3"/>
          <w:sz w:val="20"/>
          <w:szCs w:val="20"/>
        </w:rPr>
        <w:t>„Gminny Dzień Seniora”. Zaproszenia do udziału skierowane zostały do wszystkich seniorów z terenu gminy. W uroczystości wzięło udział 130 osób. Uczestnikom spotkania został zapewniony transport.</w:t>
      </w:r>
      <w:r w:rsidRPr="00E8348B">
        <w:rPr>
          <w:rFonts w:ascii="Lato" w:eastAsia="Andale Sans UI" w:hAnsi="Lato" w:cs="Arial"/>
          <w:kern w:val="3"/>
          <w:sz w:val="20"/>
          <w:szCs w:val="20"/>
        </w:rPr>
        <w:t xml:space="preserve"> </w:t>
      </w:r>
      <w:r w:rsidRPr="00E8348B">
        <w:rPr>
          <w:rFonts w:ascii="Lato" w:eastAsia="Andale Sans UI" w:hAnsi="Lato" w:cs="Times New Roman"/>
          <w:kern w:val="3"/>
          <w:sz w:val="20"/>
          <w:szCs w:val="20"/>
        </w:rPr>
        <w:t xml:space="preserve">W ramach spotkania odbyły się: msza święta, zabawa integracyjna z muzyką i poczęstunkiem, koncerty. </w:t>
      </w:r>
    </w:p>
    <w:p w14:paraId="5C40F3C9" w14:textId="77777777" w:rsidR="00E8348B" w:rsidRPr="00E8348B" w:rsidRDefault="00E8348B" w:rsidP="00E8348B">
      <w:pPr>
        <w:spacing w:after="0" w:line="240" w:lineRule="auto"/>
        <w:contextualSpacing/>
        <w:jc w:val="both"/>
        <w:rPr>
          <w:rFonts w:ascii="Lato" w:hAnsi="Lato"/>
          <w:b/>
          <w:sz w:val="20"/>
          <w:szCs w:val="20"/>
          <w:lang w:eastAsia="pl-PL"/>
        </w:rPr>
      </w:pPr>
    </w:p>
    <w:p w14:paraId="42D53B37" w14:textId="77777777" w:rsidR="00E8348B" w:rsidRPr="00E8348B" w:rsidRDefault="00E8348B" w:rsidP="00E8348B">
      <w:pPr>
        <w:spacing w:after="0" w:line="240" w:lineRule="auto"/>
        <w:contextualSpacing/>
        <w:jc w:val="both"/>
        <w:rPr>
          <w:rFonts w:ascii="Lato" w:hAnsi="Lato"/>
          <w:b/>
          <w:sz w:val="20"/>
          <w:szCs w:val="20"/>
          <w:lang w:eastAsia="pl-PL"/>
        </w:rPr>
      </w:pPr>
      <w:r w:rsidRPr="00E8348B">
        <w:rPr>
          <w:rFonts w:ascii="Lato" w:hAnsi="Lato"/>
          <w:b/>
          <w:sz w:val="20"/>
          <w:szCs w:val="20"/>
          <w:lang w:eastAsia="pl-PL"/>
        </w:rPr>
        <w:t>Jedlicze gmina miejsko-wiejska</w:t>
      </w:r>
    </w:p>
    <w:p w14:paraId="0D4FCE48" w14:textId="38981B2D" w:rsidR="005D6546" w:rsidRDefault="00E8348B" w:rsidP="005D6546">
      <w:pPr>
        <w:spacing w:after="0" w:line="240" w:lineRule="auto"/>
        <w:jc w:val="both"/>
        <w:rPr>
          <w:rStyle w:val="x193iq5w"/>
          <w:rFonts w:ascii="Lato" w:hAnsi="Lato" w:cs="Times New Roman"/>
          <w:sz w:val="20"/>
          <w:szCs w:val="20"/>
        </w:rPr>
      </w:pPr>
      <w:r w:rsidRPr="00E8348B">
        <w:rPr>
          <w:rFonts w:ascii="Lato" w:hAnsi="Lato" w:cs="Times New Roman"/>
          <w:sz w:val="20"/>
          <w:szCs w:val="20"/>
        </w:rPr>
        <w:t>W Gminnej Bibliotece Publicznej w Jedliczu w 2022 r. podjęto działania i programy wspierające aktywność społeczną osób starszych.</w:t>
      </w:r>
      <w:r w:rsidR="0092562F">
        <w:rPr>
          <w:rFonts w:ascii="Lato" w:hAnsi="Lato" w:cs="Times New Roman"/>
          <w:sz w:val="20"/>
          <w:szCs w:val="20"/>
        </w:rPr>
        <w:t xml:space="preserve"> </w:t>
      </w:r>
      <w:r w:rsidRPr="00E8348B">
        <w:rPr>
          <w:rFonts w:ascii="Lato" w:hAnsi="Lato" w:cs="Times New Roman"/>
          <w:sz w:val="20"/>
          <w:szCs w:val="20"/>
        </w:rPr>
        <w:t>Uruchomiono</w:t>
      </w:r>
      <w:r w:rsidRPr="00E8348B">
        <w:rPr>
          <w:rStyle w:val="x193iq5w"/>
          <w:rFonts w:ascii="Lato" w:hAnsi="Lato" w:cs="Times New Roman"/>
          <w:sz w:val="20"/>
          <w:szCs w:val="20"/>
        </w:rPr>
        <w:t xml:space="preserve"> usługę dostępu do serwisu </w:t>
      </w:r>
      <w:proofErr w:type="spellStart"/>
      <w:r w:rsidRPr="00E8348B">
        <w:rPr>
          <w:rStyle w:val="x193iq5w"/>
          <w:rFonts w:ascii="Lato" w:hAnsi="Lato" w:cs="Times New Roman"/>
          <w:sz w:val="20"/>
          <w:szCs w:val="20"/>
        </w:rPr>
        <w:t>Legimi</w:t>
      </w:r>
      <w:proofErr w:type="spellEnd"/>
      <w:r w:rsidRPr="00E8348B">
        <w:rPr>
          <w:rStyle w:val="x193iq5w"/>
          <w:rFonts w:ascii="Lato" w:hAnsi="Lato" w:cs="Times New Roman"/>
          <w:sz w:val="20"/>
          <w:szCs w:val="20"/>
        </w:rPr>
        <w:t xml:space="preserve">. </w:t>
      </w:r>
      <w:proofErr w:type="spellStart"/>
      <w:r w:rsidRPr="00E8348B">
        <w:rPr>
          <w:rStyle w:val="x193iq5w"/>
          <w:rFonts w:ascii="Lato" w:hAnsi="Lato" w:cs="Times New Roman"/>
          <w:sz w:val="20"/>
          <w:szCs w:val="20"/>
        </w:rPr>
        <w:t>Legimi</w:t>
      </w:r>
      <w:proofErr w:type="spellEnd"/>
      <w:r w:rsidRPr="00E8348B">
        <w:rPr>
          <w:rStyle w:val="x193iq5w"/>
          <w:rFonts w:ascii="Lato" w:hAnsi="Lato" w:cs="Times New Roman"/>
          <w:sz w:val="20"/>
          <w:szCs w:val="20"/>
        </w:rPr>
        <w:t xml:space="preserve"> w abonamencie GBP w Jedliczu zaoferowało dostęp do 66 000 ebooków, 40 000 audiobooków i </w:t>
      </w:r>
      <w:proofErr w:type="spellStart"/>
      <w:r w:rsidRPr="00E8348B">
        <w:rPr>
          <w:rStyle w:val="x193iq5w"/>
          <w:rFonts w:ascii="Lato" w:hAnsi="Lato" w:cs="Times New Roman"/>
          <w:sz w:val="20"/>
          <w:szCs w:val="20"/>
        </w:rPr>
        <w:t>synchrobooków</w:t>
      </w:r>
      <w:proofErr w:type="spellEnd"/>
      <w:r w:rsidRPr="00E8348B">
        <w:rPr>
          <w:rStyle w:val="x193iq5w"/>
          <w:rFonts w:ascii="Lato" w:hAnsi="Lato" w:cs="Times New Roman"/>
          <w:sz w:val="20"/>
          <w:szCs w:val="20"/>
        </w:rPr>
        <w:t xml:space="preserve"> bez limitu.</w:t>
      </w:r>
    </w:p>
    <w:p w14:paraId="034FF91E" w14:textId="77777777" w:rsidR="005D6546" w:rsidRDefault="005D6546" w:rsidP="005D6546">
      <w:pPr>
        <w:spacing w:after="0" w:line="240" w:lineRule="auto"/>
        <w:jc w:val="both"/>
        <w:rPr>
          <w:rStyle w:val="x193iq5w"/>
          <w:rFonts w:ascii="Lato" w:hAnsi="Lato" w:cs="Times New Roman"/>
          <w:sz w:val="20"/>
          <w:szCs w:val="20"/>
        </w:rPr>
      </w:pPr>
    </w:p>
    <w:p w14:paraId="6413EE53" w14:textId="49A969E3" w:rsidR="00E8348B" w:rsidRPr="00E8348B" w:rsidRDefault="00E8348B" w:rsidP="005D6546">
      <w:pPr>
        <w:spacing w:after="0" w:line="240" w:lineRule="auto"/>
        <w:jc w:val="both"/>
        <w:rPr>
          <w:rStyle w:val="x193iq5w"/>
          <w:rFonts w:ascii="Lato" w:hAnsi="Lato" w:cs="Times New Roman"/>
          <w:sz w:val="20"/>
          <w:szCs w:val="20"/>
        </w:rPr>
      </w:pPr>
      <w:r w:rsidRPr="00E8348B">
        <w:rPr>
          <w:rFonts w:ascii="Lato" w:hAnsi="Lato" w:cs="Times New Roman"/>
          <w:sz w:val="20"/>
          <w:szCs w:val="20"/>
        </w:rPr>
        <w:t xml:space="preserve">Gminna Biblioteka Publiczna w Jedliczu otrzymała dofinansowanie w projekcie grantowym "Kultura bez barier". Pozyskane środki finansowe przeznaczono na przedsięwzięcia, które posłużyły poprawie dostępności oferty biblioteki dla osób ze szczególnymi potrzebami i niepełnosprawnościami. Wśród działań projektowych zaplanowano i zrealizowano: uruchomienie usługi "Książka na telefon", zakup audiobooków, książek z dużą czcionką, czytników, pętli indukcyjnej, </w:t>
      </w:r>
      <w:proofErr w:type="spellStart"/>
      <w:r w:rsidRPr="00E8348B">
        <w:rPr>
          <w:rFonts w:ascii="Lato" w:hAnsi="Lato" w:cs="Times New Roman"/>
          <w:sz w:val="20"/>
          <w:szCs w:val="20"/>
        </w:rPr>
        <w:t>wrzutni</w:t>
      </w:r>
      <w:proofErr w:type="spellEnd"/>
      <w:r w:rsidRPr="00E8348B">
        <w:rPr>
          <w:rFonts w:ascii="Lato" w:hAnsi="Lato" w:cs="Times New Roman"/>
          <w:sz w:val="20"/>
          <w:szCs w:val="20"/>
        </w:rPr>
        <w:t xml:space="preserve"> książek oraz organizację ciekawych wydarzeń kulturalno-literackich. Odbyły się również spotkania autorskie </w:t>
      </w:r>
      <w:r w:rsidRPr="00E8348B">
        <w:rPr>
          <w:rStyle w:val="x193iq5w"/>
          <w:rFonts w:ascii="Lato" w:hAnsi="Lato" w:cs="Times New Roman"/>
          <w:sz w:val="20"/>
          <w:szCs w:val="20"/>
        </w:rPr>
        <w:t>oraz wyjazdy na spektakle teatralne.</w:t>
      </w:r>
    </w:p>
    <w:p w14:paraId="69E179FC" w14:textId="77777777" w:rsidR="005D6546" w:rsidRDefault="005D6546" w:rsidP="005D6546">
      <w:pPr>
        <w:spacing w:after="0" w:line="240" w:lineRule="auto"/>
        <w:jc w:val="both"/>
        <w:rPr>
          <w:rFonts w:ascii="Lato" w:hAnsi="Lato" w:cs="Times New Roman"/>
          <w:sz w:val="20"/>
          <w:szCs w:val="20"/>
        </w:rPr>
      </w:pPr>
    </w:p>
    <w:p w14:paraId="6BAACC94" w14:textId="2E14AA99" w:rsidR="00E8348B" w:rsidRPr="00E8348B" w:rsidRDefault="00E8348B" w:rsidP="005D6546">
      <w:pPr>
        <w:spacing w:after="0" w:line="240" w:lineRule="auto"/>
        <w:jc w:val="both"/>
        <w:rPr>
          <w:rFonts w:ascii="Lato" w:hAnsi="Lato" w:cs="Times New Roman"/>
          <w:sz w:val="20"/>
          <w:szCs w:val="20"/>
        </w:rPr>
      </w:pPr>
      <w:r w:rsidRPr="00E8348B">
        <w:rPr>
          <w:rFonts w:ascii="Lato" w:hAnsi="Lato" w:cs="Times New Roman"/>
          <w:sz w:val="20"/>
          <w:szCs w:val="20"/>
        </w:rPr>
        <w:lastRenderedPageBreak/>
        <w:t xml:space="preserve">Miały miejsce cykliczne zajęcia biblioterapeutyczne dla seniorów, które umożliwiły osobom starszym gimnastykę umysłu, trening pamięci, poprawę koncentracji oraz liczne aktywności artystyczne. Wspólne spotkania skłaniają do przemyśleń i autorefleksji, kształtują postawy moralne, rozbudzają wyobraźnię i wspierają procesy poznawcze. W ramach arteterapii mieszkańcy Samorządowego Domu Pomocy Społecznej brali udział w warsztatach tworzenia kompozycji kwiatowych na podstawie książkowych wzorów. </w:t>
      </w:r>
    </w:p>
    <w:p w14:paraId="12772F39" w14:textId="77777777" w:rsidR="00E8348B" w:rsidRPr="00E8348B" w:rsidRDefault="00E8348B" w:rsidP="00E8348B">
      <w:pPr>
        <w:pStyle w:val="NormalnyWeb"/>
        <w:ind w:left="567"/>
        <w:rPr>
          <w:rFonts w:ascii="Lato" w:hAnsi="Lato"/>
          <w:sz w:val="20"/>
          <w:szCs w:val="20"/>
        </w:rPr>
      </w:pPr>
    </w:p>
    <w:p w14:paraId="015B4F17" w14:textId="77777777" w:rsidR="00E8348B" w:rsidRPr="00E8348B" w:rsidRDefault="00E8348B" w:rsidP="00E8348B">
      <w:pPr>
        <w:spacing w:after="0" w:line="240" w:lineRule="auto"/>
        <w:contextualSpacing/>
        <w:jc w:val="both"/>
        <w:rPr>
          <w:rFonts w:ascii="Lato" w:hAnsi="Lato" w:cs="Times New Roman"/>
          <w:b/>
          <w:sz w:val="20"/>
          <w:szCs w:val="20"/>
          <w:lang w:eastAsia="pl-PL"/>
        </w:rPr>
      </w:pPr>
      <w:r w:rsidRPr="00E8348B">
        <w:rPr>
          <w:rFonts w:ascii="Lato" w:hAnsi="Lato" w:cs="Times New Roman"/>
          <w:b/>
          <w:sz w:val="20"/>
          <w:szCs w:val="20"/>
          <w:lang w:eastAsia="pl-PL"/>
        </w:rPr>
        <w:t>Ulanów gmina miejsko-wiejska</w:t>
      </w:r>
    </w:p>
    <w:p w14:paraId="26F5CD5E" w14:textId="5820F065" w:rsidR="00E8348B" w:rsidRPr="0092562F" w:rsidRDefault="00E8348B" w:rsidP="00E8348B">
      <w:pPr>
        <w:suppressAutoHyphens/>
        <w:autoSpaceDN w:val="0"/>
        <w:spacing w:after="0" w:line="240" w:lineRule="auto"/>
        <w:jc w:val="both"/>
        <w:textAlignment w:val="baseline"/>
        <w:rPr>
          <w:rFonts w:ascii="Lato" w:eastAsia="Calibri" w:hAnsi="Lato" w:cs="Times New Roman"/>
          <w:sz w:val="20"/>
          <w:szCs w:val="20"/>
        </w:rPr>
      </w:pPr>
      <w:r w:rsidRPr="0092562F">
        <w:rPr>
          <w:rFonts w:ascii="Lato" w:eastAsia="Calibri" w:hAnsi="Lato" w:cs="Times New Roman"/>
          <w:sz w:val="20"/>
          <w:szCs w:val="20"/>
        </w:rPr>
        <w:t>W okresie od 1 maja do 31 grudnia 2022 r. Stowarzyszenie „Niżańskie Centrum Rozwoju” w Racławicach realizowało projekt pt. „ Seniorzy z pasją” współfinansowany ze środków otrzymanych z Rządowego Programu wieloletniego na rzecz Osób Starszych</w:t>
      </w:r>
      <w:r w:rsidR="005D6546" w:rsidRPr="0092562F">
        <w:rPr>
          <w:rFonts w:ascii="Lato" w:eastAsia="Calibri" w:hAnsi="Lato" w:cs="Times New Roman"/>
          <w:sz w:val="20"/>
          <w:szCs w:val="20"/>
        </w:rPr>
        <w:t xml:space="preserve"> </w:t>
      </w:r>
      <w:r w:rsidRPr="0092562F">
        <w:rPr>
          <w:rFonts w:ascii="Lato" w:eastAsia="Calibri" w:hAnsi="Lato" w:cs="Times New Roman"/>
          <w:sz w:val="20"/>
          <w:szCs w:val="20"/>
        </w:rPr>
        <w:t>Aktywni + na lata 2021-2025. Edycja 2022. W projekcie brali udział seniorzy z Gminy i Miasta w Ulanowie.</w:t>
      </w:r>
    </w:p>
    <w:p w14:paraId="77912228" w14:textId="77777777" w:rsidR="005D6546" w:rsidRPr="0092562F" w:rsidRDefault="005D6546" w:rsidP="005D6546">
      <w:pPr>
        <w:suppressAutoHyphens/>
        <w:autoSpaceDN w:val="0"/>
        <w:spacing w:after="0" w:line="240" w:lineRule="auto"/>
        <w:jc w:val="both"/>
        <w:textAlignment w:val="baseline"/>
        <w:rPr>
          <w:rFonts w:ascii="Lato" w:eastAsia="Calibri" w:hAnsi="Lato" w:cs="Times New Roman"/>
          <w:sz w:val="20"/>
          <w:szCs w:val="20"/>
        </w:rPr>
      </w:pPr>
    </w:p>
    <w:p w14:paraId="2DFEC36F" w14:textId="2664987C" w:rsidR="00E8348B" w:rsidRPr="0092562F" w:rsidRDefault="00E8348B" w:rsidP="00E8348B">
      <w:pPr>
        <w:suppressAutoHyphens/>
        <w:autoSpaceDN w:val="0"/>
        <w:spacing w:after="0" w:line="240" w:lineRule="auto"/>
        <w:jc w:val="both"/>
        <w:textAlignment w:val="baseline"/>
        <w:rPr>
          <w:rFonts w:ascii="Lato" w:eastAsia="Calibri" w:hAnsi="Lato" w:cs="Times New Roman"/>
          <w:b/>
          <w:sz w:val="20"/>
          <w:szCs w:val="20"/>
        </w:rPr>
      </w:pPr>
      <w:r w:rsidRPr="0092562F">
        <w:rPr>
          <w:rFonts w:ascii="Lato" w:eastAsia="Calibri" w:hAnsi="Lato" w:cs="Times New Roman"/>
          <w:sz w:val="20"/>
          <w:szCs w:val="20"/>
        </w:rPr>
        <w:t>W ramach ścieżki Aktywni w swojej miejscowości: dla seniorów realizowane były spotkania plenerowe, spacery i wycieczki rowerowe oraz konkurs fotograficzny.</w:t>
      </w:r>
      <w:r w:rsidR="0092562F" w:rsidRPr="0092562F">
        <w:rPr>
          <w:rFonts w:ascii="Lato" w:eastAsia="Calibri" w:hAnsi="Lato" w:cs="Times New Roman"/>
          <w:sz w:val="20"/>
          <w:szCs w:val="20"/>
        </w:rPr>
        <w:t xml:space="preserve"> </w:t>
      </w:r>
      <w:r w:rsidRPr="0092562F">
        <w:rPr>
          <w:rFonts w:ascii="Lato" w:eastAsia="Calibri" w:hAnsi="Lato" w:cs="Times New Roman"/>
          <w:sz w:val="20"/>
          <w:szCs w:val="20"/>
        </w:rPr>
        <w:t>W ramach ścieżki Aktywni kulturalnie: dla seniorów zrealizowane zostały warsztaty śpiewu, wyjazdy do kina, koncert z okazji Dnia Seniora.</w:t>
      </w:r>
      <w:r w:rsidR="0092562F" w:rsidRPr="0092562F">
        <w:rPr>
          <w:rFonts w:ascii="Lato" w:eastAsia="Calibri" w:hAnsi="Lato" w:cs="Times New Roman"/>
          <w:sz w:val="20"/>
          <w:szCs w:val="20"/>
        </w:rPr>
        <w:t xml:space="preserve"> </w:t>
      </w:r>
      <w:r w:rsidRPr="0092562F">
        <w:rPr>
          <w:rFonts w:ascii="Lato" w:eastAsia="Calibri" w:hAnsi="Lato" w:cs="Times New Roman"/>
          <w:sz w:val="20"/>
          <w:szCs w:val="20"/>
        </w:rPr>
        <w:t>W ramach ścieżki Aktywni i sprawni: zrealizowano następujące działania: szkolenie z zakresu pomocy osobom starszym, spotkania z dietetykiem z zakresu zdrowego odżywiania, spotkanie z fizjoterapeutą, zajęcia gimnastyczne, wyjazd aktywizacyjno – zdrowotny szlakiem podkarpackich uzdrowisk, pomoc</w:t>
      </w:r>
      <w:r w:rsidRPr="005D6546">
        <w:rPr>
          <w:rFonts w:ascii="Lato" w:eastAsia="Calibri" w:hAnsi="Lato" w:cs="Times New Roman"/>
          <w:sz w:val="20"/>
          <w:szCs w:val="20"/>
        </w:rPr>
        <w:t xml:space="preserve"> osobom starszym przez seniorów wolontariuszy (seniorzy zaangażowali się w pomoc innym osobom starszym). W ramach ścieżki </w:t>
      </w:r>
      <w:r w:rsidRPr="0092562F">
        <w:rPr>
          <w:rFonts w:ascii="Lato" w:eastAsia="Calibri" w:hAnsi="Lato" w:cs="Times New Roman"/>
          <w:bCs/>
          <w:sz w:val="20"/>
          <w:szCs w:val="20"/>
        </w:rPr>
        <w:t>Aktywni i zaradni we współczesnym świecie:</w:t>
      </w:r>
      <w:r w:rsidRPr="005D6546">
        <w:rPr>
          <w:rFonts w:ascii="Lato" w:eastAsia="Calibri" w:hAnsi="Lato" w:cs="Times New Roman"/>
          <w:sz w:val="20"/>
          <w:szCs w:val="20"/>
        </w:rPr>
        <w:t xml:space="preserve"> dla seniorów zrealizowane zostały: zajęcia z języka angielskiego, warsztaty </w:t>
      </w:r>
      <w:proofErr w:type="spellStart"/>
      <w:r w:rsidRPr="005D6546">
        <w:rPr>
          <w:rFonts w:ascii="Lato" w:eastAsia="Calibri" w:hAnsi="Lato" w:cs="Times New Roman"/>
          <w:sz w:val="20"/>
          <w:szCs w:val="20"/>
        </w:rPr>
        <w:t>artystyczno</w:t>
      </w:r>
      <w:proofErr w:type="spellEnd"/>
      <w:r w:rsidRPr="005D6546">
        <w:rPr>
          <w:rFonts w:ascii="Lato" w:eastAsia="Calibri" w:hAnsi="Lato" w:cs="Times New Roman"/>
          <w:sz w:val="20"/>
          <w:szCs w:val="20"/>
        </w:rPr>
        <w:t xml:space="preserve"> – manualne (seniorzy poznali tajniki tworzenia biżuterii i wykonywania różnego rodzaju dekoracji), warsztaty z zakresu nowych technologii (seniorzy dowiedzieli się jak użytkować tablet, smartfon), wydanie kalendarza – kalendarze dla seniora na 2023 r. </w:t>
      </w:r>
      <w:r w:rsidRPr="00E8348B">
        <w:rPr>
          <w:rFonts w:ascii="Lato" w:eastAsia="Calibri" w:hAnsi="Lato" w:cs="Times New Roman"/>
          <w:sz w:val="20"/>
          <w:szCs w:val="20"/>
        </w:rPr>
        <w:t xml:space="preserve"> </w:t>
      </w:r>
    </w:p>
    <w:p w14:paraId="219C3C63" w14:textId="77777777" w:rsidR="00E8348B" w:rsidRPr="00E8348B" w:rsidRDefault="00E8348B" w:rsidP="00E8348B">
      <w:pPr>
        <w:suppressAutoHyphens/>
        <w:autoSpaceDN w:val="0"/>
        <w:spacing w:after="0" w:line="240" w:lineRule="auto"/>
        <w:jc w:val="both"/>
        <w:textAlignment w:val="baseline"/>
        <w:rPr>
          <w:rFonts w:ascii="Lato" w:eastAsia="Calibri" w:hAnsi="Lato" w:cs="Times New Roman"/>
          <w:sz w:val="20"/>
          <w:szCs w:val="20"/>
        </w:rPr>
      </w:pPr>
    </w:p>
    <w:p w14:paraId="01C56B40" w14:textId="77777777" w:rsidR="00E8348B" w:rsidRPr="00E8348B" w:rsidRDefault="00E8348B" w:rsidP="00E8348B">
      <w:pPr>
        <w:spacing w:after="0" w:line="240" w:lineRule="auto"/>
        <w:contextualSpacing/>
        <w:jc w:val="both"/>
        <w:rPr>
          <w:rFonts w:ascii="Lato" w:hAnsi="Lato"/>
          <w:b/>
          <w:sz w:val="20"/>
          <w:szCs w:val="20"/>
          <w:lang w:eastAsia="pl-PL"/>
        </w:rPr>
      </w:pPr>
      <w:r w:rsidRPr="00E8348B">
        <w:rPr>
          <w:rFonts w:ascii="Lato" w:hAnsi="Lato"/>
          <w:b/>
          <w:sz w:val="20"/>
          <w:szCs w:val="20"/>
          <w:lang w:eastAsia="pl-PL"/>
        </w:rPr>
        <w:t>Baranów Sandomierski gmina miejsko-wiejska</w:t>
      </w:r>
    </w:p>
    <w:p w14:paraId="0DB01C18" w14:textId="63CFF918" w:rsidR="00E8348B" w:rsidRPr="00E8348B" w:rsidRDefault="00E8348B" w:rsidP="00E8348B">
      <w:pPr>
        <w:spacing w:after="0" w:line="240" w:lineRule="auto"/>
        <w:contextualSpacing/>
        <w:jc w:val="both"/>
        <w:rPr>
          <w:rFonts w:ascii="Lato" w:hAnsi="Lato"/>
          <w:sz w:val="20"/>
          <w:szCs w:val="20"/>
          <w:lang w:eastAsia="pl-PL"/>
        </w:rPr>
      </w:pPr>
      <w:r w:rsidRPr="00E8348B">
        <w:rPr>
          <w:rFonts w:ascii="Lato" w:hAnsi="Lato"/>
          <w:sz w:val="20"/>
          <w:szCs w:val="20"/>
          <w:lang w:eastAsia="pl-PL"/>
        </w:rPr>
        <w:t>Seniorzy z Uniwersytetu Trzeciego Wieku w Baranowie Sandomierskim (145 osób) brali udział w inicjatywnie pt</w:t>
      </w:r>
      <w:r w:rsidR="005D6546">
        <w:rPr>
          <w:rFonts w:ascii="Lato" w:hAnsi="Lato"/>
          <w:sz w:val="20"/>
          <w:szCs w:val="20"/>
          <w:lang w:eastAsia="pl-PL"/>
        </w:rPr>
        <w:t>.</w:t>
      </w:r>
      <w:r w:rsidRPr="00E8348B">
        <w:rPr>
          <w:rFonts w:ascii="Lato" w:hAnsi="Lato"/>
          <w:sz w:val="20"/>
          <w:szCs w:val="20"/>
          <w:lang w:eastAsia="pl-PL"/>
        </w:rPr>
        <w:t xml:space="preserve">: „ Od kwiatka do ula - z pszczołą senior żyje zdrowo”. Seniorzy poznali zagadnienia związane z życiem pszczół, ich rolą w ekosystemie, wykorzystywanie produktów pszczelich w kuchni oraz </w:t>
      </w:r>
      <w:proofErr w:type="spellStart"/>
      <w:r w:rsidRPr="00E8348B">
        <w:rPr>
          <w:rFonts w:ascii="Lato" w:hAnsi="Lato"/>
          <w:sz w:val="20"/>
          <w:szCs w:val="20"/>
          <w:lang w:eastAsia="pl-PL"/>
        </w:rPr>
        <w:t>apiterapia</w:t>
      </w:r>
      <w:proofErr w:type="spellEnd"/>
      <w:r w:rsidRPr="00E8348B">
        <w:rPr>
          <w:rFonts w:ascii="Lato" w:hAnsi="Lato"/>
          <w:sz w:val="20"/>
          <w:szCs w:val="20"/>
          <w:lang w:eastAsia="pl-PL"/>
        </w:rPr>
        <w:t xml:space="preserve"> w leczeniu osób starszych. </w:t>
      </w:r>
      <w:r w:rsidRPr="00E8348B">
        <w:rPr>
          <w:rFonts w:ascii="Lato" w:hAnsi="Lato" w:cs="Times New Roman"/>
          <w:color w:val="050505"/>
          <w:sz w:val="20"/>
          <w:szCs w:val="20"/>
          <w:shd w:val="clear" w:color="auto" w:fill="FFFFFF"/>
        </w:rPr>
        <w:t xml:space="preserve">W swoich przydomowych ogródkach założyli łączki kwietne – jako oazę dla pszczół i innych pożytecznych owadów zapylających. </w:t>
      </w:r>
      <w:r w:rsidRPr="00E8348B">
        <w:rPr>
          <w:rFonts w:ascii="Lato" w:hAnsi="Lato"/>
          <w:sz w:val="20"/>
          <w:szCs w:val="20"/>
          <w:lang w:eastAsia="pl-PL"/>
        </w:rPr>
        <w:t xml:space="preserve">Podczas warsztatów seniorzy odwiedzili gospodarstwo pszczelarskie, poznali pracę pszczelarza i proces produkcji miodu. </w:t>
      </w:r>
    </w:p>
    <w:p w14:paraId="48F8FC44" w14:textId="77777777" w:rsidR="005D6546" w:rsidRDefault="005D6546" w:rsidP="00E8348B">
      <w:pPr>
        <w:shd w:val="clear" w:color="auto" w:fill="FFFFFF"/>
        <w:spacing w:after="0" w:line="240" w:lineRule="auto"/>
        <w:jc w:val="both"/>
        <w:rPr>
          <w:rFonts w:ascii="Lato" w:eastAsia="Times New Roman" w:hAnsi="Lato" w:cs="Times New Roman"/>
          <w:color w:val="050505"/>
          <w:sz w:val="20"/>
          <w:szCs w:val="20"/>
          <w:lang w:eastAsia="pl-PL"/>
        </w:rPr>
      </w:pPr>
    </w:p>
    <w:p w14:paraId="38326DC8" w14:textId="7D7DF293" w:rsidR="00E8348B" w:rsidRPr="00E8348B" w:rsidRDefault="00E8348B" w:rsidP="00E8348B">
      <w:pPr>
        <w:shd w:val="clear" w:color="auto" w:fill="FFFFFF"/>
        <w:spacing w:after="0" w:line="240" w:lineRule="auto"/>
        <w:jc w:val="both"/>
        <w:rPr>
          <w:rFonts w:ascii="Lato" w:eastAsia="Times New Roman" w:hAnsi="Lato" w:cs="Times New Roman"/>
          <w:color w:val="050505"/>
          <w:sz w:val="20"/>
          <w:szCs w:val="20"/>
          <w:lang w:eastAsia="pl-PL"/>
        </w:rPr>
      </w:pPr>
      <w:r w:rsidRPr="00E8348B">
        <w:rPr>
          <w:rFonts w:ascii="Lato" w:eastAsia="Times New Roman" w:hAnsi="Lato" w:cs="Times New Roman"/>
          <w:color w:val="050505"/>
          <w:sz w:val="20"/>
          <w:szCs w:val="20"/>
          <w:lang w:eastAsia="pl-PL"/>
        </w:rPr>
        <w:t xml:space="preserve">Uniwersytet Trzeciego Wieku w Baranowie Sandomierskim od stycznia 2022r. realizował inicjatywę pt.: „Szlakiem dziedzictwa kulturowego – </w:t>
      </w:r>
      <w:proofErr w:type="spellStart"/>
      <w:r w:rsidRPr="00E8348B">
        <w:rPr>
          <w:rFonts w:ascii="Lato" w:eastAsia="Times New Roman" w:hAnsi="Lato" w:cs="Times New Roman"/>
          <w:color w:val="050505"/>
          <w:sz w:val="20"/>
          <w:szCs w:val="20"/>
          <w:lang w:eastAsia="pl-PL"/>
        </w:rPr>
        <w:t>Lasowiacy</w:t>
      </w:r>
      <w:proofErr w:type="spellEnd"/>
      <w:r w:rsidRPr="00E8348B">
        <w:rPr>
          <w:rFonts w:ascii="Lato" w:eastAsia="Times New Roman" w:hAnsi="Lato" w:cs="Times New Roman"/>
          <w:color w:val="050505"/>
          <w:sz w:val="20"/>
          <w:szCs w:val="20"/>
          <w:lang w:eastAsia="pl-PL"/>
        </w:rPr>
        <w:t xml:space="preserve"> w widłach Wisły</w:t>
      </w:r>
      <w:r w:rsidR="005D6546">
        <w:rPr>
          <w:rFonts w:ascii="Lato" w:eastAsia="Times New Roman" w:hAnsi="Lato" w:cs="Times New Roman"/>
          <w:color w:val="050505"/>
          <w:sz w:val="20"/>
          <w:szCs w:val="20"/>
          <w:lang w:eastAsia="pl-PL"/>
        </w:rPr>
        <w:t xml:space="preserve"> </w:t>
      </w:r>
      <w:r w:rsidRPr="00E8348B">
        <w:rPr>
          <w:rFonts w:ascii="Lato" w:eastAsia="Times New Roman" w:hAnsi="Lato" w:cs="Times New Roman"/>
          <w:color w:val="050505"/>
          <w:sz w:val="20"/>
          <w:szCs w:val="20"/>
          <w:lang w:eastAsia="pl-PL"/>
        </w:rPr>
        <w:t>i Sanu” dofinansowaną ze środków Ministra Kultury i Dziedzictwa Narodowego pochodzących z Funduszu Promocji Kultury - państwowego funduszu celowego oraz budżetu Burmistrza Miasta i Gminy Baranów Sandomierski. Projekt miał na celu przybliżenie seniorom z terenu gminy dostępu do narodowych zasobów dóbr kultury, pokazanie miejsc cennych dla dziedzictwa kulturowego Lasowiaków.</w:t>
      </w:r>
    </w:p>
    <w:p w14:paraId="16A1EB83" w14:textId="77777777" w:rsidR="005D6546" w:rsidRDefault="005D6546" w:rsidP="00E8348B">
      <w:pPr>
        <w:shd w:val="clear" w:color="auto" w:fill="FFFFFF"/>
        <w:spacing w:after="0" w:line="240" w:lineRule="auto"/>
        <w:jc w:val="both"/>
        <w:rPr>
          <w:rFonts w:ascii="Lato" w:eastAsia="Times New Roman" w:hAnsi="Lato" w:cs="Segoe UI Historic"/>
          <w:color w:val="050505"/>
          <w:sz w:val="20"/>
          <w:szCs w:val="20"/>
          <w:lang w:eastAsia="pl-PL"/>
        </w:rPr>
      </w:pPr>
    </w:p>
    <w:p w14:paraId="01AA70D2" w14:textId="5CD4C9CB" w:rsidR="00E8348B" w:rsidRDefault="00E8348B" w:rsidP="00E8348B">
      <w:pPr>
        <w:shd w:val="clear" w:color="auto" w:fill="FFFFFF"/>
        <w:spacing w:after="0" w:line="240" w:lineRule="auto"/>
        <w:jc w:val="both"/>
        <w:rPr>
          <w:rFonts w:ascii="Lato" w:eastAsia="Times New Roman" w:hAnsi="Lato" w:cs="Times New Roman"/>
          <w:color w:val="050505"/>
          <w:sz w:val="20"/>
          <w:szCs w:val="20"/>
          <w:lang w:eastAsia="pl-PL"/>
        </w:rPr>
      </w:pPr>
      <w:r w:rsidRPr="00E8348B">
        <w:rPr>
          <w:rFonts w:ascii="Lato" w:eastAsia="Times New Roman" w:hAnsi="Lato" w:cs="Segoe UI Historic"/>
          <w:color w:val="050505"/>
          <w:sz w:val="20"/>
          <w:szCs w:val="20"/>
          <w:lang w:eastAsia="pl-PL"/>
        </w:rPr>
        <w:t xml:space="preserve">Dzięki uczestnictwu w projekcie poznali dziedzictwo kulturowe rodu Tarnowskich w Muzeum Historycznym Miasta Tarnobrzega, odwiedzili jedyne w Polsce Muzeum Polskiego Przemysłu Siarkowego w Tarnobrzegu, Muzeum Kultury Ludowej w Kolbuszowej, poznali historię Sandomierza. </w:t>
      </w:r>
      <w:r w:rsidRPr="00E8348B">
        <w:rPr>
          <w:rFonts w:ascii="Lato" w:eastAsia="Times New Roman" w:hAnsi="Lato" w:cs="Times New Roman"/>
          <w:color w:val="050505"/>
          <w:sz w:val="20"/>
          <w:szCs w:val="20"/>
          <w:lang w:eastAsia="pl-PL"/>
        </w:rPr>
        <w:t xml:space="preserve">W Muzeum Regionalnym w Stalowej Woli – Rozwadowie zobaczyli dawne życie w </w:t>
      </w:r>
      <w:proofErr w:type="spellStart"/>
      <w:r w:rsidRPr="00E8348B">
        <w:rPr>
          <w:rFonts w:ascii="Lato" w:eastAsia="Times New Roman" w:hAnsi="Lato" w:cs="Times New Roman"/>
          <w:color w:val="050505"/>
          <w:sz w:val="20"/>
          <w:szCs w:val="20"/>
          <w:lang w:eastAsia="pl-PL"/>
        </w:rPr>
        <w:t>lasowiackiej</w:t>
      </w:r>
      <w:proofErr w:type="spellEnd"/>
      <w:r w:rsidRPr="00E8348B">
        <w:rPr>
          <w:rFonts w:ascii="Lato" w:eastAsia="Times New Roman" w:hAnsi="Lato" w:cs="Times New Roman"/>
          <w:color w:val="050505"/>
          <w:sz w:val="20"/>
          <w:szCs w:val="20"/>
          <w:lang w:eastAsia="pl-PL"/>
        </w:rPr>
        <w:t xml:space="preserve"> wsi. W Centrum Wikliniarstwa w Rudniku nad Sanem seniorzy odwiedzili wystawy: historyczną, archeologiczną, etnograficzną oraz ekspozycję wikliny użytkowej i artystycznej.</w:t>
      </w:r>
    </w:p>
    <w:p w14:paraId="6A4E5C57" w14:textId="77777777" w:rsidR="005D6546" w:rsidRPr="00E8348B" w:rsidRDefault="005D6546" w:rsidP="00E8348B">
      <w:pPr>
        <w:shd w:val="clear" w:color="auto" w:fill="FFFFFF"/>
        <w:spacing w:after="0" w:line="240" w:lineRule="auto"/>
        <w:jc w:val="both"/>
        <w:rPr>
          <w:rFonts w:ascii="Lato" w:eastAsia="Times New Roman" w:hAnsi="Lato" w:cs="Times New Roman"/>
          <w:color w:val="050505"/>
          <w:sz w:val="20"/>
          <w:szCs w:val="20"/>
          <w:lang w:eastAsia="pl-PL"/>
        </w:rPr>
      </w:pPr>
    </w:p>
    <w:p w14:paraId="02B6CFA1" w14:textId="5B396F83" w:rsidR="00E8348B" w:rsidRDefault="00E8348B" w:rsidP="00E8348B">
      <w:pPr>
        <w:shd w:val="clear" w:color="auto" w:fill="FFFFFF"/>
        <w:spacing w:after="0" w:line="240" w:lineRule="auto"/>
        <w:jc w:val="both"/>
        <w:rPr>
          <w:rFonts w:ascii="Lato" w:eastAsia="Times New Roman" w:hAnsi="Lato" w:cs="Segoe UI Historic"/>
          <w:color w:val="050505"/>
          <w:sz w:val="20"/>
          <w:szCs w:val="20"/>
          <w:lang w:eastAsia="pl-PL"/>
        </w:rPr>
      </w:pPr>
      <w:r w:rsidRPr="00E8348B">
        <w:rPr>
          <w:rFonts w:ascii="Lato" w:eastAsia="Times New Roman" w:hAnsi="Lato" w:cs="Segoe UI Historic"/>
          <w:color w:val="050505"/>
          <w:sz w:val="20"/>
          <w:szCs w:val="20"/>
          <w:lang w:eastAsia="pl-PL"/>
        </w:rPr>
        <w:t>W Leżajsku zwiedzili zespół Dworu Starościńskiego, w którym znajduje się Muzeum Ziemi Leżajskiej, Muzeum Prowincji OO. Bernardynów oraz uczestniczyli w koncercie organowym XXXI Międzynarodowego Festiwalu Muzyki Organowej i Kameralnej.</w:t>
      </w:r>
    </w:p>
    <w:p w14:paraId="4577E2BC" w14:textId="77777777" w:rsidR="005D6546" w:rsidRPr="00E8348B" w:rsidRDefault="005D6546" w:rsidP="00E8348B">
      <w:pPr>
        <w:shd w:val="clear" w:color="auto" w:fill="FFFFFF"/>
        <w:spacing w:after="0" w:line="240" w:lineRule="auto"/>
        <w:jc w:val="both"/>
        <w:rPr>
          <w:rFonts w:ascii="Lato" w:eastAsia="Times New Roman" w:hAnsi="Lato" w:cs="Segoe UI Historic"/>
          <w:color w:val="050505"/>
          <w:sz w:val="20"/>
          <w:szCs w:val="20"/>
          <w:lang w:eastAsia="pl-PL"/>
        </w:rPr>
      </w:pPr>
    </w:p>
    <w:p w14:paraId="3A4814D4" w14:textId="77777777" w:rsidR="00E8348B" w:rsidRPr="00E8348B" w:rsidRDefault="00E8348B" w:rsidP="00E8348B">
      <w:pPr>
        <w:shd w:val="clear" w:color="auto" w:fill="FFFFFF"/>
        <w:spacing w:after="0" w:line="240" w:lineRule="auto"/>
        <w:jc w:val="both"/>
        <w:rPr>
          <w:rFonts w:ascii="Lato" w:eastAsia="Times New Roman" w:hAnsi="Lato" w:cs="Segoe UI Historic"/>
          <w:color w:val="050505"/>
          <w:sz w:val="20"/>
          <w:szCs w:val="20"/>
          <w:lang w:eastAsia="pl-PL"/>
        </w:rPr>
      </w:pPr>
      <w:r w:rsidRPr="00E8348B">
        <w:rPr>
          <w:rFonts w:ascii="Lato" w:eastAsia="Times New Roman" w:hAnsi="Lato" w:cs="Segoe UI Historic"/>
          <w:color w:val="050505"/>
          <w:sz w:val="20"/>
          <w:szCs w:val="20"/>
          <w:lang w:eastAsia="pl-PL"/>
        </w:rPr>
        <w:t xml:space="preserve">Inicjatywę zakończyły warsztaty kuchni </w:t>
      </w:r>
      <w:proofErr w:type="spellStart"/>
      <w:r w:rsidRPr="00E8348B">
        <w:rPr>
          <w:rFonts w:ascii="Lato" w:eastAsia="Times New Roman" w:hAnsi="Lato" w:cs="Segoe UI Historic"/>
          <w:color w:val="050505"/>
          <w:sz w:val="20"/>
          <w:szCs w:val="20"/>
          <w:lang w:eastAsia="pl-PL"/>
        </w:rPr>
        <w:t>lasowiackiej</w:t>
      </w:r>
      <w:proofErr w:type="spellEnd"/>
      <w:r w:rsidRPr="00E8348B">
        <w:rPr>
          <w:rFonts w:ascii="Lato" w:eastAsia="Times New Roman" w:hAnsi="Lato" w:cs="Segoe UI Historic"/>
          <w:color w:val="050505"/>
          <w:sz w:val="20"/>
          <w:szCs w:val="20"/>
          <w:lang w:eastAsia="pl-PL"/>
        </w:rPr>
        <w:t xml:space="preserve"> oraz koncert pt.: „Zagraj mi muzyko po </w:t>
      </w:r>
      <w:proofErr w:type="spellStart"/>
      <w:r w:rsidRPr="00E8348B">
        <w:rPr>
          <w:rFonts w:ascii="Lato" w:eastAsia="Times New Roman" w:hAnsi="Lato" w:cs="Segoe UI Historic"/>
          <w:color w:val="050505"/>
          <w:sz w:val="20"/>
          <w:szCs w:val="20"/>
          <w:lang w:eastAsia="pl-PL"/>
        </w:rPr>
        <w:t>lasowiacku</w:t>
      </w:r>
      <w:proofErr w:type="spellEnd"/>
      <w:r w:rsidRPr="00E8348B">
        <w:rPr>
          <w:rFonts w:ascii="Lato" w:eastAsia="Times New Roman" w:hAnsi="Lato" w:cs="Segoe UI Historic"/>
          <w:color w:val="050505"/>
          <w:sz w:val="20"/>
          <w:szCs w:val="20"/>
          <w:lang w:eastAsia="pl-PL"/>
        </w:rPr>
        <w:t>”.</w:t>
      </w:r>
    </w:p>
    <w:p w14:paraId="2A4D57DA" w14:textId="77777777" w:rsidR="00E8348B" w:rsidRPr="00E8348B" w:rsidRDefault="00E8348B" w:rsidP="00E8348B">
      <w:pPr>
        <w:spacing w:after="0" w:line="240" w:lineRule="auto"/>
        <w:contextualSpacing/>
        <w:jc w:val="both"/>
        <w:rPr>
          <w:rFonts w:ascii="Lato" w:hAnsi="Lato"/>
          <w:sz w:val="20"/>
          <w:szCs w:val="20"/>
          <w:lang w:eastAsia="pl-PL"/>
        </w:rPr>
      </w:pPr>
    </w:p>
    <w:p w14:paraId="2546ACE7" w14:textId="7E5CFAD8" w:rsidR="00E8348B" w:rsidRPr="005D6546" w:rsidRDefault="005D6546" w:rsidP="00E8348B">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2363CDB2" w14:textId="77777777" w:rsidR="00E8348B" w:rsidRPr="00E8348B" w:rsidRDefault="00E8348B" w:rsidP="00E8348B">
      <w:pPr>
        <w:spacing w:after="0" w:line="240" w:lineRule="auto"/>
        <w:contextualSpacing/>
        <w:jc w:val="both"/>
        <w:rPr>
          <w:rFonts w:ascii="Lato" w:hAnsi="Lato"/>
          <w:b/>
          <w:sz w:val="20"/>
          <w:szCs w:val="20"/>
          <w:lang w:eastAsia="pl-PL"/>
        </w:rPr>
      </w:pPr>
      <w:r w:rsidRPr="00E8348B">
        <w:rPr>
          <w:rFonts w:ascii="Lato" w:hAnsi="Lato"/>
          <w:b/>
          <w:sz w:val="20"/>
          <w:szCs w:val="20"/>
          <w:lang w:eastAsia="pl-PL"/>
        </w:rPr>
        <w:t>Dębica gmina wiejska</w:t>
      </w:r>
    </w:p>
    <w:p w14:paraId="46D6ECD9" w14:textId="1525AAE5" w:rsidR="00E8348B" w:rsidRPr="00E8348B" w:rsidRDefault="00E8348B" w:rsidP="00E8348B">
      <w:pPr>
        <w:spacing w:after="0" w:line="240" w:lineRule="auto"/>
        <w:contextualSpacing/>
        <w:jc w:val="both"/>
        <w:rPr>
          <w:rFonts w:ascii="Lato" w:hAnsi="Lato" w:cstheme="majorBidi"/>
          <w:sz w:val="20"/>
          <w:szCs w:val="20"/>
        </w:rPr>
      </w:pPr>
      <w:r w:rsidRPr="00E8348B">
        <w:rPr>
          <w:rFonts w:ascii="Lato" w:hAnsi="Lato" w:cstheme="majorBidi"/>
          <w:sz w:val="20"/>
          <w:szCs w:val="20"/>
        </w:rPr>
        <w:t xml:space="preserve">Projekt </w:t>
      </w:r>
      <w:proofErr w:type="spellStart"/>
      <w:r w:rsidRPr="00E8348B">
        <w:rPr>
          <w:rFonts w:ascii="Lato" w:hAnsi="Lato" w:cstheme="majorBidi"/>
          <w:sz w:val="20"/>
          <w:szCs w:val="20"/>
        </w:rPr>
        <w:t>Shinrin</w:t>
      </w:r>
      <w:proofErr w:type="spellEnd"/>
      <w:r w:rsidRPr="00E8348B">
        <w:rPr>
          <w:rFonts w:ascii="Lato" w:hAnsi="Lato" w:cstheme="majorBidi"/>
          <w:sz w:val="20"/>
          <w:szCs w:val="20"/>
        </w:rPr>
        <w:t xml:space="preserve"> – </w:t>
      </w:r>
      <w:proofErr w:type="spellStart"/>
      <w:r w:rsidRPr="00E8348B">
        <w:rPr>
          <w:rFonts w:ascii="Lato" w:hAnsi="Lato" w:cstheme="majorBidi"/>
          <w:sz w:val="20"/>
          <w:szCs w:val="20"/>
        </w:rPr>
        <w:t>Yoku</w:t>
      </w:r>
      <w:proofErr w:type="spellEnd"/>
      <w:r w:rsidRPr="00E8348B">
        <w:rPr>
          <w:rFonts w:ascii="Lato" w:hAnsi="Lato" w:cstheme="majorBidi"/>
          <w:sz w:val="20"/>
          <w:szCs w:val="20"/>
        </w:rPr>
        <w:t xml:space="preserve"> – napełnieni mocą lasu, realizowany przez Stowarzyszenie Inicjatyw Społecznych „Nowe Możliwości”, działające przy Centrum Usług Społecznych Gminy Dębica. Testowana metoda to </w:t>
      </w:r>
      <w:r w:rsidRPr="00E8348B">
        <w:rPr>
          <w:rFonts w:ascii="Lato" w:hAnsi="Lato" w:cstheme="majorBidi"/>
          <w:sz w:val="20"/>
          <w:szCs w:val="20"/>
        </w:rPr>
        <w:lastRenderedPageBreak/>
        <w:t xml:space="preserve">nowatorski program stymulacji zmysłowej dostosowany do potrzeb i ograniczeń osób niepełnosprawnych i starszych, który polegał na połączeniu </w:t>
      </w:r>
      <w:proofErr w:type="spellStart"/>
      <w:r w:rsidRPr="00E8348B">
        <w:rPr>
          <w:rFonts w:ascii="Lato" w:hAnsi="Lato" w:cstheme="majorBidi"/>
          <w:sz w:val="20"/>
          <w:szCs w:val="20"/>
        </w:rPr>
        <w:t>shinrin-yoku</w:t>
      </w:r>
      <w:proofErr w:type="spellEnd"/>
      <w:r w:rsidRPr="00E8348B">
        <w:rPr>
          <w:rFonts w:ascii="Lato" w:hAnsi="Lato" w:cstheme="majorBidi"/>
          <w:sz w:val="20"/>
          <w:szCs w:val="20"/>
        </w:rPr>
        <w:t xml:space="preserve"> (kąpiele leśne), </w:t>
      </w:r>
      <w:proofErr w:type="spellStart"/>
      <w:r w:rsidRPr="00E8348B">
        <w:rPr>
          <w:rFonts w:ascii="Lato" w:hAnsi="Lato" w:cstheme="majorBidi"/>
          <w:sz w:val="20"/>
          <w:szCs w:val="20"/>
        </w:rPr>
        <w:t>silvoterapii</w:t>
      </w:r>
      <w:proofErr w:type="spellEnd"/>
      <w:r w:rsidRPr="00E8348B">
        <w:rPr>
          <w:rFonts w:ascii="Lato" w:hAnsi="Lato" w:cstheme="majorBidi"/>
          <w:sz w:val="20"/>
          <w:szCs w:val="20"/>
        </w:rPr>
        <w:t xml:space="preserve">, technik wyobrażeniowych i oddechowych oraz aromaterapii w jedną całość. „Leśne spa” to niespieszne spacery, podczas których ucząc się prawidłowego oddychania można czerpać energię z otaczającej nas przyrody. Spotkania odbywały się na terenie Uzdrowiska Latoszyn Zdrój i stanowiły cykl zajęć warsztatowych obejmujących część teoretyczną (omówienie olejków eterycznych, zastosowanie ich przy dolegliwościach w życiu codziennym) oraz część praktyczną (spacery, techniki oddechowe, wyobrażeniowe, sprawdzanie jak organizm reaguje na zapachy itp.). Terapia leśna z wykorzystaniem technik relaksacyjnych, wyciszających, prowadzona była przez wykwalifikowanych instruktorów Yoga Studio - </w:t>
      </w:r>
      <w:proofErr w:type="spellStart"/>
      <w:r w:rsidRPr="00E8348B">
        <w:rPr>
          <w:rFonts w:ascii="Lato" w:hAnsi="Lato" w:cstheme="majorBidi"/>
          <w:sz w:val="20"/>
          <w:szCs w:val="20"/>
        </w:rPr>
        <w:t>Feel</w:t>
      </w:r>
      <w:proofErr w:type="spellEnd"/>
      <w:r w:rsidRPr="00E8348B">
        <w:rPr>
          <w:rFonts w:ascii="Lato" w:hAnsi="Lato" w:cstheme="majorBidi"/>
          <w:sz w:val="20"/>
          <w:szCs w:val="20"/>
        </w:rPr>
        <w:t xml:space="preserve"> The Good </w:t>
      </w:r>
      <w:proofErr w:type="spellStart"/>
      <w:r w:rsidRPr="00E8348B">
        <w:rPr>
          <w:rFonts w:ascii="Lato" w:hAnsi="Lato" w:cstheme="majorBidi"/>
          <w:sz w:val="20"/>
          <w:szCs w:val="20"/>
        </w:rPr>
        <w:t>Flow</w:t>
      </w:r>
      <w:proofErr w:type="spellEnd"/>
      <w:r w:rsidRPr="00E8348B">
        <w:rPr>
          <w:rFonts w:ascii="Lato" w:hAnsi="Lato" w:cstheme="majorBidi"/>
          <w:sz w:val="20"/>
          <w:szCs w:val="20"/>
        </w:rPr>
        <w:t>, którzy zaopiekowali się grupą, przeprowadzili uczestników przez poszczególne etapy kąpieli leśnej, pomogli oderwać się od codzienności, podpowiedzieli jak angażować zmysły, by cieszyć się każdym etapem, tworząc bezpieczną przestrzeń oraz odpowiednią atmosferę podczas spacerów.</w:t>
      </w:r>
      <w:r w:rsidRPr="00E8348B">
        <w:rPr>
          <w:rFonts w:ascii="Lato" w:hAnsi="Lato" w:cstheme="majorBidi"/>
          <w:sz w:val="20"/>
          <w:szCs w:val="20"/>
        </w:rPr>
        <w:br/>
        <w:t xml:space="preserve">Projektem objętych zostało 36 osób - mieszkańców gminy Dębica w wieku 60 lat </w:t>
      </w:r>
      <w:r w:rsidRPr="00E8348B">
        <w:rPr>
          <w:rFonts w:ascii="Lato" w:hAnsi="Lato" w:cstheme="majorBidi"/>
          <w:sz w:val="20"/>
          <w:szCs w:val="20"/>
        </w:rPr>
        <w:br/>
        <w:t>i więcej.</w:t>
      </w:r>
    </w:p>
    <w:p w14:paraId="7AE59BC6" w14:textId="77777777" w:rsidR="008B5C91" w:rsidRDefault="008B5C91" w:rsidP="00E8348B">
      <w:pPr>
        <w:pStyle w:val="Akapitzlist"/>
        <w:spacing w:after="0" w:line="240" w:lineRule="auto"/>
        <w:ind w:left="0"/>
        <w:jc w:val="both"/>
        <w:rPr>
          <w:rFonts w:ascii="Lato" w:hAnsi="Lato" w:cstheme="majorBidi"/>
          <w:sz w:val="20"/>
          <w:szCs w:val="20"/>
        </w:rPr>
      </w:pPr>
    </w:p>
    <w:p w14:paraId="4CD65322" w14:textId="14876865" w:rsidR="00E8348B" w:rsidRPr="00E8348B" w:rsidRDefault="00E8348B" w:rsidP="00E8348B">
      <w:pPr>
        <w:pStyle w:val="Akapitzlist"/>
        <w:spacing w:after="0" w:line="240" w:lineRule="auto"/>
        <w:ind w:left="0"/>
        <w:jc w:val="both"/>
        <w:rPr>
          <w:rFonts w:ascii="Lato" w:hAnsi="Lato" w:cstheme="majorBidi"/>
          <w:sz w:val="20"/>
          <w:szCs w:val="20"/>
        </w:rPr>
      </w:pPr>
      <w:r w:rsidRPr="00E8348B">
        <w:rPr>
          <w:rFonts w:ascii="Lato" w:hAnsi="Lato" w:cstheme="majorBidi"/>
          <w:sz w:val="20"/>
          <w:szCs w:val="20"/>
        </w:rPr>
        <w:t xml:space="preserve">Kolejny projekt pod nazwą „Cyfrowe Kluby Seniora” służył podniesieniu kompetencji cyfrowych seniorów. Nowe komputery trafiły do uczestników korzystających z zajęć w Dziennym Domu Senior + w Kochanówce. Zakupiono 5 laptopów, z których seniorzy korzystają podczas pobytu w placówce. Pod okiem fachowców uczestnicy nauczyli się, jak bezpiecznie korzystać z internetowej poczty, zakupów czy zdalnego dostępu do usług urzędów i instytucji. Wyposażanie placówki senioralnej w sprzęt komputerowy przyczyniło się do przeciwdziałania zagrożeniu wykluczenia cyfrowego tej właśnie grupy społecznej, </w:t>
      </w:r>
      <w:r w:rsidRPr="00E8348B">
        <w:rPr>
          <w:rFonts w:ascii="Lato" w:hAnsi="Lato" w:cstheme="majorBidi"/>
          <w:sz w:val="20"/>
          <w:szCs w:val="20"/>
        </w:rPr>
        <w:br/>
        <w:t>a w szerszym zakresie wpłynęło na poprawę jakości ich życia oraz przyczyniło się do zwiększenia aktywności w społeczeństwie lokalnym. Projektem objętych zostało 15 osób - mieszkańców gminy Dębica w wieku 60 lat i więcej.</w:t>
      </w:r>
    </w:p>
    <w:p w14:paraId="1940E563" w14:textId="77777777" w:rsidR="00E8348B" w:rsidRPr="00E8348B" w:rsidRDefault="00E8348B" w:rsidP="00E8348B">
      <w:pPr>
        <w:pStyle w:val="Akapitzlist"/>
        <w:spacing w:after="0" w:line="240" w:lineRule="auto"/>
        <w:ind w:left="0"/>
        <w:jc w:val="both"/>
        <w:rPr>
          <w:rFonts w:ascii="Lato" w:hAnsi="Lato" w:cstheme="majorBidi"/>
          <w:sz w:val="20"/>
          <w:szCs w:val="20"/>
        </w:rPr>
      </w:pPr>
    </w:p>
    <w:p w14:paraId="69ACC022" w14:textId="77777777" w:rsidR="00E8348B" w:rsidRPr="00E8348B" w:rsidRDefault="00E8348B" w:rsidP="00E8348B">
      <w:pPr>
        <w:spacing w:after="0" w:line="240" w:lineRule="auto"/>
        <w:contextualSpacing/>
        <w:jc w:val="both"/>
        <w:rPr>
          <w:rFonts w:ascii="Lato" w:hAnsi="Lato"/>
          <w:b/>
          <w:sz w:val="20"/>
          <w:szCs w:val="20"/>
          <w:lang w:eastAsia="pl-PL"/>
        </w:rPr>
      </w:pPr>
      <w:r w:rsidRPr="00E8348B">
        <w:rPr>
          <w:rFonts w:ascii="Lato" w:hAnsi="Lato"/>
          <w:b/>
          <w:sz w:val="20"/>
          <w:szCs w:val="20"/>
          <w:lang w:eastAsia="pl-PL"/>
        </w:rPr>
        <w:t>Dębica miasto</w:t>
      </w:r>
    </w:p>
    <w:p w14:paraId="2353C8E5" w14:textId="29BCA25D" w:rsidR="00E8348B" w:rsidRPr="00E8348B" w:rsidRDefault="00E8348B" w:rsidP="00E8348B">
      <w:pPr>
        <w:spacing w:after="0" w:line="240" w:lineRule="auto"/>
        <w:contextualSpacing/>
        <w:jc w:val="both"/>
        <w:rPr>
          <w:rFonts w:ascii="Lato" w:hAnsi="Lato"/>
          <w:sz w:val="20"/>
          <w:szCs w:val="20"/>
          <w:lang w:eastAsia="pl-PL"/>
        </w:rPr>
      </w:pPr>
      <w:r w:rsidRPr="00E8348B">
        <w:rPr>
          <w:rFonts w:ascii="Lato" w:hAnsi="Lato"/>
          <w:sz w:val="20"/>
          <w:szCs w:val="20"/>
          <w:lang w:eastAsia="pl-PL"/>
        </w:rPr>
        <w:t xml:space="preserve">10 seniorów z Domu Dziennego Pobytu Senior+ brało udział w testowaniu innowacji społecznej pod nazwą „ Dostępny stół targowy” w ramach projektu Województwa Małopolskiego/Regionalnego Ośrodka Polityki Społecznej w Krakowie, Uniwersytetu Jagiellońskiego oraz Fundacji Rozwoju Demokracji Lokalnej im. Jerzego Regulskiego, Inkubator Włączenia Społecznego. W ramach działania na terenie miejskiego targowiska powstały cztery innowacyjne stanowiska do obsługi osób starszych, niepełnosprawnych. </w:t>
      </w:r>
    </w:p>
    <w:p w14:paraId="7BBBEBFE" w14:textId="77777777" w:rsidR="00E8348B" w:rsidRPr="00E8348B" w:rsidRDefault="00E8348B" w:rsidP="00E8348B">
      <w:pPr>
        <w:spacing w:after="0" w:line="240" w:lineRule="auto"/>
        <w:contextualSpacing/>
        <w:jc w:val="both"/>
        <w:rPr>
          <w:rFonts w:ascii="Lato" w:hAnsi="Lato" w:cs="Times New Roman"/>
          <w:sz w:val="20"/>
          <w:szCs w:val="20"/>
        </w:rPr>
      </w:pPr>
    </w:p>
    <w:p w14:paraId="396849C7" w14:textId="5D19C54D" w:rsidR="00E8348B" w:rsidRPr="008B5C91" w:rsidRDefault="008B5C91" w:rsidP="00E8348B">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70E3346D" w14:textId="77777777" w:rsidR="00E8348B" w:rsidRPr="00E8348B" w:rsidRDefault="00E8348B" w:rsidP="008B5C91">
      <w:pPr>
        <w:pStyle w:val="NormalnyWeb"/>
        <w:ind w:firstLine="0"/>
        <w:contextualSpacing/>
        <w:rPr>
          <w:rFonts w:ascii="Lato" w:eastAsia="+mn-ea" w:hAnsi="Lato" w:cs="+mn-cs"/>
          <w:b/>
          <w:color w:val="000000"/>
          <w:kern w:val="24"/>
          <w:sz w:val="20"/>
          <w:szCs w:val="20"/>
        </w:rPr>
      </w:pPr>
      <w:r w:rsidRPr="00E8348B">
        <w:rPr>
          <w:rFonts w:ascii="Lato" w:eastAsia="+mn-ea" w:hAnsi="Lato" w:cs="+mn-cs"/>
          <w:b/>
          <w:color w:val="000000"/>
          <w:kern w:val="24"/>
          <w:sz w:val="20"/>
          <w:szCs w:val="20"/>
        </w:rPr>
        <w:t>Program Wieloletni Senior+ - Edycja 2022.</w:t>
      </w:r>
    </w:p>
    <w:p w14:paraId="575F3155" w14:textId="2DEAAFC7" w:rsidR="00E8348B" w:rsidRPr="00E8348B" w:rsidRDefault="00E8348B" w:rsidP="008B5C91">
      <w:pPr>
        <w:pStyle w:val="NormalnyWeb"/>
        <w:ind w:firstLine="0"/>
        <w:contextualSpacing/>
        <w:rPr>
          <w:rFonts w:ascii="Lato" w:eastAsia="+mn-ea" w:hAnsi="Lato" w:cs="+mn-cs"/>
          <w:bCs/>
          <w:color w:val="000000"/>
          <w:kern w:val="24"/>
          <w:sz w:val="20"/>
          <w:szCs w:val="20"/>
        </w:rPr>
      </w:pPr>
      <w:r w:rsidRPr="00E8348B">
        <w:rPr>
          <w:rFonts w:ascii="Lato" w:eastAsia="+mn-ea" w:hAnsi="Lato" w:cs="+mn-cs"/>
          <w:color w:val="000000"/>
          <w:kern w:val="24"/>
          <w:sz w:val="20"/>
          <w:szCs w:val="20"/>
        </w:rPr>
        <w:t xml:space="preserve">Począwszy od roku 2015 na Podkarpaciu z powodzeniem realizowany jest Program Wieloletni na lata 2015-2020 oraz jego kontynuacja na lata 2021-2025, dedykowany osobom starszym. Ministerstwo Rodziny i Polityki Społecznej beneficjentami pośrednimi uczyniło jednostki samorządu terytorialnego, przez ich ręce wsparcie finansowe otrzymali i wciąż otrzymują odbiorcy ostateczni, dla których dedykowany jest cały program, tj. </w:t>
      </w:r>
      <w:r w:rsidRPr="00E8348B">
        <w:rPr>
          <w:rFonts w:ascii="Lato" w:eastAsia="+mn-ea" w:hAnsi="Lato" w:cs="+mn-cs"/>
          <w:bCs/>
          <w:color w:val="000000"/>
          <w:kern w:val="24"/>
          <w:sz w:val="20"/>
          <w:szCs w:val="20"/>
        </w:rPr>
        <w:t xml:space="preserve">osoby w podeszłym wieku. </w:t>
      </w:r>
      <w:r w:rsidRPr="00E8348B">
        <w:rPr>
          <w:rFonts w:ascii="Lato" w:eastAsia="+mn-ea" w:hAnsi="Lato" w:cs="+mn-cs"/>
          <w:color w:val="000000"/>
          <w:kern w:val="24"/>
          <w:sz w:val="20"/>
          <w:szCs w:val="20"/>
        </w:rPr>
        <w:t>Celem podstawowym i zasadniczym Programu „Senior+” jest zwiększenie aktywnego uczestnictwa osób starszych w życiu społecznym. Osiągnięcie tego celu na Podkarpaciu okazało się możliwe.</w:t>
      </w:r>
      <w:r w:rsidRPr="00E8348B">
        <w:rPr>
          <w:rFonts w:ascii="Lato" w:hAnsi="Lato"/>
          <w:sz w:val="20"/>
          <w:szCs w:val="20"/>
        </w:rPr>
        <w:t xml:space="preserve"> </w:t>
      </w:r>
      <w:r w:rsidRPr="00E8348B">
        <w:rPr>
          <w:rFonts w:ascii="Lato" w:eastAsia="+mn-ea" w:hAnsi="Lato" w:cs="+mn-cs"/>
          <w:color w:val="000000"/>
          <w:kern w:val="24"/>
          <w:sz w:val="20"/>
          <w:szCs w:val="20"/>
        </w:rPr>
        <w:t>Powstały i nadal powstają Dzienne Domy „Senior+”, gdzie wspieranie osób w podeszłym wieku polega na realizacji podstawowych usług mających na celu udzielanie pomocy w czynnościach dnia codziennego, na zapewnianiu minimum jednego posiłku, w szczególności gorącego oraz innych usług wspomagających, dostosowanych do potrzeb poszczególnych seniorów.</w:t>
      </w:r>
      <w:r w:rsidRPr="00E8348B">
        <w:rPr>
          <w:rFonts w:ascii="Lato" w:eastAsia="+mn-ea" w:hAnsi="Lato" w:cs="+mn-cs"/>
          <w:bCs/>
          <w:color w:val="000000"/>
          <w:kern w:val="24"/>
          <w:sz w:val="20"/>
          <w:szCs w:val="20"/>
        </w:rPr>
        <w:t xml:space="preserve"> </w:t>
      </w:r>
      <w:r w:rsidRPr="00E8348B">
        <w:rPr>
          <w:rFonts w:ascii="Lato" w:eastAsia="+mn-ea" w:hAnsi="Lato" w:cs="+mn-cs"/>
          <w:color w:val="000000"/>
          <w:kern w:val="24"/>
          <w:sz w:val="20"/>
          <w:szCs w:val="20"/>
        </w:rPr>
        <w:t>Swoją działalność podejmują również Kluby „Senior +”, których główne zadanie polega również na szeroko rozumianym wspieraniu i motywowaniu osób starszych do działań na rzecz samopomocy.</w:t>
      </w:r>
    </w:p>
    <w:p w14:paraId="2D9CCF0A" w14:textId="77777777" w:rsidR="008B5C91" w:rsidRDefault="008B5C91" w:rsidP="008B5C91">
      <w:pPr>
        <w:pStyle w:val="NormalnyWeb"/>
        <w:ind w:firstLine="0"/>
        <w:contextualSpacing/>
        <w:rPr>
          <w:rFonts w:ascii="Lato" w:hAnsi="Lato"/>
          <w:sz w:val="20"/>
          <w:szCs w:val="20"/>
        </w:rPr>
      </w:pPr>
    </w:p>
    <w:p w14:paraId="79F46DE8" w14:textId="1F662B6E" w:rsidR="00E8348B" w:rsidRPr="00E8348B" w:rsidRDefault="00E8348B" w:rsidP="008B5C91">
      <w:pPr>
        <w:pStyle w:val="NormalnyWeb"/>
        <w:ind w:firstLine="0"/>
        <w:contextualSpacing/>
        <w:rPr>
          <w:rFonts w:ascii="Lato" w:hAnsi="Lato"/>
          <w:sz w:val="20"/>
          <w:szCs w:val="20"/>
        </w:rPr>
      </w:pPr>
      <w:r w:rsidRPr="00E8348B">
        <w:rPr>
          <w:rFonts w:ascii="Lato" w:hAnsi="Lato"/>
          <w:sz w:val="20"/>
          <w:szCs w:val="20"/>
        </w:rPr>
        <w:t xml:space="preserve">W ramach Programu Wieloletniego „Senior +” na lata 2021-2025 - edycja 2022 łączna kwota dofinansowania wyniosła </w:t>
      </w:r>
      <w:r w:rsidRPr="00E8348B">
        <w:rPr>
          <w:rFonts w:ascii="Lato" w:hAnsi="Lato"/>
          <w:b/>
          <w:sz w:val="20"/>
          <w:szCs w:val="20"/>
          <w:u w:val="single"/>
        </w:rPr>
        <w:t>4  204 243,18 zł</w:t>
      </w:r>
      <w:r w:rsidRPr="00E8348B">
        <w:rPr>
          <w:rFonts w:ascii="Lato" w:hAnsi="Lato"/>
          <w:sz w:val="20"/>
          <w:szCs w:val="20"/>
        </w:rPr>
        <w:t xml:space="preserve">, w tym na tworzenie nowych jednostek kwota </w:t>
      </w:r>
      <w:r w:rsidRPr="00E8348B">
        <w:rPr>
          <w:rFonts w:ascii="Lato" w:hAnsi="Lato"/>
          <w:b/>
          <w:sz w:val="20"/>
          <w:szCs w:val="20"/>
          <w:u w:val="single"/>
        </w:rPr>
        <w:t>551 126,18 zł</w:t>
      </w:r>
      <w:r w:rsidRPr="00E8348B">
        <w:rPr>
          <w:rFonts w:ascii="Lato" w:hAnsi="Lato"/>
          <w:sz w:val="20"/>
          <w:szCs w:val="20"/>
        </w:rPr>
        <w:t xml:space="preserve">. W latach 2015-2022 w ramach Programu Wieloletniego „Senior+” w województwie podkarpackim powstało 77 placówek, w tym 33 Dzienne Domy Senior+ oraz 44 Kluby Senior+, z łączną liczbą 1 760 miejsc. </w:t>
      </w:r>
    </w:p>
    <w:p w14:paraId="312949EE" w14:textId="77777777" w:rsidR="00E8348B" w:rsidRPr="00E8348B" w:rsidRDefault="00E8348B" w:rsidP="00E8348B">
      <w:pPr>
        <w:pStyle w:val="NormalnyWeb"/>
        <w:contextualSpacing/>
        <w:rPr>
          <w:rFonts w:ascii="Lato" w:hAnsi="Lato"/>
          <w:sz w:val="20"/>
          <w:szCs w:val="20"/>
        </w:rPr>
      </w:pPr>
    </w:p>
    <w:p w14:paraId="1805F1A0" w14:textId="73BF6F52" w:rsidR="00E8348B" w:rsidRPr="00E8348B" w:rsidRDefault="00E8348B" w:rsidP="00E8348B">
      <w:pPr>
        <w:spacing w:after="0" w:line="240" w:lineRule="auto"/>
        <w:contextualSpacing/>
        <w:jc w:val="both"/>
        <w:rPr>
          <w:rFonts w:ascii="Lato" w:hAnsi="Lato" w:cs="Times New Roman"/>
          <w:sz w:val="20"/>
          <w:szCs w:val="20"/>
        </w:rPr>
      </w:pPr>
      <w:r w:rsidRPr="00E8348B">
        <w:rPr>
          <w:rFonts w:ascii="Lato" w:hAnsi="Lato" w:cs="Times New Roman"/>
          <w:sz w:val="20"/>
          <w:szCs w:val="20"/>
        </w:rPr>
        <w:t>W 2022 roku jednostki samorządu terytorialnego województwa podkarpackiego realizowały ze środków Funduszu Solidarnościowego następujące Programy:</w:t>
      </w:r>
    </w:p>
    <w:p w14:paraId="37134983" w14:textId="77777777" w:rsidR="00E8348B" w:rsidRPr="00E8348B" w:rsidRDefault="00E8348B" w:rsidP="00E8348B">
      <w:pPr>
        <w:spacing w:after="0" w:line="240" w:lineRule="auto"/>
        <w:contextualSpacing/>
        <w:jc w:val="both"/>
        <w:rPr>
          <w:rFonts w:ascii="Lato" w:hAnsi="Lato" w:cs="Times New Roman"/>
          <w:sz w:val="20"/>
          <w:szCs w:val="20"/>
        </w:rPr>
      </w:pPr>
    </w:p>
    <w:p w14:paraId="79F7FDE1" w14:textId="77777777" w:rsidR="00E8348B" w:rsidRPr="00E8348B" w:rsidRDefault="00E8348B" w:rsidP="00E8348B">
      <w:pPr>
        <w:widowControl w:val="0"/>
        <w:autoSpaceDE w:val="0"/>
        <w:autoSpaceDN w:val="0"/>
        <w:spacing w:after="0" w:line="240" w:lineRule="auto"/>
        <w:jc w:val="both"/>
        <w:rPr>
          <w:rFonts w:ascii="Lato" w:hAnsi="Lato" w:cs="Times New Roman"/>
          <w:b/>
          <w:sz w:val="20"/>
          <w:szCs w:val="20"/>
        </w:rPr>
      </w:pPr>
      <w:r w:rsidRPr="00E8348B">
        <w:rPr>
          <w:rFonts w:ascii="Lato" w:hAnsi="Lato" w:cs="Times New Roman"/>
          <w:b/>
          <w:sz w:val="20"/>
          <w:szCs w:val="20"/>
        </w:rPr>
        <w:t>„Asystent osobisty osoby niepełnosprawnej”- edycja 2022.</w:t>
      </w:r>
    </w:p>
    <w:p w14:paraId="39D39208" w14:textId="121EA1F1" w:rsidR="00E8348B" w:rsidRPr="00E8348B" w:rsidRDefault="00E8348B" w:rsidP="00E8348B">
      <w:pPr>
        <w:widowControl w:val="0"/>
        <w:autoSpaceDE w:val="0"/>
        <w:autoSpaceDN w:val="0"/>
        <w:spacing w:after="0" w:line="240" w:lineRule="auto"/>
        <w:jc w:val="both"/>
        <w:rPr>
          <w:rFonts w:ascii="Lato" w:hAnsi="Lato" w:cs="Times New Roman"/>
          <w:sz w:val="20"/>
          <w:szCs w:val="20"/>
        </w:rPr>
      </w:pPr>
      <w:r w:rsidRPr="00E8348B">
        <w:rPr>
          <w:rFonts w:ascii="Lato" w:hAnsi="Lato" w:cs="Times New Roman"/>
          <w:sz w:val="20"/>
          <w:szCs w:val="20"/>
        </w:rPr>
        <w:lastRenderedPageBreak/>
        <w:t>Głównym celem Programu było wprowadzenie usług asystenta jako formy ogólnodostępnego wsparcia dla osób m.in. posiadających orzeczenie o znacznym lub umiarkowanym stopniu niepełnosprawności.</w:t>
      </w:r>
    </w:p>
    <w:p w14:paraId="049608F6" w14:textId="77777777" w:rsidR="00E8348B" w:rsidRPr="00E8348B" w:rsidRDefault="00E8348B" w:rsidP="00E8348B">
      <w:pPr>
        <w:widowControl w:val="0"/>
        <w:autoSpaceDE w:val="0"/>
        <w:autoSpaceDN w:val="0"/>
        <w:spacing w:after="0" w:line="240" w:lineRule="auto"/>
        <w:jc w:val="both"/>
        <w:rPr>
          <w:rFonts w:ascii="Lato" w:hAnsi="Lato" w:cs="Times New Roman"/>
          <w:sz w:val="20"/>
          <w:szCs w:val="20"/>
        </w:rPr>
      </w:pPr>
      <w:r w:rsidRPr="00E8348B">
        <w:rPr>
          <w:rFonts w:ascii="Lato" w:hAnsi="Lato" w:cs="Times New Roman"/>
          <w:sz w:val="20"/>
          <w:szCs w:val="20"/>
        </w:rPr>
        <w:t>Program miał na celu poprawę jakości życia osób niepełnosprawnych, wsparcie tych osób adekwatne do potrzeb, umożliwienie uczestnictwa osób niepełnosprawnych w wydarzeniach społecznych, kulturalnych, rozrywkowych, sportowych itp., a także zwiększenie wsparcia dla niepełnosprawnych uczniów ze specjalnymi potrzebami edukacyjnymi, także w innych wymiarach życia i funkcjonowania społecznego.</w:t>
      </w:r>
    </w:p>
    <w:p w14:paraId="0010108F" w14:textId="77777777" w:rsidR="008B5C91" w:rsidRDefault="00E8348B" w:rsidP="00E8348B">
      <w:pPr>
        <w:widowControl w:val="0"/>
        <w:autoSpaceDE w:val="0"/>
        <w:autoSpaceDN w:val="0"/>
        <w:spacing w:after="0" w:line="240" w:lineRule="auto"/>
        <w:contextualSpacing/>
        <w:jc w:val="both"/>
        <w:rPr>
          <w:rFonts w:ascii="Lato" w:eastAsia="Calibri" w:hAnsi="Lato" w:cs="Times New Roman"/>
          <w:sz w:val="20"/>
          <w:szCs w:val="20"/>
        </w:rPr>
      </w:pPr>
      <w:r w:rsidRPr="00E8348B">
        <w:rPr>
          <w:rFonts w:ascii="Lato" w:eastAsia="Calibri" w:hAnsi="Lato" w:cs="Times New Roman"/>
          <w:sz w:val="20"/>
          <w:szCs w:val="20"/>
        </w:rPr>
        <w:t>W 2022 r. ww. Program realizowało 74 jednostki samorządu terytorialnego. Ogółem liczba uczestników Programu wyniosła 1 431 osób, w tym;</w:t>
      </w:r>
    </w:p>
    <w:p w14:paraId="5575442B" w14:textId="77777777" w:rsidR="008B5C91" w:rsidRDefault="00E8348B" w:rsidP="0059185B">
      <w:pPr>
        <w:pStyle w:val="Akapitzlist"/>
        <w:widowControl w:val="0"/>
        <w:numPr>
          <w:ilvl w:val="0"/>
          <w:numId w:val="82"/>
        </w:numPr>
        <w:autoSpaceDE w:val="0"/>
        <w:autoSpaceDN w:val="0"/>
        <w:spacing w:after="0" w:line="240" w:lineRule="auto"/>
        <w:jc w:val="both"/>
        <w:rPr>
          <w:rFonts w:ascii="Lato" w:eastAsia="Calibri" w:hAnsi="Lato" w:cs="Times New Roman"/>
          <w:sz w:val="20"/>
          <w:szCs w:val="20"/>
        </w:rPr>
      </w:pPr>
      <w:r w:rsidRPr="008B5C91">
        <w:rPr>
          <w:rFonts w:ascii="Lato" w:eastAsia="Calibri" w:hAnsi="Lato" w:cs="Times New Roman"/>
          <w:sz w:val="20"/>
          <w:szCs w:val="20"/>
        </w:rPr>
        <w:t>dzieci do 16 r.ż. spełniające zapisy Programu – 153 osoby,</w:t>
      </w:r>
    </w:p>
    <w:p w14:paraId="4DF3B011" w14:textId="77777777" w:rsidR="008B5C91" w:rsidRDefault="00E8348B" w:rsidP="0059185B">
      <w:pPr>
        <w:pStyle w:val="Akapitzlist"/>
        <w:widowControl w:val="0"/>
        <w:numPr>
          <w:ilvl w:val="0"/>
          <w:numId w:val="82"/>
        </w:numPr>
        <w:autoSpaceDE w:val="0"/>
        <w:autoSpaceDN w:val="0"/>
        <w:spacing w:after="0" w:line="240" w:lineRule="auto"/>
        <w:jc w:val="both"/>
        <w:rPr>
          <w:rFonts w:ascii="Lato" w:eastAsia="Calibri" w:hAnsi="Lato" w:cs="Times New Roman"/>
          <w:sz w:val="20"/>
          <w:szCs w:val="20"/>
        </w:rPr>
      </w:pPr>
      <w:r w:rsidRPr="008B5C91">
        <w:rPr>
          <w:rFonts w:ascii="Lato" w:eastAsia="Calibri" w:hAnsi="Lato" w:cs="Times New Roman"/>
          <w:sz w:val="20"/>
          <w:szCs w:val="20"/>
        </w:rPr>
        <w:t>osoby o znacznym stopniem niepełnosprawności – 1 099 osób,</w:t>
      </w:r>
    </w:p>
    <w:p w14:paraId="1DC8EDBD" w14:textId="22EF35E7" w:rsidR="00E8348B" w:rsidRPr="008B5C91" w:rsidRDefault="00E8348B" w:rsidP="0059185B">
      <w:pPr>
        <w:pStyle w:val="Akapitzlist"/>
        <w:widowControl w:val="0"/>
        <w:numPr>
          <w:ilvl w:val="0"/>
          <w:numId w:val="82"/>
        </w:numPr>
        <w:autoSpaceDE w:val="0"/>
        <w:autoSpaceDN w:val="0"/>
        <w:spacing w:after="0" w:line="240" w:lineRule="auto"/>
        <w:jc w:val="both"/>
        <w:rPr>
          <w:rFonts w:ascii="Lato" w:eastAsia="Calibri" w:hAnsi="Lato" w:cs="Times New Roman"/>
          <w:sz w:val="20"/>
          <w:szCs w:val="20"/>
        </w:rPr>
      </w:pPr>
      <w:r w:rsidRPr="008B5C91">
        <w:rPr>
          <w:rFonts w:ascii="Lato" w:eastAsia="Calibri" w:hAnsi="Lato" w:cs="Times New Roman"/>
          <w:sz w:val="20"/>
          <w:szCs w:val="20"/>
        </w:rPr>
        <w:t>osoby z umiarkowanym stopniem niepełnosprawności – 179 osób.</w:t>
      </w:r>
    </w:p>
    <w:p w14:paraId="4055310B"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Na realizację ww. Programu j.s.t. łącznie wydatkowały kwotę 22 146 169,52 zł Funduszu Solidarnościowego.</w:t>
      </w:r>
    </w:p>
    <w:p w14:paraId="1F47547B"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p>
    <w:p w14:paraId="0E80B23A" w14:textId="77777777" w:rsidR="00E8348B" w:rsidRPr="00E8348B" w:rsidRDefault="00E8348B" w:rsidP="00E8348B">
      <w:pPr>
        <w:widowControl w:val="0"/>
        <w:autoSpaceDE w:val="0"/>
        <w:autoSpaceDN w:val="0"/>
        <w:spacing w:after="0" w:line="240" w:lineRule="auto"/>
        <w:contextualSpacing/>
        <w:jc w:val="both"/>
        <w:rPr>
          <w:rFonts w:ascii="Lato" w:hAnsi="Lato"/>
          <w:b/>
          <w:sz w:val="20"/>
          <w:szCs w:val="20"/>
        </w:rPr>
      </w:pPr>
      <w:r w:rsidRPr="00E8348B">
        <w:rPr>
          <w:rFonts w:ascii="Lato" w:hAnsi="Lato"/>
          <w:b/>
          <w:sz w:val="20"/>
          <w:szCs w:val="20"/>
        </w:rPr>
        <w:t>Program „Centra opiekuńczo – mieszkalne”.</w:t>
      </w:r>
    </w:p>
    <w:p w14:paraId="7A420FBE" w14:textId="246DDBE1" w:rsidR="00E8348B" w:rsidRPr="00E8348B" w:rsidRDefault="00E8348B" w:rsidP="00E8348B">
      <w:pPr>
        <w:shd w:val="clear" w:color="auto" w:fill="FFFFFF"/>
        <w:spacing w:after="0" w:line="240" w:lineRule="auto"/>
        <w:contextualSpacing/>
        <w:jc w:val="both"/>
        <w:textAlignment w:val="baseline"/>
        <w:rPr>
          <w:rFonts w:ascii="Lato" w:eastAsia="Times New Roman" w:hAnsi="Lato" w:cs="Times New Roman"/>
          <w:sz w:val="20"/>
          <w:szCs w:val="20"/>
          <w:lang w:eastAsia="pl-PL"/>
        </w:rPr>
      </w:pPr>
      <w:r w:rsidRPr="00E8348B">
        <w:rPr>
          <w:rFonts w:ascii="Lato" w:eastAsia="Times New Roman" w:hAnsi="Lato" w:cs="Times New Roman"/>
          <w:sz w:val="20"/>
          <w:szCs w:val="20"/>
          <w:lang w:eastAsia="pl-PL"/>
        </w:rPr>
        <w:t>Głównym celem utworzenia Centrów opiekuńczo-mieszkalnych jest uzupełnienie systemu wsparcia osób ze znacznym lub umiarkowanym stopniem niepełnosprawności, poprzez stworzenie dodatkowej usługi w postaci zapewnienia możliwości zamieszkiwania w formie pobytu dziennego lub całodobowego. Osoby, do których kierowany jest Program, obok różnorodnego wsparcia (w tym w zakresie potrzeb zdrowotnych, pielęgnacyjnych, zapobiegania wtórnym powikłaniom, stymulowania i rozwijania sprawności ruchowej, kompetencji poznawczych oraz społecznych), powinny mieć zapewnioną możliwość niezależnego/samodzielnego i godnego funkcjonowania na miarę swoich potrzeb. Dla uczestników Programu zapewniona jest opieka specjalistów oraz pomoc adekwatna do potrzeb i możliwości wynikających z wieku i stanu zdrowia.</w:t>
      </w:r>
    </w:p>
    <w:p w14:paraId="7C029C46" w14:textId="77777777" w:rsidR="008B5C91" w:rsidRDefault="008B5C91" w:rsidP="00E8348B">
      <w:pPr>
        <w:widowControl w:val="0"/>
        <w:autoSpaceDE w:val="0"/>
        <w:autoSpaceDN w:val="0"/>
        <w:spacing w:after="0" w:line="240" w:lineRule="auto"/>
        <w:contextualSpacing/>
        <w:jc w:val="both"/>
        <w:rPr>
          <w:rFonts w:ascii="Lato" w:hAnsi="Lato"/>
          <w:sz w:val="20"/>
          <w:szCs w:val="20"/>
          <w:u w:val="single"/>
        </w:rPr>
      </w:pPr>
    </w:p>
    <w:p w14:paraId="5362E076" w14:textId="25990FDF" w:rsidR="00E8348B" w:rsidRPr="00E8348B" w:rsidRDefault="00E8348B" w:rsidP="00E8348B">
      <w:pPr>
        <w:widowControl w:val="0"/>
        <w:autoSpaceDE w:val="0"/>
        <w:autoSpaceDN w:val="0"/>
        <w:spacing w:after="0" w:line="240" w:lineRule="auto"/>
        <w:contextualSpacing/>
        <w:jc w:val="both"/>
        <w:rPr>
          <w:rFonts w:ascii="Lato" w:hAnsi="Lato"/>
          <w:sz w:val="20"/>
          <w:szCs w:val="20"/>
          <w:u w:val="single"/>
        </w:rPr>
      </w:pPr>
      <w:r w:rsidRPr="00E8348B">
        <w:rPr>
          <w:rFonts w:ascii="Lato" w:hAnsi="Lato"/>
          <w:sz w:val="20"/>
          <w:szCs w:val="20"/>
          <w:u w:val="single"/>
        </w:rPr>
        <w:t xml:space="preserve">MODUŁ I – Utworzenie Centrum </w:t>
      </w:r>
    </w:p>
    <w:p w14:paraId="1349F333"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W 2022 r. na podstawie zawartych umów trwały prace nad utworzeniem Centrum opiekuńczo – mieszkalnych w 7 jednostkach samorządu terytorialnego: Tryńcza, Trzebownisko, Rzeszów, Kamień, Nowa Sarzyna, Dębica i Powiat Niżański. Po ich utworzeniu pomoc w formie pobytu dziennego otrzyma 86 dorosłych osób z umiarkowanym lub znacznym stopniem niepełnosprawności, a  w formie pobytu całodobowego – 61 osób z niepełnosprawnościami. Kwota środków wykorzystana 2022 roku z  Funduszu Solidarnościowego na utworzenie ośrodków wsparcia w ww. jednostkach samorządu terytorialnego wyniosła łącznie 5 292 368,14 zł.</w:t>
      </w:r>
    </w:p>
    <w:p w14:paraId="1E20A16D" w14:textId="77777777" w:rsidR="008B5C91" w:rsidRDefault="008B5C91" w:rsidP="00E8348B">
      <w:pPr>
        <w:widowControl w:val="0"/>
        <w:autoSpaceDE w:val="0"/>
        <w:autoSpaceDN w:val="0"/>
        <w:spacing w:after="0" w:line="240" w:lineRule="auto"/>
        <w:contextualSpacing/>
        <w:jc w:val="both"/>
        <w:rPr>
          <w:rFonts w:ascii="Lato" w:hAnsi="Lato"/>
          <w:sz w:val="20"/>
          <w:szCs w:val="20"/>
          <w:u w:val="single"/>
        </w:rPr>
      </w:pPr>
    </w:p>
    <w:p w14:paraId="1703A753" w14:textId="0B322776" w:rsidR="00E8348B" w:rsidRPr="00E8348B" w:rsidRDefault="00E8348B" w:rsidP="00E8348B">
      <w:pPr>
        <w:widowControl w:val="0"/>
        <w:autoSpaceDE w:val="0"/>
        <w:autoSpaceDN w:val="0"/>
        <w:spacing w:after="0" w:line="240" w:lineRule="auto"/>
        <w:contextualSpacing/>
        <w:jc w:val="both"/>
        <w:rPr>
          <w:rFonts w:ascii="Lato" w:hAnsi="Lato"/>
          <w:sz w:val="20"/>
          <w:szCs w:val="20"/>
          <w:u w:val="single"/>
        </w:rPr>
      </w:pPr>
      <w:r w:rsidRPr="00E8348B">
        <w:rPr>
          <w:rFonts w:ascii="Lato" w:hAnsi="Lato"/>
          <w:sz w:val="20"/>
          <w:szCs w:val="20"/>
          <w:u w:val="single"/>
        </w:rPr>
        <w:t xml:space="preserve">MODUŁ II – Funkcjonowanie Centrum </w:t>
      </w:r>
    </w:p>
    <w:p w14:paraId="0236CCAF"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 xml:space="preserve">W 2022 r. funkcjonowanie rozpoczęły Centra opiekuńczo - </w:t>
      </w:r>
      <w:proofErr w:type="spellStart"/>
      <w:r w:rsidRPr="00E8348B">
        <w:rPr>
          <w:rFonts w:ascii="Lato" w:hAnsi="Lato"/>
          <w:sz w:val="20"/>
          <w:szCs w:val="20"/>
        </w:rPr>
        <w:t>mieszklane</w:t>
      </w:r>
      <w:proofErr w:type="spellEnd"/>
      <w:r w:rsidRPr="00E8348B">
        <w:rPr>
          <w:rFonts w:ascii="Lato" w:hAnsi="Lato"/>
          <w:sz w:val="20"/>
          <w:szCs w:val="20"/>
        </w:rPr>
        <w:t>:</w:t>
      </w:r>
    </w:p>
    <w:p w14:paraId="4776C947" w14:textId="77777777" w:rsidR="008B5C91" w:rsidRDefault="00E8348B" w:rsidP="0059185B">
      <w:pPr>
        <w:pStyle w:val="Akapitzlist"/>
        <w:widowControl w:val="0"/>
        <w:numPr>
          <w:ilvl w:val="0"/>
          <w:numId w:val="83"/>
        </w:numPr>
        <w:autoSpaceDE w:val="0"/>
        <w:autoSpaceDN w:val="0"/>
        <w:spacing w:after="0" w:line="240" w:lineRule="auto"/>
        <w:jc w:val="both"/>
        <w:rPr>
          <w:rFonts w:ascii="Lato" w:hAnsi="Lato"/>
          <w:sz w:val="20"/>
          <w:szCs w:val="20"/>
        </w:rPr>
      </w:pPr>
      <w:r w:rsidRPr="008B5C91">
        <w:rPr>
          <w:rFonts w:ascii="Lato" w:hAnsi="Lato"/>
          <w:sz w:val="20"/>
          <w:szCs w:val="20"/>
        </w:rPr>
        <w:t>w Jarosławiu, w wyniku zlecenia jego prowadzenia przez Powiat Jarosławski PSONI Koło w Jarosławiu;</w:t>
      </w:r>
    </w:p>
    <w:p w14:paraId="3FD18516" w14:textId="77777777" w:rsidR="008B5C91" w:rsidRDefault="00E8348B" w:rsidP="0059185B">
      <w:pPr>
        <w:pStyle w:val="Akapitzlist"/>
        <w:widowControl w:val="0"/>
        <w:numPr>
          <w:ilvl w:val="0"/>
          <w:numId w:val="83"/>
        </w:numPr>
        <w:autoSpaceDE w:val="0"/>
        <w:autoSpaceDN w:val="0"/>
        <w:spacing w:after="0" w:line="240" w:lineRule="auto"/>
        <w:jc w:val="both"/>
        <w:rPr>
          <w:rFonts w:ascii="Lato" w:hAnsi="Lato"/>
          <w:sz w:val="20"/>
          <w:szCs w:val="20"/>
        </w:rPr>
      </w:pPr>
      <w:r w:rsidRPr="008B5C91">
        <w:rPr>
          <w:rFonts w:ascii="Lato" w:hAnsi="Lato"/>
          <w:sz w:val="20"/>
          <w:szCs w:val="20"/>
        </w:rPr>
        <w:t xml:space="preserve">w Woli Małej, utworzone przez Gminę Czarna, </w:t>
      </w:r>
    </w:p>
    <w:p w14:paraId="205504E7" w14:textId="77777777" w:rsidR="008B5C91" w:rsidRDefault="00E8348B" w:rsidP="0059185B">
      <w:pPr>
        <w:pStyle w:val="Akapitzlist"/>
        <w:widowControl w:val="0"/>
        <w:numPr>
          <w:ilvl w:val="0"/>
          <w:numId w:val="83"/>
        </w:numPr>
        <w:autoSpaceDE w:val="0"/>
        <w:autoSpaceDN w:val="0"/>
        <w:spacing w:after="0" w:line="240" w:lineRule="auto"/>
        <w:jc w:val="both"/>
        <w:rPr>
          <w:rFonts w:ascii="Lato" w:hAnsi="Lato"/>
          <w:sz w:val="20"/>
          <w:szCs w:val="20"/>
        </w:rPr>
      </w:pPr>
      <w:r w:rsidRPr="008B5C91">
        <w:rPr>
          <w:rFonts w:ascii="Lato" w:hAnsi="Lato"/>
          <w:sz w:val="20"/>
          <w:szCs w:val="20"/>
        </w:rPr>
        <w:t xml:space="preserve">w Ostrowie, utworzone przez Gminę Gać, </w:t>
      </w:r>
    </w:p>
    <w:p w14:paraId="0FF203DF" w14:textId="606BBD96" w:rsidR="00E8348B" w:rsidRPr="008B5C91" w:rsidRDefault="00E8348B" w:rsidP="0059185B">
      <w:pPr>
        <w:pStyle w:val="Akapitzlist"/>
        <w:widowControl w:val="0"/>
        <w:numPr>
          <w:ilvl w:val="0"/>
          <w:numId w:val="83"/>
        </w:numPr>
        <w:autoSpaceDE w:val="0"/>
        <w:autoSpaceDN w:val="0"/>
        <w:spacing w:after="0" w:line="240" w:lineRule="auto"/>
        <w:jc w:val="both"/>
        <w:rPr>
          <w:rFonts w:ascii="Lato" w:hAnsi="Lato"/>
          <w:sz w:val="20"/>
          <w:szCs w:val="20"/>
        </w:rPr>
      </w:pPr>
      <w:r w:rsidRPr="008B5C91">
        <w:rPr>
          <w:rFonts w:ascii="Lato" w:hAnsi="Lato"/>
          <w:sz w:val="20"/>
          <w:szCs w:val="20"/>
        </w:rPr>
        <w:t xml:space="preserve">w Krzemiennej, utworzone przez Gminę Dydnia. </w:t>
      </w:r>
    </w:p>
    <w:p w14:paraId="24C9FC92" w14:textId="77777777" w:rsidR="008B5C91" w:rsidRDefault="008B5C91" w:rsidP="00E8348B">
      <w:pPr>
        <w:widowControl w:val="0"/>
        <w:autoSpaceDE w:val="0"/>
        <w:autoSpaceDN w:val="0"/>
        <w:spacing w:after="0" w:line="240" w:lineRule="auto"/>
        <w:contextualSpacing/>
        <w:jc w:val="both"/>
        <w:rPr>
          <w:rFonts w:ascii="Lato" w:hAnsi="Lato"/>
          <w:sz w:val="20"/>
          <w:szCs w:val="20"/>
        </w:rPr>
      </w:pPr>
    </w:p>
    <w:p w14:paraId="528B3BB5" w14:textId="78A9CA7C"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Na funkcjonowanie ww. COM-ów z Funduszu Solidarnościowego wykorzystano w 2022 r. łącznie 1 918 897,25 zł. Ww. Gminy zaplanowały, że uczestnikami już funkcjonujących COM-ów w roku 2022 na pobyt dzienny będzie 33 osoby dorosłe z umiarkowanym lub znacznym stopniem niepełnosprawności, a w formie pobytu całodobowego – 26 osób niepełnosprawnościami.</w:t>
      </w:r>
    </w:p>
    <w:p w14:paraId="427E6359"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p>
    <w:p w14:paraId="05B629F3" w14:textId="77777777" w:rsidR="00E8348B" w:rsidRPr="00E8348B" w:rsidRDefault="00E8348B" w:rsidP="00E8348B">
      <w:pPr>
        <w:spacing w:after="0" w:line="240" w:lineRule="auto"/>
        <w:contextualSpacing/>
        <w:jc w:val="both"/>
        <w:rPr>
          <w:rFonts w:ascii="Lato" w:eastAsia="Calibri" w:hAnsi="Lato" w:cs="Times New Roman"/>
          <w:b/>
          <w:color w:val="000000"/>
          <w:sz w:val="20"/>
          <w:szCs w:val="20"/>
        </w:rPr>
      </w:pPr>
      <w:r w:rsidRPr="00E8348B">
        <w:rPr>
          <w:rFonts w:ascii="Lato" w:eastAsia="Calibri" w:hAnsi="Lato" w:cs="Times New Roman"/>
          <w:b/>
          <w:color w:val="000000"/>
          <w:sz w:val="20"/>
          <w:szCs w:val="20"/>
        </w:rPr>
        <w:t xml:space="preserve">Program „Opieka </w:t>
      </w:r>
      <w:proofErr w:type="spellStart"/>
      <w:r w:rsidRPr="00E8348B">
        <w:rPr>
          <w:rFonts w:ascii="Lato" w:eastAsia="Calibri" w:hAnsi="Lato" w:cs="Times New Roman"/>
          <w:b/>
          <w:color w:val="000000"/>
          <w:sz w:val="20"/>
          <w:szCs w:val="20"/>
        </w:rPr>
        <w:t>wytchnieniowa</w:t>
      </w:r>
      <w:proofErr w:type="spellEnd"/>
      <w:r w:rsidRPr="00E8348B">
        <w:rPr>
          <w:rFonts w:ascii="Lato" w:eastAsia="Calibri" w:hAnsi="Lato" w:cs="Times New Roman"/>
          <w:b/>
          <w:color w:val="000000"/>
          <w:sz w:val="20"/>
          <w:szCs w:val="20"/>
        </w:rPr>
        <w:t>” – edycja 2022.</w:t>
      </w:r>
    </w:p>
    <w:p w14:paraId="3873EFDF" w14:textId="50EC054B" w:rsidR="00E8348B" w:rsidRPr="00E8348B" w:rsidRDefault="00E8348B" w:rsidP="00E8348B">
      <w:pPr>
        <w:snapToGrid w:val="0"/>
        <w:spacing w:after="0" w:line="240" w:lineRule="auto"/>
        <w:contextualSpacing/>
        <w:jc w:val="both"/>
        <w:rPr>
          <w:rFonts w:ascii="Lato" w:eastAsia="Times New Roman" w:hAnsi="Lato" w:cs="Times New Roman"/>
          <w:color w:val="000000"/>
          <w:sz w:val="20"/>
          <w:szCs w:val="20"/>
          <w:lang w:eastAsia="pl-PL"/>
        </w:rPr>
      </w:pPr>
      <w:r w:rsidRPr="00E8348B">
        <w:rPr>
          <w:rFonts w:ascii="Lato" w:eastAsia="Times New Roman" w:hAnsi="Lato" w:cs="Times New Roman"/>
          <w:color w:val="000000"/>
          <w:sz w:val="20"/>
          <w:szCs w:val="20"/>
          <w:lang w:eastAsia="pl-PL"/>
        </w:rPr>
        <w:t xml:space="preserve">Opieka </w:t>
      </w:r>
      <w:proofErr w:type="spellStart"/>
      <w:r w:rsidRPr="00E8348B">
        <w:rPr>
          <w:rFonts w:ascii="Lato" w:eastAsia="Times New Roman" w:hAnsi="Lato" w:cs="Times New Roman"/>
          <w:color w:val="000000"/>
          <w:sz w:val="20"/>
          <w:szCs w:val="20"/>
          <w:lang w:eastAsia="pl-PL"/>
        </w:rPr>
        <w:t>wytchnieniowa</w:t>
      </w:r>
      <w:proofErr w:type="spellEnd"/>
      <w:r w:rsidRPr="00E8348B">
        <w:rPr>
          <w:rFonts w:ascii="Lato" w:eastAsia="Times New Roman" w:hAnsi="Lato" w:cs="Times New Roman"/>
          <w:color w:val="000000"/>
          <w:sz w:val="20"/>
          <w:szCs w:val="20"/>
          <w:lang w:eastAsia="pl-PL"/>
        </w:rPr>
        <w:t xml:space="preserve"> miała za zadanie odciążenie członków rodzin lub opiekunów osób niepełnosprawnych poprzez wsparcie ich w codziennych obowiązkach lub zapewnienie czasowego zastępstwa. Dzięki temu wsparciu osoby zaangażowane, na co dzień w sprawowanie opieki uzyskały czas, który mogły przeznaczyć na odpoczynek i regenerację, jak również na załatwienie niezbędnych spraw. Usługa opieki </w:t>
      </w:r>
      <w:proofErr w:type="spellStart"/>
      <w:r w:rsidRPr="00E8348B">
        <w:rPr>
          <w:rFonts w:ascii="Lato" w:eastAsia="Times New Roman" w:hAnsi="Lato" w:cs="Times New Roman"/>
          <w:color w:val="000000"/>
          <w:sz w:val="20"/>
          <w:szCs w:val="20"/>
          <w:lang w:eastAsia="pl-PL"/>
        </w:rPr>
        <w:t>wytchnieniowej</w:t>
      </w:r>
      <w:proofErr w:type="spellEnd"/>
      <w:r w:rsidRPr="00E8348B">
        <w:rPr>
          <w:rFonts w:ascii="Lato" w:eastAsia="Times New Roman" w:hAnsi="Lato" w:cs="Times New Roman"/>
          <w:color w:val="000000"/>
          <w:sz w:val="20"/>
          <w:szCs w:val="20"/>
          <w:lang w:eastAsia="pl-PL"/>
        </w:rPr>
        <w:t xml:space="preserve"> mogła służyć również okresowemu zabezpieczeniu potrzeb osoby niepełnosprawnej w sytuacji, gdy opiekunowie z różnych powodów nie mogli wykonywać swoich obowiązków.</w:t>
      </w:r>
    </w:p>
    <w:p w14:paraId="0AD69EAF" w14:textId="77777777" w:rsidR="008B5C91" w:rsidRDefault="008B5C91" w:rsidP="00E8348B">
      <w:pPr>
        <w:snapToGrid w:val="0"/>
        <w:spacing w:after="0" w:line="240" w:lineRule="auto"/>
        <w:contextualSpacing/>
        <w:jc w:val="both"/>
        <w:rPr>
          <w:rFonts w:ascii="Lato" w:eastAsia="Calibri" w:hAnsi="Lato" w:cs="Times New Roman"/>
          <w:sz w:val="20"/>
          <w:szCs w:val="20"/>
        </w:rPr>
      </w:pPr>
    </w:p>
    <w:p w14:paraId="52C61860" w14:textId="0993EC23" w:rsidR="00E8348B" w:rsidRPr="00E8348B" w:rsidRDefault="00E8348B" w:rsidP="00E8348B">
      <w:pPr>
        <w:snapToGrid w:val="0"/>
        <w:spacing w:after="0" w:line="240" w:lineRule="auto"/>
        <w:contextualSpacing/>
        <w:jc w:val="both"/>
        <w:rPr>
          <w:rFonts w:ascii="Lato" w:eastAsia="Times New Roman" w:hAnsi="Lato" w:cs="Times New Roman"/>
          <w:color w:val="000000"/>
          <w:sz w:val="20"/>
          <w:szCs w:val="20"/>
          <w:lang w:eastAsia="pl-PL"/>
        </w:rPr>
      </w:pPr>
      <w:r w:rsidRPr="00E8348B">
        <w:rPr>
          <w:rFonts w:ascii="Lato" w:eastAsia="Calibri" w:hAnsi="Lato" w:cs="Times New Roman"/>
          <w:sz w:val="20"/>
          <w:szCs w:val="20"/>
        </w:rPr>
        <w:t xml:space="preserve">W 2022 r. ww. Program realizowało 64 jednostek samorządu terytorialnego województwa podkarpackiego. </w:t>
      </w:r>
      <w:r w:rsidRPr="00E8348B">
        <w:rPr>
          <w:rFonts w:ascii="Lato" w:hAnsi="Lato"/>
          <w:sz w:val="20"/>
          <w:szCs w:val="20"/>
        </w:rPr>
        <w:t>Ogółem liczba uczestników Programu wynosiła 663 osób, w tym:</w:t>
      </w:r>
    </w:p>
    <w:p w14:paraId="7EB00BA8" w14:textId="77777777" w:rsidR="008B5C91" w:rsidRDefault="00E8348B" w:rsidP="0059185B">
      <w:pPr>
        <w:pStyle w:val="Akapitzlist"/>
        <w:widowControl w:val="0"/>
        <w:numPr>
          <w:ilvl w:val="0"/>
          <w:numId w:val="84"/>
        </w:numPr>
        <w:autoSpaceDE w:val="0"/>
        <w:autoSpaceDN w:val="0"/>
        <w:spacing w:after="0" w:line="240" w:lineRule="auto"/>
        <w:jc w:val="both"/>
        <w:rPr>
          <w:rFonts w:ascii="Lato" w:hAnsi="Lato" w:cs="Times New Roman"/>
          <w:sz w:val="20"/>
          <w:szCs w:val="20"/>
        </w:rPr>
      </w:pPr>
      <w:r w:rsidRPr="008B5C91">
        <w:rPr>
          <w:rFonts w:ascii="Lato" w:hAnsi="Lato" w:cs="Times New Roman"/>
          <w:sz w:val="20"/>
          <w:szCs w:val="20"/>
        </w:rPr>
        <w:lastRenderedPageBreak/>
        <w:t>osoby dorosłe z orzeczeniem o stopniu niepełnosprawności – 487 osób,</w:t>
      </w:r>
    </w:p>
    <w:p w14:paraId="248C1E46" w14:textId="64A08F8D" w:rsidR="00E8348B" w:rsidRPr="008B5C91" w:rsidRDefault="00E8348B" w:rsidP="0059185B">
      <w:pPr>
        <w:pStyle w:val="Akapitzlist"/>
        <w:widowControl w:val="0"/>
        <w:numPr>
          <w:ilvl w:val="0"/>
          <w:numId w:val="84"/>
        </w:numPr>
        <w:autoSpaceDE w:val="0"/>
        <w:autoSpaceDN w:val="0"/>
        <w:spacing w:after="0" w:line="240" w:lineRule="auto"/>
        <w:jc w:val="both"/>
        <w:rPr>
          <w:rFonts w:ascii="Lato" w:hAnsi="Lato" w:cs="Times New Roman"/>
          <w:sz w:val="20"/>
          <w:szCs w:val="20"/>
        </w:rPr>
      </w:pPr>
      <w:r w:rsidRPr="008B5C91">
        <w:rPr>
          <w:rFonts w:ascii="Lato" w:hAnsi="Lato" w:cs="Times New Roman"/>
          <w:sz w:val="20"/>
          <w:szCs w:val="20"/>
        </w:rPr>
        <w:t>dzieci z orzeczeniem o niepełnosprawności – 176 dzieci.</w:t>
      </w:r>
    </w:p>
    <w:p w14:paraId="2E723447"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 xml:space="preserve">Na realizację ww. Programu jednostki samorządu terytorialnego łącznie wydatkowały kwotę </w:t>
      </w:r>
    </w:p>
    <w:p w14:paraId="6E4C6141"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r w:rsidRPr="00E8348B">
        <w:rPr>
          <w:rFonts w:ascii="Lato" w:hAnsi="Lato"/>
          <w:sz w:val="20"/>
          <w:szCs w:val="20"/>
        </w:rPr>
        <w:t>5 064 101,33 zł z Funduszu Solidarnościowego.</w:t>
      </w:r>
    </w:p>
    <w:p w14:paraId="033BF62D" w14:textId="77777777" w:rsidR="00E8348B" w:rsidRPr="00E8348B" w:rsidRDefault="00E8348B" w:rsidP="00E8348B">
      <w:pPr>
        <w:widowControl w:val="0"/>
        <w:autoSpaceDE w:val="0"/>
        <w:autoSpaceDN w:val="0"/>
        <w:spacing w:after="0" w:line="240" w:lineRule="auto"/>
        <w:contextualSpacing/>
        <w:jc w:val="both"/>
        <w:rPr>
          <w:rFonts w:ascii="Lato" w:hAnsi="Lato"/>
          <w:sz w:val="20"/>
          <w:szCs w:val="20"/>
        </w:rPr>
      </w:pPr>
    </w:p>
    <w:p w14:paraId="2E5FBDB1" w14:textId="77777777" w:rsidR="00E8348B" w:rsidRPr="00E8348B" w:rsidRDefault="00E8348B" w:rsidP="00E8348B">
      <w:pPr>
        <w:spacing w:after="0" w:line="240" w:lineRule="auto"/>
        <w:contextualSpacing/>
        <w:jc w:val="both"/>
        <w:rPr>
          <w:rFonts w:ascii="Lato" w:eastAsia="Calibri" w:hAnsi="Lato" w:cs="Times New Roman"/>
          <w:b/>
          <w:sz w:val="20"/>
          <w:szCs w:val="20"/>
        </w:rPr>
      </w:pPr>
      <w:r w:rsidRPr="00E8348B">
        <w:rPr>
          <w:rFonts w:ascii="Lato" w:eastAsia="Calibri" w:hAnsi="Lato" w:cs="Times New Roman"/>
          <w:b/>
          <w:sz w:val="20"/>
          <w:szCs w:val="20"/>
        </w:rPr>
        <w:t>Program „Opieka 75+”.</w:t>
      </w:r>
    </w:p>
    <w:p w14:paraId="29FD02A0" w14:textId="42BC1A67" w:rsidR="00E8348B" w:rsidRPr="00E8348B" w:rsidRDefault="00E8348B" w:rsidP="00E8348B">
      <w:pPr>
        <w:spacing w:after="0" w:line="240" w:lineRule="auto"/>
        <w:jc w:val="both"/>
        <w:rPr>
          <w:rFonts w:ascii="Lato" w:eastAsia="Times New Roman" w:hAnsi="Lato" w:cs="Times New Roman"/>
          <w:color w:val="00000A"/>
          <w:sz w:val="20"/>
          <w:szCs w:val="20"/>
          <w:lang w:eastAsia="pl-PL"/>
        </w:rPr>
      </w:pPr>
      <w:r w:rsidRPr="00E8348B">
        <w:rPr>
          <w:rFonts w:ascii="Lato" w:hAnsi="Lato" w:cs="Times New Roman"/>
          <w:color w:val="00000A"/>
          <w:sz w:val="20"/>
          <w:szCs w:val="20"/>
        </w:rPr>
        <w:t>W 2022 r. na realizację usług opiekuńczych i specjalistycznych usług opiekuńczych w ramach Programu „Opieka 75+” gminy województwa podkarpackiego wydatkowały środki w łącznej wysokości 2 917 783,64 zł, w tym 1 407 585,46 zł pochodzące z budżetu państwa (udział środków z dotacji w realizowanym zadaniu wynosił 48,2%).</w:t>
      </w:r>
    </w:p>
    <w:p w14:paraId="4F8C01E0" w14:textId="77777777" w:rsidR="008B5C91" w:rsidRDefault="008B5C91" w:rsidP="00E8348B">
      <w:pPr>
        <w:spacing w:after="0" w:line="240" w:lineRule="auto"/>
        <w:jc w:val="both"/>
        <w:rPr>
          <w:rFonts w:ascii="Lato" w:hAnsi="Lato" w:cs="Times New Roman"/>
          <w:color w:val="00000A"/>
          <w:sz w:val="20"/>
          <w:szCs w:val="20"/>
        </w:rPr>
      </w:pPr>
    </w:p>
    <w:p w14:paraId="6A5A7E01" w14:textId="454DAA53" w:rsidR="00E8348B" w:rsidRPr="00E8348B" w:rsidRDefault="00E8348B" w:rsidP="00E8348B">
      <w:pPr>
        <w:spacing w:after="0" w:line="240" w:lineRule="auto"/>
        <w:jc w:val="both"/>
        <w:rPr>
          <w:rFonts w:ascii="Lato" w:eastAsia="Times New Roman" w:hAnsi="Lato" w:cs="Times New Roman"/>
          <w:color w:val="00000A"/>
          <w:sz w:val="20"/>
          <w:szCs w:val="20"/>
          <w:lang w:eastAsia="pl-PL"/>
        </w:rPr>
      </w:pPr>
      <w:r w:rsidRPr="00E8348B">
        <w:rPr>
          <w:rFonts w:ascii="Lato" w:hAnsi="Lato" w:cs="Times New Roman"/>
          <w:color w:val="00000A"/>
          <w:sz w:val="20"/>
          <w:szCs w:val="20"/>
        </w:rPr>
        <w:t>Beneficjentami Programu było 548 mieszkańców Podkarpacia w wieku 75 lat i więcej (546 osób otrzymało pomoc w formie usług opiekuńczych i 2 osoby w formie specjalistycznych usług opiekuńczych).</w:t>
      </w:r>
    </w:p>
    <w:p w14:paraId="2CA0C9F3" w14:textId="77777777" w:rsidR="00E8348B" w:rsidRPr="00E8348B" w:rsidRDefault="00E8348B" w:rsidP="00E8348B">
      <w:pPr>
        <w:spacing w:after="0" w:line="240" w:lineRule="auto"/>
        <w:contextualSpacing/>
        <w:jc w:val="both"/>
        <w:rPr>
          <w:rFonts w:ascii="Lato" w:eastAsia="Times New Roman" w:hAnsi="Lato" w:cs="Times New Roman"/>
          <w:color w:val="00000A"/>
          <w:sz w:val="20"/>
          <w:szCs w:val="20"/>
          <w:lang w:eastAsia="pl-PL"/>
        </w:rPr>
      </w:pPr>
      <w:r w:rsidRPr="00E8348B">
        <w:rPr>
          <w:rFonts w:ascii="Lato" w:eastAsia="Times New Roman" w:hAnsi="Lato" w:cs="Times New Roman"/>
          <w:color w:val="00000A"/>
          <w:sz w:val="20"/>
          <w:szCs w:val="20"/>
          <w:lang w:eastAsia="pl-PL"/>
        </w:rPr>
        <w:t xml:space="preserve">Dzięki wsparciu z budżetu państwa zwiększono dostępność usług opiekuńczych dla mieszkańców województwa – </w:t>
      </w:r>
      <w:r w:rsidRPr="00E8348B">
        <w:rPr>
          <w:rFonts w:ascii="Lato" w:hAnsi="Lato" w:cs="Times New Roman"/>
          <w:color w:val="00000A"/>
          <w:sz w:val="20"/>
          <w:szCs w:val="20"/>
        </w:rPr>
        <w:t xml:space="preserve">205 osób </w:t>
      </w:r>
      <w:r w:rsidRPr="00E8348B">
        <w:rPr>
          <w:rFonts w:ascii="Lato" w:eastAsia="Times New Roman" w:hAnsi="Lato" w:cs="Times New Roman"/>
          <w:color w:val="00000A"/>
          <w:sz w:val="20"/>
          <w:szCs w:val="20"/>
          <w:lang w:eastAsia="pl-PL"/>
        </w:rPr>
        <w:t>po raz pierwszy skorzystało z usług opiekuńczych i specjalistycznych usług opiekuńczych w miejscu zamieszkania. Dzięki dodatkowemu wsparciu środkami budżetu państwa jednostki mogły zabezpieczyć podstawową opiekę nie tylko nowym świadczeniobiorcom, ale także zwiększyć wymiar usług już świadczonych, czy też kontynuować pomoc osobom, które otrzymały usługi w ramach Programu w roku 2021. Poprawiło to nie tylko komfort życia, ale także bezpieczeństwo osób starszych. Dla wielu z nich skorzystanie z usług opiekuńczych stanowiło jedyną możliwość pozostania w środowisku własnego zamieszkania (jest to dla nich dobro najwyższe) i opóźnienia momentu, w którym konieczne będzie zapewnienie im stałej opieki instytucjonalnej. Osoby w wieku 75 lat i więcej otrzymały nie tylko pomoc i wsparcie – adekwatne do wieku i stanu zdrowia – w codziennych czynnościach domowych, ale także miały możliwość spotkania z osobą zaprzyjaźnioną.</w:t>
      </w:r>
    </w:p>
    <w:p w14:paraId="2F704419" w14:textId="77777777" w:rsidR="00E8348B" w:rsidRPr="00E8348B" w:rsidRDefault="00E8348B" w:rsidP="00E8348B">
      <w:pPr>
        <w:spacing w:after="0" w:line="240" w:lineRule="auto"/>
        <w:contextualSpacing/>
        <w:jc w:val="both"/>
        <w:rPr>
          <w:rFonts w:ascii="Lato" w:eastAsia="Times New Roman" w:hAnsi="Lato" w:cs="Times New Roman"/>
          <w:color w:val="00000A"/>
          <w:sz w:val="20"/>
          <w:szCs w:val="20"/>
          <w:lang w:eastAsia="pl-PL"/>
        </w:rPr>
      </w:pPr>
    </w:p>
    <w:p w14:paraId="00F13E3D" w14:textId="77777777" w:rsidR="00E8348B" w:rsidRPr="00E8348B" w:rsidRDefault="00E8348B" w:rsidP="00E8348B">
      <w:pPr>
        <w:spacing w:after="0" w:line="240" w:lineRule="auto"/>
        <w:contextualSpacing/>
        <w:jc w:val="both"/>
        <w:rPr>
          <w:rFonts w:ascii="Lato" w:hAnsi="Lato" w:cs="Times New Roman"/>
          <w:b/>
          <w:sz w:val="20"/>
          <w:szCs w:val="20"/>
        </w:rPr>
      </w:pPr>
      <w:r w:rsidRPr="00E8348B">
        <w:rPr>
          <w:rFonts w:ascii="Lato" w:hAnsi="Lato" w:cs="Times New Roman"/>
          <w:b/>
          <w:sz w:val="20"/>
          <w:szCs w:val="20"/>
        </w:rPr>
        <w:t>Program Osłonowy ,,Wspieranie Jednostek Samorządu Terytorialnego w Tworzeniu Systemu Przeciwdziałania Przemocy w rodzinie”</w:t>
      </w:r>
      <w:r w:rsidRPr="00E8348B">
        <w:rPr>
          <w:rFonts w:ascii="Lato" w:eastAsia="Calibri" w:hAnsi="Lato" w:cs="Times New Roman"/>
          <w:b/>
          <w:color w:val="000000"/>
          <w:sz w:val="20"/>
          <w:szCs w:val="20"/>
        </w:rPr>
        <w:t xml:space="preserve"> – edycja 2022.</w:t>
      </w:r>
    </w:p>
    <w:p w14:paraId="41ED64C1" w14:textId="6389A916" w:rsidR="00E8348B" w:rsidRPr="00E8348B" w:rsidRDefault="00E8348B" w:rsidP="00E8348B">
      <w:pPr>
        <w:spacing w:after="0" w:line="240" w:lineRule="auto"/>
        <w:contextualSpacing/>
        <w:jc w:val="both"/>
        <w:rPr>
          <w:rFonts w:ascii="Lato" w:hAnsi="Lato" w:cs="Times New Roman"/>
          <w:sz w:val="20"/>
          <w:szCs w:val="20"/>
        </w:rPr>
      </w:pPr>
      <w:r w:rsidRPr="00E8348B">
        <w:rPr>
          <w:rFonts w:ascii="Lato" w:hAnsi="Lato" w:cs="Times New Roman"/>
          <w:sz w:val="20"/>
          <w:szCs w:val="20"/>
        </w:rPr>
        <w:t>Województwo podkarpackie otrzymało środki finansowe na realizację 5 projektów w kwocie 241 580,00 zł. Wśród nich były projekty, które częściowo zostały skierowane do osób starszych, realizowane m.in. przez: PCPR w Przeworsku, MOPS w Jarosławiu, MOPS w Przeworsku.</w:t>
      </w:r>
    </w:p>
    <w:p w14:paraId="3A6BB854" w14:textId="77777777" w:rsidR="008B5C91" w:rsidRDefault="008B5C91" w:rsidP="00E8348B">
      <w:pPr>
        <w:spacing w:after="0" w:line="240" w:lineRule="auto"/>
        <w:contextualSpacing/>
        <w:jc w:val="both"/>
        <w:rPr>
          <w:rFonts w:ascii="Lato" w:hAnsi="Lato" w:cs="Times New Roman"/>
          <w:sz w:val="20"/>
          <w:szCs w:val="20"/>
        </w:rPr>
      </w:pPr>
    </w:p>
    <w:p w14:paraId="1C866E6E" w14:textId="77777777" w:rsidR="008B5C91" w:rsidRDefault="00E8348B" w:rsidP="008B5C91">
      <w:pPr>
        <w:spacing w:after="0" w:line="240" w:lineRule="auto"/>
        <w:contextualSpacing/>
        <w:jc w:val="both"/>
        <w:rPr>
          <w:rFonts w:ascii="Lato" w:hAnsi="Lato" w:cs="Times New Roman"/>
          <w:sz w:val="20"/>
          <w:szCs w:val="20"/>
        </w:rPr>
      </w:pPr>
      <w:r w:rsidRPr="00E8348B">
        <w:rPr>
          <w:rFonts w:ascii="Lato" w:hAnsi="Lato" w:cs="Times New Roman"/>
          <w:sz w:val="20"/>
          <w:szCs w:val="20"/>
        </w:rPr>
        <w:t>Powiatowe Centrum Pomocy Rodzinie w Przeworsku w 2022, zrealizowało dla seniorów łącznie 30 spotkań edukacyjnych w wymiarze 84 godzin dydaktycznych ze specjalistami takimi jak:</w:t>
      </w:r>
    </w:p>
    <w:p w14:paraId="06C055CA" w14:textId="77777777" w:rsidR="008B5C91" w:rsidRDefault="00E8348B" w:rsidP="0059185B">
      <w:pPr>
        <w:pStyle w:val="Akapitzlist"/>
        <w:numPr>
          <w:ilvl w:val="0"/>
          <w:numId w:val="85"/>
        </w:numPr>
        <w:spacing w:after="0" w:line="240" w:lineRule="auto"/>
        <w:jc w:val="both"/>
        <w:rPr>
          <w:rFonts w:ascii="Lato" w:hAnsi="Lato" w:cs="Times New Roman"/>
          <w:sz w:val="20"/>
          <w:szCs w:val="20"/>
        </w:rPr>
      </w:pPr>
      <w:r w:rsidRPr="008B5C91">
        <w:rPr>
          <w:rFonts w:ascii="Lato" w:hAnsi="Lato" w:cs="Times New Roman"/>
          <w:sz w:val="20"/>
          <w:szCs w:val="20"/>
        </w:rPr>
        <w:t>ratownik medyczny - 24,5 godz., łącznie uczestniczyło 138 osób,</w:t>
      </w:r>
    </w:p>
    <w:p w14:paraId="698B3DF0" w14:textId="77777777" w:rsidR="008B5C91" w:rsidRDefault="00E8348B" w:rsidP="0059185B">
      <w:pPr>
        <w:pStyle w:val="Akapitzlist"/>
        <w:numPr>
          <w:ilvl w:val="0"/>
          <w:numId w:val="85"/>
        </w:numPr>
        <w:spacing w:after="0" w:line="240" w:lineRule="auto"/>
        <w:jc w:val="both"/>
        <w:rPr>
          <w:rFonts w:ascii="Lato" w:hAnsi="Lato" w:cs="Times New Roman"/>
          <w:sz w:val="20"/>
          <w:szCs w:val="20"/>
        </w:rPr>
      </w:pPr>
      <w:r w:rsidRPr="008B5C91">
        <w:rPr>
          <w:rFonts w:ascii="Lato" w:hAnsi="Lato" w:cs="Times New Roman"/>
          <w:sz w:val="20"/>
          <w:szCs w:val="20"/>
        </w:rPr>
        <w:t>specjalista ds. przeciwdziałania przemocy - 28 godz., łącznie uczestniczyło 126 osób</w:t>
      </w:r>
      <w:r w:rsidR="008B5C91">
        <w:rPr>
          <w:rFonts w:ascii="Lato" w:hAnsi="Lato" w:cs="Times New Roman"/>
          <w:sz w:val="20"/>
          <w:szCs w:val="20"/>
        </w:rPr>
        <w:t>,</w:t>
      </w:r>
    </w:p>
    <w:p w14:paraId="269157EC" w14:textId="77777777" w:rsidR="008B5C91" w:rsidRDefault="00E8348B" w:rsidP="0059185B">
      <w:pPr>
        <w:pStyle w:val="Akapitzlist"/>
        <w:numPr>
          <w:ilvl w:val="0"/>
          <w:numId w:val="85"/>
        </w:numPr>
        <w:spacing w:after="0" w:line="240" w:lineRule="auto"/>
        <w:jc w:val="both"/>
        <w:rPr>
          <w:rFonts w:ascii="Lato" w:hAnsi="Lato" w:cs="Times New Roman"/>
          <w:sz w:val="20"/>
          <w:szCs w:val="20"/>
        </w:rPr>
      </w:pPr>
      <w:r w:rsidRPr="008B5C91">
        <w:rPr>
          <w:rFonts w:ascii="Lato" w:hAnsi="Lato" w:cs="Times New Roman"/>
          <w:sz w:val="20"/>
          <w:szCs w:val="20"/>
        </w:rPr>
        <w:t>prawnik - 14 godz.. łącznie uczestniczyło 130 osób,</w:t>
      </w:r>
    </w:p>
    <w:p w14:paraId="5E51FD6D" w14:textId="77777777" w:rsidR="008B5C91" w:rsidRDefault="00E8348B" w:rsidP="0059185B">
      <w:pPr>
        <w:pStyle w:val="Akapitzlist"/>
        <w:numPr>
          <w:ilvl w:val="0"/>
          <w:numId w:val="85"/>
        </w:numPr>
        <w:spacing w:after="0" w:line="240" w:lineRule="auto"/>
        <w:jc w:val="both"/>
        <w:rPr>
          <w:rFonts w:ascii="Lato" w:hAnsi="Lato" w:cs="Times New Roman"/>
          <w:sz w:val="20"/>
          <w:szCs w:val="20"/>
        </w:rPr>
      </w:pPr>
      <w:r w:rsidRPr="008B5C91">
        <w:rPr>
          <w:rFonts w:ascii="Lato" w:hAnsi="Lato" w:cs="Times New Roman"/>
          <w:sz w:val="20"/>
          <w:szCs w:val="20"/>
        </w:rPr>
        <w:t>funkcjonariusz policji - 14 godz.. łącznie uczestniczyło 108 osób,</w:t>
      </w:r>
    </w:p>
    <w:p w14:paraId="2498A34C" w14:textId="0A5AF412" w:rsidR="00E8348B" w:rsidRPr="008B5C91" w:rsidRDefault="00E8348B" w:rsidP="0059185B">
      <w:pPr>
        <w:pStyle w:val="Akapitzlist"/>
        <w:numPr>
          <w:ilvl w:val="0"/>
          <w:numId w:val="85"/>
        </w:numPr>
        <w:spacing w:after="0" w:line="240" w:lineRule="auto"/>
        <w:jc w:val="both"/>
        <w:rPr>
          <w:rFonts w:ascii="Lato" w:hAnsi="Lato" w:cs="Times New Roman"/>
          <w:sz w:val="20"/>
          <w:szCs w:val="20"/>
        </w:rPr>
      </w:pPr>
      <w:r w:rsidRPr="008B5C91">
        <w:rPr>
          <w:rFonts w:ascii="Lato" w:hAnsi="Lato" w:cs="Times New Roman"/>
          <w:sz w:val="20"/>
          <w:szCs w:val="20"/>
        </w:rPr>
        <w:t xml:space="preserve">instruktor samoobrony - 3,5 </w:t>
      </w:r>
      <w:proofErr w:type="spellStart"/>
      <w:r w:rsidRPr="008B5C91">
        <w:rPr>
          <w:rFonts w:ascii="Lato" w:hAnsi="Lato" w:cs="Times New Roman"/>
          <w:sz w:val="20"/>
          <w:szCs w:val="20"/>
        </w:rPr>
        <w:t>godz</w:t>
      </w:r>
      <w:proofErr w:type="spellEnd"/>
      <w:r w:rsidRPr="008B5C91">
        <w:rPr>
          <w:rFonts w:ascii="Lato" w:hAnsi="Lato" w:cs="Times New Roman"/>
          <w:sz w:val="20"/>
          <w:szCs w:val="20"/>
        </w:rPr>
        <w:t>,. łącznie uczestniczyło 38 osób.</w:t>
      </w:r>
    </w:p>
    <w:p w14:paraId="2469E063" w14:textId="77777777" w:rsidR="008B5C91" w:rsidRDefault="008B5C91" w:rsidP="00E8348B">
      <w:pPr>
        <w:spacing w:after="0" w:line="240" w:lineRule="auto"/>
        <w:jc w:val="both"/>
        <w:rPr>
          <w:rFonts w:ascii="Lato" w:hAnsi="Lato" w:cs="Times New Roman"/>
          <w:color w:val="0A0A0A"/>
          <w:sz w:val="20"/>
          <w:szCs w:val="20"/>
          <w:shd w:val="clear" w:color="auto" w:fill="FFFFFF"/>
        </w:rPr>
      </w:pPr>
    </w:p>
    <w:p w14:paraId="0EBD5129" w14:textId="0CD1EB9E" w:rsidR="00E8348B" w:rsidRPr="00E8348B" w:rsidRDefault="00E8348B" w:rsidP="00E8348B">
      <w:pPr>
        <w:spacing w:after="0" w:line="240" w:lineRule="auto"/>
        <w:jc w:val="both"/>
        <w:rPr>
          <w:rFonts w:ascii="Lato" w:hAnsi="Lato" w:cs="Times New Roman"/>
          <w:color w:val="0A0A0A"/>
          <w:sz w:val="20"/>
          <w:szCs w:val="20"/>
          <w:shd w:val="clear" w:color="auto" w:fill="FFFFFF"/>
        </w:rPr>
      </w:pPr>
      <w:r w:rsidRPr="00E8348B">
        <w:rPr>
          <w:rFonts w:ascii="Lato" w:hAnsi="Lato" w:cs="Times New Roman"/>
          <w:color w:val="0A0A0A"/>
          <w:sz w:val="20"/>
          <w:szCs w:val="20"/>
          <w:shd w:val="clear" w:color="auto" w:fill="FFFFFF"/>
        </w:rPr>
        <w:t xml:space="preserve">Założeniem ww. spotkań było zapoznanie seniorów z rodzajami przemocy oraz jej podstawowymi zagadnieniami, a także poruszenie problemów, z którymi na co dzień </w:t>
      </w:r>
      <w:r w:rsidRPr="00E8348B">
        <w:rPr>
          <w:rFonts w:ascii="Lato" w:hAnsi="Lato" w:cs="Times New Roman"/>
          <w:sz w:val="20"/>
          <w:szCs w:val="20"/>
          <w:shd w:val="clear" w:color="auto" w:fill="FFFFFF"/>
        </w:rPr>
        <w:t>się</w:t>
      </w:r>
      <w:r w:rsidRPr="00E8348B">
        <w:rPr>
          <w:rFonts w:ascii="Lato" w:hAnsi="Lato" w:cs="Times New Roman"/>
          <w:color w:val="0A0A0A"/>
          <w:sz w:val="20"/>
          <w:szCs w:val="20"/>
          <w:shd w:val="clear" w:color="auto" w:fill="FFFFFF"/>
        </w:rPr>
        <w:t xml:space="preserve"> spotykają (prawo spadkowe, skłanianie do darowizn, wymuszanie zmian w testamencie, straszenie oddaniem do domu opieki, ograniczanie swobody decyzji, izolowanie, wytykanie choroby i niepełnosprawności, metoda na wnuczka itp.) oraz nabycie umiejętności w sytuacjach zagrożenia zdrowia lub życia. </w:t>
      </w:r>
    </w:p>
    <w:p w14:paraId="0FDF4E5D" w14:textId="6C48C1F8" w:rsidR="00E8348B" w:rsidRPr="00E8348B" w:rsidRDefault="00E8348B" w:rsidP="00E8348B">
      <w:pPr>
        <w:spacing w:after="0" w:line="240" w:lineRule="auto"/>
        <w:jc w:val="both"/>
        <w:rPr>
          <w:rFonts w:ascii="Lato" w:hAnsi="Lato" w:cs="Times New Roman"/>
          <w:color w:val="0A0A0A"/>
          <w:sz w:val="20"/>
          <w:szCs w:val="20"/>
          <w:shd w:val="clear" w:color="auto" w:fill="FFFFFF"/>
        </w:rPr>
      </w:pPr>
      <w:r w:rsidRPr="00E8348B">
        <w:rPr>
          <w:rFonts w:ascii="Lato" w:hAnsi="Lato" w:cs="Times New Roman"/>
          <w:sz w:val="20"/>
          <w:szCs w:val="20"/>
        </w:rPr>
        <w:t>W ww. spotkaniach uczestniczyli seniorzy ze Związku Emerytów Rencistów i Inwalidów, Stowarzyszenia Diabetyków, Stowarzyszenia Emerytów, Rencistów i Przyjaciół oraz z Dziennych Domów Seniora z terenu Powiatu Przeworskiego. Na zakończenie programu zorganizowano również spotkanie podsumowujące dla seniorów, które miało na celu wymianę doświadczeń zebranych podczas spotkań edukacyjnych</w:t>
      </w:r>
      <w:r w:rsidRPr="00E8348B">
        <w:rPr>
          <w:rFonts w:ascii="Lato" w:hAnsi="Lato"/>
          <w:sz w:val="20"/>
          <w:szCs w:val="20"/>
        </w:rPr>
        <w:t xml:space="preserve">, </w:t>
      </w:r>
      <w:r w:rsidRPr="00E8348B">
        <w:rPr>
          <w:rFonts w:ascii="Lato" w:hAnsi="Lato" w:cs="Times New Roman"/>
          <w:sz w:val="20"/>
          <w:szCs w:val="20"/>
        </w:rPr>
        <w:t xml:space="preserve">zostały zaprezentowane również formy pomocy oferowanej w ramach działalności PCPR w Przeworsku. </w:t>
      </w:r>
    </w:p>
    <w:p w14:paraId="4B7E8065" w14:textId="77777777" w:rsidR="008B5C91" w:rsidRDefault="008B5C91" w:rsidP="00E8348B">
      <w:pPr>
        <w:spacing w:after="0" w:line="240" w:lineRule="auto"/>
        <w:jc w:val="both"/>
        <w:rPr>
          <w:rFonts w:ascii="Lato" w:hAnsi="Lato" w:cs="Times New Roman"/>
          <w:color w:val="000000"/>
          <w:sz w:val="20"/>
          <w:szCs w:val="20"/>
        </w:rPr>
      </w:pPr>
    </w:p>
    <w:p w14:paraId="04CE0FAB" w14:textId="45A6092A" w:rsidR="00E8348B" w:rsidRPr="00E8348B" w:rsidRDefault="00E8348B" w:rsidP="00E8348B">
      <w:pPr>
        <w:spacing w:after="0" w:line="240" w:lineRule="auto"/>
        <w:jc w:val="both"/>
        <w:rPr>
          <w:rFonts w:ascii="Lato" w:hAnsi="Lato" w:cs="Times New Roman"/>
          <w:color w:val="0A0A0A"/>
          <w:sz w:val="20"/>
          <w:szCs w:val="20"/>
          <w:shd w:val="clear" w:color="auto" w:fill="FFFFFF"/>
        </w:rPr>
      </w:pPr>
      <w:r w:rsidRPr="00E8348B">
        <w:rPr>
          <w:rFonts w:ascii="Lato" w:hAnsi="Lato" w:cs="Times New Roman"/>
          <w:color w:val="000000"/>
          <w:sz w:val="20"/>
          <w:szCs w:val="20"/>
        </w:rPr>
        <w:t>Miejski Ośrodek Pomocy Społecznej w Jarosławiu, w ramach Programu "Trampolina - głos przeciwko przemocy w rodzinie, w 2022 roku prowadził działania, które skierowane były do mieszkańców Miasta Jarosławia doświadczających lub zagrożonych przemocą w rodzinie, w tym również seniorów.</w:t>
      </w:r>
    </w:p>
    <w:p w14:paraId="45A17A71" w14:textId="77777777" w:rsidR="008B5C91" w:rsidRDefault="008B5C91" w:rsidP="00E8348B">
      <w:pPr>
        <w:spacing w:after="0" w:line="240" w:lineRule="auto"/>
        <w:jc w:val="both"/>
        <w:rPr>
          <w:rFonts w:ascii="Lato" w:hAnsi="Lato" w:cs="Times New Roman"/>
          <w:color w:val="000000"/>
          <w:sz w:val="20"/>
          <w:szCs w:val="20"/>
        </w:rPr>
      </w:pPr>
    </w:p>
    <w:p w14:paraId="703BCA57" w14:textId="0DBA7830" w:rsidR="00E8348B" w:rsidRPr="00E8348B" w:rsidRDefault="00E8348B" w:rsidP="00E8348B">
      <w:pPr>
        <w:spacing w:after="0" w:line="240" w:lineRule="auto"/>
        <w:jc w:val="both"/>
        <w:rPr>
          <w:rFonts w:ascii="Lato" w:hAnsi="Lato" w:cs="Times New Roman"/>
          <w:color w:val="000000"/>
          <w:sz w:val="20"/>
          <w:szCs w:val="20"/>
        </w:rPr>
      </w:pPr>
      <w:r w:rsidRPr="00E8348B">
        <w:rPr>
          <w:rFonts w:ascii="Lato" w:hAnsi="Lato" w:cs="Times New Roman"/>
          <w:color w:val="000000"/>
          <w:sz w:val="20"/>
          <w:szCs w:val="20"/>
        </w:rPr>
        <w:t>M.in. osobom starszym udzielana była nieodpłatna pomoc w formie indywidualnej terapii psychologicznej.</w:t>
      </w:r>
    </w:p>
    <w:p w14:paraId="40CE66CA" w14:textId="77777777" w:rsidR="00E8348B" w:rsidRPr="00E8348B" w:rsidRDefault="00E8348B" w:rsidP="00E8348B">
      <w:pPr>
        <w:spacing w:after="0" w:line="240" w:lineRule="auto"/>
        <w:jc w:val="both"/>
        <w:rPr>
          <w:rFonts w:ascii="Lato" w:hAnsi="Lato" w:cs="Times New Roman"/>
          <w:color w:val="000000"/>
          <w:sz w:val="20"/>
          <w:szCs w:val="20"/>
        </w:rPr>
      </w:pPr>
      <w:r w:rsidRPr="00E8348B">
        <w:rPr>
          <w:rFonts w:ascii="Lato" w:hAnsi="Lato" w:cs="Times New Roman"/>
          <w:color w:val="000000"/>
          <w:sz w:val="20"/>
          <w:szCs w:val="20"/>
        </w:rPr>
        <w:t xml:space="preserve">Informacje o możliwości skorzystania z ww. formy pomocy przekazywane były w prasie lokalnej, na stronie internetowej tut. MOPS a także przez pracowników socjalnych podczas pracy w Grup Roboczych. </w:t>
      </w:r>
    </w:p>
    <w:p w14:paraId="494A1E89" w14:textId="77777777" w:rsidR="00E8348B" w:rsidRPr="00E8348B" w:rsidRDefault="00E8348B" w:rsidP="00E8348B">
      <w:pPr>
        <w:spacing w:after="0" w:line="240" w:lineRule="auto"/>
        <w:jc w:val="both"/>
        <w:rPr>
          <w:rFonts w:ascii="Lato" w:hAnsi="Lato" w:cs="Times New Roman"/>
          <w:color w:val="000000"/>
          <w:sz w:val="20"/>
          <w:szCs w:val="20"/>
        </w:rPr>
      </w:pPr>
      <w:r w:rsidRPr="00E8348B">
        <w:rPr>
          <w:rFonts w:ascii="Lato" w:hAnsi="Lato" w:cs="Times New Roman"/>
          <w:color w:val="000000"/>
          <w:sz w:val="20"/>
          <w:szCs w:val="20"/>
        </w:rPr>
        <w:lastRenderedPageBreak/>
        <w:t>Udział w Programie był dobrowolny, z terapii psychologicznej mogły skorzystać osoby gotowe do pracy terapeutycznej, zgłaszające taką potrzebę.</w:t>
      </w:r>
    </w:p>
    <w:p w14:paraId="5BF3257A" w14:textId="77777777" w:rsidR="008B5C91" w:rsidRDefault="008B5C91" w:rsidP="00E8348B">
      <w:pPr>
        <w:spacing w:after="0" w:line="240" w:lineRule="auto"/>
        <w:jc w:val="both"/>
        <w:rPr>
          <w:rFonts w:ascii="Lato" w:hAnsi="Lato" w:cs="Times New Roman"/>
          <w:color w:val="000000"/>
          <w:sz w:val="20"/>
          <w:szCs w:val="20"/>
        </w:rPr>
      </w:pPr>
    </w:p>
    <w:p w14:paraId="3B824EBA" w14:textId="485ABC35" w:rsidR="00E8348B" w:rsidRPr="00E8348B" w:rsidRDefault="00E8348B" w:rsidP="00E8348B">
      <w:pPr>
        <w:spacing w:after="0" w:line="240" w:lineRule="auto"/>
        <w:jc w:val="both"/>
        <w:rPr>
          <w:rFonts w:ascii="Lato" w:hAnsi="Lato" w:cs="Times New Roman"/>
          <w:color w:val="000000"/>
          <w:sz w:val="20"/>
          <w:szCs w:val="20"/>
        </w:rPr>
      </w:pPr>
      <w:r w:rsidRPr="00E8348B">
        <w:rPr>
          <w:rFonts w:ascii="Lato" w:hAnsi="Lato" w:cs="Times New Roman"/>
          <w:sz w:val="20"/>
          <w:szCs w:val="20"/>
        </w:rPr>
        <w:t xml:space="preserve">Miejski Ośrodek Pomocy Społecznej w Przeworsku w ramach ww. Programu Osłonowego realizował działania, których odbiorcami byli seniorzy, sprowadzające się do uczestnictwa w  marszu przeciw przemocy oraz pikniku </w:t>
      </w:r>
      <w:proofErr w:type="spellStart"/>
      <w:r w:rsidRPr="00E8348B">
        <w:rPr>
          <w:rFonts w:ascii="Lato" w:hAnsi="Lato" w:cs="Times New Roman"/>
          <w:sz w:val="20"/>
          <w:szCs w:val="20"/>
        </w:rPr>
        <w:t>edukacyjno</w:t>
      </w:r>
      <w:proofErr w:type="spellEnd"/>
      <w:r w:rsidRPr="00E8348B">
        <w:rPr>
          <w:rFonts w:ascii="Lato" w:hAnsi="Lato" w:cs="Times New Roman"/>
          <w:sz w:val="20"/>
          <w:szCs w:val="20"/>
        </w:rPr>
        <w:t xml:space="preserve"> – rekreacyjnym. </w:t>
      </w:r>
    </w:p>
    <w:p w14:paraId="11131110" w14:textId="19F1AC90" w:rsidR="00E8348B" w:rsidRPr="00E8348B" w:rsidRDefault="00E8348B" w:rsidP="00E8348B">
      <w:pPr>
        <w:spacing w:after="0" w:line="240" w:lineRule="auto"/>
        <w:jc w:val="both"/>
        <w:rPr>
          <w:rFonts w:ascii="Lato" w:hAnsi="Lato" w:cs="Times New Roman"/>
          <w:sz w:val="20"/>
          <w:szCs w:val="20"/>
        </w:rPr>
      </w:pPr>
      <w:r w:rsidRPr="00E8348B">
        <w:rPr>
          <w:rFonts w:ascii="Lato" w:hAnsi="Lato" w:cs="Times New Roman"/>
          <w:sz w:val="20"/>
          <w:szCs w:val="20"/>
        </w:rPr>
        <w:t xml:space="preserve">Marsz przeciw przemocy pod hasłem ,,PRZEWORSKIE DZIECI PRZECIW PRZEMOCY” sprowadzał się do przejścia ulicami Przeworska kilkuset osób (uczniów, nauczycieli, władz samorządowych, przedstawicieli instytucji, mieszkańców, w tym seniorów – m.in. uczestników Dziennego Domu ,,Senior +”), celem zwrócenia uwagi na potrzebę budowania świata bez przemocy. Marsz zakończył się w siedzibie Miejskiego Ośrodka Kultury, gdzie miała miejsce część edukacyjno- artystyczna: </w:t>
      </w:r>
    </w:p>
    <w:p w14:paraId="5ABB8C61" w14:textId="77777777" w:rsidR="008B5C91" w:rsidRDefault="00E8348B" w:rsidP="0059185B">
      <w:pPr>
        <w:pStyle w:val="Akapitzlist"/>
        <w:numPr>
          <w:ilvl w:val="0"/>
          <w:numId w:val="86"/>
        </w:numPr>
        <w:spacing w:after="0" w:line="240" w:lineRule="auto"/>
        <w:jc w:val="both"/>
        <w:rPr>
          <w:rFonts w:ascii="Lato" w:hAnsi="Lato" w:cs="Times New Roman"/>
          <w:sz w:val="20"/>
          <w:szCs w:val="20"/>
        </w:rPr>
      </w:pPr>
      <w:r w:rsidRPr="008B5C91">
        <w:rPr>
          <w:rFonts w:ascii="Lato" w:hAnsi="Lato" w:cs="Times New Roman"/>
          <w:sz w:val="20"/>
          <w:szCs w:val="20"/>
        </w:rPr>
        <w:t>rozstrzygniecie konkursu plastycznego nt. przemocy ,,Nietykalni”,</w:t>
      </w:r>
    </w:p>
    <w:p w14:paraId="5460974A" w14:textId="77777777" w:rsidR="008B5C91" w:rsidRDefault="00E8348B" w:rsidP="0059185B">
      <w:pPr>
        <w:pStyle w:val="Akapitzlist"/>
        <w:numPr>
          <w:ilvl w:val="0"/>
          <w:numId w:val="86"/>
        </w:numPr>
        <w:spacing w:after="0" w:line="240" w:lineRule="auto"/>
        <w:jc w:val="both"/>
        <w:rPr>
          <w:rFonts w:ascii="Lato" w:hAnsi="Lato" w:cs="Times New Roman"/>
          <w:sz w:val="20"/>
          <w:szCs w:val="20"/>
        </w:rPr>
      </w:pPr>
      <w:r w:rsidRPr="008B5C91">
        <w:rPr>
          <w:rFonts w:ascii="Lato" w:hAnsi="Lato" w:cs="Times New Roman"/>
          <w:sz w:val="20"/>
          <w:szCs w:val="20"/>
        </w:rPr>
        <w:t>referat i debata nt. przemocy,</w:t>
      </w:r>
    </w:p>
    <w:p w14:paraId="77B0751C" w14:textId="1B59856E" w:rsidR="00E8348B" w:rsidRPr="008B5C91" w:rsidRDefault="00E8348B" w:rsidP="0059185B">
      <w:pPr>
        <w:pStyle w:val="Akapitzlist"/>
        <w:numPr>
          <w:ilvl w:val="0"/>
          <w:numId w:val="86"/>
        </w:numPr>
        <w:spacing w:after="0" w:line="240" w:lineRule="auto"/>
        <w:jc w:val="both"/>
        <w:rPr>
          <w:rFonts w:ascii="Lato" w:hAnsi="Lato" w:cs="Times New Roman"/>
          <w:sz w:val="20"/>
          <w:szCs w:val="20"/>
        </w:rPr>
      </w:pPr>
      <w:r w:rsidRPr="008B5C91">
        <w:rPr>
          <w:rFonts w:ascii="Lato" w:hAnsi="Lato" w:cs="Times New Roman"/>
          <w:sz w:val="20"/>
          <w:szCs w:val="20"/>
        </w:rPr>
        <w:t xml:space="preserve">spektakl teatralny ,,Cisza”. </w:t>
      </w:r>
    </w:p>
    <w:p w14:paraId="39E03D77" w14:textId="77777777" w:rsidR="008B5C91" w:rsidRDefault="008B5C91" w:rsidP="00E8348B">
      <w:pPr>
        <w:spacing w:after="0" w:line="240" w:lineRule="auto"/>
        <w:jc w:val="both"/>
        <w:rPr>
          <w:rFonts w:ascii="Lato" w:hAnsi="Lato" w:cs="Times New Roman"/>
          <w:sz w:val="20"/>
          <w:szCs w:val="20"/>
        </w:rPr>
      </w:pPr>
    </w:p>
    <w:p w14:paraId="4789A48A" w14:textId="1898D2EB" w:rsidR="00E8348B" w:rsidRPr="00E8348B" w:rsidRDefault="00E8348B" w:rsidP="00E8348B">
      <w:pPr>
        <w:spacing w:after="0" w:line="240" w:lineRule="auto"/>
        <w:jc w:val="both"/>
        <w:rPr>
          <w:rFonts w:ascii="Lato" w:hAnsi="Lato" w:cs="Times New Roman"/>
          <w:sz w:val="20"/>
          <w:szCs w:val="20"/>
        </w:rPr>
      </w:pPr>
      <w:r w:rsidRPr="00E8348B">
        <w:rPr>
          <w:rFonts w:ascii="Lato" w:hAnsi="Lato" w:cs="Times New Roman"/>
          <w:sz w:val="20"/>
          <w:szCs w:val="20"/>
        </w:rPr>
        <w:t xml:space="preserve">Piknik </w:t>
      </w:r>
      <w:proofErr w:type="spellStart"/>
      <w:r w:rsidRPr="00E8348B">
        <w:rPr>
          <w:rFonts w:ascii="Lato" w:hAnsi="Lato" w:cs="Times New Roman"/>
          <w:sz w:val="20"/>
          <w:szCs w:val="20"/>
        </w:rPr>
        <w:t>edukacyjno</w:t>
      </w:r>
      <w:proofErr w:type="spellEnd"/>
      <w:r w:rsidRPr="00E8348B">
        <w:rPr>
          <w:rFonts w:ascii="Lato" w:hAnsi="Lato" w:cs="Times New Roman"/>
          <w:sz w:val="20"/>
          <w:szCs w:val="20"/>
        </w:rPr>
        <w:t xml:space="preserve"> – rekreacyjny ,,Szczęśliwe dzieci” to działanie zawierające elementy programu profilaktycznego oraz poradnictwo specjalistyczne dla mieszkańców Przeworska (w tym również seniorów), w ramach którego odbyły się prelekcje i konkursy zwiększające świadomość społeczną w zakresie przemocy, występy artystyczne, koncert zespołu muzycznego ,,Szafa gra”, zabawa taneczna, bezpłatne atrakcje, punkty informacyjno-konsultacyjne i in. </w:t>
      </w:r>
    </w:p>
    <w:p w14:paraId="067A153B" w14:textId="77777777" w:rsidR="00E8348B" w:rsidRPr="00E8348B" w:rsidRDefault="00E8348B" w:rsidP="00E8348B">
      <w:pPr>
        <w:spacing w:after="0" w:line="240" w:lineRule="auto"/>
        <w:contextualSpacing/>
        <w:jc w:val="both"/>
        <w:rPr>
          <w:rFonts w:ascii="Lato" w:eastAsia="Times New Roman" w:hAnsi="Lato" w:cs="Times New Roman"/>
          <w:color w:val="00000A"/>
          <w:sz w:val="20"/>
          <w:szCs w:val="20"/>
          <w:lang w:eastAsia="pl-PL"/>
        </w:rPr>
      </w:pPr>
    </w:p>
    <w:p w14:paraId="148D3CC5" w14:textId="77777777" w:rsidR="00E8348B" w:rsidRPr="00E8348B" w:rsidRDefault="00E8348B" w:rsidP="00E8348B">
      <w:pPr>
        <w:spacing w:after="0" w:line="240" w:lineRule="auto"/>
        <w:contextualSpacing/>
        <w:jc w:val="both"/>
        <w:rPr>
          <w:rFonts w:ascii="Lato" w:eastAsia="Times New Roman" w:hAnsi="Lato" w:cs="Times New Roman"/>
          <w:b/>
          <w:color w:val="00000A"/>
          <w:sz w:val="20"/>
          <w:szCs w:val="20"/>
          <w:lang w:eastAsia="pl-PL"/>
        </w:rPr>
      </w:pPr>
      <w:r w:rsidRPr="00E8348B">
        <w:rPr>
          <w:rFonts w:ascii="Lato" w:eastAsia="Times New Roman" w:hAnsi="Lato" w:cs="Times New Roman"/>
          <w:b/>
          <w:color w:val="00000A"/>
          <w:sz w:val="20"/>
          <w:szCs w:val="20"/>
          <w:lang w:eastAsia="pl-PL"/>
        </w:rPr>
        <w:t>Program „Korpus Wsparcia Seniorów” na rok 2022.</w:t>
      </w:r>
    </w:p>
    <w:p w14:paraId="09611E39" w14:textId="026AD1AF" w:rsidR="00E8348B" w:rsidRPr="00E8348B" w:rsidRDefault="00E8348B" w:rsidP="00E8348B">
      <w:pPr>
        <w:spacing w:after="0" w:line="240" w:lineRule="auto"/>
        <w:ind w:right="135"/>
        <w:jc w:val="both"/>
        <w:rPr>
          <w:rFonts w:ascii="Lato" w:eastAsia="Calibri" w:hAnsi="Lato" w:cs="Times New Roman"/>
          <w:color w:val="000000"/>
          <w:sz w:val="20"/>
          <w:szCs w:val="20"/>
          <w:lang w:eastAsia="pl-PL"/>
        </w:rPr>
      </w:pPr>
      <w:r w:rsidRPr="00E8348B">
        <w:rPr>
          <w:rFonts w:ascii="Lato" w:eastAsia="Calibri" w:hAnsi="Lato" w:cs="Times New Roman"/>
          <w:color w:val="000000"/>
          <w:sz w:val="20"/>
          <w:szCs w:val="20"/>
          <w:lang w:eastAsia="pl-PL"/>
        </w:rPr>
        <w:t>Strategicznym celem Programu w roku 2022</w:t>
      </w:r>
      <w:r w:rsidRPr="00E8348B">
        <w:rPr>
          <w:rFonts w:ascii="Lato" w:eastAsia="Calibri" w:hAnsi="Lato" w:cs="Times New Roman"/>
          <w:sz w:val="20"/>
          <w:szCs w:val="20"/>
          <w:lang w:eastAsia="pl-PL"/>
        </w:rPr>
        <w:t xml:space="preserve"> </w:t>
      </w:r>
      <w:r w:rsidRPr="00E8348B">
        <w:rPr>
          <w:rFonts w:ascii="Lato" w:eastAsia="Calibri" w:hAnsi="Lato" w:cs="Times New Roman"/>
          <w:color w:val="000000"/>
          <w:sz w:val="20"/>
          <w:szCs w:val="20"/>
          <w:lang w:eastAsia="pl-PL"/>
        </w:rPr>
        <w:t>było</w:t>
      </w:r>
      <w:r w:rsidRPr="00E8348B">
        <w:rPr>
          <w:rFonts w:ascii="Lato" w:hAnsi="Lato"/>
          <w:sz w:val="20"/>
          <w:szCs w:val="20"/>
          <w:lang w:eastAsia="pl-PL"/>
        </w:rPr>
        <w:t xml:space="preserve"> wsparcie finansowe gmin w zakresie zapewnienia usługi wsparcia na rzecz seniorów w wieku 65 lat i więcej przez świadczenie usług wynikających z rozeznanych potrzeb na terenie danej gminy, wpisujących się we wskazane w programie obszary oraz w realizacji usług opiekuńczych poprzez dostęp do tzw. „opieki na odległość” mającej na celu poprawę bezpieczeństwa oraz możliwości samodzielnego funkcjonowania w miejscu zamieszkania osób starszych.</w:t>
      </w:r>
      <w:r w:rsidRPr="00E8348B">
        <w:rPr>
          <w:rFonts w:ascii="Lato" w:eastAsia="Calibri" w:hAnsi="Lato" w:cs="Times New Roman"/>
          <w:color w:val="000000"/>
          <w:sz w:val="20"/>
          <w:szCs w:val="20"/>
          <w:lang w:eastAsia="pl-PL"/>
        </w:rPr>
        <w:t xml:space="preserve"> </w:t>
      </w:r>
    </w:p>
    <w:p w14:paraId="6F83824B" w14:textId="77777777" w:rsidR="008B5C91" w:rsidRDefault="008B5C91" w:rsidP="00E8348B">
      <w:pPr>
        <w:spacing w:after="0" w:line="240" w:lineRule="auto"/>
        <w:ind w:right="135"/>
        <w:jc w:val="both"/>
        <w:rPr>
          <w:rFonts w:ascii="Lato" w:eastAsia="Calibri" w:hAnsi="Lato" w:cs="Times New Roman"/>
          <w:color w:val="000000"/>
          <w:sz w:val="20"/>
          <w:szCs w:val="20"/>
          <w:lang w:eastAsia="pl-PL"/>
        </w:rPr>
      </w:pPr>
    </w:p>
    <w:p w14:paraId="6DD11D36" w14:textId="56FAD328" w:rsidR="00E8348B" w:rsidRPr="00E8348B" w:rsidRDefault="00E8348B" w:rsidP="00E8348B">
      <w:pPr>
        <w:spacing w:after="0" w:line="240" w:lineRule="auto"/>
        <w:ind w:right="135"/>
        <w:jc w:val="both"/>
        <w:rPr>
          <w:rFonts w:ascii="Lato" w:hAnsi="Lato" w:cs="Times New Roman"/>
          <w:color w:val="000000"/>
          <w:sz w:val="20"/>
          <w:szCs w:val="20"/>
          <w:lang w:eastAsia="pl-PL"/>
        </w:rPr>
      </w:pPr>
      <w:r w:rsidRPr="00E8348B">
        <w:rPr>
          <w:rFonts w:ascii="Lato" w:eastAsia="Calibri" w:hAnsi="Lato" w:cs="Times New Roman"/>
          <w:color w:val="000000"/>
          <w:sz w:val="20"/>
          <w:szCs w:val="20"/>
          <w:lang w:eastAsia="pl-PL"/>
        </w:rPr>
        <w:t xml:space="preserve">W województwie podkarpackim do </w:t>
      </w:r>
      <w:r w:rsidRPr="00E8348B">
        <w:rPr>
          <w:rFonts w:ascii="Lato" w:hAnsi="Lato" w:cs="Times New Roman"/>
          <w:color w:val="000000"/>
          <w:sz w:val="20"/>
          <w:szCs w:val="20"/>
          <w:lang w:eastAsia="pl-PL"/>
        </w:rPr>
        <w:t>Programu przystąpiły 84 jednostki samorządu terytorialnego.</w:t>
      </w:r>
      <w:r w:rsidRPr="00E8348B">
        <w:rPr>
          <w:rFonts w:ascii="Lato" w:eastAsia="Calibri" w:hAnsi="Lato" w:cs="Times New Roman"/>
          <w:color w:val="000000"/>
          <w:sz w:val="20"/>
          <w:szCs w:val="20"/>
          <w:lang w:eastAsia="pl-PL"/>
        </w:rPr>
        <w:t xml:space="preserve"> Na realizację Programu gminy wydatkowały środki w łącznej wysokości 3 310 052 zł. </w:t>
      </w:r>
      <w:r w:rsidRPr="00E8348B">
        <w:rPr>
          <w:rFonts w:ascii="Lato" w:hAnsi="Lato" w:cs="Times New Roman"/>
          <w:color w:val="000000"/>
          <w:sz w:val="20"/>
          <w:szCs w:val="20"/>
        </w:rPr>
        <w:t>Na realizację Modułu I wydatkowano kwotę 552 464,94 zł, obejmując pomocą 933 seniorów.</w:t>
      </w:r>
      <w:r w:rsidRPr="00E8348B">
        <w:rPr>
          <w:rFonts w:ascii="Lato" w:eastAsia="Calibri" w:hAnsi="Lato" w:cs="Times New Roman"/>
          <w:color w:val="000000"/>
          <w:sz w:val="20"/>
          <w:szCs w:val="20"/>
          <w:lang w:eastAsia="pl-PL"/>
        </w:rPr>
        <w:t xml:space="preserve"> Pomoc polegała przede wszystkim na wsparciu w czynnościach dnia codziennego, m.in. robieniu zakupów, wykupywaniu leków, umawianiu wizyt lekarskich, wspólnym spędzaniu czasu wolnego. </w:t>
      </w:r>
      <w:r w:rsidRPr="00E8348B">
        <w:rPr>
          <w:rFonts w:ascii="Lato" w:hAnsi="Lato" w:cs="Times New Roman"/>
          <w:color w:val="000000"/>
          <w:sz w:val="20"/>
          <w:szCs w:val="20"/>
        </w:rPr>
        <w:t xml:space="preserve">Natomiast na realizację Modułu II wydatkowano kwotę 2 757 587,21 zł, z tego zakupiono 3 321 opasek bezpieczeństwa oraz </w:t>
      </w:r>
      <w:r w:rsidRPr="00E8348B">
        <w:rPr>
          <w:rFonts w:ascii="Lato" w:hAnsi="Lato" w:cs="Times New Roman"/>
          <w:color w:val="000000"/>
          <w:sz w:val="20"/>
          <w:szCs w:val="20"/>
          <w:lang w:eastAsia="pl-PL"/>
        </w:rPr>
        <w:t>usługę obsługi systemu polegającej na sprawowaniu całodobowej opieki na odległość nad seniorami przez centrum monitoringu. Ze wsparcia skorzystały osoby starsze, które miały problemy związane z samodzielnym funkcjonowaniem ze względu na stan zdrowia, samotne lub mieszkające z osobami bliskimi, które z uwagi na różne okoliczności nie mogły zapewnić im wystarczającej opieki.</w:t>
      </w:r>
      <w:r w:rsidRPr="00E8348B">
        <w:rPr>
          <w:rFonts w:ascii="Lato" w:eastAsia="Calibri" w:hAnsi="Lato" w:cs="Times New Roman"/>
          <w:color w:val="000000"/>
          <w:sz w:val="20"/>
          <w:szCs w:val="20"/>
          <w:lang w:eastAsia="pl-PL"/>
        </w:rPr>
        <w:t xml:space="preserve"> </w:t>
      </w:r>
      <w:r w:rsidRPr="00E8348B">
        <w:rPr>
          <w:rFonts w:ascii="Lato" w:hAnsi="Lato" w:cs="Times New Roman"/>
          <w:color w:val="000000"/>
          <w:sz w:val="20"/>
          <w:szCs w:val="20"/>
          <w:lang w:eastAsia="pl-PL"/>
        </w:rPr>
        <w:t>Realizacja programu „Korpus Wsparcia Seniorów” na terenie województwa podkarpackiego w sposób istotny przyczyniła się do poprawy bezpieczeństwa życia i zdrowia seniorów. Wprowadzenie tzw. „opieki na odległość” niwelowało uczucie codziennej niepewności i strachu osób starszych, samotnych, podtrzymywało ich w dobrej kondycji psychicznej, pozwalało im na większą samodzielność i poczucie autonomii. Wartością dodaną programu jest poprawa komfortu psychicznego rodzin i opiekunów seniorów.</w:t>
      </w:r>
    </w:p>
    <w:p w14:paraId="0A5A9CC7" w14:textId="77777777" w:rsidR="00E8348B" w:rsidRPr="00E8348B" w:rsidRDefault="00E8348B" w:rsidP="00E8348B">
      <w:pPr>
        <w:spacing w:after="0" w:line="240" w:lineRule="auto"/>
        <w:ind w:right="135"/>
        <w:jc w:val="both"/>
        <w:rPr>
          <w:rFonts w:ascii="Lato" w:eastAsia="Calibri" w:hAnsi="Lato" w:cs="Times New Roman"/>
          <w:color w:val="000000"/>
          <w:sz w:val="20"/>
          <w:szCs w:val="20"/>
          <w:lang w:eastAsia="pl-PL"/>
        </w:rPr>
      </w:pPr>
    </w:p>
    <w:p w14:paraId="50F7AA4F" w14:textId="7AC668C0" w:rsidR="00E8348B" w:rsidRDefault="00E8348B" w:rsidP="006D5ACE">
      <w:pPr>
        <w:spacing w:after="0" w:line="240" w:lineRule="auto"/>
        <w:jc w:val="both"/>
        <w:rPr>
          <w:rFonts w:ascii="Lato" w:hAnsi="Lato" w:cs="Times New Roman"/>
          <w:sz w:val="20"/>
          <w:szCs w:val="20"/>
        </w:rPr>
      </w:pPr>
      <w:r w:rsidRPr="00E8348B">
        <w:rPr>
          <w:rFonts w:ascii="Lato" w:hAnsi="Lato" w:cs="Times New Roman"/>
          <w:sz w:val="20"/>
          <w:szCs w:val="20"/>
        </w:rPr>
        <w:t>Podejmowane na terenie woj. podkarpackiego inicjatywy na rzecz seniorów mają na celu zmniejszanie skali zależności od innych, poprzez ułatwienie dostępu do usług wzmacniających samodzielność osób, dostosowanie środowiska zamieszkania do możliwości funkcjonowania niesamodzielnych osób starszych. Priorytetowym celem powinno być zapewnienie seniorom optymalnego dostępu do usług zdrowotnych, rehabilitacyjnych i opiekuńczo-pielęgnacyjnych, dostosowanych do potrzeb niesamodzielnych osób starszych, jak również odpowiednia pomoc środowiskowa i instytucjonalna. Zapewnienie ciągłości i rozwijanie form opieki dziennej dla osób starszych, pozwoli na wydłużenie samodzielnego</w:t>
      </w:r>
      <w:r w:rsidR="008B5C91">
        <w:rPr>
          <w:rFonts w:ascii="Lato" w:hAnsi="Lato" w:cs="Times New Roman"/>
          <w:sz w:val="20"/>
          <w:szCs w:val="20"/>
        </w:rPr>
        <w:t xml:space="preserve"> </w:t>
      </w:r>
      <w:r w:rsidRPr="00E8348B">
        <w:rPr>
          <w:rFonts w:ascii="Lato" w:hAnsi="Lato" w:cs="Times New Roman"/>
          <w:sz w:val="20"/>
          <w:szCs w:val="20"/>
        </w:rPr>
        <w:t xml:space="preserve">funkcjonowania seniorów w miejscu zamieszkania. </w:t>
      </w:r>
    </w:p>
    <w:p w14:paraId="7E028183" w14:textId="412F71FB" w:rsidR="008929AE" w:rsidRDefault="008929AE" w:rsidP="006D5ACE">
      <w:pPr>
        <w:spacing w:after="0" w:line="240" w:lineRule="auto"/>
        <w:jc w:val="both"/>
        <w:rPr>
          <w:rFonts w:ascii="Lato" w:hAnsi="Lato" w:cs="Times New Roman"/>
          <w:sz w:val="20"/>
          <w:szCs w:val="20"/>
        </w:rPr>
      </w:pPr>
    </w:p>
    <w:p w14:paraId="51C9692C" w14:textId="4431879E" w:rsidR="008929AE" w:rsidRDefault="008929AE" w:rsidP="008929AE">
      <w:pPr>
        <w:pStyle w:val="Legenda"/>
        <w:keepNext/>
      </w:pPr>
      <w:bookmarkStart w:id="165" w:name="_Toc142566031"/>
      <w:r>
        <w:t xml:space="preserve">Tabela </w:t>
      </w:r>
      <w:fldSimple w:instr=" SEQ Tabela \* ARABIC ">
        <w:r w:rsidR="00AA385B">
          <w:rPr>
            <w:noProof/>
          </w:rPr>
          <w:t>68</w:t>
        </w:r>
      </w:fldSimple>
      <w:r>
        <w:t xml:space="preserve"> Karta województwa podkarpackiego za 2022 r.</w:t>
      </w:r>
      <w:bookmarkEnd w:id="165"/>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8929AE" w:rsidRPr="008929AE" w14:paraId="1E2F6497"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37644ECA" w14:textId="77777777" w:rsidR="008929AE" w:rsidRPr="008929AE" w:rsidRDefault="008929AE" w:rsidP="00CA4EC0">
            <w:pPr>
              <w:jc w:val="center"/>
              <w:rPr>
                <w:rFonts w:ascii="Lato" w:hAnsi="Lato" w:cs="Times New Roman"/>
                <w:color w:val="auto"/>
                <w:sz w:val="18"/>
                <w:szCs w:val="18"/>
              </w:rPr>
            </w:pPr>
            <w:r w:rsidRPr="008929AE">
              <w:rPr>
                <w:rFonts w:ascii="Lato" w:hAnsi="Lato" w:cs="Times New Roman"/>
                <w:color w:val="auto"/>
                <w:sz w:val="18"/>
                <w:szCs w:val="18"/>
              </w:rPr>
              <w:t>WOJEWÓDZTWO PODKARPACKIE</w:t>
            </w:r>
          </w:p>
        </w:tc>
      </w:tr>
      <w:tr w:rsidR="008929AE" w:rsidRPr="008929AE" w14:paraId="39622D51" w14:textId="77777777" w:rsidTr="008929A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B32BA17" w14:textId="77777777" w:rsidR="008929AE" w:rsidRPr="008929AE" w:rsidRDefault="008929AE" w:rsidP="00CA4EC0">
            <w:pPr>
              <w:rPr>
                <w:rFonts w:ascii="Lato" w:hAnsi="Lato" w:cs="Times New Roman"/>
                <w:color w:val="auto"/>
                <w:sz w:val="18"/>
                <w:szCs w:val="18"/>
              </w:rPr>
            </w:pPr>
            <w:r w:rsidRPr="008929AE">
              <w:rPr>
                <w:rFonts w:ascii="Lato" w:hAnsi="Lato" w:cs="Times New Roman"/>
                <w:color w:val="auto"/>
                <w:sz w:val="18"/>
                <w:szCs w:val="18"/>
              </w:rPr>
              <w:lastRenderedPageBreak/>
              <w:t>Informacja o regionie</w:t>
            </w:r>
          </w:p>
        </w:tc>
        <w:tc>
          <w:tcPr>
            <w:tcW w:w="1346" w:type="pct"/>
            <w:shd w:val="clear" w:color="auto" w:fill="auto"/>
          </w:tcPr>
          <w:p w14:paraId="0419D7E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Liczba gmin</w:t>
            </w:r>
          </w:p>
        </w:tc>
        <w:tc>
          <w:tcPr>
            <w:tcW w:w="2693" w:type="pct"/>
            <w:gridSpan w:val="2"/>
            <w:shd w:val="clear" w:color="auto" w:fill="auto"/>
          </w:tcPr>
          <w:p w14:paraId="6E7C80B2"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160</w:t>
            </w:r>
          </w:p>
        </w:tc>
      </w:tr>
      <w:tr w:rsidR="008929AE" w:rsidRPr="008929AE" w14:paraId="7F599E5A" w14:textId="77777777" w:rsidTr="008929AE">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67151A0" w14:textId="77777777" w:rsidR="008929AE" w:rsidRPr="008929AE" w:rsidRDefault="008929AE" w:rsidP="00CA4EC0">
            <w:pPr>
              <w:rPr>
                <w:rFonts w:ascii="Lato" w:hAnsi="Lato" w:cs="Times New Roman"/>
                <w:color w:val="auto"/>
                <w:sz w:val="18"/>
                <w:szCs w:val="18"/>
              </w:rPr>
            </w:pPr>
          </w:p>
        </w:tc>
        <w:tc>
          <w:tcPr>
            <w:tcW w:w="1346" w:type="pct"/>
            <w:shd w:val="clear" w:color="auto" w:fill="auto"/>
          </w:tcPr>
          <w:p w14:paraId="44550865"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Liczba powiatów</w:t>
            </w:r>
          </w:p>
        </w:tc>
        <w:tc>
          <w:tcPr>
            <w:tcW w:w="2693" w:type="pct"/>
            <w:gridSpan w:val="2"/>
            <w:shd w:val="clear" w:color="auto" w:fill="auto"/>
          </w:tcPr>
          <w:p w14:paraId="0D2FD70C"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21 powiatów i 4 miasta na prawach powiatu</w:t>
            </w:r>
          </w:p>
        </w:tc>
      </w:tr>
      <w:tr w:rsidR="008929AE" w:rsidRPr="008929AE" w14:paraId="2155C5A5" w14:textId="77777777" w:rsidTr="008929AE">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C1CEF56" w14:textId="77777777" w:rsidR="008929AE" w:rsidRPr="008929AE" w:rsidRDefault="008929AE" w:rsidP="00CA4EC0">
            <w:pPr>
              <w:rPr>
                <w:rFonts w:ascii="Lato" w:hAnsi="Lato" w:cs="Times New Roman"/>
                <w:color w:val="auto"/>
                <w:sz w:val="18"/>
                <w:szCs w:val="18"/>
              </w:rPr>
            </w:pPr>
          </w:p>
        </w:tc>
        <w:tc>
          <w:tcPr>
            <w:tcW w:w="1346" w:type="pct"/>
            <w:shd w:val="clear" w:color="auto" w:fill="auto"/>
          </w:tcPr>
          <w:p w14:paraId="6D168DD5"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Powierzchnia</w:t>
            </w:r>
          </w:p>
        </w:tc>
        <w:tc>
          <w:tcPr>
            <w:tcW w:w="2693" w:type="pct"/>
            <w:gridSpan w:val="2"/>
            <w:shd w:val="clear" w:color="auto" w:fill="auto"/>
          </w:tcPr>
          <w:p w14:paraId="154C0B2F"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17 845 km2</w:t>
            </w:r>
          </w:p>
        </w:tc>
      </w:tr>
      <w:tr w:rsidR="008929AE" w:rsidRPr="008929AE" w14:paraId="01FF25C7"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28C0DED" w14:textId="77777777" w:rsidR="008929AE" w:rsidRPr="008929AE" w:rsidRDefault="008929AE" w:rsidP="00CA4EC0">
            <w:pPr>
              <w:jc w:val="center"/>
              <w:rPr>
                <w:rFonts w:ascii="Lato" w:hAnsi="Lato" w:cs="Times New Roman"/>
                <w:b w:val="0"/>
                <w:color w:val="auto"/>
                <w:sz w:val="18"/>
                <w:szCs w:val="18"/>
              </w:rPr>
            </w:pPr>
            <w:r w:rsidRPr="008929AE">
              <w:rPr>
                <w:rFonts w:ascii="Lato" w:hAnsi="Lato" w:cs="Times New Roman"/>
                <w:color w:val="auto"/>
                <w:sz w:val="18"/>
                <w:szCs w:val="18"/>
              </w:rPr>
              <w:t>DEMOGRAFIA</w:t>
            </w:r>
          </w:p>
        </w:tc>
      </w:tr>
      <w:tr w:rsidR="008929AE" w:rsidRPr="008929AE" w14:paraId="56A60478"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458ED54" w14:textId="77777777" w:rsidR="008929AE" w:rsidRPr="008929AE" w:rsidRDefault="008929AE" w:rsidP="00CA4EC0">
            <w:pPr>
              <w:jc w:val="center"/>
              <w:rPr>
                <w:rFonts w:ascii="Lato" w:hAnsi="Lato" w:cs="Times New Roman"/>
                <w:b w:val="0"/>
                <w:color w:val="auto"/>
                <w:sz w:val="18"/>
                <w:szCs w:val="18"/>
                <w:lang w:eastAsia="pl-PL"/>
              </w:rPr>
            </w:pPr>
            <w:r w:rsidRPr="008929AE">
              <w:rPr>
                <w:rFonts w:ascii="Lato" w:hAnsi="Lato" w:cs="Times New Roman"/>
                <w:color w:val="auto"/>
                <w:sz w:val="18"/>
                <w:szCs w:val="18"/>
                <w:lang w:eastAsia="pl-PL"/>
              </w:rPr>
              <w:t>Treść</w:t>
            </w:r>
          </w:p>
        </w:tc>
        <w:tc>
          <w:tcPr>
            <w:tcW w:w="1346" w:type="pct"/>
            <w:shd w:val="clear" w:color="auto" w:fill="auto"/>
          </w:tcPr>
          <w:p w14:paraId="52958589" w14:textId="77777777" w:rsidR="008929AE" w:rsidRPr="008929AE" w:rsidRDefault="008929AE"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2020 r.</w:t>
            </w:r>
          </w:p>
        </w:tc>
        <w:tc>
          <w:tcPr>
            <w:tcW w:w="1346" w:type="pct"/>
            <w:shd w:val="clear" w:color="auto" w:fill="auto"/>
          </w:tcPr>
          <w:p w14:paraId="4D30B754" w14:textId="77777777" w:rsidR="008929AE" w:rsidRPr="008929AE" w:rsidRDefault="008929AE"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2021 r.</w:t>
            </w:r>
          </w:p>
        </w:tc>
        <w:tc>
          <w:tcPr>
            <w:tcW w:w="1347" w:type="pct"/>
            <w:shd w:val="clear" w:color="auto" w:fill="auto"/>
          </w:tcPr>
          <w:p w14:paraId="60F5F432" w14:textId="77777777" w:rsidR="008929AE" w:rsidRPr="008929AE" w:rsidRDefault="008929AE"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2022 r.</w:t>
            </w:r>
          </w:p>
        </w:tc>
      </w:tr>
      <w:tr w:rsidR="008929AE" w:rsidRPr="008929AE" w14:paraId="78E8865B"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A06556C"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Populacja ogółem</w:t>
            </w:r>
          </w:p>
        </w:tc>
        <w:tc>
          <w:tcPr>
            <w:tcW w:w="1346" w:type="pct"/>
            <w:shd w:val="clear" w:color="auto" w:fill="auto"/>
          </w:tcPr>
          <w:p w14:paraId="2007E44E"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2096166</w:t>
            </w:r>
          </w:p>
        </w:tc>
        <w:tc>
          <w:tcPr>
            <w:tcW w:w="1346" w:type="pct"/>
            <w:shd w:val="clear" w:color="auto" w:fill="auto"/>
          </w:tcPr>
          <w:p w14:paraId="69CE5688"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2085932</w:t>
            </w:r>
          </w:p>
        </w:tc>
        <w:tc>
          <w:tcPr>
            <w:tcW w:w="1347" w:type="pct"/>
            <w:shd w:val="clear" w:color="auto" w:fill="auto"/>
          </w:tcPr>
          <w:p w14:paraId="2BDA8336"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2079098</w:t>
            </w:r>
          </w:p>
        </w:tc>
      </w:tr>
      <w:tr w:rsidR="008929AE" w:rsidRPr="008929AE" w14:paraId="79BD7CF2"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B7745CD" w14:textId="77777777" w:rsidR="008929AE" w:rsidRPr="008929AE" w:rsidRDefault="008929AE" w:rsidP="00CA4EC0">
            <w:pPr>
              <w:rPr>
                <w:rFonts w:ascii="Lato" w:hAnsi="Lato" w:cs="Times New Roman"/>
                <w:b w:val="0"/>
                <w:color w:val="auto"/>
                <w:sz w:val="18"/>
                <w:szCs w:val="18"/>
              </w:rPr>
            </w:pPr>
          </w:p>
        </w:tc>
      </w:tr>
      <w:tr w:rsidR="008929AE" w:rsidRPr="008929AE" w14:paraId="4E942044"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56F47F2" w14:textId="77777777" w:rsidR="008929AE" w:rsidRPr="008929AE" w:rsidRDefault="008929AE" w:rsidP="00CA4EC0">
            <w:pPr>
              <w:rPr>
                <w:rFonts w:ascii="Lato" w:hAnsi="Lato" w:cs="Times New Roman"/>
                <w:b w:val="0"/>
                <w:color w:val="auto"/>
                <w:sz w:val="18"/>
                <w:szCs w:val="18"/>
              </w:rPr>
            </w:pPr>
            <w:r w:rsidRPr="008929AE">
              <w:rPr>
                <w:rFonts w:ascii="Lato" w:hAnsi="Lato" w:cs="Times New Roman"/>
                <w:color w:val="auto"/>
                <w:sz w:val="18"/>
                <w:szCs w:val="18"/>
                <w:lang w:eastAsia="pl-PL"/>
              </w:rPr>
              <w:t>w wieku 60 lat i więcej</w:t>
            </w:r>
          </w:p>
        </w:tc>
        <w:tc>
          <w:tcPr>
            <w:tcW w:w="1346" w:type="pct"/>
            <w:shd w:val="clear" w:color="auto" w:fill="auto"/>
          </w:tcPr>
          <w:p w14:paraId="49280ED1"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505796</w:t>
            </w:r>
          </w:p>
        </w:tc>
        <w:tc>
          <w:tcPr>
            <w:tcW w:w="1346" w:type="pct"/>
            <w:shd w:val="clear" w:color="auto" w:fill="auto"/>
          </w:tcPr>
          <w:p w14:paraId="20CD442A"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509541</w:t>
            </w:r>
          </w:p>
        </w:tc>
        <w:tc>
          <w:tcPr>
            <w:tcW w:w="1347" w:type="pct"/>
            <w:shd w:val="clear" w:color="auto" w:fill="auto"/>
          </w:tcPr>
          <w:p w14:paraId="7DBCC9BC"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516608</w:t>
            </w:r>
          </w:p>
        </w:tc>
      </w:tr>
      <w:tr w:rsidR="008929AE" w:rsidRPr="008929AE" w14:paraId="10A88365"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3A6AAFE"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60–64 lata</w:t>
            </w:r>
          </w:p>
        </w:tc>
        <w:tc>
          <w:tcPr>
            <w:tcW w:w="1346" w:type="pct"/>
            <w:shd w:val="clear" w:color="auto" w:fill="auto"/>
          </w:tcPr>
          <w:p w14:paraId="4BFAA76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139470</w:t>
            </w:r>
          </w:p>
        </w:tc>
        <w:tc>
          <w:tcPr>
            <w:tcW w:w="1346" w:type="pct"/>
            <w:shd w:val="clear" w:color="auto" w:fill="auto"/>
          </w:tcPr>
          <w:p w14:paraId="69F48E5A"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137306</w:t>
            </w:r>
          </w:p>
        </w:tc>
        <w:tc>
          <w:tcPr>
            <w:tcW w:w="1347" w:type="pct"/>
            <w:shd w:val="clear" w:color="auto" w:fill="auto"/>
          </w:tcPr>
          <w:p w14:paraId="6606098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134641</w:t>
            </w:r>
          </w:p>
        </w:tc>
      </w:tr>
      <w:tr w:rsidR="008929AE" w:rsidRPr="008929AE" w14:paraId="1221ED67"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BC57D21"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65–69</w:t>
            </w:r>
          </w:p>
        </w:tc>
        <w:tc>
          <w:tcPr>
            <w:tcW w:w="1346" w:type="pct"/>
            <w:shd w:val="clear" w:color="auto" w:fill="auto"/>
          </w:tcPr>
          <w:p w14:paraId="525E20BF"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125231</w:t>
            </w:r>
          </w:p>
        </w:tc>
        <w:tc>
          <w:tcPr>
            <w:tcW w:w="1346" w:type="pct"/>
            <w:shd w:val="clear" w:color="auto" w:fill="auto"/>
          </w:tcPr>
          <w:p w14:paraId="001B1D5A"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126525</w:t>
            </w:r>
          </w:p>
        </w:tc>
        <w:tc>
          <w:tcPr>
            <w:tcW w:w="1347" w:type="pct"/>
            <w:shd w:val="clear" w:color="auto" w:fill="auto"/>
          </w:tcPr>
          <w:p w14:paraId="2B41B0A1"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128015</w:t>
            </w:r>
          </w:p>
        </w:tc>
      </w:tr>
      <w:tr w:rsidR="008929AE" w:rsidRPr="008929AE" w14:paraId="38F1D2C8"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A9D5346"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70–74</w:t>
            </w:r>
          </w:p>
        </w:tc>
        <w:tc>
          <w:tcPr>
            <w:tcW w:w="1346" w:type="pct"/>
            <w:shd w:val="clear" w:color="auto" w:fill="auto"/>
          </w:tcPr>
          <w:p w14:paraId="4090698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93950</w:t>
            </w:r>
          </w:p>
        </w:tc>
        <w:tc>
          <w:tcPr>
            <w:tcW w:w="1346" w:type="pct"/>
            <w:shd w:val="clear" w:color="auto" w:fill="auto"/>
          </w:tcPr>
          <w:p w14:paraId="7F2CB28F"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98924</w:t>
            </w:r>
          </w:p>
        </w:tc>
        <w:tc>
          <w:tcPr>
            <w:tcW w:w="1347" w:type="pct"/>
            <w:shd w:val="clear" w:color="auto" w:fill="auto"/>
          </w:tcPr>
          <w:p w14:paraId="70CB0E55"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103052</w:t>
            </w:r>
          </w:p>
        </w:tc>
      </w:tr>
      <w:tr w:rsidR="008929AE" w:rsidRPr="008929AE" w14:paraId="5E8D9730"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0301EE5"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75–79</w:t>
            </w:r>
          </w:p>
        </w:tc>
        <w:tc>
          <w:tcPr>
            <w:tcW w:w="1346" w:type="pct"/>
            <w:shd w:val="clear" w:color="auto" w:fill="auto"/>
          </w:tcPr>
          <w:p w14:paraId="411E01AC"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54088</w:t>
            </w:r>
          </w:p>
        </w:tc>
        <w:tc>
          <w:tcPr>
            <w:tcW w:w="1346" w:type="pct"/>
            <w:shd w:val="clear" w:color="auto" w:fill="auto"/>
          </w:tcPr>
          <w:p w14:paraId="3732EC17"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56069</w:t>
            </w:r>
          </w:p>
        </w:tc>
        <w:tc>
          <w:tcPr>
            <w:tcW w:w="1347" w:type="pct"/>
            <w:shd w:val="clear" w:color="auto" w:fill="auto"/>
          </w:tcPr>
          <w:p w14:paraId="37980892"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61939</w:t>
            </w:r>
          </w:p>
        </w:tc>
      </w:tr>
      <w:tr w:rsidR="008929AE" w:rsidRPr="008929AE" w14:paraId="0FFC9FCB"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8EDF795"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80–84</w:t>
            </w:r>
          </w:p>
        </w:tc>
        <w:tc>
          <w:tcPr>
            <w:tcW w:w="1346" w:type="pct"/>
            <w:shd w:val="clear" w:color="auto" w:fill="auto"/>
          </w:tcPr>
          <w:p w14:paraId="5C400597"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48456</w:t>
            </w:r>
          </w:p>
        </w:tc>
        <w:tc>
          <w:tcPr>
            <w:tcW w:w="1346" w:type="pct"/>
            <w:shd w:val="clear" w:color="auto" w:fill="auto"/>
          </w:tcPr>
          <w:p w14:paraId="1F235271"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46602</w:t>
            </w:r>
          </w:p>
        </w:tc>
        <w:tc>
          <w:tcPr>
            <w:tcW w:w="1347" w:type="pct"/>
            <w:shd w:val="clear" w:color="auto" w:fill="auto"/>
          </w:tcPr>
          <w:p w14:paraId="291E71B3"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43986</w:t>
            </w:r>
          </w:p>
        </w:tc>
      </w:tr>
      <w:tr w:rsidR="008929AE" w:rsidRPr="008929AE" w14:paraId="0AB41C17"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98AF853"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85 lat i więcej</w:t>
            </w:r>
          </w:p>
        </w:tc>
        <w:tc>
          <w:tcPr>
            <w:tcW w:w="1346" w:type="pct"/>
            <w:shd w:val="clear" w:color="auto" w:fill="auto"/>
          </w:tcPr>
          <w:p w14:paraId="1365703B"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44601</w:t>
            </w:r>
          </w:p>
        </w:tc>
        <w:tc>
          <w:tcPr>
            <w:tcW w:w="1346" w:type="pct"/>
            <w:shd w:val="clear" w:color="auto" w:fill="auto"/>
          </w:tcPr>
          <w:p w14:paraId="358F4660"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44115</w:t>
            </w:r>
          </w:p>
        </w:tc>
        <w:tc>
          <w:tcPr>
            <w:tcW w:w="1347" w:type="pct"/>
            <w:shd w:val="clear" w:color="auto" w:fill="auto"/>
          </w:tcPr>
          <w:p w14:paraId="548B9A87"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44975</w:t>
            </w:r>
          </w:p>
        </w:tc>
      </w:tr>
      <w:tr w:rsidR="008929AE" w:rsidRPr="008929AE" w14:paraId="78A342AC"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AA6592D"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Przeciętne dalsze trwanie życia</w:t>
            </w:r>
          </w:p>
        </w:tc>
        <w:tc>
          <w:tcPr>
            <w:tcW w:w="1346" w:type="pct"/>
            <w:shd w:val="clear" w:color="auto" w:fill="auto"/>
          </w:tcPr>
          <w:p w14:paraId="1AB7DD61"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męskiej – 73,7</w:t>
            </w:r>
          </w:p>
          <w:p w14:paraId="1AB49766"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żeńskiej – 81,8</w:t>
            </w:r>
          </w:p>
          <w:p w14:paraId="1D20F0A2"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Mężczyzna w wieku 60 lat – 18,4</w:t>
            </w:r>
          </w:p>
          <w:p w14:paraId="13BC42C2"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Kobieta w wieku 60 – 24,0</w:t>
            </w:r>
          </w:p>
        </w:tc>
        <w:tc>
          <w:tcPr>
            <w:tcW w:w="1346" w:type="pct"/>
            <w:shd w:val="clear" w:color="auto" w:fill="auto"/>
          </w:tcPr>
          <w:p w14:paraId="3859C007"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męskiej – 72,7</w:t>
            </w:r>
          </w:p>
          <w:p w14:paraId="6628A52E"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żeńskiej – 80,6</w:t>
            </w:r>
          </w:p>
          <w:p w14:paraId="4055D15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Mężczyzna w wieku 60 lat – 17,9</w:t>
            </w:r>
          </w:p>
          <w:p w14:paraId="374CEB92"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Kobieta w wieku 60 – 23,0</w:t>
            </w:r>
          </w:p>
        </w:tc>
        <w:tc>
          <w:tcPr>
            <w:tcW w:w="1347" w:type="pct"/>
            <w:shd w:val="clear" w:color="auto" w:fill="auto"/>
          </w:tcPr>
          <w:p w14:paraId="1CF60846"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męskiej – 74,7</w:t>
            </w:r>
          </w:p>
          <w:p w14:paraId="25A81CCE"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Noworodek płci żeńskiej – 82,5</w:t>
            </w:r>
          </w:p>
          <w:p w14:paraId="3D65C73B"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Mężczyzna w wieku 60 lat – 19,5</w:t>
            </w:r>
          </w:p>
          <w:p w14:paraId="0498E559"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 xml:space="preserve">Kobieta w wieku 60 – </w:t>
            </w:r>
            <w:r w:rsidRPr="008929AE">
              <w:rPr>
                <w:rFonts w:ascii="Lato" w:hAnsi="Lato"/>
                <w:sz w:val="18"/>
                <w:szCs w:val="18"/>
              </w:rPr>
              <w:t xml:space="preserve"> </w:t>
            </w:r>
            <w:r w:rsidRPr="008929AE">
              <w:rPr>
                <w:rFonts w:ascii="Lato" w:hAnsi="Lato" w:cs="Times New Roman"/>
                <w:color w:val="auto"/>
                <w:sz w:val="18"/>
                <w:szCs w:val="18"/>
              </w:rPr>
              <w:t>24,6</w:t>
            </w:r>
          </w:p>
        </w:tc>
      </w:tr>
      <w:tr w:rsidR="008929AE" w:rsidRPr="008929AE" w14:paraId="28992C06"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A41BB4B"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Współczynnik feminizacji</w:t>
            </w:r>
          </w:p>
        </w:tc>
        <w:tc>
          <w:tcPr>
            <w:tcW w:w="1346" w:type="pct"/>
            <w:shd w:val="clear" w:color="auto" w:fill="auto"/>
          </w:tcPr>
          <w:p w14:paraId="36BAFAFF"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104</w:t>
            </w:r>
          </w:p>
        </w:tc>
        <w:tc>
          <w:tcPr>
            <w:tcW w:w="1346" w:type="pct"/>
            <w:shd w:val="clear" w:color="auto" w:fill="auto"/>
          </w:tcPr>
          <w:p w14:paraId="3E3BDECE"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104</w:t>
            </w:r>
          </w:p>
        </w:tc>
        <w:tc>
          <w:tcPr>
            <w:tcW w:w="1347" w:type="pct"/>
            <w:shd w:val="clear" w:color="auto" w:fill="auto"/>
          </w:tcPr>
          <w:p w14:paraId="19DF5A55"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104</w:t>
            </w:r>
          </w:p>
        </w:tc>
      </w:tr>
      <w:tr w:rsidR="008929AE" w:rsidRPr="008929AE" w14:paraId="58BD4E2F" w14:textId="77777777" w:rsidTr="00892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73A9E0D"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3ECE113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26,2</w:t>
            </w:r>
          </w:p>
        </w:tc>
        <w:tc>
          <w:tcPr>
            <w:tcW w:w="1346" w:type="pct"/>
            <w:shd w:val="clear" w:color="auto" w:fill="auto"/>
          </w:tcPr>
          <w:p w14:paraId="0277698A"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26,9</w:t>
            </w:r>
          </w:p>
        </w:tc>
        <w:tc>
          <w:tcPr>
            <w:tcW w:w="1347" w:type="pct"/>
            <w:shd w:val="clear" w:color="auto" w:fill="auto"/>
          </w:tcPr>
          <w:p w14:paraId="3A187E9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27,8</w:t>
            </w:r>
          </w:p>
        </w:tc>
      </w:tr>
      <w:tr w:rsidR="008929AE" w:rsidRPr="008929AE" w14:paraId="05D8E33D" w14:textId="77777777" w:rsidTr="008929AE">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16D3E0F"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Współczynnik zgonów</w:t>
            </w:r>
          </w:p>
        </w:tc>
        <w:tc>
          <w:tcPr>
            <w:tcW w:w="1346" w:type="pct"/>
            <w:shd w:val="clear" w:color="auto" w:fill="auto"/>
          </w:tcPr>
          <w:p w14:paraId="06F2AF40"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11,5</w:t>
            </w:r>
          </w:p>
        </w:tc>
        <w:tc>
          <w:tcPr>
            <w:tcW w:w="1346" w:type="pct"/>
            <w:shd w:val="clear" w:color="auto" w:fill="auto"/>
          </w:tcPr>
          <w:p w14:paraId="2739F003"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12,7</w:t>
            </w:r>
          </w:p>
        </w:tc>
        <w:tc>
          <w:tcPr>
            <w:tcW w:w="1347" w:type="pct"/>
            <w:shd w:val="clear" w:color="auto" w:fill="auto"/>
          </w:tcPr>
          <w:p w14:paraId="74B95AAF"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10,5</w:t>
            </w:r>
          </w:p>
        </w:tc>
      </w:tr>
      <w:tr w:rsidR="008929AE" w:rsidRPr="008929AE" w14:paraId="44584F74"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C9251C8" w14:textId="77777777" w:rsidR="008929AE" w:rsidRPr="008929AE" w:rsidRDefault="008929AE" w:rsidP="00CA4EC0">
            <w:pPr>
              <w:jc w:val="center"/>
              <w:rPr>
                <w:rFonts w:ascii="Lato" w:hAnsi="Lato" w:cs="Times New Roman"/>
                <w:color w:val="auto"/>
                <w:sz w:val="18"/>
                <w:szCs w:val="18"/>
              </w:rPr>
            </w:pPr>
            <w:r w:rsidRPr="008929AE">
              <w:rPr>
                <w:rFonts w:ascii="Lato" w:hAnsi="Lato" w:cs="Times New Roman"/>
                <w:color w:val="auto"/>
                <w:sz w:val="18"/>
                <w:szCs w:val="18"/>
                <w:lang w:eastAsia="pl-PL"/>
              </w:rPr>
              <w:t>AKTYWNOŚĆ EKONOMICZNA OSÓB STARSZYCH – DANE ZA 2022 R.</w:t>
            </w:r>
            <w:r w:rsidRPr="008929AE">
              <w:rPr>
                <w:rFonts w:ascii="Lato" w:hAnsi="Lato" w:cs="Times New Roman"/>
                <w:color w:val="auto"/>
                <w:sz w:val="18"/>
                <w:szCs w:val="18"/>
                <w:vertAlign w:val="superscript"/>
                <w:lang w:eastAsia="pl-PL"/>
              </w:rPr>
              <w:t>1)</w:t>
            </w:r>
          </w:p>
        </w:tc>
      </w:tr>
      <w:tr w:rsidR="008929AE" w:rsidRPr="008929AE" w14:paraId="25AD6C46" w14:textId="77777777" w:rsidTr="008929AE">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0AED0144" w14:textId="77777777" w:rsidR="008929AE" w:rsidRPr="008929AE" w:rsidRDefault="008929AE" w:rsidP="00CA4EC0">
            <w:pPr>
              <w:rPr>
                <w:rFonts w:ascii="Lato" w:hAnsi="Lato" w:cs="Times New Roman"/>
                <w:color w:val="auto"/>
                <w:sz w:val="18"/>
                <w:szCs w:val="18"/>
              </w:rPr>
            </w:pPr>
            <w:r w:rsidRPr="008929AE">
              <w:rPr>
                <w:rFonts w:ascii="Lato" w:hAnsi="Lato" w:cs="Times New Roman"/>
                <w:color w:val="auto"/>
                <w:sz w:val="18"/>
                <w:szCs w:val="18"/>
              </w:rPr>
              <w:t>Podział</w:t>
            </w:r>
          </w:p>
        </w:tc>
        <w:tc>
          <w:tcPr>
            <w:tcW w:w="2693" w:type="pct"/>
            <w:gridSpan w:val="2"/>
            <w:shd w:val="clear" w:color="auto" w:fill="auto"/>
          </w:tcPr>
          <w:p w14:paraId="4156454D" w14:textId="77777777" w:rsidR="008929AE" w:rsidRPr="008929AE" w:rsidRDefault="008929AE"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Liczba</w:t>
            </w:r>
          </w:p>
        </w:tc>
      </w:tr>
      <w:tr w:rsidR="008929AE" w:rsidRPr="008929AE" w14:paraId="3B507472" w14:textId="77777777" w:rsidTr="008929AE">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91F6FFB"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Osoby aktywne zawodowo razem (w tys.)</w:t>
            </w:r>
          </w:p>
        </w:tc>
        <w:tc>
          <w:tcPr>
            <w:tcW w:w="1346" w:type="pct"/>
            <w:shd w:val="clear" w:color="auto" w:fill="auto"/>
          </w:tcPr>
          <w:p w14:paraId="1617ACA7"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25474C8D"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841</w:t>
            </w:r>
          </w:p>
        </w:tc>
      </w:tr>
      <w:tr w:rsidR="008929AE" w:rsidRPr="008929AE" w14:paraId="6DA26648" w14:textId="77777777" w:rsidTr="008929AE">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8900E3C" w14:textId="77777777" w:rsidR="008929AE" w:rsidRPr="008929AE" w:rsidRDefault="008929AE" w:rsidP="00CA4EC0">
            <w:pPr>
              <w:rPr>
                <w:rFonts w:ascii="Lato" w:hAnsi="Lato" w:cs="Times New Roman"/>
                <w:b w:val="0"/>
                <w:color w:val="auto"/>
                <w:sz w:val="18"/>
                <w:szCs w:val="18"/>
                <w:lang w:eastAsia="pl-PL"/>
              </w:rPr>
            </w:pPr>
          </w:p>
        </w:tc>
        <w:tc>
          <w:tcPr>
            <w:tcW w:w="1346" w:type="pct"/>
            <w:shd w:val="clear" w:color="auto" w:fill="auto"/>
          </w:tcPr>
          <w:p w14:paraId="697EDEF3"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60-89 lat</w:t>
            </w:r>
          </w:p>
        </w:tc>
        <w:tc>
          <w:tcPr>
            <w:tcW w:w="2693" w:type="pct"/>
            <w:gridSpan w:val="2"/>
            <w:shd w:val="clear" w:color="auto" w:fill="auto"/>
          </w:tcPr>
          <w:p w14:paraId="433BF13C"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59</w:t>
            </w:r>
          </w:p>
        </w:tc>
      </w:tr>
      <w:tr w:rsidR="008929AE" w:rsidRPr="008929AE" w14:paraId="38188EE4" w14:textId="77777777" w:rsidTr="008929A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A3AD00C"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 xml:space="preserve">Osoby aktywne zawodowo </w:t>
            </w:r>
            <w:r w:rsidRPr="008929AE">
              <w:rPr>
                <w:rFonts w:ascii="Lato" w:hAnsi="Lato" w:cs="Times New Roman"/>
                <w:color w:val="auto"/>
                <w:sz w:val="18"/>
                <w:szCs w:val="18"/>
                <w:lang w:eastAsia="pl-PL"/>
              </w:rPr>
              <w:br/>
              <w:t>– pracujący (w tys.)</w:t>
            </w:r>
          </w:p>
        </w:tc>
        <w:tc>
          <w:tcPr>
            <w:tcW w:w="1346" w:type="pct"/>
            <w:shd w:val="clear" w:color="auto" w:fill="auto"/>
          </w:tcPr>
          <w:p w14:paraId="0D4C017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37E06F3F"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801</w:t>
            </w:r>
          </w:p>
        </w:tc>
      </w:tr>
      <w:tr w:rsidR="008929AE" w:rsidRPr="008929AE" w14:paraId="37BC567D" w14:textId="77777777" w:rsidTr="008929AE">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12E93DA" w14:textId="77777777" w:rsidR="008929AE" w:rsidRPr="008929AE" w:rsidRDefault="008929AE" w:rsidP="00CA4EC0">
            <w:pPr>
              <w:rPr>
                <w:rFonts w:ascii="Lato" w:hAnsi="Lato" w:cs="Times New Roman"/>
                <w:b w:val="0"/>
                <w:color w:val="auto"/>
                <w:sz w:val="18"/>
                <w:szCs w:val="18"/>
                <w:lang w:eastAsia="pl-PL"/>
              </w:rPr>
            </w:pPr>
          </w:p>
        </w:tc>
        <w:tc>
          <w:tcPr>
            <w:tcW w:w="1346" w:type="pct"/>
            <w:shd w:val="clear" w:color="auto" w:fill="auto"/>
          </w:tcPr>
          <w:p w14:paraId="12EACF91"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60-89 lat</w:t>
            </w:r>
          </w:p>
        </w:tc>
        <w:tc>
          <w:tcPr>
            <w:tcW w:w="2693" w:type="pct"/>
            <w:gridSpan w:val="2"/>
            <w:shd w:val="clear" w:color="auto" w:fill="auto"/>
          </w:tcPr>
          <w:p w14:paraId="55299816"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59</w:t>
            </w:r>
          </w:p>
        </w:tc>
      </w:tr>
      <w:tr w:rsidR="008929AE" w:rsidRPr="008929AE" w14:paraId="7E6B2A6D" w14:textId="77777777" w:rsidTr="008929AE">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F4ED2B9"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Osoby bierne zawodowo (w tys.)</w:t>
            </w:r>
          </w:p>
        </w:tc>
        <w:tc>
          <w:tcPr>
            <w:tcW w:w="1346" w:type="pct"/>
            <w:shd w:val="clear" w:color="auto" w:fill="auto"/>
          </w:tcPr>
          <w:p w14:paraId="1DF6F0D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2581C4E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752</w:t>
            </w:r>
          </w:p>
        </w:tc>
      </w:tr>
      <w:tr w:rsidR="008929AE" w:rsidRPr="008929AE" w14:paraId="012D6712" w14:textId="77777777" w:rsidTr="008929AE">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047A25D" w14:textId="77777777" w:rsidR="008929AE" w:rsidRPr="008929AE" w:rsidRDefault="008929AE" w:rsidP="00CA4EC0">
            <w:pPr>
              <w:rPr>
                <w:rFonts w:ascii="Lato" w:hAnsi="Lato" w:cs="Times New Roman"/>
                <w:b w:val="0"/>
                <w:color w:val="auto"/>
                <w:sz w:val="18"/>
                <w:szCs w:val="18"/>
                <w:lang w:eastAsia="pl-PL"/>
              </w:rPr>
            </w:pPr>
          </w:p>
        </w:tc>
        <w:tc>
          <w:tcPr>
            <w:tcW w:w="1346" w:type="pct"/>
            <w:shd w:val="clear" w:color="auto" w:fill="auto"/>
          </w:tcPr>
          <w:p w14:paraId="072CB2EA"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60-89 lat</w:t>
            </w:r>
          </w:p>
        </w:tc>
        <w:tc>
          <w:tcPr>
            <w:tcW w:w="2693" w:type="pct"/>
            <w:gridSpan w:val="2"/>
            <w:shd w:val="clear" w:color="auto" w:fill="auto"/>
          </w:tcPr>
          <w:p w14:paraId="58D8687D"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420</w:t>
            </w:r>
          </w:p>
        </w:tc>
      </w:tr>
      <w:tr w:rsidR="008929AE" w:rsidRPr="008929AE" w14:paraId="04E83181" w14:textId="77777777" w:rsidTr="008929A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5D7C0FB"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Współczynnik aktywności zawodowej %</w:t>
            </w:r>
          </w:p>
        </w:tc>
        <w:tc>
          <w:tcPr>
            <w:tcW w:w="1346" w:type="pct"/>
            <w:shd w:val="clear" w:color="auto" w:fill="auto"/>
          </w:tcPr>
          <w:p w14:paraId="011333CE"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58B723E0"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52,8</w:t>
            </w:r>
          </w:p>
        </w:tc>
      </w:tr>
      <w:tr w:rsidR="008929AE" w:rsidRPr="008929AE" w14:paraId="52C3ECE6" w14:textId="77777777" w:rsidTr="008929AE">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ABFDABC" w14:textId="77777777" w:rsidR="008929AE" w:rsidRPr="008929AE" w:rsidRDefault="008929AE" w:rsidP="00CA4EC0">
            <w:pPr>
              <w:rPr>
                <w:rFonts w:ascii="Lato" w:hAnsi="Lato" w:cs="Times New Roman"/>
                <w:b w:val="0"/>
                <w:color w:val="auto"/>
                <w:sz w:val="18"/>
                <w:szCs w:val="18"/>
                <w:lang w:eastAsia="pl-PL"/>
              </w:rPr>
            </w:pPr>
          </w:p>
        </w:tc>
        <w:tc>
          <w:tcPr>
            <w:tcW w:w="1346" w:type="pct"/>
            <w:shd w:val="clear" w:color="auto" w:fill="auto"/>
          </w:tcPr>
          <w:p w14:paraId="0D3732F8"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60-89 lat</w:t>
            </w:r>
          </w:p>
        </w:tc>
        <w:tc>
          <w:tcPr>
            <w:tcW w:w="2693" w:type="pct"/>
            <w:gridSpan w:val="2"/>
            <w:shd w:val="clear" w:color="auto" w:fill="auto"/>
          </w:tcPr>
          <w:p w14:paraId="19AB1150"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12,3</w:t>
            </w:r>
          </w:p>
        </w:tc>
      </w:tr>
      <w:tr w:rsidR="008929AE" w:rsidRPr="008929AE" w14:paraId="356B2902" w14:textId="77777777" w:rsidTr="008929AE">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1640E4B" w14:textId="77777777" w:rsidR="008929AE" w:rsidRPr="008929AE" w:rsidRDefault="008929AE" w:rsidP="00CA4EC0">
            <w:pPr>
              <w:rPr>
                <w:rFonts w:ascii="Lato" w:hAnsi="Lato" w:cs="Times New Roman"/>
                <w:b w:val="0"/>
                <w:color w:val="auto"/>
                <w:sz w:val="18"/>
                <w:szCs w:val="18"/>
                <w:lang w:eastAsia="pl-PL"/>
              </w:rPr>
            </w:pPr>
            <w:r w:rsidRPr="008929AE">
              <w:rPr>
                <w:rFonts w:ascii="Lato" w:hAnsi="Lato" w:cs="Times New Roman"/>
                <w:color w:val="auto"/>
                <w:sz w:val="18"/>
                <w:szCs w:val="18"/>
                <w:lang w:eastAsia="pl-PL"/>
              </w:rPr>
              <w:t>Wskaźnik zatrudnienia %</w:t>
            </w:r>
          </w:p>
        </w:tc>
        <w:tc>
          <w:tcPr>
            <w:tcW w:w="1346" w:type="pct"/>
            <w:shd w:val="clear" w:color="auto" w:fill="auto"/>
          </w:tcPr>
          <w:p w14:paraId="36852BD0"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2DEE98DD"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50,3</w:t>
            </w:r>
          </w:p>
        </w:tc>
      </w:tr>
      <w:tr w:rsidR="008929AE" w:rsidRPr="008929AE" w14:paraId="7B894C82" w14:textId="77777777" w:rsidTr="008929AE">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B10F995" w14:textId="77777777" w:rsidR="008929AE" w:rsidRPr="008929AE" w:rsidRDefault="008929AE" w:rsidP="00CA4EC0">
            <w:pPr>
              <w:rPr>
                <w:rFonts w:ascii="Lato" w:hAnsi="Lato" w:cs="Times New Roman"/>
                <w:b w:val="0"/>
                <w:color w:val="auto"/>
                <w:sz w:val="18"/>
                <w:szCs w:val="18"/>
                <w:lang w:eastAsia="pl-PL"/>
              </w:rPr>
            </w:pPr>
          </w:p>
        </w:tc>
        <w:tc>
          <w:tcPr>
            <w:tcW w:w="1346" w:type="pct"/>
            <w:shd w:val="clear" w:color="auto" w:fill="auto"/>
          </w:tcPr>
          <w:p w14:paraId="0543AA64"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60-89 lat</w:t>
            </w:r>
          </w:p>
        </w:tc>
        <w:tc>
          <w:tcPr>
            <w:tcW w:w="2693" w:type="pct"/>
            <w:gridSpan w:val="2"/>
            <w:shd w:val="clear" w:color="auto" w:fill="auto"/>
          </w:tcPr>
          <w:p w14:paraId="0FEC691E"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12,3</w:t>
            </w:r>
          </w:p>
        </w:tc>
      </w:tr>
      <w:tr w:rsidR="008929AE" w:rsidRPr="008929AE" w14:paraId="06C8B177" w14:textId="77777777" w:rsidTr="008929A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D49024C" w14:textId="77777777" w:rsidR="008929AE" w:rsidRPr="008929AE" w:rsidRDefault="008929AE" w:rsidP="00CA4EC0">
            <w:pPr>
              <w:rPr>
                <w:rFonts w:ascii="Lato" w:hAnsi="Lato" w:cs="Times New Roman"/>
                <w:b w:val="0"/>
                <w:color w:val="auto"/>
                <w:sz w:val="18"/>
                <w:szCs w:val="18"/>
                <w:lang w:eastAsia="pl-PL"/>
              </w:rPr>
            </w:pPr>
            <w:r w:rsidRPr="008929AE">
              <w:rPr>
                <w:rFonts w:ascii="Lato" w:eastAsia="Times New Roman" w:hAnsi="Lato" w:cs="Times New Roman"/>
                <w:color w:val="auto"/>
                <w:sz w:val="18"/>
                <w:szCs w:val="18"/>
                <w:lang w:eastAsia="pl-PL"/>
              </w:rPr>
              <w:t xml:space="preserve">Osoby bierne zawodowo  w wieku 60-74 lata według wybranych przyczyn bierności </w:t>
            </w:r>
            <w:r w:rsidRPr="008929AE">
              <w:rPr>
                <w:rFonts w:ascii="Lato" w:eastAsia="Times New Roman" w:hAnsi="Lato" w:cs="Times New Roman"/>
                <w:color w:val="auto"/>
                <w:sz w:val="18"/>
                <w:szCs w:val="18"/>
                <w:lang w:eastAsia="pl-PL"/>
              </w:rPr>
              <w:br/>
              <w:t>(w tys.)</w:t>
            </w:r>
          </w:p>
        </w:tc>
        <w:tc>
          <w:tcPr>
            <w:tcW w:w="1346" w:type="pct"/>
            <w:shd w:val="clear" w:color="auto" w:fill="auto"/>
          </w:tcPr>
          <w:p w14:paraId="54EA0D2D"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320862F2"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299</w:t>
            </w:r>
          </w:p>
        </w:tc>
      </w:tr>
      <w:tr w:rsidR="008929AE" w:rsidRPr="008929AE" w14:paraId="32B04957" w14:textId="77777777" w:rsidTr="008929AE">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C4CC3A6"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07FA9199"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w:t>
            </w:r>
          </w:p>
        </w:tc>
      </w:tr>
      <w:tr w:rsidR="008929AE" w:rsidRPr="008929AE" w14:paraId="017711B4" w14:textId="77777777" w:rsidTr="008929A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FFA4F45"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0BFDA8A"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8929AE">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4B2FBD1E"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299</w:t>
            </w:r>
          </w:p>
        </w:tc>
      </w:tr>
      <w:tr w:rsidR="008929AE" w:rsidRPr="008929AE" w14:paraId="07DAC2D0" w14:textId="77777777" w:rsidTr="008929AE">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FEEC5C9"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6268DFC"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6021B2F1"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271</w:t>
            </w:r>
          </w:p>
        </w:tc>
      </w:tr>
      <w:tr w:rsidR="008929AE" w:rsidRPr="008929AE" w14:paraId="4B7B63C8" w14:textId="77777777" w:rsidTr="008929A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E705151"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5EC93A0"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3FE83D10"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14</w:t>
            </w:r>
          </w:p>
        </w:tc>
      </w:tr>
      <w:tr w:rsidR="008929AE" w:rsidRPr="008929AE" w14:paraId="48B9410E" w14:textId="77777777" w:rsidTr="008929AE">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7AFC8BF" w14:textId="77777777" w:rsidR="008929AE" w:rsidRPr="008929AE" w:rsidRDefault="008929AE" w:rsidP="00CA4EC0">
            <w:pPr>
              <w:rPr>
                <w:rFonts w:ascii="Lato" w:eastAsia="Times New Roman" w:hAnsi="Lato" w:cs="Times New Roman"/>
                <w:b w:val="0"/>
                <w:bCs w:val="0"/>
                <w:color w:val="auto"/>
                <w:sz w:val="18"/>
                <w:szCs w:val="18"/>
                <w:lang w:eastAsia="pl-PL"/>
              </w:rPr>
            </w:pPr>
            <w:r w:rsidRPr="008929AE">
              <w:rPr>
                <w:rFonts w:ascii="Lato" w:eastAsia="Times New Roman" w:hAnsi="Lato" w:cs="Times New Roman"/>
                <w:color w:val="auto"/>
                <w:sz w:val="18"/>
                <w:szCs w:val="18"/>
                <w:lang w:eastAsia="pl-PL"/>
              </w:rPr>
              <w:t>Osoby bezrobotne zarejestrowane w urzędach pracy (w tys.)</w:t>
            </w:r>
            <w:r w:rsidRPr="008929AE">
              <w:rPr>
                <w:rFonts w:ascii="Lato" w:eastAsia="Times New Roman" w:hAnsi="Lato" w:cs="Times New Roman"/>
                <w:color w:val="auto"/>
                <w:sz w:val="18"/>
                <w:szCs w:val="18"/>
                <w:vertAlign w:val="superscript"/>
                <w:lang w:eastAsia="pl-PL"/>
              </w:rPr>
              <w:t>2)</w:t>
            </w:r>
          </w:p>
        </w:tc>
        <w:tc>
          <w:tcPr>
            <w:tcW w:w="1346" w:type="pct"/>
            <w:shd w:val="clear" w:color="auto" w:fill="auto"/>
          </w:tcPr>
          <w:p w14:paraId="0DB5201B"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Ogółem</w:t>
            </w:r>
          </w:p>
        </w:tc>
        <w:tc>
          <w:tcPr>
            <w:tcW w:w="2693" w:type="pct"/>
            <w:gridSpan w:val="2"/>
            <w:shd w:val="clear" w:color="auto" w:fill="auto"/>
          </w:tcPr>
          <w:p w14:paraId="789D61AE"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69,0</w:t>
            </w:r>
          </w:p>
        </w:tc>
      </w:tr>
      <w:tr w:rsidR="008929AE" w:rsidRPr="008929AE" w14:paraId="7905C4FF" w14:textId="77777777" w:rsidTr="008929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6017ED8"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26BE643"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w tym w wieku 60-64 lata</w:t>
            </w:r>
          </w:p>
        </w:tc>
        <w:tc>
          <w:tcPr>
            <w:tcW w:w="2693" w:type="pct"/>
            <w:gridSpan w:val="2"/>
            <w:shd w:val="clear" w:color="auto" w:fill="auto"/>
          </w:tcPr>
          <w:p w14:paraId="006D37E4"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4,0</w:t>
            </w:r>
          </w:p>
        </w:tc>
      </w:tr>
      <w:tr w:rsidR="008929AE" w:rsidRPr="008929AE" w14:paraId="4067A2BF" w14:textId="77777777" w:rsidTr="008929AE">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D63710D" w14:textId="77777777" w:rsidR="008929AE" w:rsidRPr="008929AE" w:rsidRDefault="008929AE" w:rsidP="00CA4EC0">
            <w:pPr>
              <w:rPr>
                <w:rFonts w:ascii="Lato" w:eastAsia="Times New Roman" w:hAnsi="Lato" w:cs="Times New Roman"/>
                <w:b w:val="0"/>
                <w:bCs w:val="0"/>
                <w:color w:val="auto"/>
                <w:sz w:val="18"/>
                <w:szCs w:val="18"/>
                <w:lang w:eastAsia="pl-PL"/>
              </w:rPr>
            </w:pPr>
            <w:r w:rsidRPr="008929AE">
              <w:rPr>
                <w:rFonts w:ascii="Lato" w:eastAsia="Times New Roman" w:hAnsi="Lato" w:cs="Times New Roman"/>
                <w:color w:val="auto"/>
                <w:sz w:val="18"/>
                <w:szCs w:val="18"/>
                <w:lang w:eastAsia="pl-PL"/>
              </w:rPr>
              <w:t xml:space="preserve">Osoby pobierające renty </w:t>
            </w:r>
            <w:r w:rsidRPr="008929AE">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1AF4E7A7" w14:textId="77777777" w:rsidR="008929AE" w:rsidRPr="008929AE" w:rsidRDefault="008929AE"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ZUS</w:t>
            </w:r>
          </w:p>
        </w:tc>
      </w:tr>
      <w:tr w:rsidR="008929AE" w:rsidRPr="008929AE" w14:paraId="43691919" w14:textId="77777777" w:rsidTr="008929A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2DB5240"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2EF4B6D" w14:textId="77777777" w:rsidR="008929AE" w:rsidRPr="008929AE" w:rsidRDefault="008929AE"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Rodzaj świadczenia</w:t>
            </w:r>
          </w:p>
        </w:tc>
        <w:tc>
          <w:tcPr>
            <w:tcW w:w="2693" w:type="pct"/>
            <w:gridSpan w:val="2"/>
            <w:shd w:val="clear" w:color="auto" w:fill="auto"/>
          </w:tcPr>
          <w:p w14:paraId="012D56D7" w14:textId="77777777" w:rsidR="008929AE" w:rsidRPr="008929AE" w:rsidRDefault="008929AE"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Przeciętna miesięczna liczba emerytów i rencistów (w tys.)</w:t>
            </w:r>
          </w:p>
        </w:tc>
      </w:tr>
      <w:tr w:rsidR="008929AE" w:rsidRPr="008929AE" w14:paraId="23E66870" w14:textId="77777777" w:rsidTr="008929AE">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1F4A741"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1C13F62"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Emerytury</w:t>
            </w:r>
          </w:p>
        </w:tc>
        <w:tc>
          <w:tcPr>
            <w:tcW w:w="2693" w:type="pct"/>
            <w:gridSpan w:val="2"/>
            <w:shd w:val="clear" w:color="auto" w:fill="auto"/>
          </w:tcPr>
          <w:p w14:paraId="3DA9531E"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307,7</w:t>
            </w:r>
          </w:p>
        </w:tc>
      </w:tr>
      <w:tr w:rsidR="008929AE" w:rsidRPr="008929AE" w14:paraId="2DA1FF3E" w14:textId="77777777" w:rsidTr="008929AE">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9414F8D"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995BD46"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Renty z tytułu niezdolności do pracy</w:t>
            </w:r>
          </w:p>
        </w:tc>
        <w:tc>
          <w:tcPr>
            <w:tcW w:w="2693" w:type="pct"/>
            <w:gridSpan w:val="2"/>
            <w:shd w:val="clear" w:color="auto" w:fill="auto"/>
          </w:tcPr>
          <w:p w14:paraId="408AF33B"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35,2</w:t>
            </w:r>
          </w:p>
        </w:tc>
      </w:tr>
      <w:tr w:rsidR="008929AE" w:rsidRPr="008929AE" w14:paraId="30A2672A" w14:textId="77777777" w:rsidTr="008929AE">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AC9BB13"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81AA1AA"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Renty rodzinne</w:t>
            </w:r>
          </w:p>
        </w:tc>
        <w:tc>
          <w:tcPr>
            <w:tcW w:w="2693" w:type="pct"/>
            <w:gridSpan w:val="2"/>
            <w:shd w:val="clear" w:color="auto" w:fill="auto"/>
          </w:tcPr>
          <w:p w14:paraId="60B8E7D3"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62,2</w:t>
            </w:r>
          </w:p>
        </w:tc>
      </w:tr>
      <w:tr w:rsidR="008929AE" w:rsidRPr="008929AE" w14:paraId="3188F6FF" w14:textId="77777777" w:rsidTr="008929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15C841B"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544F572" w14:textId="77777777" w:rsidR="008929AE" w:rsidRPr="008929AE" w:rsidRDefault="008929AE"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KRUS</w:t>
            </w:r>
          </w:p>
        </w:tc>
      </w:tr>
      <w:tr w:rsidR="008929AE" w:rsidRPr="008929AE" w14:paraId="3EF931D8" w14:textId="77777777" w:rsidTr="008929AE">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E7873A5"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DF96712" w14:textId="77777777" w:rsidR="008929AE" w:rsidRPr="008929AE" w:rsidRDefault="008929AE"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Rodzaj świadczenia</w:t>
            </w:r>
          </w:p>
        </w:tc>
        <w:tc>
          <w:tcPr>
            <w:tcW w:w="2693" w:type="pct"/>
            <w:gridSpan w:val="2"/>
            <w:shd w:val="clear" w:color="auto" w:fill="auto"/>
          </w:tcPr>
          <w:p w14:paraId="03F3E733" w14:textId="77777777" w:rsidR="008929AE" w:rsidRPr="008929AE" w:rsidRDefault="008929AE"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8929AE">
              <w:rPr>
                <w:rFonts w:ascii="Lato" w:hAnsi="Lato" w:cs="Times New Roman"/>
                <w:b/>
                <w:color w:val="auto"/>
                <w:sz w:val="18"/>
                <w:szCs w:val="18"/>
              </w:rPr>
              <w:t>Przeciętna miesięczna liczba emerytów i rencistów (w tys.)</w:t>
            </w:r>
          </w:p>
        </w:tc>
      </w:tr>
      <w:tr w:rsidR="008929AE" w:rsidRPr="008929AE" w14:paraId="5E88C203" w14:textId="77777777" w:rsidTr="008929AE">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8FA0CA6"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BC42CB3"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Emerytury</w:t>
            </w:r>
          </w:p>
        </w:tc>
        <w:tc>
          <w:tcPr>
            <w:tcW w:w="2693" w:type="pct"/>
            <w:gridSpan w:val="2"/>
            <w:shd w:val="clear" w:color="auto" w:fill="auto"/>
          </w:tcPr>
          <w:p w14:paraId="1FF39430"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42,8</w:t>
            </w:r>
          </w:p>
        </w:tc>
      </w:tr>
      <w:tr w:rsidR="008929AE" w:rsidRPr="008929AE" w14:paraId="78963059" w14:textId="77777777" w:rsidTr="008929AE">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F87DF5B"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A907FF9"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Renty z tytułu niezdolności do pracy</w:t>
            </w:r>
          </w:p>
        </w:tc>
        <w:tc>
          <w:tcPr>
            <w:tcW w:w="2693" w:type="pct"/>
            <w:gridSpan w:val="2"/>
            <w:shd w:val="clear" w:color="auto" w:fill="auto"/>
          </w:tcPr>
          <w:p w14:paraId="748A4C18" w14:textId="77777777" w:rsidR="008929AE" w:rsidRPr="008929AE" w:rsidRDefault="008929AE"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11,9</w:t>
            </w:r>
          </w:p>
        </w:tc>
      </w:tr>
      <w:tr w:rsidR="008929AE" w:rsidRPr="008929AE" w14:paraId="164C3029" w14:textId="77777777" w:rsidTr="008929AE">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4C9BB72" w14:textId="77777777" w:rsidR="008929AE" w:rsidRPr="008929AE" w:rsidRDefault="008929AE"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A28DAA8"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Renty rodzinne</w:t>
            </w:r>
          </w:p>
        </w:tc>
        <w:tc>
          <w:tcPr>
            <w:tcW w:w="2693" w:type="pct"/>
            <w:gridSpan w:val="2"/>
            <w:shd w:val="clear" w:color="auto" w:fill="auto"/>
          </w:tcPr>
          <w:p w14:paraId="4C593B7E" w14:textId="77777777" w:rsidR="008929AE" w:rsidRPr="008929AE" w:rsidRDefault="008929AE"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8929AE">
              <w:rPr>
                <w:rFonts w:ascii="Lato" w:hAnsi="Lato" w:cs="Times New Roman"/>
                <w:color w:val="auto"/>
                <w:sz w:val="18"/>
                <w:szCs w:val="18"/>
              </w:rPr>
              <w:t>2,3</w:t>
            </w:r>
          </w:p>
        </w:tc>
      </w:tr>
      <w:tr w:rsidR="008929AE" w:rsidRPr="008929AE" w14:paraId="4F95870D"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3E05124" w14:textId="77777777" w:rsidR="008929AE" w:rsidRPr="008929AE" w:rsidRDefault="008929AE" w:rsidP="00CA4EC0">
            <w:pPr>
              <w:jc w:val="center"/>
              <w:rPr>
                <w:rFonts w:ascii="Lato" w:hAnsi="Lato" w:cs="Times New Roman"/>
                <w:color w:val="auto"/>
                <w:sz w:val="18"/>
                <w:szCs w:val="18"/>
              </w:rPr>
            </w:pPr>
            <w:r w:rsidRPr="008929AE">
              <w:rPr>
                <w:rFonts w:ascii="Lato" w:hAnsi="Lato" w:cs="Times New Roman"/>
                <w:color w:val="auto"/>
                <w:sz w:val="18"/>
                <w:szCs w:val="18"/>
              </w:rPr>
              <w:t xml:space="preserve">SYTUACJA DOCHODOWA, WARUNKI BYTU, W TYM WARUNKI MIESZKANIOWE – DANE ZA 2022 R. </w:t>
            </w:r>
          </w:p>
        </w:tc>
      </w:tr>
      <w:tr w:rsidR="008929AE" w:rsidRPr="008929AE" w14:paraId="0F734D03" w14:textId="77777777" w:rsidTr="008929AE">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2700B6E" w14:textId="6C1890F4" w:rsidR="008929AE" w:rsidRPr="008929AE" w:rsidRDefault="008929AE" w:rsidP="00CA4EC0">
            <w:pPr>
              <w:jc w:val="both"/>
              <w:rPr>
                <w:rFonts w:ascii="Lato" w:hAnsi="Lato" w:cs="Times New Roman"/>
                <w:b w:val="0"/>
                <w:color w:val="auto"/>
                <w:sz w:val="18"/>
                <w:szCs w:val="18"/>
              </w:rPr>
            </w:pPr>
            <w:r w:rsidRPr="008929AE">
              <w:rPr>
                <w:rFonts w:ascii="Lato" w:hAnsi="Lato" w:cs="Times New Roman"/>
                <w:b w:val="0"/>
                <w:color w:val="auto"/>
                <w:sz w:val="18"/>
                <w:szCs w:val="18"/>
              </w:rPr>
              <w:t>W 2022 r. w województwie podkarpackim przeciętny miesięczny dochód rozporządzalny przypadający na 1 osobę w gospodarstwach domowych wyniósł  1829,05 zł. Na dochód rozporządzalny gospodarstwa domowego składają się przede wszystkim dochody z pracy najemnej oraz dochody ze świadczeń społecznych. W 2022 r. ich udział w dochodzie rozporządzalnym wyniósł odpowiednio 52,3% i 37,7%. W 2022 r. przeciętne miesięczne wydatki na 1 osobę w gospodarstwach domowych wyniosły 1162,28 zł.  Na żywność i napoje bezalkoholowe gospodarstwa domowe przeznaczały przeciętnie 31,9% ogólnej kwoty wydatków, na opłaty z tytułu użytkowania mieszkania lub domu i za korzystanie z nośników energii - 16,5%, a na zdrowie – 5,0%.</w:t>
            </w:r>
            <w:r w:rsidR="0031646A">
              <w:rPr>
                <w:rFonts w:ascii="Lato" w:hAnsi="Lato" w:cs="Times New Roman"/>
                <w:b w:val="0"/>
                <w:color w:val="auto"/>
                <w:sz w:val="18"/>
                <w:szCs w:val="18"/>
              </w:rPr>
              <w:t xml:space="preserve"> </w:t>
            </w:r>
            <w:r w:rsidRPr="008929AE">
              <w:rPr>
                <w:rFonts w:ascii="Lato" w:hAnsi="Lato" w:cs="Times New Roman"/>
                <w:b w:val="0"/>
                <w:color w:val="auto"/>
                <w:sz w:val="18"/>
                <w:szCs w:val="18"/>
              </w:rPr>
              <w:t>W 2022 r. swoją sytuację materialną jako dobrą lub raczej dobrą oceniło 50,4% gospodarstw domowych. Udział gospodarstw określających swoją sytuację materialną jako przeciętną wyniósł 44,3%, a raczej złą lub złą ukształtował się na poziomie 5,3%.</w:t>
            </w:r>
            <w:r w:rsidR="0031646A">
              <w:rPr>
                <w:rFonts w:ascii="Lato" w:hAnsi="Lato" w:cs="Times New Roman"/>
                <w:b w:val="0"/>
                <w:color w:val="auto"/>
                <w:sz w:val="18"/>
                <w:szCs w:val="18"/>
              </w:rPr>
              <w:t xml:space="preserve"> </w:t>
            </w:r>
            <w:r w:rsidRPr="008929AE">
              <w:rPr>
                <w:rFonts w:ascii="Lato" w:hAnsi="Lato" w:cs="Times New Roman"/>
                <w:b w:val="0"/>
                <w:color w:val="auto"/>
                <w:sz w:val="18"/>
                <w:szCs w:val="18"/>
              </w:rPr>
              <w:t>W analizowanym roku przeciętna liczba osób w gospodarstwie domowym ukształtowała się na poziomie 2,75. Przeciętna powierzchnia użytkowa mieszkania zajmowana przez gospodarstwo domowe wyniosła 102,3 m</w:t>
            </w:r>
            <w:r w:rsidRPr="008929AE">
              <w:rPr>
                <w:rFonts w:ascii="Lato" w:hAnsi="Lato" w:cs="Times New Roman"/>
                <w:b w:val="0"/>
                <w:color w:val="auto"/>
                <w:sz w:val="18"/>
                <w:szCs w:val="18"/>
                <w:vertAlign w:val="superscript"/>
              </w:rPr>
              <w:t>2</w:t>
            </w:r>
            <w:r w:rsidRPr="008929AE">
              <w:rPr>
                <w:rFonts w:ascii="Lato" w:hAnsi="Lato" w:cs="Times New Roman"/>
                <w:b w:val="0"/>
                <w:color w:val="auto"/>
                <w:sz w:val="18"/>
                <w:szCs w:val="18"/>
              </w:rPr>
              <w:t>.</w:t>
            </w:r>
          </w:p>
        </w:tc>
      </w:tr>
    </w:tbl>
    <w:p w14:paraId="61E32BC0" w14:textId="77777777" w:rsidR="008929AE" w:rsidRPr="002A7F1A" w:rsidRDefault="008929AE" w:rsidP="008929AE">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63124D0C" w14:textId="77777777" w:rsidR="008929AE" w:rsidRPr="002A7F1A" w:rsidRDefault="008929AE" w:rsidP="008929AE">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5022BF91" w14:textId="77777777" w:rsidR="008929AE" w:rsidRPr="002A7F1A" w:rsidRDefault="008929AE" w:rsidP="008929AE">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54347988" w14:textId="71F13BBD" w:rsidR="008929AE" w:rsidRPr="008929AE" w:rsidRDefault="008929AE" w:rsidP="008929AE">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1EBBC153" w14:textId="038D2105" w:rsidR="006D5ACE" w:rsidRPr="002B0821" w:rsidRDefault="00586D97" w:rsidP="00B73AF7">
      <w:pPr>
        <w:pStyle w:val="Nagwek2"/>
        <w:numPr>
          <w:ilvl w:val="1"/>
          <w:numId w:val="44"/>
        </w:numPr>
        <w:rPr>
          <w:b/>
          <w:bCs/>
        </w:rPr>
      </w:pPr>
      <w:bookmarkStart w:id="166" w:name="_Toc142565957"/>
      <w:r w:rsidRPr="002B0821">
        <w:rPr>
          <w:b/>
          <w:bCs/>
        </w:rPr>
        <w:t>Województwo podlaskie</w:t>
      </w:r>
      <w:bookmarkEnd w:id="166"/>
    </w:p>
    <w:p w14:paraId="39B7F4DC" w14:textId="3A406F17" w:rsidR="006D5ACE" w:rsidRPr="00EC0467" w:rsidRDefault="006D5ACE" w:rsidP="006D5ACE">
      <w:pPr>
        <w:pStyle w:val="Akapitzlist"/>
        <w:spacing w:after="0" w:line="240" w:lineRule="auto"/>
        <w:ind w:left="0"/>
        <w:jc w:val="both"/>
        <w:rPr>
          <w:rFonts w:ascii="Lato" w:hAnsi="Lato"/>
          <w:sz w:val="20"/>
          <w:szCs w:val="20"/>
        </w:rPr>
      </w:pPr>
      <w:r w:rsidRPr="00EC0467">
        <w:rPr>
          <w:rFonts w:ascii="Lato" w:hAnsi="Lato"/>
          <w:sz w:val="20"/>
          <w:szCs w:val="20"/>
        </w:rPr>
        <w:t xml:space="preserve">Uchwałą Nr XVIII/213/2020 z dnia 27.04.2020 r. Sejmik Województwa Podlaskiego przyjął </w:t>
      </w:r>
      <w:r w:rsidRPr="00EC0467">
        <w:rPr>
          <w:rFonts w:ascii="Lato" w:hAnsi="Lato"/>
          <w:b/>
          <w:bCs/>
          <w:sz w:val="20"/>
          <w:szCs w:val="20"/>
        </w:rPr>
        <w:t>Strategię Rozwoju Województwa Podlaskiego 2030</w:t>
      </w:r>
      <w:r w:rsidRPr="00EC0467">
        <w:rPr>
          <w:rFonts w:ascii="Lato" w:hAnsi="Lato"/>
          <w:sz w:val="20"/>
          <w:szCs w:val="20"/>
        </w:rPr>
        <w:t xml:space="preserve"> - dokument, który wyznacza kierunki polityki regionalnej województwa podlaskiego,</w:t>
      </w:r>
    </w:p>
    <w:p w14:paraId="70C43569" w14:textId="7B36AE4E" w:rsidR="006D5ACE" w:rsidRPr="00EC0467" w:rsidRDefault="006D5ACE" w:rsidP="00EC0467">
      <w:pPr>
        <w:pStyle w:val="Akapitzlist"/>
        <w:spacing w:after="0" w:line="240" w:lineRule="auto"/>
        <w:ind w:left="0"/>
        <w:jc w:val="both"/>
        <w:rPr>
          <w:rFonts w:ascii="Lato" w:hAnsi="Lato"/>
          <w:b/>
          <w:bCs/>
          <w:sz w:val="20"/>
          <w:szCs w:val="20"/>
        </w:rPr>
      </w:pPr>
      <w:r w:rsidRPr="00EC0467">
        <w:rPr>
          <w:rFonts w:ascii="Lato" w:hAnsi="Lato"/>
          <w:sz w:val="20"/>
          <w:szCs w:val="20"/>
        </w:rPr>
        <w:t xml:space="preserve">Uchwałą nr XXXII/435/2021 z dnia 28.06.2021 r. Sejmik Województwa Podlaskiego przyjął </w:t>
      </w:r>
      <w:r w:rsidRPr="00EC0467">
        <w:rPr>
          <w:rFonts w:ascii="Lato" w:hAnsi="Lato"/>
          <w:b/>
          <w:bCs/>
          <w:sz w:val="20"/>
          <w:szCs w:val="20"/>
        </w:rPr>
        <w:t xml:space="preserve">„Strategię Polityki Społecznej Województwa Podlaskiego do roku 2030” </w:t>
      </w:r>
    </w:p>
    <w:p w14:paraId="27705ECA" w14:textId="6932730F" w:rsidR="006D5ACE" w:rsidRPr="00EC0467" w:rsidRDefault="006D5ACE" w:rsidP="00EC0467">
      <w:pPr>
        <w:pStyle w:val="Akapitzlist"/>
        <w:spacing w:after="0" w:line="240" w:lineRule="auto"/>
        <w:ind w:left="0"/>
        <w:jc w:val="both"/>
        <w:rPr>
          <w:rFonts w:ascii="Lato" w:hAnsi="Lato"/>
          <w:b/>
          <w:bCs/>
          <w:sz w:val="20"/>
          <w:szCs w:val="20"/>
        </w:rPr>
      </w:pPr>
      <w:r w:rsidRPr="00EC0467">
        <w:rPr>
          <w:rFonts w:ascii="Lato" w:hAnsi="Lato"/>
          <w:sz w:val="20"/>
          <w:szCs w:val="20"/>
        </w:rPr>
        <w:t xml:space="preserve">Uchwałą Nr VIII/85/19 z dnia 24.04.2019 r. Sejmik Województwa Podlaskiego przyjął </w:t>
      </w:r>
      <w:r w:rsidRPr="00EC0467">
        <w:rPr>
          <w:rFonts w:ascii="Lato" w:hAnsi="Lato"/>
          <w:b/>
          <w:bCs/>
          <w:sz w:val="20"/>
          <w:szCs w:val="20"/>
        </w:rPr>
        <w:t>Program na Rzecz Poprawy Warunków Życia Społecznego i Zawodowego Osób z Niepełnosprawnością w Województwie Podlaskim na lata 2019 - 2023</w:t>
      </w:r>
    </w:p>
    <w:p w14:paraId="6C6CEABC" w14:textId="54403DF2" w:rsidR="006D5ACE" w:rsidRPr="00EC0467" w:rsidRDefault="006D5ACE" w:rsidP="00EC0467">
      <w:pPr>
        <w:pStyle w:val="Akapitzlist"/>
        <w:spacing w:after="0" w:line="240" w:lineRule="auto"/>
        <w:ind w:left="0"/>
        <w:jc w:val="both"/>
        <w:rPr>
          <w:rFonts w:ascii="Lato" w:hAnsi="Lato"/>
          <w:b/>
          <w:bCs/>
          <w:sz w:val="20"/>
          <w:szCs w:val="20"/>
        </w:rPr>
      </w:pPr>
      <w:r w:rsidRPr="00EC0467">
        <w:rPr>
          <w:rFonts w:ascii="Lato" w:hAnsi="Lato"/>
          <w:sz w:val="20"/>
          <w:szCs w:val="20"/>
        </w:rPr>
        <w:t xml:space="preserve">Uchwałą Nr VIII/83/19 z dnia 24.04.2019 r. Sejmik Województwa Podlaskiego przyjął </w:t>
      </w:r>
      <w:r w:rsidRPr="00EC0467">
        <w:rPr>
          <w:rFonts w:ascii="Lato" w:hAnsi="Lato"/>
          <w:b/>
          <w:bCs/>
          <w:sz w:val="20"/>
          <w:szCs w:val="20"/>
        </w:rPr>
        <w:t>Program Pomocy Społecznej i Przeciwdziałania Wykluczeniu Społecznemu w Województwie Podlaskim na lata 2019 - 2023</w:t>
      </w:r>
    </w:p>
    <w:p w14:paraId="5DFE9DD1" w14:textId="1730B54C" w:rsidR="006D5ACE" w:rsidRDefault="006D5ACE" w:rsidP="006D5ACE">
      <w:pPr>
        <w:tabs>
          <w:tab w:val="left" w:pos="426"/>
        </w:tabs>
        <w:spacing w:after="0" w:line="240" w:lineRule="auto"/>
        <w:jc w:val="both"/>
        <w:rPr>
          <w:rFonts w:ascii="Lato" w:hAnsi="Lato"/>
        </w:rPr>
      </w:pPr>
    </w:p>
    <w:p w14:paraId="42A7DD2E" w14:textId="73C5C7BF" w:rsidR="00EC0467" w:rsidRPr="00EC0467" w:rsidRDefault="00EC0467" w:rsidP="00EC0467">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0EB15B5B" w14:textId="3F954ED8" w:rsidR="006D5ACE" w:rsidRPr="00EC0467" w:rsidRDefault="006D5ACE" w:rsidP="006D5ACE">
      <w:pPr>
        <w:tabs>
          <w:tab w:val="left" w:pos="426"/>
        </w:tabs>
        <w:spacing w:after="0" w:line="240" w:lineRule="auto"/>
        <w:jc w:val="both"/>
        <w:rPr>
          <w:rFonts w:ascii="Lato" w:hAnsi="Lato"/>
          <w:b/>
          <w:sz w:val="20"/>
          <w:szCs w:val="20"/>
        </w:rPr>
      </w:pPr>
      <w:r w:rsidRPr="00EC0467">
        <w:rPr>
          <w:rFonts w:ascii="Lato" w:hAnsi="Lato"/>
          <w:b/>
          <w:sz w:val="20"/>
          <w:szCs w:val="20"/>
        </w:rPr>
        <w:t xml:space="preserve">Zespół Wojewody Podlaskiego ds. monitorowania sytuacji osób starszych - </w:t>
      </w:r>
      <w:r w:rsidRPr="00EC0467">
        <w:rPr>
          <w:rFonts w:ascii="Lato" w:hAnsi="Lato"/>
          <w:sz w:val="20"/>
          <w:szCs w:val="20"/>
        </w:rPr>
        <w:t>powołany Zarządzeniem Nr 38/2016 Wojewody Podlaskiego z dnia 08 kwietnia 2016 r. ze zm.</w:t>
      </w:r>
    </w:p>
    <w:p w14:paraId="081329CC" w14:textId="77777777" w:rsidR="006D5ACE" w:rsidRPr="00EC0467" w:rsidRDefault="006D5ACE" w:rsidP="006D5ACE">
      <w:pPr>
        <w:pStyle w:val="Akapitzlist"/>
        <w:tabs>
          <w:tab w:val="left" w:pos="426"/>
        </w:tabs>
        <w:spacing w:after="0" w:line="240" w:lineRule="auto"/>
        <w:ind w:left="0"/>
        <w:jc w:val="both"/>
        <w:rPr>
          <w:rFonts w:ascii="Lato" w:hAnsi="Lato"/>
          <w:sz w:val="20"/>
          <w:szCs w:val="20"/>
        </w:rPr>
      </w:pPr>
      <w:r w:rsidRPr="00EC0467">
        <w:rPr>
          <w:rFonts w:ascii="Lato" w:hAnsi="Lato"/>
          <w:sz w:val="20"/>
          <w:szCs w:val="20"/>
        </w:rPr>
        <w:t>Zakres monitorowania sytuacji osób starszych:</w:t>
      </w:r>
    </w:p>
    <w:p w14:paraId="68D83F92"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dostępność i poziom usług socjalnych, w tym opiekuńczych,</w:t>
      </w:r>
    </w:p>
    <w:p w14:paraId="0DAFEAF5"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sytuację osób niepełnosprawnych i ich opiekunów,</w:t>
      </w:r>
    </w:p>
    <w:p w14:paraId="220E2D6C"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aktywność społeczną i obywatelską,</w:t>
      </w:r>
    </w:p>
    <w:p w14:paraId="29DEF11E"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aktywność edukacyjną i kulturalną,</w:t>
      </w:r>
    </w:p>
    <w:p w14:paraId="11EACFAC"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aktywność sportową i rekreacyjną,</w:t>
      </w:r>
    </w:p>
    <w:p w14:paraId="3BE59775"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równe traktowanie i przeciwdziałanie dyskryminacji ze względu na wiek,</w:t>
      </w:r>
    </w:p>
    <w:p w14:paraId="15CDB722"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 xml:space="preserve">ocenę realizacji polityki senioralnej, </w:t>
      </w:r>
    </w:p>
    <w:p w14:paraId="24F0751D"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wnioski i rekomendacje dotyczące przyszłych zadań i inicjatyw,</w:t>
      </w:r>
    </w:p>
    <w:p w14:paraId="07C15A6F"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sytuację demograficzną społeczeństwa i strukturę demograficzną według wieku populacji osób starszych, prognozy na kolejne lata oraz implikacje zmian demograficznych dla polityki państwa sytuację dochodową, warunki bytu, w tym warunki mieszkaniowe,</w:t>
      </w:r>
    </w:p>
    <w:p w14:paraId="264EF173"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aktywność zawodową,</w:t>
      </w:r>
    </w:p>
    <w:p w14:paraId="16958BC5" w14:textId="77777777"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t>sytuację rodzinną i strukturę gospodarstw domowych,</w:t>
      </w:r>
    </w:p>
    <w:p w14:paraId="681DD85D" w14:textId="69810B25" w:rsidR="006D5ACE" w:rsidRPr="00EC0467" w:rsidRDefault="006D5ACE" w:rsidP="0059185B">
      <w:pPr>
        <w:pStyle w:val="Akapitzlist"/>
        <w:numPr>
          <w:ilvl w:val="0"/>
          <w:numId w:val="87"/>
        </w:numPr>
        <w:tabs>
          <w:tab w:val="left" w:pos="426"/>
        </w:tabs>
        <w:spacing w:after="0" w:line="240" w:lineRule="auto"/>
        <w:jc w:val="both"/>
        <w:rPr>
          <w:rFonts w:ascii="Lato" w:hAnsi="Lato"/>
          <w:sz w:val="20"/>
          <w:szCs w:val="20"/>
        </w:rPr>
      </w:pPr>
      <w:r w:rsidRPr="00EC0467">
        <w:rPr>
          <w:rFonts w:ascii="Lato" w:hAnsi="Lato"/>
          <w:sz w:val="20"/>
          <w:szCs w:val="20"/>
        </w:rPr>
        <w:lastRenderedPageBreak/>
        <w:t>stan zdrowia i jego uwarunkowania oraz jakość  życia związaną ze zdrowiem, w tym dostępność do świadczeń opieki zdrowotnej finansowanych ze środków publicznych.</w:t>
      </w:r>
    </w:p>
    <w:p w14:paraId="18D56DCA" w14:textId="77777777" w:rsidR="006D5ACE" w:rsidRPr="00EC0467" w:rsidRDefault="006D5ACE" w:rsidP="006D5ACE">
      <w:pPr>
        <w:pStyle w:val="Akapitzlist"/>
        <w:tabs>
          <w:tab w:val="left" w:pos="426"/>
        </w:tabs>
        <w:spacing w:after="0" w:line="240" w:lineRule="auto"/>
        <w:ind w:left="0"/>
        <w:jc w:val="both"/>
        <w:rPr>
          <w:rFonts w:ascii="Lato" w:eastAsia="Times New Roman" w:hAnsi="Lato"/>
          <w:b/>
          <w:sz w:val="20"/>
          <w:szCs w:val="20"/>
        </w:rPr>
      </w:pPr>
    </w:p>
    <w:p w14:paraId="5C0243DF" w14:textId="021FCBAD" w:rsidR="006D5ACE" w:rsidRPr="00EC0467" w:rsidRDefault="006D5ACE" w:rsidP="006D5ACE">
      <w:pPr>
        <w:pStyle w:val="Akapitzlist"/>
        <w:tabs>
          <w:tab w:val="left" w:pos="426"/>
        </w:tabs>
        <w:spacing w:after="0" w:line="240" w:lineRule="auto"/>
        <w:ind w:left="0"/>
        <w:jc w:val="both"/>
        <w:rPr>
          <w:rFonts w:ascii="Lato" w:hAnsi="Lato"/>
          <w:sz w:val="20"/>
          <w:szCs w:val="20"/>
        </w:rPr>
      </w:pPr>
      <w:r w:rsidRPr="00EC0467">
        <w:rPr>
          <w:rFonts w:ascii="Lato" w:eastAsia="Times New Roman" w:hAnsi="Lato"/>
          <w:b/>
          <w:sz w:val="20"/>
          <w:szCs w:val="20"/>
        </w:rPr>
        <w:t xml:space="preserve">Rady seniorów. </w:t>
      </w:r>
      <w:r w:rsidRPr="00EC0467">
        <w:rPr>
          <w:rFonts w:ascii="Lato" w:eastAsia="Times New Roman" w:hAnsi="Lato"/>
          <w:sz w:val="20"/>
          <w:szCs w:val="20"/>
        </w:rPr>
        <w:t xml:space="preserve">Na dzień 31 grudnia 2022 r. na terenie województwa podlaskiego funkcjonowało 15 gminnych Rad Seniorów oraz Rada Seniorów powołana przy Marszałku Województwa Podlaskiego. W skład gminnych rad seniorów wchodziły: </w:t>
      </w:r>
      <w:r w:rsidRPr="00EC0467">
        <w:rPr>
          <w:rFonts w:ascii="Lato" w:hAnsi="Lato"/>
          <w:sz w:val="20"/>
          <w:szCs w:val="20"/>
        </w:rPr>
        <w:t xml:space="preserve">Miejska Rada Seniorów w Bielsku Podlaskim, Rada Seniorów Miasta Augustowa II Kadencji, Rada Seniorów Gminy Choroszcz, Gminna Rada Seniorów w Puńsku, Gminna Rada Seniorów w Kuleszach Kościelnych, Suwalska Rada Seniorów, Miejska Rada Seniorów w Sokółce, Rada Seniorów Gminy Supraśl, Gminna Rada Seniorów w Wasilkowie, Rada Seniorów Gminy Czarna Białostocka, Gminna Rada Seniorów w Łapach, Łomżyńska Rada Seniorów, Gminna Rada Seniorów w Dąbrowie Białostockiej, Miejska Rada Seniorów w Sejnach oraz Białostocka Rada Seniorów w Białymstoku. </w:t>
      </w:r>
    </w:p>
    <w:p w14:paraId="14B37532" w14:textId="77777777" w:rsidR="00EC0467" w:rsidRDefault="00EC0467" w:rsidP="006D5ACE">
      <w:pPr>
        <w:suppressAutoHyphens/>
        <w:autoSpaceDN w:val="0"/>
        <w:spacing w:after="0" w:line="240" w:lineRule="auto"/>
        <w:jc w:val="both"/>
        <w:textAlignment w:val="baseline"/>
        <w:rPr>
          <w:rFonts w:ascii="Lato" w:hAnsi="Lato" w:cs="Times New Roman"/>
          <w:sz w:val="20"/>
          <w:szCs w:val="20"/>
        </w:rPr>
      </w:pPr>
    </w:p>
    <w:p w14:paraId="21A56D92" w14:textId="77777777" w:rsidR="00EC0467" w:rsidRDefault="006D5ACE" w:rsidP="006D5ACE">
      <w:pPr>
        <w:suppressAutoHyphens/>
        <w:autoSpaceDN w:val="0"/>
        <w:spacing w:after="0" w:line="240" w:lineRule="auto"/>
        <w:jc w:val="both"/>
        <w:textAlignment w:val="baseline"/>
        <w:rPr>
          <w:rFonts w:ascii="Lato" w:hAnsi="Lato" w:cs="Times New Roman"/>
          <w:sz w:val="20"/>
          <w:szCs w:val="20"/>
        </w:rPr>
      </w:pPr>
      <w:r w:rsidRPr="00EC0467">
        <w:rPr>
          <w:rFonts w:ascii="Lato" w:hAnsi="Lato" w:cs="Times New Roman"/>
          <w:b/>
          <w:sz w:val="20"/>
          <w:szCs w:val="20"/>
        </w:rPr>
        <w:t xml:space="preserve">Podlaska </w:t>
      </w:r>
      <w:proofErr w:type="spellStart"/>
      <w:r w:rsidRPr="00EC0467">
        <w:rPr>
          <w:rFonts w:ascii="Lato" w:hAnsi="Lato" w:cs="Times New Roman"/>
          <w:b/>
          <w:sz w:val="20"/>
          <w:szCs w:val="20"/>
        </w:rPr>
        <w:t>Seniorada</w:t>
      </w:r>
      <w:proofErr w:type="spellEnd"/>
      <w:r w:rsidRPr="00EC0467">
        <w:rPr>
          <w:rFonts w:ascii="Lato" w:hAnsi="Lato" w:cs="Times New Roman"/>
          <w:sz w:val="20"/>
          <w:szCs w:val="20"/>
        </w:rPr>
        <w:t xml:space="preserve"> tj. dwudniowe spotkanie konferencyjno-szkoleniowego dla Seniorów z województwa podlaskiego. W trakcie spotkania uczestnicy mieli możliwość wymiany doświadczeń, uczestniczenia w szkoleniach i konferencjach na tematy dotyczące bezpośrednio Seniorów oraz integracji. W wydarzeniu wzięło udział 120 Seniorów. </w:t>
      </w:r>
    </w:p>
    <w:p w14:paraId="0EE593C6" w14:textId="77777777" w:rsidR="00EC0467" w:rsidRDefault="006D5ACE" w:rsidP="006D5ACE">
      <w:pPr>
        <w:suppressAutoHyphens/>
        <w:autoSpaceDN w:val="0"/>
        <w:spacing w:after="0" w:line="240" w:lineRule="auto"/>
        <w:jc w:val="both"/>
        <w:textAlignment w:val="baseline"/>
        <w:rPr>
          <w:rFonts w:ascii="Lato" w:hAnsi="Lato" w:cs="Times New Roman"/>
          <w:sz w:val="20"/>
          <w:szCs w:val="20"/>
        </w:rPr>
      </w:pPr>
      <w:r w:rsidRPr="00EC0467">
        <w:rPr>
          <w:rFonts w:ascii="Lato" w:hAnsi="Lato" w:cs="Times New Roman"/>
          <w:b/>
          <w:sz w:val="20"/>
          <w:szCs w:val="20"/>
        </w:rPr>
        <w:t>Wojewódzki Tydzień Seniora</w:t>
      </w:r>
      <w:r w:rsidRPr="00EC0467">
        <w:rPr>
          <w:rFonts w:ascii="Lato" w:hAnsi="Lato" w:cs="Times New Roman"/>
          <w:sz w:val="20"/>
          <w:szCs w:val="20"/>
        </w:rPr>
        <w:t xml:space="preserve"> – wydarzenie adresowane do seniorów oraz młodzieży i osób dorosłych, zainteresowanych dialogiem międzypokoleniowym. Do udziału w wydarzeniu organizatorzy zaprosili wojewódzkie instytucje kultury, które w ramach Wojewódzkiego Tygodnia Seniora zorganizowały cykl wydarzeń skupionych na m.in. na wspomnianym dialogu międzypokoleniowym, tematach związanych  z patriotyzmem oraz twórczą współpracą pokoleń. </w:t>
      </w:r>
    </w:p>
    <w:p w14:paraId="20BE5151" w14:textId="77777777" w:rsidR="00EC0467" w:rsidRDefault="00EC0467" w:rsidP="006D5ACE">
      <w:pPr>
        <w:suppressAutoHyphens/>
        <w:autoSpaceDN w:val="0"/>
        <w:spacing w:after="0" w:line="240" w:lineRule="auto"/>
        <w:jc w:val="both"/>
        <w:textAlignment w:val="baseline"/>
        <w:rPr>
          <w:rFonts w:ascii="Lato" w:hAnsi="Lato" w:cs="Times New Roman"/>
          <w:sz w:val="20"/>
          <w:szCs w:val="20"/>
        </w:rPr>
      </w:pPr>
    </w:p>
    <w:p w14:paraId="4225F317" w14:textId="40425908" w:rsidR="006D5ACE" w:rsidRPr="00EC0467" w:rsidRDefault="006D5ACE" w:rsidP="006D5ACE">
      <w:pPr>
        <w:suppressAutoHyphens/>
        <w:autoSpaceDN w:val="0"/>
        <w:spacing w:after="0" w:line="240" w:lineRule="auto"/>
        <w:jc w:val="both"/>
        <w:textAlignment w:val="baseline"/>
        <w:rPr>
          <w:rFonts w:ascii="Lato" w:hAnsi="Lato" w:cs="Times New Roman"/>
          <w:sz w:val="20"/>
          <w:szCs w:val="20"/>
        </w:rPr>
      </w:pPr>
      <w:r w:rsidRPr="00EC0467">
        <w:rPr>
          <w:rFonts w:ascii="Lato" w:hAnsi="Lato" w:cs="Times New Roman"/>
          <w:sz w:val="20"/>
          <w:szCs w:val="20"/>
        </w:rPr>
        <w:t xml:space="preserve">Rada Seniorów przy Marszałku Województwa Podlaskiego dwukrotnie w ciągu 2022 roku brała udział w promocji oraz w akcji organizowanej przez Wojewódzki Ośrodek Ruchu Drogowego w Białymstoku pn. </w:t>
      </w:r>
      <w:r w:rsidRPr="00EC0467">
        <w:rPr>
          <w:rFonts w:ascii="Lato" w:hAnsi="Lato" w:cs="Times New Roman"/>
          <w:b/>
          <w:sz w:val="20"/>
          <w:szCs w:val="20"/>
        </w:rPr>
        <w:t>„Seniorzy – bądź bezpieczny na drodze dla siebie i innych”</w:t>
      </w:r>
      <w:r w:rsidRPr="00EC0467">
        <w:rPr>
          <w:rFonts w:ascii="Lato" w:hAnsi="Lato" w:cs="Times New Roman"/>
          <w:sz w:val="20"/>
          <w:szCs w:val="20"/>
        </w:rPr>
        <w:t>, podczas której seniorzy z województwa podlaskiego wzięli udział w warsztatach przeznaczonych dla aktywnych kierowców.</w:t>
      </w:r>
    </w:p>
    <w:p w14:paraId="44EB8F99" w14:textId="77777777" w:rsidR="006D5ACE" w:rsidRPr="00EC0467" w:rsidRDefault="006D5ACE" w:rsidP="006D5ACE">
      <w:pPr>
        <w:spacing w:after="0" w:line="240" w:lineRule="auto"/>
        <w:jc w:val="both"/>
        <w:rPr>
          <w:rFonts w:ascii="Lato" w:hAnsi="Lato" w:cs="Times New Roman"/>
          <w:b/>
          <w:i/>
          <w:sz w:val="20"/>
          <w:szCs w:val="20"/>
        </w:rPr>
      </w:pPr>
    </w:p>
    <w:p w14:paraId="7D912E60" w14:textId="5BE70D69" w:rsidR="006D5ACE" w:rsidRPr="00EC0467" w:rsidRDefault="006D5ACE" w:rsidP="006D5ACE">
      <w:pPr>
        <w:spacing w:after="0" w:line="240" w:lineRule="auto"/>
        <w:jc w:val="both"/>
        <w:rPr>
          <w:rFonts w:ascii="Lato" w:hAnsi="Lato" w:cs="Times New Roman"/>
          <w:sz w:val="20"/>
          <w:szCs w:val="20"/>
        </w:rPr>
      </w:pPr>
      <w:bookmarkStart w:id="167" w:name="_Hlk104925321"/>
      <w:r w:rsidRPr="00EC0467">
        <w:rPr>
          <w:rFonts w:ascii="Lato" w:hAnsi="Lato" w:cs="Times New Roman"/>
          <w:b/>
          <w:sz w:val="20"/>
          <w:szCs w:val="20"/>
        </w:rPr>
        <w:t>Program „Karta Aktywnego Seniora”</w:t>
      </w:r>
      <w:bookmarkEnd w:id="167"/>
      <w:r w:rsidRPr="00EC0467">
        <w:rPr>
          <w:rFonts w:ascii="Lato" w:hAnsi="Lato" w:cs="Times New Roman"/>
          <w:sz w:val="20"/>
          <w:szCs w:val="20"/>
        </w:rPr>
        <w:t xml:space="preserve">. Program jest realizowany od 1 czerwca 2015 r. do nadal. W 2022 r. skierowany był do osób, które ukończyły 60 rok życia i osiągały dochód w wysokości niższej od kryterium dochodowego obowiązującego przy udzielaniu świadczeń z pomocy społecznej, mogły ubiegać się o bilet specjalny seniora. Podstawą nabycia biletu specjalnego seniora było przedłożenie zaświadczenia wydanego przez Miejski Ośrodek Pomocy Rodzinie w Białymstoku zawierającego potwierdzenie, że zainteresowana osoba osiągała dochód w wysokości niższej od kryterium dochodowego. W 2022 roku wydano 75 zaświadczeń w celu uzyskania ww. biletu. Program posiada swoją zakładkę na stronie </w:t>
      </w:r>
      <w:hyperlink r:id="rId37">
        <w:r w:rsidRPr="00EC0467">
          <w:rPr>
            <w:rFonts w:ascii="Lato" w:hAnsi="Lato" w:cs="Times New Roman"/>
            <w:sz w:val="20"/>
            <w:szCs w:val="20"/>
          </w:rPr>
          <w:t>www.bialystok.pl</w:t>
        </w:r>
      </w:hyperlink>
      <w:r w:rsidRPr="00EC0467">
        <w:rPr>
          <w:rFonts w:ascii="Lato" w:hAnsi="Lato" w:cs="Times New Roman"/>
          <w:sz w:val="20"/>
          <w:szCs w:val="20"/>
        </w:rPr>
        <w:t xml:space="preserve">.  </w:t>
      </w:r>
    </w:p>
    <w:p w14:paraId="3956055D" w14:textId="77777777" w:rsidR="00EC0467" w:rsidRDefault="00EC0467" w:rsidP="006D5ACE">
      <w:pPr>
        <w:spacing w:after="0" w:line="240" w:lineRule="auto"/>
        <w:jc w:val="both"/>
        <w:rPr>
          <w:rFonts w:ascii="Lato" w:eastAsia="Times New Roman" w:hAnsi="Lato" w:cs="Times New Roman"/>
          <w:b/>
          <w:sz w:val="20"/>
          <w:szCs w:val="20"/>
        </w:rPr>
      </w:pPr>
    </w:p>
    <w:p w14:paraId="45AD21D8" w14:textId="133A297B" w:rsidR="006D5ACE" w:rsidRPr="00EC0467" w:rsidRDefault="006D5ACE" w:rsidP="006D5ACE">
      <w:pPr>
        <w:spacing w:after="0" w:line="240" w:lineRule="auto"/>
        <w:jc w:val="both"/>
        <w:rPr>
          <w:rFonts w:ascii="Lato" w:hAnsi="Lato" w:cs="Times New Roman"/>
          <w:sz w:val="20"/>
          <w:szCs w:val="20"/>
        </w:rPr>
      </w:pPr>
      <w:r w:rsidRPr="00EC0467">
        <w:rPr>
          <w:rFonts w:ascii="Lato" w:eastAsia="Times New Roman" w:hAnsi="Lato" w:cs="Times New Roman"/>
          <w:b/>
          <w:sz w:val="20"/>
          <w:szCs w:val="20"/>
        </w:rPr>
        <w:t xml:space="preserve">„Klub Senior +” </w:t>
      </w:r>
      <w:r w:rsidRPr="00EC0467">
        <w:rPr>
          <w:rFonts w:ascii="Lato" w:eastAsia="Times New Roman" w:hAnsi="Lato" w:cs="Times New Roman"/>
          <w:sz w:val="20"/>
          <w:szCs w:val="20"/>
        </w:rPr>
        <w:t>W strukturze Miejskiego Ośrodka Pomocy Rodzinie w Białymstoku działa Klub Senior + jako ośrodek wsparcia p</w:t>
      </w:r>
      <w:r w:rsidRPr="00EC0467">
        <w:rPr>
          <w:rFonts w:ascii="Lato" w:hAnsi="Lato" w:cs="Times New Roman"/>
          <w:bCs/>
          <w:sz w:val="20"/>
          <w:szCs w:val="20"/>
        </w:rPr>
        <w:t>rzeznaczony dla mieszkańców Białegostoku w wieku 60 lat i więcej, nieaktywnych zawodowo, zagrożonych wykluczeniem społecznym</w:t>
      </w:r>
      <w:r w:rsidRPr="00EC0467">
        <w:rPr>
          <w:rFonts w:ascii="Lato" w:eastAsia="Times New Roman" w:hAnsi="Lato" w:cs="Times New Roman"/>
          <w:sz w:val="20"/>
          <w:szCs w:val="20"/>
        </w:rPr>
        <w:t>.</w:t>
      </w:r>
      <w:r w:rsidRPr="00EC0467">
        <w:rPr>
          <w:rFonts w:ascii="Lato" w:hAnsi="Lato" w:cs="Times New Roman"/>
          <w:sz w:val="20"/>
          <w:szCs w:val="20"/>
        </w:rPr>
        <w:t xml:space="preserve"> </w:t>
      </w:r>
      <w:r w:rsidRPr="00EC0467">
        <w:rPr>
          <w:rFonts w:ascii="Lato" w:eastAsia="Times New Roman" w:hAnsi="Lato" w:cs="Times New Roman"/>
          <w:sz w:val="20"/>
          <w:szCs w:val="20"/>
        </w:rPr>
        <w:t xml:space="preserve">112 osób podpisało deklarację uczestnictwa w Klubie „Senior+” i brało udział m.in.: w zajęciach: ruchowych, teatralnych, kulinarnych, plastycznych, z fizjoterapeutą, muzycznych, z fryzjerem, z pielęgniarką, z instruktorem tańca, z brydża sportowego; w jednodniowych wycieczkach autokarowych do Giżycka i okolic, w jednodniowych wycieczkach </w:t>
      </w:r>
      <w:proofErr w:type="spellStart"/>
      <w:r w:rsidRPr="00EC0467">
        <w:rPr>
          <w:rFonts w:ascii="Lato" w:eastAsia="Times New Roman" w:hAnsi="Lato" w:cs="Times New Roman"/>
          <w:sz w:val="20"/>
          <w:szCs w:val="20"/>
        </w:rPr>
        <w:t>integracyjno</w:t>
      </w:r>
      <w:proofErr w:type="spellEnd"/>
      <w:r w:rsidRPr="00EC0467">
        <w:rPr>
          <w:rFonts w:ascii="Lato" w:eastAsia="Times New Roman" w:hAnsi="Lato" w:cs="Times New Roman"/>
          <w:sz w:val="20"/>
          <w:szCs w:val="20"/>
        </w:rPr>
        <w:t xml:space="preserve"> – krajoznawczych i rekreacyjnych - Białystok i okolice; w spotkaniach z psychologiem, z prawnikiem, z przedstawicielami służb mundurowych; w imprezach integracyjnych; w wyjściach do instytucji kulturalno-oświatowych; w spotkaniach kulturalno-oświatowych w siedzibie klubu; w webinariach i spotkaniach dotyczących zdrowia seniorów; w spotkaniu poetyckim. W ramach wolontariatu odbyły się zajęcia z kosmetyczką.</w:t>
      </w:r>
    </w:p>
    <w:p w14:paraId="2BA683B1" w14:textId="77777777" w:rsidR="00EC0467" w:rsidRDefault="00EC0467" w:rsidP="00EC0467">
      <w:pPr>
        <w:spacing w:after="0" w:line="240" w:lineRule="auto"/>
        <w:jc w:val="both"/>
        <w:rPr>
          <w:rFonts w:ascii="Lato" w:eastAsia="Times New Roman" w:hAnsi="Lato" w:cs="Times New Roman"/>
          <w:sz w:val="20"/>
          <w:szCs w:val="20"/>
        </w:rPr>
      </w:pPr>
    </w:p>
    <w:p w14:paraId="1DF836CF" w14:textId="341884AC" w:rsidR="006D5ACE" w:rsidRPr="00EC0467" w:rsidRDefault="006D5ACE" w:rsidP="00EC0467">
      <w:pPr>
        <w:spacing w:after="0" w:line="240" w:lineRule="auto"/>
        <w:jc w:val="both"/>
        <w:rPr>
          <w:rFonts w:ascii="Lato" w:hAnsi="Lato" w:cs="Times New Roman"/>
          <w:sz w:val="20"/>
          <w:szCs w:val="20"/>
        </w:rPr>
      </w:pPr>
      <w:r w:rsidRPr="00EC0467">
        <w:rPr>
          <w:rFonts w:ascii="Lato" w:eastAsia="Times New Roman" w:hAnsi="Lato" w:cs="Times New Roman"/>
          <w:sz w:val="20"/>
          <w:szCs w:val="20"/>
        </w:rPr>
        <w:t>W 2022 roku</w:t>
      </w:r>
      <w:r w:rsidRPr="00EC0467">
        <w:rPr>
          <w:rFonts w:ascii="Lato" w:eastAsia="Times New Roman" w:hAnsi="Lato" w:cs="Times New Roman"/>
          <w:b/>
          <w:sz w:val="20"/>
          <w:szCs w:val="20"/>
        </w:rPr>
        <w:t xml:space="preserve"> </w:t>
      </w:r>
      <w:r w:rsidRPr="00EC0467">
        <w:rPr>
          <w:rFonts w:ascii="Lato" w:eastAsia="Times New Roman" w:hAnsi="Lato" w:cs="Times New Roman"/>
          <w:sz w:val="20"/>
          <w:szCs w:val="20"/>
        </w:rPr>
        <w:t xml:space="preserve">zorganizowano </w:t>
      </w:r>
      <w:r w:rsidRPr="00EC0467">
        <w:rPr>
          <w:rFonts w:ascii="Lato" w:eastAsia="Times New Roman" w:hAnsi="Lato" w:cs="Times New Roman"/>
          <w:b/>
          <w:sz w:val="20"/>
          <w:szCs w:val="20"/>
        </w:rPr>
        <w:t>Miejski Dzień Seniora</w:t>
      </w:r>
      <w:r w:rsidRPr="00EC0467">
        <w:rPr>
          <w:rFonts w:ascii="Lato" w:eastAsia="Times New Roman" w:hAnsi="Lato" w:cs="Times New Roman"/>
          <w:sz w:val="20"/>
          <w:szCs w:val="20"/>
        </w:rPr>
        <w:t xml:space="preserve">, w którym brali udział uczestnicy Klubu </w:t>
      </w:r>
      <w:r w:rsidRPr="00EC0467">
        <w:rPr>
          <w:rFonts w:ascii="Lato" w:eastAsia="Times New Roman" w:hAnsi="Lato" w:cs="Times New Roman"/>
          <w:sz w:val="20"/>
          <w:szCs w:val="20"/>
        </w:rPr>
        <w:br/>
        <w:t>i inni seniorzy z Miasta Białystok oraz zaproszeni goście. Uroczystość miała na celu integrację seniorów.</w:t>
      </w:r>
    </w:p>
    <w:p w14:paraId="3EFD7551" w14:textId="77777777" w:rsidR="00EC0467" w:rsidRDefault="00EC0467" w:rsidP="00EC0467">
      <w:pPr>
        <w:spacing w:after="0" w:line="240" w:lineRule="auto"/>
        <w:jc w:val="both"/>
        <w:rPr>
          <w:rFonts w:ascii="Lato" w:eastAsia="Times New Roman" w:hAnsi="Lato" w:cs="Times New Roman"/>
          <w:sz w:val="20"/>
          <w:szCs w:val="20"/>
        </w:rPr>
      </w:pPr>
    </w:p>
    <w:p w14:paraId="565B66C9" w14:textId="2E16E289" w:rsidR="006D5ACE" w:rsidRPr="00EC0467" w:rsidRDefault="006D5ACE" w:rsidP="00EC0467">
      <w:pPr>
        <w:spacing w:after="0" w:line="240" w:lineRule="auto"/>
        <w:jc w:val="both"/>
        <w:rPr>
          <w:rFonts w:ascii="Lato" w:hAnsi="Lato" w:cs="Times New Roman"/>
          <w:sz w:val="20"/>
          <w:szCs w:val="20"/>
        </w:rPr>
      </w:pPr>
      <w:r w:rsidRPr="00EC0467">
        <w:rPr>
          <w:rFonts w:ascii="Lato" w:eastAsia="Times New Roman" w:hAnsi="Lato" w:cs="Times New Roman"/>
          <w:sz w:val="20"/>
          <w:szCs w:val="20"/>
        </w:rPr>
        <w:t xml:space="preserve">W ramach usług aktywizujących społecznie, Klub podjął działania mające na celu integrację międzypokoleniową, m.in. poprzez spotkania z dziećmi z przedszkoli, młodzieżą szkolną, osobami </w:t>
      </w:r>
      <w:r w:rsidRPr="00EC0467">
        <w:rPr>
          <w:rFonts w:ascii="Lato" w:eastAsia="Times New Roman" w:hAnsi="Lato" w:cs="Times New Roman"/>
          <w:sz w:val="20"/>
          <w:szCs w:val="20"/>
        </w:rPr>
        <w:br/>
        <w:t xml:space="preserve">z niepełnosprawnościami oraz z seniorami z innych placówek lub organizacji pozarządowych. Współpracowano m.in z Uniwersytetem III Wieku w Białymstoku, z Policją, w tym dzielnicowym, </w:t>
      </w:r>
      <w:r w:rsidRPr="00EC0467">
        <w:rPr>
          <w:rFonts w:ascii="Lato" w:eastAsia="Times New Roman" w:hAnsi="Lato" w:cs="Times New Roman"/>
          <w:sz w:val="20"/>
          <w:szCs w:val="20"/>
        </w:rPr>
        <w:br/>
        <w:t>z Centrum Zawodów Medycznych i Społecznych w Białymstoku, z przedszkolami, Instytutem Pamięci Narodowej w Białymstoku, Polskim Związkiem Brydża Sportowego w Warszawie.</w:t>
      </w:r>
    </w:p>
    <w:p w14:paraId="46771F2E" w14:textId="77777777" w:rsidR="00547777" w:rsidRDefault="00547777" w:rsidP="00547777">
      <w:pPr>
        <w:spacing w:after="0" w:line="240" w:lineRule="auto"/>
        <w:jc w:val="both"/>
        <w:rPr>
          <w:rFonts w:ascii="Lato" w:eastAsia="Times New Roman" w:hAnsi="Lato" w:cs="Times New Roman"/>
          <w:sz w:val="20"/>
          <w:szCs w:val="20"/>
        </w:rPr>
      </w:pPr>
    </w:p>
    <w:p w14:paraId="0B8300B8" w14:textId="6E22C1F1" w:rsidR="006D5ACE" w:rsidRPr="00EC0467" w:rsidRDefault="006D5ACE" w:rsidP="00547777">
      <w:pPr>
        <w:spacing w:after="0" w:line="240" w:lineRule="auto"/>
        <w:jc w:val="both"/>
        <w:rPr>
          <w:rFonts w:ascii="Lato" w:eastAsia="Times New Roman" w:hAnsi="Lato" w:cs="Times New Roman"/>
          <w:sz w:val="20"/>
          <w:szCs w:val="20"/>
        </w:rPr>
      </w:pPr>
      <w:r w:rsidRPr="00EC0467">
        <w:rPr>
          <w:rFonts w:ascii="Lato" w:eastAsia="Times New Roman" w:hAnsi="Lato" w:cs="Times New Roman"/>
          <w:sz w:val="20"/>
          <w:szCs w:val="20"/>
        </w:rPr>
        <w:t xml:space="preserve">Klub „Senior+’’ zaangażował się w pomoc uchodźcom z Ukrainy. Uczestnicy Klubu przynieśli, m.in. żywność z długim terminem ważności, środki higieny osobistej i czystości, środki opatrunkowe </w:t>
      </w:r>
      <w:r w:rsidRPr="00EC0467">
        <w:rPr>
          <w:rFonts w:ascii="Lato" w:eastAsia="Times New Roman" w:hAnsi="Lato" w:cs="Times New Roman"/>
          <w:sz w:val="20"/>
          <w:szCs w:val="20"/>
        </w:rPr>
        <w:br/>
        <w:t xml:space="preserve">i medyczne, odzież dziecięcą i zabawki. </w:t>
      </w:r>
    </w:p>
    <w:p w14:paraId="6D05A5AD" w14:textId="77777777" w:rsidR="00547777" w:rsidRDefault="00547777" w:rsidP="006D5ACE">
      <w:pPr>
        <w:spacing w:after="0" w:line="240" w:lineRule="auto"/>
        <w:jc w:val="both"/>
        <w:rPr>
          <w:rFonts w:ascii="Lato" w:eastAsia="Times New Roman" w:hAnsi="Lato" w:cs="Times New Roman"/>
          <w:sz w:val="20"/>
          <w:szCs w:val="20"/>
        </w:rPr>
      </w:pPr>
    </w:p>
    <w:p w14:paraId="3BBF4233" w14:textId="060E48A5" w:rsidR="006D5ACE" w:rsidRPr="00EC0467" w:rsidRDefault="006D5ACE" w:rsidP="006D5ACE">
      <w:pPr>
        <w:spacing w:after="0" w:line="240" w:lineRule="auto"/>
        <w:jc w:val="both"/>
        <w:rPr>
          <w:rFonts w:ascii="Lato" w:eastAsia="Times New Roman" w:hAnsi="Lato" w:cs="Times New Roman"/>
          <w:sz w:val="20"/>
          <w:szCs w:val="20"/>
        </w:rPr>
      </w:pPr>
      <w:r w:rsidRPr="00EC0467">
        <w:rPr>
          <w:rFonts w:ascii="Lato" w:hAnsi="Lato" w:cs="Times New Roman"/>
          <w:b/>
          <w:color w:val="000000" w:themeColor="text1"/>
          <w:sz w:val="20"/>
          <w:szCs w:val="20"/>
        </w:rPr>
        <w:t>„Dzień Zdrowia Seniora”</w:t>
      </w:r>
      <w:r w:rsidRPr="00EC0467">
        <w:rPr>
          <w:rFonts w:ascii="Lato" w:hAnsi="Lato" w:cs="Times New Roman"/>
          <w:color w:val="000000" w:themeColor="text1"/>
          <w:sz w:val="20"/>
          <w:szCs w:val="20"/>
        </w:rPr>
        <w:t xml:space="preserve"> – Fundacja #BiałystokDziałaMY</w:t>
      </w:r>
      <w:r w:rsidRPr="00EC0467">
        <w:rPr>
          <w:rFonts w:ascii="Lato" w:eastAsia="Times New Roman" w:hAnsi="Lato" w:cs="Times New Roman"/>
          <w:sz w:val="20"/>
          <w:szCs w:val="20"/>
        </w:rPr>
        <w:t xml:space="preserve">. </w:t>
      </w:r>
      <w:r w:rsidRPr="00EC0467">
        <w:rPr>
          <w:rFonts w:ascii="Lato" w:hAnsi="Lato" w:cs="Times New Roman"/>
          <w:color w:val="000000" w:themeColor="text1"/>
          <w:sz w:val="20"/>
          <w:szCs w:val="20"/>
        </w:rPr>
        <w:t xml:space="preserve">W dniu 14 listopada 2022 r. zrealizowane było zadanie publiczne pn. </w:t>
      </w:r>
      <w:r w:rsidRPr="00EC0467">
        <w:rPr>
          <w:rStyle w:val="Pogrubienie"/>
          <w:rFonts w:ascii="Lato" w:hAnsi="Lato" w:cs="Times New Roman"/>
          <w:color w:val="000000" w:themeColor="text1"/>
          <w:sz w:val="20"/>
          <w:szCs w:val="20"/>
        </w:rPr>
        <w:t>„</w:t>
      </w:r>
      <w:r w:rsidRPr="00EC0467">
        <w:rPr>
          <w:rFonts w:ascii="Lato" w:hAnsi="Lato" w:cs="Times New Roman"/>
          <w:color w:val="000000" w:themeColor="text1"/>
          <w:sz w:val="20"/>
          <w:szCs w:val="20"/>
        </w:rPr>
        <w:t>Dzień Zdrowia Seniora</w:t>
      </w:r>
      <w:r w:rsidRPr="00EC0467">
        <w:rPr>
          <w:rStyle w:val="Pogrubienie"/>
          <w:rFonts w:ascii="Lato" w:hAnsi="Lato" w:cs="Times New Roman"/>
          <w:color w:val="000000" w:themeColor="text1"/>
          <w:sz w:val="20"/>
          <w:szCs w:val="20"/>
        </w:rPr>
        <w:t>”. C</w:t>
      </w:r>
      <w:r w:rsidRPr="00EC0467">
        <w:rPr>
          <w:rFonts w:ascii="Lato" w:hAnsi="Lato" w:cs="Times New Roman"/>
          <w:color w:val="000000" w:themeColor="text1"/>
          <w:sz w:val="20"/>
          <w:szCs w:val="20"/>
        </w:rPr>
        <w:t xml:space="preserve">elem zadania było zwiększenie aktywności seniorów poprzez organizację spotkania integracyjnego oraz profilaktyka zdrowotna. Podczas spotkania zorganizowano konsultacje w zakresie okulistyki, rehabilitacji, stomatologii, dietetyki, pomiar ciśnienia krwi, badanie poziomu cukru, nauka pierwszej pomocy przedmedycznej. </w:t>
      </w:r>
    </w:p>
    <w:p w14:paraId="335B7093" w14:textId="77777777" w:rsidR="006D5ACE" w:rsidRPr="00EC0467" w:rsidRDefault="006D5ACE" w:rsidP="006D5ACE">
      <w:pPr>
        <w:spacing w:after="0" w:line="240" w:lineRule="auto"/>
        <w:jc w:val="both"/>
        <w:rPr>
          <w:rFonts w:ascii="Lato" w:hAnsi="Lato" w:cs="Times New Roman"/>
          <w:sz w:val="20"/>
          <w:szCs w:val="20"/>
        </w:rPr>
      </w:pPr>
    </w:p>
    <w:p w14:paraId="2FB2C087" w14:textId="77777777" w:rsidR="00547777" w:rsidRDefault="006D5ACE" w:rsidP="00547777">
      <w:pPr>
        <w:spacing w:after="0" w:line="240" w:lineRule="auto"/>
        <w:jc w:val="both"/>
        <w:rPr>
          <w:rFonts w:ascii="Lato" w:hAnsi="Lato" w:cs="Times New Roman"/>
          <w:sz w:val="20"/>
          <w:szCs w:val="20"/>
        </w:rPr>
      </w:pPr>
      <w:r w:rsidRPr="00EC0467">
        <w:rPr>
          <w:rFonts w:ascii="Lato" w:hAnsi="Lato" w:cs="Times New Roman"/>
          <w:sz w:val="20"/>
          <w:szCs w:val="20"/>
        </w:rPr>
        <w:t>Stowarzyszenie Seniorzy z Pasją HORYZONT zrealizowało:</w:t>
      </w:r>
    </w:p>
    <w:p w14:paraId="67FBB581" w14:textId="77777777" w:rsidR="00547777" w:rsidRDefault="006D5ACE" w:rsidP="0059185B">
      <w:pPr>
        <w:pStyle w:val="Akapitzlist"/>
        <w:numPr>
          <w:ilvl w:val="0"/>
          <w:numId w:val="88"/>
        </w:numPr>
        <w:spacing w:after="0" w:line="240" w:lineRule="auto"/>
        <w:jc w:val="both"/>
        <w:rPr>
          <w:rFonts w:ascii="Lato" w:hAnsi="Lato" w:cs="Times New Roman"/>
          <w:sz w:val="20"/>
          <w:szCs w:val="20"/>
        </w:rPr>
      </w:pPr>
      <w:r w:rsidRPr="00547777">
        <w:rPr>
          <w:rFonts w:ascii="Lato" w:hAnsi="Lato"/>
          <w:sz w:val="20"/>
          <w:szCs w:val="20"/>
        </w:rPr>
        <w:t xml:space="preserve">zadanie publiczne pt. </w:t>
      </w:r>
      <w:r w:rsidRPr="00547777">
        <w:rPr>
          <w:rFonts w:ascii="Lato" w:hAnsi="Lato"/>
          <w:b/>
          <w:sz w:val="20"/>
          <w:szCs w:val="20"/>
        </w:rPr>
        <w:t>„Dieta sposobem na długowieczność.”</w:t>
      </w:r>
      <w:r w:rsidRPr="00547777">
        <w:rPr>
          <w:rFonts w:ascii="Lato" w:hAnsi="Lato"/>
          <w:sz w:val="20"/>
          <w:szCs w:val="20"/>
        </w:rPr>
        <w:t xml:space="preserve"> Seniorzy przyswoili wiedzę na temat zasad prawidłowego odżywiania się, poznali dietę indywidualną przystosowaną dla każdego uczestnika, rodzaje ziół i ich wpływ na zdrowie, zasady żywienia i zbalansowanej diety. Zorganizowana została wycieczka do Ziołowego Zakątka w Korycinach pow. Siemiatycze. W zadaniu wzięło udział 50 osób. Link do strony internetowej:</w:t>
      </w:r>
    </w:p>
    <w:p w14:paraId="771657D6" w14:textId="77777777" w:rsidR="00547777" w:rsidRDefault="006D5ACE" w:rsidP="0059185B">
      <w:pPr>
        <w:pStyle w:val="Akapitzlist"/>
        <w:numPr>
          <w:ilvl w:val="0"/>
          <w:numId w:val="88"/>
        </w:numPr>
        <w:spacing w:after="0" w:line="240" w:lineRule="auto"/>
        <w:jc w:val="both"/>
        <w:rPr>
          <w:rFonts w:ascii="Lato" w:hAnsi="Lato" w:cs="Times New Roman"/>
          <w:sz w:val="20"/>
          <w:szCs w:val="20"/>
        </w:rPr>
      </w:pPr>
      <w:r w:rsidRPr="00547777">
        <w:rPr>
          <w:rFonts w:ascii="Lato" w:hAnsi="Lato"/>
          <w:b/>
          <w:sz w:val="20"/>
          <w:szCs w:val="20"/>
          <w:lang w:val="pl"/>
        </w:rPr>
        <w:t>VI Edycję Międzypokoleniowego Przeglądu Pieśni Patriotycznych,</w:t>
      </w:r>
      <w:r w:rsidRPr="00547777">
        <w:rPr>
          <w:rFonts w:ascii="Lato" w:hAnsi="Lato"/>
          <w:sz w:val="20"/>
          <w:szCs w:val="20"/>
          <w:lang w:val="pl"/>
        </w:rPr>
        <w:t xml:space="preserve"> - </w:t>
      </w:r>
      <w:r w:rsidRPr="00547777">
        <w:rPr>
          <w:rFonts w:ascii="Lato" w:hAnsi="Lato"/>
          <w:color w:val="000000" w:themeColor="text1"/>
          <w:sz w:val="20"/>
          <w:szCs w:val="20"/>
          <w:lang w:val="pl"/>
        </w:rPr>
        <w:t xml:space="preserve">koncerty </w:t>
      </w:r>
      <w:proofErr w:type="spellStart"/>
      <w:r w:rsidRPr="00547777">
        <w:rPr>
          <w:rFonts w:ascii="Lato" w:hAnsi="Lato"/>
          <w:color w:val="000000" w:themeColor="text1"/>
          <w:sz w:val="20"/>
          <w:szCs w:val="20"/>
          <w:lang w:val="pl"/>
        </w:rPr>
        <w:t>wokalno</w:t>
      </w:r>
      <w:proofErr w:type="spellEnd"/>
      <w:r w:rsidRPr="00547777">
        <w:rPr>
          <w:rFonts w:ascii="Lato" w:hAnsi="Lato"/>
          <w:color w:val="000000" w:themeColor="text1"/>
          <w:sz w:val="20"/>
          <w:szCs w:val="20"/>
          <w:lang w:val="pl"/>
        </w:rPr>
        <w:t xml:space="preserve"> – muzyczne skierowane między innymi do suwalskich seniorów w ramach realizacji zadania „Horyzont inspiracją dla Suwalskich Seniorów”. </w:t>
      </w:r>
    </w:p>
    <w:p w14:paraId="7AB92F80" w14:textId="77777777" w:rsidR="00547777" w:rsidRDefault="006D5ACE" w:rsidP="0059185B">
      <w:pPr>
        <w:pStyle w:val="Akapitzlist"/>
        <w:numPr>
          <w:ilvl w:val="0"/>
          <w:numId w:val="88"/>
        </w:numPr>
        <w:spacing w:after="0" w:line="240" w:lineRule="auto"/>
        <w:jc w:val="both"/>
        <w:rPr>
          <w:rFonts w:ascii="Lato" w:hAnsi="Lato"/>
          <w:color w:val="000000" w:themeColor="text1"/>
          <w:sz w:val="20"/>
          <w:szCs w:val="20"/>
        </w:rPr>
      </w:pPr>
      <w:r w:rsidRPr="00547777">
        <w:rPr>
          <w:rFonts w:ascii="Lato" w:hAnsi="Lato"/>
          <w:color w:val="000000" w:themeColor="text1"/>
          <w:sz w:val="20"/>
          <w:szCs w:val="20"/>
        </w:rPr>
        <w:t xml:space="preserve">W ramach działalności sekcji poetycko – literackiej, w strukturach Stowarzyszenia Twórczych Seniorów „ROZŁOGI”, powstał </w:t>
      </w:r>
      <w:r w:rsidRPr="00547777">
        <w:rPr>
          <w:rFonts w:ascii="Lato" w:hAnsi="Lato"/>
          <w:b/>
          <w:color w:val="000000" w:themeColor="text1"/>
          <w:sz w:val="20"/>
          <w:szCs w:val="20"/>
        </w:rPr>
        <w:t>Kabaret Literacki „ROZŁOGI”</w:t>
      </w:r>
      <w:r w:rsidRPr="00547777">
        <w:rPr>
          <w:rFonts w:ascii="Lato" w:hAnsi="Lato"/>
          <w:color w:val="000000" w:themeColor="text1"/>
          <w:sz w:val="20"/>
          <w:szCs w:val="20"/>
        </w:rPr>
        <w:t xml:space="preserve">. Działalność rozpoczął od 15 maja 2022 r. przy współpracy z Suwalskim Ośrodkiem Kultury. Projekt zakładał integrację międzypokoleniową środowiska. Zaproszono młodych artystów z grup artystycznych działających przy Suwalskim Ośrodku Kultury, wokalistki z grupy wokalnej Świetliki, grupy aktorskie z Teatru Hybrydowego działającego pod kierunkiem Mirosławy Krymskiej – instruktora teatralnego - wraz z aktorami teatru „Wehikuł Czasu” – amatorskiej grupy teatralnej działającej w ramach sekcji STS „ROZŁOGI”. Odbyło się 6 spotkań, które nawiązywały do klasyki kabaretu polskiego. Z uwagi na to, że rok 2022 ogłoszony został </w:t>
      </w:r>
      <w:r w:rsidRPr="00547777">
        <w:rPr>
          <w:rFonts w:ascii="Lato" w:hAnsi="Lato"/>
          <w:b/>
          <w:color w:val="000000" w:themeColor="text1"/>
          <w:sz w:val="20"/>
          <w:szCs w:val="20"/>
        </w:rPr>
        <w:t>ROKIEM MARII KONOPNICKIEJ</w:t>
      </w:r>
      <w:r w:rsidRPr="00547777">
        <w:rPr>
          <w:rFonts w:ascii="Lato" w:hAnsi="Lato"/>
          <w:color w:val="000000" w:themeColor="text1"/>
          <w:sz w:val="20"/>
          <w:szCs w:val="20"/>
        </w:rPr>
        <w:t xml:space="preserve">, w każdym spotkaniu uczestniczyła postać Marii Konopnickiej. Spotkania przyczyniły się do wzmocnienia postaw patriotycznych. Twórczości Marii Konopnickiej były poświęcone dwa spotkania. </w:t>
      </w:r>
    </w:p>
    <w:p w14:paraId="4A32A541" w14:textId="77777777" w:rsidR="00547777" w:rsidRPr="00547777" w:rsidRDefault="006D5ACE" w:rsidP="0059185B">
      <w:pPr>
        <w:pStyle w:val="Akapitzlist"/>
        <w:numPr>
          <w:ilvl w:val="0"/>
          <w:numId w:val="88"/>
        </w:numPr>
        <w:spacing w:after="0" w:line="240" w:lineRule="auto"/>
        <w:jc w:val="both"/>
        <w:rPr>
          <w:rFonts w:ascii="Lato" w:hAnsi="Lato"/>
          <w:color w:val="000000" w:themeColor="text1"/>
          <w:sz w:val="20"/>
          <w:szCs w:val="20"/>
        </w:rPr>
      </w:pPr>
      <w:r w:rsidRPr="00547777">
        <w:rPr>
          <w:rFonts w:ascii="Lato" w:hAnsi="Lato" w:cs="Times New Roman"/>
          <w:color w:val="000000" w:themeColor="text1"/>
          <w:sz w:val="20"/>
          <w:szCs w:val="20"/>
          <w:lang w:val="pl"/>
        </w:rPr>
        <w:t xml:space="preserve">Stowarzyszenie Suwalskie Starszaki zorganizowało spotkania wokalno-muzyczne plenerowe </w:t>
      </w:r>
      <w:r w:rsidRPr="00547777">
        <w:rPr>
          <w:rFonts w:ascii="Lato" w:hAnsi="Lato" w:cs="Times New Roman"/>
          <w:color w:val="000000" w:themeColor="text1"/>
          <w:sz w:val="20"/>
          <w:szCs w:val="20"/>
          <w:lang w:val="pl"/>
        </w:rPr>
        <w:br/>
        <w:t xml:space="preserve">z wystawami: koncert na dni Suwałk pt. </w:t>
      </w:r>
      <w:r w:rsidRPr="00547777">
        <w:rPr>
          <w:rFonts w:ascii="Lato" w:hAnsi="Lato" w:cs="Times New Roman"/>
          <w:b/>
          <w:color w:val="000000" w:themeColor="text1"/>
          <w:sz w:val="20"/>
          <w:szCs w:val="20"/>
          <w:lang w:val="pl"/>
        </w:rPr>
        <w:t>„Suwalska Potańcówka”</w:t>
      </w:r>
      <w:r w:rsidRPr="00547777">
        <w:rPr>
          <w:rFonts w:ascii="Lato" w:hAnsi="Lato" w:cs="Times New Roman"/>
          <w:color w:val="000000" w:themeColor="text1"/>
          <w:sz w:val="20"/>
          <w:szCs w:val="20"/>
          <w:lang w:val="pl"/>
        </w:rPr>
        <w:t xml:space="preserve">, spotkanie wokalne </w:t>
      </w:r>
      <w:r w:rsidRPr="00547777">
        <w:rPr>
          <w:rFonts w:ascii="Lato" w:hAnsi="Lato" w:cs="Times New Roman"/>
          <w:sz w:val="20"/>
          <w:szCs w:val="20"/>
          <w:lang w:val="pl"/>
        </w:rPr>
        <w:t>pt. „Na bulwarach jak za dawnych lat” oraz potańcówkę „Bulwary dziś bawią się” i wystawę fotograficzną „Spacerkiem po starych Suwałkach”, koncert plenerowy pt. „Melodia przyjaźni” towarzyszący imprezie kulinarnej „Sąsiedzi przy stole”.</w:t>
      </w:r>
      <w:r w:rsidRPr="00547777">
        <w:rPr>
          <w:rFonts w:ascii="Lato" w:hAnsi="Lato" w:cs="Times New Roman"/>
          <w:color w:val="000000" w:themeColor="text1"/>
          <w:sz w:val="20"/>
          <w:szCs w:val="20"/>
          <w:lang w:val="pl"/>
        </w:rPr>
        <w:t xml:space="preserve"> </w:t>
      </w:r>
    </w:p>
    <w:p w14:paraId="341D6089" w14:textId="77777777" w:rsidR="00547777" w:rsidRPr="00547777" w:rsidRDefault="006D5ACE" w:rsidP="0059185B">
      <w:pPr>
        <w:pStyle w:val="Akapitzlist"/>
        <w:numPr>
          <w:ilvl w:val="0"/>
          <w:numId w:val="88"/>
        </w:numPr>
        <w:spacing w:after="0" w:line="240" w:lineRule="auto"/>
        <w:jc w:val="both"/>
        <w:rPr>
          <w:rFonts w:ascii="Lato" w:hAnsi="Lato"/>
          <w:color w:val="000000" w:themeColor="text1"/>
          <w:sz w:val="20"/>
          <w:szCs w:val="20"/>
        </w:rPr>
      </w:pPr>
      <w:r w:rsidRPr="00547777">
        <w:rPr>
          <w:rFonts w:ascii="Lato" w:hAnsi="Lato" w:cs="Times New Roman"/>
          <w:color w:val="000000" w:themeColor="text1"/>
          <w:sz w:val="20"/>
          <w:szCs w:val="20"/>
          <w:lang w:val="pl"/>
        </w:rPr>
        <w:t>Związek Harcerstwa Polskiego, Hufiec Suwałki zrealizowano zadanie pt</w:t>
      </w:r>
      <w:r w:rsidRPr="00547777">
        <w:rPr>
          <w:rFonts w:ascii="Lato" w:hAnsi="Lato" w:cs="Times New Roman"/>
          <w:b/>
          <w:color w:val="000000" w:themeColor="text1"/>
          <w:sz w:val="20"/>
          <w:szCs w:val="20"/>
          <w:lang w:val="pl"/>
        </w:rPr>
        <w:t>. „Niecodzienna codzienność - o harcerskiej służbie w życiu Marii Krystyny Kapuścińskiej z domu Rylskich”</w:t>
      </w:r>
      <w:r w:rsidRPr="00547777">
        <w:rPr>
          <w:rFonts w:ascii="Lato" w:hAnsi="Lato" w:cs="Times New Roman"/>
          <w:color w:val="000000" w:themeColor="text1"/>
          <w:sz w:val="20"/>
          <w:szCs w:val="20"/>
          <w:lang w:val="pl"/>
        </w:rPr>
        <w:t>, w ramach którego odbyła się międzypokoleniowa wieczornica harcerska, wystawa poświęcona historii harcerstwa na Suwalszczyźnie i działalności druhny Kapuścińskiej oraz warsztaty archiwalno - historyczne. W działaniach wzięła między innymi grupa suwalskich seniorów.</w:t>
      </w:r>
    </w:p>
    <w:p w14:paraId="50D5A9D1" w14:textId="77777777" w:rsidR="00547777" w:rsidRDefault="006D5ACE" w:rsidP="0059185B">
      <w:pPr>
        <w:pStyle w:val="Akapitzlist"/>
        <w:numPr>
          <w:ilvl w:val="0"/>
          <w:numId w:val="88"/>
        </w:numPr>
        <w:spacing w:after="0" w:line="240" w:lineRule="auto"/>
        <w:jc w:val="both"/>
        <w:rPr>
          <w:rFonts w:ascii="Lato" w:hAnsi="Lato"/>
          <w:color w:val="000000" w:themeColor="text1"/>
          <w:sz w:val="20"/>
          <w:szCs w:val="20"/>
        </w:rPr>
      </w:pPr>
      <w:r w:rsidRPr="00547777">
        <w:rPr>
          <w:rFonts w:ascii="Lato" w:hAnsi="Lato" w:cs="Times New Roman"/>
          <w:color w:val="000000" w:themeColor="text1"/>
          <w:sz w:val="20"/>
          <w:szCs w:val="20"/>
          <w:lang w:val="pl"/>
        </w:rPr>
        <w:t xml:space="preserve">Fundacja ART – SOS Alicji Roszkowskiej w ramach zadania pt. </w:t>
      </w:r>
      <w:r w:rsidRPr="00547777">
        <w:rPr>
          <w:rFonts w:ascii="Lato" w:hAnsi="Lato" w:cs="Times New Roman"/>
          <w:b/>
          <w:color w:val="000000" w:themeColor="text1"/>
          <w:sz w:val="20"/>
          <w:szCs w:val="20"/>
          <w:lang w:val="pl"/>
        </w:rPr>
        <w:t xml:space="preserve">„Obiady czwartkowe </w:t>
      </w:r>
      <w:r w:rsidRPr="00547777">
        <w:rPr>
          <w:rFonts w:ascii="Lato" w:hAnsi="Lato" w:cs="Times New Roman"/>
          <w:b/>
          <w:color w:val="000000" w:themeColor="text1"/>
          <w:sz w:val="20"/>
          <w:szCs w:val="20"/>
          <w:lang w:val="pl"/>
        </w:rPr>
        <w:br/>
        <w:t>z Konopnicką”</w:t>
      </w:r>
      <w:r w:rsidRPr="00547777">
        <w:rPr>
          <w:rFonts w:ascii="Lato" w:hAnsi="Lato" w:cs="Times New Roman"/>
          <w:color w:val="000000" w:themeColor="text1"/>
          <w:sz w:val="20"/>
          <w:szCs w:val="20"/>
          <w:lang w:val="pl"/>
        </w:rPr>
        <w:t xml:space="preserve"> zorganizowano 14 scen balkonowych o charakterze </w:t>
      </w:r>
      <w:proofErr w:type="spellStart"/>
      <w:r w:rsidRPr="00547777">
        <w:rPr>
          <w:rFonts w:ascii="Lato" w:hAnsi="Lato" w:cs="Times New Roman"/>
          <w:color w:val="000000" w:themeColor="text1"/>
          <w:sz w:val="20"/>
          <w:szCs w:val="20"/>
          <w:lang w:val="pl"/>
        </w:rPr>
        <w:t>muzyczno</w:t>
      </w:r>
      <w:proofErr w:type="spellEnd"/>
      <w:r w:rsidRPr="00547777">
        <w:rPr>
          <w:rFonts w:ascii="Lato" w:hAnsi="Lato" w:cs="Times New Roman"/>
          <w:color w:val="000000" w:themeColor="text1"/>
          <w:sz w:val="20"/>
          <w:szCs w:val="20"/>
          <w:lang w:val="pl"/>
        </w:rPr>
        <w:t xml:space="preserve">–poetyckim </w:t>
      </w:r>
      <w:r w:rsidRPr="00547777">
        <w:rPr>
          <w:rFonts w:ascii="Lato" w:hAnsi="Lato" w:cs="Times New Roman"/>
          <w:color w:val="000000" w:themeColor="text1"/>
          <w:sz w:val="20"/>
          <w:szCs w:val="20"/>
          <w:lang w:val="pl"/>
        </w:rPr>
        <w:br/>
        <w:t>i muzycznym oraz koncert plenerowy z udziałem Miejskiej Orkiestry Dętej z Olecka, ponadto wydano tomik poezji. Zadanie było skierowane między innymi do suwalskich seniorów.</w:t>
      </w:r>
    </w:p>
    <w:p w14:paraId="178BFD74" w14:textId="4F42CD95" w:rsidR="006D5ACE" w:rsidRPr="00547777" w:rsidRDefault="006D5ACE" w:rsidP="0059185B">
      <w:pPr>
        <w:pStyle w:val="Akapitzlist"/>
        <w:numPr>
          <w:ilvl w:val="0"/>
          <w:numId w:val="88"/>
        </w:numPr>
        <w:spacing w:after="0" w:line="240" w:lineRule="auto"/>
        <w:jc w:val="both"/>
        <w:rPr>
          <w:rFonts w:ascii="Lato" w:hAnsi="Lato"/>
          <w:color w:val="000000" w:themeColor="text1"/>
          <w:sz w:val="20"/>
          <w:szCs w:val="20"/>
        </w:rPr>
      </w:pPr>
      <w:r w:rsidRPr="00547777">
        <w:rPr>
          <w:rFonts w:ascii="Lato" w:hAnsi="Lato"/>
          <w:sz w:val="20"/>
          <w:szCs w:val="20"/>
          <w:lang w:val="pl"/>
        </w:rPr>
        <w:t xml:space="preserve">Muzeum Okręgowe w Suwałkach i Muzeum im. Marii Konopnickiej przygotowały oferty adresowane do seniorów. Organizowano bezpłatne wejścia na wystawy stałe i czasowe i zniżki 50% na bilety wstępu do muzeum. Seniorzy uczestniczyli w „Nocy Muzeów”, „Pikniku Kawaleryjskim” i Festynie Archeologicznym”. W imprezach uczestniczyło ok. 1200 osób starszych. W wernisażach i odczytach, pokazach filmowych, wieczorach literackich o tematyce historycznej, archeologicznej i z dziedziny sztuki wzięło udział około 600 osób starszych. W dniach 2-3 października odbył się ”Weekend seniora z kulturą”– uczestniczyło 41 seniorów. W 6 </w:t>
      </w:r>
      <w:r w:rsidRPr="00547777">
        <w:rPr>
          <w:rFonts w:ascii="Lato" w:hAnsi="Lato"/>
          <w:sz w:val="20"/>
          <w:szCs w:val="20"/>
        </w:rPr>
        <w:t>spotkaniach z okazji Roku Marii Konopnickiej uczestniczyło 100 osób starszych, w cyklu spotkań „Działo się w Suwałkach”, wzięło udział 70 seniorów, natomiast w koncercie 15 osób.</w:t>
      </w:r>
    </w:p>
    <w:p w14:paraId="04BAB265" w14:textId="77777777" w:rsidR="006D5ACE" w:rsidRPr="00EC0467" w:rsidRDefault="006D5ACE" w:rsidP="006D5ACE">
      <w:pPr>
        <w:spacing w:after="0" w:line="240" w:lineRule="auto"/>
        <w:jc w:val="both"/>
        <w:rPr>
          <w:rFonts w:ascii="Lato" w:hAnsi="Lato" w:cs="Times New Roman"/>
          <w:sz w:val="20"/>
          <w:szCs w:val="20"/>
        </w:rPr>
      </w:pPr>
    </w:p>
    <w:p w14:paraId="70443FAB" w14:textId="2BCF5F31" w:rsidR="006D5ACE" w:rsidRPr="00EC0467" w:rsidRDefault="00547777" w:rsidP="006D5ACE">
      <w:pPr>
        <w:pStyle w:val="NormalnyWeb1"/>
        <w:spacing w:before="0" w:after="0" w:line="240" w:lineRule="auto"/>
        <w:jc w:val="both"/>
        <w:rPr>
          <w:rFonts w:ascii="Lato" w:hAnsi="Lato"/>
          <w:b/>
          <w:i/>
          <w:sz w:val="20"/>
          <w:szCs w:val="20"/>
        </w:rPr>
      </w:pPr>
      <w:r>
        <w:rPr>
          <w:rFonts w:ascii="Lato" w:hAnsi="Lato"/>
          <w:sz w:val="20"/>
          <w:szCs w:val="20"/>
        </w:rPr>
        <w:t>O</w:t>
      </w:r>
      <w:r w:rsidR="006D5ACE" w:rsidRPr="00EC0467">
        <w:rPr>
          <w:rFonts w:ascii="Lato" w:hAnsi="Lato"/>
          <w:sz w:val="20"/>
          <w:szCs w:val="20"/>
        </w:rPr>
        <w:t xml:space="preserve">soby niepełnosprawne powyżej 60 roku życia korzystały ze wsparcia finansowego ze środków PFRON w ramach zaopatrzenia w przedmioty ortopedyczne i środki pomocnicze oraz likwidacji barier </w:t>
      </w:r>
      <w:r w:rsidR="006D5ACE" w:rsidRPr="00EC0467">
        <w:rPr>
          <w:rFonts w:ascii="Lato" w:hAnsi="Lato"/>
          <w:sz w:val="20"/>
          <w:szCs w:val="20"/>
        </w:rPr>
        <w:lastRenderedPageBreak/>
        <w:t xml:space="preserve">architektonicznych i technicznych. Ze środków PFRON dofinansowano </w:t>
      </w:r>
      <w:r w:rsidR="006D5ACE" w:rsidRPr="00EC0467">
        <w:rPr>
          <w:rFonts w:ascii="Lato" w:hAnsi="Lato"/>
          <w:b/>
          <w:bCs/>
          <w:sz w:val="20"/>
          <w:szCs w:val="20"/>
        </w:rPr>
        <w:t>„Dzień Białej Laski”</w:t>
      </w:r>
      <w:r w:rsidR="006D5ACE" w:rsidRPr="00EC0467">
        <w:rPr>
          <w:rFonts w:ascii="Lato" w:hAnsi="Lato"/>
          <w:bCs/>
          <w:sz w:val="20"/>
          <w:szCs w:val="20"/>
        </w:rPr>
        <w:t xml:space="preserve"> i </w:t>
      </w:r>
      <w:r w:rsidR="006D5ACE" w:rsidRPr="00EC0467">
        <w:rPr>
          <w:rFonts w:ascii="Lato" w:hAnsi="Lato"/>
          <w:b/>
          <w:bCs/>
          <w:sz w:val="20"/>
          <w:szCs w:val="20"/>
        </w:rPr>
        <w:t>„Spotkanie opłatkowe”</w:t>
      </w:r>
      <w:r w:rsidR="006D5ACE" w:rsidRPr="00EC0467">
        <w:rPr>
          <w:rFonts w:ascii="Lato" w:hAnsi="Lato"/>
          <w:bCs/>
          <w:sz w:val="20"/>
          <w:szCs w:val="20"/>
        </w:rPr>
        <w:t xml:space="preserve"> dla Polskiego Związku Niewidomych Okręg Podlaski Oddział w Kolnie.</w:t>
      </w:r>
    </w:p>
    <w:p w14:paraId="054B8294" w14:textId="77777777" w:rsidR="006D5ACE" w:rsidRPr="00EC0467" w:rsidRDefault="006D5ACE" w:rsidP="006D5ACE">
      <w:pPr>
        <w:spacing w:after="0" w:line="240" w:lineRule="auto"/>
        <w:jc w:val="both"/>
        <w:rPr>
          <w:rFonts w:ascii="Lato" w:hAnsi="Lato" w:cs="Times New Roman"/>
          <w:sz w:val="20"/>
          <w:szCs w:val="20"/>
        </w:rPr>
      </w:pPr>
    </w:p>
    <w:p w14:paraId="0942AD02" w14:textId="73960B8B" w:rsidR="006D5ACE" w:rsidRPr="00EC0467" w:rsidRDefault="006D5ACE" w:rsidP="006D5ACE">
      <w:pPr>
        <w:suppressAutoHyphens/>
        <w:spacing w:after="0" w:line="240" w:lineRule="auto"/>
        <w:jc w:val="both"/>
        <w:rPr>
          <w:rFonts w:ascii="Lato" w:hAnsi="Lato" w:cs="Times New Roman"/>
          <w:sz w:val="20"/>
          <w:szCs w:val="20"/>
        </w:rPr>
      </w:pPr>
      <w:r w:rsidRPr="00EC0467">
        <w:rPr>
          <w:rFonts w:ascii="Lato" w:hAnsi="Lato" w:cs="Times New Roman"/>
          <w:bCs/>
          <w:sz w:val="20"/>
          <w:szCs w:val="20"/>
        </w:rPr>
        <w:t xml:space="preserve">- </w:t>
      </w:r>
      <w:r w:rsidRPr="00EC0467">
        <w:rPr>
          <w:rFonts w:ascii="Lato" w:hAnsi="Lato" w:cs="Times New Roman"/>
          <w:b/>
          <w:bCs/>
          <w:sz w:val="20"/>
          <w:szCs w:val="20"/>
        </w:rPr>
        <w:t>„Uniwersytet Trzeciego Wieku”</w:t>
      </w:r>
      <w:r w:rsidRPr="00EC0467">
        <w:rPr>
          <w:rFonts w:ascii="Lato" w:hAnsi="Lato" w:cs="Times New Roman"/>
          <w:bCs/>
          <w:sz w:val="20"/>
          <w:szCs w:val="20"/>
        </w:rPr>
        <w:t xml:space="preserve"> </w:t>
      </w:r>
      <w:r w:rsidR="00547777">
        <w:rPr>
          <w:rFonts w:ascii="Lato" w:hAnsi="Lato" w:cs="Times New Roman"/>
          <w:bCs/>
          <w:sz w:val="20"/>
          <w:szCs w:val="20"/>
        </w:rPr>
        <w:t xml:space="preserve">w Siemiatyczach - </w:t>
      </w:r>
      <w:r w:rsidRPr="00EC0467">
        <w:rPr>
          <w:rFonts w:ascii="Lato" w:hAnsi="Lato" w:cs="Times New Roman"/>
          <w:bCs/>
          <w:sz w:val="20"/>
          <w:szCs w:val="20"/>
        </w:rPr>
        <w:t xml:space="preserve">w roku 2022 uczęszczało 170 studentów – seniorów. Osoby starsze uczestniczyły w zajęciach m.in. </w:t>
      </w:r>
      <w:r w:rsidRPr="00EC0467">
        <w:rPr>
          <w:rFonts w:ascii="Lato" w:hAnsi="Lato" w:cs="Times New Roman"/>
          <w:sz w:val="20"/>
          <w:szCs w:val="20"/>
        </w:rPr>
        <w:t>języka angielskiego, muzycznych, plastycznych, sportowych, rekreacyjnych na basenie, tanecznych, kulinarnych oraz warsztatach tematycznych.</w:t>
      </w:r>
    </w:p>
    <w:p w14:paraId="40C1B726" w14:textId="77777777" w:rsidR="006D5ACE" w:rsidRPr="00EC0467" w:rsidRDefault="006D5ACE" w:rsidP="006D5ACE">
      <w:pPr>
        <w:spacing w:after="0" w:line="240" w:lineRule="auto"/>
        <w:jc w:val="both"/>
        <w:rPr>
          <w:rFonts w:ascii="Lato" w:hAnsi="Lato" w:cs="Times New Roman"/>
          <w:b/>
          <w:i/>
          <w:sz w:val="20"/>
          <w:szCs w:val="20"/>
        </w:rPr>
      </w:pPr>
    </w:p>
    <w:p w14:paraId="629C0CC9" w14:textId="77777777" w:rsidR="006D5ACE" w:rsidRPr="00EC0467" w:rsidRDefault="006D5ACE" w:rsidP="006D5ACE">
      <w:pPr>
        <w:spacing w:after="0" w:line="240" w:lineRule="auto"/>
        <w:jc w:val="both"/>
        <w:rPr>
          <w:rFonts w:ascii="Lato" w:hAnsi="Lato" w:cs="Times New Roman"/>
          <w:b/>
          <w:i/>
          <w:sz w:val="20"/>
          <w:szCs w:val="20"/>
        </w:rPr>
      </w:pPr>
      <w:r w:rsidRPr="00EC0467">
        <w:rPr>
          <w:rFonts w:ascii="Lato" w:hAnsi="Lato" w:cs="Times New Roman"/>
          <w:b/>
          <w:i/>
          <w:sz w:val="20"/>
          <w:szCs w:val="20"/>
        </w:rPr>
        <w:t>Komenda Wojewódzka Policji w Białymstoku</w:t>
      </w:r>
    </w:p>
    <w:p w14:paraId="73E68075" w14:textId="6FFBED79" w:rsidR="006D5ACE" w:rsidRPr="00547777" w:rsidRDefault="006D5ACE" w:rsidP="00547777">
      <w:pPr>
        <w:tabs>
          <w:tab w:val="left" w:pos="284"/>
        </w:tabs>
        <w:spacing w:after="0" w:line="240" w:lineRule="auto"/>
        <w:jc w:val="both"/>
        <w:rPr>
          <w:rFonts w:ascii="Lato" w:hAnsi="Lato" w:cs="Times New Roman"/>
          <w:b/>
          <w:i/>
          <w:sz w:val="20"/>
          <w:szCs w:val="20"/>
        </w:rPr>
      </w:pPr>
      <w:r w:rsidRPr="00EC0467">
        <w:rPr>
          <w:rFonts w:ascii="Lato" w:hAnsi="Lato" w:cs="Times New Roman"/>
          <w:sz w:val="20"/>
          <w:szCs w:val="20"/>
        </w:rPr>
        <w:t xml:space="preserve">Wydział Prewencji Komendy Wojewódzkiej Policji w Białymstoku realizuje od czerwca 2021r., program profilaktyczny pn. </w:t>
      </w:r>
      <w:r w:rsidRPr="00EC0467">
        <w:rPr>
          <w:rFonts w:ascii="Lato" w:hAnsi="Lato" w:cs="Times New Roman"/>
          <w:b/>
          <w:sz w:val="20"/>
          <w:szCs w:val="20"/>
        </w:rPr>
        <w:t xml:space="preserve">„Świadomy Senior = Bezpieczny Senior”, </w:t>
      </w:r>
      <w:r w:rsidRPr="00EC0467">
        <w:rPr>
          <w:rFonts w:ascii="Lato" w:hAnsi="Lato" w:cs="Times New Roman"/>
          <w:sz w:val="20"/>
          <w:szCs w:val="20"/>
        </w:rPr>
        <w:t>którego głównym celem jest podniesienie poziomu szeroko rozumianego bezpieczeństwa seniorów poprzez ich edukację w zakresie występujących zagrożeń oraz przestępstw popełnianych na ich szkodę, jak również kreowanie postaw społecznych sprzyjających zapobieganiu w/w zagrożeniom.</w:t>
      </w:r>
      <w:r w:rsidR="00547777">
        <w:rPr>
          <w:rFonts w:ascii="Lato" w:hAnsi="Lato" w:cs="Times New Roman"/>
          <w:b/>
          <w:i/>
          <w:sz w:val="20"/>
          <w:szCs w:val="20"/>
        </w:rPr>
        <w:t xml:space="preserve"> </w:t>
      </w:r>
      <w:r w:rsidRPr="00EC0467">
        <w:rPr>
          <w:rFonts w:ascii="Lato" w:hAnsi="Lato" w:cs="Times New Roman"/>
          <w:sz w:val="20"/>
          <w:szCs w:val="20"/>
        </w:rPr>
        <w:t>W ramach ww. programu funkcjonariusze i pracownicy Policji garnizonu podlaskiego zorganizowali i podejmowali następujące inicjatywy:</w:t>
      </w:r>
    </w:p>
    <w:p w14:paraId="079639E8" w14:textId="77777777" w:rsidR="00547777" w:rsidRP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cykl spotkań, wykładów, szkoleń i warsztatów z seniorami, podczas ww. spotkań poruszano zagadnienia bezpieczeństwa osób starszych oraz przekazano ostrzeżenia i informacje profilaktyczne skierowane do seniorów;</w:t>
      </w:r>
      <w:r w:rsidRPr="00547777">
        <w:rPr>
          <w:rFonts w:ascii="Lato" w:hAnsi="Lato" w:cs="Times New Roman"/>
          <w:iCs/>
          <w:sz w:val="20"/>
          <w:szCs w:val="20"/>
        </w:rPr>
        <w:t xml:space="preserve"> omawiano też sposoby działania sprawców oraz zasady unikania zagrożeń związanych z oszustwem na szkodę osób starszych;</w:t>
      </w:r>
    </w:p>
    <w:p w14:paraId="7472F442" w14:textId="77777777" w:rsid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w dniu 7 września 2022 roku odbyło się spotkanie profilaktyczne z udziałem policyjnych emerytów, na którym omówione zostały zasady bezpieczeństwa w zakresie zagrożeń występujących w starszym wieku oraz przestępstw popełnianych na ich szkodę, jak również kreowano oczekiwane postawy społeczne sprzyjające zapobieganiu wszelkim zagrożeniom. (W spotkaniu uczestniczyło ok. 40 osób);</w:t>
      </w:r>
    </w:p>
    <w:p w14:paraId="1824ADD9" w14:textId="77777777" w:rsid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 xml:space="preserve">w dniu 7 października 2022 roku funkcjonariusze Wydziału Prewencji Komendy Wojewódzkiej Policji w Białymstoku uczestniczyli w obchodach Dnia Seniora w Podlaskim Urzędzie Wojewódzkim zorganizowanej. Ponad 200 starszych mieszkańców regionu wzięło udział w uroczystości. </w:t>
      </w:r>
    </w:p>
    <w:p w14:paraId="521CD5FA" w14:textId="77777777" w:rsid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 xml:space="preserve">w dniu 21 października 2022 roku – w ramach </w:t>
      </w:r>
      <w:r w:rsidRPr="00547777">
        <w:rPr>
          <w:rStyle w:val="Pogrubienie"/>
          <w:rFonts w:ascii="Lato" w:hAnsi="Lato" w:cs="Times New Roman"/>
          <w:sz w:val="20"/>
          <w:szCs w:val="20"/>
        </w:rPr>
        <w:t xml:space="preserve">„Podlaskiego Tygodnia Seniora” </w:t>
      </w:r>
      <w:r w:rsidRPr="00547777">
        <w:rPr>
          <w:rFonts w:ascii="Lato" w:hAnsi="Lato" w:cs="Times New Roman"/>
          <w:sz w:val="20"/>
          <w:szCs w:val="20"/>
        </w:rPr>
        <w:t xml:space="preserve">w Książnicy Podlaskiej im. Łukasza Górnickiego w Białymstoku funkcjonariusze Wydziału Prewencji i Wydziału Kryminalnego Komendy Wojewódzkiej Policji w Białymstoku przeprowadzili wykład dla seniorów oparty o założenia zawarte w </w:t>
      </w:r>
      <w:r w:rsidRPr="00547777">
        <w:rPr>
          <w:rFonts w:ascii="Lato" w:hAnsi="Lato" w:cs="Times New Roman"/>
          <w:b/>
          <w:sz w:val="20"/>
          <w:szCs w:val="20"/>
        </w:rPr>
        <w:t>projekcie pn. „Fałszywy telefon – zagrożone oszczędności”</w:t>
      </w:r>
      <w:r w:rsidRPr="00547777">
        <w:rPr>
          <w:rFonts w:ascii="Lato" w:hAnsi="Lato" w:cs="Times New Roman"/>
          <w:sz w:val="20"/>
          <w:szCs w:val="20"/>
        </w:rPr>
        <w:t xml:space="preserve"> współfinansowanego przez Unię Europejską ze środków Programu Krajowego Funduszu Bezpieczeństwa Wewnętrznego. Projekt jest skierowany do osób pokrzywdzonych przestępstwem, w szczególności do seniorów, jako grupy, która jest najbardziej narażona na skutki oszustw m.in. „na wnuczka”, „na policjanta” czy „na wypadek”. W spotkaniu uczestniczyło ok. 30 osób;</w:t>
      </w:r>
    </w:p>
    <w:p w14:paraId="0B59FF79" w14:textId="77777777" w:rsid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w dniach od 28 listopada do 1 grudnia 2022 roku</w:t>
      </w:r>
      <w:r w:rsidRPr="00547777">
        <w:rPr>
          <w:rFonts w:ascii="Lato" w:hAnsi="Lato" w:cs="Times New Roman"/>
          <w:b/>
          <w:sz w:val="20"/>
          <w:szCs w:val="20"/>
        </w:rPr>
        <w:t xml:space="preserve"> – </w:t>
      </w:r>
      <w:r w:rsidRPr="00547777">
        <w:rPr>
          <w:rStyle w:val="Pogrubienie"/>
          <w:rFonts w:ascii="Lato" w:hAnsi="Lato" w:cs="Times New Roman"/>
          <w:sz w:val="20"/>
          <w:szCs w:val="20"/>
        </w:rPr>
        <w:t xml:space="preserve">w Janowie Podlaskim odbyła się konferencja podsumowująca projekt "Fałszywy telefon – zagrożone oszczędności". Kampania skierowana do seniorów, której celem jest zapobieganie i zwalczanie przestępczości oraz wspieranie ofiar. Liderem projektu jest Komenda Wojewódzka Policji w Rzeszowie, a partnerami - Komendy Wojewódzkie Policji z Olsztyna, Białegostoku, Lublina i Gorzowa Wielkopolskiego. W podsumowaniu projektu uczestniczyli również zagraniczni partnerzy - przedstawiciele Policji w Berlinie, Narodowej Policji Hiszpańskiej, Policji Rumuńskiej, Policji Bułgarskiej oraz Policji Węgierskiej. </w:t>
      </w:r>
      <w:r w:rsidRPr="00547777">
        <w:rPr>
          <w:rFonts w:ascii="Lato" w:hAnsi="Lato" w:cs="Times New Roman"/>
          <w:sz w:val="20"/>
          <w:szCs w:val="20"/>
        </w:rPr>
        <w:t>Na terenie każdej Komendy Wojewódzkiej Policji zrealizowano szkolenia dla przedstawicieli: banków oraz firm świadczących usługi finansowe (łącznie z ponad 60 podmiotami finansowymi). Podczas konferencji uczestnicy oraz zaproszeni goście obejrzeli również film podsumowujący projekt – widziany oczami seniorów;</w:t>
      </w:r>
    </w:p>
    <w:p w14:paraId="4072C48F" w14:textId="02F1A52A" w:rsidR="006D5ACE" w:rsidRPr="00547777" w:rsidRDefault="006D5ACE" w:rsidP="0059185B">
      <w:pPr>
        <w:pStyle w:val="Akapitzlist"/>
        <w:numPr>
          <w:ilvl w:val="0"/>
          <w:numId w:val="89"/>
        </w:numPr>
        <w:tabs>
          <w:tab w:val="left" w:pos="284"/>
        </w:tabs>
        <w:spacing w:after="0" w:line="240" w:lineRule="auto"/>
        <w:jc w:val="both"/>
        <w:rPr>
          <w:rFonts w:ascii="Lato" w:hAnsi="Lato" w:cs="Times New Roman"/>
          <w:sz w:val="20"/>
          <w:szCs w:val="20"/>
        </w:rPr>
      </w:pPr>
      <w:r w:rsidRPr="00547777">
        <w:rPr>
          <w:rFonts w:ascii="Lato" w:hAnsi="Lato" w:cs="Times New Roman"/>
          <w:sz w:val="20"/>
          <w:szCs w:val="20"/>
        </w:rPr>
        <w:t>na terenie garnizonu podlaskiego od stycznia do końca grudnia 2022 r. zorganizowano łącznie 700 spotkań profilaktycznych, w których uczestniczyło 11 437 seniorów.</w:t>
      </w:r>
    </w:p>
    <w:p w14:paraId="24768785" w14:textId="77777777" w:rsidR="00547777" w:rsidRDefault="00547777" w:rsidP="00547777">
      <w:pPr>
        <w:spacing w:after="0" w:line="240" w:lineRule="auto"/>
        <w:jc w:val="both"/>
        <w:rPr>
          <w:rFonts w:ascii="Lato" w:hAnsi="Lato" w:cs="Times New Roman"/>
          <w:sz w:val="20"/>
          <w:szCs w:val="20"/>
        </w:rPr>
      </w:pPr>
    </w:p>
    <w:p w14:paraId="0DEB6769" w14:textId="16AA75D1" w:rsidR="006D5ACE" w:rsidRPr="00EC0467" w:rsidRDefault="006D5ACE" w:rsidP="00547777">
      <w:pPr>
        <w:spacing w:after="0" w:line="240" w:lineRule="auto"/>
        <w:jc w:val="both"/>
        <w:rPr>
          <w:rFonts w:ascii="Lato" w:hAnsi="Lato" w:cs="Times New Roman"/>
          <w:sz w:val="20"/>
          <w:szCs w:val="20"/>
        </w:rPr>
      </w:pPr>
      <w:r w:rsidRPr="00EC0467">
        <w:rPr>
          <w:rFonts w:ascii="Lato" w:hAnsi="Lato" w:cs="Times New Roman"/>
          <w:sz w:val="20"/>
          <w:szCs w:val="20"/>
        </w:rPr>
        <w:t>Ponadto w zakresie przeciwdziałania dyskryminacji ze względu na wiek</w:t>
      </w:r>
      <w:r w:rsidRPr="00EC0467">
        <w:rPr>
          <w:rFonts w:ascii="Lato" w:hAnsi="Lato" w:cs="Times New Roman"/>
          <w:b/>
          <w:sz w:val="20"/>
          <w:szCs w:val="20"/>
        </w:rPr>
        <w:t xml:space="preserve"> </w:t>
      </w:r>
      <w:r w:rsidRPr="00EC0467">
        <w:rPr>
          <w:rFonts w:ascii="Lato" w:hAnsi="Lato" w:cs="Times New Roman"/>
          <w:sz w:val="20"/>
          <w:szCs w:val="20"/>
        </w:rPr>
        <w:t>Pełnomocnik Komendanta Wojewódzkiego Policji w Białymstoku do spraw Ochrony Praw Człowieka:</w:t>
      </w:r>
    </w:p>
    <w:p w14:paraId="2365EEDE" w14:textId="77777777" w:rsidR="00547777" w:rsidRPr="00547777" w:rsidRDefault="006D5ACE" w:rsidP="0059185B">
      <w:pPr>
        <w:pStyle w:val="Akapitzlist"/>
        <w:numPr>
          <w:ilvl w:val="0"/>
          <w:numId w:val="90"/>
        </w:numPr>
        <w:spacing w:after="0" w:line="240" w:lineRule="auto"/>
        <w:jc w:val="both"/>
        <w:rPr>
          <w:rFonts w:ascii="Lato" w:hAnsi="Lato" w:cs="Times New Roman"/>
          <w:sz w:val="20"/>
          <w:szCs w:val="20"/>
        </w:rPr>
      </w:pPr>
      <w:r w:rsidRPr="00547777">
        <w:rPr>
          <w:rFonts w:ascii="Lato" w:hAnsi="Lato" w:cs="Times New Roman"/>
          <w:sz w:val="20"/>
          <w:szCs w:val="20"/>
        </w:rPr>
        <w:t xml:space="preserve">wystąpiła </w:t>
      </w:r>
      <w:r w:rsidRPr="00547777">
        <w:rPr>
          <w:rFonts w:ascii="Lato" w:hAnsi="Lato" w:cs="Times New Roman"/>
          <w:iCs/>
          <w:sz w:val="20"/>
          <w:szCs w:val="20"/>
        </w:rPr>
        <w:t xml:space="preserve">na spotkaniu z seniorami i pracownikami Urzędu Miasta w Tykocinie pt. </w:t>
      </w:r>
      <w:r w:rsidRPr="00547777">
        <w:rPr>
          <w:rFonts w:ascii="Lato" w:hAnsi="Lato" w:cs="Times New Roman"/>
          <w:b/>
          <w:iCs/>
          <w:sz w:val="20"/>
          <w:szCs w:val="20"/>
        </w:rPr>
        <w:t>„Równe traktowanie – prawa seniorów”</w:t>
      </w:r>
      <w:r w:rsidRPr="00547777">
        <w:rPr>
          <w:rFonts w:ascii="Lato" w:hAnsi="Lato" w:cs="Times New Roman"/>
          <w:iCs/>
          <w:sz w:val="20"/>
          <w:szCs w:val="20"/>
        </w:rPr>
        <w:t xml:space="preserve">, które miało miejsce w 29 listopada 2022 r. w Urzędzie Miejskim </w:t>
      </w:r>
      <w:r w:rsidRPr="00547777">
        <w:rPr>
          <w:rFonts w:ascii="Lato" w:hAnsi="Lato" w:cs="Times New Roman"/>
          <w:iCs/>
          <w:sz w:val="20"/>
          <w:szCs w:val="20"/>
        </w:rPr>
        <w:br/>
        <w:t xml:space="preserve">w Tykocinie. Propagowano zasady przeciwdziałania </w:t>
      </w:r>
      <w:proofErr w:type="spellStart"/>
      <w:r w:rsidRPr="00547777">
        <w:rPr>
          <w:rFonts w:ascii="Lato" w:hAnsi="Lato" w:cs="Times New Roman"/>
          <w:iCs/>
          <w:sz w:val="20"/>
          <w:szCs w:val="20"/>
        </w:rPr>
        <w:t>ageizmowi</w:t>
      </w:r>
      <w:proofErr w:type="spellEnd"/>
      <w:r w:rsidRPr="00547777">
        <w:rPr>
          <w:rFonts w:ascii="Lato" w:hAnsi="Lato" w:cs="Times New Roman"/>
          <w:iCs/>
          <w:sz w:val="20"/>
          <w:szCs w:val="20"/>
        </w:rPr>
        <w:t xml:space="preserve">, wskazując jednocześnie sposoby reagowania na sytuacje dyskryminacyjne i formy wsparcia osób starszych. </w:t>
      </w:r>
    </w:p>
    <w:p w14:paraId="59475274" w14:textId="77777777" w:rsidR="00547777" w:rsidRDefault="006D5ACE" w:rsidP="0059185B">
      <w:pPr>
        <w:pStyle w:val="Akapitzlist"/>
        <w:numPr>
          <w:ilvl w:val="0"/>
          <w:numId w:val="90"/>
        </w:numPr>
        <w:spacing w:after="0" w:line="240" w:lineRule="auto"/>
        <w:jc w:val="both"/>
        <w:rPr>
          <w:rFonts w:ascii="Lato" w:hAnsi="Lato" w:cs="Times New Roman"/>
          <w:sz w:val="20"/>
          <w:szCs w:val="20"/>
        </w:rPr>
      </w:pPr>
      <w:r w:rsidRPr="00547777">
        <w:rPr>
          <w:rFonts w:ascii="Lato" w:hAnsi="Lato" w:cs="Times New Roman"/>
          <w:sz w:val="20"/>
          <w:szCs w:val="20"/>
        </w:rPr>
        <w:t xml:space="preserve">brała udział w spotkaniu roboczym realizowanym przez Fundację Hospicjum Proroka Eliasza oraz Starostwo Powiatowe w Białymstoku i ROPS w Białymstoku w ramach projektu </w:t>
      </w:r>
      <w:r w:rsidRPr="00547777">
        <w:rPr>
          <w:rFonts w:ascii="Lato" w:hAnsi="Lato" w:cs="Times New Roman"/>
          <w:b/>
          <w:sz w:val="20"/>
          <w:szCs w:val="20"/>
        </w:rPr>
        <w:t xml:space="preserve">„Dać to czego </w:t>
      </w:r>
      <w:r w:rsidRPr="00547777">
        <w:rPr>
          <w:rFonts w:ascii="Lato" w:hAnsi="Lato" w:cs="Times New Roman"/>
          <w:b/>
          <w:sz w:val="20"/>
          <w:szCs w:val="20"/>
        </w:rPr>
        <w:lastRenderedPageBreak/>
        <w:t>naprawdę potrzeba”</w:t>
      </w:r>
      <w:r w:rsidRPr="00547777">
        <w:rPr>
          <w:rFonts w:ascii="Lato" w:hAnsi="Lato" w:cs="Times New Roman"/>
          <w:sz w:val="20"/>
          <w:szCs w:val="20"/>
        </w:rPr>
        <w:t xml:space="preserve"> (spotkanie w Starostwie Powiatowym w Białymstoku w dniu 20 czerwca 2022 r.);</w:t>
      </w:r>
    </w:p>
    <w:p w14:paraId="7873BAC5" w14:textId="77777777" w:rsidR="00547777" w:rsidRDefault="00547777" w:rsidP="0059185B">
      <w:pPr>
        <w:pStyle w:val="Akapitzlist"/>
        <w:numPr>
          <w:ilvl w:val="0"/>
          <w:numId w:val="90"/>
        </w:numPr>
        <w:spacing w:after="0" w:line="240" w:lineRule="auto"/>
        <w:jc w:val="both"/>
        <w:rPr>
          <w:rFonts w:ascii="Lato" w:hAnsi="Lato" w:cs="Times New Roman"/>
          <w:sz w:val="20"/>
          <w:szCs w:val="20"/>
        </w:rPr>
      </w:pPr>
      <w:r>
        <w:rPr>
          <w:rFonts w:ascii="Lato" w:hAnsi="Lato" w:cs="Times New Roman"/>
          <w:sz w:val="20"/>
          <w:szCs w:val="20"/>
        </w:rPr>
        <w:t>z</w:t>
      </w:r>
      <w:r w:rsidR="006D5ACE" w:rsidRPr="00547777">
        <w:rPr>
          <w:rFonts w:ascii="Lato" w:hAnsi="Lato" w:cs="Times New Roman"/>
          <w:sz w:val="20"/>
          <w:szCs w:val="20"/>
        </w:rPr>
        <w:t xml:space="preserve">organizowała i przeprowadziła serię szkoleń dla funkcjonariuszy jak i pracowników Policji garnizonu podlaskiego pn. </w:t>
      </w:r>
      <w:r w:rsidR="006D5ACE" w:rsidRPr="00547777">
        <w:rPr>
          <w:rFonts w:ascii="Lato" w:hAnsi="Lato" w:cs="Times New Roman"/>
          <w:b/>
          <w:bCs/>
          <w:sz w:val="20"/>
          <w:szCs w:val="20"/>
        </w:rPr>
        <w:t>„Równe traktowanie i przeciwdziałanie dyskryminacji”</w:t>
      </w:r>
      <w:r w:rsidR="006D5ACE" w:rsidRPr="00547777">
        <w:rPr>
          <w:rFonts w:ascii="Lato" w:hAnsi="Lato" w:cs="Times New Roman"/>
          <w:bCs/>
          <w:sz w:val="20"/>
          <w:szCs w:val="20"/>
        </w:rPr>
        <w:t xml:space="preserve">, w tym również dyskryminacji z uwagi na wiek. </w:t>
      </w:r>
      <w:r w:rsidR="006D5ACE" w:rsidRPr="00547777">
        <w:rPr>
          <w:rFonts w:ascii="Lato" w:hAnsi="Lato" w:cs="Times New Roman"/>
          <w:sz w:val="20"/>
          <w:szCs w:val="20"/>
        </w:rPr>
        <w:t>Przeprowadzono 16 szkoleń, w których udział wzięło 648 osób;</w:t>
      </w:r>
    </w:p>
    <w:p w14:paraId="7FBDD03E" w14:textId="32C98803" w:rsidR="006D5ACE" w:rsidRPr="00547777" w:rsidRDefault="006D5ACE" w:rsidP="0059185B">
      <w:pPr>
        <w:pStyle w:val="Akapitzlist"/>
        <w:numPr>
          <w:ilvl w:val="0"/>
          <w:numId w:val="90"/>
        </w:numPr>
        <w:spacing w:after="0" w:line="240" w:lineRule="auto"/>
        <w:jc w:val="both"/>
        <w:rPr>
          <w:rFonts w:ascii="Lato" w:hAnsi="Lato" w:cs="Times New Roman"/>
          <w:sz w:val="20"/>
          <w:szCs w:val="20"/>
        </w:rPr>
      </w:pPr>
      <w:r w:rsidRPr="00547777">
        <w:rPr>
          <w:rFonts w:ascii="Lato" w:hAnsi="Lato" w:cs="Times New Roman"/>
          <w:sz w:val="20"/>
          <w:szCs w:val="20"/>
        </w:rPr>
        <w:t xml:space="preserve">Zespół do spraw Ochrony Praw Człowieka przeprowadził również warsztaty dla pracowników </w:t>
      </w:r>
      <w:r w:rsidRPr="00547777">
        <w:rPr>
          <w:rFonts w:ascii="Lato" w:hAnsi="Lato" w:cs="Times New Roman"/>
          <w:sz w:val="20"/>
          <w:szCs w:val="20"/>
        </w:rPr>
        <w:br/>
        <w:t xml:space="preserve">i funkcjonariuszy podlaskiej Policji nt. </w:t>
      </w:r>
      <w:r w:rsidRPr="00547777">
        <w:rPr>
          <w:rFonts w:ascii="Lato" w:hAnsi="Lato" w:cs="Times New Roman"/>
          <w:b/>
          <w:sz w:val="20"/>
          <w:szCs w:val="20"/>
        </w:rPr>
        <w:t xml:space="preserve">„Przełamywania barier w kontaktach z osobami </w:t>
      </w:r>
      <w:r w:rsidRPr="00547777">
        <w:rPr>
          <w:rFonts w:ascii="Lato" w:hAnsi="Lato" w:cs="Times New Roman"/>
          <w:b/>
          <w:sz w:val="20"/>
          <w:szCs w:val="20"/>
        </w:rPr>
        <w:br/>
        <w:t>z niepełnosprawnościami”</w:t>
      </w:r>
      <w:r w:rsidRPr="00547777">
        <w:rPr>
          <w:rFonts w:ascii="Lato" w:hAnsi="Lato" w:cs="Times New Roman"/>
          <w:sz w:val="20"/>
          <w:szCs w:val="20"/>
        </w:rPr>
        <w:t xml:space="preserve"> - przeprowadzono łącznie 13 spotkań, w których uczestniczyło łącznie 400 osób.</w:t>
      </w:r>
    </w:p>
    <w:p w14:paraId="2FEAD076" w14:textId="77777777" w:rsidR="006D5ACE" w:rsidRPr="00EC0467" w:rsidRDefault="006D5ACE" w:rsidP="006D5ACE">
      <w:pPr>
        <w:spacing w:after="0" w:line="240" w:lineRule="auto"/>
        <w:jc w:val="both"/>
        <w:rPr>
          <w:rFonts w:ascii="Lato" w:hAnsi="Lato" w:cs="Times New Roman"/>
          <w:sz w:val="20"/>
          <w:szCs w:val="20"/>
        </w:rPr>
      </w:pPr>
    </w:p>
    <w:p w14:paraId="5BD71567" w14:textId="0AD1160D" w:rsidR="006D5ACE" w:rsidRPr="00EC0467" w:rsidRDefault="006D5ACE" w:rsidP="006D5ACE">
      <w:pPr>
        <w:spacing w:after="0" w:line="240" w:lineRule="auto"/>
        <w:jc w:val="both"/>
        <w:rPr>
          <w:rFonts w:ascii="Lato" w:hAnsi="Lato" w:cs="Times New Roman"/>
          <w:sz w:val="20"/>
          <w:szCs w:val="20"/>
        </w:rPr>
      </w:pPr>
      <w:r w:rsidRPr="00EC0467">
        <w:rPr>
          <w:rFonts w:ascii="Lato" w:hAnsi="Lato" w:cs="Times New Roman"/>
          <w:sz w:val="20"/>
          <w:szCs w:val="20"/>
        </w:rPr>
        <w:t xml:space="preserve">Województwo Podlaskie dofinansowało w ramach „Programu współpracy Samorządu Województwa Podlaskiego z organizacjami pozarządowymi oraz podmiotami wymienionymi w art. 3 ust. 3 ustawy </w:t>
      </w:r>
      <w:r w:rsidRPr="00EC0467">
        <w:rPr>
          <w:rFonts w:ascii="Lato" w:hAnsi="Lato" w:cs="Times New Roman"/>
          <w:sz w:val="20"/>
          <w:szCs w:val="20"/>
        </w:rPr>
        <w:br/>
        <w:t>z dnia 24 kwietnia 2003 r. o działalności pożytku publicznego i o wolontariacie (</w:t>
      </w:r>
      <w:proofErr w:type="spellStart"/>
      <w:r w:rsidRPr="00EC0467">
        <w:rPr>
          <w:rFonts w:ascii="Lato" w:hAnsi="Lato" w:cs="Times New Roman"/>
          <w:sz w:val="20"/>
          <w:szCs w:val="20"/>
        </w:rPr>
        <w:t>t.j</w:t>
      </w:r>
      <w:proofErr w:type="spellEnd"/>
      <w:r w:rsidRPr="00EC0467">
        <w:rPr>
          <w:rFonts w:ascii="Lato" w:hAnsi="Lato" w:cs="Times New Roman"/>
          <w:sz w:val="20"/>
          <w:szCs w:val="20"/>
        </w:rPr>
        <w:t>. Dz. U. z 2023 r. poz. 571) w 2022 roku” niżej wymienione projekty:</w:t>
      </w:r>
    </w:p>
    <w:p w14:paraId="6B02E15E" w14:textId="77777777" w:rsidR="00547777" w:rsidRDefault="006D5ACE" w:rsidP="0059185B">
      <w:pPr>
        <w:pStyle w:val="Akapitzlist"/>
        <w:numPr>
          <w:ilvl w:val="0"/>
          <w:numId w:val="91"/>
        </w:numPr>
        <w:suppressAutoHyphens/>
        <w:autoSpaceDN w:val="0"/>
        <w:spacing w:after="0" w:line="240" w:lineRule="auto"/>
        <w:jc w:val="both"/>
        <w:textAlignment w:val="baseline"/>
        <w:rPr>
          <w:rFonts w:ascii="Lato" w:hAnsi="Lato" w:cs="Times New Roman"/>
          <w:sz w:val="20"/>
          <w:szCs w:val="20"/>
        </w:rPr>
      </w:pPr>
      <w:r w:rsidRPr="00547777">
        <w:rPr>
          <w:rFonts w:ascii="Lato" w:hAnsi="Lato" w:cs="Times New Roman"/>
          <w:b/>
          <w:sz w:val="20"/>
          <w:szCs w:val="20"/>
        </w:rPr>
        <w:t>„Czy wiesz co i jak jesz?”</w:t>
      </w:r>
      <w:r w:rsidRPr="00547777">
        <w:rPr>
          <w:rFonts w:ascii="Lato" w:hAnsi="Lato" w:cs="Times New Roman"/>
          <w:sz w:val="20"/>
          <w:szCs w:val="20"/>
        </w:rPr>
        <w:t xml:space="preserve"> czyli umożliwienie dostępu do poradnictwa w zakresie zdrowego odżywiania osób 65+. Projekt był realizowany przez Stowarzyszenie na Rzecz Rozwoju Cywilizacyjnego "Ściana Wschodnia" w Sejnach i skierowany do 70 seniorów. Obejmował zajęcia teoretyczne na temat zasad zdrowego odżywiania oraz zajęcia warsztatowe. Kwota dotacji na realizację projektu </w:t>
      </w:r>
      <w:bookmarkStart w:id="168" w:name="_Hlk136246719"/>
      <w:r w:rsidRPr="00547777">
        <w:rPr>
          <w:rFonts w:ascii="Lato" w:hAnsi="Lato" w:cs="Times New Roman"/>
          <w:sz w:val="20"/>
          <w:szCs w:val="20"/>
        </w:rPr>
        <w:t>wyniosła 20 000 zł</w:t>
      </w:r>
      <w:bookmarkEnd w:id="168"/>
      <w:r w:rsidRPr="00547777">
        <w:rPr>
          <w:rFonts w:ascii="Lato" w:hAnsi="Lato" w:cs="Times New Roman"/>
          <w:sz w:val="20"/>
          <w:szCs w:val="20"/>
        </w:rPr>
        <w:t>;</w:t>
      </w:r>
    </w:p>
    <w:p w14:paraId="0B77F9B4" w14:textId="77777777" w:rsidR="00547777" w:rsidRDefault="006D5ACE" w:rsidP="0059185B">
      <w:pPr>
        <w:pStyle w:val="Akapitzlist"/>
        <w:numPr>
          <w:ilvl w:val="0"/>
          <w:numId w:val="91"/>
        </w:numPr>
        <w:suppressAutoHyphens/>
        <w:autoSpaceDN w:val="0"/>
        <w:spacing w:after="0" w:line="240" w:lineRule="auto"/>
        <w:jc w:val="both"/>
        <w:textAlignment w:val="baseline"/>
        <w:rPr>
          <w:rFonts w:ascii="Lato" w:hAnsi="Lato" w:cs="Times New Roman"/>
          <w:sz w:val="20"/>
          <w:szCs w:val="20"/>
        </w:rPr>
      </w:pPr>
      <w:r w:rsidRPr="00547777">
        <w:rPr>
          <w:rFonts w:ascii="Lato" w:hAnsi="Lato" w:cs="Times New Roman"/>
          <w:b/>
          <w:sz w:val="20"/>
          <w:szCs w:val="20"/>
        </w:rPr>
        <w:t xml:space="preserve">„Drużyna Zdrowia” </w:t>
      </w:r>
      <w:r w:rsidRPr="00547777">
        <w:rPr>
          <w:rFonts w:ascii="Lato" w:hAnsi="Lato" w:cs="Times New Roman"/>
          <w:sz w:val="20"/>
          <w:szCs w:val="20"/>
        </w:rPr>
        <w:t>- warsztaty promocji zdrowia i profilaktyki zdrowotnej wśród seniorów z terenu województwa podlaskiego. Projekt był realizowany przez Caritas Diecezji Łomżyńskiej i skierowany do 28 seniorów. W ramach projektu zorganizowano warsztaty na temat zdrowego stylu życia, szkodliwości substancji psychoaktywnych, roli aktywności fizycznej oraz integracji społecznej w życiu seniora. Kwota dotacji na realizację projektu wyniosła 20 000 zł;</w:t>
      </w:r>
    </w:p>
    <w:p w14:paraId="33797A82" w14:textId="3535C9B2" w:rsidR="006D5ACE" w:rsidRPr="00547777" w:rsidRDefault="006D5ACE" w:rsidP="0059185B">
      <w:pPr>
        <w:pStyle w:val="Akapitzlist"/>
        <w:numPr>
          <w:ilvl w:val="0"/>
          <w:numId w:val="91"/>
        </w:numPr>
        <w:suppressAutoHyphens/>
        <w:autoSpaceDN w:val="0"/>
        <w:spacing w:after="0" w:line="240" w:lineRule="auto"/>
        <w:jc w:val="both"/>
        <w:textAlignment w:val="baseline"/>
        <w:rPr>
          <w:rFonts w:ascii="Lato" w:hAnsi="Lato" w:cs="Times New Roman"/>
          <w:sz w:val="20"/>
          <w:szCs w:val="20"/>
        </w:rPr>
      </w:pPr>
      <w:r w:rsidRPr="00547777">
        <w:rPr>
          <w:rFonts w:ascii="Lato" w:hAnsi="Lato" w:cs="Times New Roman"/>
          <w:sz w:val="20"/>
          <w:szCs w:val="20"/>
        </w:rPr>
        <w:t xml:space="preserve"> </w:t>
      </w:r>
      <w:r w:rsidRPr="00547777">
        <w:rPr>
          <w:rFonts w:ascii="Lato" w:hAnsi="Lato" w:cs="Times New Roman"/>
          <w:b/>
          <w:sz w:val="20"/>
          <w:szCs w:val="20"/>
        </w:rPr>
        <w:t>„Seniorze - bądź bezpieczny na drodze dla siebie i innych.”</w:t>
      </w:r>
      <w:r w:rsidRPr="00547777">
        <w:rPr>
          <w:rFonts w:ascii="Lato" w:hAnsi="Lato" w:cs="Times New Roman"/>
          <w:sz w:val="20"/>
          <w:szCs w:val="20"/>
        </w:rPr>
        <w:t xml:space="preserve"> Projekt był realizowany przez Fundację Polska Pomoc przy współpracy z Wojewódzkim Ośrodkiem Ruchu Drogowego w Białymstoku i skierowany do 40 seniorów. W ramach projektu zostały przeprowadzone szkolenia w dwóch częściach: teoretycznej i praktycznej. W ramach części teoretycznej odbyły się m.in zajęcia z psychologiem transportu, wykładowcą Wojewódzkiego Ośrodka Ruchu Drogowego w Białymstoku, wykwalifikowanym ratownikiem medycznym oraz funkcjonariuszem policji z Komendy Wojewódzkiej Policji. Część praktyczna obejmowała zajęcia z techniki jazdy na placu manewrowym i w ruchu miejskim. Kwota dotacji na realizację projektu wyniosła 15 000 zł.</w:t>
      </w:r>
    </w:p>
    <w:p w14:paraId="565DA2F2" w14:textId="6B877B17" w:rsidR="006D5ACE" w:rsidRPr="00EC0467" w:rsidRDefault="006D5ACE" w:rsidP="00547777">
      <w:pPr>
        <w:spacing w:after="0" w:line="240" w:lineRule="auto"/>
        <w:jc w:val="both"/>
        <w:rPr>
          <w:rFonts w:ascii="Lato" w:eastAsia="Times New Roman" w:hAnsi="Lato" w:cs="Times New Roman"/>
          <w:b/>
          <w:bCs/>
          <w:sz w:val="20"/>
          <w:szCs w:val="20"/>
        </w:rPr>
      </w:pPr>
      <w:r w:rsidRPr="00EC0467">
        <w:rPr>
          <w:rFonts w:ascii="Lato" w:hAnsi="Lato" w:cs="Times New Roman"/>
          <w:sz w:val="20"/>
          <w:szCs w:val="20"/>
        </w:rPr>
        <w:t xml:space="preserve">Ponadto, dofinansowanie ze środków budżetu województwa podlaskiego inwestycji realizowanych m.in. na rzecz osób starszych w 2022 r. wyniosła łącznie na kwotę </w:t>
      </w:r>
      <w:r w:rsidRPr="00EC0467">
        <w:rPr>
          <w:rFonts w:ascii="Lato" w:eastAsia="Times New Roman" w:hAnsi="Lato" w:cs="Times New Roman"/>
          <w:b/>
          <w:bCs/>
          <w:sz w:val="20"/>
          <w:szCs w:val="20"/>
        </w:rPr>
        <w:t xml:space="preserve">6 775 298,35 zł. </w:t>
      </w:r>
    </w:p>
    <w:p w14:paraId="6140EFF5" w14:textId="77777777" w:rsidR="006D5ACE" w:rsidRPr="00EC0467" w:rsidRDefault="006D5ACE" w:rsidP="006D5ACE">
      <w:pPr>
        <w:pStyle w:val="Default"/>
        <w:jc w:val="both"/>
        <w:rPr>
          <w:rFonts w:ascii="Lato" w:hAnsi="Lato"/>
          <w:sz w:val="20"/>
          <w:szCs w:val="20"/>
        </w:rPr>
      </w:pPr>
    </w:p>
    <w:p w14:paraId="7A248BC7" w14:textId="4256EDA1" w:rsidR="006D5ACE" w:rsidRPr="00547777" w:rsidRDefault="006D5ACE" w:rsidP="00547777">
      <w:pPr>
        <w:pStyle w:val="Default"/>
        <w:jc w:val="both"/>
        <w:rPr>
          <w:rStyle w:val="Pogrubienie"/>
          <w:rFonts w:ascii="Lato" w:hAnsi="Lato"/>
          <w:bCs w:val="0"/>
          <w:i/>
          <w:sz w:val="20"/>
          <w:szCs w:val="20"/>
        </w:rPr>
      </w:pPr>
      <w:r w:rsidRPr="00EC0467">
        <w:rPr>
          <w:rFonts w:ascii="Lato" w:eastAsia="Calibri" w:hAnsi="Lato"/>
          <w:kern w:val="2"/>
          <w:sz w:val="20"/>
          <w:szCs w:val="20"/>
        </w:rPr>
        <w:t>Na terenie gminy p</w:t>
      </w:r>
      <w:r w:rsidRPr="00EC0467">
        <w:rPr>
          <w:rFonts w:ascii="Lato" w:hAnsi="Lato"/>
          <w:sz w:val="20"/>
          <w:szCs w:val="20"/>
        </w:rPr>
        <w:t xml:space="preserve">rzy Miejsko–Gminnym Ośrodku Kultury w Nowogrodzie stacjonował </w:t>
      </w:r>
      <w:r w:rsidRPr="00EC0467">
        <w:rPr>
          <w:rFonts w:ascii="Lato" w:hAnsi="Lato"/>
          <w:b/>
          <w:sz w:val="20"/>
          <w:szCs w:val="20"/>
        </w:rPr>
        <w:t>mammobus,</w:t>
      </w:r>
      <w:r w:rsidRPr="00EC0467">
        <w:rPr>
          <w:rFonts w:ascii="Lato" w:hAnsi="Lato"/>
          <w:sz w:val="20"/>
          <w:szCs w:val="20"/>
        </w:rPr>
        <w:t xml:space="preserve"> mieszanki miasta i gminy Nowogród w wieku 50-69 lat, mogły skorzystać z bezpłatnych badań mammograficznych finansowanych przez Narodowy Fundusz Zdrowia. </w:t>
      </w:r>
    </w:p>
    <w:p w14:paraId="67134548" w14:textId="77777777" w:rsidR="006D5ACE" w:rsidRPr="00EC0467" w:rsidRDefault="006D5ACE" w:rsidP="006D5ACE">
      <w:pPr>
        <w:spacing w:after="0" w:line="240" w:lineRule="auto"/>
        <w:jc w:val="both"/>
        <w:rPr>
          <w:rFonts w:ascii="Lato" w:hAnsi="Lato" w:cs="Times New Roman"/>
          <w:sz w:val="20"/>
          <w:szCs w:val="20"/>
        </w:rPr>
      </w:pPr>
    </w:p>
    <w:p w14:paraId="1915E06A" w14:textId="7F82E798" w:rsidR="006D5ACE" w:rsidRPr="00EC0467" w:rsidRDefault="00547777" w:rsidP="006D5ACE">
      <w:pPr>
        <w:tabs>
          <w:tab w:val="left" w:pos="284"/>
        </w:tabs>
        <w:spacing w:after="0" w:line="240" w:lineRule="auto"/>
        <w:jc w:val="both"/>
        <w:rPr>
          <w:rFonts w:ascii="Lato" w:hAnsi="Lato" w:cs="Times New Roman"/>
          <w:color w:val="000000"/>
          <w:sz w:val="20"/>
          <w:szCs w:val="20"/>
        </w:rPr>
      </w:pPr>
      <w:r>
        <w:rPr>
          <w:rFonts w:ascii="Lato" w:hAnsi="Lato" w:cs="Times New Roman"/>
          <w:sz w:val="20"/>
          <w:szCs w:val="20"/>
        </w:rPr>
        <w:t>P</w:t>
      </w:r>
      <w:r w:rsidR="006D5ACE" w:rsidRPr="00EC0467">
        <w:rPr>
          <w:rFonts w:ascii="Lato" w:hAnsi="Lato" w:cs="Times New Roman"/>
          <w:color w:val="000000"/>
          <w:sz w:val="20"/>
          <w:szCs w:val="20"/>
        </w:rPr>
        <w:t xml:space="preserve">rogram polityki zdrowotnej </w:t>
      </w:r>
      <w:r w:rsidR="006D5ACE" w:rsidRPr="00EC0467">
        <w:rPr>
          <w:rFonts w:ascii="Lato" w:hAnsi="Lato" w:cs="Times New Roman"/>
          <w:b/>
          <w:color w:val="000000"/>
          <w:sz w:val="20"/>
          <w:szCs w:val="20"/>
        </w:rPr>
        <w:t>„GRYPOODPORNI 65+”</w:t>
      </w:r>
      <w:r>
        <w:rPr>
          <w:rFonts w:ascii="Lato" w:hAnsi="Lato" w:cs="Times New Roman"/>
          <w:b/>
          <w:color w:val="000000"/>
          <w:sz w:val="20"/>
          <w:szCs w:val="20"/>
        </w:rPr>
        <w:t xml:space="preserve"> w gminie Choroszcz</w:t>
      </w:r>
      <w:r w:rsidR="006D5ACE" w:rsidRPr="00EC0467">
        <w:rPr>
          <w:rFonts w:ascii="Lato" w:hAnsi="Lato" w:cs="Times New Roman"/>
          <w:b/>
          <w:color w:val="000000"/>
          <w:sz w:val="20"/>
          <w:szCs w:val="20"/>
        </w:rPr>
        <w:t xml:space="preserve">. </w:t>
      </w:r>
      <w:r w:rsidR="006D5ACE" w:rsidRPr="00EC0467">
        <w:rPr>
          <w:rFonts w:ascii="Lato" w:hAnsi="Lato" w:cs="Times New Roman"/>
          <w:color w:val="000000"/>
          <w:sz w:val="20"/>
          <w:szCs w:val="20"/>
        </w:rPr>
        <w:t xml:space="preserve">W ramach programu przeprowadzono otwarty konkurs ofert, wyłaniając realizatora szczepień przeciwko grypie. </w:t>
      </w:r>
      <w:r w:rsidR="006D5ACE" w:rsidRPr="00EC0467">
        <w:rPr>
          <w:rFonts w:ascii="Lato" w:hAnsi="Lato" w:cs="Times New Roman"/>
          <w:sz w:val="20"/>
          <w:szCs w:val="20"/>
        </w:rPr>
        <w:t xml:space="preserve">Adresatami programu </w:t>
      </w:r>
      <w:r w:rsidR="006D5ACE" w:rsidRPr="00EC0467">
        <w:rPr>
          <w:rFonts w:ascii="Lato" w:hAnsi="Lato" w:cs="Times New Roman"/>
          <w:bCs/>
          <w:color w:val="000000"/>
          <w:sz w:val="20"/>
          <w:szCs w:val="20"/>
        </w:rPr>
        <w:t xml:space="preserve">GRYPOODPORNI 65+ były osoby po 65 roku życia, zamieszkujące gminę Choroszcz. Do programu zostali zakwalifikowani mieszkańcy gminy Choroszcz, którzy najpóźniej w dniu szczepienia ukończyli 65 lat, wyrazili chęć uczestnictwa w programie, a ich stan zdrowia ustalony po uprzednich badaniach kwalifikujących, pozwolił na podanie szczepionki przeciwko grypie sezonowej. W ramach programu, osoby spełniające ww. kryteria oraz zakwalifikowane przez lekarza, które dodatkowo podpisały </w:t>
      </w:r>
      <w:r w:rsidR="006D5ACE" w:rsidRPr="00EC0467">
        <w:rPr>
          <w:rFonts w:ascii="Lato" w:hAnsi="Lato" w:cs="Times New Roman"/>
          <w:bCs/>
          <w:i/>
          <w:color w:val="000000"/>
          <w:sz w:val="20"/>
          <w:szCs w:val="20"/>
        </w:rPr>
        <w:t>Rejestr osób zaszczepionych w ramach programu „</w:t>
      </w:r>
      <w:proofErr w:type="spellStart"/>
      <w:r w:rsidR="006D5ACE" w:rsidRPr="00EC0467">
        <w:rPr>
          <w:rFonts w:ascii="Lato" w:hAnsi="Lato" w:cs="Times New Roman"/>
          <w:bCs/>
          <w:i/>
          <w:color w:val="000000"/>
          <w:sz w:val="20"/>
          <w:szCs w:val="20"/>
        </w:rPr>
        <w:t>Grypoodporni</w:t>
      </w:r>
      <w:proofErr w:type="spellEnd"/>
      <w:r w:rsidR="006D5ACE" w:rsidRPr="00EC0467">
        <w:rPr>
          <w:rFonts w:ascii="Lato" w:hAnsi="Lato" w:cs="Times New Roman"/>
          <w:bCs/>
          <w:i/>
          <w:color w:val="000000"/>
          <w:sz w:val="20"/>
          <w:szCs w:val="20"/>
        </w:rPr>
        <w:t xml:space="preserve"> 65+” na 2022 r.</w:t>
      </w:r>
      <w:r w:rsidR="006D5ACE" w:rsidRPr="00EC0467">
        <w:rPr>
          <w:rFonts w:ascii="Lato" w:hAnsi="Lato" w:cs="Times New Roman"/>
          <w:bCs/>
          <w:color w:val="000000"/>
          <w:sz w:val="20"/>
          <w:szCs w:val="20"/>
        </w:rPr>
        <w:t xml:space="preserve"> (co było jednoznaczne z udzieleniem zgody na udział w programie), zostały poddane szczepieniu przeciwko grypie sezonowej szczepionką zarejestrowaną i dopuszczoną do obrotu w Polsce. </w:t>
      </w:r>
    </w:p>
    <w:p w14:paraId="774EFA07" w14:textId="77777777" w:rsidR="006D5ACE" w:rsidRPr="00EC0467" w:rsidRDefault="006D5ACE" w:rsidP="006D5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hAnsi="Lato" w:cs="Times New Roman"/>
          <w:sz w:val="20"/>
          <w:szCs w:val="20"/>
        </w:rPr>
      </w:pPr>
    </w:p>
    <w:p w14:paraId="044D11D5" w14:textId="0C01429E" w:rsidR="006D5ACE" w:rsidRPr="00547777" w:rsidRDefault="00547777" w:rsidP="00547777">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1BB1D479" w14:textId="77777777" w:rsidR="006D5ACE" w:rsidRPr="00547777" w:rsidRDefault="006D5ACE" w:rsidP="006D5ACE">
      <w:pPr>
        <w:tabs>
          <w:tab w:val="left" w:pos="709"/>
          <w:tab w:val="left" w:pos="851"/>
        </w:tabs>
        <w:spacing w:after="0" w:line="240" w:lineRule="auto"/>
        <w:jc w:val="both"/>
        <w:rPr>
          <w:rFonts w:ascii="Lato" w:hAnsi="Lato" w:cs="Times New Roman"/>
          <w:b/>
          <w:iCs/>
          <w:sz w:val="20"/>
          <w:szCs w:val="20"/>
        </w:rPr>
      </w:pPr>
      <w:r w:rsidRPr="00547777">
        <w:rPr>
          <w:rFonts w:ascii="Lato" w:hAnsi="Lato" w:cs="Times New Roman"/>
          <w:b/>
          <w:iCs/>
          <w:sz w:val="20"/>
          <w:szCs w:val="20"/>
        </w:rPr>
        <w:t>Miasto Białystok</w:t>
      </w:r>
    </w:p>
    <w:p w14:paraId="1030F35C" w14:textId="4F160BC8" w:rsidR="006D5ACE" w:rsidRDefault="006D5ACE" w:rsidP="006D5ACE">
      <w:pPr>
        <w:tabs>
          <w:tab w:val="left" w:pos="709"/>
          <w:tab w:val="left" w:pos="851"/>
        </w:tabs>
        <w:spacing w:after="0" w:line="240" w:lineRule="auto"/>
        <w:jc w:val="both"/>
        <w:rPr>
          <w:rFonts w:ascii="Lato" w:hAnsi="Lato" w:cs="Times New Roman"/>
          <w:color w:val="000000" w:themeColor="text1"/>
          <w:sz w:val="20"/>
          <w:szCs w:val="20"/>
        </w:rPr>
      </w:pPr>
      <w:r w:rsidRPr="00EC0467">
        <w:rPr>
          <w:rFonts w:ascii="Lato" w:hAnsi="Lato" w:cs="Times New Roman"/>
          <w:sz w:val="20"/>
          <w:szCs w:val="20"/>
        </w:rPr>
        <w:t xml:space="preserve">Ogłoszono konkurs na realizację zadania publicznego z zakresu pomocy społecznej pn. </w:t>
      </w:r>
      <w:r w:rsidRPr="00EC0467">
        <w:rPr>
          <w:rFonts w:ascii="Lato" w:hAnsi="Lato" w:cs="Times New Roman"/>
          <w:b/>
          <w:color w:val="000000" w:themeColor="text1"/>
          <w:sz w:val="20"/>
          <w:szCs w:val="20"/>
        </w:rPr>
        <w:t>„Zwiększenie poczucia bezpieczeństwa seniorów w miejscu ich zamieszkania poprzez wsparcie w formie konsultacji i drobnych napraw technicznych w 2022 roku”</w:t>
      </w:r>
      <w:r w:rsidRPr="00EC0467">
        <w:rPr>
          <w:rFonts w:ascii="Lato" w:hAnsi="Lato" w:cs="Times New Roman"/>
          <w:color w:val="000000" w:themeColor="text1"/>
          <w:sz w:val="20"/>
          <w:szCs w:val="20"/>
        </w:rPr>
        <w:t xml:space="preserve"> – Projekt realizowała Fundacja „</w:t>
      </w:r>
      <w:proofErr w:type="spellStart"/>
      <w:r w:rsidRPr="00EC0467">
        <w:rPr>
          <w:rFonts w:ascii="Lato" w:hAnsi="Lato" w:cs="Times New Roman"/>
          <w:color w:val="000000" w:themeColor="text1"/>
          <w:sz w:val="20"/>
          <w:szCs w:val="20"/>
        </w:rPr>
        <w:t>Spe</w:t>
      </w:r>
      <w:proofErr w:type="spellEnd"/>
      <w:r w:rsidRPr="00EC0467">
        <w:rPr>
          <w:rFonts w:ascii="Lato" w:hAnsi="Lato" w:cs="Times New Roman"/>
          <w:color w:val="000000" w:themeColor="text1"/>
          <w:sz w:val="20"/>
          <w:szCs w:val="20"/>
        </w:rPr>
        <w:t xml:space="preserve"> </w:t>
      </w:r>
      <w:proofErr w:type="spellStart"/>
      <w:r w:rsidRPr="00EC0467">
        <w:rPr>
          <w:rFonts w:ascii="Lato" w:hAnsi="Lato" w:cs="Times New Roman"/>
          <w:color w:val="000000" w:themeColor="text1"/>
          <w:sz w:val="20"/>
          <w:szCs w:val="20"/>
        </w:rPr>
        <w:t>Salvi</w:t>
      </w:r>
      <w:proofErr w:type="spellEnd"/>
      <w:r w:rsidRPr="00EC0467">
        <w:rPr>
          <w:rFonts w:ascii="Lato" w:hAnsi="Lato" w:cs="Times New Roman"/>
          <w:color w:val="000000" w:themeColor="text1"/>
          <w:sz w:val="20"/>
          <w:szCs w:val="20"/>
        </w:rPr>
        <w:t xml:space="preserve">” w Białymstoku. </w:t>
      </w:r>
    </w:p>
    <w:p w14:paraId="72D4217F" w14:textId="77777777" w:rsidR="00547777" w:rsidRPr="00EC0467" w:rsidRDefault="00547777" w:rsidP="006D5ACE">
      <w:pPr>
        <w:tabs>
          <w:tab w:val="left" w:pos="709"/>
          <w:tab w:val="left" w:pos="851"/>
        </w:tabs>
        <w:spacing w:after="0" w:line="240" w:lineRule="auto"/>
        <w:jc w:val="both"/>
        <w:rPr>
          <w:rFonts w:ascii="Lato" w:hAnsi="Lato" w:cs="Times New Roman"/>
          <w:sz w:val="20"/>
          <w:szCs w:val="20"/>
        </w:rPr>
      </w:pPr>
    </w:p>
    <w:p w14:paraId="40F4DC40" w14:textId="1BCEE13C" w:rsidR="006D5ACE" w:rsidRPr="00EC0467" w:rsidRDefault="006D5ACE" w:rsidP="00547777">
      <w:pPr>
        <w:spacing w:after="0" w:line="240" w:lineRule="auto"/>
        <w:jc w:val="both"/>
        <w:rPr>
          <w:rFonts w:ascii="Lato" w:hAnsi="Lato" w:cs="Times New Roman"/>
          <w:sz w:val="20"/>
          <w:szCs w:val="20"/>
        </w:rPr>
      </w:pPr>
      <w:r w:rsidRPr="00EC0467">
        <w:rPr>
          <w:rFonts w:ascii="Lato" w:hAnsi="Lato" w:cs="Times New Roman"/>
          <w:color w:val="000000" w:themeColor="text1"/>
          <w:sz w:val="20"/>
          <w:szCs w:val="20"/>
        </w:rPr>
        <w:t xml:space="preserve">Celem zadania było zwiększenie poziomu bezpieczeństwa osobistego starszych mieszkańców Białegostoku poprzez ograniczenie wystąpienia zagrożenia dla zdrowia z powodu nieprawności instalacji, </w:t>
      </w:r>
      <w:r w:rsidRPr="00EC0467">
        <w:rPr>
          <w:rFonts w:ascii="Lato" w:hAnsi="Lato" w:cs="Times New Roman"/>
          <w:color w:val="000000" w:themeColor="text1"/>
          <w:sz w:val="20"/>
          <w:szCs w:val="20"/>
        </w:rPr>
        <w:lastRenderedPageBreak/>
        <w:t xml:space="preserve">sprzętów i urządzeń domowych. Zadanie było realizowane w okresie od stycznia do grudnia 2022 roku. </w:t>
      </w:r>
      <w:r w:rsidRPr="00EC0467">
        <w:rPr>
          <w:rFonts w:ascii="Lato" w:hAnsi="Lato" w:cs="Times New Roman"/>
          <w:bCs/>
          <w:color w:val="000000" w:themeColor="text1"/>
          <w:sz w:val="20"/>
          <w:szCs w:val="20"/>
        </w:rPr>
        <w:t>Projekt realizowała Fundacja „</w:t>
      </w:r>
      <w:proofErr w:type="spellStart"/>
      <w:r w:rsidRPr="00EC0467">
        <w:rPr>
          <w:rFonts w:ascii="Lato" w:hAnsi="Lato" w:cs="Times New Roman"/>
          <w:bCs/>
          <w:color w:val="000000" w:themeColor="text1"/>
          <w:sz w:val="20"/>
          <w:szCs w:val="20"/>
        </w:rPr>
        <w:t>Spe</w:t>
      </w:r>
      <w:proofErr w:type="spellEnd"/>
      <w:r w:rsidRPr="00EC0467">
        <w:rPr>
          <w:rFonts w:ascii="Lato" w:hAnsi="Lato" w:cs="Times New Roman"/>
          <w:bCs/>
          <w:color w:val="000000" w:themeColor="text1"/>
          <w:sz w:val="20"/>
          <w:szCs w:val="20"/>
        </w:rPr>
        <w:t xml:space="preserve"> </w:t>
      </w:r>
      <w:proofErr w:type="spellStart"/>
      <w:r w:rsidRPr="00EC0467">
        <w:rPr>
          <w:rFonts w:ascii="Lato" w:hAnsi="Lato" w:cs="Times New Roman"/>
          <w:bCs/>
          <w:color w:val="000000" w:themeColor="text1"/>
          <w:sz w:val="20"/>
          <w:szCs w:val="20"/>
        </w:rPr>
        <w:t>Salvi</w:t>
      </w:r>
      <w:proofErr w:type="spellEnd"/>
      <w:r w:rsidRPr="00EC0467">
        <w:rPr>
          <w:rFonts w:ascii="Lato" w:hAnsi="Lato" w:cs="Times New Roman"/>
          <w:bCs/>
          <w:color w:val="000000" w:themeColor="text1"/>
          <w:sz w:val="20"/>
          <w:szCs w:val="20"/>
        </w:rPr>
        <w:t xml:space="preserve">”. W ramach zadania seniorzy mogli korzystać z bezpłatnej pomocy fachowców przy drobnych naprawach domowych. Miasto chciało w ten sposób pomóc seniorom w wieku powyżej 60. roku życia, przede wszystkim osobom samotnym, dysponującym niskimi dochodami, schorowanym i niepełnosprawnym. </w:t>
      </w:r>
      <w:r w:rsidRPr="00EC0467">
        <w:rPr>
          <w:rFonts w:ascii="Lato" w:hAnsi="Lato" w:cs="Times New Roman"/>
          <w:color w:val="000000" w:themeColor="text1"/>
          <w:sz w:val="20"/>
          <w:szCs w:val="20"/>
        </w:rPr>
        <w:t>Z takiej pomocy „</w:t>
      </w:r>
      <w:r w:rsidRPr="00EC0467">
        <w:rPr>
          <w:rFonts w:ascii="Lato" w:hAnsi="Lato" w:cs="Times New Roman"/>
          <w:b/>
          <w:color w:val="000000" w:themeColor="text1"/>
          <w:sz w:val="20"/>
          <w:szCs w:val="20"/>
        </w:rPr>
        <w:t>złotej rączki</w:t>
      </w:r>
      <w:r w:rsidRPr="00EC0467">
        <w:rPr>
          <w:rFonts w:ascii="Lato" w:hAnsi="Lato" w:cs="Times New Roman"/>
          <w:color w:val="000000" w:themeColor="text1"/>
          <w:sz w:val="20"/>
          <w:szCs w:val="20"/>
        </w:rPr>
        <w:t xml:space="preserve">” skorzystało 423 seniorów - wykonano 620 usług. Zakres konsultacji technicznych i drobnych napraw obejmował m.in. naprawę baterii, wymianę uszczelek, naprawę lub regulację drzwi lub okien, regulację zamków, montaż gniazdek i włączników. </w:t>
      </w:r>
    </w:p>
    <w:p w14:paraId="1A65A9A1" w14:textId="77777777" w:rsidR="00547777" w:rsidRDefault="00547777" w:rsidP="00547777">
      <w:pPr>
        <w:spacing w:after="0" w:line="240" w:lineRule="auto"/>
        <w:jc w:val="both"/>
        <w:rPr>
          <w:rFonts w:ascii="Lato" w:hAnsi="Lato" w:cs="Times New Roman"/>
          <w:color w:val="000000" w:themeColor="text1"/>
          <w:sz w:val="20"/>
          <w:szCs w:val="20"/>
        </w:rPr>
      </w:pPr>
    </w:p>
    <w:p w14:paraId="0CB25633" w14:textId="1DE967AE" w:rsidR="006D5ACE" w:rsidRPr="00EC0467" w:rsidRDefault="006D5ACE" w:rsidP="00547777">
      <w:pPr>
        <w:spacing w:after="0" w:line="240" w:lineRule="auto"/>
        <w:jc w:val="both"/>
        <w:rPr>
          <w:rFonts w:ascii="Lato" w:hAnsi="Lato" w:cs="Times New Roman"/>
          <w:sz w:val="20"/>
          <w:szCs w:val="20"/>
        </w:rPr>
      </w:pPr>
      <w:r w:rsidRPr="00EC0467">
        <w:rPr>
          <w:rFonts w:ascii="Lato" w:hAnsi="Lato" w:cs="Times New Roman"/>
          <w:color w:val="000000" w:themeColor="text1"/>
          <w:sz w:val="20"/>
          <w:szCs w:val="20"/>
        </w:rPr>
        <w:t xml:space="preserve">Z uwagi na duże zainteresowanie programem w miesiącach listopadzie i grudniu 2022 r. </w:t>
      </w:r>
      <w:r w:rsidRPr="00EC0467">
        <w:rPr>
          <w:rFonts w:ascii="Lato" w:hAnsi="Lato" w:cs="Times New Roman"/>
          <w:color w:val="000000" w:themeColor="text1"/>
          <w:sz w:val="20"/>
          <w:szCs w:val="20"/>
        </w:rPr>
        <w:br/>
        <w:t>w ramach zadania "Nieodpłatna pomoc seniorom 60+ w naprawach domowych" Fundacji "</w:t>
      </w:r>
      <w:proofErr w:type="spellStart"/>
      <w:r w:rsidRPr="00EC0467">
        <w:rPr>
          <w:rFonts w:ascii="Lato" w:hAnsi="Lato" w:cs="Times New Roman"/>
          <w:color w:val="000000" w:themeColor="text1"/>
          <w:sz w:val="20"/>
          <w:szCs w:val="20"/>
        </w:rPr>
        <w:t>Spe</w:t>
      </w:r>
      <w:proofErr w:type="spellEnd"/>
      <w:r w:rsidRPr="00EC0467">
        <w:rPr>
          <w:rFonts w:ascii="Lato" w:hAnsi="Lato" w:cs="Times New Roman"/>
          <w:color w:val="000000" w:themeColor="text1"/>
          <w:sz w:val="20"/>
          <w:szCs w:val="20"/>
        </w:rPr>
        <w:t xml:space="preserve"> </w:t>
      </w:r>
      <w:proofErr w:type="spellStart"/>
      <w:r w:rsidRPr="00EC0467">
        <w:rPr>
          <w:rFonts w:ascii="Lato" w:hAnsi="Lato" w:cs="Times New Roman"/>
          <w:color w:val="000000" w:themeColor="text1"/>
          <w:sz w:val="20"/>
          <w:szCs w:val="20"/>
        </w:rPr>
        <w:t>Salvi</w:t>
      </w:r>
      <w:proofErr w:type="spellEnd"/>
      <w:r w:rsidRPr="00EC0467">
        <w:rPr>
          <w:rFonts w:ascii="Lato" w:hAnsi="Lato" w:cs="Times New Roman"/>
          <w:color w:val="000000" w:themeColor="text1"/>
          <w:sz w:val="20"/>
          <w:szCs w:val="20"/>
        </w:rPr>
        <w:t xml:space="preserve">" zostało zleconych wykonanie dodatkowych 30 usług, na realizację których Miasto przeznaczyło dodatkowe środki. </w:t>
      </w:r>
      <w:r w:rsidR="00547777" w:rsidRPr="00EC0467">
        <w:rPr>
          <w:rFonts w:ascii="Lato" w:hAnsi="Lato" w:cs="Times New Roman"/>
          <w:sz w:val="20"/>
          <w:szCs w:val="20"/>
        </w:rPr>
        <w:t xml:space="preserve"> </w:t>
      </w:r>
    </w:p>
    <w:p w14:paraId="30A198ED" w14:textId="77777777" w:rsidR="006D5ACE" w:rsidRPr="00EC0467" w:rsidRDefault="006D5ACE" w:rsidP="006D5ACE">
      <w:pPr>
        <w:spacing w:after="0" w:line="240" w:lineRule="auto"/>
        <w:jc w:val="both"/>
        <w:rPr>
          <w:rFonts w:ascii="Lato" w:hAnsi="Lato" w:cs="Times New Roman"/>
          <w:b/>
          <w:i/>
          <w:sz w:val="20"/>
          <w:szCs w:val="20"/>
        </w:rPr>
      </w:pPr>
    </w:p>
    <w:p w14:paraId="427490FE" w14:textId="77777777" w:rsidR="006D5ACE" w:rsidRPr="00547777" w:rsidRDefault="006D5ACE" w:rsidP="006D5ACE">
      <w:pPr>
        <w:spacing w:after="0" w:line="240" w:lineRule="auto"/>
        <w:jc w:val="both"/>
        <w:rPr>
          <w:rFonts w:ascii="Lato" w:hAnsi="Lato" w:cs="Times New Roman"/>
          <w:b/>
          <w:iCs/>
          <w:sz w:val="20"/>
          <w:szCs w:val="20"/>
        </w:rPr>
      </w:pPr>
      <w:r w:rsidRPr="00547777">
        <w:rPr>
          <w:rFonts w:ascii="Lato" w:hAnsi="Lato" w:cs="Times New Roman"/>
          <w:b/>
          <w:iCs/>
          <w:sz w:val="20"/>
          <w:szCs w:val="20"/>
        </w:rPr>
        <w:t>Miasto Suwałki</w:t>
      </w:r>
    </w:p>
    <w:p w14:paraId="0CEB3266" w14:textId="1E3B2EFE" w:rsidR="006D5ACE" w:rsidRDefault="006D5ACE" w:rsidP="006D5ACE">
      <w:pPr>
        <w:spacing w:after="0" w:line="240" w:lineRule="auto"/>
        <w:jc w:val="both"/>
        <w:rPr>
          <w:rFonts w:ascii="Lato" w:hAnsi="Lato" w:cs="Times New Roman"/>
          <w:sz w:val="20"/>
          <w:szCs w:val="20"/>
        </w:rPr>
      </w:pPr>
      <w:r w:rsidRPr="00EC0467">
        <w:rPr>
          <w:rFonts w:ascii="Lato" w:hAnsi="Lato" w:cs="Times New Roman"/>
          <w:sz w:val="20"/>
          <w:szCs w:val="20"/>
        </w:rPr>
        <w:t xml:space="preserve">W 2022 r. kontynuowano Program </w:t>
      </w:r>
      <w:r w:rsidRPr="00EC0467">
        <w:rPr>
          <w:rFonts w:ascii="Lato" w:hAnsi="Lato" w:cs="Times New Roman"/>
          <w:b/>
          <w:sz w:val="20"/>
          <w:szCs w:val="20"/>
        </w:rPr>
        <w:t>,,Złota Rączka dla seniora”,</w:t>
      </w:r>
      <w:r w:rsidRPr="00EC0467">
        <w:rPr>
          <w:rFonts w:ascii="Lato" w:hAnsi="Lato" w:cs="Times New Roman"/>
          <w:sz w:val="20"/>
          <w:szCs w:val="20"/>
        </w:rPr>
        <w:t xml:space="preserve"> którego realizatorem była Spółdzielnia Socjalna ,,Perspektywa” w Suwałkach. Głównym celem projektu był rozwój usług społecznych na rzecz osób starszych. Poprzez świadczenie bezpłatnych usług Programu zwiększone zostało bezpieczeństwo osób starszych w sferze „trudu codziennych przeciwności” z jakimi borykają się na co dzień seniorzy chociażby takich jak: wymiana żarówek, gniazdek elektrycznych, uszczelek przeciekających w kranach lub baterii, uszczelnianie przecieków za pomocą silikonu, odpowietrzenie kaloryferów, wymianę lub montaż zamków w drzwiach oraz klamek, jak również naprawę mebli i montaż elementów wyposażenia wnętrz. Program dedykowany jest mieszkańcom Suwałk samotnie zamieszkującym w wieku powyżej 70 lat lub w wieku powyżej 60 lat z orzeczeniem, umiarkowanym lub znacznym stopniem niepełnosprawności.. W 2022 roku z usług ,,Złotej Rączki” skorzystały 182 osoby, wykonano 1000 usług, przyjęto 293 zgłoszeń. </w:t>
      </w:r>
    </w:p>
    <w:p w14:paraId="5F868343" w14:textId="77777777" w:rsidR="00547777" w:rsidRPr="00EC0467" w:rsidRDefault="00547777" w:rsidP="006D5ACE">
      <w:pPr>
        <w:spacing w:after="0" w:line="240" w:lineRule="auto"/>
        <w:jc w:val="both"/>
        <w:rPr>
          <w:rFonts w:ascii="Lato" w:hAnsi="Lato" w:cs="Times New Roman"/>
          <w:sz w:val="20"/>
          <w:szCs w:val="20"/>
        </w:rPr>
      </w:pPr>
    </w:p>
    <w:p w14:paraId="32BAFBE8" w14:textId="697B6CBC" w:rsidR="006D5ACE" w:rsidRPr="00EC0467" w:rsidRDefault="006D5ACE" w:rsidP="006D5ACE">
      <w:pPr>
        <w:spacing w:after="0" w:line="240" w:lineRule="auto"/>
        <w:jc w:val="both"/>
        <w:rPr>
          <w:rFonts w:ascii="Lato" w:hAnsi="Lato" w:cs="Times New Roman"/>
          <w:sz w:val="20"/>
          <w:szCs w:val="20"/>
        </w:rPr>
      </w:pPr>
      <w:r w:rsidRPr="00EC0467">
        <w:rPr>
          <w:rFonts w:ascii="Lato" w:hAnsi="Lato" w:cs="Times New Roman"/>
          <w:b/>
          <w:sz w:val="20"/>
          <w:szCs w:val="20"/>
        </w:rPr>
        <w:t xml:space="preserve">Program Suwalska Karta Mieszkańca – </w:t>
      </w:r>
      <w:r w:rsidRPr="00EC0467">
        <w:rPr>
          <w:rFonts w:ascii="Lato" w:hAnsi="Lato" w:cs="Times New Roman"/>
          <w:sz w:val="20"/>
          <w:szCs w:val="20"/>
        </w:rPr>
        <w:t xml:space="preserve">program funkcjonuje od 2018 r. i ma na celu poprawę warunków życia mieszkańców Miasta, w tym seniorów poprzez zwolnienie lub bonifikaty w dostępie do usług publicznych w zakresie kultury, sportu, rekreacji i komunikacji miejskiej. Celem Programu jest poprawa warunków życia mieszkańców, poprzez zmniejszenie obciążeń finansowych, umacnianie poczucia tożsamości lokalnej mieszkańców czy też promocja korzystania ze środków komunikacji miejskiej. Karta seniora przyznawana jest bezterminowo. Trzydzieści sześć podmiotów udziela ulg dla seniorów. </w:t>
      </w:r>
    </w:p>
    <w:p w14:paraId="4A5EC148" w14:textId="77777777" w:rsidR="006D5ACE" w:rsidRPr="00EC0467" w:rsidRDefault="006D5ACE" w:rsidP="006D5ACE">
      <w:pPr>
        <w:spacing w:after="0" w:line="240" w:lineRule="auto"/>
        <w:jc w:val="both"/>
        <w:rPr>
          <w:rFonts w:ascii="Lato" w:hAnsi="Lato" w:cs="Times New Roman"/>
          <w:b/>
          <w:i/>
          <w:sz w:val="20"/>
          <w:szCs w:val="20"/>
        </w:rPr>
      </w:pPr>
    </w:p>
    <w:p w14:paraId="3029C45E" w14:textId="77777777" w:rsidR="006D5ACE" w:rsidRPr="00547777" w:rsidRDefault="006D5ACE" w:rsidP="006D5ACE">
      <w:pPr>
        <w:spacing w:after="0" w:line="240" w:lineRule="auto"/>
        <w:jc w:val="both"/>
        <w:rPr>
          <w:rFonts w:ascii="Lato" w:hAnsi="Lato" w:cs="Times New Roman"/>
          <w:b/>
          <w:iCs/>
          <w:sz w:val="20"/>
          <w:szCs w:val="20"/>
        </w:rPr>
      </w:pPr>
      <w:r w:rsidRPr="00547777">
        <w:rPr>
          <w:rFonts w:ascii="Lato" w:hAnsi="Lato" w:cs="Times New Roman"/>
          <w:b/>
          <w:iCs/>
          <w:sz w:val="20"/>
          <w:szCs w:val="20"/>
        </w:rPr>
        <w:t>Gmina Czyże</w:t>
      </w:r>
    </w:p>
    <w:p w14:paraId="4D5F227D" w14:textId="19E4CC50" w:rsidR="006D5ACE" w:rsidRPr="00EC0467" w:rsidRDefault="006D5ACE" w:rsidP="006D5ACE">
      <w:pPr>
        <w:spacing w:after="0" w:line="240" w:lineRule="auto"/>
        <w:jc w:val="both"/>
        <w:rPr>
          <w:rFonts w:ascii="Lato" w:hAnsi="Lato" w:cs="Times New Roman"/>
          <w:sz w:val="20"/>
          <w:szCs w:val="20"/>
        </w:rPr>
      </w:pPr>
      <w:r w:rsidRPr="00EC0467">
        <w:rPr>
          <w:rFonts w:ascii="Lato" w:hAnsi="Lato" w:cs="Times New Roman"/>
          <w:b/>
          <w:sz w:val="20"/>
          <w:szCs w:val="20"/>
        </w:rPr>
        <w:t>„Uważny senior”</w:t>
      </w:r>
      <w:r w:rsidRPr="00EC0467">
        <w:rPr>
          <w:rFonts w:ascii="Lato" w:hAnsi="Lato" w:cs="Times New Roman"/>
          <w:sz w:val="20"/>
          <w:szCs w:val="20"/>
        </w:rPr>
        <w:t xml:space="preserve"> – spotkanie z przedstawicielem Państwowej Straży Pożarnej. W trakcie spotkania seniorzy dowiedzieli się, jakie skutki może nieść ze sobą niedokonywanie okresowych przeglądów przewodów kominowych oraz wentylacyjnych, w jaki sposób ustrzec się przed czadem, a także jak udzielić pierwszej pomocy osobie zaczadzonej. W czasie spotkania została przedstawiona zasada działania czujnika tlenku węgla.</w:t>
      </w:r>
    </w:p>
    <w:p w14:paraId="222D5680" w14:textId="77777777" w:rsidR="00547777" w:rsidRDefault="00547777" w:rsidP="006D5ACE">
      <w:pPr>
        <w:spacing w:after="0" w:line="240" w:lineRule="auto"/>
        <w:jc w:val="both"/>
        <w:rPr>
          <w:rFonts w:ascii="Lato" w:hAnsi="Lato" w:cs="Times New Roman"/>
          <w:sz w:val="20"/>
          <w:szCs w:val="20"/>
        </w:rPr>
      </w:pPr>
    </w:p>
    <w:p w14:paraId="55BAF52B" w14:textId="0C513365" w:rsidR="006D5ACE" w:rsidRPr="00EC0467" w:rsidRDefault="006D5ACE" w:rsidP="006D5ACE">
      <w:pPr>
        <w:spacing w:after="0" w:line="240" w:lineRule="auto"/>
        <w:jc w:val="both"/>
        <w:rPr>
          <w:rFonts w:ascii="Lato" w:hAnsi="Lato" w:cs="Times New Roman"/>
          <w:sz w:val="20"/>
          <w:szCs w:val="20"/>
        </w:rPr>
      </w:pPr>
      <w:r w:rsidRPr="00EC0467">
        <w:rPr>
          <w:rFonts w:ascii="Lato" w:hAnsi="Lato" w:cs="Times New Roman"/>
          <w:b/>
          <w:sz w:val="20"/>
          <w:szCs w:val="20"/>
        </w:rPr>
        <w:t>„Senior ratownik”</w:t>
      </w:r>
      <w:r w:rsidRPr="00EC0467">
        <w:rPr>
          <w:rFonts w:ascii="Lato" w:hAnsi="Lato" w:cs="Times New Roman"/>
          <w:sz w:val="20"/>
          <w:szCs w:val="20"/>
        </w:rPr>
        <w:t xml:space="preserve"> – podstawowy kurs I pomocy. Podczas spotkania instruktorzy pierwszej pomocy opowiedzieli o obserwacji samego siebie, swojego męża, czy osoby z najbliższego otoczenia. Zwrócili uwagę na umiejętności rozpoznawania objawów chorób u siebie i innych, rejestrowanie zmian w swoim zdrowiu, zapisywanie zmian po to żeby lekarz mógł lepiej pomóc. Ważne jest również odpowiednie reagowanie, pamiętanie ważnych numerów telefonów i numerów alarmowych. Seniorzy nabyli podstawowe umiejętności z zakresu I pomocy.</w:t>
      </w:r>
    </w:p>
    <w:p w14:paraId="005C51B6" w14:textId="77777777" w:rsidR="006D5ACE" w:rsidRPr="00EC0467" w:rsidRDefault="006D5ACE" w:rsidP="006D5ACE">
      <w:pPr>
        <w:spacing w:after="0" w:line="240" w:lineRule="auto"/>
        <w:jc w:val="both"/>
        <w:rPr>
          <w:rFonts w:ascii="Lato" w:hAnsi="Lato" w:cs="Times New Roman"/>
          <w:b/>
          <w:sz w:val="20"/>
          <w:szCs w:val="20"/>
          <w:u w:val="single"/>
        </w:rPr>
      </w:pPr>
    </w:p>
    <w:p w14:paraId="440AA7DF" w14:textId="64738723" w:rsidR="006D5ACE" w:rsidRPr="00547777" w:rsidRDefault="00547777" w:rsidP="006D5ACE">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67D6E68F" w14:textId="77777777" w:rsidR="006D5ACE" w:rsidRPr="00547777" w:rsidRDefault="006D5ACE" w:rsidP="006D5ACE">
      <w:pPr>
        <w:tabs>
          <w:tab w:val="left" w:pos="709"/>
          <w:tab w:val="left" w:pos="851"/>
        </w:tabs>
        <w:spacing w:after="0" w:line="240" w:lineRule="auto"/>
        <w:jc w:val="both"/>
        <w:rPr>
          <w:rFonts w:ascii="Lato" w:hAnsi="Lato" w:cs="Times New Roman"/>
          <w:b/>
          <w:iCs/>
          <w:sz w:val="20"/>
          <w:szCs w:val="20"/>
        </w:rPr>
      </w:pPr>
      <w:r w:rsidRPr="00547777">
        <w:rPr>
          <w:rFonts w:ascii="Lato" w:hAnsi="Lato" w:cs="Times New Roman"/>
          <w:b/>
          <w:iCs/>
          <w:sz w:val="20"/>
          <w:szCs w:val="20"/>
        </w:rPr>
        <w:t>Miasto Białystok</w:t>
      </w:r>
    </w:p>
    <w:p w14:paraId="5E5C60ED" w14:textId="77777777" w:rsidR="00547777" w:rsidRDefault="006D5ACE" w:rsidP="00547777">
      <w:pPr>
        <w:tabs>
          <w:tab w:val="left" w:pos="709"/>
          <w:tab w:val="left" w:pos="851"/>
        </w:tabs>
        <w:spacing w:after="0" w:line="240" w:lineRule="auto"/>
        <w:jc w:val="both"/>
        <w:rPr>
          <w:rFonts w:ascii="Lato" w:hAnsi="Lato" w:cs="Times New Roman"/>
          <w:color w:val="000000" w:themeColor="text1"/>
          <w:sz w:val="20"/>
          <w:szCs w:val="20"/>
        </w:rPr>
      </w:pPr>
      <w:r w:rsidRPr="00547777">
        <w:rPr>
          <w:rStyle w:val="Pogrubienie"/>
          <w:rFonts w:ascii="Lato" w:hAnsi="Lato" w:cs="Times New Roman"/>
          <w:color w:val="000000" w:themeColor="text1"/>
          <w:sz w:val="20"/>
          <w:szCs w:val="20"/>
        </w:rPr>
        <w:t>„Bezpieczny senior</w:t>
      </w:r>
      <w:r w:rsidRPr="00547777">
        <w:rPr>
          <w:rFonts w:ascii="Lato" w:hAnsi="Lato" w:cs="Times New Roman"/>
          <w:b/>
          <w:color w:val="000000" w:themeColor="text1"/>
          <w:sz w:val="20"/>
          <w:szCs w:val="20"/>
        </w:rPr>
        <w:t xml:space="preserve">” </w:t>
      </w:r>
      <w:r w:rsidRPr="00547777">
        <w:rPr>
          <w:rFonts w:ascii="Lato" w:hAnsi="Lato" w:cs="Times New Roman"/>
          <w:color w:val="000000" w:themeColor="text1"/>
          <w:sz w:val="20"/>
          <w:szCs w:val="20"/>
        </w:rPr>
        <w:t>– Projekt realizowała Fundacja #BiałystokDziałaMY.</w:t>
      </w:r>
      <w:r w:rsidRPr="00547777">
        <w:rPr>
          <w:rFonts w:ascii="Lato" w:hAnsi="Lato" w:cs="Times New Roman"/>
          <w:b/>
          <w:sz w:val="20"/>
          <w:szCs w:val="20"/>
        </w:rPr>
        <w:t xml:space="preserve"> </w:t>
      </w:r>
      <w:r w:rsidRPr="00547777">
        <w:rPr>
          <w:rFonts w:ascii="Lato" w:hAnsi="Lato" w:cs="Times New Roman"/>
          <w:color w:val="000000" w:themeColor="text1"/>
          <w:sz w:val="20"/>
          <w:szCs w:val="20"/>
        </w:rPr>
        <w:t>Jego celem było zwiększenie poziomu bezpieczeństwa osobistego seniorów w wieku 60 lat i więcej, poprzez organizację cyklu 3 edukacyjnych spotkań na temat szeroko pojętego bezpieczeństwa we współpracy z:</w:t>
      </w:r>
    </w:p>
    <w:p w14:paraId="14556834" w14:textId="77777777" w:rsidR="00547777" w:rsidRDefault="006D5ACE" w:rsidP="0059185B">
      <w:pPr>
        <w:pStyle w:val="Akapitzlist"/>
        <w:numPr>
          <w:ilvl w:val="0"/>
          <w:numId w:val="92"/>
        </w:numPr>
        <w:tabs>
          <w:tab w:val="left" w:pos="709"/>
          <w:tab w:val="left" w:pos="851"/>
        </w:tabs>
        <w:spacing w:after="0" w:line="240" w:lineRule="auto"/>
        <w:jc w:val="both"/>
        <w:rPr>
          <w:rFonts w:ascii="Lato" w:hAnsi="Lato" w:cs="Times New Roman"/>
          <w:b/>
          <w:sz w:val="20"/>
          <w:szCs w:val="20"/>
        </w:rPr>
      </w:pPr>
      <w:r w:rsidRPr="00547777">
        <w:rPr>
          <w:rFonts w:ascii="Lato" w:hAnsi="Lato"/>
          <w:color w:val="000000" w:themeColor="text1"/>
          <w:sz w:val="20"/>
          <w:szCs w:val="20"/>
        </w:rPr>
        <w:t>Miejskim Rzecznikiem Konsumentów, który przedstawił seniorom informacje na temat praw konsumenta oraz możliwości odstąpienia od zawartej umowy i złożenia reklamacji, praw przysługujących przy zakupach w Internecie oraz zawieraniu umów poza lokalem sprzedawcy;</w:t>
      </w:r>
    </w:p>
    <w:p w14:paraId="7E6730AE" w14:textId="77777777" w:rsidR="00547777" w:rsidRDefault="006D5ACE" w:rsidP="0059185B">
      <w:pPr>
        <w:pStyle w:val="Akapitzlist"/>
        <w:numPr>
          <w:ilvl w:val="0"/>
          <w:numId w:val="92"/>
        </w:numPr>
        <w:tabs>
          <w:tab w:val="left" w:pos="709"/>
          <w:tab w:val="left" w:pos="851"/>
        </w:tabs>
        <w:spacing w:after="0" w:line="240" w:lineRule="auto"/>
        <w:jc w:val="both"/>
        <w:rPr>
          <w:rFonts w:ascii="Lato" w:hAnsi="Lato" w:cs="Times New Roman"/>
          <w:b/>
          <w:sz w:val="20"/>
          <w:szCs w:val="20"/>
        </w:rPr>
      </w:pPr>
      <w:r w:rsidRPr="00547777">
        <w:rPr>
          <w:rFonts w:ascii="Lato" w:hAnsi="Lato"/>
          <w:color w:val="000000" w:themeColor="text1"/>
          <w:sz w:val="20"/>
          <w:szCs w:val="20"/>
        </w:rPr>
        <w:t>funkcjonariuszami Komendy Miejskiej Policji w Białymstoku, którzy omówili metody stosowane przez oszustów podających się za członków rodziny, urzędników Zakładu Ubezpieczeń Społecznych, czy przedstawicieli służb mundurowych;</w:t>
      </w:r>
    </w:p>
    <w:p w14:paraId="03A683EC" w14:textId="61CC8716" w:rsidR="006D5ACE" w:rsidRPr="00547777" w:rsidRDefault="006D5ACE" w:rsidP="0059185B">
      <w:pPr>
        <w:pStyle w:val="Akapitzlist"/>
        <w:numPr>
          <w:ilvl w:val="0"/>
          <w:numId w:val="92"/>
        </w:numPr>
        <w:tabs>
          <w:tab w:val="left" w:pos="709"/>
          <w:tab w:val="left" w:pos="851"/>
        </w:tabs>
        <w:spacing w:after="0" w:line="240" w:lineRule="auto"/>
        <w:jc w:val="both"/>
        <w:rPr>
          <w:rFonts w:ascii="Lato" w:hAnsi="Lato" w:cs="Times New Roman"/>
          <w:b/>
          <w:sz w:val="20"/>
          <w:szCs w:val="20"/>
        </w:rPr>
      </w:pPr>
      <w:r w:rsidRPr="00547777">
        <w:rPr>
          <w:rFonts w:ascii="Lato" w:hAnsi="Lato"/>
          <w:color w:val="000000" w:themeColor="text1"/>
          <w:sz w:val="20"/>
          <w:szCs w:val="20"/>
        </w:rPr>
        <w:lastRenderedPageBreak/>
        <w:t xml:space="preserve">funkcjonariuszami Straży Miejskiej w Białymstoku, którzy omówili zagrożenia występujące zimą spowodowane niekorzystnymi warunkami atmosferycznymi np. w jaki sposób bezpiecznie korzystać z urządzeń grzewczych, jak zadbać o swoje posesje zimą. Podczas spotkania omówione zostały również zasady bezpiecznego podróżowania samochodem czy transportem publicznym. </w:t>
      </w:r>
    </w:p>
    <w:p w14:paraId="7F455154" w14:textId="77777777" w:rsidR="00547777" w:rsidRDefault="00547777" w:rsidP="00547777">
      <w:pPr>
        <w:spacing w:after="0" w:line="240" w:lineRule="auto"/>
        <w:jc w:val="both"/>
        <w:rPr>
          <w:rFonts w:ascii="Lato" w:hAnsi="Lato" w:cs="Times New Roman"/>
          <w:color w:val="000000" w:themeColor="text1"/>
          <w:sz w:val="20"/>
          <w:szCs w:val="20"/>
        </w:rPr>
      </w:pPr>
    </w:p>
    <w:p w14:paraId="261FB16E" w14:textId="57C36D4F" w:rsidR="006D5ACE" w:rsidRPr="00EC0467" w:rsidRDefault="006D5ACE" w:rsidP="00547777">
      <w:pPr>
        <w:spacing w:after="0" w:line="240" w:lineRule="auto"/>
        <w:jc w:val="both"/>
        <w:rPr>
          <w:rFonts w:ascii="Lato" w:hAnsi="Lato" w:cs="Times New Roman"/>
          <w:color w:val="000000" w:themeColor="text1"/>
          <w:sz w:val="20"/>
          <w:szCs w:val="20"/>
        </w:rPr>
      </w:pPr>
      <w:r w:rsidRPr="00EC0467">
        <w:rPr>
          <w:rFonts w:ascii="Lato" w:hAnsi="Lato" w:cs="Times New Roman"/>
          <w:color w:val="000000" w:themeColor="text1"/>
          <w:sz w:val="20"/>
          <w:szCs w:val="20"/>
        </w:rPr>
        <w:t xml:space="preserve">Seniorzy dowiedzieli się również, w jaki sposób bronić się w sytuacjach zagrażających ich poczuciu bezpieczeństwa, gdzie mogą zgłosić się po pomoc, gdzie szukać praktycznych informacji </w:t>
      </w:r>
      <w:r w:rsidRPr="00EC0467">
        <w:rPr>
          <w:rFonts w:ascii="Lato" w:hAnsi="Lato" w:cs="Times New Roman"/>
          <w:color w:val="000000" w:themeColor="text1"/>
          <w:sz w:val="20"/>
          <w:szCs w:val="20"/>
        </w:rPr>
        <w:br/>
        <w:t xml:space="preserve">i alarmowych numerów telefonów. </w:t>
      </w:r>
    </w:p>
    <w:p w14:paraId="5CA03084" w14:textId="77777777" w:rsidR="00547777" w:rsidRDefault="00547777" w:rsidP="006D5ACE">
      <w:pPr>
        <w:spacing w:after="0" w:line="240" w:lineRule="auto"/>
        <w:jc w:val="both"/>
        <w:rPr>
          <w:rFonts w:ascii="Lato" w:hAnsi="Lato" w:cs="Times New Roman"/>
          <w:color w:val="000000" w:themeColor="text1"/>
          <w:sz w:val="20"/>
          <w:szCs w:val="20"/>
        </w:rPr>
      </w:pPr>
    </w:p>
    <w:p w14:paraId="28E68162" w14:textId="08723071" w:rsidR="006D5ACE" w:rsidRPr="00EC0467" w:rsidRDefault="006D5ACE" w:rsidP="006D5ACE">
      <w:pPr>
        <w:spacing w:after="0" w:line="240" w:lineRule="auto"/>
        <w:jc w:val="both"/>
        <w:rPr>
          <w:rFonts w:ascii="Lato" w:hAnsi="Lato" w:cs="Times New Roman"/>
          <w:color w:val="000000" w:themeColor="text1"/>
          <w:sz w:val="20"/>
          <w:szCs w:val="20"/>
        </w:rPr>
      </w:pPr>
      <w:r w:rsidRPr="00EC0467">
        <w:rPr>
          <w:rFonts w:ascii="Lato" w:hAnsi="Lato" w:cs="Times New Roman"/>
          <w:b/>
          <w:color w:val="000000" w:themeColor="text1"/>
          <w:sz w:val="20"/>
          <w:szCs w:val="20"/>
        </w:rPr>
        <w:t>"Telefon życzliwości dla seniora"</w:t>
      </w:r>
      <w:r w:rsidRPr="00EC0467">
        <w:rPr>
          <w:rFonts w:ascii="Lato" w:hAnsi="Lato" w:cs="Times New Roman"/>
          <w:color w:val="000000" w:themeColor="text1"/>
          <w:sz w:val="20"/>
          <w:szCs w:val="20"/>
        </w:rPr>
        <w:t xml:space="preserve"> – projekt realizowała Caritas Archidiecezji Białostockiej. W okresie 05.12.2022 r. - 30.12.2022 r. uruchomiono tzw. "Telefon życzliwości dla seniora" skierowany do osób starszych i samotnych, potrzebujących wsparcia drugiej osoby. Infolinia była dostępna od poniedziałku do czwartku w godz. 16.00 - 18.00. </w:t>
      </w:r>
    </w:p>
    <w:p w14:paraId="2DFE5DD3" w14:textId="77777777" w:rsidR="006D5ACE" w:rsidRPr="00EC0467" w:rsidRDefault="006D5ACE" w:rsidP="006D5ACE">
      <w:pPr>
        <w:spacing w:after="0" w:line="240" w:lineRule="auto"/>
        <w:jc w:val="both"/>
        <w:rPr>
          <w:rFonts w:ascii="Lato" w:hAnsi="Lato" w:cs="Times New Roman"/>
          <w:b/>
          <w:sz w:val="20"/>
          <w:szCs w:val="20"/>
          <w:u w:val="single"/>
        </w:rPr>
      </w:pPr>
    </w:p>
    <w:p w14:paraId="12623D99" w14:textId="77777777" w:rsidR="006D5ACE" w:rsidRPr="00547777" w:rsidRDefault="006D5ACE" w:rsidP="006D5ACE">
      <w:pPr>
        <w:spacing w:after="0" w:line="240" w:lineRule="auto"/>
        <w:jc w:val="both"/>
        <w:rPr>
          <w:rFonts w:ascii="Lato" w:hAnsi="Lato" w:cs="Times New Roman"/>
          <w:b/>
          <w:iCs/>
          <w:sz w:val="20"/>
          <w:szCs w:val="20"/>
        </w:rPr>
      </w:pPr>
      <w:r w:rsidRPr="00547777">
        <w:rPr>
          <w:rFonts w:ascii="Lato" w:hAnsi="Lato" w:cs="Times New Roman"/>
          <w:b/>
          <w:iCs/>
          <w:sz w:val="20"/>
          <w:szCs w:val="20"/>
        </w:rPr>
        <w:t xml:space="preserve">Miasto Augustów </w:t>
      </w:r>
    </w:p>
    <w:p w14:paraId="5DE1D72B" w14:textId="1A7B918B" w:rsidR="006D5ACE" w:rsidRPr="00EC0467" w:rsidRDefault="006D5ACE" w:rsidP="006D5ACE">
      <w:pPr>
        <w:spacing w:after="0" w:line="240" w:lineRule="auto"/>
        <w:jc w:val="both"/>
        <w:rPr>
          <w:rFonts w:ascii="Lato" w:hAnsi="Lato" w:cs="Times New Roman"/>
          <w:sz w:val="20"/>
          <w:szCs w:val="20"/>
        </w:rPr>
      </w:pPr>
      <w:r w:rsidRPr="00EC0467">
        <w:rPr>
          <w:rFonts w:ascii="Lato" w:hAnsi="Lato" w:cs="Times New Roman"/>
          <w:sz w:val="20"/>
          <w:szCs w:val="20"/>
        </w:rPr>
        <w:t xml:space="preserve">Projekt </w:t>
      </w:r>
      <w:r w:rsidRPr="00EC0467">
        <w:rPr>
          <w:rFonts w:ascii="Lato" w:hAnsi="Lato" w:cs="Times New Roman"/>
          <w:b/>
          <w:sz w:val="20"/>
          <w:szCs w:val="20"/>
        </w:rPr>
        <w:t>„Otoczeni troską”</w:t>
      </w:r>
      <w:r w:rsidRPr="00EC0467">
        <w:rPr>
          <w:rFonts w:ascii="Lato" w:hAnsi="Lato" w:cs="Times New Roman"/>
          <w:sz w:val="20"/>
          <w:szCs w:val="20"/>
        </w:rPr>
        <w:t xml:space="preserve"> współfinansowany ze środków Unii Europejskiej W ramach zadania 86 seniorów (15 mężczyzn i 71 kobiet) z terenu miasta Augustowa otrzymało sprzęt medyczny w postaci opaski medycznej oraz pomoc specjalistów (pielęgniarki, psychologa, terapeuty zajęciowego oraz rehabilitanta).</w:t>
      </w:r>
    </w:p>
    <w:p w14:paraId="3C087C7D" w14:textId="77777777" w:rsidR="006D5ACE" w:rsidRPr="00EC0467" w:rsidRDefault="006D5ACE" w:rsidP="006D5ACE">
      <w:pPr>
        <w:spacing w:after="0" w:line="240" w:lineRule="auto"/>
        <w:jc w:val="both"/>
        <w:rPr>
          <w:rFonts w:ascii="Lato" w:hAnsi="Lato" w:cs="Times New Roman"/>
          <w:sz w:val="20"/>
          <w:szCs w:val="20"/>
        </w:rPr>
      </w:pPr>
    </w:p>
    <w:p w14:paraId="2C9CA885" w14:textId="77777777" w:rsidR="006D5ACE" w:rsidRPr="00547777" w:rsidRDefault="006D5ACE" w:rsidP="006D5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hAnsi="Lato" w:cs="Times New Roman"/>
          <w:b/>
          <w:iCs/>
          <w:sz w:val="20"/>
          <w:szCs w:val="20"/>
        </w:rPr>
      </w:pPr>
      <w:r w:rsidRPr="00547777">
        <w:rPr>
          <w:rFonts w:ascii="Lato" w:hAnsi="Lato" w:cs="Times New Roman"/>
          <w:b/>
          <w:iCs/>
          <w:sz w:val="20"/>
          <w:szCs w:val="20"/>
        </w:rPr>
        <w:t>Miasto Suwałki</w:t>
      </w:r>
    </w:p>
    <w:p w14:paraId="10F9B961" w14:textId="28759859" w:rsidR="006D5ACE" w:rsidRPr="00EC0467" w:rsidRDefault="006D5ACE" w:rsidP="006D5ACE">
      <w:pPr>
        <w:tabs>
          <w:tab w:val="left" w:pos="284"/>
        </w:tabs>
        <w:spacing w:after="0" w:line="240" w:lineRule="auto"/>
        <w:jc w:val="both"/>
        <w:rPr>
          <w:rFonts w:ascii="Lato" w:hAnsi="Lato" w:cs="Times New Roman"/>
          <w:sz w:val="20"/>
          <w:szCs w:val="20"/>
        </w:rPr>
      </w:pPr>
      <w:r w:rsidRPr="00EC0467">
        <w:rPr>
          <w:rFonts w:ascii="Lato" w:hAnsi="Lato" w:cs="Times New Roman"/>
          <w:sz w:val="20"/>
          <w:szCs w:val="20"/>
        </w:rPr>
        <w:t>Program</w:t>
      </w:r>
      <w:r w:rsidRPr="00EC0467">
        <w:rPr>
          <w:rFonts w:ascii="Lato" w:hAnsi="Lato" w:cs="Times New Roman"/>
          <w:b/>
          <w:sz w:val="20"/>
          <w:szCs w:val="20"/>
        </w:rPr>
        <w:t xml:space="preserve"> „Usługa </w:t>
      </w:r>
      <w:proofErr w:type="spellStart"/>
      <w:r w:rsidRPr="00EC0467">
        <w:rPr>
          <w:rFonts w:ascii="Lato" w:hAnsi="Lato" w:cs="Times New Roman"/>
          <w:b/>
          <w:sz w:val="20"/>
          <w:szCs w:val="20"/>
        </w:rPr>
        <w:t>door</w:t>
      </w:r>
      <w:proofErr w:type="spellEnd"/>
      <w:r w:rsidRPr="00EC0467">
        <w:rPr>
          <w:rFonts w:ascii="Lato" w:hAnsi="Lato" w:cs="Times New Roman"/>
          <w:b/>
          <w:sz w:val="20"/>
          <w:szCs w:val="20"/>
        </w:rPr>
        <w:t>-to-</w:t>
      </w:r>
      <w:proofErr w:type="spellStart"/>
      <w:r w:rsidRPr="00EC0467">
        <w:rPr>
          <w:rFonts w:ascii="Lato" w:hAnsi="Lato" w:cs="Times New Roman"/>
          <w:b/>
          <w:sz w:val="20"/>
          <w:szCs w:val="20"/>
        </w:rPr>
        <w:t>door</w:t>
      </w:r>
      <w:proofErr w:type="spellEnd"/>
      <w:r w:rsidRPr="00EC0467">
        <w:rPr>
          <w:rFonts w:ascii="Lato" w:hAnsi="Lato" w:cs="Times New Roman"/>
          <w:b/>
          <w:sz w:val="20"/>
          <w:szCs w:val="20"/>
        </w:rPr>
        <w:t xml:space="preserve"> w Mieście Suwałki” – </w:t>
      </w:r>
      <w:r w:rsidRPr="00EC0467">
        <w:rPr>
          <w:rFonts w:ascii="Lato" w:hAnsi="Lato" w:cs="Times New Roman"/>
          <w:sz w:val="20"/>
          <w:szCs w:val="20"/>
        </w:rPr>
        <w:t xml:space="preserve">projekt współfinansowany ze środków Unii Europejskiej i budżetu państwa polegający na wdrożeniu indywidualnych usług transportowych </w:t>
      </w:r>
      <w:proofErr w:type="spellStart"/>
      <w:r w:rsidRPr="00EC0467">
        <w:rPr>
          <w:rFonts w:ascii="Lato" w:hAnsi="Lato" w:cs="Times New Roman"/>
          <w:sz w:val="20"/>
          <w:szCs w:val="20"/>
        </w:rPr>
        <w:t>door</w:t>
      </w:r>
      <w:proofErr w:type="spellEnd"/>
      <w:r w:rsidRPr="00EC0467">
        <w:rPr>
          <w:rFonts w:ascii="Lato" w:hAnsi="Lato" w:cs="Times New Roman"/>
          <w:sz w:val="20"/>
          <w:szCs w:val="20"/>
        </w:rPr>
        <w:t>-to-</w:t>
      </w:r>
      <w:proofErr w:type="spellStart"/>
      <w:r w:rsidRPr="00EC0467">
        <w:rPr>
          <w:rFonts w:ascii="Lato" w:hAnsi="Lato" w:cs="Times New Roman"/>
          <w:sz w:val="20"/>
          <w:szCs w:val="20"/>
        </w:rPr>
        <w:t>door</w:t>
      </w:r>
      <w:proofErr w:type="spellEnd"/>
      <w:r w:rsidRPr="00EC0467">
        <w:rPr>
          <w:rFonts w:ascii="Lato" w:hAnsi="Lato" w:cs="Times New Roman"/>
          <w:sz w:val="20"/>
          <w:szCs w:val="20"/>
        </w:rPr>
        <w:t xml:space="preserve"> dla osób z potrzebą wsparcia w zakresie mobilności, mających trudności w samodzielnym przemieszczaniu się, ale nie mają możliwości korzystania z transportu publicznego lub przewozu osób niepełnosprawnych organizowanego ze środków budżetu samorządowego, budżetu państwa lub środków PFRON. Seniorzy mają możliwość korzystania z przewozów między innymi do placówek zdrowotnych, do miejsc aktywizacji społecznej poprzez np. kluby seniora, wyjścia do centrów kultury czy własnych potrzeb.  </w:t>
      </w:r>
    </w:p>
    <w:p w14:paraId="57498784" w14:textId="77777777" w:rsidR="006D5ACE" w:rsidRPr="00EC0467" w:rsidRDefault="006D5ACE" w:rsidP="006D5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hAnsi="Lato" w:cs="Times New Roman"/>
          <w:sz w:val="20"/>
          <w:szCs w:val="20"/>
        </w:rPr>
      </w:pPr>
    </w:p>
    <w:p w14:paraId="5C064EBD" w14:textId="21843B3E" w:rsidR="006D5ACE" w:rsidRPr="00547777" w:rsidRDefault="00547777" w:rsidP="006D5ACE">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7907972D" w14:textId="77777777" w:rsidR="006D5ACE" w:rsidRPr="00547777" w:rsidRDefault="006D5ACE" w:rsidP="006D5ACE">
      <w:pPr>
        <w:tabs>
          <w:tab w:val="left" w:pos="709"/>
        </w:tabs>
        <w:spacing w:after="0" w:line="240" w:lineRule="auto"/>
        <w:jc w:val="both"/>
        <w:rPr>
          <w:rFonts w:ascii="Lato" w:hAnsi="Lato" w:cs="Times New Roman"/>
          <w:b/>
          <w:iCs/>
          <w:sz w:val="20"/>
          <w:szCs w:val="20"/>
        </w:rPr>
      </w:pPr>
      <w:r w:rsidRPr="00547777">
        <w:rPr>
          <w:rFonts w:ascii="Lato" w:hAnsi="Lato" w:cs="Times New Roman"/>
          <w:b/>
          <w:iCs/>
          <w:sz w:val="20"/>
          <w:szCs w:val="20"/>
        </w:rPr>
        <w:t>Komenda Wojewódzka Policji w Białymstoku</w:t>
      </w:r>
    </w:p>
    <w:p w14:paraId="333F967B" w14:textId="77777777" w:rsidR="006D5ACE" w:rsidRPr="00EC0467" w:rsidRDefault="006D5ACE" w:rsidP="00547777">
      <w:pPr>
        <w:spacing w:after="0" w:line="240" w:lineRule="auto"/>
        <w:jc w:val="both"/>
        <w:rPr>
          <w:rFonts w:ascii="Lato" w:hAnsi="Lato" w:cs="Times New Roman"/>
          <w:sz w:val="20"/>
          <w:szCs w:val="20"/>
          <w:u w:val="single"/>
        </w:rPr>
      </w:pPr>
      <w:r w:rsidRPr="00EC0467">
        <w:rPr>
          <w:rFonts w:ascii="Lato" w:hAnsi="Lato" w:cs="Times New Roman"/>
          <w:sz w:val="20"/>
          <w:szCs w:val="20"/>
        </w:rPr>
        <w:t xml:space="preserve">Zespół Prasowy Wydziału Komunikacji Społecznej KWP w Białymstoku opracował kampanię społeczną pt. </w:t>
      </w:r>
      <w:r w:rsidRPr="00EC0467">
        <w:rPr>
          <w:rFonts w:ascii="Lato" w:hAnsi="Lato" w:cs="Times New Roman"/>
          <w:b/>
          <w:sz w:val="20"/>
          <w:szCs w:val="20"/>
        </w:rPr>
        <w:t>„Nie popełnij tego błędu, nie daj się oszukać”</w:t>
      </w:r>
      <w:r w:rsidRPr="00EC0467">
        <w:rPr>
          <w:rFonts w:ascii="Lato" w:hAnsi="Lato" w:cs="Times New Roman"/>
          <w:sz w:val="20"/>
          <w:szCs w:val="20"/>
        </w:rPr>
        <w:t>. Policjanci, wspólnie z dziennikarzem Polskiego Radia Białystok, rozmawiali z mieszkańcami województwa podlaskiego, którzy padli ofiarami oszustów. Wśród nich znaleźli się również seniorzy. Blisko 30 autentycznych historii przez kilka miesięcy można było słyszeć na antenie partnera akcji - Polskiego Radia Białystok. Relacje tych osób, ich doświadczenia są bezcenne i dają wiele wskazówek oraz szczegółów na temat mechanizmów działania oszustów. Emocjonalne relacje osób, które miały do czynienia z oszustami były „żywą lekcją profilaktyki” i w znaczny sposób ograniczyły tego typu przestępstwa. Poszczególne odcinki kampanii są wykorzystywane m.in. przez dzielnicowych czy profilaktyków podczas spotkań z seniorami.</w:t>
      </w:r>
    </w:p>
    <w:p w14:paraId="297CAD59" w14:textId="77777777" w:rsidR="006D5ACE" w:rsidRPr="006D5ACE" w:rsidRDefault="006D5ACE" w:rsidP="006D5ACE">
      <w:pPr>
        <w:tabs>
          <w:tab w:val="left" w:pos="709"/>
        </w:tabs>
        <w:spacing w:after="0" w:line="240" w:lineRule="auto"/>
        <w:jc w:val="both"/>
        <w:rPr>
          <w:rFonts w:ascii="Lato" w:hAnsi="Lato" w:cs="Times New Roman"/>
          <w:b/>
          <w:i/>
        </w:rPr>
      </w:pPr>
    </w:p>
    <w:p w14:paraId="2F12FFCE" w14:textId="77777777" w:rsidR="006D5ACE" w:rsidRPr="00547777" w:rsidRDefault="006D5ACE" w:rsidP="006D5ACE">
      <w:pPr>
        <w:tabs>
          <w:tab w:val="left" w:pos="709"/>
        </w:tabs>
        <w:spacing w:after="0" w:line="240" w:lineRule="auto"/>
        <w:jc w:val="both"/>
        <w:rPr>
          <w:rFonts w:ascii="Lato" w:hAnsi="Lato" w:cs="Times New Roman"/>
          <w:b/>
          <w:iCs/>
          <w:sz w:val="20"/>
          <w:szCs w:val="20"/>
        </w:rPr>
      </w:pPr>
      <w:r w:rsidRPr="00547777">
        <w:rPr>
          <w:rFonts w:ascii="Lato" w:hAnsi="Lato" w:cs="Times New Roman"/>
          <w:b/>
          <w:iCs/>
          <w:sz w:val="20"/>
          <w:szCs w:val="20"/>
        </w:rPr>
        <w:t>Gmina Hajnówka</w:t>
      </w:r>
    </w:p>
    <w:p w14:paraId="122C335F" w14:textId="77777777" w:rsidR="00ED59DC" w:rsidRDefault="006D5ACE" w:rsidP="00ED59DC">
      <w:pPr>
        <w:tabs>
          <w:tab w:val="left" w:pos="168"/>
        </w:tabs>
        <w:spacing w:after="0" w:line="240" w:lineRule="auto"/>
        <w:jc w:val="both"/>
        <w:rPr>
          <w:rFonts w:ascii="Lato" w:hAnsi="Lato" w:cs="Times New Roman"/>
          <w:sz w:val="20"/>
          <w:szCs w:val="20"/>
        </w:rPr>
      </w:pPr>
      <w:r w:rsidRPr="00EC0467">
        <w:rPr>
          <w:rFonts w:ascii="Lato" w:hAnsi="Lato" w:cs="Times New Roman"/>
          <w:sz w:val="20"/>
          <w:szCs w:val="20"/>
        </w:rPr>
        <w:t xml:space="preserve">Podjęte działania w ramach polityki społecznej wobec osób starszych w gminie miejskiej Hajnówka miały na celu: kształtowanie pozytywnego postrzegania starości w społeczeństwie, uczestnictwo </w:t>
      </w:r>
      <w:r w:rsidRPr="00EC0467">
        <w:rPr>
          <w:rFonts w:ascii="Lato" w:hAnsi="Lato" w:cs="Times New Roman"/>
          <w:sz w:val="20"/>
          <w:szCs w:val="20"/>
        </w:rPr>
        <w:br/>
        <w:t>w życiu społecznym oraz wspieranie wszelkich form aktywności obywatelskiej, edukacyjnej, społecznej, kulturalnej, artystycznej i sportowej osób starszych. Ponadto tworzono warunki umożliwiające wykorzystanie potencjału osób starszych jako aktywnych uczestników życia gospodarczego poprzez:</w:t>
      </w:r>
    </w:p>
    <w:p w14:paraId="77F4C7D2"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kontynuowanie współpracy w obszarze realizacji zadań z zakresu aktywności społecznej, kulturalnej, edukacyjnej oraz sportowej osób starszych;</w:t>
      </w:r>
    </w:p>
    <w:p w14:paraId="3976D952"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kontynuowanie działań z zakresu zapewnienia osobom starszym o najniższych dochodach bezpieczeństwa ekonomicznego poprzez realizację pomocy w postaci zasiłków celowych, specjalnych zasiłków celowych, wsparcie w zakresie zmniejszenia wydatków poniesionych na leki, pomoc żywnościową w ramach Programu Operacyjnego Pomoc Żywnościowa;</w:t>
      </w:r>
    </w:p>
    <w:p w14:paraId="676018A0"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realizację działań mających na celu zwiększenie skuteczności funkcjonowania pomocy społecznej oraz rozwój zróżnicowanych usług świadczonych lokalnie, w miejscu zamieszkania oraz w ośrodkach wsparcia, w tym unowocześnienie i usprawnienie istniejących rozwiązań na rzecz włączenia społecznego i przeciwdziałania ubóstwa poprzez realizację usług opiekuńczych w miejscu zamieszkania;</w:t>
      </w:r>
    </w:p>
    <w:p w14:paraId="6F4797A5"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lastRenderedPageBreak/>
        <w:t xml:space="preserve">promocję zdrowia i profilaktyki chorób wieku starszego, w tym rozwój oferty edukacyjnej dla osób starszych w zakresie, prowadzenia zdrowego i aktywnego trybu życia, podniesienia świadomości w zakresie skutków </w:t>
      </w:r>
      <w:proofErr w:type="spellStart"/>
      <w:r w:rsidRPr="00ED59DC">
        <w:rPr>
          <w:rFonts w:ascii="Lato" w:hAnsi="Lato"/>
          <w:sz w:val="20"/>
          <w:szCs w:val="20"/>
        </w:rPr>
        <w:t>zachowań</w:t>
      </w:r>
      <w:proofErr w:type="spellEnd"/>
      <w:r w:rsidRPr="00ED59DC">
        <w:rPr>
          <w:rFonts w:ascii="Lato" w:hAnsi="Lato"/>
          <w:sz w:val="20"/>
          <w:szCs w:val="20"/>
        </w:rPr>
        <w:t xml:space="preserve"> ryzykownych oraz upowszechnianie wykorzystania nowych rozwiązań technologicznych;</w:t>
      </w:r>
    </w:p>
    <w:p w14:paraId="6C119DF2"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udzielanie pomocy specjalistycznej w formie pracy socjalnej, poradnictwa specjalistycznego, psychologicznego, prawnego;</w:t>
      </w:r>
    </w:p>
    <w:p w14:paraId="4282F34E" w14:textId="77777777" w:rsid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podejmowanie działań interwencyjnych w zakresie przemocy;</w:t>
      </w:r>
    </w:p>
    <w:p w14:paraId="37B07471" w14:textId="5306AF61" w:rsidR="006D5ACE" w:rsidRPr="00ED59DC" w:rsidRDefault="006D5ACE" w:rsidP="0059185B">
      <w:pPr>
        <w:pStyle w:val="Akapitzlist"/>
        <w:numPr>
          <w:ilvl w:val="0"/>
          <w:numId w:val="93"/>
        </w:numPr>
        <w:tabs>
          <w:tab w:val="left" w:pos="168"/>
        </w:tabs>
        <w:spacing w:after="0" w:line="240" w:lineRule="auto"/>
        <w:jc w:val="both"/>
        <w:rPr>
          <w:rFonts w:ascii="Lato" w:hAnsi="Lato" w:cs="Times New Roman"/>
          <w:sz w:val="20"/>
          <w:szCs w:val="20"/>
        </w:rPr>
      </w:pPr>
      <w:r w:rsidRPr="00ED59DC">
        <w:rPr>
          <w:rFonts w:ascii="Lato" w:hAnsi="Lato"/>
          <w:sz w:val="20"/>
          <w:szCs w:val="20"/>
        </w:rPr>
        <w:t>promocję zdrowia, profilaktyki chorób, dostęp do diagnostyki, leczenia i rehabilitacji.</w:t>
      </w:r>
    </w:p>
    <w:p w14:paraId="076FF79C" w14:textId="77777777" w:rsidR="006D5ACE" w:rsidRPr="00EC0467" w:rsidRDefault="006D5ACE" w:rsidP="006D5ACE">
      <w:pPr>
        <w:spacing w:after="0" w:line="240" w:lineRule="auto"/>
        <w:jc w:val="both"/>
        <w:rPr>
          <w:rFonts w:ascii="Lato" w:hAnsi="Lato" w:cs="Times New Roman"/>
          <w:sz w:val="20"/>
          <w:szCs w:val="20"/>
        </w:rPr>
      </w:pPr>
    </w:p>
    <w:p w14:paraId="6D7AC601" w14:textId="77777777" w:rsidR="006D5ACE" w:rsidRPr="00ED59DC" w:rsidRDefault="006D5ACE" w:rsidP="006D5ACE">
      <w:pPr>
        <w:spacing w:after="0" w:line="240" w:lineRule="auto"/>
        <w:jc w:val="both"/>
        <w:rPr>
          <w:rFonts w:ascii="Lato" w:hAnsi="Lato" w:cs="Times New Roman"/>
          <w:b/>
          <w:iCs/>
          <w:sz w:val="20"/>
          <w:szCs w:val="20"/>
        </w:rPr>
      </w:pPr>
      <w:r w:rsidRPr="00ED59DC">
        <w:rPr>
          <w:rFonts w:ascii="Lato" w:hAnsi="Lato" w:cs="Times New Roman"/>
          <w:b/>
          <w:iCs/>
          <w:sz w:val="20"/>
          <w:szCs w:val="20"/>
        </w:rPr>
        <w:t>Miasto Suwałki</w:t>
      </w:r>
    </w:p>
    <w:p w14:paraId="1A0B0642" w14:textId="4B13389F" w:rsidR="006D5ACE" w:rsidRPr="00EC0467" w:rsidRDefault="006D5ACE" w:rsidP="006D5ACE">
      <w:pPr>
        <w:pStyle w:val="Akapitzlist"/>
        <w:tabs>
          <w:tab w:val="left" w:pos="284"/>
        </w:tabs>
        <w:spacing w:after="0" w:line="240" w:lineRule="auto"/>
        <w:ind w:left="0"/>
        <w:jc w:val="both"/>
        <w:rPr>
          <w:rFonts w:ascii="Lato" w:hAnsi="Lato"/>
          <w:sz w:val="20"/>
          <w:szCs w:val="20"/>
        </w:rPr>
      </w:pPr>
      <w:r w:rsidRPr="00EC0467">
        <w:rPr>
          <w:rFonts w:ascii="Lato" w:hAnsi="Lato"/>
          <w:b/>
          <w:sz w:val="20"/>
          <w:szCs w:val="20"/>
        </w:rPr>
        <w:t>Dom Dziennego Pobytu „Kalinka”</w:t>
      </w:r>
      <w:r w:rsidRPr="00EC0467">
        <w:rPr>
          <w:rFonts w:ascii="Lato" w:hAnsi="Lato"/>
          <w:sz w:val="20"/>
          <w:szCs w:val="20"/>
        </w:rPr>
        <w:t xml:space="preserve"> przy Domu Pomocy Społecznej Kalina w Suwałkach. Ta środowiskowa forma pomocy </w:t>
      </w:r>
      <w:proofErr w:type="spellStart"/>
      <w:r w:rsidRPr="00EC0467">
        <w:rPr>
          <w:rFonts w:ascii="Lato" w:hAnsi="Lato"/>
          <w:sz w:val="20"/>
          <w:szCs w:val="20"/>
        </w:rPr>
        <w:t>półstacjonarnej</w:t>
      </w:r>
      <w:proofErr w:type="spellEnd"/>
      <w:r w:rsidRPr="00EC0467">
        <w:rPr>
          <w:rFonts w:ascii="Lato" w:hAnsi="Lato"/>
          <w:sz w:val="20"/>
          <w:szCs w:val="20"/>
        </w:rPr>
        <w:t xml:space="preserve"> służy utrzymaniu nieaktywnych zawodowo mieszkańców Suwałk w wieku powyżej 60 lat w ich naturalnym środowisku i przeciwdziała instytucjonalizacji. Uczestnikom Domu Dziennego Pobytu „Kalinka” zapewnia się w szczególności opiekę, terapie zajęciową, zajęcia ogólnousprawniające oraz dostęp do kultury i rekreacji, a także dwa posiłki dziennie (w tym jeden gorący). Wspólne przedsięwzięcia kulturalne, towarzyskie i terapeutyczne mają istotny wpływ na zdrowie fizyczne i psychiczne. Wyzwalają one wiarę we własne siły, poczucie świadomości bycia potrzebnym. Dom Dziennego Pobytu przystosowany jest na 16 osób. </w:t>
      </w:r>
    </w:p>
    <w:p w14:paraId="33FBC90D" w14:textId="77777777" w:rsidR="006D5ACE" w:rsidRPr="00EC0467" w:rsidRDefault="006D5ACE" w:rsidP="006D5ACE">
      <w:pPr>
        <w:spacing w:after="0" w:line="240" w:lineRule="auto"/>
        <w:jc w:val="both"/>
        <w:rPr>
          <w:rFonts w:ascii="Lato" w:hAnsi="Lato" w:cs="Times New Roman"/>
          <w:sz w:val="20"/>
          <w:szCs w:val="20"/>
        </w:rPr>
      </w:pPr>
    </w:p>
    <w:p w14:paraId="5D5CBE9A" w14:textId="77777777" w:rsidR="006D5ACE" w:rsidRPr="00ED59DC" w:rsidRDefault="006D5ACE" w:rsidP="006D5ACE">
      <w:pPr>
        <w:spacing w:after="0" w:line="240" w:lineRule="auto"/>
        <w:jc w:val="both"/>
        <w:rPr>
          <w:rFonts w:ascii="Lato" w:hAnsi="Lato" w:cs="Times New Roman"/>
          <w:b/>
          <w:iCs/>
          <w:sz w:val="20"/>
          <w:szCs w:val="20"/>
        </w:rPr>
      </w:pPr>
      <w:r w:rsidRPr="00ED59DC">
        <w:rPr>
          <w:rFonts w:ascii="Lato" w:hAnsi="Lato" w:cs="Times New Roman"/>
          <w:b/>
          <w:iCs/>
          <w:sz w:val="20"/>
          <w:szCs w:val="20"/>
        </w:rPr>
        <w:t>Starostwo Powiatowe w Sokółce</w:t>
      </w:r>
    </w:p>
    <w:p w14:paraId="4A0913B4" w14:textId="7C20C9FB" w:rsidR="006D5ACE" w:rsidRPr="00EC0467" w:rsidRDefault="006D5ACE" w:rsidP="006D5ACE">
      <w:pPr>
        <w:pStyle w:val="Akapitzlist"/>
        <w:spacing w:after="0" w:line="240" w:lineRule="auto"/>
        <w:ind w:left="0"/>
        <w:jc w:val="both"/>
        <w:rPr>
          <w:rFonts w:ascii="Lato" w:hAnsi="Lato"/>
          <w:sz w:val="20"/>
          <w:szCs w:val="20"/>
        </w:rPr>
      </w:pPr>
      <w:r w:rsidRPr="00EC0467">
        <w:rPr>
          <w:rFonts w:ascii="Lato" w:hAnsi="Lato"/>
          <w:b/>
          <w:sz w:val="20"/>
          <w:szCs w:val="20"/>
        </w:rPr>
        <w:t>„</w:t>
      </w:r>
      <w:proofErr w:type="spellStart"/>
      <w:r w:rsidRPr="00EC0467">
        <w:rPr>
          <w:rFonts w:ascii="Lato" w:hAnsi="Lato"/>
          <w:b/>
          <w:sz w:val="20"/>
          <w:szCs w:val="20"/>
        </w:rPr>
        <w:t>Powiateka</w:t>
      </w:r>
      <w:proofErr w:type="spellEnd"/>
      <w:r w:rsidRPr="00EC0467">
        <w:rPr>
          <w:rFonts w:ascii="Lato" w:hAnsi="Lato"/>
          <w:b/>
          <w:sz w:val="20"/>
          <w:szCs w:val="20"/>
        </w:rPr>
        <w:t>” w</w:t>
      </w:r>
      <w:r w:rsidRPr="00EC0467">
        <w:rPr>
          <w:rFonts w:ascii="Lato" w:hAnsi="Lato"/>
          <w:sz w:val="20"/>
          <w:szCs w:val="20"/>
        </w:rPr>
        <w:t xml:space="preserve"> siedzibie Klubu „Senior +” - główne zadanie - umożliwienie wymiany i wypożyczania książek seniorom.</w:t>
      </w:r>
    </w:p>
    <w:p w14:paraId="5945C099" w14:textId="77777777" w:rsidR="006D5ACE" w:rsidRPr="00EC0467" w:rsidRDefault="006D5ACE" w:rsidP="006D5ACE">
      <w:pPr>
        <w:spacing w:after="0" w:line="240" w:lineRule="auto"/>
        <w:jc w:val="both"/>
        <w:rPr>
          <w:rFonts w:ascii="Lato" w:hAnsi="Lato" w:cs="Times New Roman"/>
          <w:sz w:val="20"/>
          <w:szCs w:val="20"/>
        </w:rPr>
      </w:pPr>
    </w:p>
    <w:p w14:paraId="6261F858" w14:textId="77777777" w:rsidR="006D5ACE" w:rsidRPr="00EC0467" w:rsidRDefault="006D5ACE" w:rsidP="00ED59DC">
      <w:pPr>
        <w:pStyle w:val="Akapitzlist"/>
        <w:spacing w:after="0" w:line="240" w:lineRule="auto"/>
        <w:ind w:left="0"/>
        <w:jc w:val="both"/>
        <w:rPr>
          <w:rFonts w:ascii="Lato" w:hAnsi="Lato"/>
          <w:b/>
          <w:bCs/>
          <w:sz w:val="20"/>
          <w:szCs w:val="20"/>
        </w:rPr>
      </w:pPr>
      <w:r w:rsidRPr="00EC0467">
        <w:rPr>
          <w:rFonts w:ascii="Lato" w:hAnsi="Lato"/>
          <w:b/>
          <w:sz w:val="20"/>
          <w:szCs w:val="20"/>
        </w:rPr>
        <w:t xml:space="preserve">„Program Korpusu Wsparcia Seniorów” </w:t>
      </w:r>
    </w:p>
    <w:p w14:paraId="63812FE4" w14:textId="188C75C2" w:rsidR="006D5ACE" w:rsidRPr="00EC0467" w:rsidRDefault="006D5ACE" w:rsidP="00ED59DC">
      <w:pPr>
        <w:spacing w:after="0" w:line="240" w:lineRule="auto"/>
        <w:jc w:val="both"/>
        <w:rPr>
          <w:rFonts w:ascii="Lato" w:hAnsi="Lato"/>
          <w:b/>
          <w:bCs/>
          <w:sz w:val="20"/>
          <w:szCs w:val="20"/>
        </w:rPr>
      </w:pPr>
      <w:r w:rsidRPr="00EC0467">
        <w:rPr>
          <w:rFonts w:ascii="Lato" w:hAnsi="Lato" w:cs="Times New Roman"/>
          <w:bCs/>
          <w:sz w:val="20"/>
          <w:szCs w:val="20"/>
        </w:rPr>
        <w:t>P</w:t>
      </w:r>
      <w:r w:rsidRPr="00EC0467">
        <w:rPr>
          <w:rFonts w:ascii="Lato" w:hAnsi="Lato" w:cs="Times New Roman"/>
          <w:sz w:val="20"/>
          <w:szCs w:val="20"/>
        </w:rPr>
        <w:t xml:space="preserve">rzyznane środki - </w:t>
      </w:r>
      <w:r w:rsidRPr="00EC0467">
        <w:rPr>
          <w:rFonts w:ascii="Lato" w:hAnsi="Lato" w:cs="Times New Roman"/>
          <w:b/>
          <w:bCs/>
          <w:sz w:val="20"/>
          <w:szCs w:val="20"/>
        </w:rPr>
        <w:t xml:space="preserve">2 402 275 zł. </w:t>
      </w:r>
      <w:r w:rsidRPr="00EC0467">
        <w:rPr>
          <w:rFonts w:ascii="Lato" w:hAnsi="Lato" w:cs="Times New Roman"/>
          <w:bCs/>
          <w:sz w:val="20"/>
          <w:szCs w:val="20"/>
        </w:rPr>
        <w:t>W</w:t>
      </w:r>
      <w:r w:rsidRPr="00EC0467">
        <w:rPr>
          <w:rFonts w:ascii="Lato" w:hAnsi="Lato" w:cs="Times New Roman"/>
          <w:sz w:val="20"/>
          <w:szCs w:val="20"/>
        </w:rPr>
        <w:t>ysokość środków rzeczywiście wydatkowanych na realizację programu „Korpus</w:t>
      </w:r>
      <w:r w:rsidRPr="00EC0467">
        <w:rPr>
          <w:rFonts w:ascii="Lato" w:hAnsi="Lato" w:cs="Times New Roman"/>
          <w:b/>
          <w:bCs/>
          <w:sz w:val="20"/>
          <w:szCs w:val="20"/>
        </w:rPr>
        <w:t xml:space="preserve"> </w:t>
      </w:r>
      <w:r w:rsidRPr="00EC0467">
        <w:rPr>
          <w:rFonts w:ascii="Lato" w:hAnsi="Lato" w:cs="Times New Roman"/>
          <w:sz w:val="20"/>
          <w:szCs w:val="20"/>
        </w:rPr>
        <w:t xml:space="preserve">Wsparcia Seniorów” w roku 2022 łącznie wyniosła </w:t>
      </w:r>
      <w:r w:rsidRPr="00EC0467">
        <w:rPr>
          <w:rFonts w:ascii="Lato" w:hAnsi="Lato" w:cs="Times New Roman"/>
          <w:b/>
          <w:bCs/>
          <w:sz w:val="20"/>
          <w:szCs w:val="20"/>
        </w:rPr>
        <w:t>2 238 017,54 zł w tym:</w:t>
      </w:r>
    </w:p>
    <w:p w14:paraId="149A7A09" w14:textId="77777777" w:rsidR="00ED59DC" w:rsidRDefault="006D5ACE" w:rsidP="0059185B">
      <w:pPr>
        <w:pStyle w:val="Akapitzlist"/>
        <w:numPr>
          <w:ilvl w:val="0"/>
          <w:numId w:val="94"/>
        </w:numPr>
        <w:spacing w:after="0" w:line="240" w:lineRule="auto"/>
        <w:jc w:val="both"/>
        <w:rPr>
          <w:rFonts w:ascii="Lato" w:hAnsi="Lato" w:cs="Times New Roman"/>
          <w:sz w:val="20"/>
          <w:szCs w:val="20"/>
        </w:rPr>
      </w:pPr>
      <w:r w:rsidRPr="00ED59DC">
        <w:rPr>
          <w:rFonts w:ascii="Lato" w:hAnsi="Lato" w:cs="Times New Roman"/>
          <w:sz w:val="20"/>
          <w:szCs w:val="20"/>
        </w:rPr>
        <w:t>Moduł I – 566 233,98 zł – 17 gmin</w:t>
      </w:r>
    </w:p>
    <w:p w14:paraId="0C54AED9" w14:textId="596BB8B9" w:rsidR="006D5ACE" w:rsidRPr="00ED59DC" w:rsidRDefault="006D5ACE" w:rsidP="0059185B">
      <w:pPr>
        <w:pStyle w:val="Akapitzlist"/>
        <w:numPr>
          <w:ilvl w:val="0"/>
          <w:numId w:val="94"/>
        </w:numPr>
        <w:spacing w:after="0" w:line="240" w:lineRule="auto"/>
        <w:jc w:val="both"/>
        <w:rPr>
          <w:rFonts w:ascii="Lato" w:hAnsi="Lato" w:cs="Times New Roman"/>
          <w:sz w:val="20"/>
          <w:szCs w:val="20"/>
        </w:rPr>
      </w:pPr>
      <w:r w:rsidRPr="00ED59DC">
        <w:rPr>
          <w:rFonts w:ascii="Lato" w:hAnsi="Lato" w:cs="Times New Roman"/>
          <w:sz w:val="20"/>
          <w:szCs w:val="20"/>
        </w:rPr>
        <w:t>Moduł II – 1 671 783,56 zł – 20 gmin.</w:t>
      </w:r>
    </w:p>
    <w:p w14:paraId="27C482D7" w14:textId="77777777" w:rsidR="006D5ACE" w:rsidRPr="00EC0467" w:rsidRDefault="006D5ACE" w:rsidP="00ED59DC">
      <w:pPr>
        <w:spacing w:after="0" w:line="240" w:lineRule="auto"/>
        <w:jc w:val="both"/>
        <w:rPr>
          <w:rFonts w:ascii="Lato" w:hAnsi="Lato" w:cs="Times New Roman"/>
          <w:sz w:val="20"/>
          <w:szCs w:val="20"/>
        </w:rPr>
      </w:pPr>
      <w:r w:rsidRPr="00EC0467">
        <w:rPr>
          <w:rFonts w:ascii="Lato" w:hAnsi="Lato" w:cs="Times New Roman"/>
          <w:sz w:val="20"/>
          <w:szCs w:val="20"/>
        </w:rPr>
        <w:t xml:space="preserve">Do Programu przystąpiło i realizowało go 31 gmin tj. 11 gmin Moduł I, 14 gmin Moduł II, 6 gmin Moduł I </w:t>
      </w:r>
      <w:proofErr w:type="spellStart"/>
      <w:r w:rsidRPr="00EC0467">
        <w:rPr>
          <w:rFonts w:ascii="Lato" w:hAnsi="Lato" w:cs="Times New Roman"/>
          <w:sz w:val="20"/>
          <w:szCs w:val="20"/>
        </w:rPr>
        <w:t>i</w:t>
      </w:r>
      <w:proofErr w:type="spellEnd"/>
      <w:r w:rsidRPr="00EC0467">
        <w:rPr>
          <w:rFonts w:ascii="Lato" w:hAnsi="Lato" w:cs="Times New Roman"/>
          <w:sz w:val="20"/>
          <w:szCs w:val="20"/>
        </w:rPr>
        <w:t xml:space="preserve"> II.</w:t>
      </w:r>
    </w:p>
    <w:p w14:paraId="45112F6E" w14:textId="77777777" w:rsidR="00ED59DC" w:rsidRDefault="00ED59DC" w:rsidP="00ED59DC">
      <w:pPr>
        <w:pStyle w:val="Akapitzlist"/>
        <w:spacing w:after="0" w:line="240" w:lineRule="auto"/>
        <w:ind w:left="0"/>
        <w:jc w:val="both"/>
        <w:rPr>
          <w:rFonts w:ascii="Lato" w:hAnsi="Lato"/>
          <w:sz w:val="20"/>
          <w:szCs w:val="20"/>
        </w:rPr>
      </w:pPr>
    </w:p>
    <w:p w14:paraId="38DC3AF0" w14:textId="0548632C" w:rsidR="006D5ACE" w:rsidRPr="00EC0467" w:rsidRDefault="006D5ACE" w:rsidP="00ED59DC">
      <w:pPr>
        <w:pStyle w:val="Akapitzlist"/>
        <w:spacing w:after="0" w:line="240" w:lineRule="auto"/>
        <w:ind w:left="0"/>
        <w:jc w:val="both"/>
        <w:rPr>
          <w:rFonts w:ascii="Lato" w:hAnsi="Lato"/>
          <w:b/>
          <w:sz w:val="20"/>
          <w:szCs w:val="20"/>
        </w:rPr>
      </w:pPr>
      <w:r w:rsidRPr="00EC0467">
        <w:rPr>
          <w:rFonts w:ascii="Lato" w:hAnsi="Lato"/>
          <w:sz w:val="20"/>
          <w:szCs w:val="20"/>
        </w:rPr>
        <w:t>„</w:t>
      </w:r>
      <w:r w:rsidRPr="00EC0467">
        <w:rPr>
          <w:rFonts w:ascii="Lato" w:hAnsi="Lato"/>
          <w:b/>
          <w:sz w:val="20"/>
          <w:szCs w:val="20"/>
        </w:rPr>
        <w:t>Program Opieka 75 +</w:t>
      </w:r>
    </w:p>
    <w:p w14:paraId="47E2C203" w14:textId="77777777" w:rsidR="00ED59DC" w:rsidRDefault="006D5ACE" w:rsidP="00ED59DC">
      <w:pPr>
        <w:spacing w:after="0" w:line="240" w:lineRule="auto"/>
        <w:jc w:val="both"/>
        <w:rPr>
          <w:rFonts w:ascii="Lato" w:hAnsi="Lato" w:cs="Times New Roman"/>
          <w:sz w:val="20"/>
          <w:szCs w:val="20"/>
        </w:rPr>
      </w:pPr>
      <w:r w:rsidRPr="00EC0467">
        <w:rPr>
          <w:rFonts w:ascii="Lato" w:hAnsi="Lato" w:cs="Times New Roman"/>
          <w:sz w:val="20"/>
          <w:szCs w:val="20"/>
        </w:rPr>
        <w:t xml:space="preserve">Przyznane środki -  </w:t>
      </w:r>
      <w:r w:rsidRPr="00EC0467">
        <w:rPr>
          <w:rFonts w:ascii="Lato" w:hAnsi="Lato" w:cs="Times New Roman"/>
          <w:b/>
          <w:sz w:val="20"/>
          <w:szCs w:val="20"/>
        </w:rPr>
        <w:t xml:space="preserve">709 056,00 zł. </w:t>
      </w:r>
      <w:r w:rsidRPr="00EC0467">
        <w:rPr>
          <w:rFonts w:ascii="Lato" w:hAnsi="Lato" w:cs="Times New Roman"/>
          <w:sz w:val="20"/>
          <w:szCs w:val="20"/>
        </w:rPr>
        <w:t>Wysokość środków rzeczywiście wykorzystanych (faktyczne</w:t>
      </w:r>
      <w:r w:rsidR="00ED59DC">
        <w:rPr>
          <w:rFonts w:ascii="Lato" w:hAnsi="Lato" w:cs="Times New Roman"/>
          <w:sz w:val="20"/>
          <w:szCs w:val="20"/>
        </w:rPr>
        <w:t xml:space="preserve"> </w:t>
      </w:r>
      <w:r w:rsidRPr="00EC0467">
        <w:rPr>
          <w:rFonts w:ascii="Lato" w:hAnsi="Lato" w:cs="Times New Roman"/>
          <w:sz w:val="20"/>
          <w:szCs w:val="20"/>
        </w:rPr>
        <w:t xml:space="preserve">wykonanie) wyniosła </w:t>
      </w:r>
      <w:r w:rsidRPr="00EC0467">
        <w:rPr>
          <w:rFonts w:ascii="Lato" w:hAnsi="Lato" w:cs="Times New Roman"/>
          <w:b/>
          <w:sz w:val="20"/>
          <w:szCs w:val="20"/>
        </w:rPr>
        <w:t xml:space="preserve">528 762,41 zł. </w:t>
      </w:r>
      <w:r w:rsidRPr="00EC0467">
        <w:rPr>
          <w:rFonts w:ascii="Lato" w:hAnsi="Lato" w:cs="Times New Roman"/>
          <w:sz w:val="20"/>
          <w:szCs w:val="20"/>
        </w:rPr>
        <w:t xml:space="preserve"> Program „Opieka 75 +” realizowało </w:t>
      </w:r>
      <w:r w:rsidRPr="00EC0467">
        <w:rPr>
          <w:rFonts w:ascii="Lato" w:hAnsi="Lato" w:cs="Times New Roman"/>
          <w:b/>
          <w:sz w:val="20"/>
          <w:szCs w:val="20"/>
        </w:rPr>
        <w:t xml:space="preserve">13 </w:t>
      </w:r>
      <w:r w:rsidRPr="00EC0467">
        <w:rPr>
          <w:rFonts w:ascii="Lato" w:hAnsi="Lato" w:cs="Times New Roman"/>
          <w:sz w:val="20"/>
          <w:szCs w:val="20"/>
        </w:rPr>
        <w:t xml:space="preserve">gmin z województwa podlaskiego, które świadczyły usługi opiekuńcze. </w:t>
      </w:r>
    </w:p>
    <w:p w14:paraId="7F4F789D" w14:textId="77777777" w:rsidR="00ED59DC" w:rsidRDefault="00ED59DC" w:rsidP="00ED59DC">
      <w:pPr>
        <w:spacing w:after="0" w:line="240" w:lineRule="auto"/>
        <w:jc w:val="both"/>
        <w:rPr>
          <w:rFonts w:ascii="Lato" w:hAnsi="Lato" w:cs="Times New Roman"/>
          <w:sz w:val="20"/>
          <w:szCs w:val="20"/>
        </w:rPr>
      </w:pPr>
    </w:p>
    <w:p w14:paraId="119AA974" w14:textId="6139BE89" w:rsidR="006D5ACE" w:rsidRPr="00ED59DC" w:rsidRDefault="006D5ACE" w:rsidP="00ED59DC">
      <w:pPr>
        <w:spacing w:after="0" w:line="240" w:lineRule="auto"/>
        <w:jc w:val="both"/>
        <w:rPr>
          <w:rFonts w:ascii="Lato" w:hAnsi="Lato" w:cs="Times New Roman"/>
          <w:sz w:val="20"/>
          <w:szCs w:val="20"/>
        </w:rPr>
      </w:pPr>
      <w:r w:rsidRPr="00EC0467">
        <w:rPr>
          <w:rFonts w:ascii="Lato" w:hAnsi="Lato"/>
          <w:b/>
          <w:bCs/>
          <w:sz w:val="20"/>
          <w:szCs w:val="20"/>
        </w:rPr>
        <w:t>„Program rozwoju rodzinnych domów pomocy” -– Edycja 2022</w:t>
      </w:r>
    </w:p>
    <w:p w14:paraId="38D04F53" w14:textId="77777777" w:rsidR="006D5ACE" w:rsidRPr="00EC0467" w:rsidRDefault="006D5ACE" w:rsidP="00ED59DC">
      <w:pPr>
        <w:spacing w:after="0" w:line="240" w:lineRule="auto"/>
        <w:jc w:val="both"/>
        <w:rPr>
          <w:rFonts w:ascii="Lato" w:hAnsi="Lato" w:cs="Times New Roman"/>
          <w:sz w:val="20"/>
          <w:szCs w:val="20"/>
        </w:rPr>
      </w:pPr>
      <w:r w:rsidRPr="00EC0467">
        <w:rPr>
          <w:rFonts w:ascii="Lato" w:hAnsi="Lato" w:cs="Times New Roman"/>
          <w:sz w:val="20"/>
          <w:szCs w:val="20"/>
        </w:rPr>
        <w:t>Do realizacji Programu przystąpiło 6 gmin w ramach Modułu I. Kwota dofinansowania w ramach Modułu I wyniosła:</w:t>
      </w:r>
    </w:p>
    <w:p w14:paraId="52EE5AF0" w14:textId="77777777" w:rsidR="00ED59DC" w:rsidRDefault="006D5ACE" w:rsidP="0059185B">
      <w:pPr>
        <w:pStyle w:val="Akapitzlist"/>
        <w:numPr>
          <w:ilvl w:val="0"/>
          <w:numId w:val="95"/>
        </w:numPr>
        <w:spacing w:after="0" w:line="240" w:lineRule="auto"/>
        <w:jc w:val="both"/>
        <w:rPr>
          <w:rFonts w:ascii="Lato" w:hAnsi="Lato" w:cs="Times New Roman"/>
          <w:sz w:val="20"/>
          <w:szCs w:val="20"/>
        </w:rPr>
      </w:pPr>
      <w:r w:rsidRPr="00ED59DC">
        <w:rPr>
          <w:rFonts w:ascii="Lato" w:hAnsi="Lato" w:cs="Times New Roman"/>
          <w:sz w:val="20"/>
          <w:szCs w:val="20"/>
        </w:rPr>
        <w:t>do 50 % kosztów miesięcznych realizacji zadania w przypadku dofinansowania pobytu w rodzinnych domach pomocy skierowanych od dnia 01.01.2022 r.</w:t>
      </w:r>
    </w:p>
    <w:p w14:paraId="059744E8" w14:textId="77777777" w:rsidR="00ED59DC" w:rsidRPr="00ED59DC" w:rsidRDefault="006D5ACE" w:rsidP="0059185B">
      <w:pPr>
        <w:pStyle w:val="Akapitzlist"/>
        <w:numPr>
          <w:ilvl w:val="0"/>
          <w:numId w:val="95"/>
        </w:numPr>
        <w:spacing w:after="0" w:line="240" w:lineRule="auto"/>
        <w:jc w:val="both"/>
        <w:rPr>
          <w:rFonts w:ascii="Lato" w:hAnsi="Lato" w:cs="Times New Roman"/>
          <w:sz w:val="20"/>
          <w:szCs w:val="20"/>
        </w:rPr>
      </w:pPr>
      <w:r w:rsidRPr="00ED59DC">
        <w:rPr>
          <w:rFonts w:ascii="Lato" w:hAnsi="Lato" w:cs="Times New Roman"/>
          <w:sz w:val="20"/>
          <w:szCs w:val="20"/>
        </w:rPr>
        <w:t>do 30% kosztów miesięcznych realizacji zadania w przypadku dofinansowania pobytu w rodzinnych domach pomocy osób skierowanych przed dniem 01.01.2022 r.</w:t>
      </w:r>
      <w:r w:rsidR="00ED59DC">
        <w:rPr>
          <w:rFonts w:ascii="Lato" w:hAnsi="Lato" w:cs="Times New Roman"/>
          <w:sz w:val="20"/>
          <w:szCs w:val="20"/>
        </w:rPr>
        <w:t xml:space="preserve"> </w:t>
      </w:r>
      <w:r w:rsidRPr="00ED59DC">
        <w:rPr>
          <w:rFonts w:ascii="Lato" w:hAnsi="Lato" w:cs="Times New Roman"/>
          <w:sz w:val="20"/>
          <w:szCs w:val="20"/>
        </w:rPr>
        <w:t xml:space="preserve">Środki zapotrzebowane - </w:t>
      </w:r>
      <w:r w:rsidRPr="00ED59DC">
        <w:rPr>
          <w:rFonts w:ascii="Lato" w:hAnsi="Lato" w:cs="Times New Roman"/>
          <w:bCs/>
          <w:sz w:val="20"/>
          <w:szCs w:val="20"/>
        </w:rPr>
        <w:t>227 351 zł;</w:t>
      </w:r>
      <w:r w:rsidRPr="00ED59DC">
        <w:rPr>
          <w:rFonts w:ascii="Lato" w:hAnsi="Lato" w:cs="Times New Roman"/>
          <w:b/>
          <w:bCs/>
          <w:sz w:val="20"/>
          <w:szCs w:val="20"/>
        </w:rPr>
        <w:t xml:space="preserve"> </w:t>
      </w:r>
      <w:r w:rsidRPr="00ED59DC">
        <w:rPr>
          <w:rFonts w:ascii="Lato" w:hAnsi="Lato" w:cs="Times New Roman"/>
          <w:sz w:val="20"/>
          <w:szCs w:val="20"/>
        </w:rPr>
        <w:t xml:space="preserve">środki wydatkowane - </w:t>
      </w:r>
      <w:r w:rsidRPr="00ED59DC">
        <w:rPr>
          <w:rFonts w:ascii="Lato" w:hAnsi="Lato" w:cs="Times New Roman"/>
          <w:bCs/>
          <w:sz w:val="20"/>
          <w:szCs w:val="20"/>
        </w:rPr>
        <w:t>156 842,55zł, w tym</w:t>
      </w:r>
    </w:p>
    <w:p w14:paraId="2B1AD806" w14:textId="77777777" w:rsidR="00ED59DC" w:rsidRDefault="006D5ACE" w:rsidP="0059185B">
      <w:pPr>
        <w:pStyle w:val="Akapitzlist"/>
        <w:numPr>
          <w:ilvl w:val="0"/>
          <w:numId w:val="95"/>
        </w:numPr>
        <w:spacing w:after="0" w:line="240" w:lineRule="auto"/>
        <w:jc w:val="both"/>
        <w:rPr>
          <w:rFonts w:ascii="Lato" w:hAnsi="Lato" w:cs="Times New Roman"/>
          <w:sz w:val="20"/>
          <w:szCs w:val="20"/>
        </w:rPr>
      </w:pPr>
      <w:r w:rsidRPr="00ED59DC">
        <w:rPr>
          <w:rFonts w:ascii="Lato" w:hAnsi="Lato" w:cs="Times New Roman"/>
          <w:sz w:val="20"/>
          <w:szCs w:val="20"/>
        </w:rPr>
        <w:t>na realizację zadania z przeznaczeniem na partycypowanie przez gminę w kosztach pobytu osób skierowanych do rodzinnych domów przed 01.01.2022 r. – 145 671,06 zł</w:t>
      </w:r>
    </w:p>
    <w:p w14:paraId="51AB216E" w14:textId="77777777" w:rsidR="00ED59DC" w:rsidRDefault="006D5ACE" w:rsidP="0059185B">
      <w:pPr>
        <w:pStyle w:val="Akapitzlist"/>
        <w:numPr>
          <w:ilvl w:val="0"/>
          <w:numId w:val="95"/>
        </w:numPr>
        <w:spacing w:after="0" w:line="240" w:lineRule="auto"/>
        <w:jc w:val="both"/>
        <w:rPr>
          <w:rFonts w:ascii="Lato" w:hAnsi="Lato" w:cs="Times New Roman"/>
          <w:sz w:val="20"/>
          <w:szCs w:val="20"/>
        </w:rPr>
      </w:pPr>
      <w:r w:rsidRPr="00ED59DC">
        <w:rPr>
          <w:rFonts w:ascii="Lato" w:hAnsi="Lato" w:cs="Times New Roman"/>
          <w:sz w:val="20"/>
          <w:szCs w:val="20"/>
        </w:rPr>
        <w:t>gminy na realizację zadania z przeznaczeniem na partycypowanie przez gminę w kosztach pobytu osób skierowanych do rodzinnych domów od 01.01.2022 r. – 11 171,49 zł.</w:t>
      </w:r>
    </w:p>
    <w:p w14:paraId="411FC546" w14:textId="77777777" w:rsidR="00ED59DC" w:rsidRDefault="00ED59DC" w:rsidP="00ED59DC">
      <w:pPr>
        <w:spacing w:after="0" w:line="240" w:lineRule="auto"/>
        <w:jc w:val="both"/>
        <w:rPr>
          <w:rFonts w:ascii="Lato" w:hAnsi="Lato"/>
          <w:b/>
          <w:sz w:val="20"/>
          <w:szCs w:val="20"/>
        </w:rPr>
      </w:pPr>
    </w:p>
    <w:p w14:paraId="5CDDCC56" w14:textId="6581D6F1" w:rsidR="006D5ACE" w:rsidRPr="00ED59DC" w:rsidRDefault="006D5ACE" w:rsidP="00ED59DC">
      <w:pPr>
        <w:spacing w:after="0" w:line="240" w:lineRule="auto"/>
        <w:jc w:val="both"/>
        <w:rPr>
          <w:rFonts w:ascii="Lato" w:hAnsi="Lato" w:cs="Times New Roman"/>
          <w:sz w:val="20"/>
          <w:szCs w:val="20"/>
        </w:rPr>
      </w:pPr>
      <w:r w:rsidRPr="00ED59DC">
        <w:rPr>
          <w:rFonts w:ascii="Lato" w:hAnsi="Lato"/>
          <w:b/>
          <w:sz w:val="20"/>
          <w:szCs w:val="20"/>
        </w:rPr>
        <w:t xml:space="preserve">Program „Opieka </w:t>
      </w:r>
      <w:proofErr w:type="spellStart"/>
      <w:r w:rsidRPr="00ED59DC">
        <w:rPr>
          <w:rFonts w:ascii="Lato" w:hAnsi="Lato"/>
          <w:b/>
          <w:sz w:val="20"/>
          <w:szCs w:val="20"/>
        </w:rPr>
        <w:t>wytchnieniowa</w:t>
      </w:r>
      <w:proofErr w:type="spellEnd"/>
      <w:r w:rsidRPr="00ED59DC">
        <w:rPr>
          <w:rFonts w:ascii="Lato" w:hAnsi="Lato"/>
          <w:b/>
          <w:sz w:val="20"/>
          <w:szCs w:val="20"/>
        </w:rPr>
        <w:t>”</w:t>
      </w:r>
    </w:p>
    <w:p w14:paraId="68E2E928" w14:textId="7ADFF394" w:rsidR="006D5ACE" w:rsidRDefault="006D5ACE" w:rsidP="006D5ACE">
      <w:pPr>
        <w:spacing w:after="0" w:line="240" w:lineRule="auto"/>
        <w:jc w:val="both"/>
        <w:rPr>
          <w:rFonts w:ascii="Lato" w:eastAsia="Calibri" w:hAnsi="Lato"/>
          <w:sz w:val="20"/>
          <w:szCs w:val="20"/>
        </w:rPr>
      </w:pPr>
      <w:r w:rsidRPr="00EC0467">
        <w:rPr>
          <w:rFonts w:ascii="Lato" w:eastAsia="Calibri" w:hAnsi="Lato"/>
          <w:sz w:val="20"/>
          <w:szCs w:val="20"/>
        </w:rPr>
        <w:t xml:space="preserve">Przyznane dofinansowanie to łącznie </w:t>
      </w:r>
      <w:r w:rsidRPr="00EC0467">
        <w:rPr>
          <w:rFonts w:ascii="Lato" w:eastAsia="Calibri" w:hAnsi="Lato"/>
          <w:b/>
          <w:bCs/>
          <w:sz w:val="20"/>
          <w:szCs w:val="20"/>
        </w:rPr>
        <w:t xml:space="preserve">7 360.446,04 </w:t>
      </w:r>
      <w:r w:rsidRPr="00EC0467">
        <w:rPr>
          <w:rFonts w:ascii="Lato" w:eastAsia="Calibri" w:hAnsi="Lato"/>
          <w:sz w:val="20"/>
          <w:szCs w:val="20"/>
        </w:rPr>
        <w:t xml:space="preserve">zł. Wsparciem zostało objętych 440 osób, w br. pomoc otrzyma 247 osób. </w:t>
      </w:r>
    </w:p>
    <w:p w14:paraId="7C907D35" w14:textId="77777777" w:rsidR="00ED59DC" w:rsidRPr="00EC0467" w:rsidRDefault="00ED59DC" w:rsidP="006D5ACE">
      <w:pPr>
        <w:spacing w:after="0" w:line="240" w:lineRule="auto"/>
        <w:jc w:val="both"/>
        <w:rPr>
          <w:rFonts w:ascii="Lato" w:eastAsia="Calibri" w:hAnsi="Lato"/>
          <w:sz w:val="20"/>
          <w:szCs w:val="20"/>
        </w:rPr>
      </w:pPr>
    </w:p>
    <w:p w14:paraId="64178EE7" w14:textId="77777777" w:rsidR="006D5ACE" w:rsidRPr="00EC0467" w:rsidRDefault="006D5ACE" w:rsidP="00ED59DC">
      <w:pPr>
        <w:pStyle w:val="Akapitzlist"/>
        <w:spacing w:after="0" w:line="240" w:lineRule="auto"/>
        <w:ind w:left="0"/>
        <w:jc w:val="both"/>
        <w:rPr>
          <w:rFonts w:ascii="Lato" w:hAnsi="Lato"/>
          <w:sz w:val="20"/>
          <w:szCs w:val="20"/>
        </w:rPr>
      </w:pPr>
      <w:r w:rsidRPr="00EC0467">
        <w:rPr>
          <w:rFonts w:ascii="Lato" w:hAnsi="Lato"/>
          <w:b/>
          <w:sz w:val="20"/>
          <w:szCs w:val="20"/>
        </w:rPr>
        <w:t>Program „Asystent osobisty osobny niepełnosprawnej”</w:t>
      </w:r>
    </w:p>
    <w:p w14:paraId="38813BE6" w14:textId="77777777" w:rsidR="006D5ACE" w:rsidRPr="00EC0467" w:rsidRDefault="006D5ACE" w:rsidP="00ED59DC">
      <w:pPr>
        <w:spacing w:after="0" w:line="240" w:lineRule="auto"/>
        <w:jc w:val="both"/>
        <w:rPr>
          <w:rFonts w:ascii="Lato" w:eastAsia="Calibri" w:hAnsi="Lato" w:cs="Times New Roman"/>
          <w:sz w:val="20"/>
          <w:szCs w:val="20"/>
        </w:rPr>
      </w:pPr>
      <w:r w:rsidRPr="00EC0467">
        <w:rPr>
          <w:rFonts w:ascii="Lato" w:eastAsia="Calibri" w:hAnsi="Lato" w:cs="Times New Roman"/>
          <w:sz w:val="20"/>
          <w:szCs w:val="20"/>
        </w:rPr>
        <w:t xml:space="preserve">Przyznane dofinansowanie to łącznie </w:t>
      </w:r>
      <w:r w:rsidRPr="00EC0467">
        <w:rPr>
          <w:rFonts w:ascii="Lato" w:eastAsia="Calibri" w:hAnsi="Lato" w:cs="Times New Roman"/>
          <w:b/>
          <w:bCs/>
          <w:sz w:val="20"/>
          <w:szCs w:val="20"/>
        </w:rPr>
        <w:t xml:space="preserve">31 396 102,95 </w:t>
      </w:r>
      <w:r w:rsidRPr="00EC0467">
        <w:rPr>
          <w:rFonts w:ascii="Lato" w:eastAsia="Calibri" w:hAnsi="Lato" w:cs="Times New Roman"/>
          <w:sz w:val="20"/>
          <w:szCs w:val="20"/>
        </w:rPr>
        <w:t>zł. Wsparcie otrzymało 1 061 osób, w br. zaplanowane jest wsparcie dla 793 osób.</w:t>
      </w:r>
    </w:p>
    <w:p w14:paraId="222AC378" w14:textId="77777777" w:rsidR="00ED59DC" w:rsidRDefault="00ED59DC" w:rsidP="00ED59DC">
      <w:pPr>
        <w:pStyle w:val="Akapitzlist"/>
        <w:spacing w:after="0" w:line="240" w:lineRule="auto"/>
        <w:ind w:left="0"/>
        <w:jc w:val="both"/>
        <w:rPr>
          <w:rFonts w:ascii="Lato" w:hAnsi="Lato"/>
          <w:b/>
          <w:sz w:val="20"/>
          <w:szCs w:val="20"/>
        </w:rPr>
      </w:pPr>
    </w:p>
    <w:p w14:paraId="2FF5C65B" w14:textId="77777777" w:rsidR="00ED59DC" w:rsidRDefault="006D5ACE" w:rsidP="00ED59DC">
      <w:pPr>
        <w:pStyle w:val="Akapitzlist"/>
        <w:spacing w:after="0" w:line="240" w:lineRule="auto"/>
        <w:ind w:left="0"/>
        <w:jc w:val="both"/>
        <w:rPr>
          <w:rFonts w:ascii="Lato" w:hAnsi="Lato"/>
          <w:b/>
          <w:sz w:val="20"/>
          <w:szCs w:val="20"/>
        </w:rPr>
      </w:pPr>
      <w:r w:rsidRPr="00EC0467">
        <w:rPr>
          <w:rFonts w:ascii="Lato" w:hAnsi="Lato"/>
          <w:b/>
          <w:sz w:val="20"/>
          <w:szCs w:val="20"/>
        </w:rPr>
        <w:t>Program „Centra opiekuńczo-mieszkalne”</w:t>
      </w:r>
    </w:p>
    <w:p w14:paraId="046E3634" w14:textId="1646AA09" w:rsidR="006D5ACE" w:rsidRPr="00ED59DC" w:rsidRDefault="006D5ACE" w:rsidP="00ED59DC">
      <w:pPr>
        <w:pStyle w:val="Akapitzlist"/>
        <w:spacing w:after="0" w:line="240" w:lineRule="auto"/>
        <w:ind w:left="0"/>
        <w:jc w:val="both"/>
        <w:rPr>
          <w:rFonts w:ascii="Lato" w:hAnsi="Lato"/>
          <w:sz w:val="20"/>
          <w:szCs w:val="20"/>
        </w:rPr>
      </w:pPr>
      <w:r w:rsidRPr="00EC0467">
        <w:rPr>
          <w:rFonts w:ascii="Lato" w:eastAsia="Calibri" w:hAnsi="Lato" w:cs="Times New Roman"/>
          <w:sz w:val="20"/>
          <w:szCs w:val="20"/>
        </w:rPr>
        <w:lastRenderedPageBreak/>
        <w:t>W województwie podlaskim zadania w ramach Programu realizuje 9 samorządów.</w:t>
      </w:r>
    </w:p>
    <w:p w14:paraId="32BE5B32" w14:textId="0E1674AE" w:rsidR="006D5ACE" w:rsidRDefault="006D5ACE" w:rsidP="006D5ACE">
      <w:pPr>
        <w:spacing w:after="0"/>
        <w:rPr>
          <w:rFonts w:ascii="Lato" w:hAnsi="Lato"/>
        </w:rPr>
      </w:pPr>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2439"/>
        <w:gridCol w:w="2439"/>
        <w:gridCol w:w="2441"/>
      </w:tblGrid>
      <w:tr w:rsidR="005D491F" w:rsidRPr="005D491F" w14:paraId="56CE4B92"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67342723" w14:textId="77777777" w:rsidR="005D491F" w:rsidRPr="005D491F" w:rsidRDefault="005D491F" w:rsidP="00CA4EC0">
            <w:pPr>
              <w:jc w:val="center"/>
              <w:rPr>
                <w:rFonts w:ascii="Lato" w:hAnsi="Lato" w:cs="Times New Roman"/>
                <w:color w:val="auto"/>
                <w:sz w:val="18"/>
                <w:szCs w:val="18"/>
              </w:rPr>
            </w:pPr>
            <w:r w:rsidRPr="005D491F">
              <w:rPr>
                <w:rFonts w:ascii="Lato" w:hAnsi="Lato" w:cs="Times New Roman"/>
                <w:color w:val="auto"/>
                <w:sz w:val="18"/>
                <w:szCs w:val="18"/>
              </w:rPr>
              <w:t>WOJEWÓDZTWO PODLASKIE</w:t>
            </w:r>
          </w:p>
        </w:tc>
      </w:tr>
      <w:tr w:rsidR="005D491F" w:rsidRPr="005D491F" w14:paraId="49E19C1C" w14:textId="77777777" w:rsidTr="005D491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336026C" w14:textId="77777777" w:rsidR="005D491F" w:rsidRPr="005D491F" w:rsidRDefault="005D491F" w:rsidP="00CA4EC0">
            <w:pPr>
              <w:rPr>
                <w:rFonts w:ascii="Lato" w:hAnsi="Lato" w:cs="Times New Roman"/>
                <w:color w:val="auto"/>
                <w:sz w:val="18"/>
                <w:szCs w:val="18"/>
              </w:rPr>
            </w:pPr>
            <w:r w:rsidRPr="005D491F">
              <w:rPr>
                <w:rFonts w:ascii="Lato" w:hAnsi="Lato" w:cs="Times New Roman"/>
                <w:color w:val="auto"/>
                <w:sz w:val="18"/>
                <w:szCs w:val="18"/>
              </w:rPr>
              <w:t>Informacja o regionie</w:t>
            </w:r>
          </w:p>
        </w:tc>
        <w:tc>
          <w:tcPr>
            <w:tcW w:w="1346" w:type="pct"/>
            <w:shd w:val="clear" w:color="auto" w:fill="auto"/>
          </w:tcPr>
          <w:p w14:paraId="0A07AFAC"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Liczba gmin</w:t>
            </w:r>
          </w:p>
        </w:tc>
        <w:tc>
          <w:tcPr>
            <w:tcW w:w="2694" w:type="pct"/>
            <w:gridSpan w:val="2"/>
            <w:shd w:val="clear" w:color="auto" w:fill="auto"/>
          </w:tcPr>
          <w:p w14:paraId="63EB0311"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118</w:t>
            </w:r>
          </w:p>
        </w:tc>
      </w:tr>
      <w:tr w:rsidR="005D491F" w:rsidRPr="005D491F" w14:paraId="6BF51D2B" w14:textId="77777777" w:rsidTr="005D491F">
        <w:trPr>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F2EBE74" w14:textId="77777777" w:rsidR="005D491F" w:rsidRPr="005D491F" w:rsidRDefault="005D491F" w:rsidP="00CA4EC0">
            <w:pPr>
              <w:rPr>
                <w:rFonts w:ascii="Lato" w:hAnsi="Lato" w:cs="Times New Roman"/>
                <w:color w:val="auto"/>
                <w:sz w:val="18"/>
                <w:szCs w:val="18"/>
              </w:rPr>
            </w:pPr>
          </w:p>
        </w:tc>
        <w:tc>
          <w:tcPr>
            <w:tcW w:w="1346" w:type="pct"/>
            <w:shd w:val="clear" w:color="auto" w:fill="auto"/>
          </w:tcPr>
          <w:p w14:paraId="6F4D51A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Liczba powiatów</w:t>
            </w:r>
          </w:p>
        </w:tc>
        <w:tc>
          <w:tcPr>
            <w:tcW w:w="2694" w:type="pct"/>
            <w:gridSpan w:val="2"/>
            <w:shd w:val="clear" w:color="auto" w:fill="auto"/>
          </w:tcPr>
          <w:p w14:paraId="0441D0D5"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14 powiatów i 3 miasta na prawach powiatu</w:t>
            </w:r>
          </w:p>
        </w:tc>
      </w:tr>
      <w:tr w:rsidR="005D491F" w:rsidRPr="005D491F" w14:paraId="7A7FF530" w14:textId="77777777" w:rsidTr="005D491F">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56CF7C1" w14:textId="77777777" w:rsidR="005D491F" w:rsidRPr="005D491F" w:rsidRDefault="005D491F" w:rsidP="00CA4EC0">
            <w:pPr>
              <w:rPr>
                <w:rFonts w:ascii="Lato" w:hAnsi="Lato" w:cs="Times New Roman"/>
                <w:color w:val="auto"/>
                <w:sz w:val="18"/>
                <w:szCs w:val="18"/>
              </w:rPr>
            </w:pPr>
          </w:p>
        </w:tc>
        <w:tc>
          <w:tcPr>
            <w:tcW w:w="1346" w:type="pct"/>
            <w:shd w:val="clear" w:color="auto" w:fill="auto"/>
          </w:tcPr>
          <w:p w14:paraId="306967C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Powierzchnia</w:t>
            </w:r>
          </w:p>
        </w:tc>
        <w:tc>
          <w:tcPr>
            <w:tcW w:w="2694" w:type="pct"/>
            <w:gridSpan w:val="2"/>
            <w:shd w:val="clear" w:color="auto" w:fill="auto"/>
          </w:tcPr>
          <w:p w14:paraId="56BF0DC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20 187  km</w:t>
            </w:r>
            <w:r w:rsidRPr="005D491F">
              <w:rPr>
                <w:rFonts w:ascii="Lato" w:hAnsi="Lato" w:cs="Times New Roman"/>
                <w:color w:val="auto"/>
                <w:sz w:val="18"/>
                <w:szCs w:val="18"/>
                <w:vertAlign w:val="superscript"/>
              </w:rPr>
              <w:t>2</w:t>
            </w:r>
          </w:p>
        </w:tc>
      </w:tr>
      <w:tr w:rsidR="005D491F" w:rsidRPr="005D491F" w14:paraId="5EBE15EB"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9EE1C3D" w14:textId="6B5C3AAF" w:rsidR="005D491F" w:rsidRPr="005D491F" w:rsidRDefault="0031646A" w:rsidP="0031646A">
            <w:pPr>
              <w:tabs>
                <w:tab w:val="left" w:pos="3504"/>
                <w:tab w:val="center" w:pos="4423"/>
              </w:tabs>
              <w:rPr>
                <w:rFonts w:ascii="Lato" w:hAnsi="Lato" w:cs="Times New Roman"/>
                <w:b w:val="0"/>
                <w:color w:val="auto"/>
                <w:sz w:val="18"/>
                <w:szCs w:val="18"/>
              </w:rPr>
            </w:pPr>
            <w:r>
              <w:rPr>
                <w:rFonts w:ascii="Lato" w:hAnsi="Lato" w:cs="Times New Roman"/>
                <w:color w:val="auto"/>
                <w:sz w:val="18"/>
                <w:szCs w:val="18"/>
              </w:rPr>
              <w:tab/>
            </w:r>
            <w:r>
              <w:rPr>
                <w:rFonts w:ascii="Lato" w:hAnsi="Lato" w:cs="Times New Roman"/>
                <w:color w:val="auto"/>
                <w:sz w:val="18"/>
                <w:szCs w:val="18"/>
              </w:rPr>
              <w:tab/>
            </w:r>
            <w:r w:rsidR="005D491F" w:rsidRPr="005D491F">
              <w:rPr>
                <w:rFonts w:ascii="Lato" w:hAnsi="Lato" w:cs="Times New Roman"/>
                <w:color w:val="auto"/>
                <w:sz w:val="18"/>
                <w:szCs w:val="18"/>
              </w:rPr>
              <w:t>DEMOGRAFIA</w:t>
            </w:r>
          </w:p>
        </w:tc>
      </w:tr>
      <w:tr w:rsidR="005D491F" w:rsidRPr="005D491F" w14:paraId="7B32E314"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3D5BB655" w14:textId="77777777" w:rsidR="005D491F" w:rsidRPr="005D491F" w:rsidRDefault="005D491F" w:rsidP="00CA4EC0">
            <w:pPr>
              <w:jc w:val="center"/>
              <w:rPr>
                <w:rFonts w:ascii="Lato" w:hAnsi="Lato" w:cs="Times New Roman"/>
                <w:b w:val="0"/>
                <w:color w:val="auto"/>
                <w:sz w:val="18"/>
                <w:szCs w:val="18"/>
                <w:lang w:eastAsia="pl-PL"/>
              </w:rPr>
            </w:pPr>
            <w:r w:rsidRPr="005D491F">
              <w:rPr>
                <w:rFonts w:ascii="Lato" w:hAnsi="Lato" w:cs="Times New Roman"/>
                <w:color w:val="auto"/>
                <w:sz w:val="18"/>
                <w:szCs w:val="18"/>
                <w:lang w:eastAsia="pl-PL"/>
              </w:rPr>
              <w:t>Treść</w:t>
            </w:r>
          </w:p>
        </w:tc>
        <w:tc>
          <w:tcPr>
            <w:tcW w:w="1346" w:type="pct"/>
            <w:shd w:val="clear" w:color="auto" w:fill="auto"/>
          </w:tcPr>
          <w:p w14:paraId="026EAC2E" w14:textId="77777777" w:rsidR="005D491F" w:rsidRPr="005D491F" w:rsidRDefault="005D491F"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2020 r.</w:t>
            </w:r>
          </w:p>
        </w:tc>
        <w:tc>
          <w:tcPr>
            <w:tcW w:w="1346" w:type="pct"/>
            <w:shd w:val="clear" w:color="auto" w:fill="auto"/>
          </w:tcPr>
          <w:p w14:paraId="6AD01742" w14:textId="77777777" w:rsidR="005D491F" w:rsidRPr="005D491F" w:rsidRDefault="005D491F"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2021 r.</w:t>
            </w:r>
          </w:p>
        </w:tc>
        <w:tc>
          <w:tcPr>
            <w:tcW w:w="1348" w:type="pct"/>
            <w:shd w:val="clear" w:color="auto" w:fill="auto"/>
          </w:tcPr>
          <w:p w14:paraId="4C1921CF" w14:textId="77777777" w:rsidR="005D491F" w:rsidRPr="005D491F" w:rsidRDefault="005D491F"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2022 r.</w:t>
            </w:r>
          </w:p>
        </w:tc>
      </w:tr>
      <w:tr w:rsidR="005D491F" w:rsidRPr="005D491F" w14:paraId="73675335"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A3E7125"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Populacja ogółem</w:t>
            </w:r>
          </w:p>
        </w:tc>
        <w:tc>
          <w:tcPr>
            <w:tcW w:w="1346" w:type="pct"/>
            <w:shd w:val="clear" w:color="auto" w:fill="auto"/>
          </w:tcPr>
          <w:p w14:paraId="78879472"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1156591</w:t>
            </w:r>
          </w:p>
        </w:tc>
        <w:tc>
          <w:tcPr>
            <w:tcW w:w="1346" w:type="pct"/>
            <w:shd w:val="clear" w:color="auto" w:fill="auto"/>
          </w:tcPr>
          <w:p w14:paraId="0456CADC"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1148720</w:t>
            </w:r>
          </w:p>
        </w:tc>
        <w:tc>
          <w:tcPr>
            <w:tcW w:w="1348" w:type="pct"/>
            <w:shd w:val="clear" w:color="auto" w:fill="auto"/>
          </w:tcPr>
          <w:p w14:paraId="10B10DB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1143355</w:t>
            </w:r>
          </w:p>
        </w:tc>
      </w:tr>
      <w:tr w:rsidR="005D491F" w:rsidRPr="005D491F" w14:paraId="5C5D6F7A"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DF00785" w14:textId="77777777" w:rsidR="005D491F" w:rsidRPr="005D491F" w:rsidRDefault="005D491F" w:rsidP="00CA4EC0">
            <w:pPr>
              <w:rPr>
                <w:rFonts w:ascii="Lato" w:hAnsi="Lato" w:cs="Times New Roman"/>
                <w:b w:val="0"/>
                <w:color w:val="auto"/>
                <w:sz w:val="18"/>
                <w:szCs w:val="18"/>
              </w:rPr>
            </w:pPr>
          </w:p>
        </w:tc>
      </w:tr>
      <w:tr w:rsidR="005D491F" w:rsidRPr="005D491F" w14:paraId="7D021BAB"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78A8652" w14:textId="77777777" w:rsidR="005D491F" w:rsidRPr="005D491F" w:rsidRDefault="005D491F" w:rsidP="00CA4EC0">
            <w:pPr>
              <w:rPr>
                <w:rFonts w:ascii="Lato" w:hAnsi="Lato" w:cs="Times New Roman"/>
                <w:b w:val="0"/>
                <w:color w:val="auto"/>
                <w:sz w:val="18"/>
                <w:szCs w:val="18"/>
              </w:rPr>
            </w:pPr>
            <w:r w:rsidRPr="005D491F">
              <w:rPr>
                <w:rFonts w:ascii="Lato" w:hAnsi="Lato" w:cs="Times New Roman"/>
                <w:color w:val="auto"/>
                <w:sz w:val="18"/>
                <w:szCs w:val="18"/>
                <w:lang w:eastAsia="pl-PL"/>
              </w:rPr>
              <w:t>w wieku 60 lat i więcej</w:t>
            </w:r>
          </w:p>
        </w:tc>
        <w:tc>
          <w:tcPr>
            <w:tcW w:w="1346" w:type="pct"/>
            <w:shd w:val="clear" w:color="auto" w:fill="auto"/>
          </w:tcPr>
          <w:p w14:paraId="684FB9F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294971</w:t>
            </w:r>
          </w:p>
        </w:tc>
        <w:tc>
          <w:tcPr>
            <w:tcW w:w="1346" w:type="pct"/>
            <w:shd w:val="clear" w:color="auto" w:fill="auto"/>
          </w:tcPr>
          <w:p w14:paraId="559D8807"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296002</w:t>
            </w:r>
          </w:p>
        </w:tc>
        <w:tc>
          <w:tcPr>
            <w:tcW w:w="1348" w:type="pct"/>
            <w:shd w:val="clear" w:color="auto" w:fill="auto"/>
          </w:tcPr>
          <w:p w14:paraId="17784BD6"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299630</w:t>
            </w:r>
          </w:p>
        </w:tc>
      </w:tr>
      <w:tr w:rsidR="005D491F" w:rsidRPr="005D491F" w14:paraId="31B71AD8"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54EC6189"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60–64 lata</w:t>
            </w:r>
          </w:p>
        </w:tc>
        <w:tc>
          <w:tcPr>
            <w:tcW w:w="1346" w:type="pct"/>
            <w:shd w:val="clear" w:color="auto" w:fill="auto"/>
          </w:tcPr>
          <w:p w14:paraId="0B66ACB3"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83088</w:t>
            </w:r>
          </w:p>
        </w:tc>
        <w:tc>
          <w:tcPr>
            <w:tcW w:w="1346" w:type="pct"/>
            <w:shd w:val="clear" w:color="auto" w:fill="auto"/>
          </w:tcPr>
          <w:p w14:paraId="7CFC000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81696</w:t>
            </w:r>
          </w:p>
        </w:tc>
        <w:tc>
          <w:tcPr>
            <w:tcW w:w="1348" w:type="pct"/>
            <w:shd w:val="clear" w:color="auto" w:fill="auto"/>
          </w:tcPr>
          <w:p w14:paraId="6A9A04C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79513</w:t>
            </w:r>
          </w:p>
        </w:tc>
      </w:tr>
      <w:tr w:rsidR="005D491F" w:rsidRPr="005D491F" w14:paraId="6443296E"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588D994C"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65–69</w:t>
            </w:r>
          </w:p>
        </w:tc>
        <w:tc>
          <w:tcPr>
            <w:tcW w:w="1346" w:type="pct"/>
            <w:shd w:val="clear" w:color="auto" w:fill="auto"/>
          </w:tcPr>
          <w:p w14:paraId="4B3EE7BA"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69306</w:t>
            </w:r>
          </w:p>
        </w:tc>
        <w:tc>
          <w:tcPr>
            <w:tcW w:w="1346" w:type="pct"/>
            <w:shd w:val="clear" w:color="auto" w:fill="auto"/>
          </w:tcPr>
          <w:p w14:paraId="474CB2B8"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70974</w:t>
            </w:r>
          </w:p>
        </w:tc>
        <w:tc>
          <w:tcPr>
            <w:tcW w:w="1348" w:type="pct"/>
            <w:shd w:val="clear" w:color="auto" w:fill="auto"/>
          </w:tcPr>
          <w:p w14:paraId="6471291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73543</w:t>
            </w:r>
          </w:p>
        </w:tc>
      </w:tr>
      <w:tr w:rsidR="005D491F" w:rsidRPr="005D491F" w14:paraId="3CB4E91D"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F995060"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70–74</w:t>
            </w:r>
          </w:p>
        </w:tc>
        <w:tc>
          <w:tcPr>
            <w:tcW w:w="1346" w:type="pct"/>
            <w:shd w:val="clear" w:color="auto" w:fill="auto"/>
          </w:tcPr>
          <w:p w14:paraId="37AD76E6"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51695</w:t>
            </w:r>
          </w:p>
        </w:tc>
        <w:tc>
          <w:tcPr>
            <w:tcW w:w="1346" w:type="pct"/>
            <w:shd w:val="clear" w:color="auto" w:fill="auto"/>
          </w:tcPr>
          <w:p w14:paraId="14B7317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54418</w:t>
            </w:r>
          </w:p>
        </w:tc>
        <w:tc>
          <w:tcPr>
            <w:tcW w:w="1348" w:type="pct"/>
            <w:shd w:val="clear" w:color="auto" w:fill="auto"/>
          </w:tcPr>
          <w:p w14:paraId="52F283BE"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56750</w:t>
            </w:r>
          </w:p>
        </w:tc>
      </w:tr>
      <w:tr w:rsidR="005D491F" w:rsidRPr="005D491F" w14:paraId="29CE258A"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35FD641"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75–79</w:t>
            </w:r>
          </w:p>
        </w:tc>
        <w:tc>
          <w:tcPr>
            <w:tcW w:w="1346" w:type="pct"/>
            <w:shd w:val="clear" w:color="auto" w:fill="auto"/>
          </w:tcPr>
          <w:p w14:paraId="0EAB317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33272</w:t>
            </w:r>
          </w:p>
        </w:tc>
        <w:tc>
          <w:tcPr>
            <w:tcW w:w="1346" w:type="pct"/>
            <w:shd w:val="clear" w:color="auto" w:fill="auto"/>
          </w:tcPr>
          <w:p w14:paraId="589652E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33303</w:t>
            </w:r>
          </w:p>
        </w:tc>
        <w:tc>
          <w:tcPr>
            <w:tcW w:w="1348" w:type="pct"/>
            <w:shd w:val="clear" w:color="auto" w:fill="auto"/>
          </w:tcPr>
          <w:p w14:paraId="19F6BD70"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34609</w:t>
            </w:r>
          </w:p>
        </w:tc>
      </w:tr>
      <w:tr w:rsidR="005D491F" w:rsidRPr="005D491F" w14:paraId="4B0A836B"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482ED48"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80–84</w:t>
            </w:r>
          </w:p>
        </w:tc>
        <w:tc>
          <w:tcPr>
            <w:tcW w:w="1346" w:type="pct"/>
            <w:shd w:val="clear" w:color="auto" w:fill="auto"/>
          </w:tcPr>
          <w:p w14:paraId="0DD5CE4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28829</w:t>
            </w:r>
          </w:p>
        </w:tc>
        <w:tc>
          <w:tcPr>
            <w:tcW w:w="1346" w:type="pct"/>
            <w:shd w:val="clear" w:color="auto" w:fill="auto"/>
          </w:tcPr>
          <w:p w14:paraId="5E58566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27611</w:t>
            </w:r>
          </w:p>
        </w:tc>
        <w:tc>
          <w:tcPr>
            <w:tcW w:w="1348" w:type="pct"/>
            <w:shd w:val="clear" w:color="auto" w:fill="auto"/>
          </w:tcPr>
          <w:p w14:paraId="7DF8C0D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27138</w:t>
            </w:r>
          </w:p>
        </w:tc>
      </w:tr>
      <w:tr w:rsidR="005D491F" w:rsidRPr="005D491F" w14:paraId="6D95CF3E"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D608A31"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85 lat i więcej</w:t>
            </w:r>
          </w:p>
        </w:tc>
        <w:tc>
          <w:tcPr>
            <w:tcW w:w="1346" w:type="pct"/>
            <w:shd w:val="clear" w:color="auto" w:fill="auto"/>
          </w:tcPr>
          <w:p w14:paraId="2BA27057"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28781</w:t>
            </w:r>
          </w:p>
        </w:tc>
        <w:tc>
          <w:tcPr>
            <w:tcW w:w="1346" w:type="pct"/>
            <w:shd w:val="clear" w:color="auto" w:fill="auto"/>
          </w:tcPr>
          <w:p w14:paraId="11BC7ADF"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28000</w:t>
            </w:r>
          </w:p>
        </w:tc>
        <w:tc>
          <w:tcPr>
            <w:tcW w:w="1348" w:type="pct"/>
            <w:shd w:val="clear" w:color="auto" w:fill="auto"/>
          </w:tcPr>
          <w:p w14:paraId="06C27882"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28077</w:t>
            </w:r>
          </w:p>
        </w:tc>
      </w:tr>
      <w:tr w:rsidR="005D491F" w:rsidRPr="005D491F" w14:paraId="0A311D14"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73C6A52"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Przeciętne dalsze trwanie życia</w:t>
            </w:r>
          </w:p>
        </w:tc>
        <w:tc>
          <w:tcPr>
            <w:tcW w:w="1346" w:type="pct"/>
            <w:shd w:val="clear" w:color="auto" w:fill="auto"/>
          </w:tcPr>
          <w:p w14:paraId="53C79BB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Noworodek płci męskiej – 73,1</w:t>
            </w:r>
          </w:p>
          <w:p w14:paraId="2BAE743C"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Noworodek płci żeńskiej – 81,9</w:t>
            </w:r>
          </w:p>
          <w:p w14:paraId="5EADDBB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Mężczyzna w wieku 60 lat – 18,5</w:t>
            </w:r>
          </w:p>
          <w:p w14:paraId="4ED2E4FB"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Kobieta w wieku 60 –  24,2</w:t>
            </w:r>
          </w:p>
        </w:tc>
        <w:tc>
          <w:tcPr>
            <w:tcW w:w="1346" w:type="pct"/>
            <w:shd w:val="clear" w:color="auto" w:fill="auto"/>
          </w:tcPr>
          <w:p w14:paraId="0BA7416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Noworodek płci męskiej – 71,5</w:t>
            </w:r>
          </w:p>
          <w:p w14:paraId="2A860768"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Noworodek płci żeńskiej – 80,5</w:t>
            </w:r>
          </w:p>
          <w:p w14:paraId="72D6F09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Mężczyzna w wieku 60 lat – 17,4</w:t>
            </w:r>
          </w:p>
          <w:p w14:paraId="3AD848C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Kobieta w wieku 60 – 22,9</w:t>
            </w:r>
          </w:p>
        </w:tc>
        <w:tc>
          <w:tcPr>
            <w:tcW w:w="1348" w:type="pct"/>
            <w:shd w:val="clear" w:color="auto" w:fill="auto"/>
          </w:tcPr>
          <w:p w14:paraId="166C495E"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 xml:space="preserve">Noworodek płci męskiej – </w:t>
            </w:r>
            <w:r w:rsidRPr="005D491F">
              <w:rPr>
                <w:rFonts w:ascii="Lato" w:hAnsi="Lato"/>
                <w:sz w:val="18"/>
                <w:szCs w:val="18"/>
              </w:rPr>
              <w:t xml:space="preserve"> </w:t>
            </w:r>
            <w:r w:rsidRPr="005D491F">
              <w:rPr>
                <w:rFonts w:ascii="Lato" w:hAnsi="Lato" w:cs="Times New Roman"/>
                <w:color w:val="auto"/>
                <w:sz w:val="18"/>
                <w:szCs w:val="18"/>
              </w:rPr>
              <w:t>73,7</w:t>
            </w:r>
          </w:p>
          <w:p w14:paraId="53475D89"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 xml:space="preserve">Noworodek płci żeńskiej – </w:t>
            </w:r>
            <w:r w:rsidRPr="005D491F">
              <w:rPr>
                <w:rFonts w:ascii="Lato" w:hAnsi="Lato"/>
                <w:sz w:val="18"/>
                <w:szCs w:val="18"/>
              </w:rPr>
              <w:t xml:space="preserve"> </w:t>
            </w:r>
            <w:r w:rsidRPr="005D491F">
              <w:rPr>
                <w:rFonts w:ascii="Lato" w:hAnsi="Lato" w:cs="Times New Roman"/>
                <w:color w:val="auto"/>
                <w:sz w:val="18"/>
                <w:szCs w:val="18"/>
              </w:rPr>
              <w:t>82,6</w:t>
            </w:r>
          </w:p>
          <w:p w14:paraId="73DC280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 xml:space="preserve">Mężczyzna w wieku 60 lat – </w:t>
            </w:r>
            <w:r w:rsidRPr="005D491F">
              <w:rPr>
                <w:rFonts w:ascii="Lato" w:hAnsi="Lato"/>
                <w:sz w:val="18"/>
                <w:szCs w:val="18"/>
              </w:rPr>
              <w:t xml:space="preserve"> </w:t>
            </w:r>
            <w:r w:rsidRPr="005D491F">
              <w:rPr>
                <w:rFonts w:ascii="Lato" w:hAnsi="Lato" w:cs="Times New Roman"/>
                <w:color w:val="auto"/>
                <w:sz w:val="18"/>
                <w:szCs w:val="18"/>
              </w:rPr>
              <w:t>19,1</w:t>
            </w:r>
          </w:p>
          <w:p w14:paraId="5FF9B8B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 xml:space="preserve">Kobieta w wieku 60 – </w:t>
            </w:r>
            <w:r w:rsidRPr="005D491F">
              <w:rPr>
                <w:rFonts w:ascii="Lato" w:hAnsi="Lato"/>
                <w:sz w:val="18"/>
                <w:szCs w:val="18"/>
              </w:rPr>
              <w:t xml:space="preserve"> </w:t>
            </w:r>
            <w:r w:rsidRPr="005D491F">
              <w:rPr>
                <w:rFonts w:ascii="Lato" w:hAnsi="Lato" w:cs="Times New Roman"/>
                <w:color w:val="auto"/>
                <w:sz w:val="18"/>
                <w:szCs w:val="18"/>
              </w:rPr>
              <w:t>24,7</w:t>
            </w:r>
          </w:p>
        </w:tc>
      </w:tr>
      <w:tr w:rsidR="005D491F" w:rsidRPr="005D491F" w14:paraId="1E10D8D2"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93549C1"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Współczynnik feminizacji</w:t>
            </w:r>
          </w:p>
        </w:tc>
        <w:tc>
          <w:tcPr>
            <w:tcW w:w="1346" w:type="pct"/>
            <w:shd w:val="clear" w:color="auto" w:fill="auto"/>
          </w:tcPr>
          <w:p w14:paraId="2C5B418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105</w:t>
            </w:r>
          </w:p>
        </w:tc>
        <w:tc>
          <w:tcPr>
            <w:tcW w:w="1346" w:type="pct"/>
            <w:shd w:val="clear" w:color="auto" w:fill="auto"/>
          </w:tcPr>
          <w:p w14:paraId="43ED149C"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105</w:t>
            </w:r>
          </w:p>
        </w:tc>
        <w:tc>
          <w:tcPr>
            <w:tcW w:w="1348" w:type="pct"/>
            <w:shd w:val="clear" w:color="auto" w:fill="auto"/>
          </w:tcPr>
          <w:p w14:paraId="793C6C3A"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106</w:t>
            </w:r>
          </w:p>
        </w:tc>
      </w:tr>
      <w:tr w:rsidR="005D491F" w:rsidRPr="005D491F" w14:paraId="050F5C18" w14:textId="77777777" w:rsidTr="005D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75AAB90"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3C745A6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27,6</w:t>
            </w:r>
          </w:p>
        </w:tc>
        <w:tc>
          <w:tcPr>
            <w:tcW w:w="1346" w:type="pct"/>
            <w:shd w:val="clear" w:color="auto" w:fill="auto"/>
          </w:tcPr>
          <w:p w14:paraId="56BDDA6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28,3</w:t>
            </w:r>
          </w:p>
        </w:tc>
        <w:tc>
          <w:tcPr>
            <w:tcW w:w="1348" w:type="pct"/>
            <w:shd w:val="clear" w:color="auto" w:fill="auto"/>
          </w:tcPr>
          <w:p w14:paraId="4C70238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29,4</w:t>
            </w:r>
          </w:p>
        </w:tc>
      </w:tr>
      <w:tr w:rsidR="005D491F" w:rsidRPr="005D491F" w14:paraId="2853BCD3" w14:textId="77777777" w:rsidTr="005D491F">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394CAFBA"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Współczynnik zgonów</w:t>
            </w:r>
          </w:p>
        </w:tc>
        <w:tc>
          <w:tcPr>
            <w:tcW w:w="1346" w:type="pct"/>
            <w:shd w:val="clear" w:color="auto" w:fill="auto"/>
          </w:tcPr>
          <w:p w14:paraId="4DFE567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12,6</w:t>
            </w:r>
          </w:p>
        </w:tc>
        <w:tc>
          <w:tcPr>
            <w:tcW w:w="1346" w:type="pct"/>
            <w:shd w:val="clear" w:color="auto" w:fill="auto"/>
          </w:tcPr>
          <w:p w14:paraId="3147587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14,5</w:t>
            </w:r>
          </w:p>
        </w:tc>
        <w:tc>
          <w:tcPr>
            <w:tcW w:w="1348" w:type="pct"/>
            <w:shd w:val="clear" w:color="auto" w:fill="auto"/>
          </w:tcPr>
          <w:p w14:paraId="191A7DAB"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11,8</w:t>
            </w:r>
          </w:p>
        </w:tc>
      </w:tr>
      <w:tr w:rsidR="005D491F" w:rsidRPr="005D491F" w14:paraId="4FCAD3AD"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2F7FAADE" w14:textId="77777777" w:rsidR="005D491F" w:rsidRPr="005D491F" w:rsidRDefault="005D491F" w:rsidP="00CA4EC0">
            <w:pPr>
              <w:jc w:val="center"/>
              <w:rPr>
                <w:rFonts w:ascii="Lato" w:hAnsi="Lato" w:cs="Times New Roman"/>
                <w:color w:val="auto"/>
                <w:sz w:val="18"/>
                <w:szCs w:val="18"/>
              </w:rPr>
            </w:pPr>
            <w:r w:rsidRPr="005D491F">
              <w:rPr>
                <w:rFonts w:ascii="Lato" w:hAnsi="Lato" w:cs="Times New Roman"/>
                <w:color w:val="auto"/>
                <w:sz w:val="18"/>
                <w:szCs w:val="18"/>
                <w:lang w:eastAsia="pl-PL"/>
              </w:rPr>
              <w:t>AKTYWNOŚĆ EKONOMICZNA OSÓB STARSZYCH – DANE ZA 2022 R.</w:t>
            </w:r>
            <w:r w:rsidRPr="005D491F">
              <w:rPr>
                <w:rFonts w:ascii="Lato" w:hAnsi="Lato" w:cs="Times New Roman"/>
                <w:color w:val="auto"/>
                <w:sz w:val="18"/>
                <w:szCs w:val="18"/>
                <w:vertAlign w:val="superscript"/>
                <w:lang w:eastAsia="pl-PL"/>
              </w:rPr>
              <w:t>1)</w:t>
            </w:r>
          </w:p>
        </w:tc>
      </w:tr>
      <w:tr w:rsidR="005D491F" w:rsidRPr="005D491F" w14:paraId="1392B35F" w14:textId="77777777" w:rsidTr="005D491F">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14:paraId="33276333" w14:textId="77777777" w:rsidR="005D491F" w:rsidRPr="005D491F" w:rsidRDefault="005D491F" w:rsidP="00CA4EC0">
            <w:pPr>
              <w:rPr>
                <w:rFonts w:ascii="Lato" w:hAnsi="Lato" w:cs="Times New Roman"/>
                <w:color w:val="auto"/>
                <w:sz w:val="18"/>
                <w:szCs w:val="18"/>
              </w:rPr>
            </w:pPr>
            <w:r w:rsidRPr="005D491F">
              <w:rPr>
                <w:rFonts w:ascii="Lato" w:hAnsi="Lato" w:cs="Times New Roman"/>
                <w:color w:val="auto"/>
                <w:sz w:val="18"/>
                <w:szCs w:val="18"/>
              </w:rPr>
              <w:t>Podział</w:t>
            </w:r>
          </w:p>
        </w:tc>
        <w:tc>
          <w:tcPr>
            <w:tcW w:w="2694" w:type="pct"/>
            <w:gridSpan w:val="2"/>
            <w:shd w:val="clear" w:color="auto" w:fill="auto"/>
          </w:tcPr>
          <w:p w14:paraId="09155CB8" w14:textId="77777777" w:rsidR="005D491F" w:rsidRPr="005D491F" w:rsidRDefault="005D491F"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Liczba</w:t>
            </w:r>
          </w:p>
        </w:tc>
      </w:tr>
      <w:tr w:rsidR="005D491F" w:rsidRPr="005D491F" w14:paraId="20E588AF" w14:textId="77777777" w:rsidTr="005D491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DF803A6"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Osoby aktywne zawodowo razem (w tys.)</w:t>
            </w:r>
          </w:p>
        </w:tc>
        <w:tc>
          <w:tcPr>
            <w:tcW w:w="1346" w:type="pct"/>
            <w:shd w:val="clear" w:color="auto" w:fill="auto"/>
          </w:tcPr>
          <w:p w14:paraId="2EB0E3BA"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531D2A1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508</w:t>
            </w:r>
          </w:p>
        </w:tc>
      </w:tr>
      <w:tr w:rsidR="005D491F" w:rsidRPr="005D491F" w14:paraId="0DBEEE13" w14:textId="77777777" w:rsidTr="005D491F">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0B95580" w14:textId="77777777" w:rsidR="005D491F" w:rsidRPr="005D491F" w:rsidRDefault="005D491F" w:rsidP="00CA4EC0">
            <w:pPr>
              <w:rPr>
                <w:rFonts w:ascii="Lato" w:hAnsi="Lato" w:cs="Times New Roman"/>
                <w:b w:val="0"/>
                <w:color w:val="auto"/>
                <w:sz w:val="18"/>
                <w:szCs w:val="18"/>
                <w:lang w:eastAsia="pl-PL"/>
              </w:rPr>
            </w:pPr>
          </w:p>
        </w:tc>
        <w:tc>
          <w:tcPr>
            <w:tcW w:w="1346" w:type="pct"/>
            <w:shd w:val="clear" w:color="auto" w:fill="auto"/>
          </w:tcPr>
          <w:p w14:paraId="0111E49F"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60-89 lat</w:t>
            </w:r>
          </w:p>
        </w:tc>
        <w:tc>
          <w:tcPr>
            <w:tcW w:w="2694" w:type="pct"/>
            <w:gridSpan w:val="2"/>
            <w:shd w:val="clear" w:color="auto" w:fill="auto"/>
          </w:tcPr>
          <w:p w14:paraId="267C686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43</w:t>
            </w:r>
          </w:p>
        </w:tc>
      </w:tr>
      <w:tr w:rsidR="005D491F" w:rsidRPr="005D491F" w14:paraId="5284BF12" w14:textId="77777777" w:rsidTr="005D491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0C01106"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 xml:space="preserve">Osoby aktywne zawodowo </w:t>
            </w:r>
            <w:r w:rsidRPr="005D491F">
              <w:rPr>
                <w:rFonts w:ascii="Lato" w:hAnsi="Lato" w:cs="Times New Roman"/>
                <w:color w:val="auto"/>
                <w:sz w:val="18"/>
                <w:szCs w:val="18"/>
                <w:lang w:eastAsia="pl-PL"/>
              </w:rPr>
              <w:br/>
              <w:t>– pracujący (w tys.)</w:t>
            </w:r>
          </w:p>
        </w:tc>
        <w:tc>
          <w:tcPr>
            <w:tcW w:w="1346" w:type="pct"/>
            <w:shd w:val="clear" w:color="auto" w:fill="auto"/>
          </w:tcPr>
          <w:p w14:paraId="135A0BA1"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007CE5B3"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495</w:t>
            </w:r>
          </w:p>
        </w:tc>
      </w:tr>
      <w:tr w:rsidR="005D491F" w:rsidRPr="005D491F" w14:paraId="32AD478E" w14:textId="77777777" w:rsidTr="005D491F">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9A2F479" w14:textId="77777777" w:rsidR="005D491F" w:rsidRPr="005D491F" w:rsidRDefault="005D491F" w:rsidP="00CA4EC0">
            <w:pPr>
              <w:rPr>
                <w:rFonts w:ascii="Lato" w:hAnsi="Lato" w:cs="Times New Roman"/>
                <w:b w:val="0"/>
                <w:color w:val="auto"/>
                <w:sz w:val="18"/>
                <w:szCs w:val="18"/>
                <w:lang w:eastAsia="pl-PL"/>
              </w:rPr>
            </w:pPr>
          </w:p>
        </w:tc>
        <w:tc>
          <w:tcPr>
            <w:tcW w:w="1346" w:type="pct"/>
            <w:shd w:val="clear" w:color="auto" w:fill="auto"/>
          </w:tcPr>
          <w:p w14:paraId="0B89B095"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60-89 lat</w:t>
            </w:r>
          </w:p>
        </w:tc>
        <w:tc>
          <w:tcPr>
            <w:tcW w:w="2694" w:type="pct"/>
            <w:gridSpan w:val="2"/>
            <w:shd w:val="clear" w:color="auto" w:fill="auto"/>
          </w:tcPr>
          <w:p w14:paraId="3C4809D0"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43</w:t>
            </w:r>
          </w:p>
        </w:tc>
      </w:tr>
      <w:tr w:rsidR="005D491F" w:rsidRPr="005D491F" w14:paraId="653D85C4" w14:textId="77777777" w:rsidTr="005D491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3C9EE801"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Osoby bierne zawodowo (w tys.)</w:t>
            </w:r>
          </w:p>
        </w:tc>
        <w:tc>
          <w:tcPr>
            <w:tcW w:w="1346" w:type="pct"/>
            <w:shd w:val="clear" w:color="auto" w:fill="auto"/>
          </w:tcPr>
          <w:p w14:paraId="37374AE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5F413FE8"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362</w:t>
            </w:r>
          </w:p>
        </w:tc>
      </w:tr>
      <w:tr w:rsidR="005D491F" w:rsidRPr="005D491F" w14:paraId="3CD25AE2" w14:textId="77777777" w:rsidTr="005D491F">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04418BEB" w14:textId="77777777" w:rsidR="005D491F" w:rsidRPr="005D491F" w:rsidRDefault="005D491F" w:rsidP="00CA4EC0">
            <w:pPr>
              <w:rPr>
                <w:rFonts w:ascii="Lato" w:hAnsi="Lato" w:cs="Times New Roman"/>
                <w:b w:val="0"/>
                <w:color w:val="auto"/>
                <w:sz w:val="18"/>
                <w:szCs w:val="18"/>
                <w:lang w:eastAsia="pl-PL"/>
              </w:rPr>
            </w:pPr>
          </w:p>
        </w:tc>
        <w:tc>
          <w:tcPr>
            <w:tcW w:w="1346" w:type="pct"/>
            <w:shd w:val="clear" w:color="auto" w:fill="auto"/>
          </w:tcPr>
          <w:p w14:paraId="61A1766F"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60-89 lat</w:t>
            </w:r>
          </w:p>
        </w:tc>
        <w:tc>
          <w:tcPr>
            <w:tcW w:w="2694" w:type="pct"/>
            <w:gridSpan w:val="2"/>
            <w:shd w:val="clear" w:color="auto" w:fill="auto"/>
          </w:tcPr>
          <w:p w14:paraId="0A4965C8"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229</w:t>
            </w:r>
          </w:p>
        </w:tc>
      </w:tr>
      <w:tr w:rsidR="005D491F" w:rsidRPr="005D491F" w14:paraId="09F4A843" w14:textId="77777777" w:rsidTr="005D491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6CF576E7"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Współczynnik aktywności zawodowej %</w:t>
            </w:r>
          </w:p>
        </w:tc>
        <w:tc>
          <w:tcPr>
            <w:tcW w:w="1346" w:type="pct"/>
            <w:shd w:val="clear" w:color="auto" w:fill="auto"/>
          </w:tcPr>
          <w:p w14:paraId="1FDF5DDA"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57203741"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58,4</w:t>
            </w:r>
          </w:p>
        </w:tc>
      </w:tr>
      <w:tr w:rsidR="005D491F" w:rsidRPr="005D491F" w14:paraId="19415BC8" w14:textId="77777777" w:rsidTr="005D491F">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09E7B82F" w14:textId="77777777" w:rsidR="005D491F" w:rsidRPr="005D491F" w:rsidRDefault="005D491F" w:rsidP="00CA4EC0">
            <w:pPr>
              <w:rPr>
                <w:rFonts w:ascii="Lato" w:hAnsi="Lato" w:cs="Times New Roman"/>
                <w:b w:val="0"/>
                <w:color w:val="auto"/>
                <w:sz w:val="18"/>
                <w:szCs w:val="18"/>
                <w:lang w:eastAsia="pl-PL"/>
              </w:rPr>
            </w:pPr>
          </w:p>
        </w:tc>
        <w:tc>
          <w:tcPr>
            <w:tcW w:w="1346" w:type="pct"/>
            <w:shd w:val="clear" w:color="auto" w:fill="auto"/>
          </w:tcPr>
          <w:p w14:paraId="19918C2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60-89 lat</w:t>
            </w:r>
          </w:p>
        </w:tc>
        <w:tc>
          <w:tcPr>
            <w:tcW w:w="2694" w:type="pct"/>
            <w:gridSpan w:val="2"/>
            <w:shd w:val="clear" w:color="auto" w:fill="auto"/>
          </w:tcPr>
          <w:p w14:paraId="7FB9E2DE"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15,8</w:t>
            </w:r>
          </w:p>
        </w:tc>
      </w:tr>
      <w:tr w:rsidR="005D491F" w:rsidRPr="005D491F" w14:paraId="3AF856B1" w14:textId="77777777" w:rsidTr="005D491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B6AC851" w14:textId="77777777" w:rsidR="005D491F" w:rsidRPr="005D491F" w:rsidRDefault="005D491F" w:rsidP="00CA4EC0">
            <w:pPr>
              <w:rPr>
                <w:rFonts w:ascii="Lato" w:hAnsi="Lato" w:cs="Times New Roman"/>
                <w:b w:val="0"/>
                <w:color w:val="auto"/>
                <w:sz w:val="18"/>
                <w:szCs w:val="18"/>
                <w:lang w:eastAsia="pl-PL"/>
              </w:rPr>
            </w:pPr>
            <w:r w:rsidRPr="005D491F">
              <w:rPr>
                <w:rFonts w:ascii="Lato" w:hAnsi="Lato" w:cs="Times New Roman"/>
                <w:color w:val="auto"/>
                <w:sz w:val="18"/>
                <w:szCs w:val="18"/>
                <w:lang w:eastAsia="pl-PL"/>
              </w:rPr>
              <w:t>Wskaźnik zatrudnienia %</w:t>
            </w:r>
          </w:p>
        </w:tc>
        <w:tc>
          <w:tcPr>
            <w:tcW w:w="1346" w:type="pct"/>
            <w:shd w:val="clear" w:color="auto" w:fill="auto"/>
          </w:tcPr>
          <w:p w14:paraId="4A93C243"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2190617A"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56,9</w:t>
            </w:r>
          </w:p>
        </w:tc>
      </w:tr>
      <w:tr w:rsidR="005D491F" w:rsidRPr="005D491F" w14:paraId="18046D7A" w14:textId="77777777" w:rsidTr="005D491F">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422A82E" w14:textId="77777777" w:rsidR="005D491F" w:rsidRPr="005D491F" w:rsidRDefault="005D491F" w:rsidP="00CA4EC0">
            <w:pPr>
              <w:rPr>
                <w:rFonts w:ascii="Lato" w:hAnsi="Lato" w:cs="Times New Roman"/>
                <w:b w:val="0"/>
                <w:color w:val="auto"/>
                <w:sz w:val="18"/>
                <w:szCs w:val="18"/>
                <w:lang w:eastAsia="pl-PL"/>
              </w:rPr>
            </w:pPr>
          </w:p>
        </w:tc>
        <w:tc>
          <w:tcPr>
            <w:tcW w:w="1346" w:type="pct"/>
            <w:shd w:val="clear" w:color="auto" w:fill="auto"/>
          </w:tcPr>
          <w:p w14:paraId="209ACB6C"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60-89 lat</w:t>
            </w:r>
          </w:p>
        </w:tc>
        <w:tc>
          <w:tcPr>
            <w:tcW w:w="2694" w:type="pct"/>
            <w:gridSpan w:val="2"/>
            <w:shd w:val="clear" w:color="auto" w:fill="auto"/>
          </w:tcPr>
          <w:p w14:paraId="6D7AB87C"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15,8</w:t>
            </w:r>
          </w:p>
        </w:tc>
      </w:tr>
      <w:tr w:rsidR="005D491F" w:rsidRPr="005D491F" w14:paraId="66672633" w14:textId="77777777" w:rsidTr="005D491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CE8A1AE" w14:textId="77777777" w:rsidR="005D491F" w:rsidRPr="005D491F" w:rsidRDefault="005D491F" w:rsidP="00CA4EC0">
            <w:pPr>
              <w:rPr>
                <w:rFonts w:ascii="Lato" w:hAnsi="Lato" w:cs="Times New Roman"/>
                <w:b w:val="0"/>
                <w:color w:val="auto"/>
                <w:sz w:val="18"/>
                <w:szCs w:val="18"/>
                <w:lang w:eastAsia="pl-PL"/>
              </w:rPr>
            </w:pPr>
            <w:r w:rsidRPr="005D491F">
              <w:rPr>
                <w:rFonts w:ascii="Lato" w:eastAsia="Times New Roman" w:hAnsi="Lato" w:cs="Times New Roman"/>
                <w:color w:val="auto"/>
                <w:sz w:val="18"/>
                <w:szCs w:val="18"/>
                <w:lang w:eastAsia="pl-PL"/>
              </w:rPr>
              <w:t xml:space="preserve">Osoby bierne zawodowo  w wieku 60-74 lata według wybranych przyczyn bierności </w:t>
            </w:r>
            <w:r w:rsidRPr="005D491F">
              <w:rPr>
                <w:rFonts w:ascii="Lato" w:eastAsia="Times New Roman" w:hAnsi="Lato" w:cs="Times New Roman"/>
                <w:color w:val="auto"/>
                <w:sz w:val="18"/>
                <w:szCs w:val="18"/>
                <w:lang w:eastAsia="pl-PL"/>
              </w:rPr>
              <w:br/>
              <w:t>(w tys.)</w:t>
            </w:r>
          </w:p>
        </w:tc>
        <w:tc>
          <w:tcPr>
            <w:tcW w:w="1346" w:type="pct"/>
            <w:shd w:val="clear" w:color="auto" w:fill="auto"/>
          </w:tcPr>
          <w:p w14:paraId="038F918B"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35CF2264"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155</w:t>
            </w:r>
          </w:p>
        </w:tc>
      </w:tr>
      <w:tr w:rsidR="005D491F" w:rsidRPr="005D491F" w14:paraId="749E1978" w14:textId="77777777" w:rsidTr="005D491F">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E31647F"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67E91A2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w:t>
            </w:r>
          </w:p>
        </w:tc>
      </w:tr>
      <w:tr w:rsidR="005D491F" w:rsidRPr="005D491F" w14:paraId="6E2F42E3" w14:textId="77777777" w:rsidTr="005D491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70440AB9"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D5C5E6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5D491F">
              <w:rPr>
                <w:rFonts w:ascii="Lato" w:eastAsia="Times New Roman" w:hAnsi="Lato" w:cs="Times New Roman"/>
                <w:color w:val="auto"/>
                <w:sz w:val="18"/>
                <w:szCs w:val="18"/>
                <w:lang w:eastAsia="pl-PL"/>
              </w:rPr>
              <w:t>osoby nieposzukujące pracy - razem</w:t>
            </w:r>
          </w:p>
        </w:tc>
        <w:tc>
          <w:tcPr>
            <w:tcW w:w="2694" w:type="pct"/>
            <w:gridSpan w:val="2"/>
            <w:shd w:val="clear" w:color="auto" w:fill="auto"/>
          </w:tcPr>
          <w:p w14:paraId="5B9E97B8"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155</w:t>
            </w:r>
          </w:p>
        </w:tc>
      </w:tr>
      <w:tr w:rsidR="005D491F" w:rsidRPr="005D491F" w14:paraId="047C39BD" w14:textId="77777777" w:rsidTr="005D491F">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625DE86"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5D68F6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eastAsia="Times New Roman" w:hAnsi="Lato" w:cs="Times New Roman"/>
                <w:color w:val="auto"/>
                <w:sz w:val="18"/>
                <w:szCs w:val="18"/>
                <w:lang w:eastAsia="pl-PL"/>
              </w:rPr>
              <w:t>osoby nieposzukujące pracy - emerytura</w:t>
            </w:r>
          </w:p>
        </w:tc>
        <w:tc>
          <w:tcPr>
            <w:tcW w:w="2694" w:type="pct"/>
            <w:gridSpan w:val="2"/>
            <w:shd w:val="clear" w:color="auto" w:fill="auto"/>
          </w:tcPr>
          <w:p w14:paraId="63490CC8"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140</w:t>
            </w:r>
          </w:p>
        </w:tc>
      </w:tr>
      <w:tr w:rsidR="005D491F" w:rsidRPr="005D491F" w14:paraId="1A098EBC" w14:textId="77777777" w:rsidTr="005D491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CBFBC69"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2ABDD30"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eastAsia="Times New Roman" w:hAnsi="Lato" w:cs="Times New Roman"/>
                <w:color w:val="auto"/>
                <w:sz w:val="18"/>
                <w:szCs w:val="18"/>
                <w:lang w:eastAsia="pl-PL"/>
              </w:rPr>
              <w:t>osoby nieposzukujące pracy - choroba, niepełnosprawność</w:t>
            </w:r>
          </w:p>
        </w:tc>
        <w:tc>
          <w:tcPr>
            <w:tcW w:w="2694" w:type="pct"/>
            <w:gridSpan w:val="2"/>
            <w:shd w:val="clear" w:color="auto" w:fill="auto"/>
          </w:tcPr>
          <w:p w14:paraId="26515A7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10</w:t>
            </w:r>
          </w:p>
        </w:tc>
      </w:tr>
      <w:tr w:rsidR="005D491F" w:rsidRPr="005D491F" w14:paraId="58F7AFEA" w14:textId="77777777" w:rsidTr="005D491F">
        <w:trPr>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BB5788B" w14:textId="77777777" w:rsidR="005D491F" w:rsidRPr="005D491F" w:rsidRDefault="005D491F" w:rsidP="00CA4EC0">
            <w:pPr>
              <w:rPr>
                <w:rFonts w:ascii="Lato" w:eastAsia="Times New Roman" w:hAnsi="Lato" w:cs="Times New Roman"/>
                <w:b w:val="0"/>
                <w:bCs w:val="0"/>
                <w:color w:val="auto"/>
                <w:sz w:val="18"/>
                <w:szCs w:val="18"/>
                <w:lang w:eastAsia="pl-PL"/>
              </w:rPr>
            </w:pPr>
            <w:r w:rsidRPr="005D491F">
              <w:rPr>
                <w:rFonts w:ascii="Lato" w:eastAsia="Times New Roman" w:hAnsi="Lato" w:cs="Times New Roman"/>
                <w:color w:val="auto"/>
                <w:sz w:val="18"/>
                <w:szCs w:val="18"/>
                <w:lang w:eastAsia="pl-PL"/>
              </w:rPr>
              <w:t>Osoby bezrobotne zarejestrowane w urzędach pracy (w tys.)</w:t>
            </w:r>
            <w:r w:rsidRPr="005D491F">
              <w:rPr>
                <w:rFonts w:ascii="Lato" w:eastAsia="Times New Roman" w:hAnsi="Lato" w:cs="Times New Roman"/>
                <w:color w:val="auto"/>
                <w:sz w:val="18"/>
                <w:szCs w:val="18"/>
                <w:vertAlign w:val="superscript"/>
                <w:lang w:eastAsia="pl-PL"/>
              </w:rPr>
              <w:t>2)</w:t>
            </w:r>
          </w:p>
        </w:tc>
        <w:tc>
          <w:tcPr>
            <w:tcW w:w="1346" w:type="pct"/>
            <w:shd w:val="clear" w:color="auto" w:fill="auto"/>
          </w:tcPr>
          <w:p w14:paraId="7BDE59D0"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Ogółem</w:t>
            </w:r>
          </w:p>
        </w:tc>
        <w:tc>
          <w:tcPr>
            <w:tcW w:w="2694" w:type="pct"/>
            <w:gridSpan w:val="2"/>
            <w:shd w:val="clear" w:color="auto" w:fill="auto"/>
          </w:tcPr>
          <w:p w14:paraId="1C28815E"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31,2</w:t>
            </w:r>
          </w:p>
        </w:tc>
      </w:tr>
      <w:tr w:rsidR="005D491F" w:rsidRPr="005D491F" w14:paraId="40760914" w14:textId="77777777" w:rsidTr="005D491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12489C3"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1C5CAF0"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w tym w wieku 60-64 lata</w:t>
            </w:r>
          </w:p>
        </w:tc>
        <w:tc>
          <w:tcPr>
            <w:tcW w:w="2694" w:type="pct"/>
            <w:gridSpan w:val="2"/>
            <w:shd w:val="clear" w:color="auto" w:fill="auto"/>
          </w:tcPr>
          <w:p w14:paraId="7C0755DD"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2,3</w:t>
            </w:r>
          </w:p>
        </w:tc>
      </w:tr>
      <w:tr w:rsidR="005D491F" w:rsidRPr="005D491F" w14:paraId="4C8A64E3" w14:textId="77777777" w:rsidTr="005D491F">
        <w:trPr>
          <w:trHeight w:val="191"/>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B471F9B" w14:textId="77777777" w:rsidR="005D491F" w:rsidRPr="005D491F" w:rsidRDefault="005D491F" w:rsidP="00CA4EC0">
            <w:pPr>
              <w:rPr>
                <w:rFonts w:ascii="Lato" w:eastAsia="Times New Roman" w:hAnsi="Lato" w:cs="Times New Roman"/>
                <w:b w:val="0"/>
                <w:bCs w:val="0"/>
                <w:color w:val="auto"/>
                <w:sz w:val="18"/>
                <w:szCs w:val="18"/>
                <w:lang w:eastAsia="pl-PL"/>
              </w:rPr>
            </w:pPr>
            <w:r w:rsidRPr="005D491F">
              <w:rPr>
                <w:rFonts w:ascii="Lato" w:eastAsia="Times New Roman" w:hAnsi="Lato" w:cs="Times New Roman"/>
                <w:color w:val="auto"/>
                <w:sz w:val="18"/>
                <w:szCs w:val="18"/>
                <w:lang w:eastAsia="pl-PL"/>
              </w:rPr>
              <w:lastRenderedPageBreak/>
              <w:t xml:space="preserve">Osoby pobierające renty </w:t>
            </w:r>
            <w:r w:rsidRPr="005D491F">
              <w:rPr>
                <w:rFonts w:ascii="Lato" w:eastAsia="Times New Roman" w:hAnsi="Lato" w:cs="Times New Roman"/>
                <w:color w:val="auto"/>
                <w:sz w:val="18"/>
                <w:szCs w:val="18"/>
                <w:lang w:eastAsia="pl-PL"/>
              </w:rPr>
              <w:br/>
              <w:t xml:space="preserve">i emerytury </w:t>
            </w:r>
          </w:p>
        </w:tc>
        <w:tc>
          <w:tcPr>
            <w:tcW w:w="4039" w:type="pct"/>
            <w:gridSpan w:val="3"/>
            <w:shd w:val="clear" w:color="auto" w:fill="auto"/>
          </w:tcPr>
          <w:p w14:paraId="429440E5" w14:textId="77777777" w:rsidR="005D491F" w:rsidRPr="005D491F" w:rsidRDefault="005D491F"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ZUS</w:t>
            </w:r>
          </w:p>
        </w:tc>
      </w:tr>
      <w:tr w:rsidR="005D491F" w:rsidRPr="005D491F" w14:paraId="53E3CBD7" w14:textId="77777777" w:rsidTr="005D491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744D2E2E"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FF1931F" w14:textId="77777777" w:rsidR="005D491F" w:rsidRPr="005D491F" w:rsidRDefault="005D491F"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Rodzaj świadczenia</w:t>
            </w:r>
          </w:p>
        </w:tc>
        <w:tc>
          <w:tcPr>
            <w:tcW w:w="2694" w:type="pct"/>
            <w:gridSpan w:val="2"/>
            <w:shd w:val="clear" w:color="auto" w:fill="auto"/>
          </w:tcPr>
          <w:p w14:paraId="01A5E235" w14:textId="77777777" w:rsidR="005D491F" w:rsidRPr="005D491F" w:rsidRDefault="005D491F"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Przeciętna miesięczna liczba emerytów i rencistów (w tys.)</w:t>
            </w:r>
          </w:p>
        </w:tc>
      </w:tr>
      <w:tr w:rsidR="005D491F" w:rsidRPr="005D491F" w14:paraId="6BE8C536" w14:textId="77777777" w:rsidTr="005D491F">
        <w:trPr>
          <w:trHeight w:val="143"/>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50FE6F9"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E1CCB08"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Emerytury</w:t>
            </w:r>
          </w:p>
        </w:tc>
        <w:tc>
          <w:tcPr>
            <w:tcW w:w="2694" w:type="pct"/>
            <w:gridSpan w:val="2"/>
            <w:shd w:val="clear" w:color="auto" w:fill="auto"/>
          </w:tcPr>
          <w:p w14:paraId="21A5ACF4"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160,3</w:t>
            </w:r>
          </w:p>
        </w:tc>
      </w:tr>
      <w:tr w:rsidR="005D491F" w:rsidRPr="005D491F" w14:paraId="60AB4210" w14:textId="77777777" w:rsidTr="005D491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BE287C6"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C7FAB25"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Renty z tytułu niezdolności do pracy</w:t>
            </w:r>
          </w:p>
        </w:tc>
        <w:tc>
          <w:tcPr>
            <w:tcW w:w="2694" w:type="pct"/>
            <w:gridSpan w:val="2"/>
            <w:shd w:val="clear" w:color="auto" w:fill="auto"/>
          </w:tcPr>
          <w:p w14:paraId="68D579B7"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13,9</w:t>
            </w:r>
          </w:p>
        </w:tc>
      </w:tr>
      <w:tr w:rsidR="005D491F" w:rsidRPr="005D491F" w14:paraId="08C971DB" w14:textId="77777777" w:rsidTr="005D491F">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5123ED3"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800E46B"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Renty rodzinne</w:t>
            </w:r>
          </w:p>
        </w:tc>
        <w:tc>
          <w:tcPr>
            <w:tcW w:w="2694" w:type="pct"/>
            <w:gridSpan w:val="2"/>
            <w:shd w:val="clear" w:color="auto" w:fill="auto"/>
          </w:tcPr>
          <w:p w14:paraId="6547A673"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24,5</w:t>
            </w:r>
          </w:p>
        </w:tc>
      </w:tr>
      <w:tr w:rsidR="005D491F" w:rsidRPr="005D491F" w14:paraId="4DCD2436" w14:textId="77777777" w:rsidTr="005D491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3219D80"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2BA40128" w14:textId="77777777" w:rsidR="005D491F" w:rsidRPr="005D491F" w:rsidRDefault="005D491F"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KRUS</w:t>
            </w:r>
          </w:p>
        </w:tc>
      </w:tr>
      <w:tr w:rsidR="005D491F" w:rsidRPr="005D491F" w14:paraId="0AD572D6" w14:textId="77777777" w:rsidTr="005D491F">
        <w:trPr>
          <w:trHeight w:val="81"/>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1F30CCC"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43EDE80" w14:textId="77777777" w:rsidR="005D491F" w:rsidRPr="005D491F" w:rsidRDefault="005D491F"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Rodzaj świadczenia</w:t>
            </w:r>
          </w:p>
        </w:tc>
        <w:tc>
          <w:tcPr>
            <w:tcW w:w="2694" w:type="pct"/>
            <w:gridSpan w:val="2"/>
            <w:shd w:val="clear" w:color="auto" w:fill="auto"/>
          </w:tcPr>
          <w:p w14:paraId="2AEAC006" w14:textId="77777777" w:rsidR="005D491F" w:rsidRPr="005D491F" w:rsidRDefault="005D491F"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5D491F">
              <w:rPr>
                <w:rFonts w:ascii="Lato" w:hAnsi="Lato" w:cs="Times New Roman"/>
                <w:b/>
                <w:color w:val="auto"/>
                <w:sz w:val="18"/>
                <w:szCs w:val="18"/>
              </w:rPr>
              <w:t>Przeciętna miesięczna liczba emerytów i rencistów (w tys.)</w:t>
            </w:r>
          </w:p>
        </w:tc>
      </w:tr>
      <w:tr w:rsidR="005D491F" w:rsidRPr="005D491F" w14:paraId="4BAFC4D6" w14:textId="77777777" w:rsidTr="005D491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9A32840"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34BF50B"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Emerytury</w:t>
            </w:r>
          </w:p>
        </w:tc>
        <w:tc>
          <w:tcPr>
            <w:tcW w:w="2694" w:type="pct"/>
            <w:gridSpan w:val="2"/>
            <w:shd w:val="clear" w:color="auto" w:fill="auto"/>
          </w:tcPr>
          <w:p w14:paraId="54048003"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56,8</w:t>
            </w:r>
          </w:p>
        </w:tc>
      </w:tr>
      <w:tr w:rsidR="005D491F" w:rsidRPr="005D491F" w14:paraId="3F338327" w14:textId="77777777" w:rsidTr="005D491F">
        <w:trPr>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11F261A"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3057D8D"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Renty z tytułu niezdolności do pracy</w:t>
            </w:r>
          </w:p>
        </w:tc>
        <w:tc>
          <w:tcPr>
            <w:tcW w:w="2694" w:type="pct"/>
            <w:gridSpan w:val="2"/>
            <w:shd w:val="clear" w:color="auto" w:fill="auto"/>
          </w:tcPr>
          <w:p w14:paraId="54AE5659" w14:textId="77777777" w:rsidR="005D491F" w:rsidRPr="005D491F" w:rsidRDefault="005D491F"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11,0</w:t>
            </w:r>
          </w:p>
        </w:tc>
      </w:tr>
      <w:tr w:rsidR="005D491F" w:rsidRPr="005D491F" w14:paraId="261083F1" w14:textId="77777777" w:rsidTr="005D491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63B3B72" w14:textId="77777777" w:rsidR="005D491F" w:rsidRPr="005D491F" w:rsidRDefault="005D491F"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9645ACF"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Renty rodzinne</w:t>
            </w:r>
          </w:p>
        </w:tc>
        <w:tc>
          <w:tcPr>
            <w:tcW w:w="2694" w:type="pct"/>
            <w:gridSpan w:val="2"/>
            <w:shd w:val="clear" w:color="auto" w:fill="auto"/>
          </w:tcPr>
          <w:p w14:paraId="39FC7B3C" w14:textId="77777777" w:rsidR="005D491F" w:rsidRPr="005D491F" w:rsidRDefault="005D491F"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5D491F">
              <w:rPr>
                <w:rFonts w:ascii="Lato" w:hAnsi="Lato" w:cs="Times New Roman"/>
                <w:color w:val="auto"/>
                <w:sz w:val="18"/>
                <w:szCs w:val="18"/>
              </w:rPr>
              <w:t>3,0</w:t>
            </w:r>
          </w:p>
        </w:tc>
      </w:tr>
      <w:tr w:rsidR="005D491F" w:rsidRPr="005D491F" w14:paraId="0CEAB5CB"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2A2718A" w14:textId="77777777" w:rsidR="005D491F" w:rsidRPr="005D491F" w:rsidRDefault="005D491F" w:rsidP="00CA4EC0">
            <w:pPr>
              <w:jc w:val="center"/>
              <w:rPr>
                <w:rFonts w:ascii="Lato" w:hAnsi="Lato" w:cs="Times New Roman"/>
                <w:color w:val="auto"/>
                <w:sz w:val="18"/>
                <w:szCs w:val="18"/>
              </w:rPr>
            </w:pPr>
            <w:r w:rsidRPr="005D491F">
              <w:rPr>
                <w:rFonts w:ascii="Lato" w:hAnsi="Lato" w:cs="Times New Roman"/>
                <w:color w:val="auto"/>
                <w:sz w:val="18"/>
                <w:szCs w:val="18"/>
              </w:rPr>
              <w:t xml:space="preserve">SYTUACJA DOCHODOWA, WARUNKI BYTU, W TYM WARUNKI MIESZKANIOWE – DANE ZA 2022 R. </w:t>
            </w:r>
          </w:p>
        </w:tc>
      </w:tr>
      <w:tr w:rsidR="005D491F" w:rsidRPr="005D491F" w14:paraId="5898989A" w14:textId="77777777" w:rsidTr="005D491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4F0E546" w14:textId="6E6BC971" w:rsidR="005D491F" w:rsidRPr="005D491F" w:rsidRDefault="005D491F" w:rsidP="00CA4EC0">
            <w:pPr>
              <w:jc w:val="both"/>
              <w:rPr>
                <w:rFonts w:ascii="Lato" w:hAnsi="Lato" w:cs="Times New Roman"/>
                <w:b w:val="0"/>
                <w:color w:val="auto"/>
                <w:sz w:val="18"/>
                <w:szCs w:val="18"/>
              </w:rPr>
            </w:pPr>
            <w:r w:rsidRPr="005D491F">
              <w:rPr>
                <w:rFonts w:ascii="Lato" w:hAnsi="Lato" w:cs="Times New Roman"/>
                <w:b w:val="0"/>
                <w:color w:val="auto"/>
                <w:sz w:val="18"/>
                <w:szCs w:val="18"/>
              </w:rPr>
              <w:t>W 2022 r. w województwie podlaskim przeciętny miesięczny dochód rozporządzalny przypadający na 1 osobę w gospodarstwach domowych wyniósł 2354,61 zł. Na dochód rozporządzalny gospodarstwa domowego składają się przede wszystkim dochody z pracy najemnej oraz dochody ze świadczeń społecznych. W 2022 r. ich udział w dochodzie rozporządzalnym wyniósł odpowiednio 40,1% i 29,4%. W 2022 r. przeciętne miesięczne wydatki na 1 osobę w gospodarstwach domowych wyniosły 1285,05 zł.  Na żywność i napoje bezalkoholowe gospodarstwa domowe przeznaczały przeciętnie 30,2% ogólnej kwoty wydatków, na opłaty z tytułu użytkowania mieszkania lub domu i za korzystanie z nośników energii - 15,9%, a na zdrowie – 5,4%.</w:t>
            </w:r>
            <w:r w:rsidR="0031646A">
              <w:rPr>
                <w:rFonts w:ascii="Lato" w:hAnsi="Lato" w:cs="Times New Roman"/>
                <w:b w:val="0"/>
                <w:color w:val="auto"/>
                <w:sz w:val="18"/>
                <w:szCs w:val="18"/>
              </w:rPr>
              <w:t xml:space="preserve"> </w:t>
            </w:r>
            <w:r w:rsidRPr="005D491F">
              <w:rPr>
                <w:rFonts w:ascii="Lato" w:hAnsi="Lato" w:cs="Times New Roman"/>
                <w:b w:val="0"/>
                <w:color w:val="auto"/>
                <w:sz w:val="18"/>
                <w:szCs w:val="18"/>
              </w:rPr>
              <w:t>W 2022 r. swoją sytuację materialną jako dobrą lub raczej dobrą oceniło 44,0% gospodarstw domowych. Udział gospodarstw określających swoją sytuację materialną jako przeciętną wyniósł 49,6%, a raczej złą lub złą ukształtował się na poziomie 6,4%.</w:t>
            </w:r>
            <w:r w:rsidR="0031646A">
              <w:rPr>
                <w:rFonts w:ascii="Lato" w:hAnsi="Lato" w:cs="Times New Roman"/>
                <w:b w:val="0"/>
                <w:color w:val="auto"/>
                <w:sz w:val="18"/>
                <w:szCs w:val="18"/>
              </w:rPr>
              <w:t xml:space="preserve"> </w:t>
            </w:r>
            <w:r w:rsidRPr="005D491F">
              <w:rPr>
                <w:rFonts w:ascii="Lato" w:hAnsi="Lato" w:cs="Times New Roman"/>
                <w:b w:val="0"/>
                <w:color w:val="auto"/>
                <w:sz w:val="18"/>
                <w:szCs w:val="18"/>
              </w:rPr>
              <w:t>W analizowanym roku przeciętna liczba osób w gospodarstwie domowym ukształtowała się na poziomie 2,50. Przeciętna powierzchnia użytkowa mieszkania zajmowana przez gospodarstwo domowe wyniosła 94,5 m</w:t>
            </w:r>
            <w:r w:rsidRPr="005D491F">
              <w:rPr>
                <w:rFonts w:ascii="Lato" w:hAnsi="Lato" w:cs="Times New Roman"/>
                <w:b w:val="0"/>
                <w:color w:val="auto"/>
                <w:sz w:val="18"/>
                <w:szCs w:val="18"/>
                <w:vertAlign w:val="superscript"/>
              </w:rPr>
              <w:t>2</w:t>
            </w:r>
            <w:r w:rsidRPr="005D491F">
              <w:rPr>
                <w:rFonts w:ascii="Lato" w:hAnsi="Lato" w:cs="Times New Roman"/>
                <w:b w:val="0"/>
                <w:color w:val="auto"/>
                <w:sz w:val="18"/>
                <w:szCs w:val="18"/>
              </w:rPr>
              <w:t>.</w:t>
            </w:r>
          </w:p>
        </w:tc>
      </w:tr>
    </w:tbl>
    <w:p w14:paraId="25C9F354" w14:textId="77777777" w:rsidR="005D491F" w:rsidRPr="002A7F1A" w:rsidRDefault="005D491F" w:rsidP="005D491F">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4F889BA1" w14:textId="77777777" w:rsidR="005D491F" w:rsidRPr="002A7F1A" w:rsidRDefault="005D491F" w:rsidP="005D491F">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46C75F95" w14:textId="77777777" w:rsidR="005D491F" w:rsidRPr="002A7F1A" w:rsidRDefault="005D491F" w:rsidP="005D491F">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69AAA6C7" w14:textId="77777777" w:rsidR="005D491F" w:rsidRPr="002A7F1A" w:rsidRDefault="005D491F" w:rsidP="005D491F">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0E86DF60" w14:textId="77777777" w:rsidR="005D491F" w:rsidRPr="006D5ACE" w:rsidRDefault="005D491F" w:rsidP="006D5ACE">
      <w:pPr>
        <w:spacing w:after="0"/>
        <w:rPr>
          <w:rFonts w:ascii="Lato" w:hAnsi="Lato"/>
        </w:rPr>
      </w:pPr>
    </w:p>
    <w:p w14:paraId="66A153EE" w14:textId="5CF02F1A" w:rsidR="00BA7CBC" w:rsidRPr="002B0821" w:rsidRDefault="00586D97" w:rsidP="00B73AF7">
      <w:pPr>
        <w:pStyle w:val="Nagwek2"/>
        <w:numPr>
          <w:ilvl w:val="1"/>
          <w:numId w:val="44"/>
        </w:numPr>
        <w:rPr>
          <w:b/>
          <w:bCs/>
        </w:rPr>
      </w:pPr>
      <w:bookmarkStart w:id="169" w:name="_Toc142565958"/>
      <w:r w:rsidRPr="002B0821">
        <w:rPr>
          <w:b/>
          <w:bCs/>
        </w:rPr>
        <w:t>Województwo pomorskie</w:t>
      </w:r>
      <w:bookmarkEnd w:id="169"/>
    </w:p>
    <w:p w14:paraId="34F63D1C" w14:textId="660CDCF2" w:rsidR="008943C9" w:rsidRDefault="008943C9" w:rsidP="008943C9">
      <w:pPr>
        <w:autoSpaceDE w:val="0"/>
        <w:spacing w:after="0" w:line="240" w:lineRule="auto"/>
        <w:jc w:val="both"/>
        <w:rPr>
          <w:rFonts w:ascii="Lato" w:hAnsi="Lato"/>
          <w:sz w:val="20"/>
          <w:szCs w:val="20"/>
        </w:rPr>
      </w:pPr>
      <w:r w:rsidRPr="008943C9">
        <w:rPr>
          <w:rFonts w:ascii="Lato" w:hAnsi="Lato"/>
          <w:iCs/>
          <w:sz w:val="20"/>
          <w:szCs w:val="20"/>
        </w:rPr>
        <w:t xml:space="preserve">Regionalny Program Operacyjny Województwa Pomorskiego na lata 2021-2027 </w:t>
      </w:r>
    </w:p>
    <w:p w14:paraId="345EC3CF" w14:textId="77777777" w:rsidR="008943C9" w:rsidRDefault="008943C9" w:rsidP="008943C9">
      <w:pPr>
        <w:autoSpaceDE w:val="0"/>
        <w:spacing w:after="0" w:line="240" w:lineRule="auto"/>
        <w:jc w:val="both"/>
        <w:rPr>
          <w:rFonts w:ascii="Lato" w:hAnsi="Lato"/>
          <w:iCs/>
          <w:sz w:val="20"/>
          <w:szCs w:val="20"/>
        </w:rPr>
      </w:pPr>
    </w:p>
    <w:p w14:paraId="65933217" w14:textId="0B5AC5B1" w:rsidR="008943C9" w:rsidRPr="008943C9" w:rsidRDefault="008943C9" w:rsidP="008943C9">
      <w:pPr>
        <w:autoSpaceDE w:val="0"/>
        <w:spacing w:after="0" w:line="240" w:lineRule="auto"/>
        <w:jc w:val="both"/>
        <w:rPr>
          <w:rFonts w:ascii="Lato" w:hAnsi="Lato"/>
          <w:iCs/>
          <w:sz w:val="20"/>
          <w:szCs w:val="20"/>
        </w:rPr>
      </w:pPr>
      <w:r w:rsidRPr="008943C9">
        <w:rPr>
          <w:rFonts w:ascii="Lato" w:eastAsia="Times New Roman" w:hAnsi="Lato"/>
          <w:sz w:val="20"/>
          <w:szCs w:val="20"/>
          <w:lang w:eastAsia="pl-PL"/>
        </w:rPr>
        <w:t xml:space="preserve">Nowy Program Fundusze Europejskie dla Pomorza 2021-2027 jest następcą Regionalnego Programu Operacyjnego Województwa Pomorskiego na lata 2014-2020 oraz jednym z narzędzi realizacji Strategii Rozwoju Województwa Pomorskiego 2030. </w:t>
      </w:r>
    </w:p>
    <w:p w14:paraId="0DDB364B" w14:textId="77777777" w:rsidR="008943C9" w:rsidRDefault="008943C9" w:rsidP="008943C9">
      <w:pPr>
        <w:spacing w:after="0" w:line="240" w:lineRule="auto"/>
        <w:jc w:val="both"/>
        <w:rPr>
          <w:rFonts w:ascii="Lato" w:hAnsi="Lato"/>
          <w:sz w:val="20"/>
          <w:szCs w:val="20"/>
        </w:rPr>
      </w:pPr>
    </w:p>
    <w:p w14:paraId="5AF581CF" w14:textId="328AB1FE"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W ramach FEP 2021-2027 osoby objęte interwencją (m.in. seniorzy) otrzymają wsparcie, m.in. w ramach usług rynku pracy, z wykorzystaniem aktywnych form przeciwdziałania bezrobociu. Interwencja będzie prowadzona w oparciu o przeprowadzoną indywidualną diagnozę. Uczestnicy projektów będą mogli skorzystać, m.in. z profesjonalnego wsparcia psychologiczno-doradczego, poradnictwa zawodowego, usług pośrednictwa pracy, dotacji na samozatrudnienie, wsparcia w zakresie podnoszenia i potwierdzenia kompetencji oraz nabywania kwalifikacji zawodowych i zdobywania doświadczenia zawodowego (m.in. staży, szkoleń, praktyk zawodowych), subsydiowanych 85 miejsc pracy, wyposażenia i doposażenia stanowisk pracy, podnoszenia mobilności przestrzennej (regionalnej i ponadregionalnej).</w:t>
      </w:r>
    </w:p>
    <w:p w14:paraId="013FAEDA" w14:textId="77777777" w:rsidR="008943C9" w:rsidRDefault="008943C9" w:rsidP="008943C9">
      <w:pPr>
        <w:spacing w:after="0" w:line="240" w:lineRule="auto"/>
        <w:jc w:val="both"/>
        <w:rPr>
          <w:rFonts w:ascii="Lato" w:hAnsi="Lato"/>
          <w:sz w:val="20"/>
          <w:szCs w:val="20"/>
        </w:rPr>
      </w:pPr>
    </w:p>
    <w:p w14:paraId="66C1612F" w14:textId="2DBE86A2"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 xml:space="preserve">W obszarze aktywnego i zdrowego starzenia się wspierane będą działania przyczyniające się do wydłużenia aktywności zawodowej mieszkańców województwa oraz wzrostu świadomości roli profilaktyki i zdrowego trybu życia w zapobieganiu chorobom, które stanowią istotną barierę w utrzymaniu i wydłużaniu aktywności zawodowej (w tym z zaangażowaniem pracodawców oraz wykorzystaniem potencjału medycyny pracy), a także rozwijania kompetencji mieszkańców do samodzielnego i efektywnego zarządzania własnym zdrowiem, w tym w szczególności: a) realizacja kompleksowych, wieloletnich i wielosektorowych regionalnych programów polityki zdrowotnej, dotyczących w szczególności: - profilaktyki i wczesnego wykrywania chorób cywilizacyjnych, m.in. chorób </w:t>
      </w:r>
      <w:proofErr w:type="spellStart"/>
      <w:r w:rsidRPr="008943C9">
        <w:rPr>
          <w:rFonts w:ascii="Lato" w:hAnsi="Lato"/>
          <w:sz w:val="20"/>
          <w:szCs w:val="20"/>
        </w:rPr>
        <w:t>sercowonaczyniowych</w:t>
      </w:r>
      <w:proofErr w:type="spellEnd"/>
      <w:r w:rsidRPr="008943C9">
        <w:rPr>
          <w:rFonts w:ascii="Lato" w:hAnsi="Lato"/>
          <w:sz w:val="20"/>
          <w:szCs w:val="20"/>
        </w:rPr>
        <w:t xml:space="preserve">, nabytych chorób metabolicznych, chorób układu ruchu, chorób nowotworowych, zaburzeń zdrowia psychicznego oraz innych znamiennych epidemiologicznie dla regionu, - rehabilitacji </w:t>
      </w:r>
      <w:r w:rsidRPr="008943C9">
        <w:rPr>
          <w:rFonts w:ascii="Lato" w:hAnsi="Lato"/>
          <w:sz w:val="20"/>
          <w:szCs w:val="20"/>
        </w:rPr>
        <w:lastRenderedPageBreak/>
        <w:t>leczniczej ułatwiającej powroty do pracy; b) eliminowanie zdrowotnych czynników ryzyka w miejscu pracy. Działania obejmować będą profilaktykę i diagnostykę ukierunkowaną w szczególności na wykrywanie chorób cywilizacyjnych, zapobieganie występowaniu oraz powikłaniom chorób mogących wpływać na ograniczenie aktywności zawodowej, ułatwienie powrotu do pracy i zapobieganie niepełnosprawności oraz wydłużenie okresu aktywności zawodowej.</w:t>
      </w:r>
    </w:p>
    <w:p w14:paraId="04AFB752" w14:textId="77777777" w:rsidR="008943C9" w:rsidRDefault="008943C9" w:rsidP="008943C9">
      <w:pPr>
        <w:spacing w:after="0" w:line="240" w:lineRule="auto"/>
        <w:jc w:val="both"/>
        <w:rPr>
          <w:rFonts w:ascii="Lato" w:hAnsi="Lato"/>
          <w:sz w:val="20"/>
          <w:szCs w:val="20"/>
        </w:rPr>
      </w:pPr>
    </w:p>
    <w:p w14:paraId="37EA51B7" w14:textId="64187261"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 xml:space="preserve">W obszarze usług społecznych i zdrowotnych wspierane będą wyłącznie działania przyczyniające się do deinstytucjonalizacji usług w województwie, świadczenia ich w środowisku lokalnym oraz zapobiegania umieszczeniu osób w instytucjach pobytu długoterminowego. W szczególności, wspierana będzie </w:t>
      </w:r>
      <w:proofErr w:type="spellStart"/>
      <w:r w:rsidRPr="008943C9">
        <w:rPr>
          <w:rFonts w:ascii="Lato" w:hAnsi="Lato"/>
          <w:sz w:val="20"/>
          <w:szCs w:val="20"/>
        </w:rPr>
        <w:t>deinstytucjonalizacja</w:t>
      </w:r>
      <w:proofErr w:type="spellEnd"/>
      <w:r w:rsidRPr="008943C9">
        <w:rPr>
          <w:rFonts w:ascii="Lato" w:hAnsi="Lato"/>
          <w:sz w:val="20"/>
          <w:szCs w:val="20"/>
        </w:rPr>
        <w:t xml:space="preserve"> usług na rzecz seniorów.</w:t>
      </w:r>
    </w:p>
    <w:p w14:paraId="334D9BCB" w14:textId="77777777" w:rsidR="008943C9" w:rsidRPr="008943C9" w:rsidRDefault="008943C9" w:rsidP="008943C9">
      <w:pPr>
        <w:pStyle w:val="Akapitzlist"/>
        <w:spacing w:after="0" w:line="240" w:lineRule="auto"/>
        <w:jc w:val="both"/>
        <w:rPr>
          <w:rFonts w:ascii="Lato" w:hAnsi="Lato"/>
          <w:sz w:val="20"/>
          <w:szCs w:val="20"/>
        </w:rPr>
      </w:pPr>
    </w:p>
    <w:p w14:paraId="435E8B12" w14:textId="07D6DBD0" w:rsidR="008943C9" w:rsidRPr="008943C9" w:rsidRDefault="008943C9" w:rsidP="008943C9">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097608AC" w14:textId="4AE386E5" w:rsidR="008943C9" w:rsidRPr="008943C9" w:rsidRDefault="008943C9" w:rsidP="008943C9">
      <w:pPr>
        <w:spacing w:after="0" w:line="240" w:lineRule="auto"/>
        <w:jc w:val="both"/>
        <w:rPr>
          <w:rFonts w:ascii="Lato" w:hAnsi="Lato"/>
          <w:b/>
          <w:bCs/>
          <w:sz w:val="20"/>
          <w:szCs w:val="20"/>
        </w:rPr>
      </w:pPr>
      <w:r w:rsidRPr="008943C9">
        <w:rPr>
          <w:rFonts w:ascii="Lato" w:hAnsi="Lato"/>
          <w:b/>
          <w:bCs/>
          <w:sz w:val="20"/>
          <w:szCs w:val="20"/>
        </w:rPr>
        <w:t>Program Korpus Wsparcia Seniorów:</w:t>
      </w:r>
    </w:p>
    <w:p w14:paraId="46E28168" w14:textId="6A533A8F" w:rsidR="008943C9" w:rsidRDefault="008943C9" w:rsidP="00893B48">
      <w:pPr>
        <w:spacing w:after="0" w:line="240" w:lineRule="auto"/>
        <w:jc w:val="both"/>
        <w:rPr>
          <w:rFonts w:ascii="Lato" w:hAnsi="Lato"/>
          <w:sz w:val="20"/>
          <w:szCs w:val="20"/>
        </w:rPr>
      </w:pPr>
      <w:r w:rsidRPr="008943C9">
        <w:rPr>
          <w:rFonts w:ascii="Lato" w:hAnsi="Lato"/>
          <w:sz w:val="20"/>
          <w:szCs w:val="20"/>
        </w:rPr>
        <w:t xml:space="preserve">Celem programu jest zapewnienie usługi wsparcia na rzecz seniorów w wieku 65 lat i więcej przez świadczenie usług wynikających z rozeznanych potrzeb na terenie danej gminy, wpisujących się we wskazane w programie obszary oraz poprawa poczucia bezpieczeństwa oraz możliwości samodzielnego funkcjonowania w miejscu zamieszkania osób starszych przez dostęp do tzw. „opieki na odległość”. </w:t>
      </w:r>
      <w:r>
        <w:rPr>
          <w:rFonts w:ascii="Lato" w:hAnsi="Lato"/>
          <w:sz w:val="20"/>
          <w:szCs w:val="20"/>
        </w:rPr>
        <w:t xml:space="preserve"> </w:t>
      </w:r>
      <w:r w:rsidR="00893B48">
        <w:rPr>
          <w:rFonts w:ascii="Lato" w:hAnsi="Lato"/>
          <w:sz w:val="20"/>
          <w:szCs w:val="20"/>
        </w:rPr>
        <w:t xml:space="preserve">W 2022 r. do programu przystąpiło  39 gmin. </w:t>
      </w:r>
    </w:p>
    <w:p w14:paraId="15FA6FF8" w14:textId="77777777" w:rsidR="00893B48" w:rsidRPr="008943C9" w:rsidRDefault="00893B48" w:rsidP="00893B48">
      <w:pPr>
        <w:spacing w:after="0" w:line="240" w:lineRule="auto"/>
        <w:jc w:val="both"/>
        <w:rPr>
          <w:rFonts w:ascii="Lato" w:hAnsi="Lato"/>
          <w:b/>
          <w:bCs/>
          <w:sz w:val="20"/>
          <w:szCs w:val="20"/>
          <w:u w:val="single"/>
        </w:rPr>
      </w:pPr>
    </w:p>
    <w:p w14:paraId="4DB0D9CE" w14:textId="39E8D351" w:rsidR="008943C9" w:rsidRPr="00F66267" w:rsidRDefault="008943C9" w:rsidP="00F66267">
      <w:pPr>
        <w:spacing w:after="0" w:line="240" w:lineRule="auto"/>
        <w:jc w:val="both"/>
        <w:rPr>
          <w:rFonts w:ascii="Lato" w:hAnsi="Lato"/>
          <w:b/>
          <w:bCs/>
          <w:sz w:val="20"/>
          <w:szCs w:val="20"/>
        </w:rPr>
      </w:pPr>
      <w:r w:rsidRPr="008943C9">
        <w:rPr>
          <w:rFonts w:ascii="Lato" w:hAnsi="Lato"/>
          <w:b/>
          <w:bCs/>
          <w:sz w:val="20"/>
          <w:szCs w:val="20"/>
        </w:rPr>
        <w:t>Pomorska Rada ds. Polityki Senioralnej:</w:t>
      </w:r>
    </w:p>
    <w:p w14:paraId="7899E22A" w14:textId="251FD25E" w:rsidR="008943C9" w:rsidRPr="008943C9" w:rsidRDefault="008943C9" w:rsidP="008943C9">
      <w:pPr>
        <w:spacing w:after="0" w:line="240" w:lineRule="auto"/>
        <w:jc w:val="both"/>
        <w:rPr>
          <w:rStyle w:val="hgkelc"/>
          <w:rFonts w:ascii="Lato" w:hAnsi="Lato"/>
          <w:sz w:val="20"/>
          <w:szCs w:val="20"/>
        </w:rPr>
      </w:pPr>
      <w:r w:rsidRPr="008943C9">
        <w:rPr>
          <w:rStyle w:val="hgkelc"/>
          <w:rFonts w:ascii="Lato" w:hAnsi="Lato"/>
          <w:sz w:val="20"/>
          <w:szCs w:val="20"/>
        </w:rPr>
        <w:t xml:space="preserve">Celem Pomorskiej Rady ds. Polityki Senioralnej jest wspieranie rozwoju, współpraca i aktywizacja środowisk działających na rzecz osób starszych w celu zwiększenia efektywności ich działań, tworzenie płaszczyzny wymiany doświadczeń i dobrych praktyk w obszarze oraz promowanie starzenia się w dobrym zdrowiu. </w:t>
      </w:r>
      <w:r w:rsidR="00893B48">
        <w:rPr>
          <w:rStyle w:val="hgkelc"/>
          <w:rFonts w:ascii="Lato" w:hAnsi="Lato"/>
          <w:sz w:val="20"/>
          <w:szCs w:val="20"/>
        </w:rPr>
        <w:t xml:space="preserve">  Zgodnie ze stanem na dzień 31 grudnia 2022 r. w województwie funkcjonowało 47 </w:t>
      </w:r>
      <w:r w:rsidR="00AD2B56">
        <w:rPr>
          <w:rStyle w:val="hgkelc"/>
          <w:rFonts w:ascii="Lato" w:hAnsi="Lato"/>
          <w:sz w:val="20"/>
          <w:szCs w:val="20"/>
        </w:rPr>
        <w:t xml:space="preserve">rad seniorów. </w:t>
      </w:r>
      <w:r w:rsidRPr="008943C9">
        <w:rPr>
          <w:rStyle w:val="hgkelc"/>
          <w:rFonts w:ascii="Lato" w:hAnsi="Lato"/>
          <w:sz w:val="20"/>
          <w:szCs w:val="20"/>
        </w:rPr>
        <w:t xml:space="preserve"> – stan na koniec 2022 r.</w:t>
      </w:r>
    </w:p>
    <w:p w14:paraId="428663F6" w14:textId="77777777" w:rsidR="008943C9" w:rsidRPr="008943C9" w:rsidRDefault="008943C9" w:rsidP="008943C9">
      <w:pPr>
        <w:spacing w:after="0" w:line="240" w:lineRule="auto"/>
        <w:ind w:firstLine="708"/>
        <w:jc w:val="both"/>
        <w:rPr>
          <w:rStyle w:val="hgkelc"/>
          <w:rFonts w:ascii="Lato" w:hAnsi="Lato"/>
          <w:sz w:val="20"/>
          <w:szCs w:val="20"/>
        </w:rPr>
      </w:pPr>
    </w:p>
    <w:p w14:paraId="38B5B434" w14:textId="77777777" w:rsidR="008943C9" w:rsidRPr="008943C9" w:rsidRDefault="008943C9" w:rsidP="008943C9">
      <w:pPr>
        <w:spacing w:after="0" w:line="240" w:lineRule="auto"/>
        <w:jc w:val="both"/>
        <w:rPr>
          <w:rFonts w:ascii="Lato" w:hAnsi="Lato"/>
          <w:sz w:val="20"/>
          <w:szCs w:val="20"/>
        </w:rPr>
        <w:sectPr w:rsidR="008943C9" w:rsidRPr="008943C9" w:rsidSect="00A96D8C">
          <w:footerReference w:type="default" r:id="rId38"/>
          <w:type w:val="continuous"/>
          <w:pgSz w:w="11906" w:h="16838"/>
          <w:pgMar w:top="1417" w:right="1417" w:bottom="1417" w:left="1417" w:header="708" w:footer="708" w:gutter="0"/>
          <w:cols w:space="708"/>
        </w:sectPr>
      </w:pPr>
    </w:p>
    <w:tbl>
      <w:tblPr>
        <w:tblStyle w:val="Tabela-Siatka"/>
        <w:tblW w:w="4531" w:type="dxa"/>
        <w:tblLook w:val="04A0" w:firstRow="1" w:lastRow="0" w:firstColumn="1" w:lastColumn="0" w:noHBand="0" w:noVBand="1"/>
      </w:tblPr>
      <w:tblGrid>
        <w:gridCol w:w="515"/>
        <w:gridCol w:w="2036"/>
        <w:gridCol w:w="1980"/>
      </w:tblGrid>
      <w:tr w:rsidR="008943C9" w:rsidRPr="008943C9" w14:paraId="7122287C" w14:textId="77777777" w:rsidTr="00DB67AB">
        <w:trPr>
          <w:trHeight w:val="255"/>
        </w:trPr>
        <w:tc>
          <w:tcPr>
            <w:tcW w:w="515" w:type="dxa"/>
            <w:shd w:val="clear" w:color="auto" w:fill="D9D9D9" w:themeFill="background1" w:themeFillShade="D9"/>
            <w:noWrap/>
            <w:hideMark/>
          </w:tcPr>
          <w:p w14:paraId="2DCEEE95" w14:textId="77777777" w:rsidR="008943C9" w:rsidRPr="008943C9" w:rsidRDefault="008943C9" w:rsidP="008943C9">
            <w:pPr>
              <w:jc w:val="both"/>
              <w:rPr>
                <w:rFonts w:ascii="Lato" w:hAnsi="Lato"/>
                <w:b/>
                <w:sz w:val="20"/>
                <w:szCs w:val="20"/>
              </w:rPr>
            </w:pPr>
            <w:r w:rsidRPr="008943C9">
              <w:rPr>
                <w:rFonts w:ascii="Lato" w:hAnsi="Lato"/>
                <w:b/>
                <w:sz w:val="20"/>
                <w:szCs w:val="20"/>
              </w:rPr>
              <w:t>L.p.</w:t>
            </w:r>
          </w:p>
        </w:tc>
        <w:tc>
          <w:tcPr>
            <w:tcW w:w="2036" w:type="dxa"/>
            <w:shd w:val="clear" w:color="auto" w:fill="D9D9D9" w:themeFill="background1" w:themeFillShade="D9"/>
            <w:vAlign w:val="center"/>
            <w:hideMark/>
          </w:tcPr>
          <w:p w14:paraId="76A38CBD" w14:textId="77777777" w:rsidR="008943C9" w:rsidRPr="008943C9" w:rsidRDefault="008943C9" w:rsidP="008943C9">
            <w:pPr>
              <w:jc w:val="both"/>
              <w:rPr>
                <w:rFonts w:ascii="Lato" w:hAnsi="Lato"/>
                <w:b/>
                <w:bCs/>
                <w:sz w:val="20"/>
                <w:szCs w:val="20"/>
              </w:rPr>
            </w:pPr>
            <w:r w:rsidRPr="008943C9">
              <w:rPr>
                <w:rFonts w:ascii="Lato" w:eastAsia="Times New Roman" w:hAnsi="Lato" w:cstheme="minorHAnsi"/>
                <w:b/>
                <w:bCs/>
                <w:sz w:val="20"/>
                <w:szCs w:val="20"/>
                <w:lang w:eastAsia="pl-PL"/>
              </w:rPr>
              <w:t>Gmina</w:t>
            </w:r>
          </w:p>
        </w:tc>
        <w:tc>
          <w:tcPr>
            <w:tcW w:w="1980" w:type="dxa"/>
            <w:shd w:val="clear" w:color="auto" w:fill="D9D9D9" w:themeFill="background1" w:themeFillShade="D9"/>
            <w:vAlign w:val="center"/>
            <w:hideMark/>
          </w:tcPr>
          <w:p w14:paraId="7B5B1ADA" w14:textId="77777777" w:rsidR="008943C9" w:rsidRPr="008943C9" w:rsidRDefault="008943C9" w:rsidP="008943C9">
            <w:pPr>
              <w:jc w:val="both"/>
              <w:rPr>
                <w:rFonts w:ascii="Lato" w:hAnsi="Lato"/>
                <w:b/>
                <w:bCs/>
                <w:sz w:val="20"/>
                <w:szCs w:val="20"/>
              </w:rPr>
            </w:pPr>
            <w:r w:rsidRPr="008943C9">
              <w:rPr>
                <w:rFonts w:ascii="Lato" w:eastAsia="Times New Roman" w:hAnsi="Lato" w:cstheme="minorHAnsi"/>
                <w:b/>
                <w:bCs/>
                <w:sz w:val="20"/>
                <w:szCs w:val="20"/>
                <w:lang w:eastAsia="pl-PL"/>
              </w:rPr>
              <w:t>Typ gminy/powiat</w:t>
            </w:r>
          </w:p>
        </w:tc>
      </w:tr>
      <w:tr w:rsidR="008943C9" w:rsidRPr="008943C9" w14:paraId="6D5195AC" w14:textId="77777777" w:rsidTr="00DB67AB">
        <w:trPr>
          <w:trHeight w:val="255"/>
        </w:trPr>
        <w:tc>
          <w:tcPr>
            <w:tcW w:w="515" w:type="dxa"/>
            <w:noWrap/>
            <w:hideMark/>
          </w:tcPr>
          <w:p w14:paraId="467810A9" w14:textId="77777777" w:rsidR="008943C9" w:rsidRPr="008943C9" w:rsidRDefault="008943C9" w:rsidP="008943C9">
            <w:pPr>
              <w:jc w:val="both"/>
              <w:rPr>
                <w:rFonts w:ascii="Lato" w:hAnsi="Lato"/>
                <w:sz w:val="20"/>
                <w:szCs w:val="20"/>
              </w:rPr>
            </w:pPr>
            <w:r w:rsidRPr="008943C9">
              <w:rPr>
                <w:rFonts w:ascii="Lato" w:hAnsi="Lato"/>
                <w:sz w:val="20"/>
                <w:szCs w:val="20"/>
              </w:rPr>
              <w:t>1.</w:t>
            </w:r>
          </w:p>
        </w:tc>
        <w:tc>
          <w:tcPr>
            <w:tcW w:w="2036" w:type="dxa"/>
            <w:noWrap/>
            <w:hideMark/>
          </w:tcPr>
          <w:p w14:paraId="072407BA" w14:textId="77777777" w:rsidR="008943C9" w:rsidRPr="008943C9" w:rsidRDefault="008943C9" w:rsidP="008943C9">
            <w:pPr>
              <w:jc w:val="both"/>
              <w:rPr>
                <w:rFonts w:ascii="Lato" w:hAnsi="Lato"/>
                <w:sz w:val="20"/>
                <w:szCs w:val="20"/>
              </w:rPr>
            </w:pPr>
            <w:r w:rsidRPr="008943C9">
              <w:rPr>
                <w:rFonts w:ascii="Lato" w:hAnsi="Lato"/>
                <w:sz w:val="20"/>
                <w:szCs w:val="20"/>
              </w:rPr>
              <w:t>Bobowo</w:t>
            </w:r>
          </w:p>
        </w:tc>
        <w:tc>
          <w:tcPr>
            <w:tcW w:w="1980" w:type="dxa"/>
            <w:noWrap/>
            <w:hideMark/>
          </w:tcPr>
          <w:p w14:paraId="0C49265E"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4B9F78AD" w14:textId="77777777" w:rsidTr="00DB67AB">
        <w:trPr>
          <w:trHeight w:val="255"/>
        </w:trPr>
        <w:tc>
          <w:tcPr>
            <w:tcW w:w="515" w:type="dxa"/>
            <w:noWrap/>
            <w:hideMark/>
          </w:tcPr>
          <w:p w14:paraId="6DE7EA28" w14:textId="77777777" w:rsidR="008943C9" w:rsidRPr="008943C9" w:rsidRDefault="008943C9" w:rsidP="008943C9">
            <w:pPr>
              <w:jc w:val="both"/>
              <w:rPr>
                <w:rFonts w:ascii="Lato" w:hAnsi="Lato"/>
                <w:sz w:val="20"/>
                <w:szCs w:val="20"/>
              </w:rPr>
            </w:pPr>
            <w:r w:rsidRPr="008943C9">
              <w:rPr>
                <w:rFonts w:ascii="Lato" w:hAnsi="Lato"/>
                <w:sz w:val="20"/>
                <w:szCs w:val="20"/>
              </w:rPr>
              <w:t>2.</w:t>
            </w:r>
          </w:p>
        </w:tc>
        <w:tc>
          <w:tcPr>
            <w:tcW w:w="2036" w:type="dxa"/>
            <w:noWrap/>
            <w:hideMark/>
          </w:tcPr>
          <w:p w14:paraId="750EF857" w14:textId="77777777" w:rsidR="008943C9" w:rsidRPr="008943C9" w:rsidRDefault="008943C9" w:rsidP="008943C9">
            <w:pPr>
              <w:jc w:val="both"/>
              <w:rPr>
                <w:rFonts w:ascii="Lato" w:hAnsi="Lato"/>
                <w:sz w:val="20"/>
                <w:szCs w:val="20"/>
              </w:rPr>
            </w:pPr>
            <w:r w:rsidRPr="008943C9">
              <w:rPr>
                <w:rFonts w:ascii="Lato" w:hAnsi="Lato"/>
                <w:sz w:val="20"/>
                <w:szCs w:val="20"/>
              </w:rPr>
              <w:t>Brusy</w:t>
            </w:r>
          </w:p>
        </w:tc>
        <w:tc>
          <w:tcPr>
            <w:tcW w:w="1980" w:type="dxa"/>
            <w:noWrap/>
            <w:hideMark/>
          </w:tcPr>
          <w:p w14:paraId="5A5A0C87"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7281E394" w14:textId="77777777" w:rsidTr="00DB67AB">
        <w:trPr>
          <w:trHeight w:val="255"/>
        </w:trPr>
        <w:tc>
          <w:tcPr>
            <w:tcW w:w="515" w:type="dxa"/>
            <w:noWrap/>
            <w:hideMark/>
          </w:tcPr>
          <w:p w14:paraId="3FE55253" w14:textId="77777777" w:rsidR="008943C9" w:rsidRPr="008943C9" w:rsidRDefault="008943C9" w:rsidP="008943C9">
            <w:pPr>
              <w:jc w:val="both"/>
              <w:rPr>
                <w:rFonts w:ascii="Lato" w:hAnsi="Lato"/>
                <w:sz w:val="20"/>
                <w:szCs w:val="20"/>
              </w:rPr>
            </w:pPr>
            <w:r w:rsidRPr="008943C9">
              <w:rPr>
                <w:rFonts w:ascii="Lato" w:hAnsi="Lato"/>
                <w:sz w:val="20"/>
                <w:szCs w:val="20"/>
              </w:rPr>
              <w:t>3.</w:t>
            </w:r>
          </w:p>
        </w:tc>
        <w:tc>
          <w:tcPr>
            <w:tcW w:w="2036" w:type="dxa"/>
            <w:noWrap/>
            <w:hideMark/>
          </w:tcPr>
          <w:p w14:paraId="5B940CF2" w14:textId="77777777" w:rsidR="008943C9" w:rsidRPr="008943C9" w:rsidRDefault="008943C9" w:rsidP="008943C9">
            <w:pPr>
              <w:jc w:val="both"/>
              <w:rPr>
                <w:rFonts w:ascii="Lato" w:hAnsi="Lato"/>
                <w:sz w:val="20"/>
                <w:szCs w:val="20"/>
              </w:rPr>
            </w:pPr>
            <w:r w:rsidRPr="008943C9">
              <w:rPr>
                <w:rFonts w:ascii="Lato" w:hAnsi="Lato"/>
                <w:sz w:val="20"/>
                <w:szCs w:val="20"/>
              </w:rPr>
              <w:t>Bytów</w:t>
            </w:r>
          </w:p>
        </w:tc>
        <w:tc>
          <w:tcPr>
            <w:tcW w:w="1980" w:type="dxa"/>
            <w:noWrap/>
            <w:hideMark/>
          </w:tcPr>
          <w:p w14:paraId="59C1951A"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636E812E" w14:textId="77777777" w:rsidTr="00DB67AB">
        <w:trPr>
          <w:trHeight w:val="255"/>
        </w:trPr>
        <w:tc>
          <w:tcPr>
            <w:tcW w:w="515" w:type="dxa"/>
            <w:noWrap/>
            <w:hideMark/>
          </w:tcPr>
          <w:p w14:paraId="7C049C7F" w14:textId="77777777" w:rsidR="008943C9" w:rsidRPr="008943C9" w:rsidRDefault="008943C9" w:rsidP="008943C9">
            <w:pPr>
              <w:jc w:val="both"/>
              <w:rPr>
                <w:rFonts w:ascii="Lato" w:hAnsi="Lato"/>
                <w:sz w:val="20"/>
                <w:szCs w:val="20"/>
              </w:rPr>
            </w:pPr>
            <w:r w:rsidRPr="008943C9">
              <w:rPr>
                <w:rFonts w:ascii="Lato" w:hAnsi="Lato"/>
                <w:sz w:val="20"/>
                <w:szCs w:val="20"/>
              </w:rPr>
              <w:t>4.</w:t>
            </w:r>
          </w:p>
        </w:tc>
        <w:tc>
          <w:tcPr>
            <w:tcW w:w="2036" w:type="dxa"/>
            <w:noWrap/>
            <w:hideMark/>
          </w:tcPr>
          <w:p w14:paraId="57F4BE87" w14:textId="77777777" w:rsidR="008943C9" w:rsidRPr="008943C9" w:rsidRDefault="008943C9" w:rsidP="008943C9">
            <w:pPr>
              <w:jc w:val="both"/>
              <w:rPr>
                <w:rFonts w:ascii="Lato" w:hAnsi="Lato"/>
                <w:sz w:val="20"/>
                <w:szCs w:val="20"/>
              </w:rPr>
            </w:pPr>
            <w:r w:rsidRPr="008943C9">
              <w:rPr>
                <w:rFonts w:ascii="Lato" w:hAnsi="Lato"/>
                <w:sz w:val="20"/>
                <w:szCs w:val="20"/>
              </w:rPr>
              <w:t>Choczewo</w:t>
            </w:r>
          </w:p>
        </w:tc>
        <w:tc>
          <w:tcPr>
            <w:tcW w:w="1980" w:type="dxa"/>
            <w:noWrap/>
            <w:hideMark/>
          </w:tcPr>
          <w:p w14:paraId="633E2DC3"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45DEACA7" w14:textId="77777777" w:rsidTr="00DB67AB">
        <w:trPr>
          <w:trHeight w:val="255"/>
        </w:trPr>
        <w:tc>
          <w:tcPr>
            <w:tcW w:w="515" w:type="dxa"/>
            <w:noWrap/>
            <w:hideMark/>
          </w:tcPr>
          <w:p w14:paraId="215EBEC5" w14:textId="77777777" w:rsidR="008943C9" w:rsidRPr="008943C9" w:rsidRDefault="008943C9" w:rsidP="008943C9">
            <w:pPr>
              <w:jc w:val="both"/>
              <w:rPr>
                <w:rFonts w:ascii="Lato" w:hAnsi="Lato"/>
                <w:sz w:val="20"/>
                <w:szCs w:val="20"/>
              </w:rPr>
            </w:pPr>
            <w:r w:rsidRPr="008943C9">
              <w:rPr>
                <w:rFonts w:ascii="Lato" w:hAnsi="Lato"/>
                <w:sz w:val="20"/>
                <w:szCs w:val="20"/>
              </w:rPr>
              <w:t>5.</w:t>
            </w:r>
          </w:p>
        </w:tc>
        <w:tc>
          <w:tcPr>
            <w:tcW w:w="2036" w:type="dxa"/>
            <w:noWrap/>
            <w:hideMark/>
          </w:tcPr>
          <w:p w14:paraId="4AC9451C" w14:textId="77777777" w:rsidR="008943C9" w:rsidRPr="008943C9" w:rsidRDefault="008943C9" w:rsidP="008943C9">
            <w:pPr>
              <w:jc w:val="both"/>
              <w:rPr>
                <w:rFonts w:ascii="Lato" w:hAnsi="Lato"/>
                <w:sz w:val="20"/>
                <w:szCs w:val="20"/>
              </w:rPr>
            </w:pPr>
            <w:r w:rsidRPr="008943C9">
              <w:rPr>
                <w:rFonts w:ascii="Lato" w:hAnsi="Lato"/>
                <w:sz w:val="20"/>
                <w:szCs w:val="20"/>
              </w:rPr>
              <w:t>Czersk</w:t>
            </w:r>
          </w:p>
        </w:tc>
        <w:tc>
          <w:tcPr>
            <w:tcW w:w="1980" w:type="dxa"/>
            <w:noWrap/>
            <w:hideMark/>
          </w:tcPr>
          <w:p w14:paraId="266D3032"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72FAECD4" w14:textId="77777777" w:rsidTr="00DB67AB">
        <w:trPr>
          <w:trHeight w:val="255"/>
        </w:trPr>
        <w:tc>
          <w:tcPr>
            <w:tcW w:w="515" w:type="dxa"/>
            <w:noWrap/>
            <w:hideMark/>
          </w:tcPr>
          <w:p w14:paraId="0A926F3E" w14:textId="77777777" w:rsidR="008943C9" w:rsidRPr="008943C9" w:rsidRDefault="008943C9" w:rsidP="008943C9">
            <w:pPr>
              <w:jc w:val="both"/>
              <w:rPr>
                <w:rFonts w:ascii="Lato" w:hAnsi="Lato"/>
                <w:sz w:val="20"/>
                <w:szCs w:val="20"/>
              </w:rPr>
            </w:pPr>
            <w:r w:rsidRPr="008943C9">
              <w:rPr>
                <w:rFonts w:ascii="Lato" w:hAnsi="Lato"/>
                <w:sz w:val="20"/>
                <w:szCs w:val="20"/>
              </w:rPr>
              <w:t>6.</w:t>
            </w:r>
          </w:p>
        </w:tc>
        <w:tc>
          <w:tcPr>
            <w:tcW w:w="2036" w:type="dxa"/>
            <w:noWrap/>
            <w:hideMark/>
          </w:tcPr>
          <w:p w14:paraId="2EC25891" w14:textId="77777777" w:rsidR="008943C9" w:rsidRPr="008943C9" w:rsidRDefault="008943C9" w:rsidP="008943C9">
            <w:pPr>
              <w:jc w:val="both"/>
              <w:rPr>
                <w:rFonts w:ascii="Lato" w:hAnsi="Lato"/>
                <w:sz w:val="20"/>
                <w:szCs w:val="20"/>
              </w:rPr>
            </w:pPr>
            <w:r w:rsidRPr="008943C9">
              <w:rPr>
                <w:rFonts w:ascii="Lato" w:hAnsi="Lato"/>
                <w:sz w:val="20"/>
                <w:szCs w:val="20"/>
              </w:rPr>
              <w:t>Człuchów</w:t>
            </w:r>
          </w:p>
        </w:tc>
        <w:tc>
          <w:tcPr>
            <w:tcW w:w="1980" w:type="dxa"/>
            <w:noWrap/>
            <w:hideMark/>
          </w:tcPr>
          <w:p w14:paraId="70CC919B"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37ABCB25" w14:textId="77777777" w:rsidTr="00DB67AB">
        <w:trPr>
          <w:trHeight w:val="255"/>
        </w:trPr>
        <w:tc>
          <w:tcPr>
            <w:tcW w:w="515" w:type="dxa"/>
            <w:noWrap/>
            <w:hideMark/>
          </w:tcPr>
          <w:p w14:paraId="1F5C753B" w14:textId="77777777" w:rsidR="008943C9" w:rsidRPr="008943C9" w:rsidRDefault="008943C9" w:rsidP="008943C9">
            <w:pPr>
              <w:jc w:val="both"/>
              <w:rPr>
                <w:rFonts w:ascii="Lato" w:hAnsi="Lato"/>
                <w:sz w:val="20"/>
                <w:szCs w:val="20"/>
              </w:rPr>
            </w:pPr>
            <w:r w:rsidRPr="008943C9">
              <w:rPr>
                <w:rFonts w:ascii="Lato" w:hAnsi="Lato"/>
                <w:sz w:val="20"/>
                <w:szCs w:val="20"/>
              </w:rPr>
              <w:t>7.</w:t>
            </w:r>
          </w:p>
        </w:tc>
        <w:tc>
          <w:tcPr>
            <w:tcW w:w="2036" w:type="dxa"/>
            <w:noWrap/>
            <w:hideMark/>
          </w:tcPr>
          <w:p w14:paraId="390A27C9" w14:textId="77777777" w:rsidR="008943C9" w:rsidRPr="008943C9" w:rsidRDefault="008943C9" w:rsidP="008943C9">
            <w:pPr>
              <w:jc w:val="both"/>
              <w:rPr>
                <w:rFonts w:ascii="Lato" w:hAnsi="Lato"/>
                <w:sz w:val="20"/>
                <w:szCs w:val="20"/>
              </w:rPr>
            </w:pPr>
            <w:r w:rsidRPr="008943C9">
              <w:rPr>
                <w:rFonts w:ascii="Lato" w:hAnsi="Lato"/>
                <w:sz w:val="20"/>
                <w:szCs w:val="20"/>
              </w:rPr>
              <w:t>Damnica</w:t>
            </w:r>
          </w:p>
        </w:tc>
        <w:tc>
          <w:tcPr>
            <w:tcW w:w="1980" w:type="dxa"/>
            <w:noWrap/>
            <w:hideMark/>
          </w:tcPr>
          <w:p w14:paraId="55A50B35"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1DAFBB76" w14:textId="77777777" w:rsidTr="00DB67AB">
        <w:trPr>
          <w:trHeight w:val="255"/>
        </w:trPr>
        <w:tc>
          <w:tcPr>
            <w:tcW w:w="515" w:type="dxa"/>
            <w:noWrap/>
            <w:hideMark/>
          </w:tcPr>
          <w:p w14:paraId="549D0A94" w14:textId="77777777" w:rsidR="008943C9" w:rsidRPr="008943C9" w:rsidRDefault="008943C9" w:rsidP="008943C9">
            <w:pPr>
              <w:jc w:val="both"/>
              <w:rPr>
                <w:rFonts w:ascii="Lato" w:hAnsi="Lato"/>
                <w:sz w:val="20"/>
                <w:szCs w:val="20"/>
              </w:rPr>
            </w:pPr>
            <w:r w:rsidRPr="008943C9">
              <w:rPr>
                <w:rFonts w:ascii="Lato" w:hAnsi="Lato"/>
                <w:sz w:val="20"/>
                <w:szCs w:val="20"/>
              </w:rPr>
              <w:t>8.</w:t>
            </w:r>
          </w:p>
        </w:tc>
        <w:tc>
          <w:tcPr>
            <w:tcW w:w="2036" w:type="dxa"/>
            <w:noWrap/>
            <w:hideMark/>
          </w:tcPr>
          <w:p w14:paraId="27ABBC30" w14:textId="77777777" w:rsidR="008943C9" w:rsidRPr="008943C9" w:rsidRDefault="008943C9" w:rsidP="008943C9">
            <w:pPr>
              <w:jc w:val="both"/>
              <w:rPr>
                <w:rFonts w:ascii="Lato" w:hAnsi="Lato"/>
                <w:sz w:val="20"/>
                <w:szCs w:val="20"/>
              </w:rPr>
            </w:pPr>
            <w:r w:rsidRPr="008943C9">
              <w:rPr>
                <w:rFonts w:ascii="Lato" w:hAnsi="Lato"/>
                <w:sz w:val="20"/>
                <w:szCs w:val="20"/>
              </w:rPr>
              <w:t>Debrzno</w:t>
            </w:r>
          </w:p>
        </w:tc>
        <w:tc>
          <w:tcPr>
            <w:tcW w:w="1980" w:type="dxa"/>
            <w:noWrap/>
            <w:hideMark/>
          </w:tcPr>
          <w:p w14:paraId="025F50E9"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217C6ADD" w14:textId="77777777" w:rsidTr="00DB67AB">
        <w:trPr>
          <w:trHeight w:val="255"/>
        </w:trPr>
        <w:tc>
          <w:tcPr>
            <w:tcW w:w="515" w:type="dxa"/>
            <w:noWrap/>
            <w:hideMark/>
          </w:tcPr>
          <w:p w14:paraId="79B755EA" w14:textId="77777777" w:rsidR="008943C9" w:rsidRPr="008943C9" w:rsidRDefault="008943C9" w:rsidP="008943C9">
            <w:pPr>
              <w:jc w:val="both"/>
              <w:rPr>
                <w:rFonts w:ascii="Lato" w:hAnsi="Lato"/>
                <w:sz w:val="20"/>
                <w:szCs w:val="20"/>
              </w:rPr>
            </w:pPr>
            <w:r w:rsidRPr="008943C9">
              <w:rPr>
                <w:rFonts w:ascii="Lato" w:hAnsi="Lato"/>
                <w:sz w:val="20"/>
                <w:szCs w:val="20"/>
              </w:rPr>
              <w:t>9.</w:t>
            </w:r>
          </w:p>
        </w:tc>
        <w:tc>
          <w:tcPr>
            <w:tcW w:w="2036" w:type="dxa"/>
            <w:noWrap/>
            <w:hideMark/>
          </w:tcPr>
          <w:p w14:paraId="0967DDC2" w14:textId="77777777" w:rsidR="008943C9" w:rsidRPr="008943C9" w:rsidRDefault="008943C9" w:rsidP="008943C9">
            <w:pPr>
              <w:jc w:val="both"/>
              <w:rPr>
                <w:rFonts w:ascii="Lato" w:hAnsi="Lato"/>
                <w:sz w:val="20"/>
                <w:szCs w:val="20"/>
              </w:rPr>
            </w:pPr>
            <w:r w:rsidRPr="008943C9">
              <w:rPr>
                <w:rFonts w:ascii="Lato" w:hAnsi="Lato"/>
                <w:sz w:val="20"/>
                <w:szCs w:val="20"/>
              </w:rPr>
              <w:t>Dębnica Kaszubska</w:t>
            </w:r>
          </w:p>
        </w:tc>
        <w:tc>
          <w:tcPr>
            <w:tcW w:w="1980" w:type="dxa"/>
            <w:noWrap/>
            <w:hideMark/>
          </w:tcPr>
          <w:p w14:paraId="70B316BE"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4017CB92" w14:textId="77777777" w:rsidTr="00DB67AB">
        <w:trPr>
          <w:trHeight w:val="255"/>
        </w:trPr>
        <w:tc>
          <w:tcPr>
            <w:tcW w:w="515" w:type="dxa"/>
            <w:noWrap/>
            <w:hideMark/>
          </w:tcPr>
          <w:p w14:paraId="3D1C733B" w14:textId="77777777" w:rsidR="008943C9" w:rsidRPr="008943C9" w:rsidRDefault="008943C9" w:rsidP="008943C9">
            <w:pPr>
              <w:jc w:val="both"/>
              <w:rPr>
                <w:rFonts w:ascii="Lato" w:hAnsi="Lato"/>
                <w:sz w:val="20"/>
                <w:szCs w:val="20"/>
              </w:rPr>
            </w:pPr>
            <w:r w:rsidRPr="008943C9">
              <w:rPr>
                <w:rFonts w:ascii="Lato" w:hAnsi="Lato"/>
                <w:sz w:val="20"/>
                <w:szCs w:val="20"/>
              </w:rPr>
              <w:t>10.</w:t>
            </w:r>
          </w:p>
        </w:tc>
        <w:tc>
          <w:tcPr>
            <w:tcW w:w="2036" w:type="dxa"/>
            <w:noWrap/>
            <w:hideMark/>
          </w:tcPr>
          <w:p w14:paraId="077D7B33" w14:textId="77777777" w:rsidR="008943C9" w:rsidRPr="008943C9" w:rsidRDefault="008943C9" w:rsidP="008943C9">
            <w:pPr>
              <w:jc w:val="both"/>
              <w:rPr>
                <w:rFonts w:ascii="Lato" w:hAnsi="Lato"/>
                <w:sz w:val="20"/>
                <w:szCs w:val="20"/>
              </w:rPr>
            </w:pPr>
            <w:r w:rsidRPr="008943C9">
              <w:rPr>
                <w:rFonts w:ascii="Lato" w:hAnsi="Lato"/>
                <w:sz w:val="20"/>
                <w:szCs w:val="20"/>
              </w:rPr>
              <w:t>Dzierzgoń</w:t>
            </w:r>
          </w:p>
        </w:tc>
        <w:tc>
          <w:tcPr>
            <w:tcW w:w="1980" w:type="dxa"/>
            <w:noWrap/>
            <w:hideMark/>
          </w:tcPr>
          <w:p w14:paraId="73EC020E"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5D59ACEC" w14:textId="77777777" w:rsidTr="00DB67AB">
        <w:trPr>
          <w:trHeight w:val="255"/>
        </w:trPr>
        <w:tc>
          <w:tcPr>
            <w:tcW w:w="515" w:type="dxa"/>
            <w:noWrap/>
            <w:hideMark/>
          </w:tcPr>
          <w:p w14:paraId="6BE97CDF" w14:textId="77777777" w:rsidR="008943C9" w:rsidRPr="008943C9" w:rsidRDefault="008943C9" w:rsidP="008943C9">
            <w:pPr>
              <w:jc w:val="both"/>
              <w:rPr>
                <w:rFonts w:ascii="Lato" w:hAnsi="Lato"/>
                <w:sz w:val="20"/>
                <w:szCs w:val="20"/>
              </w:rPr>
            </w:pPr>
            <w:r w:rsidRPr="008943C9">
              <w:rPr>
                <w:rFonts w:ascii="Lato" w:hAnsi="Lato"/>
                <w:sz w:val="20"/>
                <w:szCs w:val="20"/>
              </w:rPr>
              <w:t>11.</w:t>
            </w:r>
          </w:p>
        </w:tc>
        <w:tc>
          <w:tcPr>
            <w:tcW w:w="2036" w:type="dxa"/>
            <w:noWrap/>
            <w:hideMark/>
          </w:tcPr>
          <w:p w14:paraId="7768793C" w14:textId="77777777" w:rsidR="008943C9" w:rsidRPr="008943C9" w:rsidRDefault="008943C9" w:rsidP="008943C9">
            <w:pPr>
              <w:jc w:val="both"/>
              <w:rPr>
                <w:rFonts w:ascii="Lato" w:hAnsi="Lato"/>
                <w:sz w:val="20"/>
                <w:szCs w:val="20"/>
              </w:rPr>
            </w:pPr>
            <w:r w:rsidRPr="008943C9">
              <w:rPr>
                <w:rFonts w:ascii="Lato" w:hAnsi="Lato"/>
                <w:sz w:val="20"/>
                <w:szCs w:val="20"/>
              </w:rPr>
              <w:t>Główczyce</w:t>
            </w:r>
          </w:p>
        </w:tc>
        <w:tc>
          <w:tcPr>
            <w:tcW w:w="1980" w:type="dxa"/>
            <w:noWrap/>
            <w:hideMark/>
          </w:tcPr>
          <w:p w14:paraId="7DFFE74F"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0F604E40" w14:textId="77777777" w:rsidTr="00DB67AB">
        <w:trPr>
          <w:trHeight w:val="255"/>
        </w:trPr>
        <w:tc>
          <w:tcPr>
            <w:tcW w:w="515" w:type="dxa"/>
            <w:noWrap/>
            <w:hideMark/>
          </w:tcPr>
          <w:p w14:paraId="544BB0E0" w14:textId="77777777" w:rsidR="008943C9" w:rsidRPr="008943C9" w:rsidRDefault="008943C9" w:rsidP="008943C9">
            <w:pPr>
              <w:jc w:val="both"/>
              <w:rPr>
                <w:rFonts w:ascii="Lato" w:hAnsi="Lato"/>
                <w:sz w:val="20"/>
                <w:szCs w:val="20"/>
              </w:rPr>
            </w:pPr>
            <w:r w:rsidRPr="008943C9">
              <w:rPr>
                <w:rFonts w:ascii="Lato" w:hAnsi="Lato"/>
                <w:sz w:val="20"/>
                <w:szCs w:val="20"/>
              </w:rPr>
              <w:t>12.</w:t>
            </w:r>
          </w:p>
        </w:tc>
        <w:tc>
          <w:tcPr>
            <w:tcW w:w="2036" w:type="dxa"/>
            <w:noWrap/>
            <w:hideMark/>
          </w:tcPr>
          <w:p w14:paraId="76CD64BA" w14:textId="77777777" w:rsidR="008943C9" w:rsidRPr="008943C9" w:rsidRDefault="008943C9" w:rsidP="008943C9">
            <w:pPr>
              <w:jc w:val="both"/>
              <w:rPr>
                <w:rFonts w:ascii="Lato" w:hAnsi="Lato"/>
                <w:sz w:val="20"/>
                <w:szCs w:val="20"/>
              </w:rPr>
            </w:pPr>
            <w:r w:rsidRPr="008943C9">
              <w:rPr>
                <w:rFonts w:ascii="Lato" w:hAnsi="Lato"/>
                <w:sz w:val="20"/>
                <w:szCs w:val="20"/>
              </w:rPr>
              <w:t>Gniew</w:t>
            </w:r>
          </w:p>
        </w:tc>
        <w:tc>
          <w:tcPr>
            <w:tcW w:w="1980" w:type="dxa"/>
            <w:noWrap/>
            <w:hideMark/>
          </w:tcPr>
          <w:p w14:paraId="409E2E3A"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6D7FAB78" w14:textId="77777777" w:rsidTr="00DB67AB">
        <w:trPr>
          <w:trHeight w:val="255"/>
        </w:trPr>
        <w:tc>
          <w:tcPr>
            <w:tcW w:w="515" w:type="dxa"/>
            <w:noWrap/>
            <w:hideMark/>
          </w:tcPr>
          <w:p w14:paraId="7CA6A54B" w14:textId="77777777" w:rsidR="008943C9" w:rsidRPr="008943C9" w:rsidRDefault="008943C9" w:rsidP="008943C9">
            <w:pPr>
              <w:jc w:val="both"/>
              <w:rPr>
                <w:rFonts w:ascii="Lato" w:hAnsi="Lato"/>
                <w:sz w:val="20"/>
                <w:szCs w:val="20"/>
              </w:rPr>
            </w:pPr>
            <w:r w:rsidRPr="008943C9">
              <w:rPr>
                <w:rFonts w:ascii="Lato" w:hAnsi="Lato"/>
                <w:sz w:val="20"/>
                <w:szCs w:val="20"/>
              </w:rPr>
              <w:t>13.</w:t>
            </w:r>
          </w:p>
        </w:tc>
        <w:tc>
          <w:tcPr>
            <w:tcW w:w="2036" w:type="dxa"/>
            <w:noWrap/>
            <w:hideMark/>
          </w:tcPr>
          <w:p w14:paraId="2020295B" w14:textId="77777777" w:rsidR="008943C9" w:rsidRPr="008943C9" w:rsidRDefault="008943C9" w:rsidP="008943C9">
            <w:pPr>
              <w:jc w:val="both"/>
              <w:rPr>
                <w:rFonts w:ascii="Lato" w:hAnsi="Lato"/>
                <w:sz w:val="20"/>
                <w:szCs w:val="20"/>
              </w:rPr>
            </w:pPr>
            <w:r w:rsidRPr="008943C9">
              <w:rPr>
                <w:rFonts w:ascii="Lato" w:hAnsi="Lato"/>
                <w:sz w:val="20"/>
                <w:szCs w:val="20"/>
              </w:rPr>
              <w:t>Karsin</w:t>
            </w:r>
          </w:p>
        </w:tc>
        <w:tc>
          <w:tcPr>
            <w:tcW w:w="1980" w:type="dxa"/>
            <w:noWrap/>
            <w:hideMark/>
          </w:tcPr>
          <w:p w14:paraId="0CDF4C52"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3F9DA3C5" w14:textId="77777777" w:rsidTr="00DB67AB">
        <w:trPr>
          <w:trHeight w:val="255"/>
        </w:trPr>
        <w:tc>
          <w:tcPr>
            <w:tcW w:w="515" w:type="dxa"/>
            <w:noWrap/>
            <w:hideMark/>
          </w:tcPr>
          <w:p w14:paraId="55E217F3" w14:textId="77777777" w:rsidR="008943C9" w:rsidRPr="008943C9" w:rsidRDefault="008943C9" w:rsidP="008943C9">
            <w:pPr>
              <w:jc w:val="both"/>
              <w:rPr>
                <w:rFonts w:ascii="Lato" w:hAnsi="Lato"/>
                <w:sz w:val="20"/>
                <w:szCs w:val="20"/>
              </w:rPr>
            </w:pPr>
            <w:r w:rsidRPr="008943C9">
              <w:rPr>
                <w:rFonts w:ascii="Lato" w:hAnsi="Lato"/>
                <w:sz w:val="20"/>
                <w:szCs w:val="20"/>
              </w:rPr>
              <w:t>14.</w:t>
            </w:r>
          </w:p>
        </w:tc>
        <w:tc>
          <w:tcPr>
            <w:tcW w:w="2036" w:type="dxa"/>
            <w:noWrap/>
            <w:hideMark/>
          </w:tcPr>
          <w:p w14:paraId="5DBD9AC5" w14:textId="77777777" w:rsidR="008943C9" w:rsidRPr="008943C9" w:rsidRDefault="008943C9" w:rsidP="008943C9">
            <w:pPr>
              <w:jc w:val="both"/>
              <w:rPr>
                <w:rFonts w:ascii="Lato" w:hAnsi="Lato"/>
                <w:sz w:val="20"/>
                <w:szCs w:val="20"/>
              </w:rPr>
            </w:pPr>
            <w:r w:rsidRPr="008943C9">
              <w:rPr>
                <w:rFonts w:ascii="Lato" w:hAnsi="Lato"/>
                <w:sz w:val="20"/>
                <w:szCs w:val="20"/>
              </w:rPr>
              <w:t>Kępice</w:t>
            </w:r>
          </w:p>
        </w:tc>
        <w:tc>
          <w:tcPr>
            <w:tcW w:w="1980" w:type="dxa"/>
            <w:noWrap/>
            <w:hideMark/>
          </w:tcPr>
          <w:p w14:paraId="4DE75B12"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14826938" w14:textId="77777777" w:rsidTr="00DB67AB">
        <w:trPr>
          <w:trHeight w:val="255"/>
        </w:trPr>
        <w:tc>
          <w:tcPr>
            <w:tcW w:w="515" w:type="dxa"/>
            <w:noWrap/>
            <w:hideMark/>
          </w:tcPr>
          <w:p w14:paraId="1DA09B6E" w14:textId="77777777" w:rsidR="008943C9" w:rsidRPr="008943C9" w:rsidRDefault="008943C9" w:rsidP="008943C9">
            <w:pPr>
              <w:jc w:val="both"/>
              <w:rPr>
                <w:rFonts w:ascii="Lato" w:hAnsi="Lato"/>
                <w:sz w:val="20"/>
                <w:szCs w:val="20"/>
              </w:rPr>
            </w:pPr>
            <w:r w:rsidRPr="008943C9">
              <w:rPr>
                <w:rFonts w:ascii="Lato" w:hAnsi="Lato"/>
                <w:sz w:val="20"/>
                <w:szCs w:val="20"/>
              </w:rPr>
              <w:t>15.</w:t>
            </w:r>
          </w:p>
        </w:tc>
        <w:tc>
          <w:tcPr>
            <w:tcW w:w="2036" w:type="dxa"/>
            <w:noWrap/>
            <w:hideMark/>
          </w:tcPr>
          <w:p w14:paraId="35777CCA" w14:textId="77777777" w:rsidR="008943C9" w:rsidRPr="008943C9" w:rsidRDefault="008943C9" w:rsidP="008943C9">
            <w:pPr>
              <w:jc w:val="both"/>
              <w:rPr>
                <w:rFonts w:ascii="Lato" w:hAnsi="Lato"/>
                <w:sz w:val="20"/>
                <w:szCs w:val="20"/>
              </w:rPr>
            </w:pPr>
            <w:r w:rsidRPr="008943C9">
              <w:rPr>
                <w:rFonts w:ascii="Lato" w:hAnsi="Lato"/>
                <w:sz w:val="20"/>
                <w:szCs w:val="20"/>
              </w:rPr>
              <w:t>Kobylnica</w:t>
            </w:r>
          </w:p>
        </w:tc>
        <w:tc>
          <w:tcPr>
            <w:tcW w:w="1980" w:type="dxa"/>
            <w:noWrap/>
            <w:hideMark/>
          </w:tcPr>
          <w:p w14:paraId="43FB2334"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57A0DDC9" w14:textId="77777777" w:rsidTr="00DB67AB">
        <w:trPr>
          <w:trHeight w:val="255"/>
        </w:trPr>
        <w:tc>
          <w:tcPr>
            <w:tcW w:w="515" w:type="dxa"/>
            <w:noWrap/>
            <w:hideMark/>
          </w:tcPr>
          <w:p w14:paraId="6A0B4F53" w14:textId="77777777" w:rsidR="008943C9" w:rsidRPr="008943C9" w:rsidRDefault="008943C9" w:rsidP="008943C9">
            <w:pPr>
              <w:jc w:val="both"/>
              <w:rPr>
                <w:rFonts w:ascii="Lato" w:hAnsi="Lato"/>
                <w:sz w:val="20"/>
                <w:szCs w:val="20"/>
              </w:rPr>
            </w:pPr>
            <w:r w:rsidRPr="008943C9">
              <w:rPr>
                <w:rFonts w:ascii="Lato" w:hAnsi="Lato"/>
                <w:sz w:val="20"/>
                <w:szCs w:val="20"/>
              </w:rPr>
              <w:t>16.</w:t>
            </w:r>
          </w:p>
        </w:tc>
        <w:tc>
          <w:tcPr>
            <w:tcW w:w="2036" w:type="dxa"/>
            <w:noWrap/>
            <w:hideMark/>
          </w:tcPr>
          <w:p w14:paraId="4EEF1604" w14:textId="77777777" w:rsidR="008943C9" w:rsidRPr="008943C9" w:rsidRDefault="008943C9" w:rsidP="008943C9">
            <w:pPr>
              <w:jc w:val="both"/>
              <w:rPr>
                <w:rFonts w:ascii="Lato" w:hAnsi="Lato"/>
                <w:sz w:val="20"/>
                <w:szCs w:val="20"/>
              </w:rPr>
            </w:pPr>
            <w:r w:rsidRPr="008943C9">
              <w:rPr>
                <w:rFonts w:ascii="Lato" w:hAnsi="Lato"/>
                <w:sz w:val="20"/>
                <w:szCs w:val="20"/>
              </w:rPr>
              <w:t>Kołczygłowy</w:t>
            </w:r>
          </w:p>
        </w:tc>
        <w:tc>
          <w:tcPr>
            <w:tcW w:w="1980" w:type="dxa"/>
            <w:noWrap/>
            <w:hideMark/>
          </w:tcPr>
          <w:p w14:paraId="452C82C0"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7BC0D0A3" w14:textId="77777777" w:rsidTr="00DB67AB">
        <w:trPr>
          <w:trHeight w:val="255"/>
        </w:trPr>
        <w:tc>
          <w:tcPr>
            <w:tcW w:w="515" w:type="dxa"/>
            <w:noWrap/>
            <w:hideMark/>
          </w:tcPr>
          <w:p w14:paraId="51694049" w14:textId="77777777" w:rsidR="008943C9" w:rsidRPr="008943C9" w:rsidRDefault="008943C9" w:rsidP="008943C9">
            <w:pPr>
              <w:jc w:val="both"/>
              <w:rPr>
                <w:rFonts w:ascii="Lato" w:hAnsi="Lato"/>
                <w:sz w:val="20"/>
                <w:szCs w:val="20"/>
              </w:rPr>
            </w:pPr>
            <w:r w:rsidRPr="008943C9">
              <w:rPr>
                <w:rFonts w:ascii="Lato" w:hAnsi="Lato"/>
                <w:sz w:val="20"/>
                <w:szCs w:val="20"/>
              </w:rPr>
              <w:t>17.</w:t>
            </w:r>
          </w:p>
        </w:tc>
        <w:tc>
          <w:tcPr>
            <w:tcW w:w="2036" w:type="dxa"/>
            <w:noWrap/>
            <w:hideMark/>
          </w:tcPr>
          <w:p w14:paraId="4DD4094F" w14:textId="77777777" w:rsidR="008943C9" w:rsidRPr="008943C9" w:rsidRDefault="008943C9" w:rsidP="008943C9">
            <w:pPr>
              <w:jc w:val="both"/>
              <w:rPr>
                <w:rFonts w:ascii="Lato" w:hAnsi="Lato"/>
                <w:sz w:val="20"/>
                <w:szCs w:val="20"/>
              </w:rPr>
            </w:pPr>
            <w:r w:rsidRPr="008943C9">
              <w:rPr>
                <w:rFonts w:ascii="Lato" w:hAnsi="Lato"/>
                <w:sz w:val="20"/>
                <w:szCs w:val="20"/>
              </w:rPr>
              <w:t>Kościerzyna</w:t>
            </w:r>
          </w:p>
        </w:tc>
        <w:tc>
          <w:tcPr>
            <w:tcW w:w="1980" w:type="dxa"/>
            <w:noWrap/>
            <w:hideMark/>
          </w:tcPr>
          <w:p w14:paraId="5A75FEE7"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61291CD9" w14:textId="77777777" w:rsidTr="00DB67AB">
        <w:trPr>
          <w:trHeight w:val="255"/>
        </w:trPr>
        <w:tc>
          <w:tcPr>
            <w:tcW w:w="515" w:type="dxa"/>
            <w:noWrap/>
            <w:hideMark/>
          </w:tcPr>
          <w:p w14:paraId="2F10EC8F" w14:textId="77777777" w:rsidR="008943C9" w:rsidRPr="008943C9" w:rsidRDefault="008943C9" w:rsidP="008943C9">
            <w:pPr>
              <w:jc w:val="both"/>
              <w:rPr>
                <w:rFonts w:ascii="Lato" w:hAnsi="Lato"/>
                <w:sz w:val="20"/>
                <w:szCs w:val="20"/>
              </w:rPr>
            </w:pPr>
            <w:r w:rsidRPr="008943C9">
              <w:rPr>
                <w:rFonts w:ascii="Lato" w:hAnsi="Lato"/>
                <w:sz w:val="20"/>
                <w:szCs w:val="20"/>
              </w:rPr>
              <w:t>18.</w:t>
            </w:r>
          </w:p>
        </w:tc>
        <w:tc>
          <w:tcPr>
            <w:tcW w:w="2036" w:type="dxa"/>
            <w:noWrap/>
            <w:hideMark/>
          </w:tcPr>
          <w:p w14:paraId="375000CB" w14:textId="77777777" w:rsidR="008943C9" w:rsidRPr="008943C9" w:rsidRDefault="008943C9" w:rsidP="008943C9">
            <w:pPr>
              <w:jc w:val="both"/>
              <w:rPr>
                <w:rFonts w:ascii="Lato" w:hAnsi="Lato"/>
                <w:sz w:val="20"/>
                <w:szCs w:val="20"/>
              </w:rPr>
            </w:pPr>
            <w:r w:rsidRPr="008943C9">
              <w:rPr>
                <w:rFonts w:ascii="Lato" w:hAnsi="Lato"/>
                <w:sz w:val="20"/>
                <w:szCs w:val="20"/>
              </w:rPr>
              <w:t>Kościerzyna</w:t>
            </w:r>
          </w:p>
        </w:tc>
        <w:tc>
          <w:tcPr>
            <w:tcW w:w="1980" w:type="dxa"/>
            <w:noWrap/>
            <w:hideMark/>
          </w:tcPr>
          <w:p w14:paraId="133B333B"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4A6B8C42" w14:textId="77777777" w:rsidTr="00DB67AB">
        <w:trPr>
          <w:trHeight w:val="255"/>
        </w:trPr>
        <w:tc>
          <w:tcPr>
            <w:tcW w:w="515" w:type="dxa"/>
            <w:noWrap/>
            <w:hideMark/>
          </w:tcPr>
          <w:p w14:paraId="01449670" w14:textId="77777777" w:rsidR="008943C9" w:rsidRPr="008943C9" w:rsidRDefault="008943C9" w:rsidP="008943C9">
            <w:pPr>
              <w:jc w:val="both"/>
              <w:rPr>
                <w:rFonts w:ascii="Lato" w:hAnsi="Lato"/>
                <w:sz w:val="20"/>
                <w:szCs w:val="20"/>
              </w:rPr>
            </w:pPr>
            <w:r w:rsidRPr="008943C9">
              <w:rPr>
                <w:rFonts w:ascii="Lato" w:hAnsi="Lato"/>
                <w:sz w:val="20"/>
                <w:szCs w:val="20"/>
              </w:rPr>
              <w:t>19.</w:t>
            </w:r>
          </w:p>
        </w:tc>
        <w:tc>
          <w:tcPr>
            <w:tcW w:w="2036" w:type="dxa"/>
            <w:noWrap/>
            <w:hideMark/>
          </w:tcPr>
          <w:p w14:paraId="3F4C05DA" w14:textId="77777777" w:rsidR="008943C9" w:rsidRPr="008943C9" w:rsidRDefault="008943C9" w:rsidP="008943C9">
            <w:pPr>
              <w:jc w:val="both"/>
              <w:rPr>
                <w:rFonts w:ascii="Lato" w:hAnsi="Lato"/>
                <w:sz w:val="20"/>
                <w:szCs w:val="20"/>
              </w:rPr>
            </w:pPr>
            <w:r w:rsidRPr="008943C9">
              <w:rPr>
                <w:rFonts w:ascii="Lato" w:hAnsi="Lato"/>
                <w:sz w:val="20"/>
                <w:szCs w:val="20"/>
              </w:rPr>
              <w:t>Krynica Morska</w:t>
            </w:r>
          </w:p>
        </w:tc>
        <w:tc>
          <w:tcPr>
            <w:tcW w:w="1980" w:type="dxa"/>
            <w:noWrap/>
            <w:hideMark/>
          </w:tcPr>
          <w:p w14:paraId="62895AC1"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7C1865E5" w14:textId="77777777" w:rsidTr="00DB67AB">
        <w:trPr>
          <w:trHeight w:val="255"/>
        </w:trPr>
        <w:tc>
          <w:tcPr>
            <w:tcW w:w="515" w:type="dxa"/>
            <w:noWrap/>
            <w:hideMark/>
          </w:tcPr>
          <w:p w14:paraId="1AF09A45" w14:textId="77777777" w:rsidR="008943C9" w:rsidRPr="008943C9" w:rsidRDefault="008943C9" w:rsidP="008943C9">
            <w:pPr>
              <w:jc w:val="both"/>
              <w:rPr>
                <w:rFonts w:ascii="Lato" w:hAnsi="Lato"/>
                <w:sz w:val="20"/>
                <w:szCs w:val="20"/>
              </w:rPr>
            </w:pPr>
            <w:r w:rsidRPr="008943C9">
              <w:rPr>
                <w:rFonts w:ascii="Lato" w:hAnsi="Lato"/>
                <w:sz w:val="20"/>
                <w:szCs w:val="20"/>
              </w:rPr>
              <w:t>20.</w:t>
            </w:r>
          </w:p>
        </w:tc>
        <w:tc>
          <w:tcPr>
            <w:tcW w:w="2036" w:type="dxa"/>
            <w:noWrap/>
            <w:hideMark/>
          </w:tcPr>
          <w:p w14:paraId="1B5AF7D3" w14:textId="77777777" w:rsidR="008943C9" w:rsidRPr="008943C9" w:rsidRDefault="008943C9" w:rsidP="008943C9">
            <w:pPr>
              <w:jc w:val="both"/>
              <w:rPr>
                <w:rFonts w:ascii="Lato" w:hAnsi="Lato"/>
                <w:sz w:val="20"/>
                <w:szCs w:val="20"/>
              </w:rPr>
            </w:pPr>
            <w:r w:rsidRPr="008943C9">
              <w:rPr>
                <w:rFonts w:ascii="Lato" w:hAnsi="Lato"/>
                <w:sz w:val="20"/>
                <w:szCs w:val="20"/>
              </w:rPr>
              <w:t>Kwidzyn</w:t>
            </w:r>
          </w:p>
        </w:tc>
        <w:tc>
          <w:tcPr>
            <w:tcW w:w="1980" w:type="dxa"/>
            <w:noWrap/>
            <w:hideMark/>
          </w:tcPr>
          <w:p w14:paraId="0BE21A52"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6148C1FA" w14:textId="77777777" w:rsidTr="00DB67AB">
        <w:trPr>
          <w:trHeight w:val="255"/>
        </w:trPr>
        <w:tc>
          <w:tcPr>
            <w:tcW w:w="515" w:type="dxa"/>
            <w:noWrap/>
            <w:hideMark/>
          </w:tcPr>
          <w:p w14:paraId="4F0A058A" w14:textId="77777777" w:rsidR="008943C9" w:rsidRPr="008943C9" w:rsidRDefault="008943C9" w:rsidP="008943C9">
            <w:pPr>
              <w:jc w:val="both"/>
              <w:rPr>
                <w:rFonts w:ascii="Lato" w:hAnsi="Lato"/>
                <w:sz w:val="20"/>
                <w:szCs w:val="20"/>
              </w:rPr>
            </w:pPr>
            <w:r w:rsidRPr="008943C9">
              <w:rPr>
                <w:rFonts w:ascii="Lato" w:hAnsi="Lato"/>
                <w:sz w:val="20"/>
                <w:szCs w:val="20"/>
              </w:rPr>
              <w:t>21.</w:t>
            </w:r>
          </w:p>
        </w:tc>
        <w:tc>
          <w:tcPr>
            <w:tcW w:w="2036" w:type="dxa"/>
            <w:noWrap/>
            <w:hideMark/>
          </w:tcPr>
          <w:p w14:paraId="4E836902" w14:textId="77777777" w:rsidR="008943C9" w:rsidRPr="008943C9" w:rsidRDefault="008943C9" w:rsidP="008943C9">
            <w:pPr>
              <w:jc w:val="both"/>
              <w:rPr>
                <w:rFonts w:ascii="Lato" w:hAnsi="Lato"/>
                <w:sz w:val="20"/>
                <w:szCs w:val="20"/>
              </w:rPr>
            </w:pPr>
            <w:r w:rsidRPr="008943C9">
              <w:rPr>
                <w:rFonts w:ascii="Lato" w:hAnsi="Lato"/>
                <w:sz w:val="20"/>
                <w:szCs w:val="20"/>
              </w:rPr>
              <w:t>Lębork</w:t>
            </w:r>
          </w:p>
        </w:tc>
        <w:tc>
          <w:tcPr>
            <w:tcW w:w="1980" w:type="dxa"/>
            <w:noWrap/>
            <w:hideMark/>
          </w:tcPr>
          <w:p w14:paraId="22603E75"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17A6A99E" w14:textId="77777777" w:rsidTr="00DB67AB">
        <w:trPr>
          <w:trHeight w:val="255"/>
        </w:trPr>
        <w:tc>
          <w:tcPr>
            <w:tcW w:w="515" w:type="dxa"/>
            <w:noWrap/>
            <w:hideMark/>
          </w:tcPr>
          <w:p w14:paraId="3F468BDB" w14:textId="77777777" w:rsidR="008943C9" w:rsidRPr="008943C9" w:rsidRDefault="008943C9" w:rsidP="008943C9">
            <w:pPr>
              <w:jc w:val="both"/>
              <w:rPr>
                <w:rFonts w:ascii="Lato" w:hAnsi="Lato"/>
                <w:sz w:val="20"/>
                <w:szCs w:val="20"/>
              </w:rPr>
            </w:pPr>
            <w:r w:rsidRPr="008943C9">
              <w:rPr>
                <w:rFonts w:ascii="Lato" w:hAnsi="Lato"/>
                <w:sz w:val="20"/>
                <w:szCs w:val="20"/>
              </w:rPr>
              <w:t>22.</w:t>
            </w:r>
          </w:p>
        </w:tc>
        <w:tc>
          <w:tcPr>
            <w:tcW w:w="2036" w:type="dxa"/>
            <w:noWrap/>
            <w:hideMark/>
          </w:tcPr>
          <w:p w14:paraId="107029F4" w14:textId="77777777" w:rsidR="008943C9" w:rsidRPr="008943C9" w:rsidRDefault="008943C9" w:rsidP="008943C9">
            <w:pPr>
              <w:jc w:val="both"/>
              <w:rPr>
                <w:rFonts w:ascii="Lato" w:hAnsi="Lato"/>
                <w:sz w:val="20"/>
                <w:szCs w:val="20"/>
              </w:rPr>
            </w:pPr>
            <w:r w:rsidRPr="008943C9">
              <w:rPr>
                <w:rFonts w:ascii="Lato" w:hAnsi="Lato"/>
                <w:sz w:val="20"/>
                <w:szCs w:val="20"/>
              </w:rPr>
              <w:t>Łeba</w:t>
            </w:r>
          </w:p>
        </w:tc>
        <w:tc>
          <w:tcPr>
            <w:tcW w:w="1980" w:type="dxa"/>
            <w:noWrap/>
            <w:hideMark/>
          </w:tcPr>
          <w:p w14:paraId="3A061D81"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55BE6B26" w14:textId="77777777" w:rsidTr="00DB67AB">
        <w:trPr>
          <w:trHeight w:val="255"/>
        </w:trPr>
        <w:tc>
          <w:tcPr>
            <w:tcW w:w="515" w:type="dxa"/>
            <w:noWrap/>
            <w:hideMark/>
          </w:tcPr>
          <w:p w14:paraId="6FC5DE60" w14:textId="77777777" w:rsidR="008943C9" w:rsidRPr="008943C9" w:rsidRDefault="008943C9" w:rsidP="008943C9">
            <w:pPr>
              <w:jc w:val="both"/>
              <w:rPr>
                <w:rFonts w:ascii="Lato" w:hAnsi="Lato"/>
                <w:sz w:val="20"/>
                <w:szCs w:val="20"/>
              </w:rPr>
            </w:pPr>
            <w:r w:rsidRPr="008943C9">
              <w:rPr>
                <w:rFonts w:ascii="Lato" w:hAnsi="Lato"/>
                <w:sz w:val="20"/>
                <w:szCs w:val="20"/>
              </w:rPr>
              <w:t>23.</w:t>
            </w:r>
          </w:p>
        </w:tc>
        <w:tc>
          <w:tcPr>
            <w:tcW w:w="2036" w:type="dxa"/>
            <w:noWrap/>
            <w:hideMark/>
          </w:tcPr>
          <w:p w14:paraId="14F0E9C3" w14:textId="77777777" w:rsidR="008943C9" w:rsidRPr="008943C9" w:rsidRDefault="008943C9" w:rsidP="008943C9">
            <w:pPr>
              <w:jc w:val="both"/>
              <w:rPr>
                <w:rFonts w:ascii="Lato" w:hAnsi="Lato"/>
                <w:sz w:val="20"/>
                <w:szCs w:val="20"/>
              </w:rPr>
            </w:pPr>
            <w:r w:rsidRPr="008943C9">
              <w:rPr>
                <w:rFonts w:ascii="Lato" w:hAnsi="Lato"/>
                <w:sz w:val="20"/>
                <w:szCs w:val="20"/>
              </w:rPr>
              <w:t>M. Gdańsk</w:t>
            </w:r>
          </w:p>
        </w:tc>
        <w:tc>
          <w:tcPr>
            <w:tcW w:w="1980" w:type="dxa"/>
            <w:noWrap/>
            <w:hideMark/>
          </w:tcPr>
          <w:p w14:paraId="79448C11"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06A5AD9F" w14:textId="77777777" w:rsidTr="00DB67AB">
        <w:trPr>
          <w:trHeight w:val="255"/>
        </w:trPr>
        <w:tc>
          <w:tcPr>
            <w:tcW w:w="515" w:type="dxa"/>
            <w:noWrap/>
            <w:hideMark/>
          </w:tcPr>
          <w:p w14:paraId="05217E21" w14:textId="77777777" w:rsidR="008943C9" w:rsidRPr="008943C9" w:rsidRDefault="008943C9" w:rsidP="008943C9">
            <w:pPr>
              <w:jc w:val="both"/>
              <w:rPr>
                <w:rFonts w:ascii="Lato" w:hAnsi="Lato"/>
                <w:sz w:val="20"/>
                <w:szCs w:val="20"/>
              </w:rPr>
            </w:pPr>
            <w:r w:rsidRPr="008943C9">
              <w:rPr>
                <w:rFonts w:ascii="Lato" w:hAnsi="Lato"/>
                <w:sz w:val="20"/>
                <w:szCs w:val="20"/>
              </w:rPr>
              <w:t>24.</w:t>
            </w:r>
          </w:p>
        </w:tc>
        <w:tc>
          <w:tcPr>
            <w:tcW w:w="2036" w:type="dxa"/>
            <w:noWrap/>
            <w:hideMark/>
          </w:tcPr>
          <w:p w14:paraId="70F06BFC" w14:textId="77777777" w:rsidR="008943C9" w:rsidRPr="008943C9" w:rsidRDefault="008943C9" w:rsidP="008943C9">
            <w:pPr>
              <w:jc w:val="both"/>
              <w:rPr>
                <w:rFonts w:ascii="Lato" w:hAnsi="Lato"/>
                <w:sz w:val="20"/>
                <w:szCs w:val="20"/>
              </w:rPr>
            </w:pPr>
            <w:r w:rsidRPr="008943C9">
              <w:rPr>
                <w:rFonts w:ascii="Lato" w:hAnsi="Lato"/>
                <w:sz w:val="20"/>
                <w:szCs w:val="20"/>
              </w:rPr>
              <w:t>M. Gdynia</w:t>
            </w:r>
          </w:p>
        </w:tc>
        <w:tc>
          <w:tcPr>
            <w:tcW w:w="1980" w:type="dxa"/>
            <w:noWrap/>
            <w:hideMark/>
          </w:tcPr>
          <w:p w14:paraId="526BA4FF"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17A34F78" w14:textId="77777777" w:rsidTr="00DB67AB">
        <w:trPr>
          <w:trHeight w:val="255"/>
        </w:trPr>
        <w:tc>
          <w:tcPr>
            <w:tcW w:w="515" w:type="dxa"/>
            <w:noWrap/>
            <w:hideMark/>
          </w:tcPr>
          <w:p w14:paraId="1D025E38" w14:textId="77777777" w:rsidR="008943C9" w:rsidRPr="008943C9" w:rsidRDefault="008943C9" w:rsidP="008943C9">
            <w:pPr>
              <w:jc w:val="both"/>
              <w:rPr>
                <w:rFonts w:ascii="Lato" w:hAnsi="Lato"/>
                <w:sz w:val="20"/>
                <w:szCs w:val="20"/>
              </w:rPr>
            </w:pPr>
            <w:r w:rsidRPr="008943C9">
              <w:rPr>
                <w:rFonts w:ascii="Lato" w:hAnsi="Lato"/>
                <w:sz w:val="20"/>
                <w:szCs w:val="20"/>
              </w:rPr>
              <w:t>25.</w:t>
            </w:r>
          </w:p>
        </w:tc>
        <w:tc>
          <w:tcPr>
            <w:tcW w:w="2036" w:type="dxa"/>
            <w:noWrap/>
            <w:hideMark/>
          </w:tcPr>
          <w:p w14:paraId="7EE53952" w14:textId="77777777" w:rsidR="008943C9" w:rsidRPr="008943C9" w:rsidRDefault="008943C9" w:rsidP="008943C9">
            <w:pPr>
              <w:jc w:val="both"/>
              <w:rPr>
                <w:rFonts w:ascii="Lato" w:hAnsi="Lato"/>
                <w:sz w:val="20"/>
                <w:szCs w:val="20"/>
              </w:rPr>
            </w:pPr>
            <w:r w:rsidRPr="008943C9">
              <w:rPr>
                <w:rFonts w:ascii="Lato" w:hAnsi="Lato"/>
                <w:sz w:val="20"/>
                <w:szCs w:val="20"/>
              </w:rPr>
              <w:t>M. Słupsk</w:t>
            </w:r>
          </w:p>
        </w:tc>
        <w:tc>
          <w:tcPr>
            <w:tcW w:w="1980" w:type="dxa"/>
            <w:noWrap/>
            <w:hideMark/>
          </w:tcPr>
          <w:p w14:paraId="3AD4FAB9"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7CF23717" w14:textId="77777777" w:rsidTr="00DB67AB">
        <w:trPr>
          <w:trHeight w:val="255"/>
        </w:trPr>
        <w:tc>
          <w:tcPr>
            <w:tcW w:w="515" w:type="dxa"/>
            <w:noWrap/>
            <w:hideMark/>
          </w:tcPr>
          <w:p w14:paraId="6F2C7446" w14:textId="77777777" w:rsidR="008943C9" w:rsidRPr="008943C9" w:rsidRDefault="008943C9" w:rsidP="008943C9">
            <w:pPr>
              <w:jc w:val="both"/>
              <w:rPr>
                <w:rFonts w:ascii="Lato" w:hAnsi="Lato"/>
                <w:sz w:val="20"/>
                <w:szCs w:val="20"/>
              </w:rPr>
            </w:pPr>
            <w:r w:rsidRPr="008943C9">
              <w:rPr>
                <w:rFonts w:ascii="Lato" w:hAnsi="Lato"/>
                <w:sz w:val="20"/>
                <w:szCs w:val="20"/>
              </w:rPr>
              <w:t>26.</w:t>
            </w:r>
          </w:p>
        </w:tc>
        <w:tc>
          <w:tcPr>
            <w:tcW w:w="2036" w:type="dxa"/>
            <w:noWrap/>
            <w:hideMark/>
          </w:tcPr>
          <w:p w14:paraId="17759ECA" w14:textId="77777777" w:rsidR="008943C9" w:rsidRPr="008943C9" w:rsidRDefault="008943C9" w:rsidP="008943C9">
            <w:pPr>
              <w:jc w:val="both"/>
              <w:rPr>
                <w:rFonts w:ascii="Lato" w:hAnsi="Lato"/>
                <w:sz w:val="20"/>
                <w:szCs w:val="20"/>
              </w:rPr>
            </w:pPr>
            <w:r w:rsidRPr="008943C9">
              <w:rPr>
                <w:rFonts w:ascii="Lato" w:hAnsi="Lato"/>
                <w:sz w:val="20"/>
                <w:szCs w:val="20"/>
              </w:rPr>
              <w:t>M. Sopot</w:t>
            </w:r>
          </w:p>
        </w:tc>
        <w:tc>
          <w:tcPr>
            <w:tcW w:w="1980" w:type="dxa"/>
            <w:noWrap/>
            <w:hideMark/>
          </w:tcPr>
          <w:p w14:paraId="16595A84"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0C6877DE" w14:textId="77777777" w:rsidTr="00DB67AB">
        <w:trPr>
          <w:trHeight w:val="255"/>
        </w:trPr>
        <w:tc>
          <w:tcPr>
            <w:tcW w:w="515" w:type="dxa"/>
            <w:noWrap/>
            <w:hideMark/>
          </w:tcPr>
          <w:p w14:paraId="733875F2" w14:textId="77777777" w:rsidR="008943C9" w:rsidRPr="008943C9" w:rsidRDefault="008943C9" w:rsidP="008943C9">
            <w:pPr>
              <w:jc w:val="both"/>
              <w:rPr>
                <w:rFonts w:ascii="Lato" w:hAnsi="Lato"/>
                <w:sz w:val="20"/>
                <w:szCs w:val="20"/>
              </w:rPr>
            </w:pPr>
            <w:r w:rsidRPr="008943C9">
              <w:rPr>
                <w:rFonts w:ascii="Lato" w:hAnsi="Lato"/>
                <w:sz w:val="20"/>
                <w:szCs w:val="20"/>
              </w:rPr>
              <w:t>27.</w:t>
            </w:r>
          </w:p>
        </w:tc>
        <w:tc>
          <w:tcPr>
            <w:tcW w:w="2036" w:type="dxa"/>
            <w:noWrap/>
            <w:hideMark/>
          </w:tcPr>
          <w:p w14:paraId="5811CA36" w14:textId="77777777" w:rsidR="008943C9" w:rsidRPr="008943C9" w:rsidRDefault="008943C9" w:rsidP="008943C9">
            <w:pPr>
              <w:jc w:val="both"/>
              <w:rPr>
                <w:rFonts w:ascii="Lato" w:hAnsi="Lato"/>
                <w:sz w:val="20"/>
                <w:szCs w:val="20"/>
              </w:rPr>
            </w:pPr>
            <w:r w:rsidRPr="008943C9">
              <w:rPr>
                <w:rFonts w:ascii="Lato" w:hAnsi="Lato"/>
                <w:sz w:val="20"/>
                <w:szCs w:val="20"/>
              </w:rPr>
              <w:t>Malbork</w:t>
            </w:r>
          </w:p>
        </w:tc>
        <w:tc>
          <w:tcPr>
            <w:tcW w:w="1980" w:type="dxa"/>
            <w:noWrap/>
            <w:hideMark/>
          </w:tcPr>
          <w:p w14:paraId="3D8758DA"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0036F5AA" w14:textId="77777777" w:rsidTr="00DB67AB">
        <w:trPr>
          <w:trHeight w:val="255"/>
        </w:trPr>
        <w:tc>
          <w:tcPr>
            <w:tcW w:w="515" w:type="dxa"/>
            <w:noWrap/>
            <w:hideMark/>
          </w:tcPr>
          <w:p w14:paraId="1ECB3CDE" w14:textId="77777777" w:rsidR="008943C9" w:rsidRPr="008943C9" w:rsidRDefault="008943C9" w:rsidP="008943C9">
            <w:pPr>
              <w:jc w:val="both"/>
              <w:rPr>
                <w:rFonts w:ascii="Lato" w:hAnsi="Lato"/>
                <w:sz w:val="20"/>
                <w:szCs w:val="20"/>
              </w:rPr>
            </w:pPr>
            <w:r w:rsidRPr="008943C9">
              <w:rPr>
                <w:rFonts w:ascii="Lato" w:hAnsi="Lato"/>
                <w:sz w:val="20"/>
                <w:szCs w:val="20"/>
              </w:rPr>
              <w:t>28.</w:t>
            </w:r>
          </w:p>
        </w:tc>
        <w:tc>
          <w:tcPr>
            <w:tcW w:w="2036" w:type="dxa"/>
            <w:noWrap/>
            <w:hideMark/>
          </w:tcPr>
          <w:p w14:paraId="75EAD37B" w14:textId="77777777" w:rsidR="008943C9" w:rsidRPr="008943C9" w:rsidRDefault="008943C9" w:rsidP="008943C9">
            <w:pPr>
              <w:jc w:val="both"/>
              <w:rPr>
                <w:rFonts w:ascii="Lato" w:hAnsi="Lato"/>
                <w:sz w:val="20"/>
                <w:szCs w:val="20"/>
              </w:rPr>
            </w:pPr>
            <w:r w:rsidRPr="008943C9">
              <w:rPr>
                <w:rFonts w:ascii="Lato" w:hAnsi="Lato"/>
                <w:sz w:val="20"/>
                <w:szCs w:val="20"/>
              </w:rPr>
              <w:t>Nowy Dwór Gdański</w:t>
            </w:r>
          </w:p>
        </w:tc>
        <w:tc>
          <w:tcPr>
            <w:tcW w:w="1980" w:type="dxa"/>
            <w:noWrap/>
            <w:hideMark/>
          </w:tcPr>
          <w:p w14:paraId="4CC016C9"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6C20CD92" w14:textId="77777777" w:rsidTr="00DB67AB">
        <w:trPr>
          <w:trHeight w:val="255"/>
        </w:trPr>
        <w:tc>
          <w:tcPr>
            <w:tcW w:w="515" w:type="dxa"/>
            <w:noWrap/>
            <w:hideMark/>
          </w:tcPr>
          <w:p w14:paraId="577B29A9" w14:textId="77777777" w:rsidR="008943C9" w:rsidRPr="008943C9" w:rsidRDefault="008943C9" w:rsidP="008943C9">
            <w:pPr>
              <w:jc w:val="both"/>
              <w:rPr>
                <w:rFonts w:ascii="Lato" w:hAnsi="Lato"/>
                <w:sz w:val="20"/>
                <w:szCs w:val="20"/>
              </w:rPr>
            </w:pPr>
            <w:r w:rsidRPr="008943C9">
              <w:rPr>
                <w:rFonts w:ascii="Lato" w:hAnsi="Lato"/>
                <w:sz w:val="20"/>
                <w:szCs w:val="20"/>
              </w:rPr>
              <w:t>29.</w:t>
            </w:r>
          </w:p>
        </w:tc>
        <w:tc>
          <w:tcPr>
            <w:tcW w:w="2036" w:type="dxa"/>
            <w:noWrap/>
            <w:hideMark/>
          </w:tcPr>
          <w:p w14:paraId="2AFA2D5C" w14:textId="77777777" w:rsidR="008943C9" w:rsidRPr="008943C9" w:rsidRDefault="008943C9" w:rsidP="008943C9">
            <w:pPr>
              <w:jc w:val="both"/>
              <w:rPr>
                <w:rFonts w:ascii="Lato" w:hAnsi="Lato"/>
                <w:sz w:val="20"/>
                <w:szCs w:val="20"/>
              </w:rPr>
            </w:pPr>
            <w:r w:rsidRPr="008943C9">
              <w:rPr>
                <w:rFonts w:ascii="Lato" w:hAnsi="Lato"/>
                <w:sz w:val="20"/>
                <w:szCs w:val="20"/>
              </w:rPr>
              <w:t>Pelplin</w:t>
            </w:r>
          </w:p>
        </w:tc>
        <w:tc>
          <w:tcPr>
            <w:tcW w:w="1980" w:type="dxa"/>
            <w:noWrap/>
            <w:hideMark/>
          </w:tcPr>
          <w:p w14:paraId="5AAAF90A" w14:textId="77777777" w:rsidR="008943C9" w:rsidRPr="008943C9" w:rsidRDefault="008943C9" w:rsidP="008943C9">
            <w:pPr>
              <w:jc w:val="both"/>
              <w:rPr>
                <w:rFonts w:ascii="Lato" w:hAnsi="Lato"/>
                <w:sz w:val="20"/>
                <w:szCs w:val="20"/>
              </w:rPr>
            </w:pPr>
            <w:r w:rsidRPr="008943C9">
              <w:rPr>
                <w:rFonts w:ascii="Lato" w:hAnsi="Lato"/>
                <w:sz w:val="20"/>
                <w:szCs w:val="20"/>
              </w:rPr>
              <w:t>miejsko-wiejska</w:t>
            </w:r>
          </w:p>
        </w:tc>
      </w:tr>
      <w:tr w:rsidR="008943C9" w:rsidRPr="008943C9" w14:paraId="0AD249D7" w14:textId="77777777" w:rsidTr="00DB67AB">
        <w:trPr>
          <w:trHeight w:val="255"/>
        </w:trPr>
        <w:tc>
          <w:tcPr>
            <w:tcW w:w="515" w:type="dxa"/>
            <w:noWrap/>
            <w:hideMark/>
          </w:tcPr>
          <w:p w14:paraId="417B4B2E" w14:textId="77777777" w:rsidR="008943C9" w:rsidRPr="008943C9" w:rsidRDefault="008943C9" w:rsidP="008943C9">
            <w:pPr>
              <w:jc w:val="both"/>
              <w:rPr>
                <w:rFonts w:ascii="Lato" w:hAnsi="Lato"/>
                <w:sz w:val="20"/>
                <w:szCs w:val="20"/>
              </w:rPr>
            </w:pPr>
            <w:r w:rsidRPr="008943C9">
              <w:rPr>
                <w:rFonts w:ascii="Lato" w:hAnsi="Lato"/>
                <w:sz w:val="20"/>
                <w:szCs w:val="20"/>
              </w:rPr>
              <w:t>30.</w:t>
            </w:r>
          </w:p>
        </w:tc>
        <w:tc>
          <w:tcPr>
            <w:tcW w:w="2036" w:type="dxa"/>
            <w:noWrap/>
            <w:hideMark/>
          </w:tcPr>
          <w:p w14:paraId="32000857" w14:textId="77777777" w:rsidR="008943C9" w:rsidRPr="008943C9" w:rsidRDefault="008943C9" w:rsidP="008943C9">
            <w:pPr>
              <w:jc w:val="both"/>
              <w:rPr>
                <w:rFonts w:ascii="Lato" w:hAnsi="Lato"/>
                <w:sz w:val="20"/>
                <w:szCs w:val="20"/>
              </w:rPr>
            </w:pPr>
            <w:r w:rsidRPr="008943C9">
              <w:rPr>
                <w:rFonts w:ascii="Lato" w:hAnsi="Lato"/>
                <w:sz w:val="20"/>
                <w:szCs w:val="20"/>
              </w:rPr>
              <w:t>Potęgowo</w:t>
            </w:r>
          </w:p>
        </w:tc>
        <w:tc>
          <w:tcPr>
            <w:tcW w:w="1980" w:type="dxa"/>
            <w:noWrap/>
            <w:hideMark/>
          </w:tcPr>
          <w:p w14:paraId="464CC946"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5DC27141" w14:textId="77777777" w:rsidTr="00DB67AB">
        <w:trPr>
          <w:trHeight w:val="255"/>
        </w:trPr>
        <w:tc>
          <w:tcPr>
            <w:tcW w:w="515" w:type="dxa"/>
            <w:noWrap/>
            <w:hideMark/>
          </w:tcPr>
          <w:p w14:paraId="4067748D" w14:textId="77777777" w:rsidR="008943C9" w:rsidRPr="008943C9" w:rsidRDefault="008943C9" w:rsidP="008943C9">
            <w:pPr>
              <w:jc w:val="both"/>
              <w:rPr>
                <w:rFonts w:ascii="Lato" w:hAnsi="Lato"/>
                <w:sz w:val="20"/>
                <w:szCs w:val="20"/>
              </w:rPr>
            </w:pPr>
            <w:r w:rsidRPr="008943C9">
              <w:rPr>
                <w:rFonts w:ascii="Lato" w:hAnsi="Lato"/>
                <w:sz w:val="20"/>
                <w:szCs w:val="20"/>
              </w:rPr>
              <w:t>31.</w:t>
            </w:r>
          </w:p>
        </w:tc>
        <w:tc>
          <w:tcPr>
            <w:tcW w:w="2036" w:type="dxa"/>
            <w:noWrap/>
            <w:hideMark/>
          </w:tcPr>
          <w:p w14:paraId="5BEF2EF2" w14:textId="77777777" w:rsidR="008943C9" w:rsidRPr="008943C9" w:rsidRDefault="008943C9" w:rsidP="008943C9">
            <w:pPr>
              <w:jc w:val="both"/>
              <w:rPr>
                <w:rFonts w:ascii="Lato" w:hAnsi="Lato"/>
                <w:sz w:val="20"/>
                <w:szCs w:val="20"/>
              </w:rPr>
            </w:pPr>
            <w:r w:rsidRPr="008943C9">
              <w:rPr>
                <w:rFonts w:ascii="Lato" w:hAnsi="Lato"/>
                <w:sz w:val="20"/>
                <w:szCs w:val="20"/>
              </w:rPr>
              <w:t>Pruszcz Gdański</w:t>
            </w:r>
          </w:p>
        </w:tc>
        <w:tc>
          <w:tcPr>
            <w:tcW w:w="1980" w:type="dxa"/>
            <w:noWrap/>
            <w:hideMark/>
          </w:tcPr>
          <w:p w14:paraId="01E8DF12"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7E5A2DFC" w14:textId="77777777" w:rsidTr="00DB67AB">
        <w:trPr>
          <w:trHeight w:val="255"/>
        </w:trPr>
        <w:tc>
          <w:tcPr>
            <w:tcW w:w="515" w:type="dxa"/>
            <w:noWrap/>
            <w:hideMark/>
          </w:tcPr>
          <w:p w14:paraId="077FC1E8" w14:textId="77777777" w:rsidR="008943C9" w:rsidRPr="008943C9" w:rsidRDefault="008943C9" w:rsidP="008943C9">
            <w:pPr>
              <w:jc w:val="both"/>
              <w:rPr>
                <w:rFonts w:ascii="Lato" w:hAnsi="Lato"/>
                <w:sz w:val="20"/>
                <w:szCs w:val="20"/>
              </w:rPr>
            </w:pPr>
            <w:r w:rsidRPr="008943C9">
              <w:rPr>
                <w:rFonts w:ascii="Lato" w:hAnsi="Lato"/>
                <w:sz w:val="20"/>
                <w:szCs w:val="20"/>
              </w:rPr>
              <w:t>32.</w:t>
            </w:r>
          </w:p>
        </w:tc>
        <w:tc>
          <w:tcPr>
            <w:tcW w:w="2036" w:type="dxa"/>
            <w:noWrap/>
            <w:hideMark/>
          </w:tcPr>
          <w:p w14:paraId="4B3E8BFD" w14:textId="77777777" w:rsidR="008943C9" w:rsidRPr="008943C9" w:rsidRDefault="008943C9" w:rsidP="008943C9">
            <w:pPr>
              <w:jc w:val="both"/>
              <w:rPr>
                <w:rFonts w:ascii="Lato" w:hAnsi="Lato"/>
                <w:sz w:val="20"/>
                <w:szCs w:val="20"/>
              </w:rPr>
            </w:pPr>
            <w:r w:rsidRPr="008943C9">
              <w:rPr>
                <w:rFonts w:ascii="Lato" w:hAnsi="Lato"/>
                <w:sz w:val="20"/>
                <w:szCs w:val="20"/>
              </w:rPr>
              <w:t>Pszczółki</w:t>
            </w:r>
          </w:p>
        </w:tc>
        <w:tc>
          <w:tcPr>
            <w:tcW w:w="1980" w:type="dxa"/>
            <w:noWrap/>
            <w:hideMark/>
          </w:tcPr>
          <w:p w14:paraId="398D5748"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6C61C702" w14:textId="77777777" w:rsidTr="00DB67AB">
        <w:trPr>
          <w:trHeight w:val="255"/>
        </w:trPr>
        <w:tc>
          <w:tcPr>
            <w:tcW w:w="515" w:type="dxa"/>
            <w:noWrap/>
            <w:hideMark/>
          </w:tcPr>
          <w:p w14:paraId="64A30BAA" w14:textId="77777777" w:rsidR="008943C9" w:rsidRPr="008943C9" w:rsidRDefault="008943C9" w:rsidP="008943C9">
            <w:pPr>
              <w:jc w:val="both"/>
              <w:rPr>
                <w:rFonts w:ascii="Lato" w:hAnsi="Lato"/>
                <w:sz w:val="20"/>
                <w:szCs w:val="20"/>
              </w:rPr>
            </w:pPr>
            <w:r w:rsidRPr="008943C9">
              <w:rPr>
                <w:rFonts w:ascii="Lato" w:hAnsi="Lato"/>
                <w:sz w:val="20"/>
                <w:szCs w:val="20"/>
              </w:rPr>
              <w:t>33.</w:t>
            </w:r>
          </w:p>
        </w:tc>
        <w:tc>
          <w:tcPr>
            <w:tcW w:w="2036" w:type="dxa"/>
            <w:noWrap/>
            <w:hideMark/>
          </w:tcPr>
          <w:p w14:paraId="5E0360FB" w14:textId="77777777" w:rsidR="008943C9" w:rsidRPr="008943C9" w:rsidRDefault="008943C9" w:rsidP="008943C9">
            <w:pPr>
              <w:jc w:val="both"/>
              <w:rPr>
                <w:rFonts w:ascii="Lato" w:hAnsi="Lato"/>
                <w:sz w:val="20"/>
                <w:szCs w:val="20"/>
              </w:rPr>
            </w:pPr>
            <w:r w:rsidRPr="008943C9">
              <w:rPr>
                <w:rFonts w:ascii="Lato" w:hAnsi="Lato"/>
                <w:sz w:val="20"/>
                <w:szCs w:val="20"/>
              </w:rPr>
              <w:t>Puck</w:t>
            </w:r>
          </w:p>
        </w:tc>
        <w:tc>
          <w:tcPr>
            <w:tcW w:w="1980" w:type="dxa"/>
            <w:noWrap/>
            <w:hideMark/>
          </w:tcPr>
          <w:p w14:paraId="42AC706C"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325266B7" w14:textId="77777777" w:rsidTr="00DB67AB">
        <w:trPr>
          <w:trHeight w:val="255"/>
        </w:trPr>
        <w:tc>
          <w:tcPr>
            <w:tcW w:w="515" w:type="dxa"/>
            <w:noWrap/>
            <w:hideMark/>
          </w:tcPr>
          <w:p w14:paraId="7E1C8784" w14:textId="77777777" w:rsidR="008943C9" w:rsidRPr="008943C9" w:rsidRDefault="008943C9" w:rsidP="008943C9">
            <w:pPr>
              <w:jc w:val="both"/>
              <w:rPr>
                <w:rFonts w:ascii="Lato" w:hAnsi="Lato"/>
                <w:sz w:val="20"/>
                <w:szCs w:val="20"/>
              </w:rPr>
            </w:pPr>
            <w:r w:rsidRPr="008943C9">
              <w:rPr>
                <w:rFonts w:ascii="Lato" w:hAnsi="Lato"/>
                <w:sz w:val="20"/>
                <w:szCs w:val="20"/>
              </w:rPr>
              <w:t>34.</w:t>
            </w:r>
          </w:p>
        </w:tc>
        <w:tc>
          <w:tcPr>
            <w:tcW w:w="2036" w:type="dxa"/>
            <w:noWrap/>
            <w:hideMark/>
          </w:tcPr>
          <w:p w14:paraId="2787D375" w14:textId="77777777" w:rsidR="008943C9" w:rsidRPr="008943C9" w:rsidRDefault="008943C9" w:rsidP="008943C9">
            <w:pPr>
              <w:jc w:val="both"/>
              <w:rPr>
                <w:rFonts w:ascii="Lato" w:hAnsi="Lato"/>
                <w:sz w:val="20"/>
                <w:szCs w:val="20"/>
              </w:rPr>
            </w:pPr>
            <w:r w:rsidRPr="008943C9">
              <w:rPr>
                <w:rFonts w:ascii="Lato" w:hAnsi="Lato"/>
                <w:sz w:val="20"/>
                <w:szCs w:val="20"/>
              </w:rPr>
              <w:t>Reda</w:t>
            </w:r>
          </w:p>
        </w:tc>
        <w:tc>
          <w:tcPr>
            <w:tcW w:w="1980" w:type="dxa"/>
            <w:noWrap/>
            <w:hideMark/>
          </w:tcPr>
          <w:p w14:paraId="20C7F6C3"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2C286AAD" w14:textId="77777777" w:rsidTr="00DB67AB">
        <w:trPr>
          <w:trHeight w:val="255"/>
        </w:trPr>
        <w:tc>
          <w:tcPr>
            <w:tcW w:w="515" w:type="dxa"/>
            <w:noWrap/>
            <w:hideMark/>
          </w:tcPr>
          <w:p w14:paraId="1E3B4616" w14:textId="77777777" w:rsidR="008943C9" w:rsidRPr="008943C9" w:rsidRDefault="008943C9" w:rsidP="008943C9">
            <w:pPr>
              <w:jc w:val="both"/>
              <w:rPr>
                <w:rFonts w:ascii="Lato" w:hAnsi="Lato"/>
                <w:sz w:val="20"/>
                <w:szCs w:val="20"/>
              </w:rPr>
            </w:pPr>
            <w:r w:rsidRPr="008943C9">
              <w:rPr>
                <w:rFonts w:ascii="Lato" w:hAnsi="Lato"/>
                <w:sz w:val="20"/>
                <w:szCs w:val="20"/>
              </w:rPr>
              <w:t>35.</w:t>
            </w:r>
          </w:p>
        </w:tc>
        <w:tc>
          <w:tcPr>
            <w:tcW w:w="2036" w:type="dxa"/>
            <w:noWrap/>
            <w:hideMark/>
          </w:tcPr>
          <w:p w14:paraId="62FC7808" w14:textId="77777777" w:rsidR="008943C9" w:rsidRPr="008943C9" w:rsidRDefault="008943C9" w:rsidP="008943C9">
            <w:pPr>
              <w:jc w:val="both"/>
              <w:rPr>
                <w:rFonts w:ascii="Lato" w:hAnsi="Lato"/>
                <w:sz w:val="20"/>
                <w:szCs w:val="20"/>
              </w:rPr>
            </w:pPr>
            <w:r w:rsidRPr="008943C9">
              <w:rPr>
                <w:rFonts w:ascii="Lato" w:hAnsi="Lato"/>
                <w:sz w:val="20"/>
                <w:szCs w:val="20"/>
              </w:rPr>
              <w:t>Rumia</w:t>
            </w:r>
          </w:p>
        </w:tc>
        <w:tc>
          <w:tcPr>
            <w:tcW w:w="1980" w:type="dxa"/>
            <w:noWrap/>
            <w:hideMark/>
          </w:tcPr>
          <w:p w14:paraId="0A95B409"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39310EBE" w14:textId="77777777" w:rsidTr="00DB67AB">
        <w:trPr>
          <w:trHeight w:val="255"/>
        </w:trPr>
        <w:tc>
          <w:tcPr>
            <w:tcW w:w="515" w:type="dxa"/>
            <w:noWrap/>
            <w:hideMark/>
          </w:tcPr>
          <w:p w14:paraId="25914B89" w14:textId="77777777" w:rsidR="008943C9" w:rsidRPr="008943C9" w:rsidRDefault="008943C9" w:rsidP="008943C9">
            <w:pPr>
              <w:jc w:val="both"/>
              <w:rPr>
                <w:rFonts w:ascii="Lato" w:hAnsi="Lato"/>
                <w:sz w:val="20"/>
                <w:szCs w:val="20"/>
              </w:rPr>
            </w:pPr>
            <w:r w:rsidRPr="008943C9">
              <w:rPr>
                <w:rFonts w:ascii="Lato" w:hAnsi="Lato"/>
                <w:sz w:val="20"/>
                <w:szCs w:val="20"/>
              </w:rPr>
              <w:t>36.</w:t>
            </w:r>
          </w:p>
        </w:tc>
        <w:tc>
          <w:tcPr>
            <w:tcW w:w="2036" w:type="dxa"/>
            <w:noWrap/>
            <w:hideMark/>
          </w:tcPr>
          <w:p w14:paraId="520B94B2" w14:textId="77777777" w:rsidR="008943C9" w:rsidRPr="008943C9" w:rsidRDefault="008943C9" w:rsidP="008943C9">
            <w:pPr>
              <w:jc w:val="both"/>
              <w:rPr>
                <w:rFonts w:ascii="Lato" w:hAnsi="Lato"/>
                <w:sz w:val="20"/>
                <w:szCs w:val="20"/>
              </w:rPr>
            </w:pPr>
            <w:r w:rsidRPr="008943C9">
              <w:rPr>
                <w:rFonts w:ascii="Lato" w:hAnsi="Lato"/>
                <w:sz w:val="20"/>
                <w:szCs w:val="20"/>
              </w:rPr>
              <w:t>Słupsk</w:t>
            </w:r>
          </w:p>
        </w:tc>
        <w:tc>
          <w:tcPr>
            <w:tcW w:w="1980" w:type="dxa"/>
            <w:noWrap/>
            <w:hideMark/>
          </w:tcPr>
          <w:p w14:paraId="215446E9"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709D1EEB" w14:textId="77777777" w:rsidTr="00DB67AB">
        <w:trPr>
          <w:trHeight w:val="255"/>
        </w:trPr>
        <w:tc>
          <w:tcPr>
            <w:tcW w:w="515" w:type="dxa"/>
            <w:noWrap/>
            <w:hideMark/>
          </w:tcPr>
          <w:p w14:paraId="2A0F6E69" w14:textId="77777777" w:rsidR="008943C9" w:rsidRPr="008943C9" w:rsidRDefault="008943C9" w:rsidP="008943C9">
            <w:pPr>
              <w:jc w:val="both"/>
              <w:rPr>
                <w:rFonts w:ascii="Lato" w:hAnsi="Lato"/>
                <w:sz w:val="20"/>
                <w:szCs w:val="20"/>
              </w:rPr>
            </w:pPr>
            <w:r w:rsidRPr="008943C9">
              <w:rPr>
                <w:rFonts w:ascii="Lato" w:hAnsi="Lato"/>
                <w:sz w:val="20"/>
                <w:szCs w:val="20"/>
              </w:rPr>
              <w:t>37.</w:t>
            </w:r>
          </w:p>
        </w:tc>
        <w:tc>
          <w:tcPr>
            <w:tcW w:w="2036" w:type="dxa"/>
            <w:noWrap/>
            <w:hideMark/>
          </w:tcPr>
          <w:p w14:paraId="2D0B6E63" w14:textId="77777777" w:rsidR="008943C9" w:rsidRPr="008943C9" w:rsidRDefault="008943C9" w:rsidP="008943C9">
            <w:pPr>
              <w:jc w:val="both"/>
              <w:rPr>
                <w:rFonts w:ascii="Lato" w:hAnsi="Lato"/>
                <w:sz w:val="20"/>
                <w:szCs w:val="20"/>
              </w:rPr>
            </w:pPr>
            <w:r w:rsidRPr="008943C9">
              <w:rPr>
                <w:rFonts w:ascii="Lato" w:hAnsi="Lato"/>
                <w:sz w:val="20"/>
                <w:szCs w:val="20"/>
              </w:rPr>
              <w:t>Starogard Gdański</w:t>
            </w:r>
          </w:p>
        </w:tc>
        <w:tc>
          <w:tcPr>
            <w:tcW w:w="1980" w:type="dxa"/>
            <w:noWrap/>
            <w:hideMark/>
          </w:tcPr>
          <w:p w14:paraId="2A96A74E"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02DE60BD" w14:textId="77777777" w:rsidTr="00DB67AB">
        <w:trPr>
          <w:trHeight w:val="255"/>
        </w:trPr>
        <w:tc>
          <w:tcPr>
            <w:tcW w:w="515" w:type="dxa"/>
            <w:noWrap/>
            <w:hideMark/>
          </w:tcPr>
          <w:p w14:paraId="56B8176E" w14:textId="77777777" w:rsidR="008943C9" w:rsidRPr="008943C9" w:rsidRDefault="008943C9" w:rsidP="008943C9">
            <w:pPr>
              <w:jc w:val="both"/>
              <w:rPr>
                <w:rFonts w:ascii="Lato" w:hAnsi="Lato"/>
                <w:sz w:val="20"/>
                <w:szCs w:val="20"/>
              </w:rPr>
            </w:pPr>
            <w:r w:rsidRPr="008943C9">
              <w:rPr>
                <w:rFonts w:ascii="Lato" w:hAnsi="Lato"/>
                <w:sz w:val="20"/>
                <w:szCs w:val="20"/>
              </w:rPr>
              <w:t>38.</w:t>
            </w:r>
          </w:p>
        </w:tc>
        <w:tc>
          <w:tcPr>
            <w:tcW w:w="2036" w:type="dxa"/>
            <w:noWrap/>
            <w:hideMark/>
          </w:tcPr>
          <w:p w14:paraId="6F67ACC0" w14:textId="77777777" w:rsidR="008943C9" w:rsidRPr="008943C9" w:rsidRDefault="008943C9" w:rsidP="008943C9">
            <w:pPr>
              <w:jc w:val="both"/>
              <w:rPr>
                <w:rFonts w:ascii="Lato" w:hAnsi="Lato"/>
                <w:sz w:val="20"/>
                <w:szCs w:val="20"/>
              </w:rPr>
            </w:pPr>
            <w:r w:rsidRPr="008943C9">
              <w:rPr>
                <w:rFonts w:ascii="Lato" w:hAnsi="Lato"/>
                <w:sz w:val="20"/>
                <w:szCs w:val="20"/>
              </w:rPr>
              <w:t>Sztutowo</w:t>
            </w:r>
          </w:p>
        </w:tc>
        <w:tc>
          <w:tcPr>
            <w:tcW w:w="1980" w:type="dxa"/>
            <w:noWrap/>
            <w:hideMark/>
          </w:tcPr>
          <w:p w14:paraId="775B4120"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13791C6D" w14:textId="77777777" w:rsidTr="00DB67AB">
        <w:trPr>
          <w:trHeight w:val="255"/>
        </w:trPr>
        <w:tc>
          <w:tcPr>
            <w:tcW w:w="515" w:type="dxa"/>
            <w:noWrap/>
            <w:hideMark/>
          </w:tcPr>
          <w:p w14:paraId="2831ECBB" w14:textId="77777777" w:rsidR="008943C9" w:rsidRPr="008943C9" w:rsidRDefault="008943C9" w:rsidP="008943C9">
            <w:pPr>
              <w:jc w:val="both"/>
              <w:rPr>
                <w:rFonts w:ascii="Lato" w:hAnsi="Lato"/>
                <w:sz w:val="20"/>
                <w:szCs w:val="20"/>
              </w:rPr>
            </w:pPr>
            <w:r w:rsidRPr="008943C9">
              <w:rPr>
                <w:rFonts w:ascii="Lato" w:hAnsi="Lato"/>
                <w:sz w:val="20"/>
                <w:szCs w:val="20"/>
              </w:rPr>
              <w:t>39.</w:t>
            </w:r>
          </w:p>
        </w:tc>
        <w:tc>
          <w:tcPr>
            <w:tcW w:w="2036" w:type="dxa"/>
            <w:noWrap/>
            <w:hideMark/>
          </w:tcPr>
          <w:p w14:paraId="1E539303" w14:textId="77777777" w:rsidR="008943C9" w:rsidRPr="008943C9" w:rsidRDefault="008943C9" w:rsidP="008943C9">
            <w:pPr>
              <w:jc w:val="both"/>
              <w:rPr>
                <w:rFonts w:ascii="Lato" w:hAnsi="Lato"/>
                <w:sz w:val="20"/>
                <w:szCs w:val="20"/>
              </w:rPr>
            </w:pPr>
            <w:r w:rsidRPr="008943C9">
              <w:rPr>
                <w:rFonts w:ascii="Lato" w:hAnsi="Lato"/>
                <w:sz w:val="20"/>
                <w:szCs w:val="20"/>
              </w:rPr>
              <w:t>Trąbki Wielkie</w:t>
            </w:r>
          </w:p>
        </w:tc>
        <w:tc>
          <w:tcPr>
            <w:tcW w:w="1980" w:type="dxa"/>
            <w:noWrap/>
            <w:hideMark/>
          </w:tcPr>
          <w:p w14:paraId="073B92BD"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589288C9" w14:textId="77777777" w:rsidTr="00DB67AB">
        <w:trPr>
          <w:trHeight w:val="255"/>
        </w:trPr>
        <w:tc>
          <w:tcPr>
            <w:tcW w:w="515" w:type="dxa"/>
            <w:noWrap/>
            <w:hideMark/>
          </w:tcPr>
          <w:p w14:paraId="28444B2E" w14:textId="77777777" w:rsidR="008943C9" w:rsidRPr="008943C9" w:rsidRDefault="008943C9" w:rsidP="008943C9">
            <w:pPr>
              <w:jc w:val="both"/>
              <w:rPr>
                <w:rFonts w:ascii="Lato" w:hAnsi="Lato"/>
                <w:sz w:val="20"/>
                <w:szCs w:val="20"/>
              </w:rPr>
            </w:pPr>
            <w:r w:rsidRPr="008943C9">
              <w:rPr>
                <w:rFonts w:ascii="Lato" w:hAnsi="Lato"/>
                <w:sz w:val="20"/>
                <w:szCs w:val="20"/>
              </w:rPr>
              <w:t>40.</w:t>
            </w:r>
          </w:p>
        </w:tc>
        <w:tc>
          <w:tcPr>
            <w:tcW w:w="2036" w:type="dxa"/>
            <w:noWrap/>
            <w:hideMark/>
          </w:tcPr>
          <w:p w14:paraId="5F04E56C" w14:textId="77777777" w:rsidR="008943C9" w:rsidRPr="008943C9" w:rsidRDefault="008943C9" w:rsidP="008943C9">
            <w:pPr>
              <w:jc w:val="both"/>
              <w:rPr>
                <w:rFonts w:ascii="Lato" w:hAnsi="Lato"/>
                <w:sz w:val="20"/>
                <w:szCs w:val="20"/>
              </w:rPr>
            </w:pPr>
            <w:r w:rsidRPr="008943C9">
              <w:rPr>
                <w:rFonts w:ascii="Lato" w:hAnsi="Lato"/>
                <w:sz w:val="20"/>
                <w:szCs w:val="20"/>
              </w:rPr>
              <w:t>Trzebielino</w:t>
            </w:r>
          </w:p>
        </w:tc>
        <w:tc>
          <w:tcPr>
            <w:tcW w:w="1980" w:type="dxa"/>
            <w:noWrap/>
            <w:hideMark/>
          </w:tcPr>
          <w:p w14:paraId="59E24589"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4779A948" w14:textId="77777777" w:rsidTr="00DB67AB">
        <w:trPr>
          <w:trHeight w:val="255"/>
        </w:trPr>
        <w:tc>
          <w:tcPr>
            <w:tcW w:w="515" w:type="dxa"/>
            <w:noWrap/>
            <w:hideMark/>
          </w:tcPr>
          <w:p w14:paraId="08967611" w14:textId="77777777" w:rsidR="008943C9" w:rsidRPr="008943C9" w:rsidRDefault="008943C9" w:rsidP="008943C9">
            <w:pPr>
              <w:jc w:val="both"/>
              <w:rPr>
                <w:rFonts w:ascii="Lato" w:hAnsi="Lato"/>
                <w:sz w:val="20"/>
                <w:szCs w:val="20"/>
              </w:rPr>
            </w:pPr>
            <w:r w:rsidRPr="008943C9">
              <w:rPr>
                <w:rFonts w:ascii="Lato" w:hAnsi="Lato"/>
                <w:sz w:val="20"/>
                <w:szCs w:val="20"/>
              </w:rPr>
              <w:t>41.</w:t>
            </w:r>
          </w:p>
        </w:tc>
        <w:tc>
          <w:tcPr>
            <w:tcW w:w="2036" w:type="dxa"/>
            <w:noWrap/>
            <w:hideMark/>
          </w:tcPr>
          <w:p w14:paraId="0F3C24FF" w14:textId="77777777" w:rsidR="008943C9" w:rsidRPr="008943C9" w:rsidRDefault="008943C9" w:rsidP="008943C9">
            <w:pPr>
              <w:jc w:val="both"/>
              <w:rPr>
                <w:rFonts w:ascii="Lato" w:hAnsi="Lato"/>
                <w:sz w:val="20"/>
                <w:szCs w:val="20"/>
              </w:rPr>
            </w:pPr>
            <w:r w:rsidRPr="008943C9">
              <w:rPr>
                <w:rFonts w:ascii="Lato" w:hAnsi="Lato"/>
                <w:sz w:val="20"/>
                <w:szCs w:val="20"/>
              </w:rPr>
              <w:t>Tuchomie</w:t>
            </w:r>
          </w:p>
        </w:tc>
        <w:tc>
          <w:tcPr>
            <w:tcW w:w="1980" w:type="dxa"/>
            <w:noWrap/>
            <w:hideMark/>
          </w:tcPr>
          <w:p w14:paraId="116414AB"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1A7E2CB2" w14:textId="77777777" w:rsidTr="00DB67AB">
        <w:trPr>
          <w:trHeight w:val="255"/>
        </w:trPr>
        <w:tc>
          <w:tcPr>
            <w:tcW w:w="515" w:type="dxa"/>
            <w:noWrap/>
            <w:hideMark/>
          </w:tcPr>
          <w:p w14:paraId="215FFBBC" w14:textId="77777777" w:rsidR="008943C9" w:rsidRPr="008943C9" w:rsidRDefault="008943C9" w:rsidP="008943C9">
            <w:pPr>
              <w:jc w:val="both"/>
              <w:rPr>
                <w:rFonts w:ascii="Lato" w:hAnsi="Lato"/>
                <w:sz w:val="20"/>
                <w:szCs w:val="20"/>
              </w:rPr>
            </w:pPr>
            <w:r w:rsidRPr="008943C9">
              <w:rPr>
                <w:rFonts w:ascii="Lato" w:hAnsi="Lato"/>
                <w:sz w:val="20"/>
                <w:szCs w:val="20"/>
              </w:rPr>
              <w:t>42.</w:t>
            </w:r>
          </w:p>
        </w:tc>
        <w:tc>
          <w:tcPr>
            <w:tcW w:w="2036" w:type="dxa"/>
            <w:noWrap/>
            <w:hideMark/>
          </w:tcPr>
          <w:p w14:paraId="7A492732" w14:textId="77777777" w:rsidR="008943C9" w:rsidRPr="008943C9" w:rsidRDefault="008943C9" w:rsidP="008943C9">
            <w:pPr>
              <w:jc w:val="both"/>
              <w:rPr>
                <w:rFonts w:ascii="Lato" w:hAnsi="Lato"/>
                <w:sz w:val="20"/>
                <w:szCs w:val="20"/>
              </w:rPr>
            </w:pPr>
            <w:r w:rsidRPr="008943C9">
              <w:rPr>
                <w:rFonts w:ascii="Lato" w:hAnsi="Lato"/>
                <w:sz w:val="20"/>
                <w:szCs w:val="20"/>
              </w:rPr>
              <w:t>Ustka</w:t>
            </w:r>
          </w:p>
        </w:tc>
        <w:tc>
          <w:tcPr>
            <w:tcW w:w="1980" w:type="dxa"/>
            <w:noWrap/>
            <w:hideMark/>
          </w:tcPr>
          <w:p w14:paraId="6371A971"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2A43EBCF" w14:textId="77777777" w:rsidTr="00DB67AB">
        <w:trPr>
          <w:trHeight w:val="255"/>
        </w:trPr>
        <w:tc>
          <w:tcPr>
            <w:tcW w:w="515" w:type="dxa"/>
            <w:noWrap/>
            <w:hideMark/>
          </w:tcPr>
          <w:p w14:paraId="75855791" w14:textId="77777777" w:rsidR="008943C9" w:rsidRPr="008943C9" w:rsidRDefault="008943C9" w:rsidP="008943C9">
            <w:pPr>
              <w:jc w:val="both"/>
              <w:rPr>
                <w:rFonts w:ascii="Lato" w:hAnsi="Lato"/>
                <w:sz w:val="20"/>
                <w:szCs w:val="20"/>
              </w:rPr>
            </w:pPr>
            <w:r w:rsidRPr="008943C9">
              <w:rPr>
                <w:rFonts w:ascii="Lato" w:hAnsi="Lato"/>
                <w:sz w:val="20"/>
                <w:szCs w:val="20"/>
              </w:rPr>
              <w:t>43.</w:t>
            </w:r>
          </w:p>
        </w:tc>
        <w:tc>
          <w:tcPr>
            <w:tcW w:w="2036" w:type="dxa"/>
            <w:noWrap/>
            <w:hideMark/>
          </w:tcPr>
          <w:p w14:paraId="177D4AA4" w14:textId="77777777" w:rsidR="008943C9" w:rsidRPr="008943C9" w:rsidRDefault="008943C9" w:rsidP="008943C9">
            <w:pPr>
              <w:jc w:val="both"/>
              <w:rPr>
                <w:rFonts w:ascii="Lato" w:hAnsi="Lato"/>
                <w:sz w:val="20"/>
                <w:szCs w:val="20"/>
              </w:rPr>
            </w:pPr>
            <w:r w:rsidRPr="008943C9">
              <w:rPr>
                <w:rFonts w:ascii="Lato" w:hAnsi="Lato"/>
                <w:sz w:val="20"/>
                <w:szCs w:val="20"/>
              </w:rPr>
              <w:t>Ustka</w:t>
            </w:r>
          </w:p>
        </w:tc>
        <w:tc>
          <w:tcPr>
            <w:tcW w:w="1980" w:type="dxa"/>
            <w:noWrap/>
            <w:hideMark/>
          </w:tcPr>
          <w:p w14:paraId="3CA53DE2" w14:textId="77777777" w:rsidR="008943C9" w:rsidRPr="008943C9" w:rsidRDefault="008943C9" w:rsidP="008943C9">
            <w:pPr>
              <w:jc w:val="both"/>
              <w:rPr>
                <w:rFonts w:ascii="Lato" w:hAnsi="Lato"/>
                <w:sz w:val="20"/>
                <w:szCs w:val="20"/>
              </w:rPr>
            </w:pPr>
            <w:r w:rsidRPr="008943C9">
              <w:rPr>
                <w:rFonts w:ascii="Lato" w:hAnsi="Lato"/>
                <w:sz w:val="20"/>
                <w:szCs w:val="20"/>
              </w:rPr>
              <w:t>wiejska</w:t>
            </w:r>
          </w:p>
        </w:tc>
      </w:tr>
      <w:tr w:rsidR="008943C9" w:rsidRPr="008943C9" w14:paraId="60F9E6F4" w14:textId="77777777" w:rsidTr="00DB67AB">
        <w:trPr>
          <w:trHeight w:val="255"/>
        </w:trPr>
        <w:tc>
          <w:tcPr>
            <w:tcW w:w="515" w:type="dxa"/>
            <w:noWrap/>
            <w:hideMark/>
          </w:tcPr>
          <w:p w14:paraId="0ABA1C79" w14:textId="77777777" w:rsidR="008943C9" w:rsidRPr="008943C9" w:rsidRDefault="008943C9" w:rsidP="008943C9">
            <w:pPr>
              <w:jc w:val="both"/>
              <w:rPr>
                <w:rFonts w:ascii="Lato" w:hAnsi="Lato"/>
                <w:sz w:val="20"/>
                <w:szCs w:val="20"/>
              </w:rPr>
            </w:pPr>
            <w:r w:rsidRPr="008943C9">
              <w:rPr>
                <w:rFonts w:ascii="Lato" w:hAnsi="Lato"/>
                <w:sz w:val="20"/>
                <w:szCs w:val="20"/>
              </w:rPr>
              <w:t>44.</w:t>
            </w:r>
          </w:p>
        </w:tc>
        <w:tc>
          <w:tcPr>
            <w:tcW w:w="2036" w:type="dxa"/>
            <w:noWrap/>
            <w:hideMark/>
          </w:tcPr>
          <w:p w14:paraId="20E3113F" w14:textId="77777777" w:rsidR="008943C9" w:rsidRPr="008943C9" w:rsidRDefault="008943C9" w:rsidP="008943C9">
            <w:pPr>
              <w:jc w:val="both"/>
              <w:rPr>
                <w:rFonts w:ascii="Lato" w:hAnsi="Lato"/>
                <w:sz w:val="20"/>
                <w:szCs w:val="20"/>
              </w:rPr>
            </w:pPr>
            <w:r w:rsidRPr="008943C9">
              <w:rPr>
                <w:rFonts w:ascii="Lato" w:hAnsi="Lato"/>
                <w:sz w:val="20"/>
                <w:szCs w:val="20"/>
              </w:rPr>
              <w:t>Wejherowo</w:t>
            </w:r>
          </w:p>
        </w:tc>
        <w:tc>
          <w:tcPr>
            <w:tcW w:w="1980" w:type="dxa"/>
            <w:noWrap/>
            <w:hideMark/>
          </w:tcPr>
          <w:p w14:paraId="421955B5" w14:textId="77777777" w:rsidR="008943C9" w:rsidRPr="008943C9" w:rsidRDefault="008943C9" w:rsidP="008943C9">
            <w:pPr>
              <w:jc w:val="both"/>
              <w:rPr>
                <w:rFonts w:ascii="Lato" w:hAnsi="Lato"/>
                <w:sz w:val="20"/>
                <w:szCs w:val="20"/>
              </w:rPr>
            </w:pPr>
            <w:r w:rsidRPr="008943C9">
              <w:rPr>
                <w:rFonts w:ascii="Lato" w:hAnsi="Lato"/>
                <w:sz w:val="20"/>
                <w:szCs w:val="20"/>
              </w:rPr>
              <w:t>miejska</w:t>
            </w:r>
          </w:p>
        </w:tc>
      </w:tr>
      <w:tr w:rsidR="008943C9" w:rsidRPr="008943C9" w14:paraId="77F37C6A" w14:textId="77777777" w:rsidTr="00DB67AB">
        <w:trPr>
          <w:trHeight w:val="255"/>
        </w:trPr>
        <w:tc>
          <w:tcPr>
            <w:tcW w:w="515" w:type="dxa"/>
            <w:noWrap/>
          </w:tcPr>
          <w:p w14:paraId="6E1E158D" w14:textId="77777777" w:rsidR="008943C9" w:rsidRPr="008943C9" w:rsidRDefault="008943C9" w:rsidP="008943C9">
            <w:pPr>
              <w:jc w:val="both"/>
              <w:rPr>
                <w:rFonts w:ascii="Lato" w:hAnsi="Lato"/>
                <w:sz w:val="20"/>
                <w:szCs w:val="20"/>
              </w:rPr>
            </w:pPr>
            <w:r w:rsidRPr="008943C9">
              <w:rPr>
                <w:rFonts w:ascii="Lato" w:hAnsi="Lato"/>
                <w:sz w:val="20"/>
                <w:szCs w:val="20"/>
              </w:rPr>
              <w:t>45.</w:t>
            </w:r>
          </w:p>
        </w:tc>
        <w:tc>
          <w:tcPr>
            <w:tcW w:w="2036" w:type="dxa"/>
            <w:noWrap/>
          </w:tcPr>
          <w:p w14:paraId="132DA62E" w14:textId="77777777" w:rsidR="008943C9" w:rsidRPr="008943C9" w:rsidRDefault="008943C9" w:rsidP="008943C9">
            <w:pPr>
              <w:jc w:val="both"/>
              <w:rPr>
                <w:rFonts w:ascii="Lato" w:hAnsi="Lato"/>
                <w:sz w:val="20"/>
                <w:szCs w:val="20"/>
              </w:rPr>
            </w:pPr>
            <w:r w:rsidRPr="008943C9">
              <w:rPr>
                <w:rFonts w:ascii="Lato" w:hAnsi="Lato"/>
                <w:sz w:val="20"/>
                <w:szCs w:val="20"/>
              </w:rPr>
              <w:t>Powiat chojnicki</w:t>
            </w:r>
          </w:p>
        </w:tc>
        <w:tc>
          <w:tcPr>
            <w:tcW w:w="1980" w:type="dxa"/>
            <w:noWrap/>
          </w:tcPr>
          <w:p w14:paraId="594CF22D" w14:textId="77777777" w:rsidR="008943C9" w:rsidRPr="008943C9" w:rsidRDefault="008943C9" w:rsidP="008943C9">
            <w:pPr>
              <w:jc w:val="both"/>
              <w:rPr>
                <w:rFonts w:ascii="Lato" w:hAnsi="Lato"/>
                <w:sz w:val="20"/>
                <w:szCs w:val="20"/>
              </w:rPr>
            </w:pPr>
          </w:p>
        </w:tc>
      </w:tr>
      <w:tr w:rsidR="008943C9" w:rsidRPr="008943C9" w14:paraId="55688A5D" w14:textId="77777777" w:rsidTr="00DB67AB">
        <w:trPr>
          <w:trHeight w:val="255"/>
        </w:trPr>
        <w:tc>
          <w:tcPr>
            <w:tcW w:w="515" w:type="dxa"/>
            <w:noWrap/>
          </w:tcPr>
          <w:p w14:paraId="52F8E711" w14:textId="77777777" w:rsidR="008943C9" w:rsidRPr="008943C9" w:rsidRDefault="008943C9" w:rsidP="008943C9">
            <w:pPr>
              <w:jc w:val="both"/>
              <w:rPr>
                <w:rFonts w:ascii="Lato" w:hAnsi="Lato"/>
                <w:sz w:val="20"/>
                <w:szCs w:val="20"/>
              </w:rPr>
            </w:pPr>
            <w:r w:rsidRPr="008943C9">
              <w:rPr>
                <w:rFonts w:ascii="Lato" w:hAnsi="Lato"/>
                <w:sz w:val="20"/>
                <w:szCs w:val="20"/>
              </w:rPr>
              <w:t>46.</w:t>
            </w:r>
          </w:p>
        </w:tc>
        <w:tc>
          <w:tcPr>
            <w:tcW w:w="2036" w:type="dxa"/>
            <w:noWrap/>
          </w:tcPr>
          <w:p w14:paraId="31C55B0E" w14:textId="77777777" w:rsidR="008943C9" w:rsidRPr="008943C9" w:rsidRDefault="008943C9" w:rsidP="008943C9">
            <w:pPr>
              <w:jc w:val="both"/>
              <w:rPr>
                <w:rFonts w:ascii="Lato" w:hAnsi="Lato"/>
                <w:sz w:val="20"/>
                <w:szCs w:val="20"/>
              </w:rPr>
            </w:pPr>
            <w:r w:rsidRPr="008943C9">
              <w:rPr>
                <w:rFonts w:ascii="Lato" w:hAnsi="Lato"/>
                <w:sz w:val="20"/>
                <w:szCs w:val="20"/>
              </w:rPr>
              <w:t>Powiat kartuski</w:t>
            </w:r>
          </w:p>
        </w:tc>
        <w:tc>
          <w:tcPr>
            <w:tcW w:w="1980" w:type="dxa"/>
            <w:noWrap/>
          </w:tcPr>
          <w:p w14:paraId="7B4306CB" w14:textId="77777777" w:rsidR="008943C9" w:rsidRPr="008943C9" w:rsidRDefault="008943C9" w:rsidP="008943C9">
            <w:pPr>
              <w:jc w:val="both"/>
              <w:rPr>
                <w:rFonts w:ascii="Lato" w:hAnsi="Lato"/>
                <w:sz w:val="20"/>
                <w:szCs w:val="20"/>
              </w:rPr>
            </w:pPr>
          </w:p>
        </w:tc>
      </w:tr>
      <w:tr w:rsidR="008943C9" w:rsidRPr="008943C9" w14:paraId="1128168A" w14:textId="77777777" w:rsidTr="00DB67AB">
        <w:trPr>
          <w:trHeight w:val="255"/>
        </w:trPr>
        <w:tc>
          <w:tcPr>
            <w:tcW w:w="515" w:type="dxa"/>
            <w:noWrap/>
          </w:tcPr>
          <w:p w14:paraId="2690EBED" w14:textId="77777777" w:rsidR="008943C9" w:rsidRPr="008943C9" w:rsidRDefault="008943C9" w:rsidP="008943C9">
            <w:pPr>
              <w:jc w:val="both"/>
              <w:rPr>
                <w:rFonts w:ascii="Lato" w:hAnsi="Lato"/>
                <w:sz w:val="20"/>
                <w:szCs w:val="20"/>
              </w:rPr>
            </w:pPr>
            <w:r w:rsidRPr="008943C9">
              <w:rPr>
                <w:rFonts w:ascii="Lato" w:hAnsi="Lato"/>
                <w:sz w:val="20"/>
                <w:szCs w:val="20"/>
              </w:rPr>
              <w:t>47.</w:t>
            </w:r>
          </w:p>
        </w:tc>
        <w:tc>
          <w:tcPr>
            <w:tcW w:w="2036" w:type="dxa"/>
            <w:noWrap/>
          </w:tcPr>
          <w:p w14:paraId="20B7AA48" w14:textId="77777777" w:rsidR="008943C9" w:rsidRPr="008943C9" w:rsidRDefault="008943C9" w:rsidP="008943C9">
            <w:pPr>
              <w:jc w:val="both"/>
              <w:rPr>
                <w:rFonts w:ascii="Lato" w:hAnsi="Lato"/>
                <w:sz w:val="20"/>
                <w:szCs w:val="20"/>
              </w:rPr>
            </w:pPr>
            <w:r w:rsidRPr="008943C9">
              <w:rPr>
                <w:rFonts w:ascii="Lato" w:hAnsi="Lato"/>
                <w:sz w:val="20"/>
                <w:szCs w:val="20"/>
              </w:rPr>
              <w:t>Powiat słupski</w:t>
            </w:r>
          </w:p>
        </w:tc>
        <w:tc>
          <w:tcPr>
            <w:tcW w:w="1980" w:type="dxa"/>
            <w:noWrap/>
          </w:tcPr>
          <w:p w14:paraId="410C5510" w14:textId="77777777" w:rsidR="008943C9" w:rsidRPr="008943C9" w:rsidRDefault="008943C9" w:rsidP="008943C9">
            <w:pPr>
              <w:jc w:val="both"/>
              <w:rPr>
                <w:rFonts w:ascii="Lato" w:hAnsi="Lato"/>
                <w:sz w:val="20"/>
                <w:szCs w:val="20"/>
              </w:rPr>
            </w:pPr>
          </w:p>
        </w:tc>
      </w:tr>
    </w:tbl>
    <w:p w14:paraId="49F569CC" w14:textId="77777777" w:rsidR="008943C9" w:rsidRPr="008943C9" w:rsidRDefault="008943C9" w:rsidP="008943C9">
      <w:pPr>
        <w:spacing w:after="0" w:line="240" w:lineRule="auto"/>
        <w:jc w:val="both"/>
        <w:rPr>
          <w:rFonts w:ascii="Lato" w:hAnsi="Lato"/>
          <w:sz w:val="20"/>
          <w:szCs w:val="20"/>
        </w:rPr>
        <w:sectPr w:rsidR="008943C9" w:rsidRPr="008943C9" w:rsidSect="00A96D8C">
          <w:type w:val="continuous"/>
          <w:pgSz w:w="11906" w:h="16838"/>
          <w:pgMar w:top="1417" w:right="1417" w:bottom="1417" w:left="1417" w:header="708" w:footer="708" w:gutter="0"/>
          <w:cols w:num="2" w:space="708"/>
        </w:sectPr>
      </w:pPr>
    </w:p>
    <w:p w14:paraId="66E8A3C1" w14:textId="6CF52C5B" w:rsidR="008943C9" w:rsidRPr="008943C9" w:rsidRDefault="008943C9" w:rsidP="008943C9">
      <w:pPr>
        <w:spacing w:after="0" w:line="240" w:lineRule="auto"/>
        <w:jc w:val="both"/>
        <w:rPr>
          <w:rFonts w:ascii="Lato" w:eastAsia="Times New Roman" w:hAnsi="Lato" w:cs="Arial"/>
          <w:b/>
          <w:bCs/>
          <w:color w:val="000000" w:themeColor="text1"/>
          <w:sz w:val="20"/>
          <w:szCs w:val="20"/>
        </w:rPr>
      </w:pPr>
      <w:r w:rsidRPr="008943C9">
        <w:rPr>
          <w:rFonts w:ascii="Lato" w:eastAsia="Times New Roman" w:hAnsi="Lato" w:cs="Arial"/>
          <w:b/>
          <w:bCs/>
          <w:color w:val="000000" w:themeColor="text1"/>
          <w:sz w:val="20"/>
          <w:szCs w:val="20"/>
        </w:rPr>
        <w:lastRenderedPageBreak/>
        <w:t>Program Opieka 75+:</w:t>
      </w:r>
    </w:p>
    <w:p w14:paraId="161793B5" w14:textId="123C6961" w:rsidR="008943C9" w:rsidRPr="008943C9" w:rsidRDefault="008943C9" w:rsidP="008943C9">
      <w:pPr>
        <w:spacing w:after="0" w:line="240" w:lineRule="auto"/>
        <w:jc w:val="both"/>
        <w:rPr>
          <w:rFonts w:ascii="Lato" w:hAnsi="Lato" w:cs="Arial"/>
          <w:bCs/>
          <w:color w:val="000000"/>
          <w:sz w:val="20"/>
          <w:szCs w:val="20"/>
        </w:rPr>
      </w:pPr>
      <w:r w:rsidRPr="008943C9">
        <w:rPr>
          <w:rFonts w:ascii="Lato" w:eastAsia="Times New Roman" w:hAnsi="Lato" w:cs="Arial"/>
          <w:color w:val="000000" w:themeColor="text1"/>
          <w:sz w:val="20"/>
          <w:szCs w:val="20"/>
        </w:rPr>
        <w:t xml:space="preserve"> „Opieka 75+” to program, którego </w:t>
      </w:r>
      <w:r w:rsidRPr="008943C9">
        <w:rPr>
          <w:rFonts w:ascii="Lato" w:hAnsi="Lato" w:cs="Arial"/>
          <w:bCs/>
          <w:color w:val="000000" w:themeColor="text1"/>
          <w:sz w:val="20"/>
          <w:szCs w:val="20"/>
        </w:rPr>
        <w:t xml:space="preserve">strategicznym celem jest poprawa dostępności do usług opiekuńczych, w tym specjalistycznych usług opiekuńczych, dla osób w wieku 75 lat i więcej. Środki finansowe z Programu „Opieka 75+” przeznaczone są na dofinansowanie usług opiekuńczych lub specjalistycznych usług opiekuńczych w wysokości 60% kosztów ich realizacji. </w:t>
      </w:r>
      <w:r w:rsidRPr="008943C9">
        <w:rPr>
          <w:rFonts w:ascii="Lato" w:hAnsi="Lato" w:cs="Arial"/>
          <w:bCs/>
          <w:color w:val="000000"/>
          <w:sz w:val="20"/>
          <w:szCs w:val="20"/>
        </w:rPr>
        <w:t xml:space="preserve">Wykaz gmin, które przystąpiły do realizacji  Programu Opieka 75+ w </w:t>
      </w:r>
      <w:r w:rsidRPr="008943C9">
        <w:rPr>
          <w:rStyle w:val="hgkelc"/>
          <w:rFonts w:ascii="Lato" w:hAnsi="Lato"/>
          <w:sz w:val="20"/>
          <w:szCs w:val="20"/>
        </w:rPr>
        <w:t>2022 r.</w:t>
      </w:r>
    </w:p>
    <w:p w14:paraId="3B9EE7D5" w14:textId="77777777" w:rsidR="00AD2B56" w:rsidRDefault="00AD2B56" w:rsidP="008943C9">
      <w:pPr>
        <w:spacing w:after="0" w:line="240" w:lineRule="auto"/>
        <w:jc w:val="both"/>
        <w:rPr>
          <w:rFonts w:ascii="Lato" w:hAnsi="Lato"/>
          <w:b/>
          <w:bCs/>
          <w:sz w:val="20"/>
          <w:szCs w:val="20"/>
        </w:rPr>
      </w:pPr>
    </w:p>
    <w:p w14:paraId="5A4478A3" w14:textId="0B14E4EC" w:rsidR="008943C9" w:rsidRPr="008943C9" w:rsidRDefault="008943C9" w:rsidP="008943C9">
      <w:pPr>
        <w:spacing w:after="0" w:line="240" w:lineRule="auto"/>
        <w:jc w:val="both"/>
        <w:rPr>
          <w:rFonts w:ascii="Lato" w:hAnsi="Lato"/>
          <w:b/>
          <w:bCs/>
          <w:sz w:val="20"/>
          <w:szCs w:val="20"/>
        </w:rPr>
      </w:pPr>
      <w:r w:rsidRPr="008943C9">
        <w:rPr>
          <w:rFonts w:ascii="Lato" w:hAnsi="Lato"/>
          <w:b/>
          <w:bCs/>
          <w:sz w:val="20"/>
          <w:szCs w:val="20"/>
        </w:rPr>
        <w:t>Uniwersytety Trzeciego Wieku:</w:t>
      </w:r>
    </w:p>
    <w:p w14:paraId="74BD2AE9" w14:textId="346F1DC4"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Dużą rolę w kształtowaniu i rozwijaniu działań edukacyjnych, kulturalnych i społecznych w życiu seniorów mają Uniwersytety Trzeciego Wieku. W województwie pomorskim powołano 24 UTW:</w:t>
      </w:r>
    </w:p>
    <w:p w14:paraId="18241E77" w14:textId="50AD8D86" w:rsidR="008943C9" w:rsidRPr="008943C9" w:rsidRDefault="008943C9" w:rsidP="0059185B">
      <w:pPr>
        <w:pStyle w:val="Akapitzlist"/>
        <w:numPr>
          <w:ilvl w:val="0"/>
          <w:numId w:val="97"/>
        </w:numPr>
        <w:suppressAutoHyphens/>
        <w:autoSpaceDN w:val="0"/>
        <w:spacing w:after="0" w:line="240" w:lineRule="auto"/>
        <w:jc w:val="both"/>
        <w:textAlignment w:val="baseline"/>
        <w:rPr>
          <w:rFonts w:ascii="Lato" w:hAnsi="Lato"/>
          <w:sz w:val="20"/>
          <w:szCs w:val="20"/>
        </w:rPr>
      </w:pPr>
      <w:r w:rsidRPr="008943C9">
        <w:rPr>
          <w:rFonts w:ascii="Lato" w:hAnsi="Lato"/>
          <w:sz w:val="20"/>
          <w:szCs w:val="20"/>
        </w:rPr>
        <w:t>Uniwersytet Trzeciego Wieku w Czersku;</w:t>
      </w:r>
    </w:p>
    <w:p w14:paraId="3CB16B69"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Wyższej Szkoły Turystyki i Hotelarstwa w Gdańsku;</w:t>
      </w:r>
    </w:p>
    <w:p w14:paraId="7D726D1D"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Gdański Uniwersytet Trzeciego Wieku;</w:t>
      </w:r>
    </w:p>
    <w:p w14:paraId="29D0E6CD"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 xml:space="preserve">Uniwersytet III Wieku Gdańsk, Akademia III Wieku Gdańsk, Wyższa Szkoła </w:t>
      </w:r>
      <w:proofErr w:type="spellStart"/>
      <w:r w:rsidRPr="008943C9">
        <w:rPr>
          <w:rFonts w:ascii="Lato" w:hAnsi="Lato"/>
          <w:sz w:val="20"/>
          <w:szCs w:val="20"/>
        </w:rPr>
        <w:t>Społeczno</w:t>
      </w:r>
      <w:proofErr w:type="spellEnd"/>
      <w:r w:rsidRPr="008943C9">
        <w:rPr>
          <w:rFonts w:ascii="Lato" w:hAnsi="Lato"/>
          <w:sz w:val="20"/>
          <w:szCs w:val="20"/>
        </w:rPr>
        <w:t xml:space="preserve"> – Ekonomiczna;</w:t>
      </w:r>
    </w:p>
    <w:p w14:paraId="4E33044A"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Ateneum – Szkoły Wyższej w Gdańsku;</w:t>
      </w:r>
    </w:p>
    <w:p w14:paraId="16385F1B"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Gdyński Uniwersytet Trzeciego Wieku;</w:t>
      </w:r>
    </w:p>
    <w:p w14:paraId="0BA54895"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Akademia Każdego Wieku w Gdyni;</w:t>
      </w:r>
    </w:p>
    <w:p w14:paraId="5EDE3154"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w Kościerzynie:</w:t>
      </w:r>
    </w:p>
    <w:p w14:paraId="0D173C02"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Stowarzyszenie Uniwersytet Trzeciego Wieku w Krokowej;</w:t>
      </w:r>
    </w:p>
    <w:p w14:paraId="4F65E00F"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w Łebie;</w:t>
      </w:r>
    </w:p>
    <w:p w14:paraId="1251764B"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w Malborku;</w:t>
      </w:r>
    </w:p>
    <w:p w14:paraId="5A33E2BA"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Stowarzyszenie Pelpliński Uniwersytet Trzeciego Wieku;</w:t>
      </w:r>
    </w:p>
    <w:p w14:paraId="138DDE5A"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przy Miejskiej Bibliotece Publicznej im. H. Derdowskiego;</w:t>
      </w:r>
    </w:p>
    <w:p w14:paraId="4497E1EF"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Stowarzyszenie Rumski Uniwersytet Trzeciego Wieku;</w:t>
      </w:r>
    </w:p>
    <w:p w14:paraId="11C3735B"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Słupski Uniwersytet Trzeciego Wieku przy Słupskim Ośrodku Kultury;</w:t>
      </w:r>
    </w:p>
    <w:p w14:paraId="122D2242"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Sopocki Uniwersytet Trzeciego Wieku przy Centrum Kształcenia Ustawicznego;</w:t>
      </w:r>
    </w:p>
    <w:p w14:paraId="6887FA4B"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„S-CENTRUM” w Starogardzie Gdańskim;</w:t>
      </w:r>
    </w:p>
    <w:p w14:paraId="4399F18D"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Ustecki Uniwersytet Trzeciego Wieku „ ŻYJ KOLOROWO”;</w:t>
      </w:r>
    </w:p>
    <w:p w14:paraId="03D4940E"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Stowarzyszenie Akademia Trzeciego Wieku w Wejherowie;</w:t>
      </w:r>
    </w:p>
    <w:p w14:paraId="0D408ACC"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Filia Pruszcz Gdański;</w:t>
      </w:r>
    </w:p>
    <w:p w14:paraId="00195FF2"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Gdańska Akademia Seniora;</w:t>
      </w:r>
    </w:p>
    <w:p w14:paraId="6882845A"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Akademia Umiejętności Uniwersytet Trzeciego Wieku w Kartuzach;</w:t>
      </w:r>
    </w:p>
    <w:p w14:paraId="721C6ECC"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Uniwersytet Trzeciego Wieku w Tczewie;</w:t>
      </w:r>
    </w:p>
    <w:p w14:paraId="7EFE6782" w14:textId="77777777" w:rsidR="008943C9" w:rsidRPr="008943C9" w:rsidRDefault="008943C9" w:rsidP="0059185B">
      <w:pPr>
        <w:pStyle w:val="Akapitzlist"/>
        <w:numPr>
          <w:ilvl w:val="0"/>
          <w:numId w:val="97"/>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Psychologiczny Uniwersytet Trzeciego Wieku.</w:t>
      </w:r>
    </w:p>
    <w:p w14:paraId="6B755E95" w14:textId="77777777" w:rsidR="008943C9" w:rsidRPr="008943C9" w:rsidRDefault="008943C9" w:rsidP="008943C9">
      <w:pPr>
        <w:suppressAutoHyphens/>
        <w:autoSpaceDN w:val="0"/>
        <w:spacing w:after="0" w:line="240" w:lineRule="auto"/>
        <w:jc w:val="both"/>
        <w:textAlignment w:val="baseline"/>
        <w:rPr>
          <w:rFonts w:ascii="Lato" w:hAnsi="Lato"/>
          <w:sz w:val="20"/>
          <w:szCs w:val="20"/>
        </w:rPr>
      </w:pPr>
    </w:p>
    <w:p w14:paraId="10BA722B" w14:textId="7E2E61FE" w:rsidR="008943C9" w:rsidRPr="008943C9" w:rsidRDefault="008943C9" w:rsidP="008943C9">
      <w:pPr>
        <w:pStyle w:val="Standard"/>
        <w:jc w:val="both"/>
        <w:rPr>
          <w:rFonts w:ascii="Lato" w:hAnsi="Lato" w:cs="Times New Roman"/>
          <w:sz w:val="20"/>
          <w:szCs w:val="20"/>
          <w:lang w:val="pl-PL"/>
        </w:rPr>
      </w:pPr>
      <w:r w:rsidRPr="008943C9">
        <w:rPr>
          <w:rFonts w:ascii="Lato" w:hAnsi="Lato" w:cs="Times New Roman"/>
          <w:sz w:val="20"/>
          <w:szCs w:val="20"/>
          <w:lang w:val="pl-PL"/>
        </w:rPr>
        <w:t>W Gminie Dzierzgoń odbywają się spotkania międzypokoleniowe z młodzieżą z Liceum Ogólnokształcącego w Dzierzgoniu i Szkoły Podstawowej w Dzierzgoniu. Odbywa się wspólne czytanie literatury, śpiewanie przy gitarze oraz rozmowy na różne tematy.</w:t>
      </w:r>
    </w:p>
    <w:p w14:paraId="5BBA8ECC" w14:textId="77777777" w:rsidR="008943C9" w:rsidRPr="008943C9" w:rsidRDefault="008943C9" w:rsidP="008943C9">
      <w:pPr>
        <w:spacing w:after="0" w:line="240" w:lineRule="auto"/>
        <w:jc w:val="both"/>
        <w:rPr>
          <w:rFonts w:ascii="Lato" w:hAnsi="Lato"/>
          <w:b/>
          <w:bCs/>
          <w:sz w:val="20"/>
          <w:szCs w:val="20"/>
          <w:u w:val="single"/>
          <w:lang w:val="de-DE"/>
        </w:rPr>
      </w:pPr>
    </w:p>
    <w:p w14:paraId="1E81B4F1" w14:textId="77777777"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 xml:space="preserve">W Gminie Miejskiej Tczew w zakresie przeciwdziałania dyskryminacji ze względu na wiek, powstał program </w:t>
      </w:r>
      <w:proofErr w:type="spellStart"/>
      <w:r w:rsidRPr="008943C9">
        <w:rPr>
          <w:rFonts w:ascii="Lato" w:hAnsi="Lato"/>
          <w:sz w:val="20"/>
          <w:szCs w:val="20"/>
        </w:rPr>
        <w:t>pt</w:t>
      </w:r>
      <w:proofErr w:type="spellEnd"/>
      <w:r w:rsidRPr="008943C9">
        <w:rPr>
          <w:rFonts w:ascii="Lato" w:hAnsi="Lato"/>
          <w:sz w:val="20"/>
          <w:szCs w:val="20"/>
        </w:rPr>
        <w:t xml:space="preserve">: „Mój czas dla seniora”. Seniorzy wspólnie spędzają czas z innymi mieszkańcami gminy, dzięki temu integrują się - w szczególności - z dziećmi i młodzieżą.  </w:t>
      </w:r>
    </w:p>
    <w:p w14:paraId="71074E46" w14:textId="77777777" w:rsidR="008943C9" w:rsidRPr="008943C9" w:rsidRDefault="008943C9" w:rsidP="008943C9">
      <w:pPr>
        <w:spacing w:after="0" w:line="240" w:lineRule="auto"/>
        <w:jc w:val="both"/>
        <w:rPr>
          <w:rFonts w:ascii="Lato" w:hAnsi="Lato"/>
          <w:sz w:val="20"/>
          <w:szCs w:val="20"/>
        </w:rPr>
      </w:pPr>
    </w:p>
    <w:p w14:paraId="0CFC30F1" w14:textId="77777777" w:rsidR="008943C9" w:rsidRPr="008943C9" w:rsidRDefault="008943C9" w:rsidP="008943C9">
      <w:pPr>
        <w:spacing w:after="0" w:line="240" w:lineRule="auto"/>
        <w:jc w:val="both"/>
        <w:rPr>
          <w:rFonts w:ascii="Lato" w:hAnsi="Lato"/>
          <w:sz w:val="20"/>
          <w:szCs w:val="20"/>
        </w:rPr>
      </w:pPr>
      <w:r w:rsidRPr="008943C9">
        <w:rPr>
          <w:rFonts w:ascii="Lato" w:hAnsi="Lato"/>
          <w:sz w:val="20"/>
          <w:szCs w:val="20"/>
        </w:rPr>
        <w:t>W wielu gminach i powiatach seniorzy mają możliwość ze skorzystania z form wsparcia         z zakresu prawa, edukacji i sportu:</w:t>
      </w:r>
    </w:p>
    <w:p w14:paraId="41EE57A8" w14:textId="42F70D51" w:rsidR="008943C9" w:rsidRPr="008943C9" w:rsidRDefault="008943C9" w:rsidP="0059185B">
      <w:pPr>
        <w:pStyle w:val="Akapitzlist"/>
        <w:numPr>
          <w:ilvl w:val="0"/>
          <w:numId w:val="96"/>
        </w:numPr>
        <w:suppressAutoHyphens/>
        <w:autoSpaceDN w:val="0"/>
        <w:spacing w:after="0" w:line="240" w:lineRule="auto"/>
        <w:jc w:val="both"/>
        <w:textAlignment w:val="baseline"/>
        <w:rPr>
          <w:rFonts w:ascii="Lato" w:hAnsi="Lato"/>
          <w:sz w:val="20"/>
          <w:szCs w:val="20"/>
        </w:rPr>
      </w:pPr>
      <w:r w:rsidRPr="008943C9">
        <w:rPr>
          <w:rFonts w:ascii="Lato" w:hAnsi="Lato"/>
          <w:sz w:val="20"/>
          <w:szCs w:val="20"/>
        </w:rPr>
        <w:t>Porady prawne dla seniorów;</w:t>
      </w:r>
    </w:p>
    <w:p w14:paraId="6FA59428" w14:textId="77777777" w:rsidR="008943C9" w:rsidRPr="008943C9" w:rsidRDefault="008943C9" w:rsidP="0059185B">
      <w:pPr>
        <w:pStyle w:val="Akapitzlist"/>
        <w:numPr>
          <w:ilvl w:val="0"/>
          <w:numId w:val="96"/>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Możliwość uczestniczenia w zajęciach na Uniwersytecie III Wieku;</w:t>
      </w:r>
    </w:p>
    <w:p w14:paraId="3E31B15A" w14:textId="77777777" w:rsidR="008943C9" w:rsidRPr="008943C9" w:rsidRDefault="008943C9" w:rsidP="0059185B">
      <w:pPr>
        <w:pStyle w:val="Akapitzlist"/>
        <w:numPr>
          <w:ilvl w:val="0"/>
          <w:numId w:val="96"/>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Nauka języków obcych (np. język angielski, język niemiecki);</w:t>
      </w:r>
    </w:p>
    <w:p w14:paraId="136D960D" w14:textId="77777777" w:rsidR="008943C9" w:rsidRPr="008943C9" w:rsidRDefault="008943C9" w:rsidP="0059185B">
      <w:pPr>
        <w:pStyle w:val="Akapitzlist"/>
        <w:numPr>
          <w:ilvl w:val="0"/>
          <w:numId w:val="96"/>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 xml:space="preserve">Zajęcia </w:t>
      </w:r>
      <w:proofErr w:type="spellStart"/>
      <w:r w:rsidRPr="008943C9">
        <w:rPr>
          <w:rFonts w:ascii="Lato" w:hAnsi="Lato"/>
          <w:sz w:val="20"/>
          <w:szCs w:val="20"/>
        </w:rPr>
        <w:t>nordic</w:t>
      </w:r>
      <w:proofErr w:type="spellEnd"/>
      <w:r w:rsidRPr="008943C9">
        <w:rPr>
          <w:rFonts w:ascii="Lato" w:hAnsi="Lato"/>
          <w:sz w:val="20"/>
          <w:szCs w:val="20"/>
        </w:rPr>
        <w:t xml:space="preserve"> </w:t>
      </w:r>
      <w:proofErr w:type="spellStart"/>
      <w:r w:rsidRPr="008943C9">
        <w:rPr>
          <w:rFonts w:ascii="Lato" w:hAnsi="Lato"/>
          <w:sz w:val="20"/>
          <w:szCs w:val="20"/>
        </w:rPr>
        <w:t>walking</w:t>
      </w:r>
      <w:proofErr w:type="spellEnd"/>
      <w:r w:rsidRPr="008943C9">
        <w:rPr>
          <w:rFonts w:ascii="Lato" w:hAnsi="Lato"/>
          <w:sz w:val="20"/>
          <w:szCs w:val="20"/>
        </w:rPr>
        <w:t>, zajęcia wspierające aktywność sportową;</w:t>
      </w:r>
    </w:p>
    <w:p w14:paraId="6E2227B8" w14:textId="77777777" w:rsidR="008943C9" w:rsidRPr="008943C9" w:rsidRDefault="008943C9" w:rsidP="0059185B">
      <w:pPr>
        <w:pStyle w:val="Akapitzlist"/>
        <w:numPr>
          <w:ilvl w:val="0"/>
          <w:numId w:val="96"/>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Warsztaty komputerowe i przeciwdziałanie wykluczeniu cyfrowemu;</w:t>
      </w:r>
    </w:p>
    <w:p w14:paraId="2F5AA41F" w14:textId="6F488A85" w:rsidR="008943C9" w:rsidRDefault="008943C9" w:rsidP="0059185B">
      <w:pPr>
        <w:pStyle w:val="Akapitzlist"/>
        <w:numPr>
          <w:ilvl w:val="0"/>
          <w:numId w:val="96"/>
        </w:numPr>
        <w:suppressAutoHyphens/>
        <w:autoSpaceDN w:val="0"/>
        <w:spacing w:after="0" w:line="240" w:lineRule="auto"/>
        <w:contextualSpacing w:val="0"/>
        <w:jc w:val="both"/>
        <w:textAlignment w:val="baseline"/>
        <w:rPr>
          <w:rFonts w:ascii="Lato" w:hAnsi="Lato"/>
          <w:sz w:val="20"/>
          <w:szCs w:val="20"/>
        </w:rPr>
      </w:pPr>
      <w:r w:rsidRPr="008943C9">
        <w:rPr>
          <w:rFonts w:ascii="Lato" w:hAnsi="Lato"/>
          <w:sz w:val="20"/>
          <w:szCs w:val="20"/>
        </w:rPr>
        <w:t>Wycieczki.</w:t>
      </w:r>
    </w:p>
    <w:p w14:paraId="77222EF3" w14:textId="77777777" w:rsidR="008943C9" w:rsidRPr="004A7CFE" w:rsidRDefault="008943C9" w:rsidP="004A7CFE">
      <w:pPr>
        <w:spacing w:after="0" w:line="240" w:lineRule="auto"/>
        <w:jc w:val="both"/>
        <w:rPr>
          <w:rFonts w:ascii="Lato" w:hAnsi="Lato"/>
          <w:sz w:val="20"/>
          <w:szCs w:val="20"/>
        </w:rPr>
      </w:pPr>
    </w:p>
    <w:p w14:paraId="675EDA17" w14:textId="5D2C48E5" w:rsidR="008943C9" w:rsidRPr="004A7CFE" w:rsidRDefault="008943C9" w:rsidP="008943C9">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3CE18C48" w14:textId="2786E272" w:rsidR="008943C9" w:rsidRPr="008943C9" w:rsidRDefault="008943C9" w:rsidP="008943C9">
      <w:pPr>
        <w:spacing w:after="0" w:line="240" w:lineRule="auto"/>
        <w:jc w:val="both"/>
        <w:rPr>
          <w:rFonts w:ascii="Lato" w:hAnsi="Lato" w:cs="Calibri"/>
          <w:b/>
          <w:sz w:val="20"/>
          <w:szCs w:val="20"/>
        </w:rPr>
      </w:pPr>
      <w:r w:rsidRPr="008943C9">
        <w:rPr>
          <w:rFonts w:ascii="Lato" w:hAnsi="Lato" w:cs="Calibri"/>
          <w:b/>
          <w:sz w:val="20"/>
          <w:szCs w:val="20"/>
        </w:rPr>
        <w:t>Miasto</w:t>
      </w:r>
      <w:r>
        <w:rPr>
          <w:rFonts w:ascii="Lato" w:hAnsi="Lato" w:cs="Calibri"/>
          <w:b/>
          <w:sz w:val="20"/>
          <w:szCs w:val="20"/>
        </w:rPr>
        <w:t xml:space="preserve"> </w:t>
      </w:r>
      <w:r w:rsidRPr="008943C9">
        <w:rPr>
          <w:rFonts w:ascii="Lato" w:hAnsi="Lato" w:cs="Calibri"/>
          <w:b/>
          <w:sz w:val="20"/>
          <w:szCs w:val="20"/>
        </w:rPr>
        <w:t>Tczew:</w:t>
      </w:r>
    </w:p>
    <w:p w14:paraId="3A0F4F94" w14:textId="77777777" w:rsidR="008943C9" w:rsidRPr="008943C9" w:rsidRDefault="008943C9" w:rsidP="008943C9">
      <w:pPr>
        <w:suppressAutoHyphens/>
        <w:autoSpaceDN w:val="0"/>
        <w:spacing w:after="0" w:line="240" w:lineRule="auto"/>
        <w:jc w:val="both"/>
        <w:textAlignment w:val="baseline"/>
        <w:rPr>
          <w:rFonts w:ascii="Lato" w:hAnsi="Lato" w:cs="Calibri"/>
          <w:sz w:val="20"/>
          <w:szCs w:val="20"/>
        </w:rPr>
      </w:pPr>
      <w:r w:rsidRPr="008943C9">
        <w:rPr>
          <w:rFonts w:ascii="Lato" w:hAnsi="Lato" w:cs="Calibri"/>
          <w:sz w:val="20"/>
          <w:szCs w:val="20"/>
        </w:rPr>
        <w:t xml:space="preserve">„Mój czas dla seniora” - Zrekrutowani do projektu wolontariusze poprzez czynne włączenie w działania na rzecz osób w wieku emerytalnym przeciwdziałali samotności i izolacji społecznej seniorów, wzmacniali </w:t>
      </w:r>
      <w:r w:rsidRPr="008943C9">
        <w:rPr>
          <w:rFonts w:ascii="Lato" w:hAnsi="Lato" w:cs="Calibri"/>
          <w:sz w:val="20"/>
          <w:szCs w:val="20"/>
        </w:rPr>
        <w:lastRenderedPageBreak/>
        <w:t xml:space="preserve">także kompetencje oraz aktywność społeczną seniora. Wolontariusz towarzyszył osobie starszej w codziennych czynnościach takich jak: zakupy, wizyta u lekarza, wyjście do kościoła, spędzali wspólnie czas na spacerze, wolontariusz pomagał załatwić niezbędne sprawy urzędowe. Podopieczni otrzymywali materiały do zajęć edukacyjnych takie jak: łamigłówki, gry, krzyżówki, zadania do samodzielnego przeczytania i wykonania. </w:t>
      </w:r>
    </w:p>
    <w:p w14:paraId="3246180A" w14:textId="77777777" w:rsidR="008943C9" w:rsidRDefault="008943C9" w:rsidP="008943C9">
      <w:pPr>
        <w:suppressAutoHyphens/>
        <w:autoSpaceDN w:val="0"/>
        <w:spacing w:after="0" w:line="240" w:lineRule="auto"/>
        <w:jc w:val="both"/>
        <w:textAlignment w:val="baseline"/>
        <w:rPr>
          <w:rFonts w:ascii="Lato" w:hAnsi="Lato" w:cs="Calibri"/>
          <w:sz w:val="20"/>
          <w:szCs w:val="20"/>
        </w:rPr>
      </w:pPr>
    </w:p>
    <w:p w14:paraId="786CA8B2" w14:textId="5014351A" w:rsidR="008943C9" w:rsidRPr="008943C9" w:rsidRDefault="008943C9" w:rsidP="008943C9">
      <w:pPr>
        <w:suppressAutoHyphens/>
        <w:autoSpaceDN w:val="0"/>
        <w:spacing w:after="0" w:line="240" w:lineRule="auto"/>
        <w:jc w:val="both"/>
        <w:textAlignment w:val="baseline"/>
        <w:rPr>
          <w:rFonts w:ascii="Lato" w:hAnsi="Lato" w:cs="Calibri"/>
          <w:sz w:val="20"/>
          <w:szCs w:val="20"/>
        </w:rPr>
      </w:pPr>
      <w:r w:rsidRPr="008943C9">
        <w:rPr>
          <w:rFonts w:ascii="Lato" w:hAnsi="Lato" w:cs="Calibri"/>
          <w:sz w:val="20"/>
          <w:szCs w:val="20"/>
        </w:rPr>
        <w:t xml:space="preserve">„Ścieżki zdrowia 50+” – cotygodniowe zajęcia rehabilitacji dla osób 50+. Projekt wdrażał skuteczne i sprawdzone metody pobudzania do aktywności fizycznej osób starszych, usprawniające układ oddechowo-krążeniowy oraz układ ruchu poprzez ćwiczenia oddechowe i uruchamiające stawy i grupy mięśniowe. </w:t>
      </w:r>
    </w:p>
    <w:p w14:paraId="7B909CE3" w14:textId="77777777" w:rsidR="008943C9" w:rsidRPr="008943C9" w:rsidRDefault="008943C9" w:rsidP="008943C9">
      <w:pPr>
        <w:pStyle w:val="Akapitzlist"/>
        <w:spacing w:after="0" w:line="240" w:lineRule="auto"/>
        <w:jc w:val="both"/>
        <w:rPr>
          <w:rFonts w:ascii="Lato" w:hAnsi="Lato" w:cs="Calibri"/>
          <w:b/>
          <w:sz w:val="20"/>
          <w:szCs w:val="20"/>
          <w:u w:val="single"/>
        </w:rPr>
      </w:pPr>
    </w:p>
    <w:p w14:paraId="75DFA3C7" w14:textId="3370DA0C" w:rsidR="008943C9" w:rsidRPr="008943C9" w:rsidRDefault="008943C9" w:rsidP="008943C9">
      <w:pPr>
        <w:suppressAutoHyphens/>
        <w:autoSpaceDN w:val="0"/>
        <w:spacing w:after="0" w:line="240" w:lineRule="auto"/>
        <w:jc w:val="both"/>
        <w:textAlignment w:val="baseline"/>
        <w:rPr>
          <w:rFonts w:ascii="Lato" w:hAnsi="Lato" w:cs="Calibri"/>
          <w:sz w:val="20"/>
          <w:szCs w:val="20"/>
        </w:rPr>
      </w:pPr>
      <w:r w:rsidRPr="008943C9">
        <w:rPr>
          <w:rFonts w:ascii="Lato" w:hAnsi="Lato" w:cs="Calibri"/>
          <w:b/>
          <w:sz w:val="20"/>
          <w:szCs w:val="20"/>
        </w:rPr>
        <w:t>Gmina Dzierzgoń:</w:t>
      </w:r>
      <w:r w:rsidRPr="008943C9">
        <w:rPr>
          <w:rFonts w:ascii="Lato" w:hAnsi="Lato" w:cs="Calibri"/>
          <w:sz w:val="20"/>
          <w:szCs w:val="20"/>
        </w:rPr>
        <w:tab/>
      </w:r>
    </w:p>
    <w:p w14:paraId="172D3CE4" w14:textId="77777777" w:rsidR="008943C9" w:rsidRPr="008943C9" w:rsidRDefault="008943C9" w:rsidP="008943C9">
      <w:pPr>
        <w:pStyle w:val="Akapitzlist"/>
        <w:spacing w:after="0" w:line="240" w:lineRule="auto"/>
        <w:ind w:left="0"/>
        <w:jc w:val="both"/>
        <w:rPr>
          <w:rFonts w:ascii="Lato" w:hAnsi="Lato" w:cs="Calibri"/>
          <w:sz w:val="20"/>
          <w:szCs w:val="20"/>
        </w:rPr>
      </w:pPr>
      <w:r w:rsidRPr="008943C9">
        <w:rPr>
          <w:rFonts w:ascii="Lato" w:hAnsi="Lato" w:cs="Calibri"/>
          <w:sz w:val="20"/>
          <w:szCs w:val="20"/>
        </w:rPr>
        <w:t>Seniorzy z gminy Dzierzgoń w ramach wolontariatu wspomagali pracowników MOPS w prowadzeniu punktu nieodpłatnej pomocy uchodźcom z Ukrainy, wydawali żywność, ubrania, środki czystości i inne rzeczy przekazane przez darczyńców. Poczucie bycia potrzebnym i pobudzenie aktywności tej grupy pomogło podnieść poczucie własnej wartości wśród seniorów.</w:t>
      </w:r>
    </w:p>
    <w:p w14:paraId="3D85ADD3" w14:textId="77777777" w:rsidR="008943C9" w:rsidRPr="008943C9" w:rsidRDefault="008943C9" w:rsidP="008943C9">
      <w:pPr>
        <w:pStyle w:val="Akapitzlist"/>
        <w:spacing w:after="0" w:line="240" w:lineRule="auto"/>
        <w:ind w:left="345"/>
        <w:jc w:val="both"/>
        <w:rPr>
          <w:rFonts w:ascii="Lato" w:hAnsi="Lato" w:cs="Calibri"/>
          <w:bCs/>
          <w:sz w:val="20"/>
          <w:szCs w:val="20"/>
          <w:u w:val="single"/>
        </w:rPr>
      </w:pPr>
    </w:p>
    <w:p w14:paraId="4C6A5DEE" w14:textId="6BA0BBF8" w:rsidR="008943C9" w:rsidRPr="008943C9" w:rsidRDefault="008943C9" w:rsidP="008943C9">
      <w:pPr>
        <w:suppressAutoHyphens/>
        <w:autoSpaceDN w:val="0"/>
        <w:spacing w:after="0" w:line="240" w:lineRule="auto"/>
        <w:jc w:val="both"/>
        <w:textAlignment w:val="baseline"/>
        <w:rPr>
          <w:rFonts w:ascii="Lato" w:hAnsi="Lato"/>
          <w:b/>
          <w:bCs/>
          <w:sz w:val="20"/>
          <w:szCs w:val="20"/>
        </w:rPr>
      </w:pPr>
      <w:r w:rsidRPr="008943C9">
        <w:rPr>
          <w:rFonts w:ascii="Lato" w:hAnsi="Lato"/>
          <w:b/>
          <w:bCs/>
          <w:sz w:val="20"/>
          <w:szCs w:val="20"/>
        </w:rPr>
        <w:t>Gmina Sztum:</w:t>
      </w:r>
    </w:p>
    <w:p w14:paraId="182338A8" w14:textId="1058037F" w:rsidR="008943C9" w:rsidRPr="008943C9" w:rsidRDefault="008943C9" w:rsidP="008943C9">
      <w:pPr>
        <w:suppressAutoHyphens/>
        <w:autoSpaceDN w:val="0"/>
        <w:spacing w:after="0" w:line="240" w:lineRule="auto"/>
        <w:jc w:val="both"/>
        <w:textAlignment w:val="baseline"/>
        <w:rPr>
          <w:rFonts w:ascii="Lato" w:hAnsi="Lato"/>
          <w:sz w:val="20"/>
          <w:szCs w:val="20"/>
        </w:rPr>
      </w:pPr>
      <w:r w:rsidRPr="008943C9">
        <w:rPr>
          <w:rFonts w:ascii="Lato" w:hAnsi="Lato"/>
          <w:sz w:val="20"/>
          <w:szCs w:val="20"/>
        </w:rPr>
        <w:t>Od października 2010 roku Miejsko-Gminny Ośrodek Pomocy Społecznej z inicjatywy Burmistrza Miasta i Gminy Sztum realizuje projekt pn. „Kawa dla seniora”. Projekt zachęca osoby powyżej 60 roku życia do wyjścia z domu, spotkań ze znajomymi oraz integracji ze społecznością lokalną. Seniorzy na podstawie dowodu osobistego otrzymują w siedzibie Miejsko-Gminnego Ośrodka Pomocy Społecznej w Sztumie zaproszenie/bon na kawę/herbatę za symboliczną złotówkę, z których mogą skorzystać w lokalach biorących udział w projekcie. Do dnia 31.12.2022 roku z zaproszenia skorzystało 216 osób.</w:t>
      </w:r>
    </w:p>
    <w:p w14:paraId="347A5FC0" w14:textId="77777777" w:rsidR="008943C9" w:rsidRDefault="008943C9" w:rsidP="008943C9">
      <w:pPr>
        <w:suppressAutoHyphens/>
        <w:autoSpaceDN w:val="0"/>
        <w:spacing w:after="0" w:line="240" w:lineRule="auto"/>
        <w:jc w:val="both"/>
        <w:textAlignment w:val="baseline"/>
        <w:rPr>
          <w:rFonts w:ascii="Lato" w:hAnsi="Lato"/>
          <w:b/>
          <w:sz w:val="20"/>
          <w:szCs w:val="20"/>
        </w:rPr>
      </w:pPr>
    </w:p>
    <w:p w14:paraId="1A4144B9" w14:textId="54E6C758" w:rsidR="008943C9" w:rsidRPr="008943C9" w:rsidRDefault="008943C9" w:rsidP="008943C9">
      <w:pPr>
        <w:suppressAutoHyphens/>
        <w:autoSpaceDN w:val="0"/>
        <w:spacing w:after="0" w:line="240" w:lineRule="auto"/>
        <w:jc w:val="both"/>
        <w:textAlignment w:val="baseline"/>
        <w:rPr>
          <w:rFonts w:ascii="Lato" w:hAnsi="Lato"/>
          <w:sz w:val="20"/>
          <w:szCs w:val="20"/>
        </w:rPr>
      </w:pPr>
      <w:r w:rsidRPr="008943C9">
        <w:rPr>
          <w:rFonts w:ascii="Lato" w:hAnsi="Lato"/>
          <w:b/>
          <w:sz w:val="20"/>
          <w:szCs w:val="20"/>
        </w:rPr>
        <w:t>Asystent osoby starszej.</w:t>
      </w:r>
      <w:r w:rsidRPr="008943C9">
        <w:rPr>
          <w:rFonts w:ascii="Lato" w:hAnsi="Lato"/>
          <w:sz w:val="20"/>
          <w:szCs w:val="20"/>
        </w:rPr>
        <w:t xml:space="preserve"> Od miesiąca stycznia 2022 r. do grudnia 2022 r. świadczono wsparcie w formie asystenta osoby starszej dla 6 osób. Celem działania było m.in. wspieranie osób starszych w aktywnym pełnieniu ról społecznych, uczestnictwie w wydarzeniach kulturalnych oraz zapobieganie izolacji poprzez tworzenie i wzmacnianie relacji sąsiedzkich oraz wspólne organizowanie czasu wolnego, aby utrzymać aktywność seniorów w życiu społecznym. Wsparcie zrealizowane zostało w łącznym wymiarze 720 h w ramach projektu pn. „Siła Współpracy – rozwój usług społecznych w Mieście i Gminie Sztum” współfinansowanego ze środków Europejskiego Funduszu Społecznego w ramach RPO WP na lata 2014-2020.</w:t>
      </w:r>
    </w:p>
    <w:p w14:paraId="54F62FD1" w14:textId="77777777" w:rsidR="008943C9" w:rsidRPr="008943C9" w:rsidRDefault="008943C9" w:rsidP="008943C9">
      <w:pPr>
        <w:spacing w:after="0" w:line="240" w:lineRule="auto"/>
        <w:jc w:val="both"/>
        <w:rPr>
          <w:rFonts w:ascii="Lato" w:hAnsi="Lato"/>
          <w:b/>
          <w:bCs/>
          <w:sz w:val="20"/>
          <w:szCs w:val="20"/>
          <w:u w:val="single"/>
        </w:rPr>
      </w:pPr>
    </w:p>
    <w:p w14:paraId="1255F731" w14:textId="20976B3D" w:rsidR="008943C9" w:rsidRPr="008943C9" w:rsidRDefault="008943C9" w:rsidP="008943C9">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06F8DFFB" w14:textId="77777777" w:rsidR="008943C9" w:rsidRPr="008943C9" w:rsidRDefault="008943C9" w:rsidP="008943C9">
      <w:pPr>
        <w:spacing w:after="0" w:line="240" w:lineRule="auto"/>
        <w:jc w:val="both"/>
        <w:rPr>
          <w:rFonts w:ascii="Lato" w:hAnsi="Lato"/>
          <w:b/>
          <w:bCs/>
          <w:sz w:val="20"/>
          <w:szCs w:val="20"/>
        </w:rPr>
      </w:pPr>
      <w:r w:rsidRPr="008943C9">
        <w:rPr>
          <w:rFonts w:ascii="Lato" w:hAnsi="Lato"/>
          <w:b/>
          <w:bCs/>
          <w:sz w:val="20"/>
          <w:szCs w:val="20"/>
        </w:rPr>
        <w:t>Gmina Kobylnica:</w:t>
      </w:r>
    </w:p>
    <w:p w14:paraId="14B5571C" w14:textId="77777777" w:rsidR="008943C9" w:rsidRPr="008943C9" w:rsidRDefault="008943C9" w:rsidP="008943C9">
      <w:pPr>
        <w:spacing w:after="0" w:line="240" w:lineRule="auto"/>
        <w:jc w:val="both"/>
        <w:rPr>
          <w:rFonts w:ascii="Lato" w:hAnsi="Lato"/>
          <w:bCs/>
          <w:sz w:val="20"/>
          <w:szCs w:val="20"/>
        </w:rPr>
      </w:pPr>
      <w:r w:rsidRPr="008943C9">
        <w:rPr>
          <w:rFonts w:ascii="Lato" w:hAnsi="Lato"/>
          <w:bCs/>
          <w:sz w:val="20"/>
          <w:szCs w:val="20"/>
        </w:rPr>
        <w:t xml:space="preserve">Działalność Gminnej Biblioteki Publicznej w Kobylnicy: </w:t>
      </w:r>
    </w:p>
    <w:p w14:paraId="07602E7F" w14:textId="77777777" w:rsidR="008943C9" w:rsidRDefault="008943C9" w:rsidP="0059185B">
      <w:pPr>
        <w:pStyle w:val="Akapitzlist"/>
        <w:numPr>
          <w:ilvl w:val="0"/>
          <w:numId w:val="98"/>
        </w:numPr>
        <w:suppressAutoHyphens/>
        <w:autoSpaceDN w:val="0"/>
        <w:spacing w:after="0" w:line="240" w:lineRule="auto"/>
        <w:jc w:val="both"/>
        <w:textAlignment w:val="baseline"/>
        <w:rPr>
          <w:rFonts w:ascii="Lato" w:hAnsi="Lato"/>
          <w:bCs/>
          <w:sz w:val="20"/>
          <w:szCs w:val="20"/>
        </w:rPr>
      </w:pPr>
      <w:r w:rsidRPr="008943C9">
        <w:rPr>
          <w:rFonts w:ascii="Lato" w:hAnsi="Lato"/>
          <w:bCs/>
          <w:sz w:val="20"/>
          <w:szCs w:val="20"/>
        </w:rPr>
        <w:t>Filia w Kwakowie – likwidacja barier architektonicznych w budynku.</w:t>
      </w:r>
    </w:p>
    <w:p w14:paraId="035CA559" w14:textId="77777777" w:rsidR="008943C9" w:rsidRDefault="008943C9" w:rsidP="0059185B">
      <w:pPr>
        <w:pStyle w:val="Akapitzlist"/>
        <w:numPr>
          <w:ilvl w:val="0"/>
          <w:numId w:val="98"/>
        </w:numPr>
        <w:suppressAutoHyphens/>
        <w:autoSpaceDN w:val="0"/>
        <w:spacing w:after="0" w:line="240" w:lineRule="auto"/>
        <w:jc w:val="both"/>
        <w:textAlignment w:val="baseline"/>
        <w:rPr>
          <w:rFonts w:ascii="Lato" w:hAnsi="Lato"/>
          <w:bCs/>
          <w:sz w:val="20"/>
          <w:szCs w:val="20"/>
        </w:rPr>
      </w:pPr>
      <w:r w:rsidRPr="008943C9">
        <w:rPr>
          <w:rFonts w:ascii="Lato" w:hAnsi="Lato"/>
          <w:bCs/>
          <w:sz w:val="20"/>
          <w:szCs w:val="20"/>
        </w:rPr>
        <w:t xml:space="preserve">Filia w Sycewie – Pracownia Wielojęzyczności, umożliwiająca bezpłatną naukę języków obcych. Stanowisko komputerowe wyposażone w oprogramowanie </w:t>
      </w:r>
      <w:proofErr w:type="spellStart"/>
      <w:r w:rsidRPr="008943C9">
        <w:rPr>
          <w:rFonts w:ascii="Lato" w:hAnsi="Lato"/>
          <w:bCs/>
          <w:sz w:val="20"/>
          <w:szCs w:val="20"/>
        </w:rPr>
        <w:t>SuperNowa</w:t>
      </w:r>
      <w:proofErr w:type="spellEnd"/>
      <w:r w:rsidRPr="008943C9">
        <w:rPr>
          <w:rFonts w:ascii="Lato" w:hAnsi="Lato"/>
          <w:bCs/>
          <w:sz w:val="20"/>
          <w:szCs w:val="20"/>
        </w:rPr>
        <w:t xml:space="preserve"> Powiększająca i Mówiąca, umożliwiające m.in. powiększanie tekstu i specjalne kontrastowanie ułatwiające odczyt z ekranu.</w:t>
      </w:r>
    </w:p>
    <w:p w14:paraId="5F154F3A" w14:textId="10A41F97" w:rsidR="008943C9" w:rsidRPr="008943C9" w:rsidRDefault="008943C9" w:rsidP="0059185B">
      <w:pPr>
        <w:pStyle w:val="Akapitzlist"/>
        <w:numPr>
          <w:ilvl w:val="0"/>
          <w:numId w:val="98"/>
        </w:numPr>
        <w:suppressAutoHyphens/>
        <w:autoSpaceDN w:val="0"/>
        <w:spacing w:after="0" w:line="240" w:lineRule="auto"/>
        <w:jc w:val="both"/>
        <w:textAlignment w:val="baseline"/>
        <w:rPr>
          <w:rFonts w:ascii="Lato" w:hAnsi="Lato"/>
          <w:bCs/>
          <w:sz w:val="20"/>
          <w:szCs w:val="20"/>
        </w:rPr>
      </w:pPr>
      <w:r w:rsidRPr="008943C9">
        <w:rPr>
          <w:rFonts w:ascii="Lato" w:hAnsi="Lato"/>
          <w:bCs/>
          <w:sz w:val="20"/>
          <w:szCs w:val="20"/>
        </w:rPr>
        <w:t>Mobilna biblioteka dojeżdżająca do wszystkich sołectw.</w:t>
      </w:r>
    </w:p>
    <w:p w14:paraId="4F8D4DCB" w14:textId="77777777" w:rsidR="008943C9" w:rsidRPr="008943C9" w:rsidRDefault="008943C9" w:rsidP="008943C9">
      <w:pPr>
        <w:spacing w:after="0" w:line="240" w:lineRule="auto"/>
        <w:jc w:val="both"/>
        <w:rPr>
          <w:rFonts w:ascii="Lato" w:hAnsi="Lato"/>
          <w:b/>
          <w:bCs/>
          <w:sz w:val="20"/>
          <w:szCs w:val="20"/>
          <w:u w:val="single"/>
        </w:rPr>
      </w:pPr>
    </w:p>
    <w:p w14:paraId="7AEE49E5" w14:textId="77777777" w:rsidR="008943C9" w:rsidRPr="008943C9" w:rsidRDefault="008943C9" w:rsidP="008943C9">
      <w:pPr>
        <w:spacing w:after="0" w:line="240" w:lineRule="auto"/>
        <w:jc w:val="both"/>
        <w:rPr>
          <w:rFonts w:ascii="Lato" w:hAnsi="Lato"/>
          <w:b/>
          <w:bCs/>
          <w:sz w:val="20"/>
          <w:szCs w:val="20"/>
        </w:rPr>
      </w:pPr>
      <w:r w:rsidRPr="008943C9">
        <w:rPr>
          <w:rFonts w:ascii="Lato" w:hAnsi="Lato"/>
          <w:b/>
          <w:bCs/>
          <w:sz w:val="20"/>
          <w:szCs w:val="20"/>
        </w:rPr>
        <w:t>Gmina Człuchów:</w:t>
      </w:r>
    </w:p>
    <w:p w14:paraId="054BF08F" w14:textId="3A534275" w:rsidR="00E26F19" w:rsidRDefault="008943C9" w:rsidP="008943C9">
      <w:pPr>
        <w:spacing w:after="0" w:line="240" w:lineRule="auto"/>
        <w:jc w:val="both"/>
        <w:rPr>
          <w:rFonts w:ascii="Lato" w:hAnsi="Lato" w:cs="Calibri"/>
          <w:sz w:val="20"/>
          <w:szCs w:val="20"/>
        </w:rPr>
      </w:pPr>
      <w:r w:rsidRPr="008943C9">
        <w:rPr>
          <w:rFonts w:ascii="Lato" w:hAnsi="Lato" w:cs="Calibri"/>
          <w:b/>
          <w:sz w:val="20"/>
          <w:szCs w:val="20"/>
        </w:rPr>
        <w:t>Mobilny Urzędnik</w:t>
      </w:r>
      <w:r w:rsidRPr="008943C9">
        <w:rPr>
          <w:rFonts w:ascii="Lato" w:hAnsi="Lato" w:cs="Calibri"/>
          <w:sz w:val="20"/>
          <w:szCs w:val="20"/>
        </w:rPr>
        <w:t xml:space="preserve"> – usługa pozwalająca załatwić sprawy administracyjne w domu seniorom nie mogącym dostać się do urzędu.</w:t>
      </w:r>
    </w:p>
    <w:p w14:paraId="2C3136D1" w14:textId="0AFCC4E0" w:rsidR="008B6166" w:rsidRDefault="008B6166" w:rsidP="008943C9">
      <w:pPr>
        <w:spacing w:after="0" w:line="240" w:lineRule="auto"/>
        <w:jc w:val="both"/>
        <w:rPr>
          <w:rFonts w:ascii="Lato" w:hAnsi="Lato" w:cs="Calibri"/>
          <w:sz w:val="20"/>
          <w:szCs w:val="20"/>
        </w:rPr>
      </w:pPr>
    </w:p>
    <w:p w14:paraId="069B50BA" w14:textId="0E3F6C2D" w:rsidR="004D2BF8" w:rsidRDefault="004D2BF8" w:rsidP="004D2BF8">
      <w:pPr>
        <w:pStyle w:val="Legenda"/>
        <w:keepNext/>
      </w:pPr>
      <w:bookmarkStart w:id="170" w:name="_Toc142566032"/>
      <w:r>
        <w:t xml:space="preserve">Tabela </w:t>
      </w:r>
      <w:fldSimple w:instr=" SEQ Tabela \* ARABIC ">
        <w:r w:rsidR="00AA385B">
          <w:rPr>
            <w:noProof/>
          </w:rPr>
          <w:t>69</w:t>
        </w:r>
      </w:fldSimple>
      <w:r>
        <w:t xml:space="preserve"> Karta województwa pomorskiego za 2022 r.</w:t>
      </w:r>
      <w:bookmarkEnd w:id="170"/>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4D2BF8" w:rsidRPr="004D2BF8" w14:paraId="2F8BF548"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1127664B"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rPr>
              <w:t>WOJEWÓDZTWO POMORSKIE</w:t>
            </w:r>
          </w:p>
        </w:tc>
      </w:tr>
      <w:tr w:rsidR="004D2BF8" w:rsidRPr="004D2BF8" w14:paraId="0D91B23E" w14:textId="77777777" w:rsidTr="004D2BF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74DA12D" w14:textId="77777777" w:rsidR="004D2BF8" w:rsidRPr="004D2BF8" w:rsidRDefault="004D2BF8" w:rsidP="00CA4EC0">
            <w:pPr>
              <w:rPr>
                <w:rFonts w:ascii="Lato" w:hAnsi="Lato" w:cs="Times New Roman"/>
                <w:color w:val="auto"/>
                <w:sz w:val="18"/>
                <w:szCs w:val="18"/>
              </w:rPr>
            </w:pPr>
            <w:r w:rsidRPr="004D2BF8">
              <w:rPr>
                <w:rFonts w:ascii="Lato" w:hAnsi="Lato" w:cs="Times New Roman"/>
                <w:color w:val="auto"/>
                <w:sz w:val="18"/>
                <w:szCs w:val="18"/>
              </w:rPr>
              <w:t>Informacja o regionie</w:t>
            </w:r>
          </w:p>
        </w:tc>
        <w:tc>
          <w:tcPr>
            <w:tcW w:w="1346" w:type="pct"/>
            <w:shd w:val="clear" w:color="auto" w:fill="auto"/>
          </w:tcPr>
          <w:p w14:paraId="682D02E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Liczba gmin</w:t>
            </w:r>
          </w:p>
        </w:tc>
        <w:tc>
          <w:tcPr>
            <w:tcW w:w="2693" w:type="pct"/>
            <w:gridSpan w:val="2"/>
            <w:shd w:val="clear" w:color="auto" w:fill="auto"/>
          </w:tcPr>
          <w:p w14:paraId="21D543AB"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123</w:t>
            </w:r>
          </w:p>
        </w:tc>
      </w:tr>
      <w:tr w:rsidR="004D2BF8" w:rsidRPr="004D2BF8" w14:paraId="6B99F43E" w14:textId="77777777" w:rsidTr="004D2BF8">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96FB410" w14:textId="77777777" w:rsidR="004D2BF8" w:rsidRPr="004D2BF8" w:rsidRDefault="004D2BF8" w:rsidP="00CA4EC0">
            <w:pPr>
              <w:rPr>
                <w:rFonts w:ascii="Lato" w:hAnsi="Lato" w:cs="Times New Roman"/>
                <w:color w:val="auto"/>
                <w:sz w:val="18"/>
                <w:szCs w:val="18"/>
              </w:rPr>
            </w:pPr>
          </w:p>
        </w:tc>
        <w:tc>
          <w:tcPr>
            <w:tcW w:w="1346" w:type="pct"/>
            <w:shd w:val="clear" w:color="auto" w:fill="auto"/>
          </w:tcPr>
          <w:p w14:paraId="3D5BA4D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Liczba powiatów</w:t>
            </w:r>
          </w:p>
        </w:tc>
        <w:tc>
          <w:tcPr>
            <w:tcW w:w="2693" w:type="pct"/>
            <w:gridSpan w:val="2"/>
            <w:shd w:val="clear" w:color="auto" w:fill="auto"/>
          </w:tcPr>
          <w:p w14:paraId="7FD00D4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16 powiatów i 4 miasta na prawach powiatu</w:t>
            </w:r>
          </w:p>
        </w:tc>
      </w:tr>
      <w:tr w:rsidR="004D2BF8" w:rsidRPr="004D2BF8" w14:paraId="5B5F701E" w14:textId="77777777" w:rsidTr="004D2BF8">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3BE92F" w14:textId="77777777" w:rsidR="004D2BF8" w:rsidRPr="004D2BF8" w:rsidRDefault="004D2BF8" w:rsidP="00CA4EC0">
            <w:pPr>
              <w:rPr>
                <w:rFonts w:ascii="Lato" w:hAnsi="Lato" w:cs="Times New Roman"/>
                <w:color w:val="auto"/>
                <w:sz w:val="18"/>
                <w:szCs w:val="18"/>
              </w:rPr>
            </w:pPr>
          </w:p>
        </w:tc>
        <w:tc>
          <w:tcPr>
            <w:tcW w:w="1346" w:type="pct"/>
            <w:shd w:val="clear" w:color="auto" w:fill="auto"/>
          </w:tcPr>
          <w:p w14:paraId="716D70E2"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Powierzchnia</w:t>
            </w:r>
          </w:p>
        </w:tc>
        <w:tc>
          <w:tcPr>
            <w:tcW w:w="2693" w:type="pct"/>
            <w:gridSpan w:val="2"/>
            <w:shd w:val="clear" w:color="auto" w:fill="auto"/>
          </w:tcPr>
          <w:p w14:paraId="0E9092E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18 336 km</w:t>
            </w:r>
            <w:r w:rsidRPr="004D2BF8">
              <w:rPr>
                <w:rFonts w:ascii="Lato" w:hAnsi="Lato" w:cs="Times New Roman"/>
                <w:color w:val="auto"/>
                <w:sz w:val="18"/>
                <w:szCs w:val="18"/>
                <w:vertAlign w:val="superscript"/>
              </w:rPr>
              <w:t>2</w:t>
            </w:r>
          </w:p>
        </w:tc>
      </w:tr>
      <w:tr w:rsidR="004D2BF8" w:rsidRPr="004D2BF8" w14:paraId="49A60F7E"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75D1972" w14:textId="77777777" w:rsidR="004D2BF8" w:rsidRPr="004D2BF8" w:rsidRDefault="004D2BF8" w:rsidP="00CA4EC0">
            <w:pPr>
              <w:jc w:val="center"/>
              <w:rPr>
                <w:rFonts w:ascii="Lato" w:hAnsi="Lato" w:cs="Times New Roman"/>
                <w:b w:val="0"/>
                <w:color w:val="auto"/>
                <w:sz w:val="18"/>
                <w:szCs w:val="18"/>
              </w:rPr>
            </w:pPr>
            <w:r w:rsidRPr="004D2BF8">
              <w:rPr>
                <w:rFonts w:ascii="Lato" w:hAnsi="Lato" w:cs="Times New Roman"/>
                <w:color w:val="auto"/>
                <w:sz w:val="18"/>
                <w:szCs w:val="18"/>
              </w:rPr>
              <w:t>DEMOGRAFIA</w:t>
            </w:r>
          </w:p>
        </w:tc>
      </w:tr>
      <w:tr w:rsidR="004D2BF8" w:rsidRPr="004D2BF8" w14:paraId="525A24D0"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2AD2FF7" w14:textId="77777777" w:rsidR="004D2BF8" w:rsidRPr="004D2BF8" w:rsidRDefault="004D2BF8" w:rsidP="00CA4EC0">
            <w:pPr>
              <w:jc w:val="center"/>
              <w:rPr>
                <w:rFonts w:ascii="Lato" w:hAnsi="Lato" w:cs="Times New Roman"/>
                <w:b w:val="0"/>
                <w:color w:val="auto"/>
                <w:sz w:val="18"/>
                <w:szCs w:val="18"/>
                <w:lang w:eastAsia="pl-PL"/>
              </w:rPr>
            </w:pPr>
            <w:r w:rsidRPr="004D2BF8">
              <w:rPr>
                <w:rFonts w:ascii="Lato" w:hAnsi="Lato" w:cs="Times New Roman"/>
                <w:color w:val="auto"/>
                <w:sz w:val="18"/>
                <w:szCs w:val="18"/>
                <w:lang w:eastAsia="pl-PL"/>
              </w:rPr>
              <w:t>Treść</w:t>
            </w:r>
          </w:p>
        </w:tc>
        <w:tc>
          <w:tcPr>
            <w:tcW w:w="1346" w:type="pct"/>
            <w:shd w:val="clear" w:color="auto" w:fill="auto"/>
          </w:tcPr>
          <w:p w14:paraId="4915CC61"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2020 r.</w:t>
            </w:r>
          </w:p>
        </w:tc>
        <w:tc>
          <w:tcPr>
            <w:tcW w:w="1346" w:type="pct"/>
            <w:shd w:val="clear" w:color="auto" w:fill="auto"/>
          </w:tcPr>
          <w:p w14:paraId="644E812D"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2021 r.</w:t>
            </w:r>
          </w:p>
        </w:tc>
        <w:tc>
          <w:tcPr>
            <w:tcW w:w="1347" w:type="pct"/>
            <w:shd w:val="clear" w:color="auto" w:fill="auto"/>
          </w:tcPr>
          <w:p w14:paraId="32BE8752"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2022 r.</w:t>
            </w:r>
          </w:p>
        </w:tc>
      </w:tr>
      <w:tr w:rsidR="004D2BF8" w:rsidRPr="004D2BF8" w14:paraId="5B311F4F"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743191A"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Populacja ogółem</w:t>
            </w:r>
          </w:p>
        </w:tc>
        <w:tc>
          <w:tcPr>
            <w:tcW w:w="1346" w:type="pct"/>
            <w:shd w:val="clear" w:color="auto" w:fill="auto"/>
          </w:tcPr>
          <w:p w14:paraId="1426D69C"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2358256</w:t>
            </w:r>
          </w:p>
        </w:tc>
        <w:tc>
          <w:tcPr>
            <w:tcW w:w="1346" w:type="pct"/>
            <w:shd w:val="clear" w:color="auto" w:fill="auto"/>
          </w:tcPr>
          <w:p w14:paraId="3103E22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2358726</w:t>
            </w:r>
          </w:p>
        </w:tc>
        <w:tc>
          <w:tcPr>
            <w:tcW w:w="1347" w:type="pct"/>
            <w:shd w:val="clear" w:color="auto" w:fill="auto"/>
          </w:tcPr>
          <w:p w14:paraId="7D08F1CC"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2358307</w:t>
            </w:r>
          </w:p>
        </w:tc>
      </w:tr>
      <w:tr w:rsidR="004D2BF8" w:rsidRPr="004D2BF8" w14:paraId="2037128F"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68B11D0" w14:textId="77777777" w:rsidR="004D2BF8" w:rsidRPr="004D2BF8" w:rsidRDefault="004D2BF8" w:rsidP="00CA4EC0">
            <w:pPr>
              <w:rPr>
                <w:rFonts w:ascii="Lato" w:hAnsi="Lato" w:cs="Times New Roman"/>
                <w:b w:val="0"/>
                <w:color w:val="auto"/>
                <w:sz w:val="18"/>
                <w:szCs w:val="18"/>
              </w:rPr>
            </w:pPr>
          </w:p>
        </w:tc>
      </w:tr>
      <w:tr w:rsidR="004D2BF8" w:rsidRPr="004D2BF8" w14:paraId="70B90F11"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BCFC20D" w14:textId="77777777" w:rsidR="004D2BF8" w:rsidRPr="004D2BF8" w:rsidRDefault="004D2BF8" w:rsidP="00CA4EC0">
            <w:pPr>
              <w:rPr>
                <w:rFonts w:ascii="Lato" w:hAnsi="Lato" w:cs="Times New Roman"/>
                <w:b w:val="0"/>
                <w:color w:val="auto"/>
                <w:sz w:val="18"/>
                <w:szCs w:val="18"/>
              </w:rPr>
            </w:pPr>
            <w:r w:rsidRPr="004D2BF8">
              <w:rPr>
                <w:rFonts w:ascii="Lato" w:hAnsi="Lato" w:cs="Times New Roman"/>
                <w:color w:val="auto"/>
                <w:sz w:val="18"/>
                <w:szCs w:val="18"/>
                <w:lang w:eastAsia="pl-PL"/>
              </w:rPr>
              <w:lastRenderedPageBreak/>
              <w:t>w wieku 60 lat i więcej</w:t>
            </w:r>
          </w:p>
        </w:tc>
        <w:tc>
          <w:tcPr>
            <w:tcW w:w="1346" w:type="pct"/>
            <w:shd w:val="clear" w:color="auto" w:fill="auto"/>
          </w:tcPr>
          <w:p w14:paraId="6C545F3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559085</w:t>
            </w:r>
          </w:p>
        </w:tc>
        <w:tc>
          <w:tcPr>
            <w:tcW w:w="1346" w:type="pct"/>
            <w:shd w:val="clear" w:color="auto" w:fill="auto"/>
          </w:tcPr>
          <w:p w14:paraId="7BD5896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563039</w:t>
            </w:r>
          </w:p>
        </w:tc>
        <w:tc>
          <w:tcPr>
            <w:tcW w:w="1347" w:type="pct"/>
            <w:shd w:val="clear" w:color="auto" w:fill="auto"/>
          </w:tcPr>
          <w:p w14:paraId="4A065A0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567746</w:t>
            </w:r>
          </w:p>
        </w:tc>
      </w:tr>
      <w:tr w:rsidR="004D2BF8" w:rsidRPr="004D2BF8" w14:paraId="3C1B9BF0"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683EC6D"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60–64 lata</w:t>
            </w:r>
          </w:p>
        </w:tc>
        <w:tc>
          <w:tcPr>
            <w:tcW w:w="1346" w:type="pct"/>
            <w:shd w:val="clear" w:color="auto" w:fill="auto"/>
          </w:tcPr>
          <w:p w14:paraId="0E11BEC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153241</w:t>
            </w:r>
          </w:p>
        </w:tc>
        <w:tc>
          <w:tcPr>
            <w:tcW w:w="1346" w:type="pct"/>
            <w:shd w:val="clear" w:color="auto" w:fill="auto"/>
          </w:tcPr>
          <w:p w14:paraId="59D0C67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147779</w:t>
            </w:r>
          </w:p>
        </w:tc>
        <w:tc>
          <w:tcPr>
            <w:tcW w:w="1347" w:type="pct"/>
            <w:shd w:val="clear" w:color="auto" w:fill="auto"/>
          </w:tcPr>
          <w:p w14:paraId="395990F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141481</w:t>
            </w:r>
          </w:p>
        </w:tc>
      </w:tr>
      <w:tr w:rsidR="004D2BF8" w:rsidRPr="004D2BF8" w14:paraId="17A2363B"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A3A2D38"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65–69</w:t>
            </w:r>
          </w:p>
        </w:tc>
        <w:tc>
          <w:tcPr>
            <w:tcW w:w="1346" w:type="pct"/>
            <w:shd w:val="clear" w:color="auto" w:fill="auto"/>
          </w:tcPr>
          <w:p w14:paraId="74E5677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146591</w:t>
            </w:r>
          </w:p>
        </w:tc>
        <w:tc>
          <w:tcPr>
            <w:tcW w:w="1346" w:type="pct"/>
            <w:shd w:val="clear" w:color="auto" w:fill="auto"/>
          </w:tcPr>
          <w:p w14:paraId="1FBEAA2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147018</w:t>
            </w:r>
          </w:p>
        </w:tc>
        <w:tc>
          <w:tcPr>
            <w:tcW w:w="1347" w:type="pct"/>
            <w:shd w:val="clear" w:color="auto" w:fill="auto"/>
          </w:tcPr>
          <w:p w14:paraId="7091777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147674</w:t>
            </w:r>
          </w:p>
        </w:tc>
      </w:tr>
      <w:tr w:rsidR="004D2BF8" w:rsidRPr="004D2BF8" w14:paraId="464273EC"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50728E9"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70–74</w:t>
            </w:r>
          </w:p>
        </w:tc>
        <w:tc>
          <w:tcPr>
            <w:tcW w:w="1346" w:type="pct"/>
            <w:shd w:val="clear" w:color="auto" w:fill="auto"/>
          </w:tcPr>
          <w:p w14:paraId="3EB9445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113108</w:t>
            </w:r>
          </w:p>
        </w:tc>
        <w:tc>
          <w:tcPr>
            <w:tcW w:w="1346" w:type="pct"/>
            <w:shd w:val="clear" w:color="auto" w:fill="auto"/>
          </w:tcPr>
          <w:p w14:paraId="647EB0D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119185</w:t>
            </w:r>
          </w:p>
        </w:tc>
        <w:tc>
          <w:tcPr>
            <w:tcW w:w="1347" w:type="pct"/>
            <w:shd w:val="clear" w:color="auto" w:fill="auto"/>
          </w:tcPr>
          <w:p w14:paraId="6B52102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122853</w:t>
            </w:r>
          </w:p>
        </w:tc>
      </w:tr>
      <w:tr w:rsidR="004D2BF8" w:rsidRPr="004D2BF8" w14:paraId="57D851BF"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E65F0C8"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75–79</w:t>
            </w:r>
          </w:p>
        </w:tc>
        <w:tc>
          <w:tcPr>
            <w:tcW w:w="1346" w:type="pct"/>
            <w:shd w:val="clear" w:color="auto" w:fill="auto"/>
          </w:tcPr>
          <w:p w14:paraId="27D336D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55009</w:t>
            </w:r>
          </w:p>
        </w:tc>
        <w:tc>
          <w:tcPr>
            <w:tcW w:w="1346" w:type="pct"/>
            <w:shd w:val="clear" w:color="auto" w:fill="auto"/>
          </w:tcPr>
          <w:p w14:paraId="6CECD98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59093</w:t>
            </w:r>
          </w:p>
        </w:tc>
        <w:tc>
          <w:tcPr>
            <w:tcW w:w="1347" w:type="pct"/>
            <w:shd w:val="clear" w:color="auto" w:fill="auto"/>
          </w:tcPr>
          <w:p w14:paraId="556326E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66222</w:t>
            </w:r>
          </w:p>
        </w:tc>
      </w:tr>
      <w:tr w:rsidR="004D2BF8" w:rsidRPr="004D2BF8" w14:paraId="6F94D2A2"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0C4E075"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80–84</w:t>
            </w:r>
          </w:p>
        </w:tc>
        <w:tc>
          <w:tcPr>
            <w:tcW w:w="1346" w:type="pct"/>
            <w:shd w:val="clear" w:color="auto" w:fill="auto"/>
          </w:tcPr>
          <w:p w14:paraId="3BE3BAB3"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47273</w:t>
            </w:r>
          </w:p>
        </w:tc>
        <w:tc>
          <w:tcPr>
            <w:tcW w:w="1346" w:type="pct"/>
            <w:shd w:val="clear" w:color="auto" w:fill="auto"/>
          </w:tcPr>
          <w:p w14:paraId="2A7E48D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45769</w:t>
            </w:r>
          </w:p>
        </w:tc>
        <w:tc>
          <w:tcPr>
            <w:tcW w:w="1347" w:type="pct"/>
            <w:shd w:val="clear" w:color="auto" w:fill="auto"/>
          </w:tcPr>
          <w:p w14:paraId="49BCEB1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44819</w:t>
            </w:r>
          </w:p>
        </w:tc>
      </w:tr>
      <w:tr w:rsidR="004D2BF8" w:rsidRPr="004D2BF8" w14:paraId="4B22FE98"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B6190E8"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85 lat i więcej</w:t>
            </w:r>
          </w:p>
        </w:tc>
        <w:tc>
          <w:tcPr>
            <w:tcW w:w="1346" w:type="pct"/>
            <w:shd w:val="clear" w:color="auto" w:fill="auto"/>
          </w:tcPr>
          <w:p w14:paraId="2900D818"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43863</w:t>
            </w:r>
          </w:p>
        </w:tc>
        <w:tc>
          <w:tcPr>
            <w:tcW w:w="1346" w:type="pct"/>
            <w:shd w:val="clear" w:color="auto" w:fill="auto"/>
          </w:tcPr>
          <w:p w14:paraId="206ED2F5"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44195</w:t>
            </w:r>
          </w:p>
        </w:tc>
        <w:tc>
          <w:tcPr>
            <w:tcW w:w="1347" w:type="pct"/>
            <w:shd w:val="clear" w:color="auto" w:fill="auto"/>
          </w:tcPr>
          <w:p w14:paraId="569FCA5C"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44697</w:t>
            </w:r>
          </w:p>
        </w:tc>
      </w:tr>
      <w:tr w:rsidR="004D2BF8" w:rsidRPr="004D2BF8" w14:paraId="1A65424B"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88DD886"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Przeciętne dalsze trwanie życia</w:t>
            </w:r>
          </w:p>
        </w:tc>
        <w:tc>
          <w:tcPr>
            <w:tcW w:w="1346" w:type="pct"/>
            <w:shd w:val="clear" w:color="auto" w:fill="auto"/>
          </w:tcPr>
          <w:p w14:paraId="14B8553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73,3</w:t>
            </w:r>
          </w:p>
          <w:p w14:paraId="7EA9CBD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81,2</w:t>
            </w:r>
          </w:p>
          <w:p w14:paraId="52FEAF8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18,4</w:t>
            </w:r>
          </w:p>
          <w:p w14:paraId="0FA1C583"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23,6</w:t>
            </w:r>
          </w:p>
        </w:tc>
        <w:tc>
          <w:tcPr>
            <w:tcW w:w="1346" w:type="pct"/>
            <w:shd w:val="clear" w:color="auto" w:fill="auto"/>
          </w:tcPr>
          <w:p w14:paraId="4C22EDC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72,7</w:t>
            </w:r>
          </w:p>
          <w:p w14:paraId="7308FE8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80,1</w:t>
            </w:r>
          </w:p>
          <w:p w14:paraId="3B1957F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17,7</w:t>
            </w:r>
          </w:p>
          <w:p w14:paraId="565046D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22,7</w:t>
            </w:r>
          </w:p>
        </w:tc>
        <w:tc>
          <w:tcPr>
            <w:tcW w:w="1347" w:type="pct"/>
            <w:shd w:val="clear" w:color="auto" w:fill="auto"/>
          </w:tcPr>
          <w:p w14:paraId="60B9A09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73,8</w:t>
            </w:r>
          </w:p>
          <w:p w14:paraId="4C525A1B"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80,9</w:t>
            </w:r>
          </w:p>
          <w:p w14:paraId="0E579FD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18,8</w:t>
            </w:r>
          </w:p>
          <w:p w14:paraId="529ADEE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23,5</w:t>
            </w:r>
          </w:p>
        </w:tc>
      </w:tr>
      <w:tr w:rsidR="004D2BF8" w:rsidRPr="004D2BF8" w14:paraId="6D9878A4"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9AD07F2"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feminizacji</w:t>
            </w:r>
          </w:p>
        </w:tc>
        <w:tc>
          <w:tcPr>
            <w:tcW w:w="1346" w:type="pct"/>
            <w:shd w:val="clear" w:color="auto" w:fill="auto"/>
          </w:tcPr>
          <w:p w14:paraId="3E169A7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106</w:t>
            </w:r>
          </w:p>
        </w:tc>
        <w:tc>
          <w:tcPr>
            <w:tcW w:w="1346" w:type="pct"/>
            <w:shd w:val="clear" w:color="auto" w:fill="auto"/>
          </w:tcPr>
          <w:p w14:paraId="042FBE7E"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106</w:t>
            </w:r>
          </w:p>
        </w:tc>
        <w:tc>
          <w:tcPr>
            <w:tcW w:w="1347" w:type="pct"/>
            <w:shd w:val="clear" w:color="auto" w:fill="auto"/>
          </w:tcPr>
          <w:p w14:paraId="36AB884B"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106</w:t>
            </w:r>
          </w:p>
        </w:tc>
      </w:tr>
      <w:tr w:rsidR="004D2BF8" w:rsidRPr="004D2BF8" w14:paraId="75774A6A"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D590BCA"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2C26008D"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26,1</w:t>
            </w:r>
          </w:p>
        </w:tc>
        <w:tc>
          <w:tcPr>
            <w:tcW w:w="1346" w:type="pct"/>
            <w:shd w:val="clear" w:color="auto" w:fill="auto"/>
          </w:tcPr>
          <w:p w14:paraId="48EFF59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26,8</w:t>
            </w:r>
          </w:p>
        </w:tc>
        <w:tc>
          <w:tcPr>
            <w:tcW w:w="1347" w:type="pct"/>
            <w:shd w:val="clear" w:color="auto" w:fill="auto"/>
          </w:tcPr>
          <w:p w14:paraId="38AD8FED"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27,7</w:t>
            </w:r>
          </w:p>
        </w:tc>
      </w:tr>
      <w:tr w:rsidR="004D2BF8" w:rsidRPr="004D2BF8" w14:paraId="0634206E"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C6EC41B"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zgonów</w:t>
            </w:r>
          </w:p>
        </w:tc>
        <w:tc>
          <w:tcPr>
            <w:tcW w:w="1346" w:type="pct"/>
            <w:shd w:val="clear" w:color="auto" w:fill="auto"/>
          </w:tcPr>
          <w:p w14:paraId="40664CE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10,9</w:t>
            </w:r>
          </w:p>
        </w:tc>
        <w:tc>
          <w:tcPr>
            <w:tcW w:w="1346" w:type="pct"/>
            <w:shd w:val="clear" w:color="auto" w:fill="auto"/>
          </w:tcPr>
          <w:p w14:paraId="2FA0EE98"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11,9</w:t>
            </w:r>
          </w:p>
        </w:tc>
        <w:tc>
          <w:tcPr>
            <w:tcW w:w="1347" w:type="pct"/>
            <w:shd w:val="clear" w:color="auto" w:fill="auto"/>
          </w:tcPr>
          <w:p w14:paraId="4BEE0B4B"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10,8</w:t>
            </w:r>
          </w:p>
        </w:tc>
      </w:tr>
      <w:tr w:rsidR="004D2BF8" w:rsidRPr="004D2BF8" w14:paraId="03673710"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8CCC9D2"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lang w:eastAsia="pl-PL"/>
              </w:rPr>
              <w:t>AKTYWNOŚĆ EKONOMICZNA OSÓB STARSZYCH – DANE ZA 2022 R.</w:t>
            </w:r>
            <w:r w:rsidRPr="004D2BF8">
              <w:rPr>
                <w:rFonts w:ascii="Lato" w:hAnsi="Lato" w:cs="Times New Roman"/>
                <w:color w:val="auto"/>
                <w:sz w:val="18"/>
                <w:szCs w:val="18"/>
                <w:vertAlign w:val="superscript"/>
                <w:lang w:eastAsia="pl-PL"/>
              </w:rPr>
              <w:t>1)</w:t>
            </w:r>
          </w:p>
        </w:tc>
      </w:tr>
      <w:tr w:rsidR="004D2BF8" w:rsidRPr="004D2BF8" w14:paraId="7BE0A075"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29B81603" w14:textId="77777777" w:rsidR="004D2BF8" w:rsidRPr="004D2BF8" w:rsidRDefault="004D2BF8" w:rsidP="00CA4EC0">
            <w:pPr>
              <w:rPr>
                <w:rFonts w:ascii="Lato" w:hAnsi="Lato" w:cs="Times New Roman"/>
                <w:color w:val="auto"/>
                <w:sz w:val="18"/>
                <w:szCs w:val="18"/>
              </w:rPr>
            </w:pPr>
            <w:r w:rsidRPr="004D2BF8">
              <w:rPr>
                <w:rFonts w:ascii="Lato" w:hAnsi="Lato" w:cs="Times New Roman"/>
                <w:color w:val="auto"/>
                <w:sz w:val="18"/>
                <w:szCs w:val="18"/>
              </w:rPr>
              <w:t>Podział</w:t>
            </w:r>
          </w:p>
        </w:tc>
        <w:tc>
          <w:tcPr>
            <w:tcW w:w="2693" w:type="pct"/>
            <w:gridSpan w:val="2"/>
            <w:shd w:val="clear" w:color="auto" w:fill="auto"/>
          </w:tcPr>
          <w:p w14:paraId="16314995"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Liczba</w:t>
            </w:r>
          </w:p>
        </w:tc>
      </w:tr>
      <w:tr w:rsidR="004D2BF8" w:rsidRPr="004D2BF8" w14:paraId="4EE1B0DC" w14:textId="77777777" w:rsidTr="004D2BF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378A5B5"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Osoby aktywne zawodowo razem (w tys.)</w:t>
            </w:r>
          </w:p>
        </w:tc>
        <w:tc>
          <w:tcPr>
            <w:tcW w:w="1346" w:type="pct"/>
            <w:shd w:val="clear" w:color="auto" w:fill="auto"/>
          </w:tcPr>
          <w:p w14:paraId="7679FEA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412BF84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1072</w:t>
            </w:r>
          </w:p>
        </w:tc>
      </w:tr>
      <w:tr w:rsidR="004D2BF8" w:rsidRPr="004D2BF8" w14:paraId="760EB4C2"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34AD0AC"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28342DC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74CCF638"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86</w:t>
            </w:r>
          </w:p>
        </w:tc>
      </w:tr>
      <w:tr w:rsidR="004D2BF8" w:rsidRPr="004D2BF8" w14:paraId="581F6531" w14:textId="77777777" w:rsidTr="004D2BF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D395E67"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 xml:space="preserve">Osoby aktywne zawodowo </w:t>
            </w:r>
            <w:r w:rsidRPr="004D2BF8">
              <w:rPr>
                <w:rFonts w:ascii="Lato" w:hAnsi="Lato" w:cs="Times New Roman"/>
                <w:color w:val="auto"/>
                <w:sz w:val="18"/>
                <w:szCs w:val="18"/>
                <w:lang w:eastAsia="pl-PL"/>
              </w:rPr>
              <w:br/>
              <w:t>– pracujący (w tys.)</w:t>
            </w:r>
          </w:p>
        </w:tc>
        <w:tc>
          <w:tcPr>
            <w:tcW w:w="1346" w:type="pct"/>
            <w:shd w:val="clear" w:color="auto" w:fill="auto"/>
          </w:tcPr>
          <w:p w14:paraId="0CE76CDD"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25480CC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1052</w:t>
            </w:r>
          </w:p>
        </w:tc>
      </w:tr>
      <w:tr w:rsidR="004D2BF8" w:rsidRPr="004D2BF8" w14:paraId="7B8480BF" w14:textId="77777777" w:rsidTr="004D2BF8">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779F167"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2C2EC5C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1966101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85</w:t>
            </w:r>
          </w:p>
        </w:tc>
      </w:tr>
      <w:tr w:rsidR="004D2BF8" w:rsidRPr="004D2BF8" w14:paraId="2CF072DD" w14:textId="77777777" w:rsidTr="004D2BF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54C0E48"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Osoby bierne zawodowo (w tys.)</w:t>
            </w:r>
          </w:p>
        </w:tc>
        <w:tc>
          <w:tcPr>
            <w:tcW w:w="1346" w:type="pct"/>
            <w:shd w:val="clear" w:color="auto" w:fill="auto"/>
          </w:tcPr>
          <w:p w14:paraId="71CCB36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550B48B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726</w:t>
            </w:r>
          </w:p>
        </w:tc>
      </w:tr>
      <w:tr w:rsidR="004D2BF8" w:rsidRPr="004D2BF8" w14:paraId="338B034B"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F73437B"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23F08C3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5E3F0AB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437</w:t>
            </w:r>
          </w:p>
        </w:tc>
      </w:tr>
      <w:tr w:rsidR="004D2BF8" w:rsidRPr="004D2BF8" w14:paraId="4DA6B45A" w14:textId="77777777" w:rsidTr="004D2BF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70A34E7"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aktywności zawodowej %</w:t>
            </w:r>
          </w:p>
        </w:tc>
        <w:tc>
          <w:tcPr>
            <w:tcW w:w="1346" w:type="pct"/>
            <w:shd w:val="clear" w:color="auto" w:fill="auto"/>
          </w:tcPr>
          <w:p w14:paraId="5D9C67E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544A9E4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59,6</w:t>
            </w:r>
          </w:p>
        </w:tc>
      </w:tr>
      <w:tr w:rsidR="004D2BF8" w:rsidRPr="004D2BF8" w14:paraId="49F77A1E" w14:textId="77777777" w:rsidTr="004D2BF8">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F61C122"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343AE010"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51B28DD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16,5</w:t>
            </w:r>
          </w:p>
        </w:tc>
      </w:tr>
      <w:tr w:rsidR="004D2BF8" w:rsidRPr="004D2BF8" w14:paraId="486832E1" w14:textId="77777777" w:rsidTr="004D2BF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614C005"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Wskaźnik zatrudnienia %</w:t>
            </w:r>
          </w:p>
        </w:tc>
        <w:tc>
          <w:tcPr>
            <w:tcW w:w="1346" w:type="pct"/>
            <w:shd w:val="clear" w:color="auto" w:fill="auto"/>
          </w:tcPr>
          <w:p w14:paraId="5517419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783C9D3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58,5</w:t>
            </w:r>
          </w:p>
        </w:tc>
      </w:tr>
      <w:tr w:rsidR="004D2BF8" w:rsidRPr="004D2BF8" w14:paraId="13365826" w14:textId="77777777" w:rsidTr="004D2BF8">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074AACB"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76C90B6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19C77092"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16,3</w:t>
            </w:r>
          </w:p>
        </w:tc>
      </w:tr>
      <w:tr w:rsidR="004D2BF8" w:rsidRPr="004D2BF8" w14:paraId="204FC524" w14:textId="77777777" w:rsidTr="004D2BF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26E06BBE" w14:textId="77777777" w:rsidR="004D2BF8" w:rsidRPr="004D2BF8" w:rsidRDefault="004D2BF8" w:rsidP="00CA4EC0">
            <w:pPr>
              <w:rPr>
                <w:rFonts w:ascii="Lato" w:hAnsi="Lato" w:cs="Times New Roman"/>
                <w:b w:val="0"/>
                <w:color w:val="auto"/>
                <w:sz w:val="18"/>
                <w:szCs w:val="18"/>
                <w:lang w:eastAsia="pl-PL"/>
              </w:rPr>
            </w:pPr>
            <w:r w:rsidRPr="004D2BF8">
              <w:rPr>
                <w:rFonts w:ascii="Lato" w:eastAsia="Times New Roman" w:hAnsi="Lato" w:cs="Times New Roman"/>
                <w:color w:val="auto"/>
                <w:sz w:val="18"/>
                <w:szCs w:val="18"/>
                <w:lang w:eastAsia="pl-PL"/>
              </w:rPr>
              <w:t xml:space="preserve">Osoby bierne zawodowo  w wieku 60-74 lata według wybranych przyczyn bierności </w:t>
            </w:r>
            <w:r w:rsidRPr="004D2BF8">
              <w:rPr>
                <w:rFonts w:ascii="Lato" w:eastAsia="Times New Roman" w:hAnsi="Lato" w:cs="Times New Roman"/>
                <w:color w:val="auto"/>
                <w:sz w:val="18"/>
                <w:szCs w:val="18"/>
                <w:lang w:eastAsia="pl-PL"/>
              </w:rPr>
              <w:br/>
              <w:t>(w tys.)</w:t>
            </w:r>
          </w:p>
        </w:tc>
        <w:tc>
          <w:tcPr>
            <w:tcW w:w="1346" w:type="pct"/>
            <w:shd w:val="clear" w:color="auto" w:fill="auto"/>
          </w:tcPr>
          <w:p w14:paraId="0A922BD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24A9C74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315</w:t>
            </w:r>
          </w:p>
        </w:tc>
      </w:tr>
      <w:tr w:rsidR="004D2BF8" w:rsidRPr="004D2BF8" w14:paraId="64938216" w14:textId="77777777" w:rsidTr="004D2BF8">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F4ACCB2"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639BA19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w:t>
            </w:r>
          </w:p>
        </w:tc>
      </w:tr>
      <w:tr w:rsidR="004D2BF8" w:rsidRPr="004D2BF8" w14:paraId="2FAAFF8E" w14:textId="77777777" w:rsidTr="004D2BF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9F26A7A"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3EB6DB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4D2BF8">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69DBC89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315</w:t>
            </w:r>
          </w:p>
        </w:tc>
      </w:tr>
      <w:tr w:rsidR="004D2BF8" w:rsidRPr="004D2BF8" w14:paraId="2096B009" w14:textId="77777777" w:rsidTr="004D2BF8">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E1AB4FD"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19E35E8"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5D8709F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291</w:t>
            </w:r>
          </w:p>
        </w:tc>
      </w:tr>
      <w:tr w:rsidR="004D2BF8" w:rsidRPr="004D2BF8" w14:paraId="50439E8E" w14:textId="77777777" w:rsidTr="004D2BF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FEC188B"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F766D1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6D43774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15</w:t>
            </w:r>
          </w:p>
        </w:tc>
      </w:tr>
      <w:tr w:rsidR="004D2BF8" w:rsidRPr="004D2BF8" w14:paraId="7CCEC4BF" w14:textId="77777777" w:rsidTr="004D2BF8">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D269D9A" w14:textId="77777777" w:rsidR="004D2BF8" w:rsidRPr="004D2BF8" w:rsidRDefault="004D2BF8" w:rsidP="00CA4EC0">
            <w:pPr>
              <w:rPr>
                <w:rFonts w:ascii="Lato" w:eastAsia="Times New Roman" w:hAnsi="Lato" w:cs="Times New Roman"/>
                <w:b w:val="0"/>
                <w:bCs w:val="0"/>
                <w:color w:val="auto"/>
                <w:sz w:val="18"/>
                <w:szCs w:val="18"/>
                <w:lang w:eastAsia="pl-PL"/>
              </w:rPr>
            </w:pPr>
            <w:r w:rsidRPr="004D2BF8">
              <w:rPr>
                <w:rFonts w:ascii="Lato" w:eastAsia="Times New Roman" w:hAnsi="Lato" w:cs="Times New Roman"/>
                <w:color w:val="auto"/>
                <w:sz w:val="18"/>
                <w:szCs w:val="18"/>
                <w:lang w:eastAsia="pl-PL"/>
              </w:rPr>
              <w:t>Osoby bezrobotne zarejestrowane w urzędach pracy (w tys.)</w:t>
            </w:r>
            <w:r w:rsidRPr="004D2BF8">
              <w:rPr>
                <w:rFonts w:ascii="Lato" w:eastAsia="Times New Roman" w:hAnsi="Lato" w:cs="Times New Roman"/>
                <w:color w:val="auto"/>
                <w:sz w:val="18"/>
                <w:szCs w:val="18"/>
                <w:vertAlign w:val="superscript"/>
                <w:lang w:eastAsia="pl-PL"/>
              </w:rPr>
              <w:t>2)</w:t>
            </w:r>
          </w:p>
        </w:tc>
        <w:tc>
          <w:tcPr>
            <w:tcW w:w="1346" w:type="pct"/>
            <w:shd w:val="clear" w:color="auto" w:fill="auto"/>
          </w:tcPr>
          <w:p w14:paraId="5D790BF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07CDCA19"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42,4</w:t>
            </w:r>
          </w:p>
        </w:tc>
      </w:tr>
      <w:tr w:rsidR="004D2BF8" w:rsidRPr="004D2BF8" w14:paraId="75CA4779" w14:textId="77777777" w:rsidTr="004D2B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35EBEE9"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4CEBD4D"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60-64 lata</w:t>
            </w:r>
          </w:p>
        </w:tc>
        <w:tc>
          <w:tcPr>
            <w:tcW w:w="2693" w:type="pct"/>
            <w:gridSpan w:val="2"/>
            <w:shd w:val="clear" w:color="auto" w:fill="auto"/>
          </w:tcPr>
          <w:p w14:paraId="0A40DF7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2,5</w:t>
            </w:r>
          </w:p>
        </w:tc>
      </w:tr>
      <w:tr w:rsidR="004D2BF8" w:rsidRPr="004D2BF8" w14:paraId="037A7A59" w14:textId="77777777" w:rsidTr="004D2BF8">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C24EC55" w14:textId="77777777" w:rsidR="004D2BF8" w:rsidRPr="004D2BF8" w:rsidRDefault="004D2BF8" w:rsidP="00CA4EC0">
            <w:pPr>
              <w:rPr>
                <w:rFonts w:ascii="Lato" w:eastAsia="Times New Roman" w:hAnsi="Lato" w:cs="Times New Roman"/>
                <w:b w:val="0"/>
                <w:bCs w:val="0"/>
                <w:color w:val="auto"/>
                <w:sz w:val="18"/>
                <w:szCs w:val="18"/>
                <w:lang w:eastAsia="pl-PL"/>
              </w:rPr>
            </w:pPr>
            <w:r w:rsidRPr="004D2BF8">
              <w:rPr>
                <w:rFonts w:ascii="Lato" w:eastAsia="Times New Roman" w:hAnsi="Lato" w:cs="Times New Roman"/>
                <w:color w:val="auto"/>
                <w:sz w:val="18"/>
                <w:szCs w:val="18"/>
                <w:lang w:eastAsia="pl-PL"/>
              </w:rPr>
              <w:t xml:space="preserve">Osoby pobierające renty </w:t>
            </w:r>
            <w:r w:rsidRPr="004D2BF8">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5F8B70FD" w14:textId="77777777" w:rsidR="004D2BF8" w:rsidRPr="004D2BF8" w:rsidRDefault="004D2BF8"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ZUS</w:t>
            </w:r>
          </w:p>
        </w:tc>
      </w:tr>
      <w:tr w:rsidR="004D2BF8" w:rsidRPr="004D2BF8" w14:paraId="5B2916EB" w14:textId="77777777" w:rsidTr="004D2BF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B4530B"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CE29500"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Rodzaj świadczenia</w:t>
            </w:r>
          </w:p>
        </w:tc>
        <w:tc>
          <w:tcPr>
            <w:tcW w:w="2693" w:type="pct"/>
            <w:gridSpan w:val="2"/>
            <w:shd w:val="clear" w:color="auto" w:fill="auto"/>
          </w:tcPr>
          <w:p w14:paraId="1B7B1032"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Przeciętna miesięczna liczba emerytów i rencistów (w tys.)</w:t>
            </w:r>
          </w:p>
        </w:tc>
      </w:tr>
      <w:tr w:rsidR="004D2BF8" w:rsidRPr="004D2BF8" w14:paraId="4D668E62" w14:textId="77777777" w:rsidTr="004D2BF8">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2611D85"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2B6639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Emerytury</w:t>
            </w:r>
          </w:p>
        </w:tc>
        <w:tc>
          <w:tcPr>
            <w:tcW w:w="2693" w:type="pct"/>
            <w:gridSpan w:val="2"/>
            <w:shd w:val="clear" w:color="auto" w:fill="auto"/>
          </w:tcPr>
          <w:p w14:paraId="5A175D6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347,2</w:t>
            </w:r>
          </w:p>
        </w:tc>
      </w:tr>
      <w:tr w:rsidR="004D2BF8" w:rsidRPr="004D2BF8" w14:paraId="514CFB18" w14:textId="77777777" w:rsidTr="004D2BF8">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2712342"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9629D2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z tytułu niezdolności do pracy</w:t>
            </w:r>
          </w:p>
        </w:tc>
        <w:tc>
          <w:tcPr>
            <w:tcW w:w="2693" w:type="pct"/>
            <w:gridSpan w:val="2"/>
            <w:shd w:val="clear" w:color="auto" w:fill="auto"/>
          </w:tcPr>
          <w:p w14:paraId="5732C21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31,8</w:t>
            </w:r>
          </w:p>
        </w:tc>
      </w:tr>
      <w:tr w:rsidR="004D2BF8" w:rsidRPr="004D2BF8" w14:paraId="3A922E08" w14:textId="77777777" w:rsidTr="004D2BF8">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149A289"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0ED1AF0"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rodzinne</w:t>
            </w:r>
          </w:p>
        </w:tc>
        <w:tc>
          <w:tcPr>
            <w:tcW w:w="2693" w:type="pct"/>
            <w:gridSpan w:val="2"/>
            <w:shd w:val="clear" w:color="auto" w:fill="auto"/>
          </w:tcPr>
          <w:p w14:paraId="332F59BB"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70,6</w:t>
            </w:r>
          </w:p>
        </w:tc>
      </w:tr>
      <w:tr w:rsidR="004D2BF8" w:rsidRPr="004D2BF8" w14:paraId="52A0C138" w14:textId="77777777" w:rsidTr="004D2B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4FCAD3E"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C8EF02D" w14:textId="77777777" w:rsidR="004D2BF8" w:rsidRPr="004D2BF8" w:rsidRDefault="004D2BF8"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KRUS</w:t>
            </w:r>
          </w:p>
        </w:tc>
      </w:tr>
      <w:tr w:rsidR="004D2BF8" w:rsidRPr="004D2BF8" w14:paraId="7BB4D091" w14:textId="77777777" w:rsidTr="004D2BF8">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C215722"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618B2BB"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Rodzaj świadczenia</w:t>
            </w:r>
          </w:p>
        </w:tc>
        <w:tc>
          <w:tcPr>
            <w:tcW w:w="2693" w:type="pct"/>
            <w:gridSpan w:val="2"/>
            <w:shd w:val="clear" w:color="auto" w:fill="auto"/>
          </w:tcPr>
          <w:p w14:paraId="1C8D81AF"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Przeciętna miesięczna liczba emerytów i rencistów (w tys.)</w:t>
            </w:r>
          </w:p>
        </w:tc>
      </w:tr>
      <w:tr w:rsidR="004D2BF8" w:rsidRPr="004D2BF8" w14:paraId="0B48194F"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2B23B24"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A93C6A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Emerytury</w:t>
            </w:r>
          </w:p>
        </w:tc>
        <w:tc>
          <w:tcPr>
            <w:tcW w:w="2693" w:type="pct"/>
            <w:gridSpan w:val="2"/>
            <w:shd w:val="clear" w:color="auto" w:fill="auto"/>
          </w:tcPr>
          <w:p w14:paraId="4238775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24,1</w:t>
            </w:r>
          </w:p>
        </w:tc>
      </w:tr>
      <w:tr w:rsidR="004D2BF8" w:rsidRPr="004D2BF8" w14:paraId="5964A72A" w14:textId="77777777" w:rsidTr="004D2BF8">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7FF9C1A"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4147852"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z tytułu niezdolności do pracy</w:t>
            </w:r>
          </w:p>
        </w:tc>
        <w:tc>
          <w:tcPr>
            <w:tcW w:w="2693" w:type="pct"/>
            <w:gridSpan w:val="2"/>
            <w:shd w:val="clear" w:color="auto" w:fill="auto"/>
          </w:tcPr>
          <w:p w14:paraId="3058CAB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6,9</w:t>
            </w:r>
          </w:p>
        </w:tc>
      </w:tr>
      <w:tr w:rsidR="004D2BF8" w:rsidRPr="004D2BF8" w14:paraId="0A046D41"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56DDF50"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31CA68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rodzinne</w:t>
            </w:r>
          </w:p>
        </w:tc>
        <w:tc>
          <w:tcPr>
            <w:tcW w:w="2693" w:type="pct"/>
            <w:gridSpan w:val="2"/>
            <w:shd w:val="clear" w:color="auto" w:fill="auto"/>
          </w:tcPr>
          <w:p w14:paraId="5D2C5D4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1,5</w:t>
            </w:r>
          </w:p>
        </w:tc>
      </w:tr>
      <w:tr w:rsidR="004D2BF8" w:rsidRPr="004D2BF8" w14:paraId="3BED0628"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6E00A03"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rPr>
              <w:t xml:space="preserve">SYTUACJA DOCHODOWA, WARUNKI BYTU, W TYM WARUNKI MIESZKANIOWE – DANE ZA 2022 R. </w:t>
            </w:r>
          </w:p>
        </w:tc>
      </w:tr>
      <w:tr w:rsidR="004D2BF8" w:rsidRPr="004D2BF8" w14:paraId="0C69ED65"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10AF51B" w14:textId="17079CAE" w:rsidR="004D2BF8" w:rsidRPr="004D2BF8" w:rsidRDefault="004D2BF8" w:rsidP="00CA4EC0">
            <w:pPr>
              <w:jc w:val="both"/>
              <w:rPr>
                <w:rFonts w:ascii="Lato" w:hAnsi="Lato" w:cs="Times New Roman"/>
                <w:b w:val="0"/>
                <w:color w:val="auto"/>
                <w:sz w:val="18"/>
                <w:szCs w:val="18"/>
              </w:rPr>
            </w:pPr>
            <w:r w:rsidRPr="004D2BF8">
              <w:rPr>
                <w:rFonts w:ascii="Lato" w:hAnsi="Lato" w:cs="Times New Roman"/>
                <w:b w:val="0"/>
                <w:color w:val="auto"/>
                <w:sz w:val="18"/>
                <w:szCs w:val="18"/>
              </w:rPr>
              <w:t>W 2022 r. w województwie pomorskim przeciętny miesięczny dochód rozporządzalny przypadający na 1 osobę w gospodarstwach domowych wyniósł 2020,35 zł. Na dochód rozporządzalny gospodarstwa domowego składają się przede wszystkim dochody z pracy najemnej oraz dochody ze świadczeń społecznych. W 2022 r. ich udział w dochodzie rozporządzalnym wyniósł odpowiednio 55,9% i 30,4%. W 2022 r. przeciętne miesięczne wydatki na 1 osobę w gospodarstwach domowych wyniosły 1558,42 zł.  Na żywność i napoje bezalkoholowe gospodarstwa domowe przeznaczały przeciętnie 26,5% ogólnej kwoty wydatków, na opłaty z tytułu użytkowania mieszkania lub domu i za korzystanie z nośników energii - 18,9%, a na zdrowie – 5,6%.</w:t>
            </w:r>
            <w:r w:rsidR="0031646A">
              <w:rPr>
                <w:rFonts w:ascii="Lato" w:hAnsi="Lato" w:cs="Times New Roman"/>
                <w:b w:val="0"/>
                <w:color w:val="auto"/>
                <w:sz w:val="18"/>
                <w:szCs w:val="18"/>
              </w:rPr>
              <w:t xml:space="preserve"> </w:t>
            </w:r>
            <w:r w:rsidRPr="004D2BF8">
              <w:rPr>
                <w:rFonts w:ascii="Lato" w:hAnsi="Lato" w:cs="Times New Roman"/>
                <w:b w:val="0"/>
                <w:color w:val="auto"/>
                <w:sz w:val="18"/>
                <w:szCs w:val="18"/>
              </w:rPr>
              <w:t>W 2022 r. swoją sytuację materialną jako dobrą lub raczej dobrą oceniło 48,6% gospodarstw domowych. Udział gospodarstw określających swoją sytuację materialną jako przeciętną wyniósł 45,1%, a raczej złą lub złą ukształtował się na poziomie 6,3%.</w:t>
            </w:r>
            <w:r w:rsidR="0031646A">
              <w:rPr>
                <w:rFonts w:ascii="Lato" w:hAnsi="Lato" w:cs="Times New Roman"/>
                <w:b w:val="0"/>
                <w:color w:val="auto"/>
                <w:sz w:val="18"/>
                <w:szCs w:val="18"/>
              </w:rPr>
              <w:t xml:space="preserve"> </w:t>
            </w:r>
            <w:r w:rsidRPr="004D2BF8">
              <w:rPr>
                <w:rFonts w:ascii="Lato" w:hAnsi="Lato" w:cs="Times New Roman"/>
                <w:b w:val="0"/>
                <w:color w:val="auto"/>
                <w:sz w:val="18"/>
                <w:szCs w:val="18"/>
              </w:rPr>
              <w:t>W analizowanym roku przeciętna liczba osób w gospodarstwie domowym ukształtowała się na poziomie 2,44. Przeciętna powierzchnia użytkowa mieszkania zajmowana przez gospodarstwo domowe wyniosła 76,4 m</w:t>
            </w:r>
            <w:r w:rsidRPr="004D2BF8">
              <w:rPr>
                <w:rFonts w:ascii="Lato" w:hAnsi="Lato" w:cs="Times New Roman"/>
                <w:b w:val="0"/>
                <w:color w:val="auto"/>
                <w:sz w:val="18"/>
                <w:szCs w:val="18"/>
                <w:vertAlign w:val="superscript"/>
              </w:rPr>
              <w:t>2</w:t>
            </w:r>
            <w:r w:rsidRPr="004D2BF8">
              <w:rPr>
                <w:rFonts w:ascii="Lato" w:hAnsi="Lato" w:cs="Times New Roman"/>
                <w:b w:val="0"/>
                <w:color w:val="auto"/>
                <w:sz w:val="18"/>
                <w:szCs w:val="18"/>
              </w:rPr>
              <w:t>.</w:t>
            </w:r>
          </w:p>
        </w:tc>
      </w:tr>
    </w:tbl>
    <w:p w14:paraId="3B9F7FC2"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70F51010"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047626CF"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52A001FF" w14:textId="55C9F01F" w:rsidR="004D2BF8" w:rsidRPr="004D2BF8" w:rsidRDefault="004D2BF8" w:rsidP="004D2BF8">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06082188" w14:textId="3B928A76" w:rsidR="008B6166" w:rsidRPr="002B0821" w:rsidRDefault="00586D97" w:rsidP="008B6166">
      <w:pPr>
        <w:pStyle w:val="Nagwek2"/>
        <w:numPr>
          <w:ilvl w:val="1"/>
          <w:numId w:val="44"/>
        </w:numPr>
        <w:rPr>
          <w:b/>
          <w:bCs/>
        </w:rPr>
      </w:pPr>
      <w:bookmarkStart w:id="171" w:name="_Toc142565959"/>
      <w:r w:rsidRPr="002B0821">
        <w:rPr>
          <w:b/>
          <w:bCs/>
        </w:rPr>
        <w:t>Województwo śląskie</w:t>
      </w:r>
      <w:bookmarkEnd w:id="171"/>
    </w:p>
    <w:p w14:paraId="1DABE1CA" w14:textId="7FD69306" w:rsidR="008B6166" w:rsidRPr="008B6166" w:rsidRDefault="008B6166" w:rsidP="008B6166">
      <w:pPr>
        <w:spacing w:after="0" w:line="240" w:lineRule="auto"/>
        <w:jc w:val="both"/>
        <w:rPr>
          <w:rFonts w:ascii="Lato" w:hAnsi="Lato"/>
          <w:b/>
          <w:bCs/>
          <w:i/>
          <w:iCs/>
          <w:sz w:val="20"/>
          <w:szCs w:val="20"/>
        </w:rPr>
      </w:pPr>
      <w:r w:rsidRPr="008B6166">
        <w:rPr>
          <w:rFonts w:ascii="Lato" w:hAnsi="Lato"/>
          <w:b/>
          <w:bCs/>
          <w:sz w:val="20"/>
          <w:szCs w:val="20"/>
        </w:rPr>
        <w:t>„Strategia Polityki Społecznej Województwa Śląskiego na lata 2020-2030”</w:t>
      </w:r>
      <w:r w:rsidRPr="008B6166">
        <w:rPr>
          <w:rFonts w:ascii="Lato" w:hAnsi="Lato"/>
          <w:sz w:val="20"/>
          <w:szCs w:val="20"/>
        </w:rPr>
        <w:t>,</w:t>
      </w:r>
      <w:r w:rsidRPr="008B6166">
        <w:rPr>
          <w:rFonts w:ascii="Lato" w:hAnsi="Lato"/>
          <w:b/>
          <w:bCs/>
          <w:sz w:val="20"/>
          <w:szCs w:val="20"/>
        </w:rPr>
        <w:t xml:space="preserve"> </w:t>
      </w:r>
      <w:r w:rsidRPr="008B6166">
        <w:rPr>
          <w:rFonts w:ascii="Lato" w:hAnsi="Lato"/>
          <w:sz w:val="20"/>
          <w:szCs w:val="20"/>
        </w:rPr>
        <w:t>przyjęta Uchwałą nr VI/25/1/2020 Sejmiku Województwa Śląskiego z dnia 16 listopada 2020 roku.</w:t>
      </w:r>
      <w:r w:rsidRPr="008B6166">
        <w:rPr>
          <w:rFonts w:ascii="Lato" w:hAnsi="Lato"/>
          <w:b/>
          <w:bCs/>
          <w:sz w:val="20"/>
          <w:szCs w:val="20"/>
        </w:rPr>
        <w:t xml:space="preserve"> </w:t>
      </w:r>
      <w:r w:rsidRPr="008B6166">
        <w:rPr>
          <w:rFonts w:ascii="Lato" w:eastAsia="Calibri" w:hAnsi="Lato"/>
          <w:sz w:val="20"/>
          <w:szCs w:val="20"/>
        </w:rPr>
        <w:t>W powyższym dokumencie zawarto cel strategiczny poświęcony problematyce osób starszych</w:t>
      </w:r>
      <w:r w:rsidRPr="008B6166">
        <w:rPr>
          <w:rFonts w:ascii="Lato" w:eastAsia="Calibri" w:hAnsi="Lato"/>
          <w:i/>
          <w:iCs/>
          <w:sz w:val="20"/>
          <w:szCs w:val="20"/>
        </w:rPr>
        <w:t xml:space="preserve">: </w:t>
      </w:r>
      <w:r w:rsidRPr="008B6166">
        <w:rPr>
          <w:rFonts w:ascii="Lato" w:hAnsi="Lato"/>
          <w:i/>
          <w:iCs/>
          <w:sz w:val="20"/>
          <w:szCs w:val="20"/>
        </w:rPr>
        <w:t xml:space="preserve">Rozwój warunków sprzyjających aktywnemu i pełnemu uczestnictwu osób starszych w życiu społecznym. Dostosowanie systemu wsparcia do potrzeb starzejącego się społeczeństwa </w:t>
      </w:r>
      <w:r w:rsidRPr="008B6166">
        <w:rPr>
          <w:rFonts w:ascii="Lato" w:eastAsia="Calibri" w:hAnsi="Lato"/>
          <w:sz w:val="20"/>
          <w:szCs w:val="20"/>
        </w:rPr>
        <w:t>wraz z następującymi kierunkami działań i działaniami:</w:t>
      </w:r>
    </w:p>
    <w:p w14:paraId="7ACCF944" w14:textId="77777777" w:rsidR="008B6166" w:rsidRPr="008B6166" w:rsidRDefault="008B6166" w:rsidP="0059185B">
      <w:pPr>
        <w:pStyle w:val="Akapitzlist"/>
        <w:numPr>
          <w:ilvl w:val="0"/>
          <w:numId w:val="101"/>
        </w:numPr>
        <w:spacing w:after="0" w:line="240" w:lineRule="auto"/>
        <w:jc w:val="both"/>
        <w:rPr>
          <w:rFonts w:ascii="Lato" w:eastAsia="Calibri" w:hAnsi="Lato"/>
          <w:i/>
          <w:sz w:val="20"/>
          <w:szCs w:val="20"/>
        </w:rPr>
      </w:pPr>
      <w:r w:rsidRPr="008B6166">
        <w:rPr>
          <w:rFonts w:ascii="Lato" w:eastAsia="Calibri" w:hAnsi="Lato"/>
          <w:i/>
          <w:sz w:val="20"/>
          <w:szCs w:val="20"/>
        </w:rPr>
        <w:t xml:space="preserve">Kreowanie polityki senioralnej celem zaspokojenia potrzeb osób starszych i umożliwienie im wykorzystania ich zasobów do rozwoju społeczności lokalnych: </w:t>
      </w:r>
      <w:r w:rsidRPr="008B6166">
        <w:rPr>
          <w:rFonts w:ascii="Lato" w:hAnsi="Lato"/>
          <w:sz w:val="20"/>
          <w:szCs w:val="20"/>
        </w:rPr>
        <w:t>Rozwój narzędzi lokalnej polityki senioralnej (np. programy, strategie), mającej na celu wszechstronne wsparcie ukierunkowane na zaspokojenie potrzeb zawodowych, społecznych, zdrowotnych i edukacyjnych osób starszych</w:t>
      </w:r>
      <w:r w:rsidRPr="008B6166">
        <w:rPr>
          <w:rFonts w:ascii="Lato" w:eastAsia="Calibri" w:hAnsi="Lato"/>
          <w:i/>
          <w:sz w:val="20"/>
          <w:szCs w:val="20"/>
        </w:rPr>
        <w:t xml:space="preserve">; </w:t>
      </w:r>
      <w:r w:rsidRPr="008B6166">
        <w:rPr>
          <w:rFonts w:ascii="Lato" w:hAnsi="Lato"/>
          <w:sz w:val="20"/>
          <w:szCs w:val="20"/>
        </w:rPr>
        <w:t xml:space="preserve">Włączenie seniorów w opiniowanie i konsultowanie rozwiązań w zakresie regionalnej polityki senioralnej; Wspieranie funkcjonowania podmiotów reprezentujących środowiska senioralne; Prowadzenie badań / analiz dotyczących sytuacji osób starszych w województwie śląskim.   </w:t>
      </w:r>
    </w:p>
    <w:p w14:paraId="37AD0322" w14:textId="77777777" w:rsidR="008B6166" w:rsidRDefault="008B6166" w:rsidP="0059185B">
      <w:pPr>
        <w:pStyle w:val="Akapitzlist"/>
        <w:numPr>
          <w:ilvl w:val="0"/>
          <w:numId w:val="101"/>
        </w:numPr>
        <w:spacing w:after="0" w:line="240" w:lineRule="auto"/>
        <w:jc w:val="both"/>
        <w:rPr>
          <w:rFonts w:ascii="Lato" w:eastAsia="Calibri" w:hAnsi="Lato"/>
          <w:i/>
          <w:sz w:val="20"/>
          <w:szCs w:val="20"/>
        </w:rPr>
      </w:pPr>
      <w:r w:rsidRPr="008B6166">
        <w:rPr>
          <w:rFonts w:ascii="Lato" w:eastAsia="Calibri" w:hAnsi="Lato"/>
          <w:i/>
          <w:sz w:val="20"/>
          <w:szCs w:val="20"/>
        </w:rPr>
        <w:t xml:space="preserve">Rozwijanie opieki środowiskowej w społecznościach lokalnych ukierunkowanej na wsparcie niesamodzielnych seniorów, tworzenie sieci wsparcia opartych na zasobach indywidualnych (rodzina, otoczenie) i zasobach instytucjonalnych: </w:t>
      </w:r>
      <w:r w:rsidRPr="008B6166">
        <w:rPr>
          <w:rFonts w:ascii="Lato" w:hAnsi="Lato"/>
          <w:sz w:val="20"/>
          <w:szCs w:val="20"/>
        </w:rPr>
        <w:t>Podnoszenie jakości i dostępności usług, w tym opiekuńczo-pielęgnacyjnych, dostosowanych do potrzeb seniorów, świadczonych w miejscu zamieszkania; Opracowywanie i wdrażanie modelowych rozwiązań z zakresu koordynacji systemów wsparcia osób niesamodzielnych (w tym z niepełnosprawnościami);  Opracowywanie i wspieranie programów wspomagania opiekunów rodzinnych i opiekunów nieformalnych</w:t>
      </w:r>
      <w:r w:rsidRPr="008B6166">
        <w:rPr>
          <w:rFonts w:ascii="Lato" w:eastAsia="Calibri" w:hAnsi="Lato"/>
          <w:i/>
          <w:sz w:val="20"/>
          <w:szCs w:val="20"/>
        </w:rPr>
        <w:t>.</w:t>
      </w:r>
    </w:p>
    <w:p w14:paraId="491265C6" w14:textId="77777777" w:rsidR="008B6166" w:rsidRPr="008B6166" w:rsidRDefault="008B6166" w:rsidP="0059185B">
      <w:pPr>
        <w:pStyle w:val="Akapitzlist"/>
        <w:numPr>
          <w:ilvl w:val="0"/>
          <w:numId w:val="101"/>
        </w:numPr>
        <w:spacing w:after="0" w:line="240" w:lineRule="auto"/>
        <w:jc w:val="both"/>
        <w:rPr>
          <w:rFonts w:ascii="Lato" w:eastAsia="Calibri" w:hAnsi="Lato"/>
          <w:i/>
          <w:sz w:val="20"/>
          <w:szCs w:val="20"/>
        </w:rPr>
      </w:pPr>
      <w:r w:rsidRPr="008B6166">
        <w:rPr>
          <w:rFonts w:ascii="Lato" w:eastAsia="Calibri" w:hAnsi="Lato"/>
          <w:i/>
          <w:sz w:val="20"/>
          <w:szCs w:val="20"/>
        </w:rPr>
        <w:t xml:space="preserve">Niwelowanie barier w dostępie seniorów do rynku dóbr i usług: </w:t>
      </w:r>
      <w:r w:rsidRPr="008B6166">
        <w:rPr>
          <w:rFonts w:ascii="Lato" w:hAnsi="Lato"/>
          <w:sz w:val="20"/>
          <w:szCs w:val="20"/>
        </w:rPr>
        <w:t>Oferowanie dodatkowego wsparcia dla seniorów w ramach projektu „Śląskie dla Seniora – Śląska Karta Seniora”;</w:t>
      </w:r>
      <w:r>
        <w:rPr>
          <w:rFonts w:ascii="Lato" w:hAnsi="Lato"/>
          <w:sz w:val="20"/>
          <w:szCs w:val="20"/>
        </w:rPr>
        <w:t xml:space="preserve"> </w:t>
      </w:r>
      <w:r w:rsidRPr="008B6166">
        <w:rPr>
          <w:rFonts w:ascii="Lato" w:hAnsi="Lato"/>
          <w:sz w:val="20"/>
          <w:szCs w:val="20"/>
        </w:rPr>
        <w:t>Upowszechnienie wiedzy na temat założeń i korzyści wynikających z rozwoju srebrnej</w:t>
      </w:r>
      <w:r>
        <w:rPr>
          <w:rFonts w:ascii="Lato" w:hAnsi="Lato"/>
          <w:sz w:val="20"/>
          <w:szCs w:val="20"/>
        </w:rPr>
        <w:t xml:space="preserve"> </w:t>
      </w:r>
      <w:r w:rsidRPr="008B6166">
        <w:rPr>
          <w:rFonts w:ascii="Lato" w:hAnsi="Lato"/>
          <w:sz w:val="20"/>
          <w:szCs w:val="20"/>
        </w:rPr>
        <w:t xml:space="preserve">gospodarki; Edukowanie na temat bezpiecznego korzystania z rynku dóbr i usług przez osoby starsze; Tworzenie warunków sprzyjających aktywności zawodowej seniorów.  </w:t>
      </w:r>
    </w:p>
    <w:p w14:paraId="7C89C87A" w14:textId="77777777" w:rsidR="008B6166" w:rsidRPr="008B6166" w:rsidRDefault="008B6166" w:rsidP="0059185B">
      <w:pPr>
        <w:pStyle w:val="Akapitzlist"/>
        <w:numPr>
          <w:ilvl w:val="0"/>
          <w:numId w:val="101"/>
        </w:numPr>
        <w:spacing w:after="0" w:line="240" w:lineRule="auto"/>
        <w:jc w:val="both"/>
        <w:rPr>
          <w:rFonts w:ascii="Lato" w:eastAsia="Calibri" w:hAnsi="Lato"/>
          <w:i/>
          <w:sz w:val="20"/>
          <w:szCs w:val="20"/>
        </w:rPr>
      </w:pPr>
      <w:r w:rsidRPr="008B6166">
        <w:rPr>
          <w:rFonts w:ascii="Lato" w:hAnsi="Lato"/>
          <w:i/>
          <w:iCs/>
          <w:sz w:val="20"/>
          <w:szCs w:val="20"/>
        </w:rPr>
        <w:t>Promowanie pozytywnego wizerunku osób starszych. Propagowanie idei i działań służących korzystaniu z potencjału seniorów oraz więzi międzypokoleniowych</w:t>
      </w:r>
      <w:r w:rsidRPr="008B6166">
        <w:rPr>
          <w:rFonts w:ascii="Lato" w:eastAsia="Calibri" w:hAnsi="Lato"/>
          <w:i/>
          <w:iCs/>
          <w:sz w:val="20"/>
          <w:szCs w:val="20"/>
        </w:rPr>
        <w:t>:</w:t>
      </w:r>
      <w:r w:rsidRPr="008B6166">
        <w:rPr>
          <w:rFonts w:ascii="Lato" w:eastAsia="Calibri" w:hAnsi="Lato"/>
          <w:sz w:val="20"/>
          <w:szCs w:val="20"/>
        </w:rPr>
        <w:t xml:space="preserve"> </w:t>
      </w:r>
      <w:r w:rsidRPr="008B6166">
        <w:rPr>
          <w:rFonts w:ascii="Lato" w:hAnsi="Lato"/>
          <w:sz w:val="20"/>
          <w:szCs w:val="20"/>
        </w:rPr>
        <w:t xml:space="preserve">Promowanie różnych form aktywności seniorów w społeczeństwie; Wymiana dobrych praktyk w zakresie budowania </w:t>
      </w:r>
      <w:r w:rsidRPr="008B6166">
        <w:rPr>
          <w:rFonts w:ascii="Lato" w:hAnsi="Lato"/>
          <w:sz w:val="20"/>
          <w:szCs w:val="20"/>
        </w:rPr>
        <w:br/>
        <w:t>i wzmacniania relacji międzypokoleniowych; Realizacja programów grantowych wspierających inicjatywy środowisk senioralnych; Integracja i współdziałanie organizacji seniorskich.</w:t>
      </w:r>
    </w:p>
    <w:p w14:paraId="526F1874" w14:textId="77777777" w:rsidR="008B6166" w:rsidRDefault="008B6166" w:rsidP="008B6166">
      <w:pPr>
        <w:spacing w:after="0" w:line="240" w:lineRule="auto"/>
        <w:jc w:val="both"/>
        <w:rPr>
          <w:rFonts w:ascii="Lato" w:hAnsi="Lato"/>
          <w:b/>
          <w:bCs/>
          <w:sz w:val="20"/>
          <w:szCs w:val="20"/>
        </w:rPr>
      </w:pPr>
    </w:p>
    <w:p w14:paraId="42D4CA6D" w14:textId="1C89181F" w:rsidR="008B6166" w:rsidRPr="008B6166" w:rsidRDefault="008B6166" w:rsidP="008B6166">
      <w:pPr>
        <w:spacing w:after="0" w:line="240" w:lineRule="auto"/>
        <w:jc w:val="both"/>
        <w:rPr>
          <w:rFonts w:ascii="Lato" w:eastAsia="Calibri" w:hAnsi="Lato"/>
          <w:i/>
          <w:sz w:val="20"/>
          <w:szCs w:val="20"/>
        </w:rPr>
      </w:pPr>
      <w:r w:rsidRPr="008B6166">
        <w:rPr>
          <w:rFonts w:ascii="Lato" w:hAnsi="Lato"/>
          <w:b/>
          <w:bCs/>
          <w:sz w:val="20"/>
          <w:szCs w:val="20"/>
        </w:rPr>
        <w:t xml:space="preserve">Strategia Rozwoju Województwa Śląskiego „Śląskie 2030”. </w:t>
      </w:r>
      <w:r w:rsidRPr="008B6166">
        <w:rPr>
          <w:rFonts w:ascii="Lato" w:hAnsi="Lato"/>
          <w:sz w:val="20"/>
          <w:szCs w:val="20"/>
        </w:rPr>
        <w:t xml:space="preserve">Dokument został przyjęty uchwałą Sejmiku Województwa Śląskiego nr VI/24/1/2020 z dnia 19 października 2020 r. Wśród zapisów wyżej wymienionego dokumentu realizację polityki społecznej na rzecz osób starszych uwzględniono w szczególności w celu strategicznym B „Województwo śląskie regionem przyjaznym dla mieszkańca”, a w ramach niego w celach operacyjnych: B.1. Wysoka jakość usług społecznych, w tym zdrowotnych (kierunki działań: Podnoszenie dostępu do usług wspierających funkcjonowanie rodziny, w tym opieki </w:t>
      </w:r>
      <w:proofErr w:type="spellStart"/>
      <w:r w:rsidRPr="008B6166">
        <w:rPr>
          <w:rFonts w:ascii="Lato" w:hAnsi="Lato"/>
          <w:sz w:val="20"/>
          <w:szCs w:val="20"/>
        </w:rPr>
        <w:t>wytchnieniowej</w:t>
      </w:r>
      <w:proofErr w:type="spellEnd"/>
      <w:r w:rsidRPr="008B6166">
        <w:rPr>
          <w:rFonts w:ascii="Lato" w:hAnsi="Lato"/>
          <w:sz w:val="20"/>
          <w:szCs w:val="20"/>
        </w:rPr>
        <w:t xml:space="preserve"> nad osobami zależnymi oraz Rozwój sektora srebrnej gospodarki oraz rozwój, integracja </w:t>
      </w:r>
      <w:r w:rsidRPr="008B6166">
        <w:rPr>
          <w:rFonts w:ascii="Lato" w:hAnsi="Lato"/>
          <w:sz w:val="20"/>
          <w:szCs w:val="20"/>
        </w:rPr>
        <w:lastRenderedPageBreak/>
        <w:t>i koordynacja usług wspierających funkcjonowanie osób niesamodzielnych) oraz B.2. Aktywny mieszkaniec (kierunek działań: Wzmocnienie aktywności społecznej i zawodowej mieszkańców, w tym osób starszych i osób z niepełnosprawnościami).</w:t>
      </w:r>
    </w:p>
    <w:p w14:paraId="10B59512" w14:textId="77777777" w:rsidR="008B6166" w:rsidRPr="008B6166" w:rsidRDefault="008B6166" w:rsidP="008B6166">
      <w:pPr>
        <w:pStyle w:val="Akapitzlist"/>
        <w:spacing w:after="0" w:line="240" w:lineRule="auto"/>
        <w:ind w:left="360"/>
        <w:jc w:val="both"/>
        <w:rPr>
          <w:rFonts w:ascii="Lato" w:hAnsi="Lato"/>
          <w:sz w:val="20"/>
          <w:szCs w:val="20"/>
          <w:highlight w:val="yellow"/>
        </w:rPr>
      </w:pPr>
    </w:p>
    <w:p w14:paraId="18A24A2D" w14:textId="06F55C2D" w:rsidR="00D02C8D" w:rsidRDefault="008B6166" w:rsidP="008B6166">
      <w:pPr>
        <w:spacing w:after="0" w:line="240" w:lineRule="auto"/>
        <w:jc w:val="both"/>
        <w:rPr>
          <w:rFonts w:ascii="Lato" w:hAnsi="Lato"/>
          <w:sz w:val="20"/>
          <w:szCs w:val="20"/>
        </w:rPr>
      </w:pPr>
      <w:r w:rsidRPr="008B6166">
        <w:rPr>
          <w:rFonts w:ascii="Lato" w:hAnsi="Lato"/>
          <w:b/>
          <w:bCs/>
          <w:sz w:val="20"/>
          <w:szCs w:val="20"/>
        </w:rPr>
        <w:t xml:space="preserve">„Program przeciwdziałania ubóstwu i wykluczeniu społecznemu w województwie śląskim na lata 2018-2023” </w:t>
      </w:r>
      <w:r w:rsidRPr="008B6166">
        <w:rPr>
          <w:rFonts w:ascii="Lato" w:hAnsi="Lato"/>
          <w:sz w:val="20"/>
          <w:szCs w:val="20"/>
        </w:rPr>
        <w:t xml:space="preserve">został opracowany jako program operacyjny do „Strategii Polityki Społecznej Województwa Śląskiego na lata 2006-2020. Aktualizacja 2015”. Program został przyjęty w dniu 10 kwietnia 2018 roku uchwałą nr 816/252/V/2018 Zarządu Województwa Śląskiego. W powyższym dokumencie zawarto cel operacyjny poświęcony problematyce osób starszych: </w:t>
      </w:r>
      <w:r w:rsidRPr="008B6166">
        <w:rPr>
          <w:rFonts w:ascii="Lato" w:hAnsi="Lato"/>
          <w:i/>
          <w:iCs/>
          <w:sz w:val="20"/>
          <w:szCs w:val="20"/>
        </w:rPr>
        <w:t xml:space="preserve">Tworzenie warunków do pełnego uczestnictwa osób starszych w życiu społecznym, gospodarczym i zawodowym poprzez łagodzenie i przeciwdziałanie barierom ograniczającym ich aktywność. Wzmacnianie dostępu do adekwatnej opieki osób niesamodzielnych </w:t>
      </w:r>
      <w:r w:rsidRPr="008B6166">
        <w:rPr>
          <w:rFonts w:ascii="Lato" w:hAnsi="Lato"/>
          <w:sz w:val="20"/>
          <w:szCs w:val="20"/>
        </w:rPr>
        <w:t xml:space="preserve">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osób starszych jako pełnoprawnych i wartościowych członków społeczeństwa; Diagnozowanie i monitorowanie wsparcia oferowanego seniorom na poziomie lokalnym; Prowadzenie analiz dotyczących problemów osób starszych i niepełnosprawnych. </w:t>
      </w:r>
    </w:p>
    <w:p w14:paraId="17A79D7E" w14:textId="77777777" w:rsidR="00D02C8D" w:rsidRPr="008B6166" w:rsidRDefault="00D02C8D" w:rsidP="00D02C8D">
      <w:pPr>
        <w:pStyle w:val="Tekstpodstawowy"/>
        <w:jc w:val="both"/>
        <w:rPr>
          <w:rFonts w:ascii="Lato" w:hAnsi="Lato"/>
          <w:sz w:val="20"/>
          <w:szCs w:val="20"/>
        </w:rPr>
      </w:pPr>
    </w:p>
    <w:p w14:paraId="1451B04F" w14:textId="3E53A135" w:rsidR="00D02C8D" w:rsidRPr="00D02C8D" w:rsidRDefault="00D02C8D" w:rsidP="00D02C8D">
      <w:pPr>
        <w:pStyle w:val="Tekstpodstawowy"/>
        <w:suppressAutoHyphens/>
        <w:autoSpaceDE/>
        <w:autoSpaceDN/>
        <w:jc w:val="both"/>
        <w:rPr>
          <w:rFonts w:ascii="Lato" w:hAnsi="Lato"/>
          <w:b/>
          <w:sz w:val="20"/>
          <w:szCs w:val="20"/>
        </w:rPr>
      </w:pPr>
      <w:r w:rsidRPr="00D02C8D">
        <w:rPr>
          <w:rFonts w:ascii="Lato" w:hAnsi="Lato"/>
          <w:b/>
          <w:sz w:val="20"/>
          <w:szCs w:val="20"/>
        </w:rPr>
        <w:t xml:space="preserve">Pakiet usług socjalnych dla osób starszych oferowany przez instytucje </w:t>
      </w:r>
      <w:proofErr w:type="spellStart"/>
      <w:r w:rsidRPr="00D02C8D">
        <w:rPr>
          <w:rFonts w:ascii="Lato" w:hAnsi="Lato"/>
          <w:b/>
          <w:sz w:val="20"/>
          <w:szCs w:val="20"/>
        </w:rPr>
        <w:t>pomocyi</w:t>
      </w:r>
      <w:proofErr w:type="spellEnd"/>
      <w:r w:rsidRPr="00D02C8D">
        <w:rPr>
          <w:rFonts w:ascii="Lato" w:hAnsi="Lato"/>
          <w:b/>
          <w:sz w:val="20"/>
          <w:szCs w:val="20"/>
        </w:rPr>
        <w:t xml:space="preserve"> integracji społecznej na terenie województwa śląskiego : </w:t>
      </w:r>
      <w:r w:rsidRPr="00D02C8D">
        <w:rPr>
          <w:rFonts w:ascii="Lato" w:hAnsi="Lato"/>
          <w:b/>
          <w:sz w:val="20"/>
          <w:szCs w:val="20"/>
        </w:rPr>
        <w:fldChar w:fldCharType="begin"/>
      </w:r>
      <w:r w:rsidRPr="00D02C8D">
        <w:rPr>
          <w:rFonts w:ascii="Lato" w:hAnsi="Lato"/>
          <w:b/>
          <w:sz w:val="20"/>
          <w:szCs w:val="20"/>
        </w:rPr>
        <w:instrText xml:space="preserve"> NOTEREF _Ref104802472 \f \h  \* MERGEFORMAT </w:instrText>
      </w:r>
      <w:r w:rsidRPr="00D02C8D">
        <w:rPr>
          <w:rFonts w:ascii="Lato" w:hAnsi="Lato"/>
          <w:b/>
          <w:sz w:val="20"/>
          <w:szCs w:val="20"/>
        </w:rPr>
      </w:r>
      <w:r w:rsidRPr="00D02C8D">
        <w:rPr>
          <w:rFonts w:ascii="Lato" w:hAnsi="Lato"/>
          <w:b/>
          <w:sz w:val="20"/>
          <w:szCs w:val="20"/>
        </w:rPr>
        <w:fldChar w:fldCharType="separate"/>
      </w:r>
      <w:r w:rsidRPr="00D02C8D">
        <w:rPr>
          <w:rStyle w:val="Odwoanieprzypisudolnego"/>
          <w:rFonts w:ascii="Lato" w:eastAsiaTheme="majorEastAsia" w:hAnsi="Lato"/>
          <w:sz w:val="20"/>
          <w:szCs w:val="20"/>
        </w:rPr>
        <w:t>1</w:t>
      </w:r>
      <w:r w:rsidRPr="00D02C8D">
        <w:rPr>
          <w:rFonts w:ascii="Lato" w:hAnsi="Lato"/>
          <w:b/>
          <w:sz w:val="20"/>
          <w:szCs w:val="20"/>
        </w:rPr>
        <w:fldChar w:fldCharType="end"/>
      </w:r>
    </w:p>
    <w:p w14:paraId="1CE58FC2"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praca socjalna, z której skorzystało 22 275  osób powyżej 60 roku życia,</w:t>
      </w:r>
    </w:p>
    <w:p w14:paraId="2DC8BCC6"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usługi bytowe: mieszkaniowe, żywieniowe, pomoc rzeczowa, z których skorzystało 6612 osób starszych,</w:t>
      </w:r>
    </w:p>
    <w:p w14:paraId="08FED3B8"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interwencja kryzysowa o której mowa w art. 47 ustawy o pomocy społecznej – objęto wsparciem 1394 osoby starsze,</w:t>
      </w:r>
    </w:p>
    <w:p w14:paraId="330D00E0"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 xml:space="preserve">poradnictwo specjalistyczne o którym mowa w art. 46 ustawy o pomocy społecznej – skorzystało 2433 osoby, </w:t>
      </w:r>
    </w:p>
    <w:p w14:paraId="14E772B6"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usługi prozdrowotne i rehabilitacyjne to oferta umożliwiająca utrzymanie bądź polepszenie ogólnego stanu psychofizycznego, w tym zajęcia usprawniające, usługi geriatryczne</w:t>
      </w:r>
      <w:r w:rsidRPr="00D02C8D">
        <w:rPr>
          <w:rFonts w:ascii="Lato" w:hAnsi="Lato"/>
          <w:sz w:val="20"/>
          <w:szCs w:val="20"/>
        </w:rPr>
        <w:br/>
        <w:t>i rehabilitacyjne, z której skorzystało 28 208 osób starszych,</w:t>
      </w:r>
    </w:p>
    <w:p w14:paraId="0E2861B9" w14:textId="77777777" w:rsidR="00D02C8D" w:rsidRPr="00D02C8D" w:rsidRDefault="00D02C8D" w:rsidP="0059185B">
      <w:pPr>
        <w:pStyle w:val="Tekstpodstawowy"/>
        <w:numPr>
          <w:ilvl w:val="0"/>
          <w:numId w:val="99"/>
        </w:numPr>
        <w:suppressAutoHyphens/>
        <w:autoSpaceDE/>
        <w:autoSpaceDN/>
        <w:jc w:val="both"/>
        <w:rPr>
          <w:rFonts w:ascii="Lato" w:hAnsi="Lato"/>
          <w:sz w:val="20"/>
          <w:szCs w:val="20"/>
        </w:rPr>
      </w:pPr>
      <w:r w:rsidRPr="00D02C8D">
        <w:rPr>
          <w:rFonts w:ascii="Lato" w:hAnsi="Lato"/>
          <w:sz w:val="20"/>
          <w:szCs w:val="20"/>
        </w:rPr>
        <w:t>usługi informacyjne poprzez dostęp do informacji o uprawnieniach, zasobach i usługach</w:t>
      </w:r>
      <w:r w:rsidRPr="00D02C8D">
        <w:rPr>
          <w:rFonts w:ascii="Lato" w:hAnsi="Lato"/>
          <w:sz w:val="20"/>
          <w:szCs w:val="20"/>
        </w:rPr>
        <w:br/>
        <w:t>z wykorzystaniem różnych technik i metod informacyjnych pomoc uzyskało 4054 osób starszych,</w:t>
      </w:r>
    </w:p>
    <w:p w14:paraId="51529467" w14:textId="77777777" w:rsidR="00D02C8D" w:rsidRDefault="00D02C8D" w:rsidP="00D02C8D">
      <w:pPr>
        <w:spacing w:after="0" w:line="240" w:lineRule="auto"/>
        <w:jc w:val="both"/>
        <w:rPr>
          <w:rFonts w:ascii="Lato" w:eastAsia="Times New Roman" w:hAnsi="Lato"/>
          <w:sz w:val="20"/>
          <w:szCs w:val="20"/>
        </w:rPr>
      </w:pPr>
    </w:p>
    <w:p w14:paraId="3E39B320" w14:textId="68141679" w:rsidR="00D02C8D" w:rsidRPr="008B6166" w:rsidRDefault="00D02C8D" w:rsidP="00D02C8D">
      <w:pPr>
        <w:spacing w:after="0" w:line="240" w:lineRule="auto"/>
        <w:jc w:val="both"/>
        <w:rPr>
          <w:rFonts w:ascii="Lato" w:eastAsia="Times New Roman" w:hAnsi="Lato"/>
          <w:sz w:val="20"/>
          <w:szCs w:val="20"/>
        </w:rPr>
      </w:pPr>
      <w:r w:rsidRPr="008B6166">
        <w:rPr>
          <w:rFonts w:ascii="Lato" w:eastAsia="Times New Roman" w:hAnsi="Lato"/>
          <w:sz w:val="20"/>
          <w:szCs w:val="20"/>
        </w:rPr>
        <w:t xml:space="preserve">Cele polityki senioralnej również w roku 2022 r. skupione były na zabezpieczeniu zdrowia i życia seniorów w odniesieniu do realnego zagrożenia wywołanego pandemią i skutkami, jakie spowodowała w przestrzeni publicznej. Znaczną rolę odegrało zwiększenie dostępności do usług zdrowotnych, rehabilitacyjnych i opiekuńczo-pielęgnacyjnych dostosowanych do potrzeb osób starszych, zwłaszcza samotnych i z niepełnosprawnościami. Jednak nie sposób nie dostrzec inicjatyw podejmowanych przez i na rzecz seniorów, mających na celu integrację międzypokoleniową, promujących ich umiejętności i doświadczenia, poprzez które </w:t>
      </w:r>
      <w:r w:rsidRPr="008B6166">
        <w:rPr>
          <w:rFonts w:ascii="Lato" w:hAnsi="Lato"/>
          <w:sz w:val="20"/>
          <w:szCs w:val="20"/>
        </w:rPr>
        <w:t>odgrywają znaczącą rolę w integracji międzypokoleniowej.</w:t>
      </w:r>
    </w:p>
    <w:p w14:paraId="57FBEE05" w14:textId="77777777" w:rsidR="008B6166" w:rsidRPr="00D02C8D" w:rsidRDefault="008B6166" w:rsidP="00D02C8D">
      <w:pPr>
        <w:spacing w:after="0" w:line="240" w:lineRule="auto"/>
        <w:jc w:val="both"/>
        <w:rPr>
          <w:rFonts w:ascii="Lato" w:hAnsi="Lato"/>
          <w:b/>
          <w:bCs/>
          <w:sz w:val="20"/>
          <w:szCs w:val="20"/>
          <w:highlight w:val="yellow"/>
        </w:rPr>
      </w:pPr>
    </w:p>
    <w:p w14:paraId="68BD6F51" w14:textId="3ED046B1" w:rsidR="008B6166" w:rsidRPr="00D02C8D" w:rsidRDefault="008B6166" w:rsidP="008B6166">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76E7259B" w14:textId="43771511" w:rsidR="008B6166" w:rsidRPr="008B6166" w:rsidRDefault="008B6166" w:rsidP="008B6166">
      <w:pPr>
        <w:spacing w:after="0" w:line="240" w:lineRule="auto"/>
        <w:jc w:val="both"/>
        <w:rPr>
          <w:rFonts w:ascii="Lato" w:hAnsi="Lato"/>
          <w:sz w:val="20"/>
          <w:szCs w:val="20"/>
        </w:rPr>
      </w:pPr>
      <w:r w:rsidRPr="008B6166">
        <w:rPr>
          <w:rFonts w:ascii="Lato" w:hAnsi="Lato"/>
          <w:b/>
          <w:bCs/>
          <w:sz w:val="20"/>
          <w:szCs w:val="20"/>
        </w:rPr>
        <w:t xml:space="preserve">Projekt „Śląskie dla Seniora – Śląska Karta Seniora”. </w:t>
      </w:r>
      <w:r w:rsidRPr="008B6166">
        <w:rPr>
          <w:rFonts w:ascii="Lato" w:hAnsi="Lato"/>
          <w:sz w:val="20"/>
          <w:szCs w:val="20"/>
        </w:rPr>
        <w:t xml:space="preserve">Jest to oferta specjalnych usług, ulg oraz szczególnych uprawnień pozwalających na udostępnienie zasobów instytucji kultury, rekreacji i edukacji na terenie Województwa Śląskiego w celu dodatkowego wsparcia osób, które ukończyły 60 roku życia. Usługi realizowane w ramach Śląskiej Karty Seniora są oferowane przez partnerów projektu m. in. podmioty powiązane strukturalnie i kapitałowo z Województwem Śląskim, partnerów z sektora prywatnego i jednostek samorządu terytorialnego. Aktualnie liczba partnerów świadczących specjalną ofertę dla seniorów wynosi 145. Z danych zgromadzonych przez ROPS wynika, że w 2022 roku z projektu skorzystało łącznie 69 666 seniorów. Największym zainteresowaniem seniorów cieszyła się oferta Muzeum Górnictwa Węglowego w Zabrzu, Muzeum Śląskiego w Katowicach, Zamku Cieszyn, Śląskiego Ogrodu Zoologicznego w Chorzowie, Teatru Rozrywki, Instytucji Filmowej SILESIA FILM oraz Filharmonii Śląskiej im. Henryka Mikołaja Góreckiego w Katowicach. Dodatkowo partnerzy projektu podejmowali działania na rzecz seniorów wykraczające poza ofertę świadczoną w ramach projektu „Śląskie dla Seniora – Śląska Karta Seniora”. Grupą uprawnioną do korzystania ze Śląskiej Karty Seniora są osoby, które ukończyły 60 rok życia. Dokumentem legitymacyjnym umożliwiającym skorzystanie z uprawnień oferowanych w projekcie jest dowód osobisty. </w:t>
      </w:r>
    </w:p>
    <w:p w14:paraId="74BE11D1" w14:textId="77777777" w:rsidR="008B6166" w:rsidRPr="008B6166" w:rsidRDefault="008B6166" w:rsidP="008B6166">
      <w:pPr>
        <w:pStyle w:val="Akapitzlist"/>
        <w:spacing w:after="0" w:line="240" w:lineRule="auto"/>
        <w:ind w:left="360"/>
        <w:jc w:val="both"/>
        <w:rPr>
          <w:rStyle w:val="Hipercze"/>
          <w:rFonts w:ascii="Lato" w:hAnsi="Lato"/>
          <w:sz w:val="20"/>
          <w:szCs w:val="20"/>
        </w:rPr>
      </w:pPr>
    </w:p>
    <w:p w14:paraId="3ABE752A" w14:textId="5734B75C" w:rsidR="008B6166" w:rsidRPr="008B6166" w:rsidRDefault="008B6166" w:rsidP="008B6166">
      <w:pPr>
        <w:spacing w:after="0" w:line="240" w:lineRule="auto"/>
        <w:jc w:val="both"/>
        <w:rPr>
          <w:rFonts w:ascii="Lato" w:hAnsi="Lato"/>
          <w:sz w:val="20"/>
          <w:szCs w:val="20"/>
        </w:rPr>
      </w:pPr>
      <w:r w:rsidRPr="008B6166">
        <w:rPr>
          <w:rFonts w:ascii="Lato" w:hAnsi="Lato"/>
          <w:b/>
          <w:bCs/>
          <w:sz w:val="20"/>
          <w:szCs w:val="20"/>
        </w:rPr>
        <w:lastRenderedPageBreak/>
        <w:t>Program małych grantów</w:t>
      </w:r>
      <w:r w:rsidRPr="008B6166">
        <w:rPr>
          <w:rFonts w:ascii="Lato" w:hAnsi="Lato"/>
          <w:sz w:val="20"/>
          <w:szCs w:val="20"/>
        </w:rPr>
        <w:t xml:space="preserve"> dla organizacji senioralnych i działających na rzecz seniorów. W 2022 roku przeprowadzono nabór ofert i dofinansowano 33 podmioty na łączną kwotę 300 000,00 zł. W ramach działań mających na celu wsparcie środowisk seniorskich finansowano zadania, których realizacja dotyczyła aktywizacji i integracji seniorów oraz wzmocnienia potencjału środowisk seniorskich z terenu województwa śląskiego. Ponadto w 2022 roku prowadzono weryfikację sprawozdań podmiotów, które otrzymały dofinansowanie w ramach programu małych grantów dla organizacji senioralnych i działających na rzecz seniorów.</w:t>
      </w:r>
    </w:p>
    <w:p w14:paraId="4D517711" w14:textId="77777777" w:rsidR="008B6166" w:rsidRPr="008B6166" w:rsidRDefault="008B6166" w:rsidP="008B6166">
      <w:pPr>
        <w:spacing w:after="0" w:line="240" w:lineRule="auto"/>
        <w:jc w:val="both"/>
        <w:rPr>
          <w:rFonts w:ascii="Lato" w:hAnsi="Lato"/>
          <w:sz w:val="20"/>
          <w:szCs w:val="20"/>
          <w:highlight w:val="yellow"/>
        </w:rPr>
      </w:pPr>
    </w:p>
    <w:p w14:paraId="5EA2CEBC" w14:textId="42FAA1DA" w:rsidR="008B6166" w:rsidRPr="008B6166" w:rsidRDefault="008B6166" w:rsidP="008B6166">
      <w:pPr>
        <w:spacing w:after="0" w:line="240" w:lineRule="auto"/>
        <w:jc w:val="both"/>
        <w:rPr>
          <w:rFonts w:ascii="Lato" w:hAnsi="Lato"/>
          <w:b/>
          <w:bCs/>
          <w:sz w:val="20"/>
          <w:szCs w:val="20"/>
        </w:rPr>
      </w:pPr>
      <w:r w:rsidRPr="008B6166">
        <w:rPr>
          <w:rFonts w:ascii="Lato" w:hAnsi="Lato"/>
          <w:b/>
          <w:bCs/>
          <w:sz w:val="20"/>
          <w:szCs w:val="20"/>
        </w:rPr>
        <w:t xml:space="preserve">Śląska Rada ds. Seniorów II kadencji. </w:t>
      </w:r>
      <w:r w:rsidRPr="008B6166">
        <w:rPr>
          <w:rFonts w:ascii="Lato" w:hAnsi="Lato"/>
          <w:sz w:val="20"/>
          <w:szCs w:val="20"/>
        </w:rPr>
        <w:t>Została powołana Zarządzeniem Marszałka Województwa Śląskiego nr 50/19 z dnia 23 kwietnia 2019 r. Rada jest</w:t>
      </w:r>
      <w:r w:rsidRPr="008B6166">
        <w:rPr>
          <w:rFonts w:ascii="Lato" w:hAnsi="Lato"/>
          <w:b/>
          <w:bCs/>
          <w:sz w:val="20"/>
          <w:szCs w:val="20"/>
        </w:rPr>
        <w:t xml:space="preserve"> </w:t>
      </w:r>
      <w:r w:rsidRPr="008B6166">
        <w:rPr>
          <w:rFonts w:ascii="Lato" w:hAnsi="Lato"/>
          <w:sz w:val="20"/>
          <w:szCs w:val="20"/>
        </w:rPr>
        <w:t>organem opiniodawczym i doradczym składający się z 19 członków, przedstawicieli środowisk senioralnych, działających społecznie przy Marszałku</w:t>
      </w:r>
      <w:r>
        <w:rPr>
          <w:rFonts w:ascii="Lato" w:hAnsi="Lato"/>
          <w:sz w:val="20"/>
          <w:szCs w:val="20"/>
        </w:rPr>
        <w:t xml:space="preserve"> </w:t>
      </w:r>
      <w:r w:rsidRPr="008B6166">
        <w:rPr>
          <w:rFonts w:ascii="Lato" w:hAnsi="Lato"/>
          <w:sz w:val="20"/>
          <w:szCs w:val="20"/>
        </w:rPr>
        <w:t xml:space="preserve">Województwa Śląskiego w celu wzmocnienia i rozwoju regionalnej polityki senioralnej. Jej działania zmierzają do integrowania środowisk osób starszych, tworzenia płaszczyzny wymiany dobrych praktyk, informowania i wspierania środowisk seniorów oraz budowania przestrzeni społecznej przyjaznej najstarszym mieszkańcom. W 2022 roku odbyły się cztery posiedzenia Rady. </w:t>
      </w:r>
      <w:r w:rsidRPr="008B6166">
        <w:rPr>
          <w:rFonts w:ascii="Lato" w:hAnsi="Lato"/>
          <w:color w:val="000000"/>
          <w:sz w:val="20"/>
          <w:szCs w:val="20"/>
        </w:rPr>
        <w:t>Dodatkowo w 2022 roku ROPS współpracował z Radą przy opracowaniu sprawozdań i opiniowaniu dokumentów.</w:t>
      </w:r>
    </w:p>
    <w:p w14:paraId="26E1F3BD" w14:textId="77777777" w:rsidR="008B6166" w:rsidRPr="008B6166" w:rsidRDefault="008B6166" w:rsidP="008B6166">
      <w:pPr>
        <w:pStyle w:val="Akapitzlist"/>
        <w:spacing w:after="0" w:line="240" w:lineRule="auto"/>
        <w:ind w:left="360"/>
        <w:jc w:val="both"/>
        <w:rPr>
          <w:rFonts w:ascii="Lato" w:hAnsi="Lato"/>
          <w:b/>
          <w:bCs/>
          <w:sz w:val="20"/>
          <w:szCs w:val="20"/>
          <w:highlight w:val="yellow"/>
        </w:rPr>
      </w:pPr>
    </w:p>
    <w:p w14:paraId="455073A6" w14:textId="77777777" w:rsidR="008B6166" w:rsidRPr="008B6166" w:rsidRDefault="008B6166" w:rsidP="008B6166">
      <w:pPr>
        <w:spacing w:after="0" w:line="240" w:lineRule="auto"/>
        <w:jc w:val="both"/>
        <w:rPr>
          <w:rFonts w:ascii="Lato" w:hAnsi="Lato"/>
          <w:sz w:val="20"/>
          <w:szCs w:val="20"/>
        </w:rPr>
      </w:pPr>
      <w:r w:rsidRPr="008B6166">
        <w:rPr>
          <w:rFonts w:ascii="Lato" w:hAnsi="Lato"/>
          <w:b/>
          <w:bCs/>
          <w:sz w:val="20"/>
          <w:szCs w:val="20"/>
        </w:rPr>
        <w:t xml:space="preserve">Strona internetowa seniorzy.slaskie.pl oraz seniorzy.rops-katowice.pl </w:t>
      </w:r>
      <w:r w:rsidRPr="008B6166">
        <w:rPr>
          <w:rFonts w:ascii="Lato" w:hAnsi="Lato"/>
          <w:sz w:val="20"/>
          <w:szCs w:val="20"/>
        </w:rPr>
        <w:t xml:space="preserve">W 2022 roku wspierano merytorycznie stronę seniorzy.slaskie.pl oraz administrowano stronę seniorzy.rops-katowice.pl Strony zawierają m.in.: najważniejsze aktualności o wydarzeniach w regionie, poradniki dla seniorów, ofertę partnerów Śląskiej Karty Seniora, materiały składające się na pakiet Koperty Życia, informacje o Śląskiej Radzie ds. Seniorów. Ponadto w celu poszerzenia grona odbiorców prowadzono również fanpage projektu  </w:t>
      </w:r>
      <w:r w:rsidRPr="008B6166">
        <w:rPr>
          <w:rFonts w:ascii="Lato" w:hAnsi="Lato"/>
          <w:i/>
          <w:sz w:val="20"/>
          <w:szCs w:val="20"/>
        </w:rPr>
        <w:t>Śląskie dla Seniora</w:t>
      </w:r>
      <w:r w:rsidRPr="008B6166">
        <w:rPr>
          <w:rFonts w:ascii="Lato" w:hAnsi="Lato"/>
          <w:sz w:val="20"/>
          <w:szCs w:val="20"/>
        </w:rPr>
        <w:t xml:space="preserve"> na </w:t>
      </w:r>
      <w:proofErr w:type="spellStart"/>
      <w:r w:rsidRPr="008B6166">
        <w:rPr>
          <w:rFonts w:ascii="Lato" w:hAnsi="Lato"/>
          <w:sz w:val="20"/>
          <w:szCs w:val="20"/>
        </w:rPr>
        <w:t>Facebook’u</w:t>
      </w:r>
      <w:proofErr w:type="spellEnd"/>
      <w:r w:rsidRPr="008B6166">
        <w:rPr>
          <w:rFonts w:ascii="Lato" w:hAnsi="Lato"/>
          <w:sz w:val="20"/>
          <w:szCs w:val="20"/>
        </w:rPr>
        <w:t>.</w:t>
      </w:r>
    </w:p>
    <w:p w14:paraId="3A7186EA" w14:textId="77777777" w:rsidR="008B6166" w:rsidRPr="008B6166" w:rsidRDefault="008B6166" w:rsidP="008B6166">
      <w:pPr>
        <w:pStyle w:val="Akapitzlist"/>
        <w:spacing w:after="0" w:line="240" w:lineRule="auto"/>
        <w:rPr>
          <w:rFonts w:ascii="Lato" w:hAnsi="Lato"/>
          <w:sz w:val="20"/>
          <w:szCs w:val="20"/>
          <w:highlight w:val="yellow"/>
        </w:rPr>
      </w:pPr>
    </w:p>
    <w:p w14:paraId="30519028" w14:textId="2A362CA0" w:rsidR="008B6166" w:rsidRPr="008B6166" w:rsidRDefault="008B6166" w:rsidP="008B6166">
      <w:pPr>
        <w:spacing w:after="0" w:line="240" w:lineRule="auto"/>
        <w:jc w:val="both"/>
        <w:rPr>
          <w:rFonts w:ascii="Lato" w:hAnsi="Lato"/>
          <w:b/>
          <w:bCs/>
          <w:sz w:val="20"/>
          <w:szCs w:val="20"/>
        </w:rPr>
      </w:pPr>
      <w:r w:rsidRPr="008B6166">
        <w:rPr>
          <w:rFonts w:ascii="Lato" w:hAnsi="Lato"/>
          <w:b/>
          <w:bCs/>
          <w:sz w:val="20"/>
          <w:szCs w:val="20"/>
        </w:rPr>
        <w:t>„Koperta Życia”.</w:t>
      </w:r>
      <w:r w:rsidRPr="008B6166">
        <w:rPr>
          <w:rFonts w:ascii="Lato" w:hAnsi="Lato"/>
          <w:sz w:val="20"/>
          <w:szCs w:val="20"/>
        </w:rPr>
        <w:t xml:space="preserve"> Jej celem jest ułatwienie ratownikom medycznym, pracownikom pomocy społecznej i innym służbom interwencyjnym dostępu do ważnych informacji medycznych mogących uratować życie osoby w podeszłym wieku. Koperta Życia składa się z ujednoliconej karty informacyjnej, w której podaje się informacje dotyczące jej właściciela m.in. dane osobowe, numer telefonu do bliskiej osoby, przebyte choroby, zażywane leki i uczulenia. Wypełnioną kartę wkłada się najczęściej do lodówki, na której umieszcza się naklejkę z logotypem Koperty Życia. Umieszczenie karty w widocznym i dostępnym miejscu umożliwia służbom interwencyjnym szybsze udzielenie pomocy osobie poszkodowanej (np. w sytuacji, gdy jest ona nieprzytomna), dzięki dostępowi do podstawowych informacji o jej stanie zdrowia. Materiały składające się na Kopertę Życia opracowane zostały przez ekspertów, w tym przedstawicieli służb interwencyjnych mających duże doświadczenie w udzielaniu pomocy poszkodowanym. Na stronie internetowej seniorzy.slaskie.pl udostępniono wzór karty do uzupełnienia oraz naklejki, a ponadto ulotkę informacyjną i prezentację do wykorzystania przez osoby/podmioty zainteresowane przedsięwzięciem. Ponadto pakiety Koperty Życia były dystrybuowane wśród seniorów podczas wydarzeń organizowanych przez Samorząd Województwa Śląskiego.</w:t>
      </w:r>
    </w:p>
    <w:p w14:paraId="44141D81" w14:textId="77777777" w:rsidR="008B6166" w:rsidRPr="008B6166" w:rsidRDefault="008B6166" w:rsidP="008B6166">
      <w:pPr>
        <w:pStyle w:val="Akapitzlist"/>
        <w:spacing w:after="0" w:line="240" w:lineRule="auto"/>
        <w:ind w:left="360"/>
        <w:jc w:val="both"/>
        <w:rPr>
          <w:rFonts w:ascii="Lato" w:hAnsi="Lato"/>
          <w:b/>
          <w:bCs/>
          <w:sz w:val="20"/>
          <w:szCs w:val="20"/>
        </w:rPr>
      </w:pPr>
    </w:p>
    <w:p w14:paraId="52BCC8EF" w14:textId="66233CA7" w:rsidR="008B6166" w:rsidRPr="008B6166" w:rsidRDefault="008B6166" w:rsidP="008B6166">
      <w:pPr>
        <w:spacing w:after="0" w:line="240" w:lineRule="auto"/>
        <w:jc w:val="both"/>
        <w:rPr>
          <w:rFonts w:ascii="Lato" w:hAnsi="Lato"/>
          <w:b/>
          <w:bCs/>
          <w:sz w:val="20"/>
          <w:szCs w:val="20"/>
        </w:rPr>
      </w:pPr>
      <w:r w:rsidRPr="008B6166">
        <w:rPr>
          <w:rFonts w:ascii="Lato" w:hAnsi="Lato"/>
          <w:b/>
          <w:bCs/>
          <w:sz w:val="20"/>
          <w:szCs w:val="20"/>
        </w:rPr>
        <w:t xml:space="preserve">Konkurs „Śląski Prometeusz 2022”. </w:t>
      </w:r>
      <w:r w:rsidRPr="008B6166">
        <w:rPr>
          <w:rFonts w:ascii="Lato" w:hAnsi="Lato"/>
          <w:sz w:val="20"/>
          <w:szCs w:val="20"/>
        </w:rPr>
        <w:t>Regionalny Ośrodek Polityki Społecznej zorganizował III edycję Wojewódzkiego Konkursu dla Pracowników Systemu Pomocy i Integracji Społecznej „Śląski Prometeusz”, którego celem było uhonorowanie wyróżniających się pracowników systemu pomocowego jak również promocja zawodów pomocowych. Konkurs przeprowadzony został w pięciu kategoriach: pracownik socjalny, opiekun/ pielęgniarka, terapeuta/ specjalista reintegracji,  pracownik obsługi oraz asystent rodziny. Do udziału w konkursie zgłoszono 38 pracowników systemu pomocy społecznej. Uroczysta gala wręczenia nagród odbyła się 14 listopada 2022 roku w Planetarium i Obserwatorium Astronomicznym im. Mikołaja Kopernika w Chorzowie.</w:t>
      </w:r>
    </w:p>
    <w:p w14:paraId="2F756852" w14:textId="77777777" w:rsidR="008B6166" w:rsidRPr="008B6166" w:rsidRDefault="008B6166" w:rsidP="008B6166">
      <w:pPr>
        <w:pStyle w:val="Akapitzlist"/>
        <w:spacing w:after="0" w:line="240" w:lineRule="auto"/>
        <w:rPr>
          <w:rFonts w:ascii="Lato" w:hAnsi="Lato"/>
          <w:b/>
          <w:bCs/>
          <w:sz w:val="20"/>
          <w:szCs w:val="20"/>
        </w:rPr>
      </w:pPr>
    </w:p>
    <w:p w14:paraId="462FD00E" w14:textId="150AC983" w:rsidR="008B6166" w:rsidRPr="008B6166" w:rsidRDefault="008B6166" w:rsidP="008B6166">
      <w:pPr>
        <w:spacing w:after="0" w:line="240" w:lineRule="auto"/>
        <w:jc w:val="both"/>
        <w:rPr>
          <w:rFonts w:ascii="Lato" w:hAnsi="Lato"/>
          <w:sz w:val="20"/>
          <w:szCs w:val="20"/>
        </w:rPr>
      </w:pPr>
      <w:r w:rsidRPr="008B6166">
        <w:rPr>
          <w:rFonts w:ascii="Lato" w:hAnsi="Lato"/>
          <w:b/>
          <w:bCs/>
          <w:sz w:val="20"/>
          <w:szCs w:val="20"/>
        </w:rPr>
        <w:t xml:space="preserve">Konkurs „Ambasador Srebrnego Pokolenia Województwa Śląskiego 2022” </w:t>
      </w:r>
      <w:r w:rsidRPr="008B6166">
        <w:rPr>
          <w:rFonts w:ascii="Lato" w:hAnsi="Lato"/>
          <w:sz w:val="20"/>
          <w:szCs w:val="20"/>
        </w:rPr>
        <w:t>został zorganizowany w celu wyróżnienia czterech osób starszych mogących stanowić godny do naśladowania wzór dla innych seniorów, wyróżniających się wybitną działalnością i postawą w życiu społecznym. Seniorzy zostali wyróżnieni w czterech kategoriach: seniorki, która pomaga innym, seniorki walczącej o klimat i czyste powietrze, seniorki, która skupia się na relacjach międzypokoleniowych, przekazującej wiedzę młodym oraz seniorki aktywnej zawodowo. Uroczyste wręczenie nagród odbyło się w dniu 22 grudnia 2022 roku w Sali Kolumnowej Urzędu Marszałkowskiego Województwa Śląskiego w Katowicach.</w:t>
      </w:r>
    </w:p>
    <w:p w14:paraId="334D80C1" w14:textId="77777777" w:rsidR="008B6166" w:rsidRPr="008B6166" w:rsidRDefault="008B6166" w:rsidP="008B6166">
      <w:pPr>
        <w:spacing w:after="0" w:line="240" w:lineRule="auto"/>
        <w:jc w:val="both"/>
        <w:rPr>
          <w:rFonts w:ascii="Lato" w:hAnsi="Lato"/>
          <w:b/>
          <w:bCs/>
          <w:sz w:val="20"/>
          <w:szCs w:val="20"/>
        </w:rPr>
      </w:pPr>
    </w:p>
    <w:p w14:paraId="3F513385" w14:textId="0373AABC" w:rsidR="008B6166" w:rsidRPr="008B6166" w:rsidRDefault="008B6166" w:rsidP="008B6166">
      <w:pPr>
        <w:spacing w:after="0" w:line="240" w:lineRule="auto"/>
        <w:jc w:val="both"/>
        <w:rPr>
          <w:rFonts w:ascii="Lato" w:hAnsi="Lato"/>
          <w:sz w:val="20"/>
          <w:szCs w:val="20"/>
        </w:rPr>
      </w:pPr>
      <w:bookmarkStart w:id="172" w:name="_Hlk136350071"/>
      <w:r w:rsidRPr="008B6166">
        <w:rPr>
          <w:rFonts w:ascii="Lato" w:hAnsi="Lato"/>
          <w:b/>
          <w:bCs/>
          <w:sz w:val="20"/>
          <w:szCs w:val="20"/>
        </w:rPr>
        <w:t xml:space="preserve">SILVER SILESIA 2022. </w:t>
      </w:r>
      <w:r w:rsidRPr="008B6166">
        <w:rPr>
          <w:rFonts w:ascii="Lato" w:hAnsi="Lato"/>
          <w:sz w:val="20"/>
          <w:szCs w:val="20"/>
        </w:rPr>
        <w:t xml:space="preserve">W dniach 13-15 czerwca 2022 roku w hali widowiskowo-sportowej pod Dębowcem w Bielsku-Białej zorganizowano II Wojewódzką Konferencję Senioralną i Targi Senioralne </w:t>
      </w:r>
      <w:r w:rsidRPr="008B6166">
        <w:rPr>
          <w:rFonts w:ascii="Lato" w:hAnsi="Lato"/>
          <w:sz w:val="20"/>
          <w:szCs w:val="20"/>
        </w:rPr>
        <w:lastRenderedPageBreak/>
        <w:t>SILVER SILESIA 2022. Wydarzenie to jest inicjatywą Samorządu Województwa</w:t>
      </w:r>
      <w:r>
        <w:rPr>
          <w:rFonts w:ascii="Lato" w:hAnsi="Lato"/>
          <w:sz w:val="20"/>
          <w:szCs w:val="20"/>
        </w:rPr>
        <w:t xml:space="preserve"> </w:t>
      </w:r>
      <w:r w:rsidRPr="008B6166">
        <w:rPr>
          <w:rFonts w:ascii="Lato" w:hAnsi="Lato"/>
          <w:sz w:val="20"/>
          <w:szCs w:val="20"/>
        </w:rPr>
        <w:t xml:space="preserve">Śląskiego, której celem jest promocja różnych form przedsiębiorczości w srebrnej gospodarce, które kierują się zasadami etyki i uczciwości wobec Seniorów jako istotnej grupy Konsumentów. W Targach wzięło udział ok. 4 000 osób, które odwiedziły stanowiska wystawiennicze, gdzie prezentowane były produkty i usługi skierowane do Seniorów. Konferencja była okazją do spotkania środowisk naukowych, polityków oraz profesjonalistów realizujących w praktyce politykę senioralną w środowiskach lokalnych. Ponadto przez 3 dni Targów odbywały się występy i pokazy twórczości artystycznej Seniorów i twórczości skierowanej do Seniorów. W trakcie trwania Targów dostępne było także tzw. „miasteczko zdrowia”, gdzie korzystano z konsultacji lekarskich, badań profilaktycznych i porad prozdrowotnych oferowanych przez jednostki i szpitale, dla których organem założycielskim jest Województwo Śląskie. Wydarzenie objęte było honorowymi patronatami: Ministra Rodziny i Polityki Społecznej, członka Zarządu Województwa Śląskiego oraz Przewodniczącego Sejmiku Województwa Śląskiego. Współorganizatorem przedsięwzięcia było Miasto Bielsko-Biała. </w:t>
      </w:r>
    </w:p>
    <w:bookmarkEnd w:id="172"/>
    <w:p w14:paraId="02CB25D5" w14:textId="77777777" w:rsidR="008B6166" w:rsidRDefault="008B6166" w:rsidP="008B6166">
      <w:pPr>
        <w:spacing w:after="0" w:line="240" w:lineRule="auto"/>
        <w:jc w:val="both"/>
        <w:rPr>
          <w:rFonts w:ascii="Lato" w:hAnsi="Lato"/>
          <w:b/>
          <w:bCs/>
          <w:sz w:val="20"/>
          <w:szCs w:val="20"/>
        </w:rPr>
      </w:pPr>
    </w:p>
    <w:p w14:paraId="0AABDC5A" w14:textId="2FD112CE" w:rsidR="008B6166" w:rsidRPr="008B6166" w:rsidRDefault="008B6166" w:rsidP="008B6166">
      <w:pPr>
        <w:spacing w:after="0" w:line="240" w:lineRule="auto"/>
        <w:jc w:val="both"/>
        <w:rPr>
          <w:rFonts w:ascii="Lato" w:hAnsi="Lato"/>
          <w:b/>
          <w:bCs/>
          <w:sz w:val="20"/>
          <w:szCs w:val="20"/>
        </w:rPr>
      </w:pPr>
      <w:r w:rsidRPr="008B6166">
        <w:rPr>
          <w:rFonts w:ascii="Lato" w:hAnsi="Lato"/>
          <w:b/>
          <w:bCs/>
          <w:sz w:val="20"/>
          <w:szCs w:val="20"/>
        </w:rPr>
        <w:t xml:space="preserve">SILVER RUN 2022. </w:t>
      </w:r>
      <w:r w:rsidRPr="008B6166">
        <w:rPr>
          <w:rFonts w:ascii="Lato" w:hAnsi="Lato"/>
          <w:sz w:val="20"/>
          <w:szCs w:val="20"/>
        </w:rPr>
        <w:t xml:space="preserve">Dnia 25 czerwca 2022 roku na obiekcie ośrodka sportowo–rekreacyjnego </w:t>
      </w:r>
      <w:r w:rsidRPr="008B6166">
        <w:rPr>
          <w:rFonts w:ascii="Lato" w:hAnsi="Lato"/>
          <w:sz w:val="20"/>
          <w:szCs w:val="20"/>
        </w:rPr>
        <w:br/>
        <w:t>w Ożarowicach odbyło się wydarzenie o charakterze sportowo – rekreacyjnym dla Seniorów pod nazwą SILVER RUN 2022. W trakcie imprezy odbyły się marsze dla Seniorów na 2 trasach: 5 km oraz 2 km. Ponadto uczestnicy mieli okazję skorzystania ze Strefy zdrowego i aktywnego Seniora, Strefy kulinarnej oraz kulturalnej. Wydarzenie było również okazją do spotkania i integracji środowisk seniorskich z różnych części województwa śląskiego.</w:t>
      </w:r>
    </w:p>
    <w:p w14:paraId="7E31277B" w14:textId="77777777" w:rsidR="008B6166" w:rsidRPr="008B6166" w:rsidRDefault="008B6166" w:rsidP="008B6166">
      <w:pPr>
        <w:pStyle w:val="Akapitzlist"/>
        <w:spacing w:after="0" w:line="240" w:lineRule="auto"/>
        <w:rPr>
          <w:rFonts w:ascii="Lato" w:hAnsi="Lato"/>
          <w:b/>
          <w:bCs/>
          <w:sz w:val="20"/>
          <w:szCs w:val="20"/>
        </w:rPr>
      </w:pPr>
    </w:p>
    <w:p w14:paraId="3EC4A221" w14:textId="08E11153" w:rsidR="008B6166" w:rsidRPr="008B6166" w:rsidRDefault="008B6166" w:rsidP="008B6166">
      <w:pPr>
        <w:spacing w:after="0" w:line="240" w:lineRule="auto"/>
        <w:jc w:val="both"/>
        <w:rPr>
          <w:rFonts w:ascii="Lato" w:hAnsi="Lato"/>
          <w:b/>
          <w:bCs/>
          <w:sz w:val="20"/>
          <w:szCs w:val="20"/>
        </w:rPr>
      </w:pPr>
      <w:r w:rsidRPr="008B6166">
        <w:rPr>
          <w:rFonts w:ascii="Lato" w:hAnsi="Lato"/>
          <w:b/>
          <w:bCs/>
          <w:sz w:val="20"/>
          <w:szCs w:val="20"/>
        </w:rPr>
        <w:t xml:space="preserve">Różnorodne działania informacyjno-promocyjne w zakresie wspierania seniorów </w:t>
      </w:r>
      <w:r w:rsidRPr="008B6166">
        <w:rPr>
          <w:rFonts w:ascii="Lato" w:hAnsi="Lato"/>
          <w:sz w:val="20"/>
          <w:szCs w:val="20"/>
        </w:rPr>
        <w:t xml:space="preserve">m. in. ROPS uczestniczył we współorganizacji </w:t>
      </w:r>
      <w:bookmarkStart w:id="173" w:name="_Hlk85012537"/>
      <w:r w:rsidRPr="008B6166">
        <w:rPr>
          <w:rFonts w:ascii="Lato" w:hAnsi="Lato"/>
          <w:sz w:val="20"/>
          <w:szCs w:val="20"/>
        </w:rPr>
        <w:t>XIV Ogólnopolskiej Olimpiady Sportowej Uniwersytetów Trzeciego wieku i Organizacji Senioralnych</w:t>
      </w:r>
      <w:bookmarkEnd w:id="173"/>
      <w:r w:rsidRPr="008B6166">
        <w:rPr>
          <w:rFonts w:ascii="Lato" w:hAnsi="Lato"/>
          <w:sz w:val="20"/>
          <w:szCs w:val="20"/>
        </w:rPr>
        <w:t xml:space="preserve"> „Trzeci Wiek na Start” na Stadionie Śląskim w Chorzowie, która odbyła się w dniach 16-17 września 2022 roku. Olimpiada ta jest jednym z największych wydarzeń sportowych adresowanych do seniorów w naszym kraju. Wspólnie z innymi przedstawicielami samorządu województwa śląskiego promowano akcje i programy wojewódzkie, takie jak: „Śląskie. Zmieniamy powietrze na dobre”, „Śląskie. Dla Seniora” czy „Marszałkowski Budżet Obywatelski.</w:t>
      </w:r>
    </w:p>
    <w:p w14:paraId="188C9CFD" w14:textId="784E24A9" w:rsidR="008B6166" w:rsidRDefault="008B6166" w:rsidP="00D02C8D">
      <w:pPr>
        <w:pStyle w:val="NormalnyWeb"/>
        <w:ind w:firstLine="0"/>
        <w:rPr>
          <w:rFonts w:ascii="Lato" w:hAnsi="Lato"/>
          <w:b/>
          <w:sz w:val="20"/>
          <w:szCs w:val="20"/>
        </w:rPr>
      </w:pPr>
    </w:p>
    <w:p w14:paraId="68E155E9" w14:textId="1DFF3C94" w:rsidR="00D02C8D" w:rsidRDefault="00D02C8D" w:rsidP="00D02C8D">
      <w:pPr>
        <w:spacing w:after="0" w:line="240" w:lineRule="auto"/>
        <w:jc w:val="both"/>
        <w:rPr>
          <w:rFonts w:ascii="Lato" w:eastAsia="Calibri" w:hAnsi="Lato"/>
          <w:b/>
          <w:sz w:val="20"/>
          <w:szCs w:val="20"/>
        </w:rPr>
      </w:pPr>
      <w:r w:rsidRPr="00D02C8D">
        <w:rPr>
          <w:rFonts w:ascii="Lato" w:eastAsia="Calibri" w:hAnsi="Lato"/>
          <w:b/>
          <w:sz w:val="20"/>
          <w:szCs w:val="20"/>
        </w:rPr>
        <w:t>Dąbrowa Zielona</w:t>
      </w:r>
    </w:p>
    <w:p w14:paraId="1644B0B5" w14:textId="4D6F4662" w:rsidR="00D02C8D" w:rsidRDefault="00D02C8D" w:rsidP="00D02C8D">
      <w:pPr>
        <w:spacing w:after="0" w:line="240" w:lineRule="auto"/>
        <w:jc w:val="both"/>
        <w:rPr>
          <w:rFonts w:ascii="Lato" w:eastAsia="Calibri" w:hAnsi="Lato"/>
          <w:sz w:val="20"/>
          <w:szCs w:val="20"/>
        </w:rPr>
      </w:pPr>
      <w:proofErr w:type="spellStart"/>
      <w:r w:rsidRPr="00D02C8D">
        <w:rPr>
          <w:rFonts w:ascii="Lato" w:eastAsia="Calibri" w:hAnsi="Lato"/>
          <w:sz w:val="20"/>
          <w:szCs w:val="20"/>
        </w:rPr>
        <w:t>Dąbrowiacy</w:t>
      </w:r>
      <w:proofErr w:type="spellEnd"/>
      <w:r w:rsidRPr="00D02C8D">
        <w:rPr>
          <w:rFonts w:ascii="Lato" w:eastAsia="Calibri" w:hAnsi="Lato"/>
          <w:sz w:val="20"/>
          <w:szCs w:val="20"/>
        </w:rPr>
        <w:t xml:space="preserve"> Kreatywni i Aktywni to projekt, skierowany do wszystkich osób, które ukończyły 60 rok życia i chcą aktywnie, twórczo i ciekawie spędzić czas. W ramach projektu realizowano m. in. Warsztaty </w:t>
      </w:r>
      <w:proofErr w:type="spellStart"/>
      <w:r w:rsidRPr="00D02C8D">
        <w:rPr>
          <w:rFonts w:ascii="Lato" w:eastAsia="Calibri" w:hAnsi="Lato"/>
          <w:sz w:val="20"/>
          <w:szCs w:val="20"/>
        </w:rPr>
        <w:t>nordic</w:t>
      </w:r>
      <w:proofErr w:type="spellEnd"/>
      <w:r w:rsidRPr="00D02C8D">
        <w:rPr>
          <w:rFonts w:ascii="Lato" w:eastAsia="Calibri" w:hAnsi="Lato"/>
          <w:sz w:val="20"/>
          <w:szCs w:val="20"/>
        </w:rPr>
        <w:t xml:space="preserve"> </w:t>
      </w:r>
      <w:proofErr w:type="spellStart"/>
      <w:r w:rsidRPr="00D02C8D">
        <w:rPr>
          <w:rFonts w:ascii="Lato" w:eastAsia="Calibri" w:hAnsi="Lato"/>
          <w:sz w:val="20"/>
          <w:szCs w:val="20"/>
        </w:rPr>
        <w:t>walking</w:t>
      </w:r>
      <w:proofErr w:type="spellEnd"/>
      <w:r w:rsidRPr="00D02C8D">
        <w:rPr>
          <w:rFonts w:ascii="Lato" w:eastAsia="Calibri" w:hAnsi="Lato"/>
          <w:sz w:val="20"/>
          <w:szCs w:val="20"/>
        </w:rPr>
        <w:t xml:space="preserve">, </w:t>
      </w:r>
      <w:proofErr w:type="spellStart"/>
      <w:r w:rsidRPr="00D02C8D">
        <w:rPr>
          <w:rFonts w:ascii="Lato" w:eastAsia="Calibri" w:hAnsi="Lato"/>
          <w:sz w:val="20"/>
          <w:szCs w:val="20"/>
        </w:rPr>
        <w:t>aquaaerobic</w:t>
      </w:r>
      <w:proofErr w:type="spellEnd"/>
      <w:r w:rsidRPr="00D02C8D">
        <w:rPr>
          <w:rFonts w:ascii="Lato" w:eastAsia="Calibri" w:hAnsi="Lato"/>
          <w:sz w:val="20"/>
          <w:szCs w:val="20"/>
        </w:rPr>
        <w:t>, informatyczne, rękodzieła, szachowe, warsztaty z wolontariatu senioralnego oraz wycieczki i wyjazdy do opery i kina. Liderem projektu jest Stowarzyszenie Dąbrowski Klub seniora</w:t>
      </w:r>
      <w:r>
        <w:rPr>
          <w:rFonts w:ascii="Lato" w:eastAsia="Calibri" w:hAnsi="Lato"/>
          <w:sz w:val="20"/>
          <w:szCs w:val="20"/>
        </w:rPr>
        <w:t>.</w:t>
      </w:r>
    </w:p>
    <w:p w14:paraId="40EC0E72" w14:textId="430A0F3C" w:rsidR="00D02C8D" w:rsidRDefault="00D02C8D" w:rsidP="00D02C8D">
      <w:pPr>
        <w:spacing w:after="0" w:line="240" w:lineRule="auto"/>
        <w:jc w:val="both"/>
        <w:rPr>
          <w:rFonts w:ascii="Lato" w:eastAsia="Calibri" w:hAnsi="Lato"/>
          <w:sz w:val="20"/>
          <w:szCs w:val="20"/>
        </w:rPr>
      </w:pPr>
    </w:p>
    <w:p w14:paraId="73F740E4" w14:textId="1C3E31F6"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Łazy</w:t>
      </w:r>
    </w:p>
    <w:p w14:paraId="190F7E4A" w14:textId="61E6789E" w:rsidR="00D02C8D" w:rsidRDefault="00D02C8D" w:rsidP="00D02C8D">
      <w:pPr>
        <w:spacing w:after="0" w:line="240" w:lineRule="auto"/>
        <w:jc w:val="both"/>
        <w:rPr>
          <w:rFonts w:ascii="Lato" w:eastAsia="Calibri" w:hAnsi="Lato"/>
          <w:sz w:val="20"/>
          <w:szCs w:val="20"/>
        </w:rPr>
      </w:pPr>
      <w:r>
        <w:rPr>
          <w:rFonts w:ascii="Lato" w:eastAsia="Calibri" w:hAnsi="Lato"/>
          <w:sz w:val="20"/>
          <w:szCs w:val="20"/>
        </w:rPr>
        <w:t>W</w:t>
      </w:r>
      <w:r w:rsidRPr="008B6166">
        <w:rPr>
          <w:rFonts w:ascii="Lato" w:eastAsia="Calibri" w:hAnsi="Lato"/>
          <w:sz w:val="20"/>
          <w:szCs w:val="20"/>
        </w:rPr>
        <w:t xml:space="preserve"> ramach akcji Książka na telefon usługa Biblioteki w Łazach skierowana jest także do osób w zaawansowanym wieku, przewlekle chorych, niepełnosprawnych lub ograniczonych ruchowo, zamieszkałych na terenie gminy Łazy, które mają problem z dotarciem do Biblioteki, w 2022 roku z tej formy skorzystało 35 osób</w:t>
      </w:r>
    </w:p>
    <w:p w14:paraId="15883E08" w14:textId="4F7386E2" w:rsidR="00D02C8D" w:rsidRDefault="00D02C8D" w:rsidP="00D02C8D">
      <w:pPr>
        <w:spacing w:after="0" w:line="240" w:lineRule="auto"/>
        <w:jc w:val="both"/>
        <w:rPr>
          <w:rFonts w:ascii="Lato" w:eastAsia="Calibri" w:hAnsi="Lato"/>
          <w:sz w:val="20"/>
          <w:szCs w:val="20"/>
        </w:rPr>
      </w:pPr>
    </w:p>
    <w:p w14:paraId="1E0A705C" w14:textId="5ED4D40E"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Ruda Śląska</w:t>
      </w:r>
    </w:p>
    <w:p w14:paraId="72CB6A36" w14:textId="77777777" w:rsidR="00D02C8D" w:rsidRDefault="00D02C8D" w:rsidP="0059185B">
      <w:pPr>
        <w:pStyle w:val="Akapitzlist"/>
        <w:numPr>
          <w:ilvl w:val="0"/>
          <w:numId w:val="105"/>
        </w:numPr>
        <w:spacing w:after="0" w:line="240" w:lineRule="auto"/>
        <w:jc w:val="both"/>
        <w:rPr>
          <w:rFonts w:ascii="Lato" w:eastAsia="Calibri" w:hAnsi="Lato"/>
          <w:sz w:val="20"/>
          <w:szCs w:val="20"/>
        </w:rPr>
      </w:pPr>
      <w:r w:rsidRPr="00D02C8D">
        <w:rPr>
          <w:rFonts w:ascii="Lato" w:eastAsia="Calibri" w:hAnsi="Lato"/>
          <w:sz w:val="20"/>
          <w:szCs w:val="20"/>
        </w:rPr>
        <w:t>działalność Rudzkiego Uniwersytetu Trzeciego Wieku ma na celu zwiększenie i zachowanie intelektualnej, psychicznej i fizycznej sprawności członków, prowadzenie edukacji w różnych dziedzinach nauki – w formie wykładów, seminariów, propagowanie komunikacji społecznej, rozwoju indywidualnych zainteresowań, inspirowanie wszelkich działań na rzecz osób starszych</w:t>
      </w:r>
    </w:p>
    <w:p w14:paraId="454D1BB6" w14:textId="74E0B578" w:rsidR="00D02C8D" w:rsidRPr="00D02C8D" w:rsidRDefault="00D02C8D" w:rsidP="0059185B">
      <w:pPr>
        <w:pStyle w:val="Akapitzlist"/>
        <w:numPr>
          <w:ilvl w:val="0"/>
          <w:numId w:val="105"/>
        </w:numPr>
        <w:spacing w:after="0" w:line="240" w:lineRule="auto"/>
        <w:jc w:val="both"/>
        <w:rPr>
          <w:rFonts w:ascii="Lato" w:eastAsia="Calibri" w:hAnsi="Lato"/>
          <w:sz w:val="20"/>
          <w:szCs w:val="20"/>
        </w:rPr>
      </w:pPr>
      <w:r w:rsidRPr="00D02C8D">
        <w:rPr>
          <w:rFonts w:ascii="Lato" w:eastAsia="Calibri" w:hAnsi="Lato"/>
          <w:sz w:val="20"/>
          <w:szCs w:val="20"/>
        </w:rPr>
        <w:t>obchody Dnia Kombatanta. Spotkania integracyjne środowiska kombatantów i Rodzin Katyńskich – wzmocnienie poczucia przynależności rudzkich kombatantów i budowanie więzi między pokoleniami</w:t>
      </w:r>
      <w:r>
        <w:rPr>
          <w:rFonts w:ascii="Lato" w:eastAsia="Calibri" w:hAnsi="Lato"/>
          <w:sz w:val="20"/>
          <w:szCs w:val="20"/>
        </w:rPr>
        <w:t>.</w:t>
      </w:r>
    </w:p>
    <w:p w14:paraId="17573FB8" w14:textId="77777777" w:rsidR="00D02C8D" w:rsidRDefault="00D02C8D" w:rsidP="00D02C8D">
      <w:pPr>
        <w:spacing w:after="0" w:line="240" w:lineRule="auto"/>
        <w:jc w:val="both"/>
        <w:rPr>
          <w:rFonts w:ascii="Lato" w:eastAsia="Calibri" w:hAnsi="Lato"/>
          <w:b/>
          <w:sz w:val="20"/>
          <w:szCs w:val="20"/>
        </w:rPr>
      </w:pPr>
    </w:p>
    <w:p w14:paraId="63C3C00C" w14:textId="14ABA14A" w:rsidR="00D02C8D" w:rsidRDefault="00D02C8D" w:rsidP="00D02C8D">
      <w:pPr>
        <w:spacing w:after="0" w:line="240" w:lineRule="auto"/>
        <w:jc w:val="both"/>
        <w:rPr>
          <w:rFonts w:ascii="Lato" w:eastAsia="Calibri" w:hAnsi="Lato"/>
          <w:b/>
          <w:sz w:val="20"/>
          <w:szCs w:val="20"/>
        </w:rPr>
      </w:pPr>
      <w:r>
        <w:rPr>
          <w:rFonts w:ascii="Lato" w:eastAsia="Calibri" w:hAnsi="Lato"/>
          <w:b/>
          <w:sz w:val="20"/>
          <w:szCs w:val="20"/>
        </w:rPr>
        <w:t>Zabrze</w:t>
      </w:r>
    </w:p>
    <w:p w14:paraId="198A1A22" w14:textId="34DF85CC" w:rsidR="00D02C8D" w:rsidRDefault="00D02C8D" w:rsidP="00D02C8D">
      <w:pPr>
        <w:spacing w:after="0" w:line="240" w:lineRule="auto"/>
        <w:jc w:val="both"/>
        <w:rPr>
          <w:rFonts w:ascii="Lato" w:eastAsia="Calibri" w:hAnsi="Lato"/>
          <w:sz w:val="20"/>
          <w:szCs w:val="20"/>
        </w:rPr>
      </w:pPr>
      <w:r w:rsidRPr="008B6166">
        <w:rPr>
          <w:rFonts w:ascii="Lato" w:eastAsia="Calibri" w:hAnsi="Lato"/>
          <w:sz w:val="20"/>
          <w:szCs w:val="20"/>
        </w:rPr>
        <w:t xml:space="preserve">działania międzypokoleniowe: współpraca z przedszkolami, szkołami, szpitalem oraz  z Programem Aktywności Lokalnej </w:t>
      </w:r>
      <w:r>
        <w:rPr>
          <w:rFonts w:ascii="Lato" w:eastAsia="Calibri" w:hAnsi="Lato"/>
          <w:sz w:val="20"/>
          <w:szCs w:val="20"/>
        </w:rPr>
        <w:t>–</w:t>
      </w:r>
      <w:r w:rsidRPr="008B6166">
        <w:rPr>
          <w:rFonts w:ascii="Lato" w:eastAsia="Calibri" w:hAnsi="Lato"/>
          <w:sz w:val="20"/>
          <w:szCs w:val="20"/>
        </w:rPr>
        <w:t xml:space="preserve"> nauka szycia na maszynach dzieci ze szkół podstawowych, szycie poduszek  dla dzieci i wspólnie z dziećmi w Uniwersyteckim Centrum Klinicznym w Katowicach, występy dzieci dla seniorów, wzajemne prezenty, wspólny udział w festynie i jarmarku Świątecznym, międzypokoleniowa wymiana doświadczeń, obchody 100 </w:t>
      </w:r>
      <w:proofErr w:type="spellStart"/>
      <w:r w:rsidRPr="008B6166">
        <w:rPr>
          <w:rFonts w:ascii="Lato" w:eastAsia="Calibri" w:hAnsi="Lato"/>
          <w:sz w:val="20"/>
          <w:szCs w:val="20"/>
        </w:rPr>
        <w:t>lecia</w:t>
      </w:r>
      <w:proofErr w:type="spellEnd"/>
      <w:r w:rsidRPr="008B6166">
        <w:rPr>
          <w:rFonts w:ascii="Lato" w:eastAsia="Calibri" w:hAnsi="Lato"/>
          <w:sz w:val="20"/>
          <w:szCs w:val="20"/>
        </w:rPr>
        <w:t xml:space="preserve"> Zabrza udział w imprezie zorganizowanej przez Przedszkole nr 48, udział w </w:t>
      </w:r>
      <w:proofErr w:type="spellStart"/>
      <w:r w:rsidRPr="008B6166">
        <w:rPr>
          <w:rFonts w:ascii="Lato" w:eastAsia="Calibri" w:hAnsi="Lato"/>
          <w:sz w:val="20"/>
          <w:szCs w:val="20"/>
        </w:rPr>
        <w:t>ogólnomiejskiej</w:t>
      </w:r>
      <w:proofErr w:type="spellEnd"/>
      <w:r w:rsidRPr="008B6166">
        <w:rPr>
          <w:rFonts w:ascii="Lato" w:eastAsia="Calibri" w:hAnsi="Lato"/>
          <w:sz w:val="20"/>
          <w:szCs w:val="20"/>
        </w:rPr>
        <w:t xml:space="preserve"> imprezie  Skarbnikowe Gody warsztaty dla dzieci, uczestnictwo w obchodach Dnia Górnika w Szkole Podstawowej nr 21, spotkanie dzieci ze Szkoły Podstawowej nr 21 z seniorami z </w:t>
      </w:r>
      <w:r w:rsidRPr="008B6166">
        <w:rPr>
          <w:rFonts w:ascii="Lato" w:eastAsia="Calibri" w:hAnsi="Lato"/>
          <w:sz w:val="20"/>
          <w:szCs w:val="20"/>
        </w:rPr>
        <w:lastRenderedPageBreak/>
        <w:t>okazji Święta Marcina, wolontariat w ramach Korpusu Wsparcia Seniorów na rok 2022 świadczony przez młodzież z Zespołu Szkół Katolickich</w:t>
      </w:r>
      <w:r>
        <w:rPr>
          <w:rFonts w:ascii="Lato" w:eastAsia="Calibri" w:hAnsi="Lato"/>
          <w:sz w:val="20"/>
          <w:szCs w:val="20"/>
        </w:rPr>
        <w:t>.</w:t>
      </w:r>
    </w:p>
    <w:p w14:paraId="7E1CB5E7" w14:textId="77777777" w:rsidR="00D02C8D" w:rsidRPr="00D02C8D" w:rsidRDefault="00D02C8D" w:rsidP="00D02C8D">
      <w:pPr>
        <w:spacing w:after="0" w:line="240" w:lineRule="auto"/>
        <w:jc w:val="both"/>
        <w:rPr>
          <w:rFonts w:ascii="Lato" w:eastAsia="Calibri" w:hAnsi="Lato"/>
          <w:b/>
          <w:sz w:val="20"/>
          <w:szCs w:val="20"/>
        </w:rPr>
      </w:pPr>
    </w:p>
    <w:p w14:paraId="44D15F4A" w14:textId="77777777" w:rsidR="008B6166" w:rsidRPr="00757CE7" w:rsidRDefault="008B6166" w:rsidP="008B6166">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7B67753A" w14:textId="33B77BE4" w:rsidR="008B6166" w:rsidRPr="008B6166" w:rsidRDefault="008B6166" w:rsidP="008B6166">
      <w:pPr>
        <w:pStyle w:val="Tekstpodstawowy"/>
        <w:jc w:val="both"/>
        <w:rPr>
          <w:rFonts w:ascii="Lato" w:hAnsi="Lato"/>
          <w:b/>
          <w:bCs/>
          <w:sz w:val="20"/>
          <w:szCs w:val="20"/>
        </w:rPr>
      </w:pPr>
      <w:r w:rsidRPr="008B6166">
        <w:rPr>
          <w:rFonts w:ascii="Lato" w:hAnsi="Lato"/>
          <w:b/>
          <w:bCs/>
          <w:sz w:val="20"/>
          <w:szCs w:val="20"/>
        </w:rPr>
        <w:t>Bobrowniki powiat będziński</w:t>
      </w:r>
    </w:p>
    <w:p w14:paraId="290F80A2" w14:textId="77777777" w:rsidR="008B6166" w:rsidRDefault="008B6166" w:rsidP="0059185B">
      <w:pPr>
        <w:pStyle w:val="Akapitzlist"/>
        <w:numPr>
          <w:ilvl w:val="0"/>
          <w:numId w:val="102"/>
        </w:numPr>
        <w:spacing w:after="0" w:line="240" w:lineRule="auto"/>
        <w:jc w:val="both"/>
        <w:rPr>
          <w:rFonts w:ascii="Lato" w:eastAsia="Calibri" w:hAnsi="Lato"/>
          <w:sz w:val="20"/>
          <w:szCs w:val="20"/>
        </w:rPr>
      </w:pPr>
      <w:r w:rsidRPr="008B6166">
        <w:rPr>
          <w:rFonts w:ascii="Lato" w:eastAsia="Calibri" w:hAnsi="Lato"/>
          <w:sz w:val="20"/>
          <w:szCs w:val="20"/>
        </w:rPr>
        <w:t xml:space="preserve">zajęcia sportowe, treningi gry w </w:t>
      </w:r>
      <w:proofErr w:type="spellStart"/>
      <w:r w:rsidRPr="008B6166">
        <w:rPr>
          <w:rFonts w:ascii="Lato" w:eastAsia="Calibri" w:hAnsi="Lato"/>
          <w:sz w:val="20"/>
          <w:szCs w:val="20"/>
        </w:rPr>
        <w:t>speed-ball</w:t>
      </w:r>
      <w:proofErr w:type="spellEnd"/>
      <w:r w:rsidRPr="008B6166">
        <w:rPr>
          <w:rFonts w:ascii="Lato" w:eastAsia="Calibri" w:hAnsi="Lato"/>
          <w:sz w:val="20"/>
          <w:szCs w:val="20"/>
        </w:rPr>
        <w:t xml:space="preserve">, odbywające się raz w tygodniu w Hali Widowiskowo Sportowej w Rogoźniku, organizowane przez Klub Sportowy Seniora </w:t>
      </w:r>
      <w:proofErr w:type="spellStart"/>
      <w:r w:rsidRPr="008B6166">
        <w:rPr>
          <w:rFonts w:ascii="Lato" w:eastAsia="Calibri" w:hAnsi="Lato"/>
          <w:sz w:val="20"/>
          <w:szCs w:val="20"/>
        </w:rPr>
        <w:t>Royal</w:t>
      </w:r>
      <w:proofErr w:type="spellEnd"/>
      <w:r w:rsidRPr="008B6166">
        <w:rPr>
          <w:rFonts w:ascii="Lato" w:eastAsia="Calibri" w:hAnsi="Lato"/>
          <w:sz w:val="20"/>
          <w:szCs w:val="20"/>
        </w:rPr>
        <w:t xml:space="preserve">  udział wzięło około 30 osób,</w:t>
      </w:r>
    </w:p>
    <w:p w14:paraId="46AAAE4E" w14:textId="77777777" w:rsidR="008B6166" w:rsidRDefault="008B6166" w:rsidP="0059185B">
      <w:pPr>
        <w:pStyle w:val="Akapitzlist"/>
        <w:numPr>
          <w:ilvl w:val="0"/>
          <w:numId w:val="102"/>
        </w:numPr>
        <w:spacing w:after="0" w:line="240" w:lineRule="auto"/>
        <w:jc w:val="both"/>
        <w:rPr>
          <w:rFonts w:ascii="Lato" w:eastAsia="Calibri" w:hAnsi="Lato"/>
          <w:sz w:val="20"/>
          <w:szCs w:val="20"/>
        </w:rPr>
      </w:pPr>
      <w:r w:rsidRPr="008B6166">
        <w:rPr>
          <w:rFonts w:ascii="Lato" w:eastAsia="Calibri" w:hAnsi="Lato"/>
          <w:sz w:val="20"/>
          <w:szCs w:val="20"/>
        </w:rPr>
        <w:t xml:space="preserve">zajęcia </w:t>
      </w:r>
      <w:proofErr w:type="spellStart"/>
      <w:r w:rsidRPr="008B6166">
        <w:rPr>
          <w:rFonts w:ascii="Lato" w:eastAsia="Calibri" w:hAnsi="Lato"/>
          <w:sz w:val="20"/>
          <w:szCs w:val="20"/>
        </w:rPr>
        <w:t>Nordic</w:t>
      </w:r>
      <w:proofErr w:type="spellEnd"/>
      <w:r w:rsidRPr="008B6166">
        <w:rPr>
          <w:rFonts w:ascii="Lato" w:eastAsia="Calibri" w:hAnsi="Lato"/>
          <w:sz w:val="20"/>
          <w:szCs w:val="20"/>
        </w:rPr>
        <w:t xml:space="preserve"> </w:t>
      </w:r>
      <w:proofErr w:type="spellStart"/>
      <w:r w:rsidRPr="008B6166">
        <w:rPr>
          <w:rFonts w:ascii="Lato" w:eastAsia="Calibri" w:hAnsi="Lato"/>
          <w:sz w:val="20"/>
          <w:szCs w:val="20"/>
        </w:rPr>
        <w:t>Walking</w:t>
      </w:r>
      <w:proofErr w:type="spellEnd"/>
      <w:r w:rsidRPr="008B6166">
        <w:rPr>
          <w:rFonts w:ascii="Lato" w:eastAsia="Calibri" w:hAnsi="Lato"/>
          <w:sz w:val="20"/>
          <w:szCs w:val="20"/>
        </w:rPr>
        <w:t xml:space="preserve"> organizowane raz w tygodniu przez Stowarzyszenie Bobry </w:t>
      </w:r>
      <w:proofErr w:type="spellStart"/>
      <w:r w:rsidRPr="008B6166">
        <w:rPr>
          <w:rFonts w:ascii="Lato" w:eastAsia="Calibri" w:hAnsi="Lato"/>
          <w:sz w:val="20"/>
          <w:szCs w:val="20"/>
        </w:rPr>
        <w:t>Walking</w:t>
      </w:r>
      <w:proofErr w:type="spellEnd"/>
      <w:r w:rsidRPr="008B6166">
        <w:rPr>
          <w:rFonts w:ascii="Lato" w:eastAsia="Calibri" w:hAnsi="Lato"/>
          <w:sz w:val="20"/>
          <w:szCs w:val="20"/>
        </w:rPr>
        <w:t xml:space="preserve"> uczestniczyło około 25-35 osób,</w:t>
      </w:r>
    </w:p>
    <w:p w14:paraId="41537FC9" w14:textId="77777777" w:rsidR="008B6166" w:rsidRDefault="008B6166" w:rsidP="0059185B">
      <w:pPr>
        <w:pStyle w:val="Akapitzlist"/>
        <w:numPr>
          <w:ilvl w:val="0"/>
          <w:numId w:val="102"/>
        </w:numPr>
        <w:spacing w:after="0" w:line="240" w:lineRule="auto"/>
        <w:jc w:val="both"/>
        <w:rPr>
          <w:rFonts w:ascii="Lato" w:eastAsia="Calibri" w:hAnsi="Lato"/>
          <w:sz w:val="20"/>
          <w:szCs w:val="20"/>
        </w:rPr>
      </w:pPr>
      <w:r w:rsidRPr="008B6166">
        <w:rPr>
          <w:rFonts w:ascii="Lato" w:eastAsia="Calibri" w:hAnsi="Lato"/>
          <w:sz w:val="20"/>
          <w:szCs w:val="20"/>
        </w:rPr>
        <w:t xml:space="preserve">zajęcia manualne, </w:t>
      </w:r>
      <w:proofErr w:type="spellStart"/>
      <w:r w:rsidRPr="008B6166">
        <w:rPr>
          <w:rFonts w:ascii="Lato" w:eastAsia="Calibri" w:hAnsi="Lato"/>
          <w:sz w:val="20"/>
          <w:szCs w:val="20"/>
        </w:rPr>
        <w:t>np</w:t>
      </w:r>
      <w:proofErr w:type="spellEnd"/>
      <w:r w:rsidRPr="008B6166">
        <w:rPr>
          <w:rFonts w:ascii="Lato" w:eastAsia="Calibri" w:hAnsi="Lato"/>
          <w:sz w:val="20"/>
          <w:szCs w:val="20"/>
        </w:rPr>
        <w:t>, z rękodzieła, organizowane przez Stowarzyszenie SIEMA Dom Kultury w Siemoni dla 30 osób,</w:t>
      </w:r>
    </w:p>
    <w:p w14:paraId="21189F83" w14:textId="0A678B31" w:rsidR="008B6166" w:rsidRPr="008B6166" w:rsidRDefault="008B6166" w:rsidP="0059185B">
      <w:pPr>
        <w:pStyle w:val="Akapitzlist"/>
        <w:numPr>
          <w:ilvl w:val="0"/>
          <w:numId w:val="102"/>
        </w:numPr>
        <w:spacing w:after="0" w:line="240" w:lineRule="auto"/>
        <w:jc w:val="both"/>
        <w:rPr>
          <w:rFonts w:ascii="Lato" w:eastAsia="Calibri" w:hAnsi="Lato"/>
          <w:sz w:val="20"/>
          <w:szCs w:val="20"/>
        </w:rPr>
      </w:pPr>
      <w:r w:rsidRPr="008B6166">
        <w:rPr>
          <w:rFonts w:ascii="Lato" w:eastAsia="Calibri" w:hAnsi="Lato"/>
          <w:sz w:val="20"/>
          <w:szCs w:val="20"/>
        </w:rPr>
        <w:t>gimnastyka dla Seniorów organizowana przez Stowarzyszenie Rogo Senior, raz w tygodniu w Domu Kultury w Rogoźniku dla 15 osób.</w:t>
      </w:r>
    </w:p>
    <w:p w14:paraId="0CD3E345" w14:textId="3B5A2992" w:rsidR="008B6166" w:rsidRDefault="008B6166" w:rsidP="008B6166">
      <w:pPr>
        <w:pStyle w:val="Tekstpodstawowy"/>
        <w:jc w:val="both"/>
        <w:rPr>
          <w:rFonts w:ascii="Lato" w:hAnsi="Lato"/>
          <w:sz w:val="20"/>
          <w:szCs w:val="20"/>
        </w:rPr>
      </w:pPr>
    </w:p>
    <w:p w14:paraId="0CF9A0EE" w14:textId="52900E53" w:rsidR="008B6166" w:rsidRPr="008B6166" w:rsidRDefault="008B6166" w:rsidP="008B6166">
      <w:pPr>
        <w:pStyle w:val="Tekstpodstawowy"/>
        <w:jc w:val="both"/>
        <w:rPr>
          <w:rFonts w:ascii="Lato" w:hAnsi="Lato"/>
          <w:b/>
          <w:bCs/>
          <w:sz w:val="20"/>
          <w:szCs w:val="20"/>
        </w:rPr>
      </w:pPr>
      <w:r w:rsidRPr="008B6166">
        <w:rPr>
          <w:rFonts w:ascii="Lato" w:hAnsi="Lato"/>
          <w:b/>
          <w:bCs/>
          <w:sz w:val="20"/>
          <w:szCs w:val="20"/>
        </w:rPr>
        <w:t>Wojkowice powiat będziński</w:t>
      </w:r>
    </w:p>
    <w:p w14:paraId="7B827A4A" w14:textId="6A451F6D" w:rsidR="008B6166" w:rsidRPr="008B6166" w:rsidRDefault="008B6166" w:rsidP="0059185B">
      <w:pPr>
        <w:pStyle w:val="Tekstpodstawowy"/>
        <w:numPr>
          <w:ilvl w:val="0"/>
          <w:numId w:val="103"/>
        </w:numPr>
        <w:jc w:val="both"/>
        <w:rPr>
          <w:rFonts w:ascii="Lato" w:hAnsi="Lato"/>
          <w:sz w:val="20"/>
          <w:szCs w:val="20"/>
        </w:rPr>
      </w:pPr>
      <w:r w:rsidRPr="008B6166">
        <w:rPr>
          <w:rFonts w:ascii="Lato" w:eastAsia="Calibri" w:hAnsi="Lato"/>
          <w:sz w:val="20"/>
          <w:szCs w:val="20"/>
        </w:rPr>
        <w:t xml:space="preserve">w ramach działalności Klubu Senior + w Wojkowicach odbywały się spotkania dotyczące różnych dziedzin kultury i sztuki, między innymi Prelekcje o różnorodnej tematyce, rozmowy z twórcami, podróżnikami, psychologami oraz okolicznościowe wydarzenia kulturalne i koncerty. 4 grudnia 2022 roku pod siedzibą Klubu Senior _ w Wojkowicach jak na zagłębiowskie, przemysłowe tradycje przystało odbył się capstrzyk z orkiestrą górniczą, siedziba Klubu mieści się w zabytkowej poprzemysłowej kamienicy w dzielnicy gdzie funkcjonowały kopalnia i cementownia. Seniorzy(niejednokrotnie byli pracownicy kopalni i cementowni) dla upamiętnienia tradycji przemysłowych co roku 4 grudnia pod siedzibę Klubu zapraszają Górniczą Orkiestrę Dętą dla upamiętnienia ważnych dla nich tradycji. Uczestnikom Klubu organizowano warsztaty umiejętności spędzania wolnego czasu poprzez prezentowanie ciekawych filmów, muzyki gier logicznych, śpiewu z wykorzystaniem zestawu karaoke oraz innych zajęć, które stymulowały mózg do treningu i pomogły ćwiczyć pamięć zgodnie z preferencjami seniorów. Istotą działalności w Klubie Senior + kawiarenki obywatelskiej - </w:t>
      </w:r>
      <w:proofErr w:type="spellStart"/>
      <w:r w:rsidRPr="008B6166">
        <w:rPr>
          <w:rFonts w:ascii="Lato" w:eastAsia="Calibri" w:hAnsi="Lato"/>
          <w:sz w:val="20"/>
          <w:szCs w:val="20"/>
        </w:rPr>
        <w:t>porozmawajamy</w:t>
      </w:r>
      <w:proofErr w:type="spellEnd"/>
      <w:r w:rsidRPr="008B6166">
        <w:rPr>
          <w:rFonts w:ascii="Lato" w:eastAsia="Calibri" w:hAnsi="Lato"/>
          <w:sz w:val="20"/>
          <w:szCs w:val="20"/>
        </w:rPr>
        <w:t>! było organizowanie spotkań z ekspertami</w:t>
      </w:r>
      <w:r>
        <w:rPr>
          <w:rFonts w:ascii="Lato" w:eastAsia="Calibri" w:hAnsi="Lato"/>
          <w:sz w:val="20"/>
          <w:szCs w:val="20"/>
        </w:rPr>
        <w:t xml:space="preserve"> </w:t>
      </w:r>
      <w:r w:rsidRPr="008B6166">
        <w:rPr>
          <w:rFonts w:ascii="Lato" w:eastAsia="Calibri" w:hAnsi="Lato"/>
          <w:sz w:val="20"/>
          <w:szCs w:val="20"/>
        </w:rPr>
        <w:t>z różnych dziedzin, warsztaty, wystawy czy pokazy filmowe. Wszystkie miały jeden mianownik: promowały kształtowanie różnych form społeczeństwa obywatelskiego i podnoszenie jakości życia w mieście.</w:t>
      </w:r>
    </w:p>
    <w:p w14:paraId="78D39B1F" w14:textId="68F2DE22" w:rsidR="008B6166" w:rsidRDefault="008B6166" w:rsidP="008B6166">
      <w:pPr>
        <w:pStyle w:val="Tekstpodstawowy"/>
        <w:jc w:val="both"/>
        <w:rPr>
          <w:rFonts w:ascii="Lato" w:eastAsia="Calibri" w:hAnsi="Lato"/>
          <w:sz w:val="20"/>
          <w:szCs w:val="20"/>
        </w:rPr>
      </w:pPr>
    </w:p>
    <w:p w14:paraId="4840B184" w14:textId="68A53383" w:rsidR="008B6166" w:rsidRDefault="008B6166" w:rsidP="008B6166">
      <w:pPr>
        <w:pStyle w:val="Tekstpodstawowy"/>
        <w:jc w:val="both"/>
        <w:rPr>
          <w:rFonts w:ascii="Lato" w:eastAsia="Calibri" w:hAnsi="Lato"/>
          <w:b/>
          <w:bCs/>
          <w:sz w:val="20"/>
          <w:szCs w:val="20"/>
        </w:rPr>
      </w:pPr>
      <w:proofErr w:type="spellStart"/>
      <w:r w:rsidRPr="008B6166">
        <w:rPr>
          <w:rFonts w:ascii="Lato" w:eastAsia="Calibri" w:hAnsi="Lato"/>
          <w:b/>
          <w:bCs/>
          <w:sz w:val="20"/>
          <w:szCs w:val="20"/>
        </w:rPr>
        <w:t>Orzesze</w:t>
      </w:r>
      <w:proofErr w:type="spellEnd"/>
      <w:r w:rsidRPr="008B6166">
        <w:rPr>
          <w:rFonts w:ascii="Lato" w:eastAsia="Calibri" w:hAnsi="Lato"/>
          <w:b/>
          <w:bCs/>
          <w:sz w:val="20"/>
          <w:szCs w:val="20"/>
        </w:rPr>
        <w:t>, powiat mikołowski</w:t>
      </w:r>
    </w:p>
    <w:p w14:paraId="24B6287F" w14:textId="295F106F" w:rsidR="008B6166" w:rsidRPr="00D02C8D" w:rsidRDefault="008B6166" w:rsidP="0059185B">
      <w:pPr>
        <w:pStyle w:val="Tekstpodstawowy"/>
        <w:numPr>
          <w:ilvl w:val="0"/>
          <w:numId w:val="103"/>
        </w:numPr>
        <w:jc w:val="both"/>
        <w:rPr>
          <w:rFonts w:ascii="Lato" w:hAnsi="Lato"/>
          <w:b/>
          <w:bCs/>
          <w:sz w:val="20"/>
          <w:szCs w:val="20"/>
        </w:rPr>
      </w:pPr>
      <w:r w:rsidRPr="008B6166">
        <w:rPr>
          <w:rFonts w:ascii="Lato" w:eastAsia="Calibri" w:hAnsi="Lato"/>
          <w:sz w:val="20"/>
          <w:szCs w:val="20"/>
        </w:rPr>
        <w:t>działania organizowane przez Stowarzyszenie "</w:t>
      </w:r>
      <w:proofErr w:type="spellStart"/>
      <w:r w:rsidRPr="008B6166">
        <w:rPr>
          <w:rFonts w:ascii="Lato" w:eastAsia="Calibri" w:hAnsi="Lato"/>
          <w:sz w:val="20"/>
          <w:szCs w:val="20"/>
        </w:rPr>
        <w:t>Stuska</w:t>
      </w:r>
      <w:proofErr w:type="spellEnd"/>
      <w:r w:rsidRPr="008B6166">
        <w:rPr>
          <w:rFonts w:ascii="Lato" w:eastAsia="Calibri" w:hAnsi="Lato"/>
          <w:sz w:val="20"/>
          <w:szCs w:val="20"/>
        </w:rPr>
        <w:t xml:space="preserve">". </w:t>
      </w:r>
      <w:proofErr w:type="spellStart"/>
      <w:r w:rsidRPr="008B6166">
        <w:rPr>
          <w:rFonts w:ascii="Lato" w:eastAsia="Calibri" w:hAnsi="Lato"/>
          <w:sz w:val="20"/>
          <w:szCs w:val="20"/>
        </w:rPr>
        <w:t>Seniorada</w:t>
      </w:r>
      <w:proofErr w:type="spellEnd"/>
      <w:r w:rsidRPr="008B6166">
        <w:rPr>
          <w:rFonts w:ascii="Lato" w:eastAsia="Calibri" w:hAnsi="Lato"/>
          <w:sz w:val="20"/>
          <w:szCs w:val="20"/>
        </w:rPr>
        <w:t xml:space="preserve"> (pogadanki, propagowanie aktywności fizycznej) w których uczestniczyło 50 osób. Miały na celu m.in. poszerzenie wiedzy o Śląsku, zorganizowano wyjazd do Cieszyna – dla 40 osób. W ramach kultywowania tradycji świątecznych zorganizowano: wigilię dla 80 osób, spacer po mieście śladami historii</w:t>
      </w:r>
      <w:r w:rsidR="00D02C8D">
        <w:rPr>
          <w:rFonts w:ascii="Lato" w:eastAsia="Calibri" w:hAnsi="Lato"/>
          <w:sz w:val="20"/>
          <w:szCs w:val="20"/>
        </w:rPr>
        <w:t>.</w:t>
      </w:r>
    </w:p>
    <w:p w14:paraId="3F063AA1" w14:textId="6D041731" w:rsidR="00D02C8D" w:rsidRDefault="00D02C8D" w:rsidP="00D02C8D">
      <w:pPr>
        <w:pStyle w:val="Tekstpodstawowy"/>
        <w:jc w:val="both"/>
        <w:rPr>
          <w:rFonts w:ascii="Lato" w:eastAsia="Calibri" w:hAnsi="Lato"/>
          <w:sz w:val="20"/>
          <w:szCs w:val="20"/>
        </w:rPr>
      </w:pPr>
    </w:p>
    <w:p w14:paraId="50FA916F" w14:textId="212C7436" w:rsidR="00D02C8D" w:rsidRPr="00D02C8D" w:rsidRDefault="00D02C8D" w:rsidP="00D02C8D">
      <w:pPr>
        <w:pStyle w:val="Tekstpodstawowy"/>
        <w:jc w:val="both"/>
        <w:rPr>
          <w:rFonts w:ascii="Lato" w:eastAsia="Calibri" w:hAnsi="Lato"/>
          <w:b/>
          <w:bCs/>
          <w:sz w:val="20"/>
          <w:szCs w:val="20"/>
        </w:rPr>
      </w:pPr>
      <w:r w:rsidRPr="00D02C8D">
        <w:rPr>
          <w:rFonts w:ascii="Lato" w:eastAsia="Calibri" w:hAnsi="Lato"/>
          <w:b/>
          <w:bCs/>
          <w:sz w:val="20"/>
          <w:szCs w:val="20"/>
        </w:rPr>
        <w:t>Pyskowice, powiat gliwicki</w:t>
      </w:r>
    </w:p>
    <w:p w14:paraId="0D27131E" w14:textId="65592B91" w:rsidR="00D02C8D" w:rsidRDefault="00D02C8D" w:rsidP="0059185B">
      <w:pPr>
        <w:pStyle w:val="Akapitzlist"/>
        <w:numPr>
          <w:ilvl w:val="0"/>
          <w:numId w:val="103"/>
        </w:numPr>
        <w:spacing w:after="0" w:line="240" w:lineRule="auto"/>
        <w:jc w:val="both"/>
        <w:rPr>
          <w:rFonts w:ascii="Lato" w:eastAsia="Calibri" w:hAnsi="Lato"/>
          <w:sz w:val="20"/>
          <w:szCs w:val="20"/>
        </w:rPr>
      </w:pPr>
      <w:r w:rsidRPr="00D02C8D">
        <w:rPr>
          <w:rFonts w:ascii="Lato" w:eastAsia="Calibri" w:hAnsi="Lato"/>
          <w:sz w:val="20"/>
          <w:szCs w:val="20"/>
        </w:rPr>
        <w:t>Rada Seniorów Miasta Pyskowice (RSMP) w ramach swojej działalności informacyjnej, wspierania osób starszych oraz monitorowania ich potrzeb, założyła skrzynki obywatelskie. Inicjatywa służy poznaniu opinii tej grupy mieszkańców na temat komfortu życia seniorów w Pyskowicach oraz zebraniu postulatów, wniosków, potrzeb i pomysłów w celu jego poprawy. Skrzynki znajdują się w: Bibliotece Miejskiej, Urzędzie Miejskim, Świetlicy Osiedlowej, Dziennym Domu Seniora przy ul. Cichej, Klubie Seniora przy kościele pw. Matki Boskiej Nieustającej Pomocy przy ul. Kolejowej, siedzibie Caritas przy kościele św. Pawła Apostoła.</w:t>
      </w:r>
    </w:p>
    <w:p w14:paraId="28E94067" w14:textId="49F96AB4" w:rsidR="00D02C8D" w:rsidRDefault="00D02C8D" w:rsidP="00D02C8D">
      <w:pPr>
        <w:spacing w:after="0" w:line="240" w:lineRule="auto"/>
        <w:jc w:val="both"/>
        <w:rPr>
          <w:rFonts w:ascii="Lato" w:eastAsia="Calibri" w:hAnsi="Lato"/>
          <w:sz w:val="20"/>
          <w:szCs w:val="20"/>
        </w:rPr>
      </w:pPr>
    </w:p>
    <w:p w14:paraId="007F5203" w14:textId="07F5B7FD"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Bestwina, powiat bielski</w:t>
      </w:r>
    </w:p>
    <w:p w14:paraId="78A02186" w14:textId="1B25408B" w:rsidR="00D02C8D" w:rsidRDefault="00D02C8D" w:rsidP="00D02C8D">
      <w:pPr>
        <w:spacing w:after="0" w:line="240" w:lineRule="auto"/>
        <w:jc w:val="both"/>
        <w:rPr>
          <w:rFonts w:ascii="Lato" w:eastAsia="Calibri" w:hAnsi="Lato"/>
          <w:noProof/>
          <w:sz w:val="20"/>
          <w:szCs w:val="20"/>
        </w:rPr>
      </w:pPr>
      <w:r w:rsidRPr="008B6166">
        <w:rPr>
          <w:rFonts w:ascii="Lato" w:eastAsia="Calibri" w:hAnsi="Lato"/>
          <w:noProof/>
          <w:sz w:val="20"/>
          <w:szCs w:val="20"/>
        </w:rPr>
        <w:t xml:space="preserve">Gminny Program Wspierania Aktywności i Zapobiegania Wykluczeniu Społecznemu Seniorów </w:t>
      </w:r>
      <w:r>
        <w:rPr>
          <w:rFonts w:ascii="Lato" w:eastAsia="Calibri" w:hAnsi="Lato"/>
          <w:noProof/>
          <w:sz w:val="20"/>
          <w:szCs w:val="20"/>
        </w:rPr>
        <w:t>–</w:t>
      </w:r>
      <w:r w:rsidRPr="008B6166">
        <w:rPr>
          <w:rFonts w:ascii="Lato" w:eastAsia="Calibri" w:hAnsi="Lato"/>
          <w:noProof/>
          <w:sz w:val="20"/>
          <w:szCs w:val="20"/>
        </w:rPr>
        <w:t xml:space="preserve"> edycja II 2022r. realizowany w siedzibie Ośrodka Mieszkalno-Rehabilitacyjnego Stowarzyszenia na Rzecz Osób z upośledzeniem umysłowym RAZEM w Bestwinie ul. Sikorskiego 48a. Liczba osób 20-25</w:t>
      </w:r>
      <w:r>
        <w:rPr>
          <w:rFonts w:ascii="Lato" w:eastAsia="Calibri" w:hAnsi="Lato"/>
          <w:noProof/>
          <w:sz w:val="20"/>
          <w:szCs w:val="20"/>
        </w:rPr>
        <w:t xml:space="preserve">, </w:t>
      </w:r>
      <w:r w:rsidRPr="008B6166">
        <w:rPr>
          <w:rFonts w:ascii="Lato" w:eastAsia="Calibri" w:hAnsi="Lato"/>
          <w:noProof/>
          <w:sz w:val="20"/>
          <w:szCs w:val="20"/>
        </w:rPr>
        <w:t>zajęcia warsztatowe: kulinarne, stolarskie, ruchowe, rehabilitacyjne, turystyczno-rekreacyjne.</w:t>
      </w:r>
    </w:p>
    <w:p w14:paraId="7F29C38C" w14:textId="003FD4C3" w:rsidR="00D02C8D" w:rsidRDefault="00D02C8D" w:rsidP="00D02C8D">
      <w:pPr>
        <w:spacing w:after="0" w:line="240" w:lineRule="auto"/>
        <w:jc w:val="both"/>
        <w:rPr>
          <w:rFonts w:ascii="Lato" w:eastAsia="Calibri" w:hAnsi="Lato"/>
          <w:noProof/>
          <w:sz w:val="20"/>
          <w:szCs w:val="20"/>
        </w:rPr>
      </w:pPr>
    </w:p>
    <w:p w14:paraId="2BD1FCE8" w14:textId="0EE9CFAC" w:rsidR="00D02C8D" w:rsidRPr="00D02C8D" w:rsidRDefault="00D02C8D" w:rsidP="00D02C8D">
      <w:pPr>
        <w:spacing w:after="0" w:line="240" w:lineRule="auto"/>
        <w:jc w:val="both"/>
        <w:rPr>
          <w:rFonts w:ascii="Lato" w:eastAsia="Calibri" w:hAnsi="Lato"/>
          <w:b/>
          <w:bCs/>
          <w:noProof/>
          <w:sz w:val="20"/>
          <w:szCs w:val="20"/>
        </w:rPr>
      </w:pPr>
      <w:r w:rsidRPr="00D02C8D">
        <w:rPr>
          <w:rFonts w:ascii="Lato" w:eastAsia="Calibri" w:hAnsi="Lato"/>
          <w:b/>
          <w:bCs/>
          <w:noProof/>
          <w:sz w:val="20"/>
          <w:szCs w:val="20"/>
        </w:rPr>
        <w:t>Dąbrowa Górnicza</w:t>
      </w:r>
    </w:p>
    <w:p w14:paraId="5B87E5AF" w14:textId="61408E75" w:rsidR="00D02C8D" w:rsidRDefault="00D02C8D" w:rsidP="0059185B">
      <w:pPr>
        <w:pStyle w:val="Akapitzlist"/>
        <w:numPr>
          <w:ilvl w:val="0"/>
          <w:numId w:val="103"/>
        </w:numPr>
        <w:spacing w:after="0" w:line="240" w:lineRule="auto"/>
        <w:jc w:val="both"/>
        <w:rPr>
          <w:rFonts w:ascii="Lato" w:hAnsi="Lato"/>
          <w:noProof/>
          <w:sz w:val="20"/>
          <w:szCs w:val="20"/>
        </w:rPr>
      </w:pPr>
      <w:r w:rsidRPr="00D02C8D">
        <w:rPr>
          <w:rFonts w:ascii="Lato" w:hAnsi="Lato"/>
          <w:noProof/>
          <w:sz w:val="20"/>
          <w:szCs w:val="20"/>
        </w:rPr>
        <w:t xml:space="preserve">Stowarzyszenie Razem w Przyszłośc, które prowadzi Klub Seniora i Juniora MANHATAN. Realizowało zajęcia: rękodzieła dla dorosłych, zajęcia sportowe, indywidualne porady z zakresu </w:t>
      </w:r>
      <w:r w:rsidRPr="00D02C8D">
        <w:rPr>
          <w:rFonts w:ascii="Lato" w:hAnsi="Lato"/>
          <w:noProof/>
          <w:sz w:val="20"/>
          <w:szCs w:val="20"/>
        </w:rPr>
        <w:lastRenderedPageBreak/>
        <w:t>obsługi komputera i smartfona,gra w brydża. Uczestnikami klubu jest około 50 osób w wieku 60+. Zajęcia realizowane są w siedzibie Stowarzyszenia przy ul. Piłsudskiego 34E/661a</w:t>
      </w:r>
      <w:r>
        <w:rPr>
          <w:rFonts w:ascii="Lato" w:hAnsi="Lato"/>
          <w:noProof/>
          <w:sz w:val="20"/>
          <w:szCs w:val="20"/>
        </w:rPr>
        <w:t>.</w:t>
      </w:r>
    </w:p>
    <w:p w14:paraId="19350C84" w14:textId="73F8958D" w:rsidR="00D02C8D" w:rsidRDefault="00D02C8D" w:rsidP="0059185B">
      <w:pPr>
        <w:pStyle w:val="Akapitzlist"/>
        <w:numPr>
          <w:ilvl w:val="0"/>
          <w:numId w:val="103"/>
        </w:numPr>
        <w:spacing w:after="0" w:line="240" w:lineRule="auto"/>
        <w:jc w:val="both"/>
        <w:rPr>
          <w:rFonts w:ascii="Lato" w:hAnsi="Lato"/>
          <w:noProof/>
          <w:sz w:val="20"/>
          <w:szCs w:val="20"/>
        </w:rPr>
      </w:pPr>
      <w:r w:rsidRPr="00D02C8D">
        <w:rPr>
          <w:rFonts w:ascii="Lato" w:hAnsi="Lato"/>
          <w:noProof/>
          <w:sz w:val="20"/>
          <w:szCs w:val="20"/>
        </w:rPr>
        <w:t>Fundacja WSPIERAMY prowadząca Klub Młodzi Mimo Wieku zrzesza około 25 osób. Wśród realizowanych działań: zajęcia sportowe, wycieczki, zajęcia rozwijające aktywność umysłową osób w wieku 60+. Zajęcia były realizowane w Centrum Aktywności Obywatelskiej przy ul. Sienkiewicza 6A</w:t>
      </w:r>
      <w:r>
        <w:rPr>
          <w:rFonts w:ascii="Lato" w:hAnsi="Lato"/>
          <w:noProof/>
          <w:sz w:val="20"/>
          <w:szCs w:val="20"/>
        </w:rPr>
        <w:t>.</w:t>
      </w:r>
    </w:p>
    <w:p w14:paraId="0A81B2FF" w14:textId="04A5F607" w:rsidR="00D02C8D" w:rsidRDefault="00D02C8D" w:rsidP="0059185B">
      <w:pPr>
        <w:pStyle w:val="Akapitzlist"/>
        <w:numPr>
          <w:ilvl w:val="0"/>
          <w:numId w:val="103"/>
        </w:numPr>
        <w:spacing w:after="0" w:line="240" w:lineRule="auto"/>
        <w:jc w:val="both"/>
        <w:rPr>
          <w:rFonts w:ascii="Lato" w:hAnsi="Lato"/>
          <w:noProof/>
          <w:sz w:val="20"/>
          <w:szCs w:val="20"/>
        </w:rPr>
      </w:pPr>
      <w:r w:rsidRPr="00D02C8D">
        <w:rPr>
          <w:rFonts w:ascii="Lato" w:hAnsi="Lato"/>
          <w:noProof/>
          <w:sz w:val="20"/>
          <w:szCs w:val="20"/>
        </w:rPr>
        <w:t>klub „Aktywuj się” prowadzony przez Stowarzyszenie CIVITAS, w ramach swoich działań zrzesza około 40 osób. Stowarzyszenie w ramach klubu organizowało zajęcia sportowe, taneczne, warsztaty kulinarne, wycieczki krajoznawcze, lekcje języka angielskiego. Zajęcia realizowano w hali sportowej Centru, w hali sportowej przy ul. Swobodnej, w Centrum Aktywności Obywatelskiej oraz w okresie letnim w Parku Hallera</w:t>
      </w:r>
      <w:r>
        <w:rPr>
          <w:rFonts w:ascii="Lato" w:hAnsi="Lato"/>
          <w:noProof/>
          <w:sz w:val="20"/>
          <w:szCs w:val="20"/>
        </w:rPr>
        <w:t xml:space="preserve">. </w:t>
      </w:r>
      <w:r w:rsidRPr="00D02C8D">
        <w:rPr>
          <w:rFonts w:ascii="Lato" w:hAnsi="Lato"/>
          <w:noProof/>
          <w:sz w:val="20"/>
          <w:szCs w:val="20"/>
        </w:rPr>
        <w:t>Stowarzyszenie realizuje również zajęcia z języka angielskiego w English Club w Dąbrowie Górniczej.</w:t>
      </w:r>
    </w:p>
    <w:p w14:paraId="6DDC14A6" w14:textId="77777777" w:rsidR="00D02C8D" w:rsidRPr="00D02C8D" w:rsidRDefault="00D02C8D" w:rsidP="00D02C8D">
      <w:pPr>
        <w:spacing w:after="0" w:line="240" w:lineRule="auto"/>
        <w:jc w:val="both"/>
        <w:rPr>
          <w:rFonts w:ascii="Lato" w:hAnsi="Lato"/>
          <w:noProof/>
          <w:sz w:val="20"/>
          <w:szCs w:val="20"/>
        </w:rPr>
      </w:pPr>
    </w:p>
    <w:p w14:paraId="3AD0B581" w14:textId="6558C919" w:rsidR="00D02C8D" w:rsidRPr="00D02C8D" w:rsidRDefault="00D02C8D" w:rsidP="00D02C8D">
      <w:pPr>
        <w:spacing w:after="0" w:line="240" w:lineRule="auto"/>
        <w:jc w:val="both"/>
        <w:rPr>
          <w:rFonts w:ascii="Lato" w:eastAsia="Calibri" w:hAnsi="Lato"/>
          <w:b/>
          <w:bCs/>
          <w:noProof/>
          <w:sz w:val="20"/>
          <w:szCs w:val="20"/>
        </w:rPr>
      </w:pPr>
      <w:r w:rsidRPr="00D02C8D">
        <w:rPr>
          <w:rFonts w:ascii="Lato" w:eastAsia="Calibri" w:hAnsi="Lato"/>
          <w:b/>
          <w:bCs/>
          <w:noProof/>
          <w:sz w:val="20"/>
          <w:szCs w:val="20"/>
        </w:rPr>
        <w:t>Pawłowice, powiat mikołowski</w:t>
      </w:r>
    </w:p>
    <w:p w14:paraId="1A27BCA5" w14:textId="29DC18D1" w:rsidR="00D02C8D" w:rsidRPr="00D02C8D" w:rsidRDefault="00D02C8D" w:rsidP="0059185B">
      <w:pPr>
        <w:pStyle w:val="Akapitzlist"/>
        <w:numPr>
          <w:ilvl w:val="0"/>
          <w:numId w:val="106"/>
        </w:numPr>
        <w:spacing w:after="0" w:line="240" w:lineRule="auto"/>
        <w:jc w:val="both"/>
        <w:rPr>
          <w:rFonts w:ascii="Lato" w:eastAsia="Calibri" w:hAnsi="Lato"/>
          <w:sz w:val="20"/>
          <w:szCs w:val="20"/>
        </w:rPr>
      </w:pPr>
      <w:r w:rsidRPr="00D02C8D">
        <w:rPr>
          <w:rFonts w:ascii="Lato" w:eastAsia="Calibri" w:hAnsi="Lato"/>
          <w:sz w:val="20"/>
          <w:szCs w:val="20"/>
        </w:rPr>
        <w:t>dla seniorów w Gminnym Ośrodku Kultury w Pawłowicach prowadzone były zajęcia z języka angielskiego i niemieckiego, warsztaty komputerowe, plastyczne oraz ze szkła artystycznego (około 60 osób). – Działał również klub seniora pod  nazwą „Aktywni, Bezpieczni i Zdrowi”(około 25 osób). – Prowadzone były także zespoły ludowe: „Talizman”, „</w:t>
      </w:r>
      <w:proofErr w:type="spellStart"/>
      <w:r w:rsidRPr="00D02C8D">
        <w:rPr>
          <w:rFonts w:ascii="Lato" w:eastAsia="Calibri" w:hAnsi="Lato"/>
          <w:sz w:val="20"/>
          <w:szCs w:val="20"/>
        </w:rPr>
        <w:t>Jarząbkowianki</w:t>
      </w:r>
      <w:proofErr w:type="spellEnd"/>
      <w:r w:rsidRPr="00D02C8D">
        <w:rPr>
          <w:rFonts w:ascii="Lato" w:eastAsia="Calibri" w:hAnsi="Lato"/>
          <w:sz w:val="20"/>
          <w:szCs w:val="20"/>
        </w:rPr>
        <w:t xml:space="preserve">”, </w:t>
      </w:r>
      <w:r>
        <w:rPr>
          <w:rFonts w:ascii="Lato" w:eastAsia="Calibri" w:hAnsi="Lato"/>
          <w:sz w:val="20"/>
          <w:szCs w:val="20"/>
        </w:rPr>
        <w:t xml:space="preserve"> </w:t>
      </w:r>
      <w:r w:rsidRPr="00D02C8D">
        <w:rPr>
          <w:rFonts w:ascii="Lato" w:eastAsia="Calibri" w:hAnsi="Lato"/>
          <w:sz w:val="20"/>
          <w:szCs w:val="20"/>
        </w:rPr>
        <w:t>„Niezapominajki”, „</w:t>
      </w:r>
      <w:proofErr w:type="spellStart"/>
      <w:r w:rsidRPr="00D02C8D">
        <w:rPr>
          <w:rFonts w:ascii="Lato" w:eastAsia="Calibri" w:hAnsi="Lato"/>
          <w:sz w:val="20"/>
          <w:szCs w:val="20"/>
        </w:rPr>
        <w:t>Pielgrzymowianki</w:t>
      </w:r>
      <w:proofErr w:type="spellEnd"/>
      <w:r w:rsidRPr="00D02C8D">
        <w:rPr>
          <w:rFonts w:ascii="Lato" w:eastAsia="Calibri" w:hAnsi="Lato"/>
          <w:sz w:val="20"/>
          <w:szCs w:val="20"/>
        </w:rPr>
        <w:t>”, chóry „Retro" i "Viola" oraz zespół wokalny "Margo" (około 160 osób). Odbywały się także koncerty (około 1500 osób) i imprezy kierowane dla tej grupy wiekowej, np. dyskoteki dla dojrzałych</w:t>
      </w:r>
      <w:r>
        <w:rPr>
          <w:rFonts w:ascii="Lato" w:eastAsia="Calibri" w:hAnsi="Lato"/>
          <w:sz w:val="20"/>
          <w:szCs w:val="20"/>
        </w:rPr>
        <w:t xml:space="preserve"> </w:t>
      </w:r>
      <w:r w:rsidRPr="00D02C8D">
        <w:rPr>
          <w:rFonts w:ascii="Lato" w:eastAsia="Calibri" w:hAnsi="Lato"/>
          <w:sz w:val="20"/>
          <w:szCs w:val="20"/>
        </w:rPr>
        <w:t>(około 200 osób).</w:t>
      </w:r>
    </w:p>
    <w:p w14:paraId="65D09ED2" w14:textId="77777777" w:rsidR="008B6166" w:rsidRPr="008B6166" w:rsidRDefault="008B6166" w:rsidP="008B6166">
      <w:pPr>
        <w:pStyle w:val="Tekstpodstawowy"/>
        <w:jc w:val="both"/>
        <w:rPr>
          <w:rFonts w:ascii="Lato" w:hAnsi="Lato"/>
          <w:sz w:val="20"/>
          <w:szCs w:val="20"/>
        </w:rPr>
      </w:pPr>
    </w:p>
    <w:p w14:paraId="6E62E924" w14:textId="77777777" w:rsidR="00D02C8D" w:rsidRPr="00757CE7" w:rsidRDefault="00D02C8D" w:rsidP="00D02C8D">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2F8635D5" w14:textId="77777777" w:rsidR="00D02C8D" w:rsidRPr="00D02C8D" w:rsidRDefault="00D02C8D" w:rsidP="00D02C8D">
      <w:pPr>
        <w:pStyle w:val="Tekstpodstawowy"/>
        <w:jc w:val="both"/>
        <w:rPr>
          <w:rFonts w:ascii="Lato" w:eastAsia="Calibri" w:hAnsi="Lato"/>
          <w:b/>
          <w:bCs/>
          <w:sz w:val="20"/>
          <w:szCs w:val="20"/>
        </w:rPr>
      </w:pPr>
      <w:r w:rsidRPr="00D02C8D">
        <w:rPr>
          <w:rFonts w:ascii="Lato" w:eastAsia="Calibri" w:hAnsi="Lato"/>
          <w:b/>
          <w:bCs/>
          <w:sz w:val="20"/>
          <w:szCs w:val="20"/>
        </w:rPr>
        <w:t>Pyskowice, powiat gliwicki</w:t>
      </w:r>
    </w:p>
    <w:p w14:paraId="7DA230D8" w14:textId="21945AB7" w:rsidR="008B6166" w:rsidRDefault="00D02C8D" w:rsidP="0059185B">
      <w:pPr>
        <w:pStyle w:val="Akapitzlist"/>
        <w:numPr>
          <w:ilvl w:val="0"/>
          <w:numId w:val="103"/>
        </w:numPr>
        <w:spacing w:after="0" w:line="240" w:lineRule="auto"/>
        <w:jc w:val="both"/>
        <w:rPr>
          <w:rFonts w:ascii="Lato" w:eastAsia="Calibri" w:hAnsi="Lato"/>
          <w:sz w:val="20"/>
          <w:szCs w:val="20"/>
        </w:rPr>
      </w:pPr>
      <w:r w:rsidRPr="00D02C8D">
        <w:rPr>
          <w:rFonts w:ascii="Lato" w:eastAsia="Calibri" w:hAnsi="Lato"/>
          <w:sz w:val="20"/>
          <w:szCs w:val="20"/>
        </w:rPr>
        <w:t xml:space="preserve">pozyskano dofinansowanie na zakup laptopów dla Dziennego Domu Senior+ </w:t>
      </w:r>
      <w:r w:rsidRPr="00D02C8D">
        <w:rPr>
          <w:rFonts w:ascii="Lato" w:eastAsia="Calibri" w:hAnsi="Lato"/>
          <w:sz w:val="20"/>
          <w:szCs w:val="20"/>
        </w:rPr>
        <w:br/>
        <w:t>w Pyskowicach. Dzięki utworzeniu stanowisk służących podniesieniu poziomu kompetencji cyfrowych, Dzienny Domu "Senior+" w Pyskowicach, oprócz dotychczasowej oferty zajęć będzie mógł podnosić kompetencje cyfrowe seniorów oraz je upowszechniać, a także podnosić świadomość oraz pokazywać możliwości, jakie daje cyfryzacja wśród starszych osób</w:t>
      </w:r>
      <w:r>
        <w:rPr>
          <w:rFonts w:ascii="Lato" w:eastAsia="Calibri" w:hAnsi="Lato"/>
          <w:sz w:val="20"/>
          <w:szCs w:val="20"/>
        </w:rPr>
        <w:t>.</w:t>
      </w:r>
    </w:p>
    <w:p w14:paraId="5368E690" w14:textId="033FC364" w:rsidR="00D02C8D" w:rsidRDefault="00D02C8D" w:rsidP="00D02C8D">
      <w:pPr>
        <w:spacing w:after="0" w:line="240" w:lineRule="auto"/>
        <w:jc w:val="both"/>
        <w:rPr>
          <w:rFonts w:ascii="Lato" w:eastAsia="Calibri" w:hAnsi="Lato"/>
          <w:sz w:val="20"/>
          <w:szCs w:val="20"/>
        </w:rPr>
      </w:pPr>
    </w:p>
    <w:p w14:paraId="40379723" w14:textId="51980D4C"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Rybnik</w:t>
      </w:r>
    </w:p>
    <w:p w14:paraId="2388BA9B" w14:textId="77777777" w:rsidR="00D02C8D" w:rsidRDefault="00D02C8D" w:rsidP="0059185B">
      <w:pPr>
        <w:pStyle w:val="Akapitzlist"/>
        <w:numPr>
          <w:ilvl w:val="0"/>
          <w:numId w:val="103"/>
        </w:numPr>
        <w:spacing w:after="0" w:line="240" w:lineRule="auto"/>
        <w:jc w:val="both"/>
        <w:rPr>
          <w:rFonts w:ascii="Lato" w:eastAsia="Calibri" w:hAnsi="Lato"/>
          <w:sz w:val="20"/>
          <w:szCs w:val="20"/>
        </w:rPr>
      </w:pPr>
      <w:r w:rsidRPr="00D02C8D">
        <w:rPr>
          <w:rFonts w:ascii="Lato" w:eastAsia="Calibri" w:hAnsi="Lato"/>
          <w:sz w:val="20"/>
          <w:szCs w:val="20"/>
        </w:rPr>
        <w:t>wzmocnienie aktywności społecznej osób starszych i utrzymywanie ich w dobrej kondycji psychicznej, włączanie do życia społecznego za pomocą  Rybnickiego Telefonu Seniora, obsługiwanego przez 37 seniorów  wolontariuszy (przeprowadzono łącznie 324 rozmowy)</w:t>
      </w:r>
    </w:p>
    <w:p w14:paraId="5142F6E6" w14:textId="3E4E3AFC" w:rsidR="00D02C8D" w:rsidRDefault="00D02C8D" w:rsidP="0059185B">
      <w:pPr>
        <w:pStyle w:val="Akapitzlist"/>
        <w:numPr>
          <w:ilvl w:val="0"/>
          <w:numId w:val="103"/>
        </w:numPr>
        <w:spacing w:after="0" w:line="240" w:lineRule="auto"/>
        <w:jc w:val="both"/>
        <w:rPr>
          <w:rFonts w:ascii="Lato" w:eastAsia="Calibri" w:hAnsi="Lato"/>
          <w:sz w:val="20"/>
          <w:szCs w:val="20"/>
        </w:rPr>
      </w:pPr>
      <w:r w:rsidRPr="00D02C8D">
        <w:rPr>
          <w:rFonts w:ascii="Lato" w:eastAsia="Calibri" w:hAnsi="Lato"/>
          <w:sz w:val="20"/>
          <w:szCs w:val="20"/>
        </w:rPr>
        <w:t>działalność Wspólnego Stołu, gdzie seniorzy wolontariusze zaangażowali się w udzielenia wsparcia osobom biednym i bezdomnym, przygotowując żywność otrzymaną z banku żywności do rozdawania, pomagając w obsłudze lodówki społecznej oraz przygotowaniu posiłków</w:t>
      </w:r>
      <w:r>
        <w:rPr>
          <w:rFonts w:ascii="Lato" w:eastAsia="Calibri" w:hAnsi="Lato"/>
          <w:sz w:val="20"/>
          <w:szCs w:val="20"/>
        </w:rPr>
        <w:t>.</w:t>
      </w:r>
    </w:p>
    <w:p w14:paraId="5A399D67" w14:textId="7C3CC40B" w:rsidR="00D02C8D" w:rsidRDefault="00D02C8D" w:rsidP="00D02C8D">
      <w:pPr>
        <w:spacing w:after="0" w:line="240" w:lineRule="auto"/>
        <w:jc w:val="both"/>
        <w:rPr>
          <w:rFonts w:ascii="Lato" w:eastAsia="Calibri" w:hAnsi="Lato"/>
          <w:sz w:val="20"/>
          <w:szCs w:val="20"/>
        </w:rPr>
      </w:pPr>
    </w:p>
    <w:p w14:paraId="4239D75A" w14:textId="62679A2F"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Wilamowice, powiat bielski</w:t>
      </w:r>
    </w:p>
    <w:p w14:paraId="3B92F99B" w14:textId="362746CA" w:rsidR="00D02C8D" w:rsidRDefault="00D02C8D" w:rsidP="0059185B">
      <w:pPr>
        <w:pStyle w:val="Akapitzlist"/>
        <w:numPr>
          <w:ilvl w:val="0"/>
          <w:numId w:val="104"/>
        </w:numPr>
        <w:spacing w:after="0" w:line="240" w:lineRule="auto"/>
        <w:jc w:val="both"/>
        <w:rPr>
          <w:rFonts w:ascii="Lato" w:eastAsia="Calibri" w:hAnsi="Lato"/>
          <w:sz w:val="20"/>
          <w:szCs w:val="20"/>
        </w:rPr>
      </w:pPr>
      <w:r w:rsidRPr="00D02C8D">
        <w:rPr>
          <w:rFonts w:ascii="Lato" w:eastAsia="Calibri" w:hAnsi="Lato"/>
          <w:sz w:val="20"/>
          <w:szCs w:val="20"/>
        </w:rPr>
        <w:t>usługa Mobilnego Urzędu" - dojazd do osób starszych, niepełnosprawnych celem załatwienia spraw urzędowych w miejscu ich zamieszkania</w:t>
      </w:r>
    </w:p>
    <w:p w14:paraId="1BD37313" w14:textId="48FFA534" w:rsidR="00D02C8D" w:rsidRDefault="00D02C8D" w:rsidP="00D02C8D">
      <w:pPr>
        <w:spacing w:after="0" w:line="240" w:lineRule="auto"/>
        <w:jc w:val="both"/>
        <w:rPr>
          <w:rFonts w:ascii="Lato" w:eastAsia="Calibri" w:hAnsi="Lato"/>
          <w:sz w:val="20"/>
          <w:szCs w:val="20"/>
        </w:rPr>
      </w:pPr>
    </w:p>
    <w:p w14:paraId="1271985B" w14:textId="65474D25"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Woźniki, powiat lubliniecki</w:t>
      </w:r>
    </w:p>
    <w:p w14:paraId="151E4D1E" w14:textId="08726530" w:rsidR="008B6166" w:rsidRPr="00D02C8D" w:rsidRDefault="00D02C8D" w:rsidP="0059185B">
      <w:pPr>
        <w:pStyle w:val="Akapitzlist"/>
        <w:numPr>
          <w:ilvl w:val="0"/>
          <w:numId w:val="104"/>
        </w:numPr>
        <w:spacing w:after="0" w:line="240" w:lineRule="auto"/>
        <w:jc w:val="both"/>
        <w:rPr>
          <w:rFonts w:ascii="Lato" w:eastAsia="Calibri" w:hAnsi="Lato"/>
          <w:sz w:val="20"/>
          <w:szCs w:val="20"/>
        </w:rPr>
      </w:pPr>
      <w:r w:rsidRPr="00D02C8D">
        <w:rPr>
          <w:rFonts w:ascii="Lato" w:eastAsia="Calibri" w:hAnsi="Lato"/>
          <w:sz w:val="20"/>
          <w:szCs w:val="20"/>
        </w:rPr>
        <w:t>usługa Mobilnego Urzędu" - dojazd do osób starszych, niepełnosprawnych celem załatwienia spraw urzędowych w miejscu ich zamieszkania</w:t>
      </w:r>
      <w:r>
        <w:rPr>
          <w:rFonts w:ascii="Lato" w:eastAsia="Calibri" w:hAnsi="Lato"/>
          <w:sz w:val="20"/>
          <w:szCs w:val="20"/>
        </w:rPr>
        <w:t>.</w:t>
      </w:r>
    </w:p>
    <w:p w14:paraId="46B7C294" w14:textId="12B08F8B" w:rsidR="00D02C8D" w:rsidRDefault="00D02C8D" w:rsidP="008B6166">
      <w:pPr>
        <w:spacing w:after="0" w:line="240" w:lineRule="auto"/>
        <w:jc w:val="both"/>
        <w:rPr>
          <w:rFonts w:ascii="Lato" w:hAnsi="Lato"/>
          <w:sz w:val="20"/>
          <w:szCs w:val="20"/>
        </w:rPr>
      </w:pPr>
    </w:p>
    <w:p w14:paraId="23C9054E" w14:textId="77777777" w:rsidR="00D02C8D" w:rsidRPr="00757CE7" w:rsidRDefault="00D02C8D" w:rsidP="00D02C8D">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1A7F90EE" w14:textId="0B2A3F65" w:rsidR="00D02C8D" w:rsidRPr="00D02C8D" w:rsidRDefault="00D02C8D" w:rsidP="008B6166">
      <w:pPr>
        <w:spacing w:after="0" w:line="240" w:lineRule="auto"/>
        <w:jc w:val="both"/>
        <w:rPr>
          <w:rFonts w:ascii="Lato" w:hAnsi="Lato"/>
          <w:b/>
          <w:bCs/>
          <w:sz w:val="20"/>
          <w:szCs w:val="20"/>
        </w:rPr>
      </w:pPr>
      <w:r w:rsidRPr="00D02C8D">
        <w:rPr>
          <w:rFonts w:ascii="Lato" w:hAnsi="Lato"/>
          <w:b/>
          <w:bCs/>
          <w:sz w:val="20"/>
          <w:szCs w:val="20"/>
        </w:rPr>
        <w:t>Boronów, powiat lubliniecki</w:t>
      </w:r>
    </w:p>
    <w:p w14:paraId="6ECEC5D4" w14:textId="5C47002A" w:rsidR="00D02C8D" w:rsidRDefault="00D02C8D" w:rsidP="0059185B">
      <w:pPr>
        <w:pStyle w:val="Akapitzlist"/>
        <w:numPr>
          <w:ilvl w:val="0"/>
          <w:numId w:val="104"/>
        </w:numPr>
        <w:spacing w:after="0" w:line="240" w:lineRule="auto"/>
        <w:jc w:val="both"/>
        <w:rPr>
          <w:rFonts w:ascii="Lato" w:eastAsia="Calibri" w:hAnsi="Lato"/>
          <w:sz w:val="20"/>
          <w:szCs w:val="20"/>
        </w:rPr>
      </w:pPr>
      <w:r w:rsidRPr="00D02C8D">
        <w:rPr>
          <w:rFonts w:ascii="Lato" w:eastAsia="Calibri" w:hAnsi="Lato"/>
          <w:sz w:val="20"/>
          <w:szCs w:val="20"/>
        </w:rPr>
        <w:t>rozwój infrastruktury i usług promujących aktywność prozdrowotną poprzez współdziałanie i współpracę dzieci i młodzieży z osobami starszymi,</w:t>
      </w:r>
      <w:r>
        <w:rPr>
          <w:rFonts w:ascii="Lato" w:eastAsia="Calibri" w:hAnsi="Lato"/>
          <w:sz w:val="20"/>
          <w:szCs w:val="20"/>
        </w:rPr>
        <w:t xml:space="preserve"> </w:t>
      </w:r>
      <w:r w:rsidRPr="00D02C8D">
        <w:rPr>
          <w:rFonts w:ascii="Lato" w:eastAsia="Calibri" w:hAnsi="Lato"/>
          <w:sz w:val="20"/>
          <w:szCs w:val="20"/>
        </w:rPr>
        <w:t>organizację Dnia Babci i Dziadka w placówkach oświatowych; wspieranie dostępu i uczestnictwa seniorów w kulturze - spektakle, zajęcia, warsztaty w GOK Boronów; wspieranie aktywności kulturalnej i artystycznej seniorów przez działalność Zespołu Boronowianie</w:t>
      </w:r>
      <w:r>
        <w:rPr>
          <w:rFonts w:ascii="Lato" w:eastAsia="Calibri" w:hAnsi="Lato"/>
          <w:sz w:val="20"/>
          <w:szCs w:val="20"/>
        </w:rPr>
        <w:t>.</w:t>
      </w:r>
    </w:p>
    <w:p w14:paraId="2ADE26E6" w14:textId="174FC79C" w:rsidR="00D02C8D" w:rsidRDefault="00D02C8D" w:rsidP="00D02C8D">
      <w:pPr>
        <w:spacing w:after="0" w:line="240" w:lineRule="auto"/>
        <w:jc w:val="both"/>
        <w:rPr>
          <w:rFonts w:ascii="Lato" w:eastAsia="Calibri" w:hAnsi="Lato"/>
          <w:sz w:val="20"/>
          <w:szCs w:val="20"/>
        </w:rPr>
      </w:pPr>
    </w:p>
    <w:p w14:paraId="6AA96EE1" w14:textId="679E37BB" w:rsidR="00D02C8D" w:rsidRPr="00D02C8D" w:rsidRDefault="00D02C8D" w:rsidP="00D02C8D">
      <w:pPr>
        <w:spacing w:after="0" w:line="240" w:lineRule="auto"/>
        <w:jc w:val="both"/>
        <w:rPr>
          <w:rFonts w:ascii="Lato" w:eastAsia="Calibri" w:hAnsi="Lato"/>
          <w:b/>
          <w:bCs/>
          <w:sz w:val="20"/>
          <w:szCs w:val="20"/>
        </w:rPr>
      </w:pPr>
      <w:r w:rsidRPr="00D02C8D">
        <w:rPr>
          <w:rFonts w:ascii="Lato" w:eastAsia="Calibri" w:hAnsi="Lato"/>
          <w:b/>
          <w:bCs/>
          <w:sz w:val="20"/>
          <w:szCs w:val="20"/>
        </w:rPr>
        <w:t>Czeladź, powiat będziński</w:t>
      </w:r>
    </w:p>
    <w:p w14:paraId="48F97EF5" w14:textId="591EFB21" w:rsidR="00D02C8D" w:rsidRDefault="00D02C8D" w:rsidP="0059185B">
      <w:pPr>
        <w:pStyle w:val="Akapitzlist"/>
        <w:numPr>
          <w:ilvl w:val="0"/>
          <w:numId w:val="104"/>
        </w:numPr>
        <w:spacing w:after="0" w:line="240" w:lineRule="auto"/>
        <w:jc w:val="both"/>
        <w:rPr>
          <w:rFonts w:ascii="Lato" w:eastAsia="Calibri" w:hAnsi="Lato"/>
          <w:sz w:val="20"/>
          <w:szCs w:val="20"/>
        </w:rPr>
      </w:pPr>
      <w:r w:rsidRPr="00D02C8D">
        <w:rPr>
          <w:rFonts w:ascii="Lato" w:eastAsia="Calibri" w:hAnsi="Lato"/>
          <w:sz w:val="20"/>
          <w:szCs w:val="20"/>
        </w:rPr>
        <w:t xml:space="preserve">przeprowadzanie bezpłatnych badań densytometrycznych pod kątem osteoporozy dla mieszkańców Czeladzi. 28 czerwca 2022 r. zorganizowano dla mieszkańców Czeladzi badanie </w:t>
      </w:r>
      <w:r w:rsidRPr="00D02C8D">
        <w:rPr>
          <w:rFonts w:ascii="Lato" w:eastAsia="Calibri" w:hAnsi="Lato"/>
          <w:sz w:val="20"/>
          <w:szCs w:val="20"/>
        </w:rPr>
        <w:lastRenderedPageBreak/>
        <w:t>pod kątem osteoporozy przeprowadzone przez firmę PRO&amp;DIAGNOSTIC Pracownia</w:t>
      </w:r>
      <w:r>
        <w:rPr>
          <w:rFonts w:ascii="Lato" w:eastAsia="Calibri" w:hAnsi="Lato"/>
          <w:sz w:val="20"/>
          <w:szCs w:val="20"/>
        </w:rPr>
        <w:t xml:space="preserve"> </w:t>
      </w:r>
      <w:r w:rsidRPr="00D02C8D">
        <w:rPr>
          <w:rFonts w:ascii="Lato" w:eastAsia="Calibri" w:hAnsi="Lato"/>
          <w:sz w:val="20"/>
          <w:szCs w:val="20"/>
        </w:rPr>
        <w:t>Diagnostyki Densytometrycznej. Z badań skorzystało 80 mieszkańców Czeladzi</w:t>
      </w:r>
      <w:r>
        <w:rPr>
          <w:rFonts w:ascii="Lato" w:eastAsia="Calibri" w:hAnsi="Lato"/>
          <w:sz w:val="20"/>
          <w:szCs w:val="20"/>
        </w:rPr>
        <w:t>.</w:t>
      </w:r>
    </w:p>
    <w:p w14:paraId="6D0C5E84" w14:textId="14950266" w:rsidR="00D02C8D" w:rsidRPr="00D02C8D" w:rsidRDefault="00D02C8D" w:rsidP="0059185B">
      <w:pPr>
        <w:pStyle w:val="Akapitzlist"/>
        <w:numPr>
          <w:ilvl w:val="0"/>
          <w:numId w:val="104"/>
        </w:numPr>
        <w:spacing w:after="0" w:line="240" w:lineRule="auto"/>
        <w:jc w:val="both"/>
        <w:rPr>
          <w:rFonts w:ascii="Lato" w:eastAsia="Calibri" w:hAnsi="Lato"/>
          <w:sz w:val="20"/>
          <w:szCs w:val="20"/>
        </w:rPr>
      </w:pPr>
      <w:r w:rsidRPr="00D02C8D">
        <w:rPr>
          <w:rFonts w:ascii="Lato" w:eastAsia="Calibri" w:hAnsi="Lato"/>
          <w:sz w:val="20"/>
          <w:szCs w:val="20"/>
        </w:rPr>
        <w:t xml:space="preserve">przeprowadzanie bezpłatnych badań mammograficznych przez firmy zewnętrzne </w:t>
      </w:r>
      <w:proofErr w:type="spellStart"/>
      <w:r w:rsidRPr="00D02C8D">
        <w:rPr>
          <w:rFonts w:ascii="Lato" w:eastAsia="Calibri" w:hAnsi="Lato"/>
          <w:sz w:val="20"/>
          <w:szCs w:val="20"/>
        </w:rPr>
        <w:t>Geneva</w:t>
      </w:r>
      <w:proofErr w:type="spellEnd"/>
      <w:r w:rsidRPr="00D02C8D">
        <w:rPr>
          <w:rFonts w:ascii="Lato" w:eastAsia="Calibri" w:hAnsi="Lato"/>
          <w:sz w:val="20"/>
          <w:szCs w:val="20"/>
        </w:rPr>
        <w:t xml:space="preserve"> Trust Polska Sp. z o.o.; LUX MED Sp. z o.o.; </w:t>
      </w:r>
      <w:proofErr w:type="spellStart"/>
      <w:r w:rsidRPr="00D02C8D">
        <w:rPr>
          <w:rFonts w:ascii="Lato" w:eastAsia="Calibri" w:hAnsi="Lato"/>
          <w:sz w:val="20"/>
          <w:szCs w:val="20"/>
        </w:rPr>
        <w:t>Mammo</w:t>
      </w:r>
      <w:proofErr w:type="spellEnd"/>
      <w:r w:rsidRPr="00D02C8D">
        <w:rPr>
          <w:rFonts w:ascii="Lato" w:eastAsia="Calibri" w:hAnsi="Lato"/>
          <w:sz w:val="20"/>
          <w:szCs w:val="20"/>
        </w:rPr>
        <w:t xml:space="preserve">  </w:t>
      </w:r>
      <w:proofErr w:type="spellStart"/>
      <w:r w:rsidRPr="00D02C8D">
        <w:rPr>
          <w:rFonts w:ascii="Lato" w:eastAsia="Calibri" w:hAnsi="Lato"/>
          <w:sz w:val="20"/>
          <w:szCs w:val="20"/>
        </w:rPr>
        <w:t>Med</w:t>
      </w:r>
      <w:proofErr w:type="spellEnd"/>
      <w:r w:rsidRPr="00D02C8D">
        <w:rPr>
          <w:rFonts w:ascii="Lato" w:eastAsia="Calibri" w:hAnsi="Lato"/>
          <w:sz w:val="20"/>
          <w:szCs w:val="20"/>
        </w:rPr>
        <w:t xml:space="preserve"> Sp. z o. o. MEDICA. Łącznie w 2022 roku odbyło się 17 badań, w których przebadano 649 kobiet</w:t>
      </w:r>
    </w:p>
    <w:p w14:paraId="3BCCF719" w14:textId="13907914" w:rsidR="00D02C8D" w:rsidRPr="004D2BF8" w:rsidRDefault="00D02C8D" w:rsidP="00D02C8D">
      <w:pPr>
        <w:pStyle w:val="Akapitzlist"/>
        <w:numPr>
          <w:ilvl w:val="0"/>
          <w:numId w:val="100"/>
        </w:numPr>
        <w:spacing w:after="0" w:line="240" w:lineRule="auto"/>
        <w:jc w:val="both"/>
        <w:rPr>
          <w:rFonts w:ascii="Lato" w:eastAsia="Calibri" w:hAnsi="Lato"/>
          <w:sz w:val="20"/>
          <w:szCs w:val="20"/>
        </w:rPr>
      </w:pPr>
      <w:r w:rsidRPr="008B6166">
        <w:rPr>
          <w:rFonts w:ascii="Lato" w:eastAsia="Calibri" w:hAnsi="Lato"/>
          <w:sz w:val="20"/>
          <w:szCs w:val="20"/>
        </w:rPr>
        <w:t>w ramach Festynu Zdrowia 7 września 2022 r. na Rynku w Czeladzi odbył się Festyn Zdrowia pod hasłem Żyj zdrowo 760 lat!, w ramach którego</w:t>
      </w:r>
      <w:r>
        <w:rPr>
          <w:rFonts w:ascii="Lato" w:eastAsia="Calibri" w:hAnsi="Lato"/>
          <w:sz w:val="20"/>
          <w:szCs w:val="20"/>
        </w:rPr>
        <w:t xml:space="preserve"> </w:t>
      </w:r>
      <w:r w:rsidRPr="00D02C8D">
        <w:rPr>
          <w:rFonts w:ascii="Lato" w:eastAsia="Calibri" w:hAnsi="Lato"/>
          <w:sz w:val="20"/>
          <w:szCs w:val="20"/>
        </w:rPr>
        <w:t xml:space="preserve">mieszkańcy skorzystali z bezpłatnych badań: spirometrycznych pod kątem wydolności płuc, </w:t>
      </w:r>
      <w:proofErr w:type="spellStart"/>
      <w:r w:rsidRPr="00D02C8D">
        <w:rPr>
          <w:rFonts w:ascii="Lato" w:eastAsia="Calibri" w:hAnsi="Lato"/>
          <w:sz w:val="20"/>
          <w:szCs w:val="20"/>
        </w:rPr>
        <w:t>densynometrycznych</w:t>
      </w:r>
      <w:proofErr w:type="spellEnd"/>
      <w:r w:rsidRPr="00D02C8D">
        <w:rPr>
          <w:rFonts w:ascii="Lato" w:eastAsia="Calibri" w:hAnsi="Lato"/>
          <w:sz w:val="20"/>
          <w:szCs w:val="20"/>
        </w:rPr>
        <w:t xml:space="preserve"> pod kątem osteoporozy, cytologicznych, </w:t>
      </w:r>
      <w:proofErr w:type="spellStart"/>
      <w:r w:rsidRPr="00D02C8D">
        <w:rPr>
          <w:rFonts w:ascii="Lato" w:eastAsia="Calibri" w:hAnsi="Lato"/>
          <w:sz w:val="20"/>
          <w:szCs w:val="20"/>
        </w:rPr>
        <w:t>dopplera</w:t>
      </w:r>
      <w:proofErr w:type="spellEnd"/>
      <w:r w:rsidRPr="00D02C8D">
        <w:rPr>
          <w:rFonts w:ascii="Lato" w:eastAsia="Calibri" w:hAnsi="Lato"/>
          <w:sz w:val="20"/>
          <w:szCs w:val="20"/>
        </w:rPr>
        <w:t xml:space="preserve"> kończyn dolnych z oceną przepływów żylnych lub tętniczych, dermatologicznych skóry pod kątem wczesnego wykrywania czerniaka, słuchu, wzroku, konsultacji </w:t>
      </w:r>
      <w:proofErr w:type="spellStart"/>
      <w:r w:rsidRPr="00D02C8D">
        <w:rPr>
          <w:rFonts w:ascii="Lato" w:eastAsia="Calibri" w:hAnsi="Lato"/>
          <w:sz w:val="20"/>
          <w:szCs w:val="20"/>
        </w:rPr>
        <w:t>trychologicznych</w:t>
      </w:r>
      <w:proofErr w:type="spellEnd"/>
      <w:r w:rsidRPr="00D02C8D">
        <w:rPr>
          <w:rFonts w:ascii="Lato" w:eastAsia="Calibri" w:hAnsi="Lato"/>
          <w:sz w:val="20"/>
          <w:szCs w:val="20"/>
        </w:rPr>
        <w:t>, dietetycznych, pomiaru poziomu cukru i cholesterolu. Łącznie wykonano 394 badania i 120 konsultacji. Tego dnia nie zabrakło porad zielarza, z których skorzystało 20 osób.</w:t>
      </w:r>
    </w:p>
    <w:p w14:paraId="15142158" w14:textId="404FF5E0" w:rsidR="00D02C8D" w:rsidRDefault="00D02C8D" w:rsidP="008B6166">
      <w:pPr>
        <w:spacing w:after="0" w:line="240" w:lineRule="auto"/>
        <w:jc w:val="both"/>
        <w:rPr>
          <w:rFonts w:ascii="Lato" w:hAnsi="Lato"/>
          <w:sz w:val="20"/>
          <w:szCs w:val="20"/>
        </w:rPr>
      </w:pPr>
    </w:p>
    <w:p w14:paraId="3177F3B4" w14:textId="39DC34D1" w:rsidR="004D2BF8" w:rsidRDefault="004D2BF8" w:rsidP="004D2BF8">
      <w:pPr>
        <w:pStyle w:val="Legenda"/>
        <w:keepNext/>
      </w:pPr>
      <w:bookmarkStart w:id="174" w:name="_Toc142566033"/>
      <w:r>
        <w:t xml:space="preserve">Tabela </w:t>
      </w:r>
      <w:fldSimple w:instr=" SEQ Tabela \* ARABIC ">
        <w:r w:rsidR="00AA385B">
          <w:rPr>
            <w:noProof/>
          </w:rPr>
          <w:t>70</w:t>
        </w:r>
      </w:fldSimple>
      <w:r>
        <w:t xml:space="preserve"> Karta województwa śląskiego za 2022 r.</w:t>
      </w:r>
      <w:bookmarkEnd w:id="174"/>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4D2BF8" w:rsidRPr="004D2BF8" w14:paraId="797E7095"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13C4A1C3"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rPr>
              <w:t>WOJEWÓDZTWO ŚLĄSKIE</w:t>
            </w:r>
          </w:p>
        </w:tc>
      </w:tr>
      <w:tr w:rsidR="004D2BF8" w:rsidRPr="004D2BF8" w14:paraId="08BFFC97" w14:textId="77777777" w:rsidTr="004D2BF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2B1ED8F" w14:textId="77777777" w:rsidR="004D2BF8" w:rsidRPr="004D2BF8" w:rsidRDefault="004D2BF8" w:rsidP="00CA4EC0">
            <w:pPr>
              <w:rPr>
                <w:rFonts w:ascii="Lato" w:hAnsi="Lato" w:cs="Times New Roman"/>
                <w:color w:val="auto"/>
                <w:sz w:val="18"/>
                <w:szCs w:val="18"/>
              </w:rPr>
            </w:pPr>
            <w:r w:rsidRPr="004D2BF8">
              <w:rPr>
                <w:rFonts w:ascii="Lato" w:hAnsi="Lato" w:cs="Times New Roman"/>
                <w:color w:val="auto"/>
                <w:sz w:val="18"/>
                <w:szCs w:val="18"/>
              </w:rPr>
              <w:t>Informacja o regionie</w:t>
            </w:r>
          </w:p>
        </w:tc>
        <w:tc>
          <w:tcPr>
            <w:tcW w:w="1346" w:type="pct"/>
            <w:shd w:val="clear" w:color="auto" w:fill="auto"/>
          </w:tcPr>
          <w:p w14:paraId="7EF329F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Liczba gmin</w:t>
            </w:r>
          </w:p>
        </w:tc>
        <w:tc>
          <w:tcPr>
            <w:tcW w:w="2693" w:type="pct"/>
            <w:gridSpan w:val="2"/>
            <w:shd w:val="clear" w:color="auto" w:fill="auto"/>
          </w:tcPr>
          <w:p w14:paraId="519CD5B9"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167</w:t>
            </w:r>
          </w:p>
        </w:tc>
      </w:tr>
      <w:tr w:rsidR="004D2BF8" w:rsidRPr="004D2BF8" w14:paraId="1B5B4890" w14:textId="77777777" w:rsidTr="004D2BF8">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849F34A" w14:textId="77777777" w:rsidR="004D2BF8" w:rsidRPr="004D2BF8" w:rsidRDefault="004D2BF8" w:rsidP="00CA4EC0">
            <w:pPr>
              <w:rPr>
                <w:rFonts w:ascii="Lato" w:hAnsi="Lato" w:cs="Times New Roman"/>
                <w:color w:val="auto"/>
                <w:sz w:val="18"/>
                <w:szCs w:val="18"/>
              </w:rPr>
            </w:pPr>
          </w:p>
        </w:tc>
        <w:tc>
          <w:tcPr>
            <w:tcW w:w="1346" w:type="pct"/>
            <w:shd w:val="clear" w:color="auto" w:fill="auto"/>
          </w:tcPr>
          <w:p w14:paraId="58072DD5"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Liczba powiatów</w:t>
            </w:r>
          </w:p>
        </w:tc>
        <w:tc>
          <w:tcPr>
            <w:tcW w:w="2693" w:type="pct"/>
            <w:gridSpan w:val="2"/>
            <w:shd w:val="clear" w:color="auto" w:fill="auto"/>
          </w:tcPr>
          <w:p w14:paraId="267616F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17 powiatów i 19 miasta na prawach powiatu</w:t>
            </w:r>
          </w:p>
        </w:tc>
      </w:tr>
      <w:tr w:rsidR="004D2BF8" w:rsidRPr="004D2BF8" w14:paraId="0A37B4ED" w14:textId="77777777" w:rsidTr="004D2BF8">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7FB7F73" w14:textId="77777777" w:rsidR="004D2BF8" w:rsidRPr="004D2BF8" w:rsidRDefault="004D2BF8" w:rsidP="00CA4EC0">
            <w:pPr>
              <w:rPr>
                <w:rFonts w:ascii="Lato" w:hAnsi="Lato" w:cs="Times New Roman"/>
                <w:color w:val="auto"/>
                <w:sz w:val="18"/>
                <w:szCs w:val="18"/>
              </w:rPr>
            </w:pPr>
          </w:p>
        </w:tc>
        <w:tc>
          <w:tcPr>
            <w:tcW w:w="1346" w:type="pct"/>
            <w:shd w:val="clear" w:color="auto" w:fill="auto"/>
          </w:tcPr>
          <w:p w14:paraId="26552F0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Powierzchnia</w:t>
            </w:r>
          </w:p>
        </w:tc>
        <w:tc>
          <w:tcPr>
            <w:tcW w:w="2693" w:type="pct"/>
            <w:gridSpan w:val="2"/>
            <w:shd w:val="clear" w:color="auto" w:fill="auto"/>
          </w:tcPr>
          <w:p w14:paraId="2CF9E7A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12 334 km</w:t>
            </w:r>
            <w:r w:rsidRPr="004D2BF8">
              <w:rPr>
                <w:rFonts w:ascii="Lato" w:hAnsi="Lato" w:cs="Times New Roman"/>
                <w:color w:val="auto"/>
                <w:sz w:val="18"/>
                <w:szCs w:val="18"/>
                <w:vertAlign w:val="superscript"/>
              </w:rPr>
              <w:t>2</w:t>
            </w:r>
          </w:p>
        </w:tc>
      </w:tr>
      <w:tr w:rsidR="004D2BF8" w:rsidRPr="004D2BF8" w14:paraId="18036A76" w14:textId="77777777" w:rsidTr="0031646A">
        <w:trPr>
          <w:trHeight w:val="22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624ACBC" w14:textId="77777777" w:rsidR="004D2BF8" w:rsidRPr="004D2BF8" w:rsidRDefault="004D2BF8" w:rsidP="00CA4EC0">
            <w:pPr>
              <w:jc w:val="center"/>
              <w:rPr>
                <w:rFonts w:ascii="Lato" w:hAnsi="Lato" w:cs="Times New Roman"/>
                <w:b w:val="0"/>
                <w:color w:val="auto"/>
                <w:sz w:val="18"/>
                <w:szCs w:val="18"/>
              </w:rPr>
            </w:pPr>
            <w:r w:rsidRPr="004D2BF8">
              <w:rPr>
                <w:rFonts w:ascii="Lato" w:hAnsi="Lato" w:cs="Times New Roman"/>
                <w:color w:val="auto"/>
                <w:sz w:val="18"/>
                <w:szCs w:val="18"/>
              </w:rPr>
              <w:t>DEMOGRAFIA</w:t>
            </w:r>
          </w:p>
        </w:tc>
      </w:tr>
      <w:tr w:rsidR="004D2BF8" w:rsidRPr="004D2BF8" w14:paraId="24BC8CF9"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617F341" w14:textId="77777777" w:rsidR="004D2BF8" w:rsidRPr="004D2BF8" w:rsidRDefault="004D2BF8" w:rsidP="00CA4EC0">
            <w:pPr>
              <w:jc w:val="center"/>
              <w:rPr>
                <w:rFonts w:ascii="Lato" w:hAnsi="Lato" w:cs="Times New Roman"/>
                <w:b w:val="0"/>
                <w:color w:val="auto"/>
                <w:sz w:val="18"/>
                <w:szCs w:val="18"/>
                <w:lang w:eastAsia="pl-PL"/>
              </w:rPr>
            </w:pPr>
            <w:r w:rsidRPr="004D2BF8">
              <w:rPr>
                <w:rFonts w:ascii="Lato" w:hAnsi="Lato" w:cs="Times New Roman"/>
                <w:color w:val="auto"/>
                <w:sz w:val="18"/>
                <w:szCs w:val="18"/>
                <w:lang w:eastAsia="pl-PL"/>
              </w:rPr>
              <w:t>Treść</w:t>
            </w:r>
          </w:p>
        </w:tc>
        <w:tc>
          <w:tcPr>
            <w:tcW w:w="1346" w:type="pct"/>
            <w:shd w:val="clear" w:color="auto" w:fill="auto"/>
          </w:tcPr>
          <w:p w14:paraId="6FDBDBE7"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2020 r.</w:t>
            </w:r>
          </w:p>
        </w:tc>
        <w:tc>
          <w:tcPr>
            <w:tcW w:w="1346" w:type="pct"/>
            <w:shd w:val="clear" w:color="auto" w:fill="auto"/>
          </w:tcPr>
          <w:p w14:paraId="60901E35"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2021 r.</w:t>
            </w:r>
          </w:p>
        </w:tc>
        <w:tc>
          <w:tcPr>
            <w:tcW w:w="1347" w:type="pct"/>
            <w:shd w:val="clear" w:color="auto" w:fill="auto"/>
          </w:tcPr>
          <w:p w14:paraId="13E3C9AC"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2022 r.</w:t>
            </w:r>
          </w:p>
        </w:tc>
      </w:tr>
      <w:tr w:rsidR="004D2BF8" w:rsidRPr="004D2BF8" w14:paraId="7103E61F"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078FCDA"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Populacja ogółem</w:t>
            </w:r>
          </w:p>
        </w:tc>
        <w:tc>
          <w:tcPr>
            <w:tcW w:w="1346" w:type="pct"/>
            <w:shd w:val="clear" w:color="auto" w:fill="auto"/>
          </w:tcPr>
          <w:p w14:paraId="6C89339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4412097</w:t>
            </w:r>
          </w:p>
        </w:tc>
        <w:tc>
          <w:tcPr>
            <w:tcW w:w="1346" w:type="pct"/>
            <w:shd w:val="clear" w:color="auto" w:fill="auto"/>
          </w:tcPr>
          <w:p w14:paraId="668C7C52"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4375947</w:t>
            </w:r>
          </w:p>
        </w:tc>
        <w:tc>
          <w:tcPr>
            <w:tcW w:w="1347" w:type="pct"/>
            <w:shd w:val="clear" w:color="auto" w:fill="auto"/>
          </w:tcPr>
          <w:p w14:paraId="368A419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4346702</w:t>
            </w:r>
          </w:p>
        </w:tc>
      </w:tr>
      <w:tr w:rsidR="004D2BF8" w:rsidRPr="004D2BF8" w14:paraId="4154227C"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DA0150B" w14:textId="77777777" w:rsidR="004D2BF8" w:rsidRPr="004D2BF8" w:rsidRDefault="004D2BF8" w:rsidP="00CA4EC0">
            <w:pPr>
              <w:rPr>
                <w:rFonts w:ascii="Lato" w:hAnsi="Lato" w:cs="Times New Roman"/>
                <w:b w:val="0"/>
                <w:color w:val="auto"/>
                <w:sz w:val="18"/>
                <w:szCs w:val="18"/>
              </w:rPr>
            </w:pPr>
          </w:p>
        </w:tc>
      </w:tr>
      <w:tr w:rsidR="004D2BF8" w:rsidRPr="004D2BF8" w14:paraId="00994311"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3BBC091" w14:textId="77777777" w:rsidR="004D2BF8" w:rsidRPr="004D2BF8" w:rsidRDefault="004D2BF8" w:rsidP="00CA4EC0">
            <w:pPr>
              <w:rPr>
                <w:rFonts w:ascii="Lato" w:hAnsi="Lato" w:cs="Times New Roman"/>
                <w:b w:val="0"/>
                <w:color w:val="auto"/>
                <w:sz w:val="18"/>
                <w:szCs w:val="18"/>
              </w:rPr>
            </w:pPr>
            <w:r w:rsidRPr="004D2BF8">
              <w:rPr>
                <w:rFonts w:ascii="Lato" w:hAnsi="Lato" w:cs="Times New Roman"/>
                <w:color w:val="auto"/>
                <w:sz w:val="18"/>
                <w:szCs w:val="18"/>
                <w:lang w:eastAsia="pl-PL"/>
              </w:rPr>
              <w:t>w wieku 60 lat i więcej</w:t>
            </w:r>
          </w:p>
        </w:tc>
        <w:tc>
          <w:tcPr>
            <w:tcW w:w="1346" w:type="pct"/>
            <w:shd w:val="clear" w:color="auto" w:fill="auto"/>
          </w:tcPr>
          <w:p w14:paraId="64D76C7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1193575</w:t>
            </w:r>
          </w:p>
        </w:tc>
        <w:tc>
          <w:tcPr>
            <w:tcW w:w="1346" w:type="pct"/>
            <w:shd w:val="clear" w:color="auto" w:fill="auto"/>
          </w:tcPr>
          <w:p w14:paraId="3769F43E"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1193527</w:t>
            </w:r>
          </w:p>
        </w:tc>
        <w:tc>
          <w:tcPr>
            <w:tcW w:w="1347" w:type="pct"/>
            <w:shd w:val="clear" w:color="auto" w:fill="auto"/>
          </w:tcPr>
          <w:p w14:paraId="76CBB98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1200107</w:t>
            </w:r>
          </w:p>
        </w:tc>
      </w:tr>
      <w:tr w:rsidR="004D2BF8" w:rsidRPr="004D2BF8" w14:paraId="7A0378E5"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2AEA08C"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60–64 lata</w:t>
            </w:r>
          </w:p>
        </w:tc>
        <w:tc>
          <w:tcPr>
            <w:tcW w:w="1346" w:type="pct"/>
            <w:shd w:val="clear" w:color="auto" w:fill="auto"/>
          </w:tcPr>
          <w:p w14:paraId="5051C54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327893</w:t>
            </w:r>
          </w:p>
        </w:tc>
        <w:tc>
          <w:tcPr>
            <w:tcW w:w="1346" w:type="pct"/>
            <w:shd w:val="clear" w:color="auto" w:fill="auto"/>
          </w:tcPr>
          <w:p w14:paraId="6C09C61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315339</w:t>
            </w:r>
          </w:p>
        </w:tc>
        <w:tc>
          <w:tcPr>
            <w:tcW w:w="1347" w:type="pct"/>
            <w:shd w:val="clear" w:color="auto" w:fill="auto"/>
          </w:tcPr>
          <w:p w14:paraId="4E003BD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302301</w:t>
            </w:r>
          </w:p>
        </w:tc>
      </w:tr>
      <w:tr w:rsidR="004D2BF8" w:rsidRPr="004D2BF8" w14:paraId="0DE31532"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241DD54"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65–69</w:t>
            </w:r>
          </w:p>
        </w:tc>
        <w:tc>
          <w:tcPr>
            <w:tcW w:w="1346" w:type="pct"/>
            <w:shd w:val="clear" w:color="auto" w:fill="auto"/>
          </w:tcPr>
          <w:p w14:paraId="63D4CE55"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302961</w:t>
            </w:r>
          </w:p>
        </w:tc>
        <w:tc>
          <w:tcPr>
            <w:tcW w:w="1346" w:type="pct"/>
            <w:shd w:val="clear" w:color="auto" w:fill="auto"/>
          </w:tcPr>
          <w:p w14:paraId="75FC859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302639</w:t>
            </w:r>
          </w:p>
        </w:tc>
        <w:tc>
          <w:tcPr>
            <w:tcW w:w="1347" w:type="pct"/>
            <w:shd w:val="clear" w:color="auto" w:fill="auto"/>
          </w:tcPr>
          <w:p w14:paraId="739DF59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304167</w:t>
            </w:r>
          </w:p>
        </w:tc>
      </w:tr>
      <w:tr w:rsidR="004D2BF8" w:rsidRPr="004D2BF8" w14:paraId="30F38027"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BB0DE54"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70–74</w:t>
            </w:r>
          </w:p>
        </w:tc>
        <w:tc>
          <w:tcPr>
            <w:tcW w:w="1346" w:type="pct"/>
            <w:shd w:val="clear" w:color="auto" w:fill="auto"/>
          </w:tcPr>
          <w:p w14:paraId="2B4E1B1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226473</w:t>
            </w:r>
          </w:p>
        </w:tc>
        <w:tc>
          <w:tcPr>
            <w:tcW w:w="1346" w:type="pct"/>
            <w:shd w:val="clear" w:color="auto" w:fill="auto"/>
          </w:tcPr>
          <w:p w14:paraId="6E718A9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239155</w:t>
            </w:r>
          </w:p>
        </w:tc>
        <w:tc>
          <w:tcPr>
            <w:tcW w:w="1347" w:type="pct"/>
            <w:shd w:val="clear" w:color="auto" w:fill="auto"/>
          </w:tcPr>
          <w:p w14:paraId="14DE587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248180</w:t>
            </w:r>
          </w:p>
        </w:tc>
      </w:tr>
      <w:tr w:rsidR="004D2BF8" w:rsidRPr="004D2BF8" w14:paraId="568328EB"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8882C3E"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75–79</w:t>
            </w:r>
          </w:p>
        </w:tc>
        <w:tc>
          <w:tcPr>
            <w:tcW w:w="1346" w:type="pct"/>
            <w:shd w:val="clear" w:color="auto" w:fill="auto"/>
          </w:tcPr>
          <w:p w14:paraId="6B15F25B"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137921</w:t>
            </w:r>
          </w:p>
        </w:tc>
        <w:tc>
          <w:tcPr>
            <w:tcW w:w="1346" w:type="pct"/>
            <w:shd w:val="clear" w:color="auto" w:fill="auto"/>
          </w:tcPr>
          <w:p w14:paraId="43FF70D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137319</w:t>
            </w:r>
          </w:p>
        </w:tc>
        <w:tc>
          <w:tcPr>
            <w:tcW w:w="1347" w:type="pct"/>
            <w:shd w:val="clear" w:color="auto" w:fill="auto"/>
          </w:tcPr>
          <w:p w14:paraId="3999A60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145790</w:t>
            </w:r>
          </w:p>
        </w:tc>
      </w:tr>
      <w:tr w:rsidR="004D2BF8" w:rsidRPr="004D2BF8" w14:paraId="08813B43"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0C59910"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80–84</w:t>
            </w:r>
          </w:p>
        </w:tc>
        <w:tc>
          <w:tcPr>
            <w:tcW w:w="1346" w:type="pct"/>
            <w:shd w:val="clear" w:color="auto" w:fill="auto"/>
          </w:tcPr>
          <w:p w14:paraId="378DBE8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111683</w:t>
            </w:r>
          </w:p>
        </w:tc>
        <w:tc>
          <w:tcPr>
            <w:tcW w:w="1346" w:type="pct"/>
            <w:shd w:val="clear" w:color="auto" w:fill="auto"/>
          </w:tcPr>
          <w:p w14:paraId="53D3E27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111345</w:t>
            </w:r>
          </w:p>
        </w:tc>
        <w:tc>
          <w:tcPr>
            <w:tcW w:w="1347" w:type="pct"/>
            <w:shd w:val="clear" w:color="auto" w:fill="auto"/>
          </w:tcPr>
          <w:p w14:paraId="02A4D4B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109802</w:t>
            </w:r>
          </w:p>
        </w:tc>
      </w:tr>
      <w:tr w:rsidR="004D2BF8" w:rsidRPr="004D2BF8" w14:paraId="27D96EFB"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0CB3775"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85 lat i więcej</w:t>
            </w:r>
          </w:p>
        </w:tc>
        <w:tc>
          <w:tcPr>
            <w:tcW w:w="1346" w:type="pct"/>
            <w:shd w:val="clear" w:color="auto" w:fill="auto"/>
          </w:tcPr>
          <w:p w14:paraId="6F1B6439"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86644</w:t>
            </w:r>
          </w:p>
        </w:tc>
        <w:tc>
          <w:tcPr>
            <w:tcW w:w="1346" w:type="pct"/>
            <w:shd w:val="clear" w:color="auto" w:fill="auto"/>
          </w:tcPr>
          <w:p w14:paraId="08E0E2BC"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87730</w:t>
            </w:r>
          </w:p>
        </w:tc>
        <w:tc>
          <w:tcPr>
            <w:tcW w:w="1347" w:type="pct"/>
            <w:shd w:val="clear" w:color="auto" w:fill="auto"/>
          </w:tcPr>
          <w:p w14:paraId="3666FBD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89867</w:t>
            </w:r>
          </w:p>
        </w:tc>
      </w:tr>
      <w:tr w:rsidR="004D2BF8" w:rsidRPr="004D2BF8" w14:paraId="02A9511C"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5B836C46"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Przeciętne dalsze trwanie życia</w:t>
            </w:r>
          </w:p>
        </w:tc>
        <w:tc>
          <w:tcPr>
            <w:tcW w:w="1346" w:type="pct"/>
            <w:shd w:val="clear" w:color="auto" w:fill="auto"/>
          </w:tcPr>
          <w:p w14:paraId="5BDD922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72,3</w:t>
            </w:r>
          </w:p>
          <w:p w14:paraId="5E3C71AD"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80,0</w:t>
            </w:r>
          </w:p>
          <w:p w14:paraId="4FE1EAB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17,7</w:t>
            </w:r>
          </w:p>
          <w:p w14:paraId="28F550E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22,7</w:t>
            </w:r>
          </w:p>
        </w:tc>
        <w:tc>
          <w:tcPr>
            <w:tcW w:w="1346" w:type="pct"/>
            <w:shd w:val="clear" w:color="auto" w:fill="auto"/>
          </w:tcPr>
          <w:p w14:paraId="662DAE7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71,3</w:t>
            </w:r>
          </w:p>
          <w:p w14:paraId="018C0C4B"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78,9</w:t>
            </w:r>
          </w:p>
          <w:p w14:paraId="74C037A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16,9</w:t>
            </w:r>
          </w:p>
          <w:p w14:paraId="0D246B39"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21,9</w:t>
            </w:r>
          </w:p>
        </w:tc>
        <w:tc>
          <w:tcPr>
            <w:tcW w:w="1347" w:type="pct"/>
            <w:shd w:val="clear" w:color="auto" w:fill="auto"/>
          </w:tcPr>
          <w:p w14:paraId="49322F7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męskiej – 72,8</w:t>
            </w:r>
          </w:p>
          <w:p w14:paraId="2553C631"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Noworodek płci żeńskiej – 80,2</w:t>
            </w:r>
          </w:p>
          <w:p w14:paraId="19E7171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Mężczyzna w wieku 60 lat – 18,3</w:t>
            </w:r>
          </w:p>
          <w:p w14:paraId="516DF6FE"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Kobieta w wieku 60 – 23,0</w:t>
            </w:r>
          </w:p>
        </w:tc>
      </w:tr>
      <w:tr w:rsidR="004D2BF8" w:rsidRPr="004D2BF8" w14:paraId="34223D01"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49942B0"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feminizacji</w:t>
            </w:r>
          </w:p>
        </w:tc>
        <w:tc>
          <w:tcPr>
            <w:tcW w:w="1346" w:type="pct"/>
            <w:shd w:val="clear" w:color="auto" w:fill="auto"/>
          </w:tcPr>
          <w:p w14:paraId="76A0378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108</w:t>
            </w:r>
          </w:p>
        </w:tc>
        <w:tc>
          <w:tcPr>
            <w:tcW w:w="1346" w:type="pct"/>
            <w:shd w:val="clear" w:color="auto" w:fill="auto"/>
          </w:tcPr>
          <w:p w14:paraId="7B7EFB80"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108</w:t>
            </w:r>
          </w:p>
        </w:tc>
        <w:tc>
          <w:tcPr>
            <w:tcW w:w="1347" w:type="pct"/>
            <w:shd w:val="clear" w:color="auto" w:fill="auto"/>
          </w:tcPr>
          <w:p w14:paraId="5183460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108</w:t>
            </w:r>
          </w:p>
        </w:tc>
      </w:tr>
      <w:tr w:rsidR="004D2BF8" w:rsidRPr="004D2BF8" w14:paraId="571680EC" w14:textId="77777777" w:rsidTr="004D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08B2DA0"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166219E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29,9</w:t>
            </w:r>
          </w:p>
        </w:tc>
        <w:tc>
          <w:tcPr>
            <w:tcW w:w="1346" w:type="pct"/>
            <w:shd w:val="clear" w:color="auto" w:fill="auto"/>
          </w:tcPr>
          <w:p w14:paraId="4C89B24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30,8</w:t>
            </w:r>
          </w:p>
        </w:tc>
        <w:tc>
          <w:tcPr>
            <w:tcW w:w="1347" w:type="pct"/>
            <w:shd w:val="clear" w:color="auto" w:fill="auto"/>
          </w:tcPr>
          <w:p w14:paraId="5988259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31,9</w:t>
            </w:r>
          </w:p>
        </w:tc>
      </w:tr>
      <w:tr w:rsidR="004D2BF8" w:rsidRPr="004D2BF8" w14:paraId="366C731E" w14:textId="77777777" w:rsidTr="004D2BF8">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55CB5A1"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zgonów</w:t>
            </w:r>
          </w:p>
        </w:tc>
        <w:tc>
          <w:tcPr>
            <w:tcW w:w="1346" w:type="pct"/>
            <w:shd w:val="clear" w:color="auto" w:fill="auto"/>
          </w:tcPr>
          <w:p w14:paraId="20B09770"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13,6</w:t>
            </w:r>
          </w:p>
        </w:tc>
        <w:tc>
          <w:tcPr>
            <w:tcW w:w="1346" w:type="pct"/>
            <w:shd w:val="clear" w:color="auto" w:fill="auto"/>
          </w:tcPr>
          <w:p w14:paraId="31AE752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15,1</w:t>
            </w:r>
          </w:p>
        </w:tc>
        <w:tc>
          <w:tcPr>
            <w:tcW w:w="1347" w:type="pct"/>
            <w:shd w:val="clear" w:color="auto" w:fill="auto"/>
          </w:tcPr>
          <w:p w14:paraId="0CD0843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13,0</w:t>
            </w:r>
          </w:p>
        </w:tc>
      </w:tr>
      <w:tr w:rsidR="004D2BF8" w:rsidRPr="004D2BF8" w14:paraId="1A4BE196"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9891086"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lang w:eastAsia="pl-PL"/>
              </w:rPr>
              <w:t>AKTYWNOŚĆ EKONOMICZNA OSÓB STARSZYCH – DANE ZA 2022 R.</w:t>
            </w:r>
            <w:r w:rsidRPr="004D2BF8">
              <w:rPr>
                <w:rFonts w:ascii="Lato" w:hAnsi="Lato" w:cs="Times New Roman"/>
                <w:color w:val="auto"/>
                <w:sz w:val="18"/>
                <w:szCs w:val="18"/>
                <w:vertAlign w:val="superscript"/>
                <w:lang w:eastAsia="pl-PL"/>
              </w:rPr>
              <w:t>1)</w:t>
            </w:r>
          </w:p>
        </w:tc>
      </w:tr>
      <w:tr w:rsidR="004D2BF8" w:rsidRPr="004D2BF8" w14:paraId="3FE7E522"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6C1A0989" w14:textId="77777777" w:rsidR="004D2BF8" w:rsidRPr="004D2BF8" w:rsidRDefault="004D2BF8" w:rsidP="00CA4EC0">
            <w:pPr>
              <w:rPr>
                <w:rFonts w:ascii="Lato" w:hAnsi="Lato" w:cs="Times New Roman"/>
                <w:color w:val="auto"/>
                <w:sz w:val="18"/>
                <w:szCs w:val="18"/>
              </w:rPr>
            </w:pPr>
            <w:r w:rsidRPr="004D2BF8">
              <w:rPr>
                <w:rFonts w:ascii="Lato" w:hAnsi="Lato" w:cs="Times New Roman"/>
                <w:color w:val="auto"/>
                <w:sz w:val="18"/>
                <w:szCs w:val="18"/>
              </w:rPr>
              <w:t>Podział</w:t>
            </w:r>
          </w:p>
        </w:tc>
        <w:tc>
          <w:tcPr>
            <w:tcW w:w="2693" w:type="pct"/>
            <w:gridSpan w:val="2"/>
            <w:shd w:val="clear" w:color="auto" w:fill="auto"/>
          </w:tcPr>
          <w:p w14:paraId="3DECC900"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Liczba</w:t>
            </w:r>
          </w:p>
        </w:tc>
      </w:tr>
      <w:tr w:rsidR="004D2BF8" w:rsidRPr="004D2BF8" w14:paraId="32706839" w14:textId="77777777" w:rsidTr="004D2BF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E4E24EA"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Osoby aktywne zawodowo razem (w tys.)</w:t>
            </w:r>
          </w:p>
        </w:tc>
        <w:tc>
          <w:tcPr>
            <w:tcW w:w="1346" w:type="pct"/>
            <w:shd w:val="clear" w:color="auto" w:fill="auto"/>
          </w:tcPr>
          <w:p w14:paraId="56EAFD7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100BDED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1950</w:t>
            </w:r>
          </w:p>
        </w:tc>
      </w:tr>
      <w:tr w:rsidR="004D2BF8" w:rsidRPr="004D2BF8" w14:paraId="431DB8A8"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D5B1A31"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4B08883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215E8B96"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134</w:t>
            </w:r>
          </w:p>
        </w:tc>
      </w:tr>
      <w:tr w:rsidR="004D2BF8" w:rsidRPr="004D2BF8" w14:paraId="41298ABB" w14:textId="77777777" w:rsidTr="004D2BF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641E397"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 xml:space="preserve">Osoby aktywne zawodowo </w:t>
            </w:r>
            <w:r w:rsidRPr="004D2BF8">
              <w:rPr>
                <w:rFonts w:ascii="Lato" w:hAnsi="Lato" w:cs="Times New Roman"/>
                <w:color w:val="auto"/>
                <w:sz w:val="18"/>
                <w:szCs w:val="18"/>
                <w:lang w:eastAsia="pl-PL"/>
              </w:rPr>
              <w:br/>
              <w:t>– pracujący (w tys.)</w:t>
            </w:r>
          </w:p>
        </w:tc>
        <w:tc>
          <w:tcPr>
            <w:tcW w:w="1346" w:type="pct"/>
            <w:shd w:val="clear" w:color="auto" w:fill="auto"/>
          </w:tcPr>
          <w:p w14:paraId="08C4FA8A"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07CC3C1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1908</w:t>
            </w:r>
          </w:p>
        </w:tc>
      </w:tr>
      <w:tr w:rsidR="004D2BF8" w:rsidRPr="004D2BF8" w14:paraId="307CB4BA" w14:textId="77777777" w:rsidTr="004D2BF8">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1BBFC00"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53BF848F"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754D45D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132</w:t>
            </w:r>
          </w:p>
        </w:tc>
      </w:tr>
      <w:tr w:rsidR="004D2BF8" w:rsidRPr="004D2BF8" w14:paraId="0097AC8E" w14:textId="77777777" w:rsidTr="004D2BF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B2E0DD3"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Osoby bierne zawodowo (w tys.)</w:t>
            </w:r>
          </w:p>
        </w:tc>
        <w:tc>
          <w:tcPr>
            <w:tcW w:w="1346" w:type="pct"/>
            <w:shd w:val="clear" w:color="auto" w:fill="auto"/>
          </w:tcPr>
          <w:p w14:paraId="70D531B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3DE1200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1571</w:t>
            </w:r>
          </w:p>
        </w:tc>
      </w:tr>
      <w:tr w:rsidR="004D2BF8" w:rsidRPr="004D2BF8" w14:paraId="00E8219A" w14:textId="77777777" w:rsidTr="004D2BF8">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5C3738A"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46345890"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6136730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1014</w:t>
            </w:r>
          </w:p>
        </w:tc>
      </w:tr>
      <w:tr w:rsidR="004D2BF8" w:rsidRPr="004D2BF8" w14:paraId="4BABEB3B" w14:textId="77777777" w:rsidTr="004D2BF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45DB1B0"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Współczynnik aktywności zawodowej %</w:t>
            </w:r>
          </w:p>
        </w:tc>
        <w:tc>
          <w:tcPr>
            <w:tcW w:w="1346" w:type="pct"/>
            <w:shd w:val="clear" w:color="auto" w:fill="auto"/>
          </w:tcPr>
          <w:p w14:paraId="7976953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5548247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55,4</w:t>
            </w:r>
          </w:p>
        </w:tc>
      </w:tr>
      <w:tr w:rsidR="004D2BF8" w:rsidRPr="004D2BF8" w14:paraId="7F0DBC2C" w14:textId="77777777" w:rsidTr="004D2BF8">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D6C15E5"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5690B567"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088C07A3"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11,7</w:t>
            </w:r>
          </w:p>
        </w:tc>
      </w:tr>
      <w:tr w:rsidR="004D2BF8" w:rsidRPr="004D2BF8" w14:paraId="4FF79A2A" w14:textId="77777777" w:rsidTr="004D2BF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CF8DA85" w14:textId="77777777" w:rsidR="004D2BF8" w:rsidRPr="004D2BF8" w:rsidRDefault="004D2BF8" w:rsidP="00CA4EC0">
            <w:pPr>
              <w:rPr>
                <w:rFonts w:ascii="Lato" w:hAnsi="Lato" w:cs="Times New Roman"/>
                <w:b w:val="0"/>
                <w:color w:val="auto"/>
                <w:sz w:val="18"/>
                <w:szCs w:val="18"/>
                <w:lang w:eastAsia="pl-PL"/>
              </w:rPr>
            </w:pPr>
            <w:r w:rsidRPr="004D2BF8">
              <w:rPr>
                <w:rFonts w:ascii="Lato" w:hAnsi="Lato" w:cs="Times New Roman"/>
                <w:color w:val="auto"/>
                <w:sz w:val="18"/>
                <w:szCs w:val="18"/>
                <w:lang w:eastAsia="pl-PL"/>
              </w:rPr>
              <w:t>Wskaźnik zatrudnienia %</w:t>
            </w:r>
          </w:p>
        </w:tc>
        <w:tc>
          <w:tcPr>
            <w:tcW w:w="1346" w:type="pct"/>
            <w:shd w:val="clear" w:color="auto" w:fill="auto"/>
          </w:tcPr>
          <w:p w14:paraId="01E407F2"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24118A69"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54,2</w:t>
            </w:r>
          </w:p>
        </w:tc>
      </w:tr>
      <w:tr w:rsidR="004D2BF8" w:rsidRPr="004D2BF8" w14:paraId="588D40D2" w14:textId="77777777" w:rsidTr="004D2BF8">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8E21AB1" w14:textId="77777777" w:rsidR="004D2BF8" w:rsidRPr="004D2BF8" w:rsidRDefault="004D2BF8" w:rsidP="00CA4EC0">
            <w:pPr>
              <w:rPr>
                <w:rFonts w:ascii="Lato" w:hAnsi="Lato" w:cs="Times New Roman"/>
                <w:b w:val="0"/>
                <w:color w:val="auto"/>
                <w:sz w:val="18"/>
                <w:szCs w:val="18"/>
                <w:lang w:eastAsia="pl-PL"/>
              </w:rPr>
            </w:pPr>
          </w:p>
        </w:tc>
        <w:tc>
          <w:tcPr>
            <w:tcW w:w="1346" w:type="pct"/>
            <w:shd w:val="clear" w:color="auto" w:fill="auto"/>
          </w:tcPr>
          <w:p w14:paraId="4526E58C"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60-89 lat</w:t>
            </w:r>
          </w:p>
        </w:tc>
        <w:tc>
          <w:tcPr>
            <w:tcW w:w="2693" w:type="pct"/>
            <w:gridSpan w:val="2"/>
            <w:shd w:val="clear" w:color="auto" w:fill="auto"/>
          </w:tcPr>
          <w:p w14:paraId="0040FF42"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11,5</w:t>
            </w:r>
          </w:p>
        </w:tc>
      </w:tr>
      <w:tr w:rsidR="004D2BF8" w:rsidRPr="004D2BF8" w14:paraId="0EDCA0C7" w14:textId="77777777" w:rsidTr="004D2BF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3DFC9AD2" w14:textId="77777777" w:rsidR="004D2BF8" w:rsidRPr="004D2BF8" w:rsidRDefault="004D2BF8" w:rsidP="00CA4EC0">
            <w:pPr>
              <w:rPr>
                <w:rFonts w:ascii="Lato" w:hAnsi="Lato" w:cs="Times New Roman"/>
                <w:b w:val="0"/>
                <w:color w:val="auto"/>
                <w:sz w:val="18"/>
                <w:szCs w:val="18"/>
                <w:lang w:eastAsia="pl-PL"/>
              </w:rPr>
            </w:pPr>
            <w:r w:rsidRPr="004D2BF8">
              <w:rPr>
                <w:rFonts w:ascii="Lato" w:eastAsia="Times New Roman" w:hAnsi="Lato" w:cs="Times New Roman"/>
                <w:color w:val="auto"/>
                <w:sz w:val="18"/>
                <w:szCs w:val="18"/>
                <w:lang w:eastAsia="pl-PL"/>
              </w:rPr>
              <w:t xml:space="preserve">Osoby bierne zawodowo  w wieku 60-74 lata według wybranych przyczyn bierności </w:t>
            </w:r>
            <w:r w:rsidRPr="004D2BF8">
              <w:rPr>
                <w:rFonts w:ascii="Lato" w:eastAsia="Times New Roman" w:hAnsi="Lato" w:cs="Times New Roman"/>
                <w:color w:val="auto"/>
                <w:sz w:val="18"/>
                <w:szCs w:val="18"/>
                <w:lang w:eastAsia="pl-PL"/>
              </w:rPr>
              <w:br/>
              <w:t>(w tys.)</w:t>
            </w:r>
          </w:p>
        </w:tc>
        <w:tc>
          <w:tcPr>
            <w:tcW w:w="1346" w:type="pct"/>
            <w:shd w:val="clear" w:color="auto" w:fill="auto"/>
          </w:tcPr>
          <w:p w14:paraId="1ECC4D0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1EB4884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726</w:t>
            </w:r>
          </w:p>
        </w:tc>
      </w:tr>
      <w:tr w:rsidR="004D2BF8" w:rsidRPr="004D2BF8" w14:paraId="39765D6C" w14:textId="77777777" w:rsidTr="004D2BF8">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110A060"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5E5518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w:t>
            </w:r>
          </w:p>
        </w:tc>
      </w:tr>
      <w:tr w:rsidR="004D2BF8" w:rsidRPr="004D2BF8" w14:paraId="0AA63D5E" w14:textId="77777777" w:rsidTr="004D2BF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EAD1DA"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78154F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4D2BF8">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27A5471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726</w:t>
            </w:r>
          </w:p>
        </w:tc>
      </w:tr>
      <w:tr w:rsidR="004D2BF8" w:rsidRPr="004D2BF8" w14:paraId="13583F33" w14:textId="77777777" w:rsidTr="004D2BF8">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68CEF1B"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7BD9BE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1011BBA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646</w:t>
            </w:r>
          </w:p>
        </w:tc>
      </w:tr>
      <w:tr w:rsidR="004D2BF8" w:rsidRPr="004D2BF8" w14:paraId="2A7EB526" w14:textId="77777777" w:rsidTr="004D2BF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B7D38FB"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DFFCA87"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6909729C"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38</w:t>
            </w:r>
          </w:p>
        </w:tc>
      </w:tr>
      <w:tr w:rsidR="004D2BF8" w:rsidRPr="004D2BF8" w14:paraId="1F441691" w14:textId="77777777" w:rsidTr="004D2BF8">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9F82A8D" w14:textId="77777777" w:rsidR="004D2BF8" w:rsidRPr="004D2BF8" w:rsidRDefault="004D2BF8" w:rsidP="00CA4EC0">
            <w:pPr>
              <w:rPr>
                <w:rFonts w:ascii="Lato" w:eastAsia="Times New Roman" w:hAnsi="Lato" w:cs="Times New Roman"/>
                <w:b w:val="0"/>
                <w:bCs w:val="0"/>
                <w:color w:val="auto"/>
                <w:sz w:val="18"/>
                <w:szCs w:val="18"/>
                <w:lang w:eastAsia="pl-PL"/>
              </w:rPr>
            </w:pPr>
            <w:r w:rsidRPr="004D2BF8">
              <w:rPr>
                <w:rFonts w:ascii="Lato" w:eastAsia="Times New Roman" w:hAnsi="Lato" w:cs="Times New Roman"/>
                <w:color w:val="auto"/>
                <w:sz w:val="18"/>
                <w:szCs w:val="18"/>
                <w:lang w:eastAsia="pl-PL"/>
              </w:rPr>
              <w:t>Osoby bezrobotne zarejestrowane w urzędach pracy (w tys.)</w:t>
            </w:r>
            <w:r w:rsidRPr="004D2BF8">
              <w:rPr>
                <w:rFonts w:ascii="Lato" w:eastAsia="Times New Roman" w:hAnsi="Lato" w:cs="Times New Roman"/>
                <w:color w:val="auto"/>
                <w:sz w:val="18"/>
                <w:szCs w:val="18"/>
                <w:vertAlign w:val="superscript"/>
                <w:lang w:eastAsia="pl-PL"/>
              </w:rPr>
              <w:t>2)</w:t>
            </w:r>
          </w:p>
        </w:tc>
        <w:tc>
          <w:tcPr>
            <w:tcW w:w="1346" w:type="pct"/>
            <w:shd w:val="clear" w:color="auto" w:fill="auto"/>
          </w:tcPr>
          <w:p w14:paraId="20854275"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Ogółem</w:t>
            </w:r>
          </w:p>
        </w:tc>
        <w:tc>
          <w:tcPr>
            <w:tcW w:w="2693" w:type="pct"/>
            <w:gridSpan w:val="2"/>
            <w:shd w:val="clear" w:color="auto" w:fill="auto"/>
          </w:tcPr>
          <w:p w14:paraId="3353572D"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64,9</w:t>
            </w:r>
          </w:p>
        </w:tc>
      </w:tr>
      <w:tr w:rsidR="004D2BF8" w:rsidRPr="004D2BF8" w14:paraId="319909EE" w14:textId="77777777" w:rsidTr="004D2B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2227B84"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FE92B5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w tym w wieku 60-64 lata</w:t>
            </w:r>
          </w:p>
        </w:tc>
        <w:tc>
          <w:tcPr>
            <w:tcW w:w="2693" w:type="pct"/>
            <w:gridSpan w:val="2"/>
            <w:shd w:val="clear" w:color="auto" w:fill="auto"/>
          </w:tcPr>
          <w:p w14:paraId="3F300E15"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4,4</w:t>
            </w:r>
          </w:p>
        </w:tc>
      </w:tr>
      <w:tr w:rsidR="004D2BF8" w:rsidRPr="004D2BF8" w14:paraId="3CF027B8" w14:textId="77777777" w:rsidTr="004D2BF8">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71EC22E" w14:textId="77777777" w:rsidR="004D2BF8" w:rsidRPr="004D2BF8" w:rsidRDefault="004D2BF8" w:rsidP="00CA4EC0">
            <w:pPr>
              <w:rPr>
                <w:rFonts w:ascii="Lato" w:eastAsia="Times New Roman" w:hAnsi="Lato" w:cs="Times New Roman"/>
                <w:b w:val="0"/>
                <w:bCs w:val="0"/>
                <w:color w:val="auto"/>
                <w:sz w:val="18"/>
                <w:szCs w:val="18"/>
                <w:lang w:eastAsia="pl-PL"/>
              </w:rPr>
            </w:pPr>
            <w:r w:rsidRPr="004D2BF8">
              <w:rPr>
                <w:rFonts w:ascii="Lato" w:eastAsia="Times New Roman" w:hAnsi="Lato" w:cs="Times New Roman"/>
                <w:color w:val="auto"/>
                <w:sz w:val="18"/>
                <w:szCs w:val="18"/>
                <w:lang w:eastAsia="pl-PL"/>
              </w:rPr>
              <w:t xml:space="preserve">Osoby pobierające renty </w:t>
            </w:r>
            <w:r w:rsidRPr="004D2BF8">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520C4CEE" w14:textId="77777777" w:rsidR="004D2BF8" w:rsidRPr="004D2BF8" w:rsidRDefault="004D2BF8"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ZUS</w:t>
            </w:r>
          </w:p>
        </w:tc>
      </w:tr>
      <w:tr w:rsidR="004D2BF8" w:rsidRPr="004D2BF8" w14:paraId="75B0F217" w14:textId="77777777" w:rsidTr="004D2BF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4308ED7"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5E4B582"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Rodzaj świadczenia</w:t>
            </w:r>
          </w:p>
        </w:tc>
        <w:tc>
          <w:tcPr>
            <w:tcW w:w="2693" w:type="pct"/>
            <w:gridSpan w:val="2"/>
            <w:shd w:val="clear" w:color="auto" w:fill="auto"/>
          </w:tcPr>
          <w:p w14:paraId="2214092E" w14:textId="77777777" w:rsidR="004D2BF8" w:rsidRPr="004D2BF8" w:rsidRDefault="004D2BF8"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Przeciętna miesięczna liczba emerytów i rencistów (w tys.)</w:t>
            </w:r>
          </w:p>
        </w:tc>
      </w:tr>
      <w:tr w:rsidR="004D2BF8" w:rsidRPr="004D2BF8" w14:paraId="444854BA" w14:textId="77777777" w:rsidTr="004D2BF8">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444808"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68C0F2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Emerytury</w:t>
            </w:r>
          </w:p>
        </w:tc>
        <w:tc>
          <w:tcPr>
            <w:tcW w:w="2693" w:type="pct"/>
            <w:gridSpan w:val="2"/>
            <w:shd w:val="clear" w:color="auto" w:fill="auto"/>
          </w:tcPr>
          <w:p w14:paraId="762D55FA"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838,1</w:t>
            </w:r>
          </w:p>
        </w:tc>
      </w:tr>
      <w:tr w:rsidR="004D2BF8" w:rsidRPr="004D2BF8" w14:paraId="6E35E190" w14:textId="77777777" w:rsidTr="004D2BF8">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5E7359E"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200C44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z tytułu niezdolności do pracy</w:t>
            </w:r>
          </w:p>
        </w:tc>
        <w:tc>
          <w:tcPr>
            <w:tcW w:w="2693" w:type="pct"/>
            <w:gridSpan w:val="2"/>
            <w:shd w:val="clear" w:color="auto" w:fill="auto"/>
          </w:tcPr>
          <w:p w14:paraId="627644AF"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86,9</w:t>
            </w:r>
          </w:p>
        </w:tc>
      </w:tr>
      <w:tr w:rsidR="004D2BF8" w:rsidRPr="004D2BF8" w14:paraId="4743C7E8" w14:textId="77777777" w:rsidTr="004D2BF8">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41B320C"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25BBD0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rodzinne</w:t>
            </w:r>
          </w:p>
        </w:tc>
        <w:tc>
          <w:tcPr>
            <w:tcW w:w="2693" w:type="pct"/>
            <w:gridSpan w:val="2"/>
            <w:shd w:val="clear" w:color="auto" w:fill="auto"/>
          </w:tcPr>
          <w:p w14:paraId="546F274E"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214,1</w:t>
            </w:r>
          </w:p>
        </w:tc>
      </w:tr>
      <w:tr w:rsidR="004D2BF8" w:rsidRPr="004D2BF8" w14:paraId="48A8402C" w14:textId="77777777" w:rsidTr="004D2B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E58F0B1"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05166EE0" w14:textId="77777777" w:rsidR="004D2BF8" w:rsidRPr="004D2BF8" w:rsidRDefault="004D2BF8"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KRUS</w:t>
            </w:r>
          </w:p>
        </w:tc>
      </w:tr>
      <w:tr w:rsidR="004D2BF8" w:rsidRPr="004D2BF8" w14:paraId="3035CBE0" w14:textId="77777777" w:rsidTr="004D2BF8">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9B2A5AF"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58B1246"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Rodzaj świadczenia</w:t>
            </w:r>
          </w:p>
        </w:tc>
        <w:tc>
          <w:tcPr>
            <w:tcW w:w="2693" w:type="pct"/>
            <w:gridSpan w:val="2"/>
            <w:shd w:val="clear" w:color="auto" w:fill="auto"/>
          </w:tcPr>
          <w:p w14:paraId="5348F041" w14:textId="77777777" w:rsidR="004D2BF8" w:rsidRPr="004D2BF8" w:rsidRDefault="004D2BF8"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4D2BF8">
              <w:rPr>
                <w:rFonts w:ascii="Lato" w:hAnsi="Lato" w:cs="Times New Roman"/>
                <w:b/>
                <w:color w:val="auto"/>
                <w:sz w:val="18"/>
                <w:szCs w:val="18"/>
              </w:rPr>
              <w:t>Przeciętna miesięczna liczba emerytów i rencistów (w tys.)</w:t>
            </w:r>
          </w:p>
        </w:tc>
      </w:tr>
      <w:tr w:rsidR="004D2BF8" w:rsidRPr="004D2BF8" w14:paraId="2F0D732C"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ADB172F"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2153280"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Emerytury</w:t>
            </w:r>
          </w:p>
        </w:tc>
        <w:tc>
          <w:tcPr>
            <w:tcW w:w="2693" w:type="pct"/>
            <w:gridSpan w:val="2"/>
            <w:shd w:val="clear" w:color="auto" w:fill="auto"/>
          </w:tcPr>
          <w:p w14:paraId="623F3CD4"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22,5</w:t>
            </w:r>
          </w:p>
        </w:tc>
      </w:tr>
      <w:tr w:rsidR="004D2BF8" w:rsidRPr="004D2BF8" w14:paraId="20E40A74" w14:textId="77777777" w:rsidTr="004D2BF8">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20836E0"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02E0BB1"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z tytułu niezdolności do pracy</w:t>
            </w:r>
          </w:p>
        </w:tc>
        <w:tc>
          <w:tcPr>
            <w:tcW w:w="2693" w:type="pct"/>
            <w:gridSpan w:val="2"/>
            <w:shd w:val="clear" w:color="auto" w:fill="auto"/>
          </w:tcPr>
          <w:p w14:paraId="01833064" w14:textId="77777777" w:rsidR="004D2BF8" w:rsidRPr="004D2BF8" w:rsidRDefault="004D2BF8"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4,6</w:t>
            </w:r>
          </w:p>
        </w:tc>
      </w:tr>
      <w:tr w:rsidR="004D2BF8" w:rsidRPr="004D2BF8" w14:paraId="6C005334"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771C6BD" w14:textId="77777777" w:rsidR="004D2BF8" w:rsidRPr="004D2BF8" w:rsidRDefault="004D2BF8"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2E22178"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Renty rodzinne</w:t>
            </w:r>
          </w:p>
        </w:tc>
        <w:tc>
          <w:tcPr>
            <w:tcW w:w="2693" w:type="pct"/>
            <w:gridSpan w:val="2"/>
            <w:shd w:val="clear" w:color="auto" w:fill="auto"/>
          </w:tcPr>
          <w:p w14:paraId="082AC626" w14:textId="77777777" w:rsidR="004D2BF8" w:rsidRPr="004D2BF8" w:rsidRDefault="004D2BF8"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4D2BF8">
              <w:rPr>
                <w:rFonts w:ascii="Lato" w:hAnsi="Lato" w:cs="Times New Roman"/>
                <w:color w:val="auto"/>
                <w:sz w:val="18"/>
                <w:szCs w:val="18"/>
              </w:rPr>
              <w:t>1,0</w:t>
            </w:r>
          </w:p>
        </w:tc>
      </w:tr>
      <w:tr w:rsidR="004D2BF8" w:rsidRPr="004D2BF8" w14:paraId="7C03AE96"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6384E2F5" w14:textId="77777777" w:rsidR="004D2BF8" w:rsidRPr="004D2BF8" w:rsidRDefault="004D2BF8" w:rsidP="00CA4EC0">
            <w:pPr>
              <w:jc w:val="center"/>
              <w:rPr>
                <w:rFonts w:ascii="Lato" w:hAnsi="Lato" w:cs="Times New Roman"/>
                <w:color w:val="auto"/>
                <w:sz w:val="18"/>
                <w:szCs w:val="18"/>
              </w:rPr>
            </w:pPr>
            <w:r w:rsidRPr="004D2BF8">
              <w:rPr>
                <w:rFonts w:ascii="Lato" w:hAnsi="Lato" w:cs="Times New Roman"/>
                <w:color w:val="auto"/>
                <w:sz w:val="18"/>
                <w:szCs w:val="18"/>
              </w:rPr>
              <w:t xml:space="preserve">SYTUACJA DOCHODOWA, WARUNKI BYTU, W TYM WARUNKI MIESZKANIOWE – DANE ZA 2022 R. </w:t>
            </w:r>
          </w:p>
        </w:tc>
      </w:tr>
      <w:tr w:rsidR="004D2BF8" w:rsidRPr="004D2BF8" w14:paraId="2B79C17E" w14:textId="77777777" w:rsidTr="004D2BF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4A7FBF5" w14:textId="641927C7" w:rsidR="004D2BF8" w:rsidRPr="004D2BF8" w:rsidRDefault="004D2BF8" w:rsidP="00CA4EC0">
            <w:pPr>
              <w:tabs>
                <w:tab w:val="left" w:pos="2835"/>
              </w:tabs>
              <w:jc w:val="both"/>
              <w:rPr>
                <w:rFonts w:ascii="Lato" w:hAnsi="Lato" w:cs="Times New Roman"/>
                <w:b w:val="0"/>
                <w:color w:val="auto"/>
                <w:sz w:val="18"/>
                <w:szCs w:val="18"/>
              </w:rPr>
            </w:pPr>
            <w:r w:rsidRPr="004D2BF8">
              <w:rPr>
                <w:rFonts w:ascii="Lato" w:hAnsi="Lato" w:cs="Times New Roman"/>
                <w:b w:val="0"/>
                <w:color w:val="auto"/>
                <w:sz w:val="18"/>
                <w:szCs w:val="18"/>
              </w:rPr>
              <w:t>W 2022 r. w województwie śląskim przeciętny miesięczny dochód rozporządzalny przypadający na 1 osobę w gospodarstwach domowych wyniósł 2377,76 zł. Na dochód rozporządzalny gospodarstwa domowego składają się przede wszystkim dochody z pracy najemnej oraz dochody ze świadczeń społecznych. W 2022 r. ich udział w dochodzie rozporządzalnym wyniósł odpowiednio 55,0% i 33,2%. W 2022 r. przeciętne miesięczne wydatki na 1 osobę w gospodarstwach domowych wyniosły 1526,79 zł.  Na żywność i napoje bezalkoholowe gospodarstwa domowe przeznaczały przeciętnie 27,3% ogólnej kwoty wydatków, na opłaty z tytułu użytkowania mieszkania lub domu i za korzystanie z nośników energii - 20,5%, a na zdrowie – 5,3%.</w:t>
            </w:r>
            <w:r w:rsidR="0031646A">
              <w:rPr>
                <w:rFonts w:ascii="Lato" w:hAnsi="Lato" w:cs="Times New Roman"/>
                <w:b w:val="0"/>
                <w:color w:val="auto"/>
                <w:sz w:val="18"/>
                <w:szCs w:val="18"/>
              </w:rPr>
              <w:t xml:space="preserve"> </w:t>
            </w:r>
            <w:r w:rsidRPr="004D2BF8">
              <w:rPr>
                <w:rFonts w:ascii="Lato" w:hAnsi="Lato" w:cs="Times New Roman"/>
                <w:b w:val="0"/>
                <w:color w:val="auto"/>
                <w:sz w:val="18"/>
                <w:szCs w:val="18"/>
              </w:rPr>
              <w:t>W 2022 r. swoją sytuację materialną jako dobrą lub raczej dobrą oceniło 51,3% gospodarstw domowych. Udział</w:t>
            </w:r>
            <w:r w:rsidR="0031646A">
              <w:rPr>
                <w:rFonts w:ascii="Lato" w:hAnsi="Lato" w:cs="Times New Roman"/>
                <w:b w:val="0"/>
                <w:color w:val="auto"/>
                <w:sz w:val="18"/>
                <w:szCs w:val="18"/>
              </w:rPr>
              <w:t xml:space="preserve"> </w:t>
            </w:r>
            <w:r w:rsidRPr="004D2BF8">
              <w:rPr>
                <w:rFonts w:ascii="Lato" w:hAnsi="Lato" w:cs="Times New Roman"/>
                <w:b w:val="0"/>
                <w:color w:val="auto"/>
                <w:sz w:val="18"/>
                <w:szCs w:val="18"/>
              </w:rPr>
              <w:t>gospodarstw określających swoją sytuację materialną jako przeciętną wyniósł 42,5%, a raczej złą lub złą ukształtował się na poziomie 6,2%.</w:t>
            </w:r>
            <w:r w:rsidR="0031646A">
              <w:rPr>
                <w:rFonts w:ascii="Lato" w:hAnsi="Lato" w:cs="Times New Roman"/>
                <w:b w:val="0"/>
                <w:color w:val="auto"/>
                <w:sz w:val="18"/>
                <w:szCs w:val="18"/>
              </w:rPr>
              <w:t xml:space="preserve"> </w:t>
            </w:r>
            <w:r w:rsidRPr="004D2BF8">
              <w:rPr>
                <w:rFonts w:ascii="Lato" w:hAnsi="Lato" w:cs="Times New Roman"/>
                <w:b w:val="0"/>
                <w:color w:val="auto"/>
                <w:sz w:val="18"/>
                <w:szCs w:val="18"/>
              </w:rPr>
              <w:t>W analizowanym roku przeciętna liczba osób w gospodarstwie domowym ukształtowała się na poziomie 2,41. Przeciętna powierzchnia użytkowa mieszkania zajmowana przez gospodarstwo domowe wyniosła 86,5 m</w:t>
            </w:r>
            <w:r w:rsidRPr="004D2BF8">
              <w:rPr>
                <w:rFonts w:ascii="Lato" w:hAnsi="Lato" w:cs="Times New Roman"/>
                <w:b w:val="0"/>
                <w:color w:val="auto"/>
                <w:sz w:val="18"/>
                <w:szCs w:val="18"/>
                <w:vertAlign w:val="superscript"/>
              </w:rPr>
              <w:t>2</w:t>
            </w:r>
            <w:r w:rsidRPr="004D2BF8">
              <w:rPr>
                <w:rFonts w:ascii="Lato" w:hAnsi="Lato" w:cs="Times New Roman"/>
                <w:b w:val="0"/>
                <w:color w:val="auto"/>
                <w:sz w:val="18"/>
                <w:szCs w:val="18"/>
              </w:rPr>
              <w:t>.</w:t>
            </w:r>
          </w:p>
        </w:tc>
      </w:tr>
    </w:tbl>
    <w:p w14:paraId="78CEC87C"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2FEE3588"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60887F3E" w14:textId="77777777" w:rsidR="004D2BF8" w:rsidRPr="002A7F1A" w:rsidRDefault="004D2BF8" w:rsidP="004D2BF8">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4E8344FB" w14:textId="72439DC2" w:rsidR="008B6166" w:rsidRPr="004D2BF8" w:rsidRDefault="004D2BF8" w:rsidP="008B6166">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2973BCF1" w14:textId="53526AD2" w:rsidR="00246300" w:rsidRPr="002B0821" w:rsidRDefault="00586D97" w:rsidP="00246300">
      <w:pPr>
        <w:pStyle w:val="Nagwek2"/>
        <w:numPr>
          <w:ilvl w:val="1"/>
          <w:numId w:val="44"/>
        </w:numPr>
        <w:rPr>
          <w:b/>
          <w:bCs/>
        </w:rPr>
      </w:pPr>
      <w:bookmarkStart w:id="175" w:name="_Toc142565960"/>
      <w:r w:rsidRPr="002B0821">
        <w:rPr>
          <w:b/>
          <w:bCs/>
        </w:rPr>
        <w:t>Województwo świętokrzyskie</w:t>
      </w:r>
      <w:bookmarkEnd w:id="175"/>
    </w:p>
    <w:p w14:paraId="4A6789CD" w14:textId="53257B69" w:rsidR="00D02C8D" w:rsidRPr="00D02C8D" w:rsidRDefault="00D02C8D" w:rsidP="00D02C8D">
      <w:pPr>
        <w:spacing w:after="0" w:line="240" w:lineRule="auto"/>
        <w:jc w:val="both"/>
        <w:rPr>
          <w:rStyle w:val="markedcontent"/>
          <w:rFonts w:ascii="Lato" w:hAnsi="Lato" w:cs="Times New Roman"/>
          <w:sz w:val="20"/>
          <w:szCs w:val="20"/>
          <w:lang w:eastAsia="pl-PL"/>
        </w:rPr>
      </w:pPr>
      <w:r w:rsidRPr="00D02C8D">
        <w:rPr>
          <w:rFonts w:ascii="Lato" w:hAnsi="Lato" w:cs="Times New Roman"/>
          <w:sz w:val="20"/>
          <w:szCs w:val="20"/>
          <w:lang w:eastAsia="pl-PL"/>
        </w:rPr>
        <w:t>Dokumentem nadrzędnym, wyznaczającym kierunki rozwoju polityki społecznej</w:t>
      </w:r>
      <w:r>
        <w:rPr>
          <w:rFonts w:ascii="Lato" w:hAnsi="Lato" w:cs="Times New Roman"/>
          <w:sz w:val="20"/>
          <w:szCs w:val="20"/>
          <w:lang w:eastAsia="pl-PL"/>
        </w:rPr>
        <w:t xml:space="preserve"> </w:t>
      </w:r>
      <w:r w:rsidRPr="00D02C8D">
        <w:rPr>
          <w:rFonts w:ascii="Lato" w:hAnsi="Lato" w:cs="Times New Roman"/>
          <w:sz w:val="20"/>
          <w:szCs w:val="20"/>
          <w:lang w:eastAsia="pl-PL"/>
        </w:rPr>
        <w:t>w</w:t>
      </w:r>
      <w:r>
        <w:rPr>
          <w:rFonts w:ascii="Lato" w:hAnsi="Lato" w:cs="Times New Roman"/>
          <w:sz w:val="20"/>
          <w:szCs w:val="20"/>
          <w:lang w:eastAsia="pl-PL"/>
        </w:rPr>
        <w:t xml:space="preserve"> </w:t>
      </w:r>
      <w:r w:rsidRPr="00D02C8D">
        <w:rPr>
          <w:rFonts w:ascii="Lato" w:hAnsi="Lato" w:cs="Times New Roman"/>
          <w:sz w:val="20"/>
          <w:szCs w:val="20"/>
          <w:lang w:eastAsia="pl-PL"/>
        </w:rPr>
        <w:t xml:space="preserve">województwie świętokrzyskim jest opracowana i przyjęta </w:t>
      </w:r>
      <w:r w:rsidRPr="00246300">
        <w:rPr>
          <w:rFonts w:ascii="Lato" w:hAnsi="Lato" w:cs="Times New Roman"/>
          <w:b/>
          <w:bCs/>
          <w:sz w:val="20"/>
          <w:szCs w:val="20"/>
          <w:lang w:eastAsia="pl-PL"/>
        </w:rPr>
        <w:t>Strategia Polityki Społecznej Województwa Świętokrzyskiego na lata 2021-2030</w:t>
      </w:r>
      <w:r w:rsidRPr="00D02C8D">
        <w:rPr>
          <w:rFonts w:ascii="Lato" w:hAnsi="Lato" w:cs="Times New Roman"/>
          <w:sz w:val="20"/>
          <w:szCs w:val="20"/>
          <w:lang w:eastAsia="pl-PL"/>
        </w:rPr>
        <w:t>. Dokument stanowi punkt odniesienia dla gminnych</w:t>
      </w:r>
      <w:r w:rsidR="00246300">
        <w:rPr>
          <w:rFonts w:ascii="Lato" w:hAnsi="Lato" w:cs="Times New Roman"/>
          <w:sz w:val="20"/>
          <w:szCs w:val="20"/>
          <w:lang w:eastAsia="pl-PL"/>
        </w:rPr>
        <w:t xml:space="preserve"> </w:t>
      </w:r>
      <w:r w:rsidRPr="00D02C8D">
        <w:rPr>
          <w:rFonts w:ascii="Lato" w:hAnsi="Lato" w:cs="Times New Roman"/>
          <w:sz w:val="20"/>
          <w:szCs w:val="20"/>
          <w:lang w:eastAsia="pl-PL"/>
        </w:rPr>
        <w:t>i powiatowych strategii rozwiązywania problemów społecznych.</w:t>
      </w:r>
      <w:r w:rsidR="00246300">
        <w:rPr>
          <w:rFonts w:ascii="Lato" w:hAnsi="Lato" w:cs="Times New Roman"/>
          <w:sz w:val="20"/>
          <w:szCs w:val="20"/>
          <w:lang w:eastAsia="pl-PL"/>
        </w:rPr>
        <w:t xml:space="preserve"> </w:t>
      </w:r>
      <w:r w:rsidRPr="00D02C8D">
        <w:rPr>
          <w:rStyle w:val="markedcontent"/>
          <w:rFonts w:ascii="Lato" w:hAnsi="Lato" w:cs="Times New Roman"/>
          <w:sz w:val="20"/>
          <w:szCs w:val="20"/>
        </w:rPr>
        <w:t>Strategia Polityki Społecznej Województwa Świętokrzyskiego na lata 2021-2030  jest integralną częścią</w:t>
      </w:r>
      <w:r w:rsidRPr="00D02C8D">
        <w:rPr>
          <w:rFonts w:ascii="Lato" w:hAnsi="Lato" w:cs="Times New Roman"/>
          <w:sz w:val="20"/>
          <w:szCs w:val="20"/>
        </w:rPr>
        <w:t xml:space="preserve"> </w:t>
      </w:r>
      <w:r w:rsidRPr="00D02C8D">
        <w:rPr>
          <w:rStyle w:val="markedcontent"/>
          <w:rFonts w:ascii="Lato" w:hAnsi="Lato" w:cs="Times New Roman"/>
          <w:sz w:val="20"/>
          <w:szCs w:val="20"/>
        </w:rPr>
        <w:t>strategii rozwoju województwa, obejmującą w szczególności programy: przeciwdziałania wykluczeniu społecznemu, wyrównywania szans osób niepełnosprawnych, pomocy społecznej, profilaktyki i rozwiązywania problemów alkoholowych, współpracy</w:t>
      </w:r>
      <w:r w:rsidR="00246300">
        <w:rPr>
          <w:rStyle w:val="markedcontent"/>
          <w:rFonts w:ascii="Lato" w:hAnsi="Lato" w:cs="Times New Roman"/>
          <w:sz w:val="20"/>
          <w:szCs w:val="20"/>
        </w:rPr>
        <w:t xml:space="preserve"> </w:t>
      </w:r>
      <w:r w:rsidRPr="00D02C8D">
        <w:rPr>
          <w:rStyle w:val="markedcontent"/>
          <w:rFonts w:ascii="Lato" w:hAnsi="Lato" w:cs="Times New Roman"/>
          <w:sz w:val="20"/>
          <w:szCs w:val="20"/>
        </w:rPr>
        <w:t>z organizacjami pozarządowymi. Sformułowane w niej założenia określają koncepcję</w:t>
      </w:r>
      <w:r w:rsidR="00246300">
        <w:rPr>
          <w:rFonts w:ascii="Lato" w:hAnsi="Lato" w:cs="Times New Roman"/>
          <w:sz w:val="20"/>
          <w:szCs w:val="20"/>
        </w:rPr>
        <w:t xml:space="preserve"> </w:t>
      </w:r>
      <w:r w:rsidRPr="00D02C8D">
        <w:rPr>
          <w:rStyle w:val="markedcontent"/>
          <w:rFonts w:ascii="Lato" w:hAnsi="Lato" w:cs="Times New Roman"/>
          <w:sz w:val="20"/>
          <w:szCs w:val="20"/>
        </w:rPr>
        <w:t>realizacji polityki społecznej na terenie województwa świętokrzyskiego. Pozwalają także</w:t>
      </w:r>
      <w:r w:rsidR="00246300">
        <w:rPr>
          <w:rFonts w:ascii="Lato" w:hAnsi="Lato" w:cs="Times New Roman"/>
          <w:sz w:val="20"/>
          <w:szCs w:val="20"/>
        </w:rPr>
        <w:t xml:space="preserve"> </w:t>
      </w:r>
      <w:r w:rsidRPr="00D02C8D">
        <w:rPr>
          <w:rStyle w:val="markedcontent"/>
          <w:rFonts w:ascii="Lato" w:hAnsi="Lato" w:cs="Times New Roman"/>
          <w:sz w:val="20"/>
          <w:szCs w:val="20"/>
        </w:rPr>
        <w:t>koordynować i koncentrować działania różnych instytucji odpowiedzialnych za politykę</w:t>
      </w:r>
      <w:r w:rsidR="00246300">
        <w:rPr>
          <w:rFonts w:ascii="Lato" w:hAnsi="Lato" w:cs="Times New Roman"/>
          <w:sz w:val="20"/>
          <w:szCs w:val="20"/>
        </w:rPr>
        <w:t xml:space="preserve"> </w:t>
      </w:r>
      <w:r w:rsidRPr="00D02C8D">
        <w:rPr>
          <w:rStyle w:val="markedcontent"/>
          <w:rFonts w:ascii="Lato" w:hAnsi="Lato" w:cs="Times New Roman"/>
          <w:sz w:val="20"/>
          <w:szCs w:val="20"/>
        </w:rPr>
        <w:t>społeczną wokół najbardziej istotnych i kluczowych potrzeb w tej sferze, a określone cele</w:t>
      </w:r>
      <w:r w:rsidR="00246300">
        <w:rPr>
          <w:rFonts w:ascii="Lato" w:hAnsi="Lato" w:cs="Times New Roman"/>
          <w:sz w:val="20"/>
          <w:szCs w:val="20"/>
        </w:rPr>
        <w:t xml:space="preserve"> </w:t>
      </w:r>
      <w:r w:rsidRPr="00D02C8D">
        <w:rPr>
          <w:rStyle w:val="markedcontent"/>
          <w:rFonts w:ascii="Lato" w:hAnsi="Lato" w:cs="Times New Roman"/>
          <w:sz w:val="20"/>
          <w:szCs w:val="20"/>
        </w:rPr>
        <w:t>i zadania, stanowią wyzwanie dla wszystkich społeczności lokalnych oraz instytucji</w:t>
      </w:r>
      <w:r w:rsidRPr="00D02C8D">
        <w:rPr>
          <w:rFonts w:ascii="Lato" w:hAnsi="Lato" w:cs="Times New Roman"/>
          <w:sz w:val="20"/>
          <w:szCs w:val="20"/>
        </w:rPr>
        <w:br/>
      </w:r>
      <w:r w:rsidRPr="00D02C8D">
        <w:rPr>
          <w:rStyle w:val="markedcontent"/>
          <w:rFonts w:ascii="Lato" w:hAnsi="Lato" w:cs="Times New Roman"/>
          <w:sz w:val="20"/>
          <w:szCs w:val="20"/>
        </w:rPr>
        <w:t>działających na rzecz rozwiązywania problemów społecznych i poprawy jakości życia w</w:t>
      </w:r>
      <w:r w:rsidRPr="00D02C8D">
        <w:rPr>
          <w:rFonts w:ascii="Lato" w:hAnsi="Lato" w:cs="Times New Roman"/>
          <w:sz w:val="20"/>
          <w:szCs w:val="20"/>
        </w:rPr>
        <w:t xml:space="preserve"> </w:t>
      </w:r>
      <w:r w:rsidRPr="00D02C8D">
        <w:rPr>
          <w:rStyle w:val="markedcontent"/>
          <w:rFonts w:ascii="Lato" w:hAnsi="Lato" w:cs="Times New Roman"/>
          <w:sz w:val="20"/>
          <w:szCs w:val="20"/>
        </w:rPr>
        <w:t xml:space="preserve">województwie. </w:t>
      </w:r>
    </w:p>
    <w:p w14:paraId="02535D0D" w14:textId="77777777" w:rsidR="00246300" w:rsidRDefault="00246300" w:rsidP="00246300">
      <w:pPr>
        <w:spacing w:after="0" w:line="240" w:lineRule="auto"/>
        <w:jc w:val="both"/>
        <w:rPr>
          <w:rFonts w:ascii="Lato" w:hAnsi="Lato" w:cs="Times New Roman"/>
          <w:sz w:val="20"/>
          <w:szCs w:val="20"/>
          <w:lang w:eastAsia="pl-PL"/>
        </w:rPr>
      </w:pPr>
    </w:p>
    <w:p w14:paraId="0ED5E7C4" w14:textId="77777777" w:rsidR="00246300" w:rsidRDefault="00D02C8D" w:rsidP="00D02C8D">
      <w:pPr>
        <w:spacing w:after="0" w:line="240" w:lineRule="auto"/>
        <w:jc w:val="both"/>
        <w:rPr>
          <w:rFonts w:ascii="Lato" w:hAnsi="Lato" w:cs="Times New Roman"/>
          <w:sz w:val="20"/>
          <w:szCs w:val="20"/>
          <w:lang w:eastAsia="pl-PL"/>
        </w:rPr>
      </w:pPr>
      <w:r w:rsidRPr="00D02C8D">
        <w:rPr>
          <w:rFonts w:ascii="Lato" w:hAnsi="Lato" w:cs="Times New Roman"/>
          <w:sz w:val="20"/>
          <w:szCs w:val="20"/>
          <w:lang w:eastAsia="pl-PL"/>
        </w:rPr>
        <w:t xml:space="preserve">W 2022 </w:t>
      </w:r>
      <w:r w:rsidR="00246300">
        <w:rPr>
          <w:rFonts w:ascii="Lato" w:hAnsi="Lato" w:cs="Times New Roman"/>
          <w:sz w:val="20"/>
          <w:szCs w:val="20"/>
          <w:lang w:eastAsia="pl-PL"/>
        </w:rPr>
        <w:t xml:space="preserve">r. </w:t>
      </w:r>
      <w:r w:rsidRPr="00D02C8D">
        <w:rPr>
          <w:rFonts w:ascii="Lato" w:hAnsi="Lato" w:cs="Times New Roman"/>
          <w:sz w:val="20"/>
          <w:szCs w:val="20"/>
          <w:lang w:eastAsia="pl-PL"/>
        </w:rPr>
        <w:t xml:space="preserve">przez  Regionalny Ośrodek Polityki Społecznej Województwa Świętokrzyskiego opracowana została </w:t>
      </w:r>
      <w:r w:rsidRPr="00246300">
        <w:rPr>
          <w:rFonts w:ascii="Lato" w:hAnsi="Lato" w:cs="Times New Roman"/>
          <w:b/>
          <w:bCs/>
          <w:sz w:val="20"/>
          <w:szCs w:val="20"/>
          <w:lang w:eastAsia="pl-PL"/>
        </w:rPr>
        <w:t>Diagnoza dostępności oraz zapotrzebowania na wybrane usługi społeczne adresowane do seniorów w województwie</w:t>
      </w:r>
      <w:r w:rsidRPr="00D02C8D">
        <w:rPr>
          <w:rFonts w:ascii="Lato" w:hAnsi="Lato" w:cs="Times New Roman"/>
          <w:sz w:val="20"/>
          <w:szCs w:val="20"/>
          <w:lang w:eastAsia="pl-PL"/>
        </w:rPr>
        <w:t>. Opracowanie zawiera dane statystyczne obejmujące sytuację demograficzną, społeczną, zdrowotną seniorów</w:t>
      </w:r>
      <w:r w:rsidR="00246300">
        <w:rPr>
          <w:rFonts w:ascii="Lato" w:hAnsi="Lato" w:cs="Times New Roman"/>
          <w:sz w:val="20"/>
          <w:szCs w:val="20"/>
          <w:lang w:eastAsia="pl-PL"/>
        </w:rPr>
        <w:t xml:space="preserve"> </w:t>
      </w:r>
      <w:r w:rsidRPr="00D02C8D">
        <w:rPr>
          <w:rFonts w:ascii="Lato" w:hAnsi="Lato" w:cs="Times New Roman"/>
          <w:sz w:val="20"/>
          <w:szCs w:val="20"/>
          <w:lang w:eastAsia="pl-PL"/>
        </w:rPr>
        <w:t>w województwie świętokrzyskim. Ponadto dokonano inwentaryzacji zasobów infrastruktury dedykowanej seniorom, działań realizowanych na rzecz seniorów, barier występujących w zakresie realizacji lokalnej polityki senioralnej, a także określono potrzeby szkoleniowe                       w zakresie pracy z seniorami.</w:t>
      </w:r>
    </w:p>
    <w:p w14:paraId="2430FB85" w14:textId="77777777" w:rsidR="00246300" w:rsidRDefault="00246300" w:rsidP="00D02C8D">
      <w:pPr>
        <w:spacing w:after="0" w:line="240" w:lineRule="auto"/>
        <w:jc w:val="both"/>
        <w:rPr>
          <w:rFonts w:ascii="Lato" w:hAnsi="Lato" w:cs="Times New Roman"/>
          <w:sz w:val="20"/>
          <w:szCs w:val="20"/>
          <w:lang w:eastAsia="pl-PL"/>
        </w:rPr>
      </w:pPr>
    </w:p>
    <w:p w14:paraId="045EA5DC" w14:textId="3F290852" w:rsidR="00D02C8D" w:rsidRPr="00246300" w:rsidRDefault="00D02C8D" w:rsidP="00D02C8D">
      <w:pPr>
        <w:spacing w:after="0" w:line="240" w:lineRule="auto"/>
        <w:jc w:val="both"/>
        <w:rPr>
          <w:rFonts w:ascii="Lato" w:hAnsi="Lato" w:cs="Times New Roman"/>
          <w:b/>
          <w:bCs/>
          <w:sz w:val="20"/>
          <w:szCs w:val="20"/>
          <w:lang w:eastAsia="pl-PL"/>
        </w:rPr>
      </w:pPr>
      <w:r w:rsidRPr="00D02C8D">
        <w:rPr>
          <w:rFonts w:ascii="Lato" w:hAnsi="Lato" w:cs="Times New Roman"/>
          <w:color w:val="000000"/>
          <w:sz w:val="20"/>
          <w:szCs w:val="20"/>
          <w:lang w:eastAsia="pl-PL"/>
        </w:rPr>
        <w:t>Sytuacja demograficzna i społeczna w województwie świętokrzyskim podlega cyklicznemu monitoringowi i analizie. Dokumentem kompleksowo przedstawiającym powyższą tematykę jest corocznie opracowywana</w:t>
      </w:r>
      <w:r w:rsidRPr="00D02C8D">
        <w:rPr>
          <w:rFonts w:ascii="Lato" w:hAnsi="Lato" w:cs="Times New Roman"/>
          <w:sz w:val="20"/>
          <w:szCs w:val="20"/>
          <w:lang w:eastAsia="pl-PL"/>
        </w:rPr>
        <w:t xml:space="preserve"> </w:t>
      </w:r>
      <w:r w:rsidRPr="00D02C8D">
        <w:rPr>
          <w:rFonts w:ascii="Lato" w:hAnsi="Lato" w:cs="Times New Roman"/>
          <w:color w:val="000000"/>
          <w:sz w:val="20"/>
          <w:szCs w:val="20"/>
          <w:lang w:eastAsia="pl-PL"/>
        </w:rPr>
        <w:t xml:space="preserve">przez Regionalny Ośrodek Polityki Społecznej Województwa Świętokrzyskiego i przekazywana Wojewodzie Świętokrzyskiemu </w:t>
      </w:r>
      <w:r w:rsidRPr="00246300">
        <w:rPr>
          <w:rFonts w:ascii="Lato" w:hAnsi="Lato" w:cs="Times New Roman"/>
          <w:b/>
          <w:bCs/>
          <w:color w:val="000000"/>
          <w:sz w:val="20"/>
          <w:szCs w:val="20"/>
          <w:lang w:eastAsia="pl-PL"/>
        </w:rPr>
        <w:t xml:space="preserve">Ocena Zasobów Pomocy Społecznej Województwa Świętokrzyskiego. </w:t>
      </w:r>
    </w:p>
    <w:p w14:paraId="2AE89CCB" w14:textId="77777777" w:rsidR="00246300" w:rsidRDefault="00246300" w:rsidP="00246300">
      <w:pPr>
        <w:spacing w:after="0" w:line="240" w:lineRule="auto"/>
        <w:jc w:val="both"/>
        <w:rPr>
          <w:rFonts w:ascii="Lato" w:hAnsi="Lato" w:cs="Times New Roman"/>
          <w:sz w:val="20"/>
          <w:szCs w:val="20"/>
          <w:lang w:eastAsia="pl-PL"/>
        </w:rPr>
      </w:pPr>
    </w:p>
    <w:p w14:paraId="3E0D9368" w14:textId="26A6EE26" w:rsidR="00D02C8D" w:rsidRPr="00D02C8D" w:rsidRDefault="00D02C8D" w:rsidP="00246300">
      <w:pPr>
        <w:spacing w:after="0" w:line="240" w:lineRule="auto"/>
        <w:jc w:val="both"/>
        <w:rPr>
          <w:rFonts w:ascii="Lato" w:hAnsi="Lato" w:cs="Times New Roman"/>
          <w:sz w:val="20"/>
          <w:szCs w:val="20"/>
          <w:lang w:eastAsia="pl-PL"/>
        </w:rPr>
      </w:pPr>
      <w:r w:rsidRPr="00D02C8D">
        <w:rPr>
          <w:rFonts w:ascii="Lato" w:hAnsi="Lato" w:cs="Times New Roman"/>
          <w:sz w:val="20"/>
          <w:szCs w:val="20"/>
          <w:lang w:eastAsia="pl-PL"/>
        </w:rPr>
        <w:t>W 2022 r</w:t>
      </w:r>
      <w:r w:rsidR="00246300">
        <w:rPr>
          <w:rFonts w:ascii="Lato" w:hAnsi="Lato" w:cs="Times New Roman"/>
          <w:sz w:val="20"/>
          <w:szCs w:val="20"/>
          <w:lang w:eastAsia="pl-PL"/>
        </w:rPr>
        <w:t xml:space="preserve">. </w:t>
      </w:r>
      <w:r w:rsidRPr="00D02C8D">
        <w:rPr>
          <w:rFonts w:ascii="Lato" w:hAnsi="Lato" w:cs="Times New Roman"/>
          <w:sz w:val="20"/>
          <w:szCs w:val="20"/>
          <w:lang w:eastAsia="pl-PL"/>
        </w:rPr>
        <w:t xml:space="preserve">odbyło się posiedzenie </w:t>
      </w:r>
      <w:r w:rsidRPr="00246300">
        <w:rPr>
          <w:rFonts w:ascii="Lato" w:hAnsi="Lato" w:cs="Times New Roman"/>
          <w:b/>
          <w:bCs/>
          <w:sz w:val="20"/>
          <w:szCs w:val="20"/>
          <w:lang w:eastAsia="pl-PL"/>
        </w:rPr>
        <w:t>Świętokrzyskiej Rady Seniorów</w:t>
      </w:r>
      <w:r w:rsidRPr="00D02C8D">
        <w:rPr>
          <w:rFonts w:ascii="Lato" w:hAnsi="Lato" w:cs="Times New Roman"/>
          <w:sz w:val="20"/>
          <w:szCs w:val="20"/>
          <w:lang w:eastAsia="pl-PL"/>
        </w:rPr>
        <w:t xml:space="preserve"> poświęcone bezpieczeństwu ekonomicznemu seniorów, dyskutowano na temat możliwych form aktywności i perspektyw w działalności na rzecz seniorów. Gośćmi posiedzenia Rady byli przedstawiciele Komendy Wojewódzkiej Policji w Kielcach oraz Narodowego Banku Polskiego i Banku </w:t>
      </w:r>
      <w:proofErr w:type="spellStart"/>
      <w:r w:rsidRPr="00D02C8D">
        <w:rPr>
          <w:rFonts w:ascii="Lato" w:hAnsi="Lato" w:cs="Times New Roman"/>
          <w:sz w:val="20"/>
          <w:szCs w:val="20"/>
          <w:lang w:eastAsia="pl-PL"/>
        </w:rPr>
        <w:t>Crédit</w:t>
      </w:r>
      <w:proofErr w:type="spellEnd"/>
      <w:r w:rsidRPr="00D02C8D">
        <w:rPr>
          <w:rFonts w:ascii="Lato" w:hAnsi="Lato" w:cs="Times New Roman"/>
          <w:sz w:val="20"/>
          <w:szCs w:val="20"/>
          <w:lang w:eastAsia="pl-PL"/>
        </w:rPr>
        <w:t xml:space="preserve"> </w:t>
      </w:r>
      <w:proofErr w:type="spellStart"/>
      <w:r w:rsidRPr="00D02C8D">
        <w:rPr>
          <w:rFonts w:ascii="Lato" w:hAnsi="Lato" w:cs="Times New Roman"/>
          <w:sz w:val="20"/>
          <w:szCs w:val="20"/>
          <w:lang w:eastAsia="pl-PL"/>
        </w:rPr>
        <w:t>Agricole</w:t>
      </w:r>
      <w:proofErr w:type="spellEnd"/>
      <w:r w:rsidRPr="00D02C8D">
        <w:rPr>
          <w:rFonts w:ascii="Lato" w:hAnsi="Lato" w:cs="Times New Roman"/>
          <w:sz w:val="20"/>
          <w:szCs w:val="20"/>
          <w:lang w:eastAsia="pl-PL"/>
        </w:rPr>
        <w:t>.</w:t>
      </w:r>
    </w:p>
    <w:p w14:paraId="5543228D" w14:textId="77777777" w:rsidR="00246300" w:rsidRDefault="00246300" w:rsidP="00246300">
      <w:pPr>
        <w:spacing w:after="0" w:line="240" w:lineRule="auto"/>
        <w:jc w:val="both"/>
        <w:rPr>
          <w:rFonts w:ascii="Lato" w:hAnsi="Lato" w:cs="Times New Roman"/>
          <w:color w:val="000000"/>
          <w:sz w:val="20"/>
          <w:szCs w:val="20"/>
          <w:lang w:eastAsia="pl-PL"/>
        </w:rPr>
      </w:pPr>
    </w:p>
    <w:p w14:paraId="29DCE1BE" w14:textId="6D0AE013" w:rsidR="00D02C8D" w:rsidRPr="00246300" w:rsidRDefault="00D02C8D" w:rsidP="00246300">
      <w:pPr>
        <w:spacing w:after="0" w:line="240" w:lineRule="auto"/>
        <w:jc w:val="both"/>
        <w:rPr>
          <w:rFonts w:ascii="Lato" w:hAnsi="Lato" w:cs="Times New Roman"/>
          <w:b/>
          <w:bCs/>
          <w:color w:val="000000"/>
          <w:sz w:val="20"/>
          <w:szCs w:val="20"/>
          <w:lang w:eastAsia="pl-PL"/>
        </w:rPr>
      </w:pPr>
      <w:r w:rsidRPr="00246300">
        <w:rPr>
          <w:rFonts w:ascii="Lato" w:hAnsi="Lato" w:cs="Times New Roman"/>
          <w:b/>
          <w:bCs/>
          <w:color w:val="000000"/>
          <w:sz w:val="20"/>
          <w:szCs w:val="20"/>
          <w:lang w:eastAsia="pl-PL"/>
        </w:rPr>
        <w:t xml:space="preserve">W ramach podejmowanych przez samorząd województwa świętokrzyskiego inicjatyw inspirujących i promujących nowe rozwiązania w zakresie pomocy społecznej dedykowanych  seniorom należy wymienić: </w:t>
      </w:r>
    </w:p>
    <w:p w14:paraId="19CD1243" w14:textId="77777777" w:rsidR="00D02C8D" w:rsidRPr="00D02C8D" w:rsidRDefault="00D02C8D" w:rsidP="0059185B">
      <w:pPr>
        <w:numPr>
          <w:ilvl w:val="0"/>
          <w:numId w:val="107"/>
        </w:numPr>
        <w:spacing w:after="0" w:line="240" w:lineRule="auto"/>
        <w:ind w:left="284" w:hanging="284"/>
        <w:contextualSpacing/>
        <w:jc w:val="both"/>
        <w:rPr>
          <w:rFonts w:ascii="Lato" w:hAnsi="Lato" w:cs="Times New Roman"/>
          <w:color w:val="000000"/>
          <w:sz w:val="20"/>
          <w:szCs w:val="20"/>
          <w:lang w:eastAsia="pl-PL"/>
        </w:rPr>
      </w:pPr>
      <w:r w:rsidRPr="00D02C8D">
        <w:rPr>
          <w:rFonts w:ascii="Lato" w:hAnsi="Lato" w:cs="Times New Roman"/>
          <w:color w:val="000000"/>
          <w:sz w:val="20"/>
          <w:szCs w:val="20"/>
          <w:lang w:eastAsia="pl-PL"/>
        </w:rPr>
        <w:t xml:space="preserve">„III Świętokrzyskie Forum Seniora Online”,  które odbyło się w dniach 6-20 czerwca 2022 roku oraz „II Ogólnopolskie Forum Seniora”, które odbyło się w dniu 8 grudnia 2022 roku. Wydarzenia miały charakter regionalny, zaś ich celem była aktywizacja społeczna seniorów, zwiększenie udziału osób starszych w życiu publicznym oraz udzielenie odpowiedzi na podstawowe problemy i pytania nurtujące tę grupę społeczną. Podczas forum poruszane były najważniejsze dla seniorów tematy dotyczące zdrowia, zdrowego trybu życia i profilaktyki, czasu wolnego. Wydarzenia organizowane były w formule on-line dzięki czemu grono odbiorców było zdecydowanie większe niż  w przypadku konferencji stacjonarnej. </w:t>
      </w:r>
    </w:p>
    <w:p w14:paraId="6C3C66E4" w14:textId="3B5A9A0F" w:rsidR="00D02C8D" w:rsidRPr="003D7879" w:rsidRDefault="00D02C8D" w:rsidP="0059185B">
      <w:pPr>
        <w:numPr>
          <w:ilvl w:val="0"/>
          <w:numId w:val="107"/>
        </w:numPr>
        <w:spacing w:after="0" w:line="240" w:lineRule="auto"/>
        <w:ind w:left="284" w:hanging="284"/>
        <w:contextualSpacing/>
        <w:jc w:val="both"/>
        <w:rPr>
          <w:rFonts w:ascii="Lato" w:hAnsi="Lato" w:cs="Times New Roman"/>
          <w:color w:val="000000"/>
          <w:sz w:val="20"/>
          <w:szCs w:val="20"/>
          <w:lang w:eastAsia="pl-PL"/>
        </w:rPr>
      </w:pPr>
      <w:r w:rsidRPr="00D02C8D">
        <w:rPr>
          <w:rFonts w:ascii="Lato" w:hAnsi="Lato" w:cs="Times New Roman"/>
          <w:color w:val="000000"/>
          <w:sz w:val="20"/>
          <w:szCs w:val="20"/>
          <w:lang w:eastAsia="pl-PL"/>
        </w:rPr>
        <w:t>organizację Wojewódzkiej Uroczystej Inauguracji Roku Akademickiego Uniwersytetów III Wieku  stanowiącej wyraz wdzięczności władz województwa świętokrzyskiego za działalność i wkład Uniwersytetów III Wieku w aktywizację, integrację oraz edukację osób starszych. W uroczystości udział wzięli przedstawiciele wszystkich Uniwersytetów Trzeciego Wieku funkcjonujących w regionie. Ponadto uczestnicy wysłuchali wykładu „Rola edukacji w wieku senioralnym” oraz koncertu zespołu „</w:t>
      </w:r>
      <w:proofErr w:type="spellStart"/>
      <w:r w:rsidRPr="00D02C8D">
        <w:rPr>
          <w:rFonts w:ascii="Lato" w:hAnsi="Lato" w:cs="Times New Roman"/>
          <w:color w:val="000000"/>
          <w:sz w:val="20"/>
          <w:szCs w:val="20"/>
          <w:lang w:eastAsia="pl-PL"/>
        </w:rPr>
        <w:t>LeonVoci</w:t>
      </w:r>
      <w:proofErr w:type="spellEnd"/>
      <w:r w:rsidRPr="00D02C8D">
        <w:rPr>
          <w:rFonts w:ascii="Lato" w:hAnsi="Lato" w:cs="Times New Roman"/>
          <w:color w:val="000000"/>
          <w:sz w:val="20"/>
          <w:szCs w:val="20"/>
          <w:lang w:eastAsia="pl-PL"/>
        </w:rPr>
        <w:t xml:space="preserve">”. </w:t>
      </w:r>
      <w:r w:rsidRPr="003D7879">
        <w:rPr>
          <w:rFonts w:ascii="Lato" w:hAnsi="Lato" w:cs="Times New Roman"/>
          <w:sz w:val="20"/>
          <w:szCs w:val="20"/>
          <w:lang w:eastAsia="pl-PL"/>
        </w:rPr>
        <w:t>Do działań wspierających realizację celów wskazanych w informacji o sytuacji osób starszych w Polsce w 2021r. oraz Polityce społecznej wobec osób starszych 2030. Bezpieczeństwo - Uczestnictwo - Solidarność zaliczyć można:</w:t>
      </w:r>
    </w:p>
    <w:p w14:paraId="2BFE74B7" w14:textId="77777777" w:rsidR="003D7879" w:rsidRDefault="003D7879" w:rsidP="003D7879">
      <w:pPr>
        <w:spacing w:after="0" w:line="240" w:lineRule="auto"/>
        <w:contextualSpacing/>
        <w:jc w:val="both"/>
        <w:rPr>
          <w:rFonts w:ascii="Lato" w:hAnsi="Lato" w:cs="Times New Roman"/>
          <w:sz w:val="20"/>
          <w:szCs w:val="20"/>
          <w:lang w:eastAsia="pl-PL"/>
        </w:rPr>
      </w:pPr>
    </w:p>
    <w:p w14:paraId="6444397A" w14:textId="03360925" w:rsidR="00D02C8D" w:rsidRDefault="00D02C8D" w:rsidP="003D7879">
      <w:pPr>
        <w:spacing w:after="0" w:line="240" w:lineRule="auto"/>
        <w:contextualSpacing/>
        <w:jc w:val="both"/>
        <w:rPr>
          <w:rFonts w:ascii="Lato" w:hAnsi="Lato" w:cs="Times New Roman"/>
          <w:sz w:val="20"/>
          <w:szCs w:val="20"/>
          <w:lang w:eastAsia="pl-PL"/>
        </w:rPr>
      </w:pPr>
      <w:r w:rsidRPr="00D02C8D">
        <w:rPr>
          <w:rFonts w:ascii="Lato" w:hAnsi="Lato" w:cs="Times New Roman"/>
          <w:sz w:val="20"/>
          <w:szCs w:val="20"/>
          <w:lang w:eastAsia="pl-PL"/>
        </w:rPr>
        <w:t>W ramach otwartego konkursu ofert na realizację zadania pn. „Dofinansowanie działań mających na celu poprawę sprawności fizycznej i intelektualnej ludzi starszych</w:t>
      </w:r>
      <w:r w:rsidR="003D7879">
        <w:rPr>
          <w:rFonts w:ascii="Lato" w:hAnsi="Lato" w:cs="Times New Roman"/>
          <w:sz w:val="20"/>
          <w:szCs w:val="20"/>
          <w:lang w:eastAsia="pl-PL"/>
        </w:rPr>
        <w:t xml:space="preserve"> </w:t>
      </w:r>
      <w:r w:rsidRPr="00D02C8D">
        <w:rPr>
          <w:rFonts w:ascii="Lato" w:hAnsi="Lato" w:cs="Times New Roman"/>
          <w:sz w:val="20"/>
          <w:szCs w:val="20"/>
          <w:lang w:eastAsia="pl-PL"/>
        </w:rPr>
        <w:t xml:space="preserve">w różnych sferach życia”, na które Zarząd Województwa Świętokrzyskiego przyznał dofinansowanie dla  27 projektów, które spełniały zarówno  </w:t>
      </w:r>
      <w:r w:rsidRPr="003D7879">
        <w:rPr>
          <w:rFonts w:ascii="Lato" w:hAnsi="Lato" w:cs="Times New Roman"/>
          <w:sz w:val="20"/>
          <w:szCs w:val="20"/>
          <w:lang w:eastAsia="pl-PL"/>
        </w:rPr>
        <w:t>wymogi formalne jak i merytoryczne ogłoszenia o otwartym konkursie ofert. Ponadto w ramach trybu pozakonkursowego dofinansowane otrzymało 8 projektów skierowanych do osób starszych. Zadania zlecone dla organizacji pozarządowych zarówno w otwartym konkursie jak i  w trybie pozakonkursowym posiadały szeroki wachlarz form pomocy dla osób starszych z terenu województwa świętokrzyskiego. W ramach zadań realizowane były działania mające na celu poprawę sprawności fizycznej jak i intelektualnej osób w wieku senioralnym. Wśród aktywności</w:t>
      </w:r>
      <w:r w:rsidR="003D7879" w:rsidRPr="003D7879">
        <w:rPr>
          <w:rFonts w:ascii="Lato" w:hAnsi="Lato" w:cs="Times New Roman"/>
          <w:sz w:val="20"/>
          <w:szCs w:val="20"/>
          <w:lang w:eastAsia="pl-PL"/>
        </w:rPr>
        <w:t xml:space="preserve"> </w:t>
      </w:r>
      <w:r w:rsidRPr="003D7879">
        <w:rPr>
          <w:rFonts w:ascii="Lato" w:hAnsi="Lato" w:cs="Times New Roman"/>
          <w:sz w:val="20"/>
          <w:szCs w:val="20"/>
          <w:lang w:eastAsia="pl-PL"/>
        </w:rPr>
        <w:t xml:space="preserve">przeznaczonych dla seniorów w ramach zleconych zadań dla organizacji pozarządowych zaplanowano m.in. zajęcia: ruchowe z elementami fitnessu, spacery </w:t>
      </w:r>
      <w:proofErr w:type="spellStart"/>
      <w:r w:rsidRPr="003D7879">
        <w:rPr>
          <w:rFonts w:ascii="Lato" w:hAnsi="Lato" w:cs="Times New Roman"/>
          <w:sz w:val="20"/>
          <w:szCs w:val="20"/>
          <w:lang w:eastAsia="pl-PL"/>
        </w:rPr>
        <w:t>nordic</w:t>
      </w:r>
      <w:proofErr w:type="spellEnd"/>
      <w:r w:rsidRPr="003D7879">
        <w:rPr>
          <w:rFonts w:ascii="Lato" w:hAnsi="Lato" w:cs="Times New Roman"/>
          <w:sz w:val="20"/>
          <w:szCs w:val="20"/>
          <w:lang w:eastAsia="pl-PL"/>
        </w:rPr>
        <w:t xml:space="preserve"> </w:t>
      </w:r>
      <w:proofErr w:type="spellStart"/>
      <w:r w:rsidRPr="003D7879">
        <w:rPr>
          <w:rFonts w:ascii="Lato" w:hAnsi="Lato" w:cs="Times New Roman"/>
          <w:sz w:val="20"/>
          <w:szCs w:val="20"/>
          <w:lang w:eastAsia="pl-PL"/>
        </w:rPr>
        <w:t>walking</w:t>
      </w:r>
      <w:proofErr w:type="spellEnd"/>
      <w:r w:rsidRPr="003D7879">
        <w:rPr>
          <w:rFonts w:ascii="Lato" w:hAnsi="Lato" w:cs="Times New Roman"/>
          <w:sz w:val="20"/>
          <w:szCs w:val="20"/>
          <w:lang w:eastAsia="pl-PL"/>
        </w:rPr>
        <w:t xml:space="preserve"> i </w:t>
      </w:r>
      <w:proofErr w:type="spellStart"/>
      <w:r w:rsidRPr="003D7879">
        <w:rPr>
          <w:rFonts w:ascii="Lato" w:hAnsi="Lato" w:cs="Times New Roman"/>
          <w:sz w:val="20"/>
          <w:szCs w:val="20"/>
          <w:lang w:eastAsia="pl-PL"/>
        </w:rPr>
        <w:t>aqua</w:t>
      </w:r>
      <w:proofErr w:type="spellEnd"/>
      <w:r w:rsidRPr="003D7879">
        <w:rPr>
          <w:rFonts w:ascii="Lato" w:hAnsi="Lato" w:cs="Times New Roman"/>
          <w:sz w:val="20"/>
          <w:szCs w:val="20"/>
          <w:lang w:eastAsia="pl-PL"/>
        </w:rPr>
        <w:t xml:space="preserve"> aerobik. Ponadto organizowane były  spotkania z doradcą zawodowym, zajęcia terapeutyczne czy też warsztaty z psychologiem, które w znacznym stopniu pozytywnie wpłynęły na poprawę życia osób starszych. Dodatkowo w ramach zleconych zadań zaplanowano wycieczki krajoznawcze na terenie województwa świętokrzyskiego oraz spotkania integracyjne</w:t>
      </w:r>
      <w:r w:rsidR="003D7879" w:rsidRPr="003D7879">
        <w:rPr>
          <w:rFonts w:ascii="Lato" w:hAnsi="Lato" w:cs="Times New Roman"/>
          <w:sz w:val="20"/>
          <w:szCs w:val="20"/>
          <w:lang w:eastAsia="pl-PL"/>
        </w:rPr>
        <w:t xml:space="preserve"> </w:t>
      </w:r>
      <w:r w:rsidRPr="003D7879">
        <w:rPr>
          <w:rFonts w:ascii="Lato" w:hAnsi="Lato" w:cs="Times New Roman"/>
          <w:sz w:val="20"/>
          <w:szCs w:val="20"/>
          <w:lang w:eastAsia="pl-PL"/>
        </w:rPr>
        <w:t>i międzypokoleniowe, dzięki którym osoby starsze mogą poczuć się  integralną częścią społeczności.</w:t>
      </w:r>
    </w:p>
    <w:p w14:paraId="6BCFE992" w14:textId="77777777" w:rsidR="00246300" w:rsidRDefault="00246300" w:rsidP="00246300">
      <w:pPr>
        <w:spacing w:after="0" w:line="240" w:lineRule="auto"/>
        <w:jc w:val="both"/>
        <w:rPr>
          <w:rFonts w:ascii="Lato" w:hAnsi="Lato"/>
          <w:b/>
          <w:color w:val="2F5496" w:themeColor="accent1" w:themeShade="BF"/>
          <w:sz w:val="20"/>
          <w:szCs w:val="20"/>
        </w:rPr>
      </w:pPr>
    </w:p>
    <w:p w14:paraId="622590B9" w14:textId="22407DB4" w:rsidR="00246300" w:rsidRPr="00246300" w:rsidRDefault="00246300" w:rsidP="00246300">
      <w:pPr>
        <w:spacing w:after="0" w:line="240" w:lineRule="auto"/>
        <w:jc w:val="both"/>
        <w:rPr>
          <w:rFonts w:ascii="Lato" w:hAnsi="Lato"/>
          <w:b/>
          <w:color w:val="2F5496" w:themeColor="accent1" w:themeShade="BF"/>
          <w:sz w:val="20"/>
          <w:szCs w:val="20"/>
        </w:rPr>
      </w:pPr>
      <w:r w:rsidRPr="00246300">
        <w:rPr>
          <w:rFonts w:ascii="Lato" w:hAnsi="Lato"/>
          <w:b/>
          <w:color w:val="2F5496" w:themeColor="accent1" w:themeShade="BF"/>
          <w:sz w:val="20"/>
          <w:szCs w:val="20"/>
        </w:rPr>
        <w:t>INICJATYWY DEDYKOWANE OSOBOM STARSZYM</w:t>
      </w:r>
    </w:p>
    <w:p w14:paraId="3821975F" w14:textId="1AFF427F" w:rsidR="00D02C8D" w:rsidRPr="00D02C8D" w:rsidRDefault="00D02C8D" w:rsidP="00D02C8D">
      <w:pPr>
        <w:spacing w:after="0" w:line="240" w:lineRule="auto"/>
        <w:jc w:val="both"/>
        <w:rPr>
          <w:rFonts w:ascii="Lato" w:eastAsia="Times New Roman" w:hAnsi="Lato" w:cs="Times New Roman"/>
          <w:sz w:val="20"/>
          <w:szCs w:val="20"/>
          <w:lang w:val="pl" w:eastAsia="pl-PL"/>
        </w:rPr>
      </w:pPr>
      <w:r w:rsidRPr="00D02C8D">
        <w:rPr>
          <w:rFonts w:ascii="Lato" w:eastAsia="Times New Roman" w:hAnsi="Lato" w:cs="Times New Roman"/>
          <w:b/>
          <w:bCs/>
          <w:sz w:val="20"/>
          <w:szCs w:val="20"/>
          <w:lang w:val="pl" w:eastAsia="pl-PL"/>
        </w:rPr>
        <w:t>Program Opieka 75+</w:t>
      </w:r>
    </w:p>
    <w:p w14:paraId="10E39DAE" w14:textId="3B71E170" w:rsidR="00D02C8D" w:rsidRDefault="00D02C8D" w:rsidP="00246300">
      <w:pPr>
        <w:shd w:val="clear" w:color="auto" w:fill="FFFFFF"/>
        <w:spacing w:after="0" w:line="240" w:lineRule="auto"/>
        <w:jc w:val="both"/>
        <w:textAlignment w:val="baseline"/>
        <w:rPr>
          <w:rFonts w:ascii="Lato" w:eastAsia="Times New Roman" w:hAnsi="Lato" w:cs="Times New Roman"/>
          <w:sz w:val="20"/>
          <w:szCs w:val="20"/>
          <w:lang w:eastAsia="pl-PL"/>
        </w:rPr>
      </w:pPr>
      <w:r w:rsidRPr="00D02C8D">
        <w:rPr>
          <w:rFonts w:ascii="Lato" w:eastAsia="Calibri" w:hAnsi="Lato" w:cs="Times New Roman"/>
          <w:sz w:val="20"/>
          <w:szCs w:val="20"/>
        </w:rPr>
        <w:lastRenderedPageBreak/>
        <w:t>Na dzień 31 grudnia 2022 r</w:t>
      </w:r>
      <w:r w:rsidR="00246300">
        <w:rPr>
          <w:rFonts w:ascii="Lato" w:eastAsia="Calibri" w:hAnsi="Lato" w:cs="Times New Roman"/>
          <w:sz w:val="20"/>
          <w:szCs w:val="20"/>
        </w:rPr>
        <w:t xml:space="preserve">. </w:t>
      </w:r>
      <w:r w:rsidRPr="00D02C8D">
        <w:rPr>
          <w:rFonts w:ascii="Lato" w:eastAsia="Calibri" w:hAnsi="Lato" w:cs="Times New Roman"/>
          <w:sz w:val="20"/>
          <w:szCs w:val="20"/>
        </w:rPr>
        <w:t xml:space="preserve">na terenie województwa świętokrzyskiego </w:t>
      </w:r>
      <w:r w:rsidRPr="00D02C8D">
        <w:rPr>
          <w:rFonts w:ascii="Lato" w:eastAsia="Times New Roman" w:hAnsi="Lato" w:cs="Times New Roman"/>
          <w:sz w:val="20"/>
          <w:szCs w:val="20"/>
          <w:lang w:eastAsia="pl-PL"/>
        </w:rPr>
        <w:t>do programu przystąpiło ogółem 29 gmin,</w:t>
      </w:r>
      <w:r w:rsidRPr="00D02C8D">
        <w:rPr>
          <w:rFonts w:ascii="Lato" w:eastAsia="Times New Roman" w:hAnsi="Lato" w:cs="Times New Roman"/>
          <w:bCs/>
          <w:sz w:val="20"/>
          <w:szCs w:val="20"/>
          <w:lang w:eastAsia="pl-PL"/>
        </w:rPr>
        <w:t xml:space="preserve"> a</w:t>
      </w:r>
      <w:r w:rsidRPr="00D02C8D">
        <w:rPr>
          <w:rFonts w:ascii="Lato" w:eastAsia="Times New Roman" w:hAnsi="Lato" w:cs="Times New Roman"/>
          <w:b/>
          <w:sz w:val="20"/>
          <w:szCs w:val="20"/>
          <w:lang w:eastAsia="pl-PL"/>
        </w:rPr>
        <w:t xml:space="preserve"> </w:t>
      </w:r>
      <w:r w:rsidRPr="00D02C8D">
        <w:rPr>
          <w:rFonts w:ascii="Lato" w:eastAsia="Times New Roman" w:hAnsi="Lato" w:cs="Times New Roman"/>
          <w:sz w:val="20"/>
          <w:szCs w:val="20"/>
          <w:lang w:eastAsia="pl-PL"/>
        </w:rPr>
        <w:t>ostatecznie program realizowało 28.</w:t>
      </w:r>
      <w:r w:rsidRPr="00D02C8D">
        <w:rPr>
          <w:rFonts w:ascii="Lato" w:eastAsia="Times New Roman" w:hAnsi="Lato" w:cs="Times New Roman"/>
          <w:b/>
          <w:sz w:val="20"/>
          <w:szCs w:val="20"/>
          <w:lang w:eastAsia="pl-PL"/>
        </w:rPr>
        <w:t xml:space="preserve"> </w:t>
      </w:r>
      <w:r w:rsidRPr="00D02C8D">
        <w:rPr>
          <w:rFonts w:ascii="Lato" w:eastAsia="Times New Roman" w:hAnsi="Lato" w:cs="Times New Roman"/>
          <w:sz w:val="20"/>
          <w:szCs w:val="20"/>
          <w:lang w:eastAsia="pl-PL"/>
        </w:rPr>
        <w:t>W 2022 r</w:t>
      </w:r>
      <w:r w:rsidR="00246300">
        <w:rPr>
          <w:rFonts w:ascii="Lato" w:eastAsia="Times New Roman" w:hAnsi="Lato" w:cs="Times New Roman"/>
          <w:sz w:val="20"/>
          <w:szCs w:val="20"/>
          <w:lang w:eastAsia="pl-PL"/>
        </w:rPr>
        <w:t>.</w:t>
      </w:r>
      <w:r w:rsidRPr="00D02C8D">
        <w:rPr>
          <w:rFonts w:ascii="Lato" w:eastAsia="Times New Roman" w:hAnsi="Lato" w:cs="Times New Roman"/>
          <w:sz w:val="20"/>
          <w:szCs w:val="20"/>
          <w:lang w:eastAsia="pl-PL"/>
        </w:rPr>
        <w:t xml:space="preserve"> na realizację Programu „Opieka 75+” wykorzystano środki finansowe w kwocie </w:t>
      </w:r>
      <w:r w:rsidRPr="00D02C8D">
        <w:rPr>
          <w:rFonts w:ascii="Lato" w:eastAsia="Times New Roman" w:hAnsi="Lato" w:cs="Times New Roman"/>
          <w:bCs/>
          <w:sz w:val="20"/>
          <w:szCs w:val="20"/>
          <w:lang w:eastAsia="pl-PL"/>
        </w:rPr>
        <w:t>1 049 839,49 zł.</w:t>
      </w:r>
      <w:r w:rsidR="00246300">
        <w:rPr>
          <w:rFonts w:ascii="Lato" w:eastAsia="Times New Roman" w:hAnsi="Lato" w:cs="Times New Roman"/>
          <w:sz w:val="20"/>
          <w:szCs w:val="20"/>
          <w:lang w:eastAsia="pl-PL"/>
        </w:rPr>
        <w:t xml:space="preserve"> </w:t>
      </w:r>
      <w:r w:rsidRPr="00D02C8D">
        <w:rPr>
          <w:rFonts w:ascii="Lato" w:eastAsia="Calibri" w:hAnsi="Lato" w:cs="Times New Roman"/>
          <w:sz w:val="20"/>
          <w:szCs w:val="20"/>
        </w:rPr>
        <w:t xml:space="preserve">Program „Opieka 75+” – edycja 2022 </w:t>
      </w:r>
      <w:r w:rsidRPr="00D02C8D">
        <w:rPr>
          <w:rFonts w:ascii="Lato" w:eastAsia="Times New Roman" w:hAnsi="Lato" w:cs="Times New Roman"/>
          <w:sz w:val="20"/>
          <w:szCs w:val="20"/>
          <w:lang w:eastAsia="pl-PL"/>
        </w:rPr>
        <w:t xml:space="preserve">pozwolił na zwiększenie dostępności usług opiekuńczych dla osób w wieku 75 lat i więcej, które wymagają wsparcia w codziennym funkcjonowaniu ze względu na stan zdrowia oraz wiek. Osoby te potrzebują regularnej opieki i poczucia bezpieczeństwa. Z uwagi na proces starzenia się społeczeństwa oraz zmianę struktury rodzin zmniejsza się liczba rodzin wielopokoleniowych, a tym samym zwiększa się liczba osób samotnych i rośnie zapotrzebowanie na usługi opiekuńcze. Dodatkowo świadczone w ramach programu „Opieka 75+” - edycja 2022 usługi opiekuńcze przyniosły zauważalne efekty w sferze emocjonalnej seniorów – wpłynęły znacząco na zmniejszenie poczucia samotności i wykluczenia społecznego. Dzięki Programowi gminy uzyskały dodatkowe środki finansowe, które pozwoliły na zatrudnienie dodatkowych osób świadczących usługi, a także objęcie większej ilości osób wymagających wsparcia. </w:t>
      </w:r>
    </w:p>
    <w:p w14:paraId="1AE2514B" w14:textId="77777777" w:rsidR="00246300" w:rsidRPr="00D02C8D" w:rsidRDefault="00246300" w:rsidP="00246300">
      <w:pPr>
        <w:shd w:val="clear" w:color="auto" w:fill="FFFFFF"/>
        <w:spacing w:after="0" w:line="240" w:lineRule="auto"/>
        <w:jc w:val="both"/>
        <w:textAlignment w:val="baseline"/>
        <w:rPr>
          <w:rFonts w:ascii="Lato" w:eastAsia="Times New Roman" w:hAnsi="Lato" w:cs="Times New Roman"/>
          <w:sz w:val="20"/>
          <w:szCs w:val="20"/>
          <w:lang w:eastAsia="pl-PL"/>
        </w:rPr>
      </w:pPr>
    </w:p>
    <w:p w14:paraId="0724D469" w14:textId="258C6FBF" w:rsidR="00D02C8D" w:rsidRPr="00D02C8D" w:rsidRDefault="00D02C8D" w:rsidP="00D02C8D">
      <w:pPr>
        <w:spacing w:after="0" w:line="240" w:lineRule="auto"/>
        <w:rPr>
          <w:rFonts w:ascii="Lato" w:eastAsia="Calibri" w:hAnsi="Lato" w:cs="Times New Roman"/>
          <w:b/>
          <w:bCs/>
          <w:sz w:val="20"/>
          <w:szCs w:val="20"/>
        </w:rPr>
      </w:pPr>
      <w:r w:rsidRPr="00D02C8D">
        <w:rPr>
          <w:rFonts w:ascii="Lato" w:eastAsia="Calibri" w:hAnsi="Lato" w:cs="Times New Roman"/>
          <w:b/>
          <w:bCs/>
          <w:sz w:val="20"/>
          <w:szCs w:val="20"/>
        </w:rPr>
        <w:t>Program Korpus Wsparcia Seniorów</w:t>
      </w:r>
    </w:p>
    <w:p w14:paraId="2DBFF233" w14:textId="0271254D" w:rsidR="00D02C8D" w:rsidRPr="00D02C8D" w:rsidRDefault="00D02C8D" w:rsidP="00D02C8D">
      <w:pPr>
        <w:spacing w:after="0" w:line="240" w:lineRule="auto"/>
        <w:jc w:val="both"/>
        <w:rPr>
          <w:rFonts w:ascii="Lato" w:eastAsia="Calibri" w:hAnsi="Lato" w:cs="Times New Roman"/>
          <w:sz w:val="20"/>
          <w:szCs w:val="20"/>
        </w:rPr>
      </w:pPr>
      <w:r w:rsidRPr="00D02C8D">
        <w:rPr>
          <w:rFonts w:ascii="Lato" w:eastAsia="Times New Roman" w:hAnsi="Lato" w:cs="Times New Roman"/>
          <w:sz w:val="20"/>
          <w:szCs w:val="20"/>
          <w:lang w:eastAsia="pl-PL"/>
        </w:rPr>
        <w:t>W</w:t>
      </w:r>
      <w:r w:rsidRPr="00D02C8D">
        <w:rPr>
          <w:rFonts w:ascii="Lato" w:eastAsia="Calibri" w:hAnsi="Lato" w:cs="Times New Roman"/>
          <w:sz w:val="20"/>
          <w:szCs w:val="20"/>
        </w:rPr>
        <w:t xml:space="preserve"> 2022 </w:t>
      </w:r>
      <w:r w:rsidR="00246300">
        <w:rPr>
          <w:rFonts w:ascii="Lato" w:eastAsia="Calibri" w:hAnsi="Lato" w:cs="Times New Roman"/>
          <w:sz w:val="20"/>
          <w:szCs w:val="20"/>
        </w:rPr>
        <w:t xml:space="preserve">r. </w:t>
      </w:r>
      <w:r w:rsidRPr="00D02C8D">
        <w:rPr>
          <w:rFonts w:ascii="Lato" w:eastAsia="Calibri" w:hAnsi="Lato" w:cs="Times New Roman"/>
          <w:sz w:val="20"/>
          <w:szCs w:val="20"/>
        </w:rPr>
        <w:t>do Programu przystąpiło 52 spośród 102 samorządów gminnych województwa</w:t>
      </w:r>
      <w:r w:rsidR="00246300">
        <w:rPr>
          <w:rFonts w:ascii="Lato" w:eastAsia="Calibri" w:hAnsi="Lato" w:cs="Times New Roman"/>
          <w:sz w:val="20"/>
          <w:szCs w:val="20"/>
        </w:rPr>
        <w:t xml:space="preserve"> </w:t>
      </w:r>
      <w:r w:rsidRPr="00D02C8D">
        <w:rPr>
          <w:rFonts w:ascii="Lato" w:eastAsia="Calibri" w:hAnsi="Lato" w:cs="Times New Roman"/>
          <w:sz w:val="20"/>
          <w:szCs w:val="20"/>
        </w:rPr>
        <w:t>świętokrzyskiego. Na realizację projektu wykorzystano środki w wysokości 1 967 856,32 zł, w tym</w:t>
      </w:r>
      <w:r w:rsidRPr="00D02C8D">
        <w:rPr>
          <w:rFonts w:ascii="Lato" w:eastAsia="Calibri" w:hAnsi="Lato" w:cs="Times New Roman"/>
          <w:b/>
          <w:bCs/>
          <w:sz w:val="20"/>
          <w:szCs w:val="20"/>
        </w:rPr>
        <w:t xml:space="preserve"> </w:t>
      </w:r>
      <w:r w:rsidRPr="00D02C8D">
        <w:rPr>
          <w:rFonts w:ascii="Lato" w:eastAsia="Calibri" w:hAnsi="Lato" w:cs="Times New Roman"/>
          <w:sz w:val="20"/>
          <w:szCs w:val="20"/>
        </w:rPr>
        <w:t>881 399,77 zł to środki wydatkowane na Moduł I oraz 1 086 456,55 zł na Moduł II.</w:t>
      </w:r>
      <w:r w:rsidR="00246300">
        <w:rPr>
          <w:rFonts w:ascii="Lato" w:eastAsia="Calibri" w:hAnsi="Lato" w:cs="Times New Roman"/>
          <w:sz w:val="20"/>
          <w:szCs w:val="20"/>
        </w:rPr>
        <w:t xml:space="preserve"> </w:t>
      </w:r>
      <w:r w:rsidRPr="00D02C8D">
        <w:rPr>
          <w:rFonts w:ascii="Lato" w:eastAsia="Calibri" w:hAnsi="Lato" w:cs="Times New Roman"/>
          <w:sz w:val="20"/>
          <w:szCs w:val="20"/>
        </w:rPr>
        <w:t>W ramach Modułu I</w:t>
      </w:r>
      <w:r w:rsidRPr="00D02C8D">
        <w:rPr>
          <w:rFonts w:ascii="Lato" w:eastAsia="Times New Roman" w:hAnsi="Lato" w:cs="Times New Roman"/>
          <w:sz w:val="20"/>
          <w:szCs w:val="20"/>
          <w:lang w:eastAsia="pl-PL"/>
        </w:rPr>
        <w:t xml:space="preserve"> r</w:t>
      </w:r>
      <w:r w:rsidRPr="00D02C8D">
        <w:rPr>
          <w:rFonts w:ascii="Lato" w:eastAsia="Calibri" w:hAnsi="Lato" w:cs="Times New Roman"/>
          <w:sz w:val="20"/>
          <w:szCs w:val="20"/>
        </w:rPr>
        <w:t xml:space="preserve">zeczywista liczba osób, objętych faktycznie wsparciem wyniosła 1 692, w tym 73 osoby zgłosiły się przez infolinię. W module II rzeczywista liczba osób, które przystąpiły do Programu wyniosła 1 385. Zakupiono 1 305 opasek bezpieczeństwa do świadczenia usługi „opieki na odległość”. </w:t>
      </w:r>
      <w:r w:rsidR="00246300">
        <w:rPr>
          <w:rFonts w:ascii="Lato" w:eastAsia="Calibri" w:hAnsi="Lato" w:cs="Times New Roman"/>
          <w:sz w:val="20"/>
          <w:szCs w:val="20"/>
        </w:rPr>
        <w:t xml:space="preserve"> </w:t>
      </w:r>
      <w:r w:rsidRPr="00D02C8D">
        <w:rPr>
          <w:rFonts w:ascii="Lato" w:eastAsia="Calibri" w:hAnsi="Lato" w:cs="Times New Roman"/>
          <w:sz w:val="20"/>
          <w:szCs w:val="20"/>
        </w:rPr>
        <w:t>Nadmienić należy, że w 2022 roku rzeczywista liczba zgłoszeń do dyspozytora przy użyciu właśnie opaski bezpieczeństwa wyniosła 1 671, z tego 1 647 zgłoszeń zostało zakończonych udzieleniem wsparcia przez telefon, prośbą o interwencję kogoś z otoczenia czy prośbą o interwencję pracownika ośrodka pomocy społecznej/centrum usług społecznych, a 24 interwencją służb ratunkowych;</w:t>
      </w:r>
    </w:p>
    <w:p w14:paraId="1C322BA8" w14:textId="77777777" w:rsidR="00246300" w:rsidRDefault="00246300" w:rsidP="00246300">
      <w:pPr>
        <w:spacing w:after="0" w:line="240" w:lineRule="auto"/>
        <w:jc w:val="both"/>
        <w:rPr>
          <w:rFonts w:ascii="Lato" w:eastAsia="Calibri" w:hAnsi="Lato" w:cs="Times New Roman"/>
          <w:sz w:val="20"/>
          <w:szCs w:val="20"/>
        </w:rPr>
      </w:pPr>
    </w:p>
    <w:p w14:paraId="37BB59E8" w14:textId="31AEC7EA" w:rsidR="00D02C8D" w:rsidRDefault="00D02C8D" w:rsidP="00246300">
      <w:pPr>
        <w:spacing w:after="0" w:line="240" w:lineRule="auto"/>
        <w:jc w:val="both"/>
        <w:rPr>
          <w:rFonts w:ascii="Lato" w:eastAsia="Calibri" w:hAnsi="Lato" w:cs="Times New Roman"/>
          <w:sz w:val="20"/>
          <w:szCs w:val="20"/>
        </w:rPr>
      </w:pPr>
      <w:r w:rsidRPr="00D02C8D">
        <w:rPr>
          <w:rFonts w:ascii="Lato" w:eastAsia="Calibri" w:hAnsi="Lato" w:cs="Times New Roman"/>
          <w:sz w:val="20"/>
          <w:szCs w:val="20"/>
        </w:rPr>
        <w:t>Program „Korpus Wsparcia Seniorów” przyczynił się niewątpliwie do wzmocnienia gmin w zapewnieniu usługi wsparcia dla seniorów w wieku 65 lat i więcej, którzy zdecydowali się na pozostanie w domu, a nie byli w stanie zabezpieczyć sobie artykułów codziennej potrzeby dzięki np. pomocy bliskich. Osoby korzystające z Programu objęte zostały m.in.: działaniami informującymi i zachęcającymi osoby starsze do skorzystania z przedsięwzięcia, pomocą seniorom w codziennych czynnościach życiowych, np. robieniem i dostarczaniem zakupów, dostarczaniem ciepłych posiłków, realizacją recept oraz dostarczaniem lekarstw, zakupem i dostarczaniem środków opatrunkowych, środków czystości, higienicznych, biurowych, pomocą w regulowaniu różnego rodzaju opłat, pomocą w zakupie opału, pomocą w dowiezieniu do lekarza, na szczepienie, wyrzucaniem odpadów, pomocą w wyprowadzaniu psów, pomocą w załatwianiu drobnych spraw urzędowych, wsparciem emocjonalnym oraz rozmowami wspierającymi. Program, a zwłaszcza jego Moduł II bezsprzecznie przyczynił się do poprawy bezpieczeństwa zarówno wśród seniorów, jak również ich rodzin. Posiadanie opaski bezpieczeństwa przez seniorów dało im poczucie, że w razie potrzeby mogą szybko powiadomić bliską osobę lub służby ratunkowe o sytuacji kryzysowej, w której właśnie się znalazły. Opaska bezpieczeństwa dała także możliwość ciągłego monitorowania podstawowych parametrów życiowych i szybkiej reakcji służb. Dzięki tzw. „opiece na odległość” ludziom starszym zwiększyła się także możliwość samodzielnego funkcjonowania w miejscu zamieszkania. Jest to doskonałe rozwiązanie, szczególnie dla osób samotnych oraz tych, u których nieprzewidywalność zmiany stanu zdrowia uzasadnia stałe monitorowanie w celu jak najszybszej reakcji, powiadomienia służb i udzielenia jak najszybszej pomocy, w tym medycznej.</w:t>
      </w:r>
    </w:p>
    <w:p w14:paraId="19382E82" w14:textId="77777777" w:rsidR="00246300" w:rsidRPr="00D02C8D" w:rsidRDefault="00246300" w:rsidP="00246300">
      <w:pPr>
        <w:spacing w:after="0" w:line="240" w:lineRule="auto"/>
        <w:jc w:val="both"/>
        <w:rPr>
          <w:rFonts w:ascii="Lato" w:eastAsia="Calibri" w:hAnsi="Lato" w:cs="Times New Roman"/>
          <w:sz w:val="20"/>
          <w:szCs w:val="20"/>
        </w:rPr>
      </w:pPr>
    </w:p>
    <w:p w14:paraId="05130FC9" w14:textId="562DF7E0" w:rsidR="00D02C8D" w:rsidRDefault="00D02C8D" w:rsidP="00D02C8D">
      <w:pPr>
        <w:spacing w:after="0" w:line="240" w:lineRule="auto"/>
        <w:jc w:val="both"/>
        <w:rPr>
          <w:rFonts w:ascii="Lato" w:eastAsia="Calibri" w:hAnsi="Lato" w:cs="Times New Roman"/>
          <w:bCs/>
          <w:sz w:val="20"/>
          <w:szCs w:val="20"/>
          <w:lang w:eastAsia="pl-PL"/>
        </w:rPr>
      </w:pPr>
      <w:r w:rsidRPr="00D02C8D">
        <w:rPr>
          <w:rFonts w:ascii="Lato" w:eastAsia="Times New Roman" w:hAnsi="Lato" w:cs="Times New Roman"/>
          <w:bCs/>
          <w:sz w:val="20"/>
          <w:szCs w:val="20"/>
          <w:lang w:val="pl" w:eastAsia="pl-PL"/>
        </w:rPr>
        <w:t>W związku z</w:t>
      </w:r>
      <w:r w:rsidRPr="00D02C8D">
        <w:rPr>
          <w:rFonts w:ascii="Lato" w:eastAsia="Times New Roman" w:hAnsi="Lato" w:cs="Times New Roman"/>
          <w:bCs/>
          <w:sz w:val="20"/>
          <w:szCs w:val="20"/>
          <w:lang w:eastAsia="pl-PL"/>
        </w:rPr>
        <w:t xml:space="preserve"> zapobieganiu rozprzestrzeniania się wirusa COVID-19, </w:t>
      </w:r>
      <w:r w:rsidRPr="00D02C8D">
        <w:rPr>
          <w:rFonts w:ascii="Lato" w:eastAsia="Times New Roman" w:hAnsi="Lato" w:cs="Times New Roman"/>
          <w:b/>
          <w:sz w:val="20"/>
          <w:szCs w:val="20"/>
          <w:lang w:eastAsia="pl-PL"/>
        </w:rPr>
        <w:t>domy pomocy społecznej</w:t>
      </w:r>
      <w:r w:rsidRPr="00D02C8D">
        <w:rPr>
          <w:rFonts w:ascii="Lato" w:eastAsia="Times New Roman" w:hAnsi="Lato" w:cs="Times New Roman"/>
          <w:bCs/>
          <w:sz w:val="20"/>
          <w:szCs w:val="20"/>
          <w:lang w:eastAsia="pl-PL"/>
        </w:rPr>
        <w:t xml:space="preserve"> zarówno gminne jak i powiatowe otrzymały dofinansowanie min. na  </w:t>
      </w:r>
      <w:r w:rsidRPr="00D02C8D">
        <w:rPr>
          <w:rFonts w:ascii="Lato" w:eastAsia="Calibri" w:hAnsi="Lato" w:cs="Times New Roman"/>
          <w:sz w:val="20"/>
          <w:szCs w:val="20"/>
          <w:lang w:eastAsia="pl-PL"/>
        </w:rPr>
        <w:t xml:space="preserve">przygotowanie i zabezpieczenie domów pomocy społecznej przed wzrostem zakażeń wywołanych wirusem SARS-CoV-2, w szczególności na zapewnienie  kadry niezbędnej do zagwarantowania ciągłości usług świadczonych przez te jednostki. </w:t>
      </w:r>
      <w:r w:rsidRPr="00D02C8D">
        <w:rPr>
          <w:rFonts w:ascii="Lato" w:eastAsia="Calibri" w:hAnsi="Lato" w:cs="Times New Roman"/>
          <w:bCs/>
          <w:sz w:val="20"/>
          <w:szCs w:val="20"/>
          <w:lang w:eastAsia="pl-PL"/>
        </w:rPr>
        <w:t>W ramach walki z wirusem COVID-19 domy pomocy społecznej, w których umieszczone są osoby w podeszłym wieku oraz przewlekle somatycznie chore otrzymały środki finansowe z Funduszu Przeciwdziałania COVID-19  w kwocie 2 810 680,46 zł.</w:t>
      </w:r>
    </w:p>
    <w:p w14:paraId="3C8B3114" w14:textId="77777777" w:rsidR="00246300" w:rsidRPr="00D02C8D" w:rsidRDefault="00246300" w:rsidP="00D02C8D">
      <w:pPr>
        <w:spacing w:after="0" w:line="240" w:lineRule="auto"/>
        <w:jc w:val="both"/>
        <w:rPr>
          <w:rFonts w:ascii="Lato" w:eastAsia="Calibri" w:hAnsi="Lato" w:cs="Times New Roman"/>
          <w:bCs/>
          <w:sz w:val="20"/>
          <w:szCs w:val="20"/>
          <w:lang w:eastAsia="pl-PL"/>
        </w:rPr>
      </w:pPr>
    </w:p>
    <w:p w14:paraId="12CFF73A" w14:textId="17B56F99" w:rsidR="00D02C8D" w:rsidRPr="00D02C8D" w:rsidRDefault="00D02C8D" w:rsidP="00D02C8D">
      <w:pPr>
        <w:spacing w:after="0" w:line="240" w:lineRule="auto"/>
        <w:rPr>
          <w:rFonts w:ascii="Lato" w:eastAsia="Times New Roman" w:hAnsi="Lato" w:cs="Times New Roman"/>
          <w:sz w:val="20"/>
          <w:szCs w:val="20"/>
          <w:lang w:eastAsia="pl-PL"/>
        </w:rPr>
      </w:pPr>
      <w:r w:rsidRPr="00D02C8D">
        <w:rPr>
          <w:rFonts w:ascii="Lato" w:eastAsia="Times New Roman" w:hAnsi="Lato" w:cs="Times New Roman"/>
          <w:b/>
          <w:bCs/>
          <w:sz w:val="20"/>
          <w:szCs w:val="20"/>
          <w:lang w:eastAsia="pl-PL"/>
        </w:rPr>
        <w:t xml:space="preserve">Opieka </w:t>
      </w:r>
      <w:proofErr w:type="spellStart"/>
      <w:r w:rsidRPr="00D02C8D">
        <w:rPr>
          <w:rFonts w:ascii="Lato" w:eastAsia="Times New Roman" w:hAnsi="Lato" w:cs="Times New Roman"/>
          <w:b/>
          <w:bCs/>
          <w:sz w:val="20"/>
          <w:szCs w:val="20"/>
          <w:lang w:eastAsia="pl-PL"/>
        </w:rPr>
        <w:t>wytchnieniowa</w:t>
      </w:r>
      <w:proofErr w:type="spellEnd"/>
    </w:p>
    <w:p w14:paraId="67B360F5" w14:textId="294A9971" w:rsidR="00D02C8D" w:rsidRDefault="00D02C8D" w:rsidP="00D02C8D">
      <w:pPr>
        <w:spacing w:after="0" w:line="240" w:lineRule="auto"/>
        <w:jc w:val="both"/>
        <w:rPr>
          <w:rFonts w:ascii="Lato" w:eastAsia="Times New Roman" w:hAnsi="Lato" w:cs="Times New Roman"/>
          <w:bCs/>
          <w:sz w:val="20"/>
          <w:szCs w:val="20"/>
          <w:lang w:eastAsia="pl-PL"/>
        </w:rPr>
      </w:pPr>
      <w:r w:rsidRPr="00D02C8D">
        <w:rPr>
          <w:rFonts w:ascii="Lato" w:eastAsia="Times New Roman" w:hAnsi="Lato" w:cs="Times New Roman"/>
          <w:sz w:val="20"/>
          <w:szCs w:val="20"/>
          <w:lang w:eastAsia="pl-PL"/>
        </w:rPr>
        <w:t>W 2022 r</w:t>
      </w:r>
      <w:r w:rsidR="00246300">
        <w:rPr>
          <w:rFonts w:ascii="Lato" w:eastAsia="Times New Roman" w:hAnsi="Lato" w:cs="Times New Roman"/>
          <w:sz w:val="20"/>
          <w:szCs w:val="20"/>
          <w:lang w:eastAsia="pl-PL"/>
        </w:rPr>
        <w:t xml:space="preserve">. </w:t>
      </w:r>
      <w:r w:rsidRPr="00D02C8D">
        <w:rPr>
          <w:rFonts w:ascii="Lato" w:eastAsia="Times New Roman" w:hAnsi="Lato" w:cs="Times New Roman"/>
          <w:sz w:val="20"/>
          <w:szCs w:val="20"/>
          <w:lang w:eastAsia="pl-PL"/>
        </w:rPr>
        <w:t>do programu przystąpiło 39 gmin i 1 powiat z terenu województwa świętokrzyskiego. Liczba  uczestników Programu w 2022 r. wyniosła 1 490 osób. Ogółem n</w:t>
      </w:r>
      <w:r w:rsidRPr="00D02C8D">
        <w:rPr>
          <w:rFonts w:ascii="Lato" w:eastAsia="Times New Roman" w:hAnsi="Lato" w:cs="Times New Roman"/>
          <w:bCs/>
          <w:sz w:val="20"/>
          <w:szCs w:val="20"/>
          <w:lang w:eastAsia="pl-PL"/>
        </w:rPr>
        <w:t>a realizację programu wykorzystano  środki w kwocie 10.423.831,63 zł.</w:t>
      </w:r>
    </w:p>
    <w:p w14:paraId="2DED5CFE" w14:textId="77777777" w:rsidR="00246300" w:rsidRPr="00D02C8D" w:rsidRDefault="00246300" w:rsidP="00D02C8D">
      <w:pPr>
        <w:spacing w:after="0" w:line="240" w:lineRule="auto"/>
        <w:jc w:val="both"/>
        <w:rPr>
          <w:rFonts w:ascii="Lato" w:eastAsia="Times New Roman" w:hAnsi="Lato" w:cs="Times New Roman"/>
          <w:bCs/>
          <w:sz w:val="20"/>
          <w:szCs w:val="20"/>
          <w:lang w:eastAsia="pl-PL"/>
        </w:rPr>
      </w:pPr>
    </w:p>
    <w:p w14:paraId="679B788F" w14:textId="36C571A9" w:rsidR="00D02C8D" w:rsidRPr="00D02C8D" w:rsidRDefault="00D02C8D" w:rsidP="00D02C8D">
      <w:pPr>
        <w:spacing w:after="0" w:line="240" w:lineRule="auto"/>
        <w:rPr>
          <w:rFonts w:ascii="Lato" w:eastAsia="Times New Roman" w:hAnsi="Lato" w:cs="Times New Roman"/>
          <w:sz w:val="20"/>
          <w:szCs w:val="20"/>
          <w:lang w:eastAsia="pl-PL"/>
        </w:rPr>
      </w:pPr>
      <w:r w:rsidRPr="00D02C8D">
        <w:rPr>
          <w:rFonts w:ascii="Lato" w:eastAsia="Times New Roman" w:hAnsi="Lato" w:cs="Times New Roman"/>
          <w:b/>
          <w:bCs/>
          <w:sz w:val="20"/>
          <w:szCs w:val="20"/>
          <w:lang w:eastAsia="pl-PL"/>
        </w:rPr>
        <w:lastRenderedPageBreak/>
        <w:t>Asystent osobisty osoby niepełnosprawnej</w:t>
      </w:r>
    </w:p>
    <w:p w14:paraId="38AC3935" w14:textId="4DA6B995" w:rsidR="00D02C8D" w:rsidRDefault="00D02C8D" w:rsidP="00D02C8D">
      <w:pPr>
        <w:spacing w:after="0" w:line="240" w:lineRule="auto"/>
        <w:jc w:val="both"/>
        <w:rPr>
          <w:rFonts w:ascii="Lato" w:eastAsia="Times New Roman" w:hAnsi="Lato" w:cs="Times New Roman"/>
          <w:bCs/>
          <w:sz w:val="20"/>
          <w:szCs w:val="20"/>
          <w:lang w:eastAsia="pl-PL"/>
        </w:rPr>
      </w:pPr>
      <w:r w:rsidRPr="00D02C8D">
        <w:rPr>
          <w:rFonts w:ascii="Lato" w:hAnsi="Lato" w:cs="Times New Roman"/>
          <w:sz w:val="20"/>
          <w:szCs w:val="20"/>
        </w:rPr>
        <w:t xml:space="preserve">W 2022 r. ww. Program realizowało 62 gminy i 3 powiaty </w:t>
      </w:r>
      <w:r w:rsidRPr="00D02C8D">
        <w:rPr>
          <w:rFonts w:ascii="Lato" w:eastAsia="Times New Roman" w:hAnsi="Lato" w:cs="Times New Roman"/>
          <w:sz w:val="20"/>
          <w:szCs w:val="20"/>
          <w:lang w:eastAsia="pl-PL"/>
        </w:rPr>
        <w:t>z terenu województwa świętokrzyskiego</w:t>
      </w:r>
      <w:r w:rsidRPr="00D02C8D">
        <w:rPr>
          <w:rFonts w:ascii="Lato" w:hAnsi="Lato" w:cs="Times New Roman"/>
          <w:sz w:val="20"/>
          <w:szCs w:val="20"/>
        </w:rPr>
        <w:t>. Liczba uczestników Programu w 2022 r. wyniosła 4 446 osoby.</w:t>
      </w:r>
      <w:r w:rsidRPr="00D02C8D">
        <w:rPr>
          <w:rFonts w:ascii="Lato" w:eastAsia="Times New Roman" w:hAnsi="Lato" w:cs="Times New Roman"/>
          <w:color w:val="FF0000"/>
          <w:sz w:val="20"/>
          <w:szCs w:val="20"/>
          <w:lang w:eastAsia="pl-PL"/>
        </w:rPr>
        <w:t xml:space="preserve"> </w:t>
      </w:r>
      <w:r w:rsidRPr="00D02C8D">
        <w:rPr>
          <w:rFonts w:ascii="Lato" w:eastAsia="Times New Roman" w:hAnsi="Lato" w:cs="Times New Roman"/>
          <w:sz w:val="20"/>
          <w:szCs w:val="20"/>
          <w:lang w:eastAsia="pl-PL"/>
        </w:rPr>
        <w:t>Ogółem n</w:t>
      </w:r>
      <w:r w:rsidRPr="00D02C8D">
        <w:rPr>
          <w:rFonts w:ascii="Lato" w:eastAsia="Times New Roman" w:hAnsi="Lato" w:cs="Times New Roman"/>
          <w:bCs/>
          <w:sz w:val="20"/>
          <w:szCs w:val="20"/>
          <w:lang w:eastAsia="pl-PL"/>
        </w:rPr>
        <w:t>a realizację programu wykorzystano  środki w kwocie 60 585 244,56 zł.</w:t>
      </w:r>
    </w:p>
    <w:p w14:paraId="102A72DB" w14:textId="77777777" w:rsidR="00246300" w:rsidRPr="00D02C8D" w:rsidRDefault="00246300" w:rsidP="00D02C8D">
      <w:pPr>
        <w:spacing w:after="0" w:line="240" w:lineRule="auto"/>
        <w:jc w:val="both"/>
        <w:rPr>
          <w:rFonts w:ascii="Lato" w:eastAsia="Times New Roman" w:hAnsi="Lato" w:cs="Times New Roman"/>
          <w:bCs/>
          <w:color w:val="FF0000"/>
          <w:sz w:val="20"/>
          <w:szCs w:val="20"/>
          <w:lang w:eastAsia="pl-PL"/>
        </w:rPr>
      </w:pPr>
    </w:p>
    <w:p w14:paraId="421B74B4" w14:textId="26871CC4" w:rsidR="00D02C8D" w:rsidRPr="00D02C8D" w:rsidRDefault="00D02C8D" w:rsidP="00D02C8D">
      <w:pPr>
        <w:spacing w:after="0" w:line="240" w:lineRule="auto"/>
        <w:jc w:val="both"/>
        <w:rPr>
          <w:rFonts w:ascii="Lato" w:eastAsia="Times New Roman" w:hAnsi="Lato" w:cs="Times New Roman"/>
          <w:b/>
          <w:sz w:val="20"/>
          <w:szCs w:val="20"/>
          <w:lang w:eastAsia="pl-PL"/>
        </w:rPr>
      </w:pPr>
      <w:r w:rsidRPr="00D02C8D">
        <w:rPr>
          <w:rFonts w:ascii="Lato" w:eastAsia="Times New Roman" w:hAnsi="Lato" w:cs="Times New Roman"/>
          <w:b/>
          <w:bCs/>
          <w:color w:val="262626"/>
          <w:kern w:val="24"/>
          <w:sz w:val="20"/>
          <w:szCs w:val="20"/>
          <w:lang w:eastAsia="pl-PL"/>
        </w:rPr>
        <w:t xml:space="preserve">Program </w:t>
      </w:r>
      <w:r w:rsidRPr="00D02C8D">
        <w:rPr>
          <w:rFonts w:ascii="Lato" w:eastAsia="Times New Roman" w:hAnsi="Lato" w:cs="Times New Roman"/>
          <w:b/>
          <w:bCs/>
          <w:color w:val="000000" w:themeColor="text1"/>
          <w:kern w:val="24"/>
          <w:sz w:val="20"/>
          <w:szCs w:val="20"/>
          <w:lang w:eastAsia="pl-PL"/>
        </w:rPr>
        <w:t>Centra opiekuńczo – mieszkalne</w:t>
      </w:r>
    </w:p>
    <w:p w14:paraId="5B41DD3F" w14:textId="2867535C" w:rsidR="00D02C8D" w:rsidRPr="00D02C8D" w:rsidRDefault="00D02C8D" w:rsidP="00D02C8D">
      <w:pPr>
        <w:spacing w:after="0" w:line="240" w:lineRule="auto"/>
        <w:contextualSpacing/>
        <w:jc w:val="both"/>
        <w:rPr>
          <w:rFonts w:ascii="Lato" w:eastAsia="Calibri" w:hAnsi="Lato" w:cs="Times New Roman"/>
          <w:sz w:val="20"/>
          <w:szCs w:val="20"/>
          <w:lang w:eastAsia="pl-PL"/>
        </w:rPr>
      </w:pPr>
      <w:r w:rsidRPr="00D02C8D">
        <w:rPr>
          <w:rFonts w:ascii="Lato" w:eastAsia="Calibri" w:hAnsi="Lato" w:cs="Times New Roman"/>
          <w:sz w:val="20"/>
          <w:szCs w:val="20"/>
          <w:lang w:eastAsia="pl-PL"/>
        </w:rPr>
        <w:t xml:space="preserve">W województwie świętokrzyskim </w:t>
      </w:r>
      <w:r w:rsidRPr="00D02C8D">
        <w:rPr>
          <w:rFonts w:ascii="Lato" w:hAnsi="Lato" w:cs="Times New Roman"/>
          <w:sz w:val="20"/>
          <w:szCs w:val="20"/>
        </w:rPr>
        <w:t xml:space="preserve">od 1 lutego 2023 r. funkcjonuje pierwsze Centrum Opiekuńczo-mieszkalne w Bukowej - </w:t>
      </w:r>
      <w:r w:rsidRPr="00D02C8D">
        <w:rPr>
          <w:rFonts w:ascii="Lato" w:hAnsi="Lato" w:cs="Times New Roman"/>
          <w:b/>
          <w:bCs/>
          <w:sz w:val="20"/>
          <w:szCs w:val="20"/>
        </w:rPr>
        <w:t>Gmina Osiek</w:t>
      </w:r>
      <w:r w:rsidRPr="00D02C8D">
        <w:rPr>
          <w:rFonts w:ascii="Lato" w:hAnsi="Lato" w:cs="Times New Roman"/>
          <w:sz w:val="20"/>
          <w:szCs w:val="20"/>
        </w:rPr>
        <w:t>,</w:t>
      </w:r>
      <w:r w:rsidRPr="00D02C8D">
        <w:rPr>
          <w:rFonts w:ascii="Lato" w:eastAsia="Calibri" w:hAnsi="Lato" w:cs="Times New Roman"/>
          <w:sz w:val="20"/>
          <w:szCs w:val="20"/>
          <w:lang w:eastAsia="pl-PL"/>
        </w:rPr>
        <w:t xml:space="preserve"> wysokość środków finansowych otrzymanych w ramach Programu z Funduszu Solidarnościowego na ten cel wyniosła </w:t>
      </w:r>
      <w:r w:rsidRPr="00D02C8D">
        <w:rPr>
          <w:rFonts w:ascii="Lato" w:eastAsiaTheme="minorEastAsia" w:hAnsi="Lato" w:cs="Times New Roman"/>
          <w:color w:val="000000" w:themeColor="dark1"/>
          <w:kern w:val="24"/>
          <w:sz w:val="20"/>
          <w:szCs w:val="20"/>
          <w:lang w:eastAsia="pl-PL"/>
        </w:rPr>
        <w:t xml:space="preserve">1 896 435 zł, a wysokość środków wykorzystanych w 2022 r. </w:t>
      </w:r>
      <w:r w:rsidRPr="00D02C8D">
        <w:rPr>
          <w:rFonts w:ascii="Lato" w:eastAsiaTheme="minorEastAsia" w:hAnsi="Lato" w:cs="Times New Roman"/>
          <w:color w:val="000000"/>
          <w:kern w:val="24"/>
          <w:sz w:val="20"/>
          <w:szCs w:val="20"/>
          <w:lang w:eastAsia="pl-PL"/>
        </w:rPr>
        <w:t>800 829,93 zł.</w:t>
      </w:r>
    </w:p>
    <w:p w14:paraId="08D1AA35" w14:textId="77777777" w:rsidR="00D02C8D" w:rsidRPr="00D02C8D" w:rsidRDefault="00D02C8D" w:rsidP="00D02C8D">
      <w:pPr>
        <w:spacing w:after="0" w:line="240" w:lineRule="auto"/>
        <w:contextualSpacing/>
        <w:jc w:val="both"/>
        <w:rPr>
          <w:rFonts w:ascii="Lato" w:eastAsia="Calibri" w:hAnsi="Lato" w:cs="Times New Roman"/>
          <w:sz w:val="20"/>
          <w:szCs w:val="20"/>
          <w:lang w:eastAsia="pl-PL"/>
        </w:rPr>
      </w:pPr>
    </w:p>
    <w:p w14:paraId="6E7B7171" w14:textId="3F27FE1D" w:rsidR="00D02C8D" w:rsidRDefault="00D02C8D" w:rsidP="00D02C8D">
      <w:pPr>
        <w:spacing w:after="0" w:line="240" w:lineRule="auto"/>
        <w:contextualSpacing/>
        <w:jc w:val="both"/>
        <w:rPr>
          <w:rFonts w:ascii="Lato" w:eastAsiaTheme="minorEastAsia" w:hAnsi="Lato" w:cs="Times New Roman"/>
          <w:color w:val="000000"/>
          <w:kern w:val="24"/>
          <w:sz w:val="20"/>
          <w:szCs w:val="20"/>
          <w:lang w:eastAsia="pl-PL"/>
        </w:rPr>
      </w:pPr>
      <w:r w:rsidRPr="00D02C8D">
        <w:rPr>
          <w:rFonts w:ascii="Lato" w:eastAsia="Calibri" w:hAnsi="Lato" w:cs="Times New Roman"/>
          <w:sz w:val="20"/>
          <w:szCs w:val="20"/>
          <w:lang w:eastAsia="pl-PL"/>
        </w:rPr>
        <w:t xml:space="preserve">Ponadto w trakcie realizacji jest budowa Centrum Opiekuńczo – mieszkalnego w Brudzowie - </w:t>
      </w:r>
      <w:r w:rsidRPr="00D02C8D">
        <w:rPr>
          <w:rFonts w:ascii="Lato" w:eastAsia="Calibri" w:hAnsi="Lato" w:cs="Times New Roman"/>
          <w:b/>
          <w:bCs/>
          <w:sz w:val="20"/>
          <w:szCs w:val="20"/>
          <w:lang w:eastAsia="pl-PL"/>
        </w:rPr>
        <w:t>gmina Morawica</w:t>
      </w:r>
      <w:r w:rsidRPr="00D02C8D">
        <w:rPr>
          <w:rFonts w:ascii="Lato" w:eastAsia="Calibri" w:hAnsi="Lato" w:cs="Times New Roman"/>
          <w:sz w:val="20"/>
          <w:szCs w:val="20"/>
          <w:lang w:eastAsia="pl-PL"/>
        </w:rPr>
        <w:t xml:space="preserve">, termin realizacji zadania w latach 2021-2022, wysokość środków finansowych otrzymanych w ramach Programu z Funduszu Solidarnościowego </w:t>
      </w:r>
      <w:r w:rsidRPr="00D02C8D">
        <w:rPr>
          <w:rFonts w:ascii="Lato" w:eastAsiaTheme="minorEastAsia" w:hAnsi="Lato" w:cs="Times New Roman"/>
          <w:color w:val="000000" w:themeColor="dark1"/>
          <w:kern w:val="24"/>
          <w:sz w:val="20"/>
          <w:szCs w:val="20"/>
          <w:lang w:eastAsia="pl-PL"/>
        </w:rPr>
        <w:t xml:space="preserve">2 159 845,48 zł, </w:t>
      </w:r>
      <w:bookmarkStart w:id="176" w:name="_Hlk136510477"/>
      <w:r w:rsidRPr="00D02C8D">
        <w:rPr>
          <w:rFonts w:ascii="Lato" w:eastAsiaTheme="minorEastAsia" w:hAnsi="Lato" w:cs="Times New Roman"/>
          <w:color w:val="000000" w:themeColor="dark1"/>
          <w:kern w:val="24"/>
          <w:sz w:val="20"/>
          <w:szCs w:val="20"/>
          <w:lang w:eastAsia="pl-PL"/>
        </w:rPr>
        <w:t xml:space="preserve">środki wykorzystane w 2022 r. </w:t>
      </w:r>
      <w:r w:rsidRPr="00D02C8D">
        <w:rPr>
          <w:rFonts w:ascii="Lato" w:eastAsiaTheme="minorEastAsia" w:hAnsi="Lato" w:cs="Times New Roman"/>
          <w:color w:val="000000"/>
          <w:kern w:val="24"/>
          <w:sz w:val="20"/>
          <w:szCs w:val="20"/>
          <w:lang w:eastAsia="pl-PL"/>
        </w:rPr>
        <w:t>981 330,48 zł.</w:t>
      </w:r>
      <w:bookmarkEnd w:id="176"/>
    </w:p>
    <w:p w14:paraId="7C4C6497" w14:textId="19BBEEB1" w:rsidR="00246300" w:rsidRDefault="00246300" w:rsidP="00D02C8D">
      <w:pPr>
        <w:spacing w:after="0" w:line="240" w:lineRule="auto"/>
        <w:contextualSpacing/>
        <w:jc w:val="both"/>
        <w:rPr>
          <w:rFonts w:ascii="Lato" w:eastAsiaTheme="minorEastAsia" w:hAnsi="Lato" w:cs="Times New Roman"/>
          <w:color w:val="000000"/>
          <w:kern w:val="24"/>
          <w:sz w:val="20"/>
          <w:szCs w:val="20"/>
          <w:lang w:eastAsia="pl-PL"/>
        </w:rPr>
      </w:pPr>
    </w:p>
    <w:p w14:paraId="52299FAF" w14:textId="77777777" w:rsidR="00246300" w:rsidRPr="00D02C8D" w:rsidRDefault="00246300" w:rsidP="00246300">
      <w:pPr>
        <w:spacing w:after="0" w:line="240" w:lineRule="auto"/>
        <w:jc w:val="both"/>
        <w:rPr>
          <w:rFonts w:ascii="Lato" w:hAnsi="Lato" w:cs="Times New Roman"/>
          <w:b/>
          <w:sz w:val="20"/>
          <w:szCs w:val="20"/>
        </w:rPr>
      </w:pPr>
      <w:r w:rsidRPr="00D02C8D">
        <w:rPr>
          <w:rFonts w:ascii="Lato" w:hAnsi="Lato" w:cs="Times New Roman"/>
          <w:b/>
          <w:sz w:val="20"/>
          <w:szCs w:val="20"/>
        </w:rPr>
        <w:t>Gmina Sandomierz</w:t>
      </w:r>
    </w:p>
    <w:p w14:paraId="21DFEF71" w14:textId="77777777" w:rsidR="00246300" w:rsidRPr="00D02C8D" w:rsidRDefault="00246300" w:rsidP="00246300">
      <w:pPr>
        <w:spacing w:after="0" w:line="240" w:lineRule="auto"/>
        <w:jc w:val="both"/>
        <w:rPr>
          <w:rFonts w:ascii="Lato" w:hAnsi="Lato" w:cs="Times New Roman"/>
          <w:sz w:val="20"/>
          <w:szCs w:val="20"/>
        </w:rPr>
      </w:pPr>
      <w:r w:rsidRPr="00D02C8D">
        <w:rPr>
          <w:rFonts w:ascii="Lato" w:hAnsi="Lato" w:cs="Times New Roman"/>
          <w:sz w:val="20"/>
          <w:szCs w:val="20"/>
        </w:rPr>
        <w:t xml:space="preserve">W ramach Projektu </w:t>
      </w:r>
      <w:r w:rsidRPr="00D02C8D">
        <w:rPr>
          <w:rFonts w:ascii="Lato" w:hAnsi="Lato" w:cs="Times New Roman"/>
          <w:b/>
          <w:sz w:val="20"/>
          <w:szCs w:val="20"/>
        </w:rPr>
        <w:t>"Senior On"</w:t>
      </w:r>
      <w:r w:rsidRPr="00D02C8D">
        <w:rPr>
          <w:rFonts w:ascii="Lato" w:hAnsi="Lato" w:cs="Times New Roman"/>
          <w:sz w:val="20"/>
          <w:szCs w:val="20"/>
        </w:rPr>
        <w:t xml:space="preserve"> realizowano działania mające na celu przeciwdziałanie dyskryminacji cyfrowej ze względu na wiek - bankowość elektroniczna, obsługa komputera itp., nauka języka angielskiego przez seniorów w celu minimalizacji bariery językowej.</w:t>
      </w:r>
    </w:p>
    <w:p w14:paraId="26F186FD" w14:textId="6F6FFE7B" w:rsidR="00246300" w:rsidRPr="00D02C8D" w:rsidRDefault="00246300" w:rsidP="00246300">
      <w:pPr>
        <w:spacing w:after="0" w:line="240" w:lineRule="auto"/>
        <w:jc w:val="both"/>
        <w:rPr>
          <w:rFonts w:ascii="Lato" w:hAnsi="Lato" w:cs="Times New Roman"/>
          <w:sz w:val="20"/>
          <w:szCs w:val="20"/>
        </w:rPr>
      </w:pPr>
      <w:r w:rsidRPr="00D02C8D">
        <w:rPr>
          <w:rFonts w:ascii="Lato" w:hAnsi="Lato" w:cs="Times New Roman"/>
          <w:b/>
          <w:sz w:val="20"/>
          <w:szCs w:val="20"/>
        </w:rPr>
        <w:t>Ww. działania ukierunkowane na przeciwdziałanie wykluczeniu osób starszych oraz przeciwdziałanie dyskryminacji są</w:t>
      </w:r>
      <w:r w:rsidRPr="00D02C8D">
        <w:rPr>
          <w:rFonts w:ascii="Lato" w:hAnsi="Lato" w:cs="Times New Roman"/>
          <w:sz w:val="20"/>
          <w:szCs w:val="20"/>
        </w:rPr>
        <w:t xml:space="preserve"> nieodłącznym elementem funkcjonowania wszystkich placówek Senior+. W ramach kontynuacji akcji „Bezpieczny i Aktywny Senior” placówki Senior+ organizują spotkania z przedstawicielami KPP, ZUS, NFZ dotyczące bezpieczeństwa w życiu codziennym, w tym jak uchronić się przed cyberprzestępstwem, wyłudzeniami, np. metodą na wnuczka/policjanta. Tematyka ta dotyczy również uświadamiania seniorom uprawnień do określonych świadczeń, jak zasad funkcjonowania bankowości mobilnej itd. Seniorzy na stałe współpracują z placówkami przedszkolnymi, szkołami podstawowymi, uczelniami wyższymi i Uniwersytetami Trzeciego Wieku. Spotykają się z grupami w różnym wieku, na różnym etapie życia. Dzięki tej aktywności różne grupy społeczne mogą korzystać z potencjału i doświadczenia osób starszych. Wartością dodaną jest zmiana w dotychczasowym postrzeganiu starości i stopniowe przełamywanie społecznie funkcjonujących stereotypów związanych z wiekiem. </w:t>
      </w:r>
    </w:p>
    <w:p w14:paraId="4B09CC2F" w14:textId="77777777" w:rsidR="00246300" w:rsidRDefault="00246300" w:rsidP="00246300">
      <w:pPr>
        <w:spacing w:after="0" w:line="240" w:lineRule="auto"/>
        <w:jc w:val="both"/>
        <w:rPr>
          <w:rFonts w:ascii="Lato" w:hAnsi="Lato" w:cs="Times New Roman"/>
          <w:sz w:val="20"/>
          <w:szCs w:val="20"/>
        </w:rPr>
      </w:pPr>
    </w:p>
    <w:p w14:paraId="5DFDDF65" w14:textId="51EB166B" w:rsidR="00246300" w:rsidRDefault="00246300" w:rsidP="00246300">
      <w:pPr>
        <w:spacing w:after="0" w:line="240" w:lineRule="auto"/>
        <w:jc w:val="both"/>
        <w:rPr>
          <w:rFonts w:ascii="Lato" w:hAnsi="Lato" w:cs="Times New Roman"/>
          <w:sz w:val="20"/>
          <w:szCs w:val="20"/>
        </w:rPr>
      </w:pPr>
      <w:r w:rsidRPr="00D02C8D">
        <w:rPr>
          <w:rFonts w:ascii="Lato" w:hAnsi="Lato" w:cs="Times New Roman"/>
          <w:sz w:val="20"/>
          <w:szCs w:val="20"/>
        </w:rPr>
        <w:t xml:space="preserve">Seniorzy są współorganizatorami wydarzeń plenerowych w swoich miejscowościach, jak również współtworzą co roku </w:t>
      </w:r>
      <w:proofErr w:type="spellStart"/>
      <w:r w:rsidRPr="00D02C8D">
        <w:rPr>
          <w:rFonts w:ascii="Lato" w:hAnsi="Lato" w:cs="Times New Roman"/>
          <w:b/>
          <w:sz w:val="20"/>
          <w:szCs w:val="20"/>
        </w:rPr>
        <w:t>Senioralia</w:t>
      </w:r>
      <w:proofErr w:type="spellEnd"/>
      <w:r w:rsidRPr="00D02C8D">
        <w:rPr>
          <w:rFonts w:ascii="Lato" w:hAnsi="Lato" w:cs="Times New Roman"/>
          <w:sz w:val="20"/>
          <w:szCs w:val="20"/>
        </w:rPr>
        <w:t xml:space="preserve"> – cykliczne wydarzenie o charakterze otwartym ukierunkowane na integrację międzypokoleniową, dedykowane nie tylko seniorom ale również całym rodzinom. Seniorzy zrzeszeni w klubach i domach Senior+ co roku prezentują swój artystyczny dorobek (pokazy wokalno-taneczne, kabaret, spektakle teatralne, pokazy gimnastyczne, recytacja poezji), wymieniają doświadczenia z rówieśnikami stale doskonaląc w ten sposób swój warsztat artystyczny.  </w:t>
      </w:r>
    </w:p>
    <w:p w14:paraId="42C7DD90" w14:textId="088BBD39" w:rsidR="00246300" w:rsidRDefault="00246300" w:rsidP="00246300">
      <w:pPr>
        <w:spacing w:after="0" w:line="240" w:lineRule="auto"/>
        <w:jc w:val="both"/>
        <w:rPr>
          <w:rFonts w:ascii="Lato" w:hAnsi="Lato" w:cs="Times New Roman"/>
          <w:sz w:val="20"/>
          <w:szCs w:val="20"/>
        </w:rPr>
      </w:pPr>
    </w:p>
    <w:p w14:paraId="5DFEBAF0" w14:textId="7636BEA1" w:rsidR="00246300" w:rsidRPr="00144C28" w:rsidRDefault="00246300" w:rsidP="00144C28">
      <w:pPr>
        <w:spacing w:after="0" w:line="240" w:lineRule="auto"/>
        <w:rPr>
          <w:rFonts w:ascii="Lato" w:hAnsi="Lato" w:cs="Times New Roman"/>
          <w:b/>
          <w:bCs/>
          <w:sz w:val="20"/>
          <w:szCs w:val="20"/>
        </w:rPr>
      </w:pPr>
      <w:r w:rsidRPr="00144C28">
        <w:rPr>
          <w:rFonts w:ascii="Lato" w:hAnsi="Lato" w:cs="Times New Roman"/>
          <w:b/>
          <w:bCs/>
          <w:sz w:val="20"/>
          <w:szCs w:val="20"/>
        </w:rPr>
        <w:t>Jędrzejowska Karta Seniora</w:t>
      </w:r>
    </w:p>
    <w:p w14:paraId="78BED95F" w14:textId="77777777" w:rsidR="00246300" w:rsidRPr="00144C28" w:rsidRDefault="00246300" w:rsidP="00144C28">
      <w:pPr>
        <w:spacing w:after="0" w:line="240" w:lineRule="auto"/>
        <w:jc w:val="both"/>
        <w:rPr>
          <w:rFonts w:ascii="Lato" w:hAnsi="Lato" w:cs="Times New Roman"/>
          <w:sz w:val="20"/>
          <w:szCs w:val="20"/>
        </w:rPr>
      </w:pPr>
      <w:r w:rsidRPr="00144C28">
        <w:rPr>
          <w:rFonts w:ascii="Lato" w:hAnsi="Lato" w:cs="Times New Roman"/>
          <w:sz w:val="20"/>
          <w:szCs w:val="20"/>
        </w:rPr>
        <w:t>Wśród działań realizowanych w ramach programu należy wymienić:</w:t>
      </w:r>
    </w:p>
    <w:p w14:paraId="32919D61" w14:textId="77777777" w:rsidR="00144C28" w:rsidRDefault="00246300" w:rsidP="0059185B">
      <w:pPr>
        <w:pStyle w:val="Akapitzlist"/>
        <w:numPr>
          <w:ilvl w:val="0"/>
          <w:numId w:val="110"/>
        </w:numPr>
        <w:jc w:val="both"/>
        <w:rPr>
          <w:rFonts w:ascii="Lato" w:hAnsi="Lato" w:cs="Times New Roman"/>
          <w:sz w:val="20"/>
          <w:szCs w:val="20"/>
        </w:rPr>
      </w:pPr>
      <w:r w:rsidRPr="00144C28">
        <w:rPr>
          <w:rFonts w:ascii="Lato" w:hAnsi="Lato" w:cs="Times New Roman"/>
          <w:sz w:val="20"/>
          <w:szCs w:val="20"/>
        </w:rPr>
        <w:t xml:space="preserve">usługi opiekuńcze w formie "pomocy sąsiedzkiej", świadczone na terenach wiejskich gminy, działalność ośrodka wsparcia dziennego pobytu - Dziennego Domu Senior +, </w:t>
      </w:r>
    </w:p>
    <w:p w14:paraId="7A02040D" w14:textId="77777777" w:rsidR="00144C28" w:rsidRDefault="00246300" w:rsidP="0059185B">
      <w:pPr>
        <w:pStyle w:val="Akapitzlist"/>
        <w:numPr>
          <w:ilvl w:val="0"/>
          <w:numId w:val="110"/>
        </w:numPr>
        <w:jc w:val="both"/>
        <w:rPr>
          <w:rFonts w:ascii="Lato" w:hAnsi="Lato" w:cs="Times New Roman"/>
          <w:sz w:val="20"/>
          <w:szCs w:val="20"/>
        </w:rPr>
      </w:pPr>
      <w:r w:rsidRPr="00144C28">
        <w:rPr>
          <w:rFonts w:ascii="Lato" w:hAnsi="Lato" w:cs="Times New Roman"/>
          <w:sz w:val="20"/>
          <w:szCs w:val="20"/>
        </w:rPr>
        <w:t xml:space="preserve">zapewnianie niesamodzielnym mieszkańcom terenu Miasta i Gminy Jędrzejów dostępu do stacjonarnych domów pomocy i rodzinnych domów pomocy, mieszkań chronionych, pieniężnych form wsparcia, z których mogą korzystać osoby starsze lub ich opiekunowie: </w:t>
      </w:r>
    </w:p>
    <w:p w14:paraId="14D4A4E0" w14:textId="77777777" w:rsidR="00144C28" w:rsidRDefault="00246300" w:rsidP="0059185B">
      <w:pPr>
        <w:pStyle w:val="Akapitzlist"/>
        <w:numPr>
          <w:ilvl w:val="0"/>
          <w:numId w:val="110"/>
        </w:numPr>
        <w:jc w:val="both"/>
        <w:rPr>
          <w:rFonts w:ascii="Lato" w:hAnsi="Lato" w:cs="Times New Roman"/>
          <w:sz w:val="20"/>
          <w:szCs w:val="20"/>
        </w:rPr>
      </w:pPr>
      <w:r w:rsidRPr="00144C28">
        <w:rPr>
          <w:rFonts w:ascii="Lato" w:hAnsi="Lato" w:cs="Times New Roman"/>
          <w:sz w:val="20"/>
          <w:szCs w:val="20"/>
        </w:rPr>
        <w:t xml:space="preserve">zasiłki  celowe i w naturze, okresowe, stałe, </w:t>
      </w:r>
    </w:p>
    <w:p w14:paraId="0B813785" w14:textId="77777777" w:rsidR="00144C28" w:rsidRDefault="00246300" w:rsidP="0059185B">
      <w:pPr>
        <w:pStyle w:val="Akapitzlist"/>
        <w:numPr>
          <w:ilvl w:val="0"/>
          <w:numId w:val="110"/>
        </w:numPr>
        <w:jc w:val="both"/>
        <w:rPr>
          <w:rFonts w:ascii="Lato" w:hAnsi="Lato" w:cs="Times New Roman"/>
          <w:sz w:val="20"/>
          <w:szCs w:val="20"/>
        </w:rPr>
      </w:pPr>
      <w:r w:rsidRPr="00144C28">
        <w:rPr>
          <w:rFonts w:ascii="Lato" w:hAnsi="Lato" w:cs="Times New Roman"/>
          <w:sz w:val="20"/>
          <w:szCs w:val="20"/>
        </w:rPr>
        <w:t>świadczenia opiekuńcze:</w:t>
      </w:r>
    </w:p>
    <w:p w14:paraId="026F7194" w14:textId="25E2DE91" w:rsidR="00246300" w:rsidRPr="00144C28" w:rsidRDefault="00246300" w:rsidP="0059185B">
      <w:pPr>
        <w:pStyle w:val="Akapitzlist"/>
        <w:numPr>
          <w:ilvl w:val="0"/>
          <w:numId w:val="110"/>
        </w:numPr>
        <w:spacing w:after="0" w:line="240" w:lineRule="auto"/>
        <w:jc w:val="both"/>
        <w:rPr>
          <w:rFonts w:ascii="Lato" w:hAnsi="Lato" w:cs="Times New Roman"/>
          <w:sz w:val="20"/>
          <w:szCs w:val="20"/>
        </w:rPr>
      </w:pPr>
      <w:r w:rsidRPr="00144C28">
        <w:rPr>
          <w:rFonts w:ascii="Lato" w:hAnsi="Lato" w:cs="Times New Roman"/>
          <w:sz w:val="20"/>
          <w:szCs w:val="20"/>
        </w:rPr>
        <w:t xml:space="preserve">zasiłek pielęgnacyjny, specjalny zasiłek opiekuńczy). </w:t>
      </w:r>
    </w:p>
    <w:p w14:paraId="47FA66E3" w14:textId="77777777" w:rsidR="00144C28" w:rsidRDefault="00144C28" w:rsidP="00144C28">
      <w:pPr>
        <w:jc w:val="both"/>
        <w:rPr>
          <w:rFonts w:ascii="Lato" w:hAnsi="Lato" w:cs="Times New Roman"/>
          <w:sz w:val="20"/>
          <w:szCs w:val="20"/>
        </w:rPr>
      </w:pPr>
    </w:p>
    <w:p w14:paraId="2D3C2E09" w14:textId="0B3937BB" w:rsidR="00246300" w:rsidRDefault="00246300" w:rsidP="00144C28">
      <w:pPr>
        <w:spacing w:after="0"/>
        <w:jc w:val="both"/>
        <w:rPr>
          <w:rFonts w:ascii="Lato" w:hAnsi="Lato" w:cs="Times New Roman"/>
          <w:sz w:val="20"/>
          <w:szCs w:val="20"/>
        </w:rPr>
      </w:pPr>
      <w:r w:rsidRPr="00144C28">
        <w:rPr>
          <w:rFonts w:ascii="Lato" w:hAnsi="Lato" w:cs="Times New Roman"/>
          <w:sz w:val="20"/>
          <w:szCs w:val="20"/>
        </w:rPr>
        <w:t>Odbywały się także cykliczne spotkania Gminnej Rady Seniorów.</w:t>
      </w:r>
      <w:r w:rsidR="00144C28">
        <w:rPr>
          <w:rFonts w:ascii="Lato" w:hAnsi="Lato" w:cs="Times New Roman"/>
          <w:sz w:val="20"/>
          <w:szCs w:val="20"/>
        </w:rPr>
        <w:t xml:space="preserve"> </w:t>
      </w:r>
      <w:r w:rsidRPr="00144C28">
        <w:rPr>
          <w:rFonts w:ascii="Lato" w:hAnsi="Lato" w:cs="Times New Roman"/>
          <w:sz w:val="20"/>
          <w:szCs w:val="20"/>
        </w:rPr>
        <w:t>W 2022 r</w:t>
      </w:r>
      <w:r w:rsidR="00144C28">
        <w:rPr>
          <w:rFonts w:ascii="Lato" w:hAnsi="Lato" w:cs="Times New Roman"/>
          <w:sz w:val="20"/>
          <w:szCs w:val="20"/>
        </w:rPr>
        <w:t>.</w:t>
      </w:r>
      <w:r w:rsidRPr="00144C28">
        <w:rPr>
          <w:rFonts w:ascii="Lato" w:hAnsi="Lato" w:cs="Times New Roman"/>
          <w:sz w:val="20"/>
          <w:szCs w:val="20"/>
        </w:rPr>
        <w:t xml:space="preserve"> jędrzejowscy seniorzy mieli możliwość korzystania z Programu "Jędrzejowska Karta Seniora". Program obejmuje system zniżek i uprawnień skierowanych do seniorów.</w:t>
      </w:r>
    </w:p>
    <w:p w14:paraId="2D1BB490" w14:textId="77777777" w:rsidR="00144C28" w:rsidRPr="00144C28" w:rsidRDefault="00144C28" w:rsidP="00144C28">
      <w:pPr>
        <w:spacing w:after="0" w:line="240" w:lineRule="auto"/>
        <w:jc w:val="both"/>
        <w:rPr>
          <w:rFonts w:ascii="Lato" w:hAnsi="Lato" w:cs="Times New Roman"/>
          <w:sz w:val="20"/>
          <w:szCs w:val="20"/>
        </w:rPr>
      </w:pPr>
    </w:p>
    <w:p w14:paraId="7066C0AD" w14:textId="406A8629" w:rsidR="00246300" w:rsidRDefault="00246300" w:rsidP="00144C28">
      <w:pPr>
        <w:rPr>
          <w:rFonts w:ascii="Lato" w:hAnsi="Lato" w:cs="Times New Roman"/>
          <w:sz w:val="20"/>
          <w:szCs w:val="20"/>
        </w:rPr>
      </w:pPr>
      <w:r w:rsidRPr="00144C28">
        <w:rPr>
          <w:rFonts w:ascii="Lato" w:hAnsi="Lato" w:cs="Times New Roman"/>
          <w:b/>
          <w:bCs/>
          <w:sz w:val="20"/>
          <w:szCs w:val="20"/>
        </w:rPr>
        <w:lastRenderedPageBreak/>
        <w:t>Polityka senioralna Zintegrowanych  Inwestycji Terytorialnych Kieleckiego Obszaru Funkcjonalnego na lata 2019-2030</w:t>
      </w:r>
      <w:r w:rsidR="00144C28">
        <w:rPr>
          <w:rFonts w:ascii="Lato" w:hAnsi="Lato" w:cs="Times New Roman"/>
          <w:b/>
          <w:bCs/>
          <w:sz w:val="20"/>
          <w:szCs w:val="20"/>
        </w:rPr>
        <w:t xml:space="preserve">. </w:t>
      </w:r>
      <w:r w:rsidRPr="00144C28">
        <w:rPr>
          <w:rFonts w:ascii="Lato" w:hAnsi="Lato" w:cs="Times New Roman"/>
          <w:sz w:val="20"/>
          <w:szCs w:val="20"/>
        </w:rPr>
        <w:t>Spotkania integracyjne, wsparcie w postaci warsztatów dla seniorów, szkolenia z pielęgniarką, rehabilitantem</w:t>
      </w:r>
    </w:p>
    <w:p w14:paraId="51A99C07" w14:textId="77777777" w:rsidR="00144C28" w:rsidRPr="00144C28" w:rsidRDefault="00144C28" w:rsidP="00144C28">
      <w:pPr>
        <w:spacing w:after="0" w:line="240" w:lineRule="auto"/>
        <w:rPr>
          <w:rFonts w:ascii="Lato" w:hAnsi="Lato" w:cs="Times New Roman"/>
          <w:b/>
          <w:bCs/>
          <w:sz w:val="20"/>
          <w:szCs w:val="20"/>
        </w:rPr>
      </w:pPr>
    </w:p>
    <w:p w14:paraId="73E6FA5D" w14:textId="6EC8A1C1" w:rsidR="00246300" w:rsidRPr="00144C28" w:rsidRDefault="00246300" w:rsidP="00144C28">
      <w:pPr>
        <w:spacing w:after="0" w:line="240" w:lineRule="auto"/>
        <w:jc w:val="both"/>
        <w:rPr>
          <w:rFonts w:ascii="Lato" w:hAnsi="Lato" w:cs="Times New Roman"/>
          <w:b/>
          <w:bCs/>
          <w:sz w:val="20"/>
          <w:szCs w:val="20"/>
        </w:rPr>
      </w:pPr>
      <w:r w:rsidRPr="00144C28">
        <w:rPr>
          <w:rFonts w:ascii="Lato" w:hAnsi="Lato" w:cs="Times New Roman"/>
          <w:b/>
          <w:bCs/>
          <w:sz w:val="20"/>
          <w:szCs w:val="20"/>
        </w:rPr>
        <w:t>Kielecki Program Senioralny na lata 2018-2022 ,,Seniorzy aktywni dla Kielc - Kielce przyjazne seniorom"</w:t>
      </w:r>
    </w:p>
    <w:p w14:paraId="65922F81" w14:textId="77777777" w:rsidR="00144C28" w:rsidRPr="00144C28" w:rsidRDefault="00246300" w:rsidP="0059185B">
      <w:pPr>
        <w:pStyle w:val="Akapitzlist"/>
        <w:numPr>
          <w:ilvl w:val="0"/>
          <w:numId w:val="109"/>
        </w:numPr>
        <w:spacing w:after="0" w:line="240" w:lineRule="auto"/>
        <w:rPr>
          <w:rFonts w:ascii="Lato" w:hAnsi="Lato" w:cs="Times New Roman"/>
          <w:b/>
          <w:sz w:val="20"/>
          <w:szCs w:val="20"/>
        </w:rPr>
      </w:pPr>
      <w:r w:rsidRPr="00144C28">
        <w:rPr>
          <w:rFonts w:ascii="Lato" w:hAnsi="Lato" w:cs="Times New Roman"/>
          <w:sz w:val="20"/>
          <w:szCs w:val="20"/>
        </w:rPr>
        <w:t>Program bezpłatnych szczepień przeciw grypie da osób od 55 roku życia.</w:t>
      </w:r>
    </w:p>
    <w:p w14:paraId="650A392A" w14:textId="77777777" w:rsidR="00144C28" w:rsidRPr="00144C28" w:rsidRDefault="00246300" w:rsidP="0059185B">
      <w:pPr>
        <w:pStyle w:val="Akapitzlist"/>
        <w:numPr>
          <w:ilvl w:val="0"/>
          <w:numId w:val="109"/>
        </w:numPr>
        <w:spacing w:after="0" w:line="240" w:lineRule="auto"/>
        <w:rPr>
          <w:rFonts w:ascii="Lato" w:hAnsi="Lato" w:cs="Times New Roman"/>
          <w:b/>
          <w:sz w:val="20"/>
          <w:szCs w:val="20"/>
        </w:rPr>
      </w:pPr>
      <w:proofErr w:type="spellStart"/>
      <w:r w:rsidRPr="00144C28">
        <w:rPr>
          <w:rFonts w:ascii="Lato" w:hAnsi="Lato" w:cs="Times New Roman"/>
          <w:bCs/>
          <w:sz w:val="20"/>
          <w:szCs w:val="20"/>
        </w:rPr>
        <w:t>Teleopieka</w:t>
      </w:r>
      <w:proofErr w:type="spellEnd"/>
      <w:r w:rsidRPr="00144C28">
        <w:rPr>
          <w:rFonts w:ascii="Lato" w:hAnsi="Lato" w:cs="Times New Roman"/>
          <w:sz w:val="20"/>
          <w:szCs w:val="20"/>
        </w:rPr>
        <w:t xml:space="preserve">  usługa opiekuńcza, wykorzystująca nowoczesne technologie, która monitoruje funkcje życiowe seniora i umożliwia szybkie wezwanie pomocy.</w:t>
      </w:r>
    </w:p>
    <w:p w14:paraId="64D96003" w14:textId="77777777" w:rsidR="00144C28" w:rsidRPr="00144C28" w:rsidRDefault="00246300" w:rsidP="0059185B">
      <w:pPr>
        <w:pStyle w:val="Akapitzlist"/>
        <w:numPr>
          <w:ilvl w:val="0"/>
          <w:numId w:val="109"/>
        </w:numPr>
        <w:spacing w:after="0" w:line="240" w:lineRule="auto"/>
        <w:rPr>
          <w:rFonts w:ascii="Lato" w:hAnsi="Lato" w:cs="Times New Roman"/>
          <w:b/>
          <w:sz w:val="20"/>
          <w:szCs w:val="20"/>
        </w:rPr>
      </w:pPr>
      <w:r w:rsidRPr="00144C28">
        <w:rPr>
          <w:rFonts w:ascii="Lato" w:hAnsi="Lato" w:cs="Times New Roman"/>
          <w:bCs/>
          <w:sz w:val="20"/>
          <w:szCs w:val="20"/>
        </w:rPr>
        <w:t>Wolontariat 60+ -</w:t>
      </w:r>
      <w:r w:rsidRPr="00144C28">
        <w:rPr>
          <w:rFonts w:ascii="Lato" w:hAnsi="Lato" w:cs="Times New Roman"/>
          <w:sz w:val="20"/>
          <w:szCs w:val="20"/>
        </w:rPr>
        <w:t xml:space="preserve"> polega na dotrzymaniu towarzystwa, jak również na drobnej pomocy tj. robieni zakupów, przygotowanie posiłku czy załatwienie spraw urzędowych,</w:t>
      </w:r>
    </w:p>
    <w:p w14:paraId="49AC7F35" w14:textId="77777777" w:rsidR="00144C28" w:rsidRPr="00144C28" w:rsidRDefault="00246300" w:rsidP="0059185B">
      <w:pPr>
        <w:pStyle w:val="Akapitzlist"/>
        <w:numPr>
          <w:ilvl w:val="0"/>
          <w:numId w:val="109"/>
        </w:numPr>
        <w:spacing w:after="0" w:line="240" w:lineRule="auto"/>
        <w:rPr>
          <w:rFonts w:ascii="Lato" w:hAnsi="Lato" w:cs="Times New Roman"/>
          <w:b/>
          <w:sz w:val="20"/>
          <w:szCs w:val="20"/>
        </w:rPr>
      </w:pPr>
      <w:r w:rsidRPr="00144C28">
        <w:rPr>
          <w:rFonts w:ascii="Lato" w:hAnsi="Lato" w:cs="Times New Roman"/>
          <w:bCs/>
          <w:sz w:val="20"/>
          <w:szCs w:val="20"/>
        </w:rPr>
        <w:t>Taksówka dla seniora</w:t>
      </w:r>
      <w:r w:rsidRPr="00144C28">
        <w:rPr>
          <w:rFonts w:ascii="Lato" w:hAnsi="Lato" w:cs="Times New Roman"/>
          <w:sz w:val="20"/>
          <w:szCs w:val="20"/>
        </w:rPr>
        <w:t xml:space="preserve"> - osoby starsze mogą korzystać z bezpłatnego przewozu na terenie Kielc np. do urzędu czy placówki medycznej,</w:t>
      </w:r>
    </w:p>
    <w:p w14:paraId="57B44FF4" w14:textId="451E15B5" w:rsidR="00246300" w:rsidRPr="00144C28" w:rsidRDefault="00246300" w:rsidP="0059185B">
      <w:pPr>
        <w:pStyle w:val="Akapitzlist"/>
        <w:numPr>
          <w:ilvl w:val="0"/>
          <w:numId w:val="109"/>
        </w:numPr>
        <w:spacing w:after="0" w:line="240" w:lineRule="auto"/>
        <w:rPr>
          <w:rFonts w:ascii="Lato" w:hAnsi="Lato" w:cs="Times New Roman"/>
          <w:b/>
          <w:sz w:val="20"/>
          <w:szCs w:val="20"/>
        </w:rPr>
      </w:pPr>
      <w:r w:rsidRPr="00144C28">
        <w:rPr>
          <w:rFonts w:ascii="Lato" w:hAnsi="Lato" w:cs="Times New Roman"/>
          <w:bCs/>
          <w:sz w:val="20"/>
          <w:szCs w:val="20"/>
        </w:rPr>
        <w:t>Nieodpłatna pomoc prawna oraz poradnictwo obywatelskie.</w:t>
      </w:r>
      <w:r w:rsidRPr="00144C28">
        <w:rPr>
          <w:rFonts w:ascii="Lato" w:hAnsi="Lato" w:cs="Times New Roman"/>
          <w:bCs/>
          <w:sz w:val="20"/>
          <w:szCs w:val="20"/>
        </w:rPr>
        <w:br/>
      </w:r>
    </w:p>
    <w:p w14:paraId="59C0BD43" w14:textId="69237C74" w:rsidR="00246300" w:rsidRPr="00144C28" w:rsidRDefault="00246300" w:rsidP="00144C28">
      <w:pPr>
        <w:spacing w:after="0" w:line="240" w:lineRule="auto"/>
        <w:contextualSpacing/>
        <w:jc w:val="both"/>
        <w:rPr>
          <w:rFonts w:ascii="Lato" w:hAnsi="Lato" w:cs="Times New Roman"/>
          <w:b/>
          <w:bCs/>
          <w:sz w:val="20"/>
          <w:szCs w:val="20"/>
        </w:rPr>
      </w:pPr>
      <w:r w:rsidRPr="00144C28">
        <w:rPr>
          <w:rFonts w:ascii="Lato" w:hAnsi="Lato" w:cs="Times New Roman"/>
          <w:b/>
          <w:bCs/>
          <w:sz w:val="20"/>
          <w:szCs w:val="20"/>
        </w:rPr>
        <w:t>Polityka Senioralna Gminy Mniów na lata 2021-2025</w:t>
      </w:r>
    </w:p>
    <w:p w14:paraId="38BC52CD" w14:textId="77777777" w:rsidR="00246300" w:rsidRPr="00144C28" w:rsidRDefault="00246300" w:rsidP="00144C28">
      <w:pPr>
        <w:spacing w:after="0" w:line="240" w:lineRule="auto"/>
        <w:rPr>
          <w:rFonts w:ascii="Lato" w:hAnsi="Lato" w:cs="Times New Roman"/>
          <w:sz w:val="20"/>
          <w:szCs w:val="20"/>
        </w:rPr>
      </w:pPr>
      <w:r w:rsidRPr="00144C28">
        <w:rPr>
          <w:rFonts w:ascii="Lato" w:hAnsi="Lato" w:cs="Times New Roman"/>
          <w:sz w:val="20"/>
          <w:szCs w:val="20"/>
        </w:rPr>
        <w:t>Prowadzenie wypożyczalni środków pomocniczych i przedmiotów ortopedycznych.</w:t>
      </w:r>
    </w:p>
    <w:p w14:paraId="2BC14AEE" w14:textId="77777777" w:rsidR="00246300" w:rsidRPr="00144C28" w:rsidRDefault="00246300" w:rsidP="00144C28">
      <w:pPr>
        <w:spacing w:after="0" w:line="240" w:lineRule="auto"/>
        <w:rPr>
          <w:rFonts w:ascii="Lato" w:hAnsi="Lato" w:cs="Times New Roman"/>
          <w:sz w:val="20"/>
          <w:szCs w:val="20"/>
        </w:rPr>
      </w:pPr>
      <w:r w:rsidRPr="00144C28">
        <w:rPr>
          <w:rFonts w:ascii="Lato" w:hAnsi="Lato" w:cs="Times New Roman"/>
          <w:sz w:val="20"/>
          <w:szCs w:val="20"/>
        </w:rPr>
        <w:t>Prowadzenie dziennych from wsparcia.</w:t>
      </w:r>
    </w:p>
    <w:p w14:paraId="316458BD" w14:textId="77777777" w:rsidR="00246300" w:rsidRPr="00144C28" w:rsidRDefault="00246300" w:rsidP="00144C28">
      <w:pPr>
        <w:spacing w:after="0" w:line="240" w:lineRule="auto"/>
        <w:rPr>
          <w:rFonts w:ascii="Lato" w:hAnsi="Lato" w:cs="Times New Roman"/>
          <w:sz w:val="20"/>
          <w:szCs w:val="20"/>
        </w:rPr>
      </w:pPr>
      <w:r w:rsidRPr="00144C28">
        <w:rPr>
          <w:rFonts w:ascii="Lato" w:hAnsi="Lato" w:cs="Times New Roman"/>
          <w:sz w:val="20"/>
          <w:szCs w:val="20"/>
        </w:rPr>
        <w:t xml:space="preserve">Organizacja usług opieki </w:t>
      </w:r>
      <w:proofErr w:type="spellStart"/>
      <w:r w:rsidRPr="00144C28">
        <w:rPr>
          <w:rFonts w:ascii="Lato" w:hAnsi="Lato" w:cs="Times New Roman"/>
          <w:sz w:val="20"/>
          <w:szCs w:val="20"/>
        </w:rPr>
        <w:t>wytchnieniowej</w:t>
      </w:r>
      <w:proofErr w:type="spellEnd"/>
      <w:r w:rsidRPr="00144C28">
        <w:rPr>
          <w:rFonts w:ascii="Lato" w:hAnsi="Lato" w:cs="Times New Roman"/>
          <w:sz w:val="20"/>
          <w:szCs w:val="20"/>
        </w:rPr>
        <w:t>.</w:t>
      </w:r>
    </w:p>
    <w:p w14:paraId="116A5E9C" w14:textId="3731D5EB" w:rsidR="00246300" w:rsidRPr="00144C28" w:rsidRDefault="00246300" w:rsidP="00144C28">
      <w:pPr>
        <w:spacing w:after="0" w:line="240" w:lineRule="auto"/>
        <w:contextualSpacing/>
        <w:jc w:val="both"/>
        <w:rPr>
          <w:rFonts w:ascii="Lato" w:hAnsi="Lato" w:cs="Times New Roman"/>
          <w:sz w:val="20"/>
          <w:szCs w:val="20"/>
        </w:rPr>
      </w:pPr>
      <w:r w:rsidRPr="00144C28">
        <w:rPr>
          <w:rFonts w:ascii="Lato" w:hAnsi="Lato" w:cs="Times New Roman"/>
          <w:sz w:val="20"/>
          <w:szCs w:val="20"/>
        </w:rPr>
        <w:t>Budowanie więzi międzypokoleniowych poprzez gry i zabawy z dziećmi i młodzieżą.</w:t>
      </w:r>
    </w:p>
    <w:p w14:paraId="5B883343" w14:textId="132372C0" w:rsidR="00144C28" w:rsidRPr="00144C28" w:rsidRDefault="00144C28" w:rsidP="00144C28">
      <w:pPr>
        <w:spacing w:after="0" w:line="240" w:lineRule="auto"/>
        <w:contextualSpacing/>
        <w:jc w:val="both"/>
        <w:rPr>
          <w:rFonts w:ascii="Lato" w:hAnsi="Lato" w:cs="Times New Roman"/>
          <w:sz w:val="20"/>
          <w:szCs w:val="20"/>
        </w:rPr>
      </w:pPr>
    </w:p>
    <w:p w14:paraId="61DE70F2" w14:textId="77777777" w:rsidR="00144C28" w:rsidRPr="00144C28" w:rsidRDefault="00144C28" w:rsidP="00144C28">
      <w:pPr>
        <w:spacing w:after="0" w:line="240" w:lineRule="auto"/>
        <w:rPr>
          <w:rFonts w:ascii="Lato" w:hAnsi="Lato" w:cs="Times New Roman"/>
          <w:b/>
          <w:bCs/>
          <w:sz w:val="20"/>
          <w:szCs w:val="20"/>
        </w:rPr>
      </w:pPr>
      <w:r w:rsidRPr="00144C28">
        <w:rPr>
          <w:rFonts w:ascii="Lato" w:hAnsi="Lato" w:cs="Times New Roman"/>
          <w:b/>
          <w:bCs/>
          <w:sz w:val="20"/>
          <w:szCs w:val="20"/>
        </w:rPr>
        <w:t>Program Usług Społecznych w Gminie Starachowice</w:t>
      </w:r>
    </w:p>
    <w:p w14:paraId="6AB420C4" w14:textId="1B5A0015" w:rsidR="00144C28" w:rsidRPr="00144C28" w:rsidRDefault="00144C28" w:rsidP="00144C28">
      <w:pPr>
        <w:spacing w:after="0" w:line="240" w:lineRule="auto"/>
        <w:contextualSpacing/>
        <w:jc w:val="both"/>
        <w:rPr>
          <w:rFonts w:ascii="Lato" w:hAnsi="Lato" w:cs="Times New Roman"/>
          <w:sz w:val="20"/>
          <w:szCs w:val="20"/>
        </w:rPr>
      </w:pPr>
      <w:r w:rsidRPr="00144C28">
        <w:rPr>
          <w:rFonts w:ascii="Lato" w:hAnsi="Lato" w:cs="Times New Roman"/>
          <w:sz w:val="20"/>
          <w:szCs w:val="20"/>
        </w:rPr>
        <w:t xml:space="preserve">W ramach projektu "CUS model integracji i rozwoju usług społecznych w Starachowicach" zrealizowano następujące usługi: mobilny konserwator/Usługi gospodarczo-porządkowe, mobilny fizjoterapeuta, usługi opiekuńcze, konsultacje z dietetykiem, </w:t>
      </w:r>
      <w:proofErr w:type="spellStart"/>
      <w:r w:rsidRPr="00144C28">
        <w:rPr>
          <w:rFonts w:ascii="Lato" w:hAnsi="Lato" w:cs="Times New Roman"/>
          <w:sz w:val="20"/>
          <w:szCs w:val="20"/>
        </w:rPr>
        <w:t>Aqua</w:t>
      </w:r>
      <w:proofErr w:type="spellEnd"/>
      <w:r w:rsidRPr="00144C28">
        <w:rPr>
          <w:rFonts w:ascii="Lato" w:hAnsi="Lato" w:cs="Times New Roman"/>
          <w:sz w:val="20"/>
          <w:szCs w:val="20"/>
        </w:rPr>
        <w:t xml:space="preserve"> aerobik, Mobilna pielęgniarka, Seanse kinowe, Joga, Gimnastyka korekcyjna, Wycieczka do Solca Zdroju, Taksówka dla Seniora, Mobilny psycholog, Teatr, Filharmonia, Rajd </w:t>
      </w:r>
      <w:proofErr w:type="spellStart"/>
      <w:r w:rsidRPr="00144C28">
        <w:rPr>
          <w:rFonts w:ascii="Lato" w:hAnsi="Lato" w:cs="Times New Roman"/>
          <w:sz w:val="20"/>
          <w:szCs w:val="20"/>
        </w:rPr>
        <w:t>Nordic</w:t>
      </w:r>
      <w:proofErr w:type="spellEnd"/>
      <w:r w:rsidRPr="00144C28">
        <w:rPr>
          <w:rFonts w:ascii="Lato" w:hAnsi="Lato" w:cs="Times New Roman"/>
          <w:sz w:val="20"/>
          <w:szCs w:val="20"/>
        </w:rPr>
        <w:t xml:space="preserve"> </w:t>
      </w:r>
      <w:proofErr w:type="spellStart"/>
      <w:r w:rsidRPr="00144C28">
        <w:rPr>
          <w:rFonts w:ascii="Lato" w:hAnsi="Lato" w:cs="Times New Roman"/>
          <w:sz w:val="20"/>
          <w:szCs w:val="20"/>
        </w:rPr>
        <w:t>walking</w:t>
      </w:r>
      <w:proofErr w:type="spellEnd"/>
      <w:r w:rsidRPr="00144C28">
        <w:rPr>
          <w:rFonts w:ascii="Lato" w:hAnsi="Lato" w:cs="Times New Roman"/>
          <w:sz w:val="20"/>
          <w:szCs w:val="20"/>
        </w:rPr>
        <w:t>, Wycieczka do Kopalni Soli Wieliczka.</w:t>
      </w:r>
    </w:p>
    <w:p w14:paraId="55E76350" w14:textId="36DB8329" w:rsidR="00246300" w:rsidRDefault="00246300" w:rsidP="00D02C8D">
      <w:pPr>
        <w:spacing w:after="0" w:line="240" w:lineRule="auto"/>
        <w:contextualSpacing/>
        <w:jc w:val="both"/>
        <w:rPr>
          <w:rFonts w:ascii="Lato" w:eastAsiaTheme="minorEastAsia" w:hAnsi="Lato" w:cs="Times New Roman"/>
          <w:color w:val="000000"/>
          <w:kern w:val="24"/>
          <w:sz w:val="20"/>
          <w:szCs w:val="20"/>
          <w:lang w:eastAsia="pl-PL"/>
        </w:rPr>
      </w:pPr>
    </w:p>
    <w:p w14:paraId="1E438840" w14:textId="1DC498E5" w:rsidR="00246300" w:rsidRPr="00246300" w:rsidRDefault="00246300" w:rsidP="00D02C8D">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156A6B24" w14:textId="28D9DCF7"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b/>
          <w:sz w:val="20"/>
          <w:szCs w:val="20"/>
        </w:rPr>
        <w:t>Gmina Starachowice</w:t>
      </w:r>
    </w:p>
    <w:p w14:paraId="2E9D021F" w14:textId="3DB9D9FE"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W ramach projektu </w:t>
      </w:r>
      <w:r w:rsidRPr="00D02C8D">
        <w:rPr>
          <w:rFonts w:ascii="Lato" w:hAnsi="Lato" w:cs="Times New Roman"/>
          <w:b/>
          <w:sz w:val="20"/>
          <w:szCs w:val="20"/>
        </w:rPr>
        <w:t xml:space="preserve">"CUS  model integracji i rozwoju usług społecznych w Starachowicach" </w:t>
      </w:r>
      <w:r w:rsidRPr="00D02C8D">
        <w:rPr>
          <w:rFonts w:ascii="Lato" w:hAnsi="Lato" w:cs="Times New Roman"/>
          <w:sz w:val="20"/>
          <w:szCs w:val="20"/>
        </w:rPr>
        <w:t>CUS w Starachowicach zlecił Katolickiemu Stowarzyszeniu  Niepełnosprawnych Świetlica "Motylkowe Wzgórze" świadczenie usług opiekuńczych, mobilnego konserwatora/usługi gospodarczo-porządkowej, mobilnego fizjoterapeuty, z których skorzystało 215 osób.</w:t>
      </w:r>
    </w:p>
    <w:p w14:paraId="1E80AC4E" w14:textId="77777777" w:rsidR="00246300" w:rsidRDefault="00246300" w:rsidP="00D02C8D">
      <w:pPr>
        <w:spacing w:after="0" w:line="240" w:lineRule="auto"/>
        <w:jc w:val="both"/>
        <w:rPr>
          <w:rFonts w:ascii="Lato" w:hAnsi="Lato" w:cs="Times New Roman"/>
          <w:b/>
          <w:sz w:val="20"/>
          <w:szCs w:val="20"/>
        </w:rPr>
      </w:pPr>
    </w:p>
    <w:p w14:paraId="58672206" w14:textId="495EE8E1" w:rsidR="00D02C8D" w:rsidRDefault="00D02C8D" w:rsidP="00D02C8D">
      <w:pPr>
        <w:spacing w:after="0" w:line="240" w:lineRule="auto"/>
        <w:jc w:val="both"/>
        <w:rPr>
          <w:rFonts w:ascii="Lato" w:hAnsi="Lato" w:cs="Times New Roman"/>
          <w:sz w:val="20"/>
          <w:szCs w:val="20"/>
        </w:rPr>
      </w:pPr>
      <w:r w:rsidRPr="00D02C8D">
        <w:rPr>
          <w:rFonts w:ascii="Lato" w:hAnsi="Lato" w:cs="Times New Roman"/>
          <w:b/>
          <w:sz w:val="20"/>
          <w:szCs w:val="20"/>
        </w:rPr>
        <w:t>Spółdzielnia Socjalna "</w:t>
      </w:r>
      <w:proofErr w:type="spellStart"/>
      <w:r w:rsidRPr="00D02C8D">
        <w:rPr>
          <w:rFonts w:ascii="Lato" w:hAnsi="Lato" w:cs="Times New Roman"/>
          <w:b/>
          <w:sz w:val="20"/>
          <w:szCs w:val="20"/>
        </w:rPr>
        <w:t>Salve</w:t>
      </w:r>
      <w:proofErr w:type="spellEnd"/>
      <w:r w:rsidRPr="00D02C8D">
        <w:rPr>
          <w:rFonts w:ascii="Lato" w:hAnsi="Lato" w:cs="Times New Roman"/>
          <w:b/>
          <w:sz w:val="20"/>
          <w:szCs w:val="20"/>
        </w:rPr>
        <w:t xml:space="preserve"> Regina"</w:t>
      </w:r>
      <w:r w:rsidRPr="00D02C8D">
        <w:rPr>
          <w:rFonts w:ascii="Lato" w:hAnsi="Lato" w:cs="Times New Roman"/>
          <w:sz w:val="20"/>
          <w:szCs w:val="20"/>
        </w:rPr>
        <w:t xml:space="preserve"> świadczyła usługi pielęgniarskie, dietetyka, jogi, gimnastyki korekcyjnej 137 osobom.  </w:t>
      </w:r>
      <w:r w:rsidRPr="00D02C8D">
        <w:rPr>
          <w:rFonts w:ascii="Lato" w:hAnsi="Lato" w:cs="Times New Roman"/>
          <w:b/>
          <w:sz w:val="20"/>
          <w:szCs w:val="20"/>
        </w:rPr>
        <w:t>Fundacja Wolne Miejsce</w:t>
      </w:r>
      <w:r w:rsidRPr="00D02C8D">
        <w:rPr>
          <w:rFonts w:ascii="Lato" w:hAnsi="Lato" w:cs="Times New Roman"/>
          <w:sz w:val="20"/>
          <w:szCs w:val="20"/>
        </w:rPr>
        <w:t xml:space="preserve"> przy wsparciu członków Starachowickiej Rady Seniorów i organizacji senioralnych zorganizowała pierwszą w Starachowicach Wigilię dla 200 samotnych osób. Na potrzeby działającej w Gminie Rady Seniorów utworzono stronę na Facebooku, tak aby Rada na bieżąco mogła informować mieszkańców o swoich działaniach.</w:t>
      </w:r>
    </w:p>
    <w:p w14:paraId="5918D096" w14:textId="77777777" w:rsidR="00246300" w:rsidRPr="00D02C8D" w:rsidRDefault="00246300" w:rsidP="00D02C8D">
      <w:pPr>
        <w:spacing w:after="0" w:line="240" w:lineRule="auto"/>
        <w:jc w:val="both"/>
        <w:rPr>
          <w:rFonts w:ascii="Lato" w:hAnsi="Lato" w:cs="Times New Roman"/>
          <w:sz w:val="20"/>
          <w:szCs w:val="20"/>
        </w:rPr>
      </w:pPr>
    </w:p>
    <w:p w14:paraId="079113F4" w14:textId="2806E3F5" w:rsid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Co roku organizowany jest </w:t>
      </w:r>
      <w:r w:rsidRPr="00D02C8D">
        <w:rPr>
          <w:rFonts w:ascii="Lato" w:hAnsi="Lato" w:cs="Times New Roman"/>
          <w:b/>
          <w:sz w:val="20"/>
          <w:szCs w:val="20"/>
        </w:rPr>
        <w:t>Starachowicki Dzień Seniora</w:t>
      </w:r>
      <w:r w:rsidRPr="00D02C8D">
        <w:rPr>
          <w:rFonts w:ascii="Lato" w:hAnsi="Lato" w:cs="Times New Roman"/>
          <w:sz w:val="20"/>
          <w:szCs w:val="20"/>
        </w:rPr>
        <w:t xml:space="preserve">, podczas którego przedstawiciele klubów senioralnych działających na terenie Starachowic przedstawiają przygotowany repertuar, prezentują swoje umiejętności wokalne, teatralne i taneczne. Wydarzeniu corocznie towarzyszą różne akcje profilaktyczne, edukacyjne i informacyjne. Ponadto, Gmina organizuje pieszy rajd dla seniorów pn.  </w:t>
      </w:r>
      <w:r w:rsidRPr="00D02C8D">
        <w:rPr>
          <w:rFonts w:ascii="Lato" w:hAnsi="Lato" w:cs="Times New Roman"/>
          <w:b/>
          <w:sz w:val="20"/>
          <w:szCs w:val="20"/>
        </w:rPr>
        <w:t>Zielone Starachowice</w:t>
      </w:r>
      <w:r w:rsidRPr="00D02C8D">
        <w:rPr>
          <w:rFonts w:ascii="Lato" w:hAnsi="Lato" w:cs="Times New Roman"/>
          <w:sz w:val="20"/>
          <w:szCs w:val="20"/>
        </w:rPr>
        <w:t xml:space="preserve"> oraz cyklicznie aranżuje </w:t>
      </w:r>
      <w:r w:rsidRPr="00D02C8D">
        <w:rPr>
          <w:rFonts w:ascii="Lato" w:hAnsi="Lato" w:cs="Times New Roman"/>
          <w:b/>
          <w:sz w:val="20"/>
          <w:szCs w:val="20"/>
        </w:rPr>
        <w:t>spotkania o charakterze informacyjno-edukacyjnym z przedstawicielami Powiatowej Komendy Policji w Starachowicach oraz z pracownikami ZUS</w:t>
      </w:r>
      <w:r w:rsidRPr="00D02C8D">
        <w:rPr>
          <w:rFonts w:ascii="Lato" w:hAnsi="Lato" w:cs="Times New Roman"/>
          <w:sz w:val="20"/>
          <w:szCs w:val="20"/>
        </w:rPr>
        <w:t xml:space="preserve">, W trakcie spotkań omawiano kwestie bezpiecznego poruszenia po mieście, jak uchronić się przed oszustami, w jaki sposób korzystać z bankowości mobilnej oraz z platformy usług elektronicznych ZUS. </w:t>
      </w:r>
    </w:p>
    <w:p w14:paraId="2B640333" w14:textId="77777777" w:rsidR="00246300" w:rsidRPr="00D02C8D" w:rsidRDefault="00246300" w:rsidP="00D02C8D">
      <w:pPr>
        <w:spacing w:after="0" w:line="240" w:lineRule="auto"/>
        <w:jc w:val="both"/>
        <w:rPr>
          <w:rFonts w:ascii="Lato" w:hAnsi="Lato" w:cs="Times New Roman"/>
          <w:sz w:val="20"/>
          <w:szCs w:val="20"/>
        </w:rPr>
      </w:pPr>
    </w:p>
    <w:p w14:paraId="63B72DF6" w14:textId="77777777"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b/>
          <w:sz w:val="20"/>
          <w:szCs w:val="20"/>
        </w:rPr>
        <w:t>Starachowicka Rada Seniorów</w:t>
      </w:r>
      <w:r w:rsidRPr="00D02C8D">
        <w:rPr>
          <w:rFonts w:ascii="Lato" w:hAnsi="Lato" w:cs="Times New Roman"/>
          <w:sz w:val="20"/>
          <w:szCs w:val="20"/>
        </w:rPr>
        <w:t xml:space="preserve"> szczególną uwagę zwracała na utrudniony dostęp do lekarzy specjalistów oraz do rehabilitacji, dlatego w ramach </w:t>
      </w:r>
      <w:r w:rsidRPr="00D02C8D">
        <w:rPr>
          <w:rFonts w:ascii="Lato" w:hAnsi="Lato" w:cs="Times New Roman"/>
          <w:b/>
          <w:sz w:val="20"/>
          <w:szCs w:val="20"/>
        </w:rPr>
        <w:t xml:space="preserve">programu zdrowotnego w 2022 roku zrealizowano 194 pakiety rehabilitacyjne dla seniorów. </w:t>
      </w:r>
      <w:r w:rsidRPr="00D02C8D">
        <w:rPr>
          <w:rFonts w:ascii="Lato" w:hAnsi="Lato" w:cs="Times New Roman"/>
          <w:sz w:val="20"/>
          <w:szCs w:val="20"/>
        </w:rPr>
        <w:t>Każdy pakiet obejmował bezpłatną wizytę fizjoterapeutyczną oraz zabiegi rehabilitacyjne.</w:t>
      </w:r>
    </w:p>
    <w:p w14:paraId="056B2AA9" w14:textId="77777777"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b/>
          <w:sz w:val="20"/>
          <w:szCs w:val="20"/>
        </w:rPr>
        <w:t>Gmina Pińczów</w:t>
      </w:r>
    </w:p>
    <w:p w14:paraId="7B504545" w14:textId="77777777"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W roku 2022 Miasto i Gmina Pińczów realizowała następujące przedsięwzięcia dedykowane seniorom:</w:t>
      </w:r>
    </w:p>
    <w:p w14:paraId="0C2FC60D"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zajęcia fizjoterapii dla mieszkanek miasta i gminy Pińczów tzw. Amazonek, (12 osób),</w:t>
      </w:r>
    </w:p>
    <w:p w14:paraId="2D2ACE8E"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zajęcia rehabilitacyjne dla seniorów mieszkańców miasta i gminy Pińczów, (30 osób),</w:t>
      </w:r>
    </w:p>
    <w:p w14:paraId="6B4484E7"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lastRenderedPageBreak/>
        <w:t>Marsz Różowej Wstążki – celem przedsięwzięcia było propagowanie profilaktycznych badań mammograficznych i cytologicznych ( 100 osób),</w:t>
      </w:r>
    </w:p>
    <w:p w14:paraId="155EE1E3"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Pińczowski Dzień Seniora, (160 osób),</w:t>
      </w:r>
    </w:p>
    <w:p w14:paraId="5E6CBC7B"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Pińczowski Dzień Cukrzycy - głównym celem akcji było zwiększenie świadomości szerokich kręgów społeczeństwa odnośnie przyczyn, objawów, sposobu leczenia i powikłań związanych z cukrzycą,</w:t>
      </w:r>
    </w:p>
    <w:p w14:paraId="76961465"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spotkania seniorów z udziałem przedstawicieli m.in.: Policji (pogadanka na temat zagrożeń w cyberprzestrzeni i oszustw w życiu codziennym dotykających seniorów), dyrektorem Samorządowego Zakładu Opieki Zdrowotnej w Pińczowie (m.in: założenie internetowego konta pacjenta, zwiększenie dostępności do podstawowej opieki zdrowotnej,),</w:t>
      </w:r>
    </w:p>
    <w:p w14:paraId="0669D97D"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działania na rzecz poszerzania dostępu do zrozumiałej, rzeczowej i kompleksowej informacji o przysługujących seniorom prawach i świadczeniach ( 12 osób),</w:t>
      </w:r>
    </w:p>
    <w:p w14:paraId="56E8DC32" w14:textId="77777777" w:rsid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sz w:val="20"/>
          <w:szCs w:val="20"/>
        </w:rPr>
        <w:t xml:space="preserve">usługa „Książka na telefon” </w:t>
      </w:r>
      <w:proofErr w:type="spellStart"/>
      <w:r w:rsidRPr="00246300">
        <w:rPr>
          <w:rFonts w:ascii="Lato" w:hAnsi="Lato" w:cs="Times New Roman"/>
          <w:sz w:val="20"/>
          <w:szCs w:val="20"/>
        </w:rPr>
        <w:t>czytak</w:t>
      </w:r>
      <w:proofErr w:type="spellEnd"/>
      <w:r w:rsidRPr="00246300">
        <w:rPr>
          <w:rFonts w:ascii="Lato" w:hAnsi="Lato" w:cs="Times New Roman"/>
          <w:sz w:val="20"/>
          <w:szCs w:val="20"/>
        </w:rPr>
        <w:t xml:space="preserve"> - urządzenie czytające książki;</w:t>
      </w:r>
    </w:p>
    <w:p w14:paraId="6D20DA66" w14:textId="084EED0E" w:rsidR="00D02C8D" w:rsidRPr="00246300" w:rsidRDefault="00D02C8D" w:rsidP="0059185B">
      <w:pPr>
        <w:pStyle w:val="Akapitzlist"/>
        <w:numPr>
          <w:ilvl w:val="0"/>
          <w:numId w:val="108"/>
        </w:numPr>
        <w:spacing w:after="0" w:line="240" w:lineRule="auto"/>
        <w:jc w:val="both"/>
        <w:rPr>
          <w:rFonts w:ascii="Lato" w:hAnsi="Lato" w:cs="Times New Roman"/>
          <w:sz w:val="20"/>
          <w:szCs w:val="20"/>
        </w:rPr>
      </w:pPr>
      <w:r w:rsidRPr="00246300">
        <w:rPr>
          <w:rFonts w:ascii="Lato" w:hAnsi="Lato" w:cs="Times New Roman"/>
          <w:b/>
          <w:sz w:val="20"/>
          <w:szCs w:val="20"/>
        </w:rPr>
        <w:t>współpraca z Wojewódzką Radą Seniorów</w:t>
      </w:r>
      <w:r w:rsidRPr="00246300">
        <w:rPr>
          <w:rFonts w:ascii="Lato" w:hAnsi="Lato" w:cs="Times New Roman"/>
          <w:sz w:val="20"/>
          <w:szCs w:val="20"/>
        </w:rPr>
        <w:t>, poprzez udział w spotkaniach , konferencjach przedstawicieli rady seniorów z terenu Gminy.</w:t>
      </w:r>
    </w:p>
    <w:p w14:paraId="423A669B" w14:textId="77777777" w:rsidR="00246300" w:rsidRDefault="00246300" w:rsidP="00D02C8D">
      <w:pPr>
        <w:spacing w:after="0" w:line="240" w:lineRule="auto"/>
        <w:jc w:val="both"/>
        <w:rPr>
          <w:rFonts w:ascii="Lato" w:hAnsi="Lato" w:cs="Times New Roman"/>
          <w:sz w:val="20"/>
          <w:szCs w:val="20"/>
        </w:rPr>
      </w:pPr>
    </w:p>
    <w:p w14:paraId="206776EA" w14:textId="3E544727"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Z inicjatywy Rady Seniorów Uchwałą Nr XLV/394/2018 Rady Miejskiej w Pińczowie z dnia 16 maja 2018r. został wprowadzony na terenie Gminy Pińczów gminny program dla seniorów pn. </w:t>
      </w:r>
      <w:r w:rsidRPr="00D02C8D">
        <w:rPr>
          <w:rFonts w:ascii="Lato" w:hAnsi="Lato" w:cs="Times New Roman"/>
          <w:b/>
          <w:sz w:val="20"/>
          <w:szCs w:val="20"/>
        </w:rPr>
        <w:t>Pińczowska Karta Seniora</w:t>
      </w:r>
      <w:r w:rsidRPr="00D02C8D">
        <w:rPr>
          <w:rFonts w:ascii="Lato" w:hAnsi="Lato" w:cs="Times New Roman"/>
          <w:sz w:val="20"/>
          <w:szCs w:val="20"/>
        </w:rPr>
        <w:t>, która uprawnia Seniorów do lokalnych 30% zniżek obowiązujących podczas wydarzeń organizowanych przez  Pińczowskie Samorządowe Centrum Kultury, Muzeum Regionalne oraz Synagogę oraz zniżki 30% na bilety wstępu na Pływalnię Miejską w Pińczowie.</w:t>
      </w:r>
    </w:p>
    <w:p w14:paraId="064B8024" w14:textId="77777777" w:rsidR="00246300" w:rsidRDefault="00246300" w:rsidP="00D02C8D">
      <w:pPr>
        <w:spacing w:after="0" w:line="240" w:lineRule="auto"/>
        <w:jc w:val="both"/>
        <w:rPr>
          <w:rFonts w:ascii="Lato" w:hAnsi="Lato" w:cs="Times New Roman"/>
          <w:b/>
          <w:sz w:val="20"/>
          <w:szCs w:val="20"/>
        </w:rPr>
      </w:pPr>
    </w:p>
    <w:p w14:paraId="3C49B7C4" w14:textId="557F0E11"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b/>
          <w:sz w:val="20"/>
          <w:szCs w:val="20"/>
        </w:rPr>
        <w:t>Gmina Strawczyn</w:t>
      </w:r>
    </w:p>
    <w:p w14:paraId="731B9BFD" w14:textId="0B3B02D5"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Gmina Strawczyn, za pośrednictwem Klubu Senior+  w 2022 roku organizowała </w:t>
      </w:r>
      <w:r w:rsidRPr="00D02C8D">
        <w:rPr>
          <w:rFonts w:ascii="Lato" w:hAnsi="Lato" w:cs="Times New Roman"/>
          <w:b/>
          <w:sz w:val="20"/>
          <w:szCs w:val="20"/>
        </w:rPr>
        <w:t>webinaria oraz wykłady online dla seniorów m.in. dotyczących edukacji cyfrowej seniorów, zdrowia, bezpieczeństwa</w:t>
      </w:r>
      <w:r w:rsidRPr="00D02C8D">
        <w:rPr>
          <w:rFonts w:ascii="Lato" w:hAnsi="Lato" w:cs="Times New Roman"/>
          <w:sz w:val="20"/>
          <w:szCs w:val="20"/>
        </w:rPr>
        <w:t>.</w:t>
      </w:r>
      <w:r w:rsidR="00246300">
        <w:rPr>
          <w:rFonts w:ascii="Lato" w:hAnsi="Lato" w:cs="Times New Roman"/>
          <w:sz w:val="20"/>
          <w:szCs w:val="20"/>
        </w:rPr>
        <w:t xml:space="preserve"> </w:t>
      </w:r>
      <w:r w:rsidRPr="00D02C8D">
        <w:rPr>
          <w:rFonts w:ascii="Lato" w:hAnsi="Lato" w:cs="Times New Roman"/>
          <w:sz w:val="20"/>
          <w:szCs w:val="20"/>
        </w:rPr>
        <w:t>Zorganizowano również spotkania edukacyjne z dietetykiem  połączone z warsztatami kulinarnymi,  turniej sportowo-edukacyjny. Liczba osób korzystających z usług: 18.</w:t>
      </w:r>
    </w:p>
    <w:p w14:paraId="7D01148F" w14:textId="77777777" w:rsidR="00246300" w:rsidRDefault="00246300" w:rsidP="00D02C8D">
      <w:pPr>
        <w:spacing w:after="0" w:line="240" w:lineRule="auto"/>
        <w:jc w:val="both"/>
        <w:rPr>
          <w:rFonts w:ascii="Lato" w:hAnsi="Lato" w:cs="Times New Roman"/>
          <w:sz w:val="20"/>
          <w:szCs w:val="20"/>
        </w:rPr>
      </w:pPr>
    </w:p>
    <w:p w14:paraId="053C252F" w14:textId="2D7EAD35" w:rsid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Realizowano również </w:t>
      </w:r>
      <w:r w:rsidRPr="00D02C8D">
        <w:rPr>
          <w:rFonts w:ascii="Lato" w:hAnsi="Lato" w:cs="Times New Roman"/>
          <w:b/>
          <w:sz w:val="20"/>
          <w:szCs w:val="20"/>
        </w:rPr>
        <w:t>wyjścia do ośrodków kultury</w:t>
      </w:r>
      <w:r w:rsidRPr="00D02C8D">
        <w:rPr>
          <w:rFonts w:ascii="Lato" w:hAnsi="Lato" w:cs="Times New Roman"/>
          <w:sz w:val="20"/>
          <w:szCs w:val="20"/>
        </w:rPr>
        <w:t xml:space="preserve">, wystawy, wycieczki integracyjno- poznawcze, warsztaty z nauki śpiewu, karaoke. Liczba osób korzystających z usług: 18. </w:t>
      </w:r>
    </w:p>
    <w:p w14:paraId="6FC79C73" w14:textId="77777777" w:rsidR="00246300" w:rsidRPr="00D02C8D" w:rsidRDefault="00246300" w:rsidP="00D02C8D">
      <w:pPr>
        <w:spacing w:after="0" w:line="240" w:lineRule="auto"/>
        <w:jc w:val="both"/>
        <w:rPr>
          <w:rFonts w:ascii="Lato" w:hAnsi="Lato" w:cs="Times New Roman"/>
          <w:sz w:val="20"/>
          <w:szCs w:val="20"/>
        </w:rPr>
      </w:pPr>
    </w:p>
    <w:p w14:paraId="6F6B41AE" w14:textId="57C9CB95" w:rsid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Poza w/w seniorzy mieli możliwość skorzystania z </w:t>
      </w:r>
      <w:r w:rsidRPr="00D02C8D">
        <w:rPr>
          <w:rFonts w:ascii="Lato" w:hAnsi="Lato" w:cs="Times New Roman"/>
          <w:b/>
          <w:sz w:val="20"/>
          <w:szCs w:val="20"/>
        </w:rPr>
        <w:t>oferty sportowo-rekreacyjnej</w:t>
      </w:r>
      <w:r w:rsidRPr="00D02C8D">
        <w:rPr>
          <w:rFonts w:ascii="Lato" w:hAnsi="Lato" w:cs="Times New Roman"/>
          <w:sz w:val="20"/>
          <w:szCs w:val="20"/>
        </w:rPr>
        <w:t xml:space="preserve">, tj. zajęć zumby, zdrowego kręgosłupa, </w:t>
      </w:r>
      <w:proofErr w:type="spellStart"/>
      <w:r w:rsidRPr="00D02C8D">
        <w:rPr>
          <w:rFonts w:ascii="Lato" w:hAnsi="Lato" w:cs="Times New Roman"/>
          <w:sz w:val="20"/>
          <w:szCs w:val="20"/>
        </w:rPr>
        <w:t>aqua</w:t>
      </w:r>
      <w:proofErr w:type="spellEnd"/>
      <w:r w:rsidRPr="00D02C8D">
        <w:rPr>
          <w:rFonts w:ascii="Lato" w:hAnsi="Lato" w:cs="Times New Roman"/>
          <w:sz w:val="20"/>
          <w:szCs w:val="20"/>
        </w:rPr>
        <w:t xml:space="preserve"> – aerobiku, </w:t>
      </w:r>
      <w:proofErr w:type="spellStart"/>
      <w:r w:rsidRPr="00D02C8D">
        <w:rPr>
          <w:rFonts w:ascii="Lato" w:hAnsi="Lato" w:cs="Times New Roman"/>
          <w:sz w:val="20"/>
          <w:szCs w:val="20"/>
        </w:rPr>
        <w:t>nordic</w:t>
      </w:r>
      <w:proofErr w:type="spellEnd"/>
      <w:r w:rsidRPr="00D02C8D">
        <w:rPr>
          <w:rFonts w:ascii="Lato" w:hAnsi="Lato" w:cs="Times New Roman"/>
          <w:sz w:val="20"/>
          <w:szCs w:val="20"/>
        </w:rPr>
        <w:t xml:space="preserve"> –</w:t>
      </w:r>
      <w:proofErr w:type="spellStart"/>
      <w:r w:rsidRPr="00D02C8D">
        <w:rPr>
          <w:rFonts w:ascii="Lato" w:hAnsi="Lato" w:cs="Times New Roman"/>
          <w:sz w:val="20"/>
          <w:szCs w:val="20"/>
        </w:rPr>
        <w:t>walkingu</w:t>
      </w:r>
      <w:proofErr w:type="spellEnd"/>
      <w:r w:rsidRPr="00D02C8D">
        <w:rPr>
          <w:rFonts w:ascii="Lato" w:hAnsi="Lato" w:cs="Times New Roman"/>
          <w:sz w:val="20"/>
          <w:szCs w:val="20"/>
        </w:rPr>
        <w:t>, ćwiczeń na urządzeniach w otwartej strefie aktywności oraz na przyrządach dostępnych w klubie. Liczba osób korzystających z usług: 18.</w:t>
      </w:r>
    </w:p>
    <w:p w14:paraId="7393EADE" w14:textId="77777777" w:rsidR="00246300" w:rsidRPr="00D02C8D" w:rsidRDefault="00246300" w:rsidP="00D02C8D">
      <w:pPr>
        <w:spacing w:after="0" w:line="240" w:lineRule="auto"/>
        <w:jc w:val="both"/>
        <w:rPr>
          <w:rFonts w:ascii="Lato" w:hAnsi="Lato" w:cs="Times New Roman"/>
          <w:sz w:val="20"/>
          <w:szCs w:val="20"/>
        </w:rPr>
      </w:pPr>
    </w:p>
    <w:p w14:paraId="00C3A69A" w14:textId="0CA63B64" w:rsid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Zorganizowano </w:t>
      </w:r>
      <w:r w:rsidRPr="00D02C8D">
        <w:rPr>
          <w:rFonts w:ascii="Lato" w:hAnsi="Lato" w:cs="Times New Roman"/>
          <w:b/>
          <w:sz w:val="20"/>
          <w:szCs w:val="20"/>
        </w:rPr>
        <w:t>coroczne spotkania z pracownikami GOPS dotyczące wolontariatu</w:t>
      </w:r>
      <w:r w:rsidRPr="00D02C8D">
        <w:rPr>
          <w:rFonts w:ascii="Lato" w:hAnsi="Lato" w:cs="Times New Roman"/>
          <w:sz w:val="20"/>
          <w:szCs w:val="20"/>
        </w:rPr>
        <w:t xml:space="preserve">, odbyły się zajęcia </w:t>
      </w:r>
      <w:proofErr w:type="spellStart"/>
      <w:r w:rsidRPr="00D02C8D">
        <w:rPr>
          <w:rFonts w:ascii="Lato" w:hAnsi="Lato" w:cs="Times New Roman"/>
          <w:sz w:val="20"/>
          <w:szCs w:val="20"/>
        </w:rPr>
        <w:t>plastyczno</w:t>
      </w:r>
      <w:proofErr w:type="spellEnd"/>
      <w:r w:rsidRPr="00D02C8D">
        <w:rPr>
          <w:rFonts w:ascii="Lato" w:hAnsi="Lato" w:cs="Times New Roman"/>
          <w:sz w:val="20"/>
          <w:szCs w:val="20"/>
        </w:rPr>
        <w:t xml:space="preserve"> - manualne we współpracy z dziećmi ze świetlic, seniorzy brali udział w obchodach różnego rodzaju uroczystości oraz imprezach okolicznościowych. Liczba osób korzystających z usług:18.</w:t>
      </w:r>
    </w:p>
    <w:p w14:paraId="60411ECD" w14:textId="77777777" w:rsidR="00246300" w:rsidRPr="00D02C8D" w:rsidRDefault="00246300" w:rsidP="00D02C8D">
      <w:pPr>
        <w:spacing w:after="0" w:line="240" w:lineRule="auto"/>
        <w:jc w:val="both"/>
        <w:rPr>
          <w:rFonts w:ascii="Lato" w:hAnsi="Lato" w:cs="Times New Roman"/>
          <w:sz w:val="20"/>
          <w:szCs w:val="20"/>
        </w:rPr>
      </w:pPr>
    </w:p>
    <w:p w14:paraId="6CDB151E" w14:textId="7E65D29D" w:rsid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Zapewniono dostęp do bezpłatnych </w:t>
      </w:r>
      <w:r w:rsidRPr="00D02C8D">
        <w:rPr>
          <w:rFonts w:ascii="Lato" w:hAnsi="Lato" w:cs="Times New Roman"/>
          <w:b/>
          <w:sz w:val="20"/>
          <w:szCs w:val="20"/>
        </w:rPr>
        <w:t>badań stanu zdrowia</w:t>
      </w:r>
      <w:r w:rsidRPr="00D02C8D">
        <w:rPr>
          <w:rFonts w:ascii="Lato" w:hAnsi="Lato" w:cs="Times New Roman"/>
          <w:sz w:val="20"/>
          <w:szCs w:val="20"/>
        </w:rPr>
        <w:t>: tj.  pomiaru ciśnienia przy pomocy ciśnieniomierza oraz saturacji krwi za pomocą pulsoksymetru, a także poprzez organizowane cykliczne zajęcia z dietetykiem (wykłady + warsztaty kulinarne). Liczba osób korzystających z usług:18.</w:t>
      </w:r>
    </w:p>
    <w:p w14:paraId="234DC5A0" w14:textId="77777777" w:rsidR="00246300" w:rsidRPr="00D02C8D" w:rsidRDefault="00246300" w:rsidP="00D02C8D">
      <w:pPr>
        <w:spacing w:after="0" w:line="240" w:lineRule="auto"/>
        <w:jc w:val="both"/>
        <w:rPr>
          <w:rFonts w:ascii="Lato" w:hAnsi="Lato" w:cs="Times New Roman"/>
          <w:sz w:val="20"/>
          <w:szCs w:val="20"/>
        </w:rPr>
      </w:pPr>
    </w:p>
    <w:p w14:paraId="2BC6226D" w14:textId="77777777"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b/>
          <w:sz w:val="20"/>
          <w:szCs w:val="20"/>
        </w:rPr>
        <w:t>Gmina Skarżysko-Kamienna</w:t>
      </w:r>
    </w:p>
    <w:p w14:paraId="6B237EA5" w14:textId="79A356E0" w:rsidR="00D02C8D" w:rsidRDefault="00D02C8D" w:rsidP="00D02C8D">
      <w:pPr>
        <w:spacing w:after="0" w:line="240" w:lineRule="auto"/>
        <w:jc w:val="both"/>
        <w:rPr>
          <w:rFonts w:ascii="Lato" w:hAnsi="Lato" w:cs="Times New Roman"/>
          <w:sz w:val="20"/>
          <w:szCs w:val="20"/>
        </w:rPr>
      </w:pPr>
      <w:r w:rsidRPr="00D02C8D">
        <w:rPr>
          <w:rFonts w:ascii="Lato" w:hAnsi="Lato" w:cs="Times New Roman"/>
          <w:b/>
          <w:sz w:val="20"/>
          <w:szCs w:val="20"/>
        </w:rPr>
        <w:t>Dzienny Dom Opieki Medycznej</w:t>
      </w:r>
      <w:r w:rsidRPr="00D02C8D">
        <w:rPr>
          <w:rFonts w:ascii="Lato" w:hAnsi="Lato" w:cs="Times New Roman"/>
          <w:sz w:val="20"/>
          <w:szCs w:val="20"/>
        </w:rPr>
        <w:t xml:space="preserve"> obejmował wsparciem osoby po hospitalizacji czy w trakcie długotrwałej choroby, które otrzymywały kompleksową pomoc zespołu terapeutycznego (m.in. lekarzy specjalistów, fizjoterapeuty, pielęgniarek, dietetyka). Była to forma kompleksowej opieki i rehabilitacji. Zapewniał opiekę medyczną w warunkach zbliżonych do domowych. Było to miejsce, gdzie pacjenci otrzymywali szansę na powrót do samodzielności lub przygotowania do codziennego życia z chorobą, a ich opiekunowie  przygotowywani byli do przejęcia opieki w warunkach domowych. Działanie realizowane było przez Samodzielny Publiczny Zakład Opieki Zdrowotnej "Przychodnie Miejskie" w ramach projektu "Utworzenie Dziennego Domu Opieki Medycznej w Skarżysku - Kamiennej" współfinansowanego przez Unię Europejską w ramach Europejskiego Funduszu Społecznego Regionalny Program Operacyjny Województwa Świętokrzyskiego na lata 2014-2020, Poddziałanie 9.2.3 Rozwój wysokiej jakości usług zdrowotnych. Wsparcie w ramach projektu realizowano w okresie 01.09.2020-28.02.2023.</w:t>
      </w:r>
    </w:p>
    <w:p w14:paraId="0D955BBD" w14:textId="77777777" w:rsidR="00246300" w:rsidRDefault="00246300" w:rsidP="00D02C8D">
      <w:pPr>
        <w:spacing w:after="0" w:line="240" w:lineRule="auto"/>
        <w:jc w:val="both"/>
        <w:rPr>
          <w:rFonts w:ascii="Lato" w:hAnsi="Lato"/>
          <w:b/>
          <w:color w:val="2F5496" w:themeColor="accent1" w:themeShade="BF"/>
          <w:sz w:val="20"/>
          <w:szCs w:val="20"/>
        </w:rPr>
      </w:pPr>
    </w:p>
    <w:p w14:paraId="0A48C1B8" w14:textId="14A4B3E0" w:rsidR="00246300" w:rsidRPr="00246300" w:rsidRDefault="00246300" w:rsidP="00D02C8D">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642795B4" w14:textId="77777777" w:rsidR="00D02C8D" w:rsidRPr="00246300" w:rsidRDefault="00D02C8D" w:rsidP="00246300">
      <w:pPr>
        <w:spacing w:after="0" w:line="240" w:lineRule="auto"/>
        <w:jc w:val="both"/>
        <w:rPr>
          <w:rFonts w:ascii="Lato" w:hAnsi="Lato" w:cs="Times New Roman"/>
          <w:b/>
          <w:sz w:val="20"/>
          <w:szCs w:val="20"/>
        </w:rPr>
      </w:pPr>
      <w:r w:rsidRPr="00246300">
        <w:rPr>
          <w:rFonts w:ascii="Lato" w:hAnsi="Lato" w:cs="Times New Roman"/>
          <w:b/>
          <w:sz w:val="20"/>
          <w:szCs w:val="20"/>
        </w:rPr>
        <w:t xml:space="preserve">Taksówka dla Seniora </w:t>
      </w:r>
    </w:p>
    <w:p w14:paraId="5DA70D54" w14:textId="77777777"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sz w:val="20"/>
          <w:szCs w:val="20"/>
        </w:rPr>
        <w:lastRenderedPageBreak/>
        <w:t xml:space="preserve">Usługa transportowa dla seniora - bezpłatny transport da mieszkańców Kielc, którzy ukończyli 65 rok życia, mających problemy z samodzielnym funkcjonowaniem ze względu na stan zdrowia, prowadzących samodzielne gospodarstwo domowe lub osoby biskie nie są wstanie zapewnić im wystarczającego wsparcia. Przewozy odbywają się od poniedziałku do piątku od 8:00 do 20:00. Z usługi można skorzystać 1 raz w miesiącu i maksymalnie 6 razy w roku </w:t>
      </w:r>
      <w:r w:rsidRPr="00D02C8D">
        <w:rPr>
          <w:rFonts w:ascii="Lato" w:hAnsi="Lato" w:cs="Times New Roman"/>
          <w:b/>
          <w:sz w:val="20"/>
          <w:szCs w:val="20"/>
        </w:rPr>
        <w:t>(realizator: M. Kielce)</w:t>
      </w:r>
    </w:p>
    <w:p w14:paraId="56DA944A" w14:textId="77777777" w:rsidR="00246300" w:rsidRDefault="00246300" w:rsidP="00246300">
      <w:pPr>
        <w:spacing w:after="0" w:line="240" w:lineRule="auto"/>
        <w:jc w:val="both"/>
        <w:rPr>
          <w:rFonts w:ascii="Lato" w:hAnsi="Lato" w:cs="Times New Roman"/>
          <w:b/>
          <w:sz w:val="20"/>
          <w:szCs w:val="20"/>
        </w:rPr>
      </w:pPr>
    </w:p>
    <w:p w14:paraId="6CB741C7" w14:textId="5624A4FE" w:rsidR="00D02C8D" w:rsidRPr="00246300" w:rsidRDefault="00D02C8D" w:rsidP="00246300">
      <w:pPr>
        <w:spacing w:after="0" w:line="240" w:lineRule="auto"/>
        <w:jc w:val="both"/>
        <w:rPr>
          <w:rFonts w:ascii="Lato" w:hAnsi="Lato" w:cs="Times New Roman"/>
          <w:b/>
          <w:sz w:val="20"/>
          <w:szCs w:val="20"/>
        </w:rPr>
      </w:pPr>
      <w:r w:rsidRPr="00246300">
        <w:rPr>
          <w:rFonts w:ascii="Lato" w:hAnsi="Lato" w:cs="Times New Roman"/>
          <w:b/>
          <w:sz w:val="20"/>
          <w:szCs w:val="20"/>
        </w:rPr>
        <w:t>Koperta Życia</w:t>
      </w:r>
    </w:p>
    <w:p w14:paraId="4D636F92" w14:textId="77777777"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W 2022r. w ramach ochrony zdrowia realizowana była rozpoczęta w 2017 r. akcja pt. Koperta Życia. Koperta życia to najważniejsze informacje o stanie zdrowia, które mogą być przydatne dla służb medycznych i socjalnych, policji, straży pożarnej oraz straży miejskiej. Kopertę dostarczano do jędrzejowskich seniorów. </w:t>
      </w:r>
      <w:r w:rsidRPr="00D02C8D">
        <w:rPr>
          <w:rFonts w:ascii="Lato" w:hAnsi="Lato" w:cs="Times New Roman"/>
          <w:b/>
          <w:sz w:val="20"/>
          <w:szCs w:val="20"/>
        </w:rPr>
        <w:t>(realizator: Gmina Jędrzejów)</w:t>
      </w:r>
      <w:r w:rsidRPr="00D02C8D">
        <w:rPr>
          <w:rFonts w:ascii="Lato" w:hAnsi="Lato" w:cs="Times New Roman"/>
          <w:sz w:val="20"/>
          <w:szCs w:val="20"/>
        </w:rPr>
        <w:t>.</w:t>
      </w:r>
    </w:p>
    <w:p w14:paraId="18A9593E" w14:textId="77777777" w:rsidR="00246300" w:rsidRDefault="00246300" w:rsidP="00246300">
      <w:pPr>
        <w:spacing w:after="0" w:line="240" w:lineRule="auto"/>
        <w:jc w:val="both"/>
        <w:rPr>
          <w:rFonts w:ascii="Lato" w:hAnsi="Lato" w:cs="Times New Roman"/>
          <w:b/>
          <w:sz w:val="20"/>
          <w:szCs w:val="20"/>
        </w:rPr>
      </w:pPr>
    </w:p>
    <w:p w14:paraId="7ABC0CAD" w14:textId="151318C1" w:rsidR="00D02C8D" w:rsidRPr="00246300" w:rsidRDefault="00D02C8D" w:rsidP="00246300">
      <w:pPr>
        <w:spacing w:after="0" w:line="240" w:lineRule="auto"/>
        <w:jc w:val="both"/>
        <w:rPr>
          <w:rFonts w:ascii="Lato" w:hAnsi="Lato" w:cs="Times New Roman"/>
          <w:b/>
          <w:sz w:val="20"/>
          <w:szCs w:val="20"/>
        </w:rPr>
      </w:pPr>
      <w:r w:rsidRPr="00246300">
        <w:rPr>
          <w:rFonts w:ascii="Lato" w:hAnsi="Lato" w:cs="Times New Roman"/>
          <w:b/>
          <w:sz w:val="20"/>
          <w:szCs w:val="20"/>
        </w:rPr>
        <w:t xml:space="preserve">„Świętokrzyskie Forum Seniora Online” </w:t>
      </w:r>
    </w:p>
    <w:p w14:paraId="1B3F447B" w14:textId="77777777"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 xml:space="preserve">Wydarzenie miało charakter regionalny, zaś jego celem była aktywizacja społeczna seniorów, zwiększenie udziału osób starszych w życiu publicznym oraz udzielenie odpowiedzi na podstawowe problemy i pytania nurtujące tę grupę społeczną. Podczas forum poruszane były najważniejsze dla seniorów tematy dotyczące zdrowia, zdrowego trybu życia i profilaktyki, czasu wolnego. Wydarzenie organizowane było w formule on-line dzięki czemu grono odbiorców było zdecydowanie większe niż w przypadku konferencji stacjonarnej </w:t>
      </w:r>
      <w:r w:rsidRPr="00D02C8D">
        <w:rPr>
          <w:rFonts w:ascii="Lato" w:hAnsi="Lato" w:cs="Times New Roman"/>
          <w:b/>
          <w:sz w:val="20"/>
          <w:szCs w:val="20"/>
        </w:rPr>
        <w:t>(realizator: Marszałek Województwa Świętokrzyskiego)</w:t>
      </w:r>
      <w:r w:rsidRPr="00D02C8D">
        <w:rPr>
          <w:rFonts w:ascii="Lato" w:hAnsi="Lato" w:cs="Times New Roman"/>
          <w:sz w:val="20"/>
          <w:szCs w:val="20"/>
        </w:rPr>
        <w:t>.</w:t>
      </w:r>
    </w:p>
    <w:p w14:paraId="7BDE8806" w14:textId="77777777" w:rsidR="00246300" w:rsidRDefault="00246300" w:rsidP="00246300">
      <w:pPr>
        <w:spacing w:after="0" w:line="240" w:lineRule="auto"/>
        <w:jc w:val="both"/>
        <w:rPr>
          <w:rFonts w:ascii="Lato" w:hAnsi="Lato" w:cs="Times New Roman"/>
          <w:b/>
          <w:sz w:val="20"/>
          <w:szCs w:val="20"/>
        </w:rPr>
      </w:pPr>
    </w:p>
    <w:p w14:paraId="6532F16E" w14:textId="7FCD23AC" w:rsidR="00D02C8D" w:rsidRPr="00246300" w:rsidRDefault="00D02C8D" w:rsidP="00246300">
      <w:pPr>
        <w:spacing w:after="0" w:line="240" w:lineRule="auto"/>
        <w:jc w:val="both"/>
        <w:rPr>
          <w:rFonts w:ascii="Lato" w:hAnsi="Lato" w:cs="Times New Roman"/>
          <w:sz w:val="20"/>
          <w:szCs w:val="20"/>
        </w:rPr>
      </w:pPr>
      <w:proofErr w:type="spellStart"/>
      <w:r w:rsidRPr="00246300">
        <w:rPr>
          <w:rFonts w:ascii="Lato" w:hAnsi="Lato" w:cs="Times New Roman"/>
          <w:b/>
          <w:sz w:val="20"/>
          <w:szCs w:val="20"/>
        </w:rPr>
        <w:t>Teleopieka</w:t>
      </w:r>
      <w:proofErr w:type="spellEnd"/>
      <w:r w:rsidRPr="00246300">
        <w:rPr>
          <w:rFonts w:ascii="Lato" w:hAnsi="Lato" w:cs="Times New Roman"/>
          <w:b/>
          <w:sz w:val="20"/>
          <w:szCs w:val="20"/>
        </w:rPr>
        <w:t xml:space="preserve"> i opaski bezpieczeństwa – </w:t>
      </w:r>
      <w:r w:rsidRPr="00246300">
        <w:rPr>
          <w:rFonts w:ascii="Lato" w:hAnsi="Lato" w:cs="Times New Roman"/>
          <w:sz w:val="20"/>
          <w:szCs w:val="20"/>
        </w:rPr>
        <w:t>integralne elementy Rządowego Programu Korpus Wsparcia Seniorów ( w 2022 r. w Programie uczestniczyły 52 gminy)</w:t>
      </w:r>
    </w:p>
    <w:p w14:paraId="7C64C676" w14:textId="77777777" w:rsidR="00246300" w:rsidRDefault="00246300" w:rsidP="00D02C8D">
      <w:pPr>
        <w:spacing w:after="0" w:line="240" w:lineRule="auto"/>
        <w:jc w:val="both"/>
        <w:rPr>
          <w:rFonts w:ascii="Lato" w:hAnsi="Lato" w:cs="Times New Roman"/>
          <w:b/>
          <w:sz w:val="20"/>
          <w:szCs w:val="20"/>
        </w:rPr>
      </w:pPr>
    </w:p>
    <w:p w14:paraId="4CBC2176" w14:textId="218A29E4" w:rsidR="00246300" w:rsidRPr="00246300" w:rsidRDefault="00246300" w:rsidP="00D02C8D">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34908845" w14:textId="411E9162" w:rsidR="00D02C8D" w:rsidRPr="00D02C8D" w:rsidRDefault="00D02C8D" w:rsidP="00D02C8D">
      <w:pPr>
        <w:spacing w:after="0" w:line="240" w:lineRule="auto"/>
        <w:jc w:val="both"/>
        <w:rPr>
          <w:rFonts w:ascii="Lato" w:hAnsi="Lato" w:cs="Times New Roman"/>
          <w:b/>
          <w:sz w:val="20"/>
          <w:szCs w:val="20"/>
        </w:rPr>
      </w:pPr>
      <w:r w:rsidRPr="00D02C8D">
        <w:rPr>
          <w:rFonts w:ascii="Lato" w:hAnsi="Lato" w:cs="Times New Roman"/>
          <w:b/>
          <w:sz w:val="20"/>
          <w:szCs w:val="20"/>
        </w:rPr>
        <w:t>Lokalne rady seniorów</w:t>
      </w:r>
    </w:p>
    <w:p w14:paraId="27C87C49" w14:textId="7122ADFD" w:rsidR="00D02C8D" w:rsidRPr="00D02C8D" w:rsidRDefault="00D02C8D" w:rsidP="00D02C8D">
      <w:pPr>
        <w:spacing w:after="0" w:line="240" w:lineRule="auto"/>
        <w:jc w:val="both"/>
        <w:rPr>
          <w:rFonts w:ascii="Lato" w:hAnsi="Lato" w:cs="Times New Roman"/>
          <w:sz w:val="20"/>
          <w:szCs w:val="20"/>
        </w:rPr>
      </w:pPr>
      <w:r w:rsidRPr="00D02C8D">
        <w:rPr>
          <w:rFonts w:ascii="Lato" w:hAnsi="Lato" w:cs="Times New Roman"/>
          <w:sz w:val="20"/>
          <w:szCs w:val="20"/>
        </w:rPr>
        <w:t>W 2022 r</w:t>
      </w:r>
      <w:r w:rsidR="00246300">
        <w:rPr>
          <w:rFonts w:ascii="Lato" w:hAnsi="Lato" w:cs="Times New Roman"/>
          <w:sz w:val="20"/>
          <w:szCs w:val="20"/>
        </w:rPr>
        <w:t>.</w:t>
      </w:r>
      <w:r w:rsidRPr="00D02C8D">
        <w:rPr>
          <w:rFonts w:ascii="Lato" w:hAnsi="Lato" w:cs="Times New Roman"/>
          <w:sz w:val="20"/>
          <w:szCs w:val="20"/>
        </w:rPr>
        <w:t xml:space="preserve"> działalność kontynuowały </w:t>
      </w:r>
      <w:r w:rsidRPr="00D02C8D">
        <w:rPr>
          <w:rFonts w:ascii="Lato" w:hAnsi="Lato" w:cs="Times New Roman"/>
          <w:b/>
          <w:sz w:val="20"/>
          <w:szCs w:val="20"/>
        </w:rPr>
        <w:t>gminne (15), powiatowe (2) oraz Świętokrzyska Rada Seniorów</w:t>
      </w:r>
      <w:r w:rsidRPr="00D02C8D">
        <w:rPr>
          <w:rFonts w:ascii="Lato" w:hAnsi="Lato" w:cs="Times New Roman"/>
          <w:sz w:val="20"/>
          <w:szCs w:val="20"/>
        </w:rPr>
        <w:t>. Ww. gremia koncentrują się przede wszystkim na kształtowaniu sfery publicznej w sposób przyjazny dla seniorów i zorientowany na potrzeby osób starszych. Rady Seniorów często zrzeszone są w klubach i domach Senior+ i stanowią grupę osób reprezentujących interesy seniorów z danej gminy czy też powiatu. Wnoszą uwagi do strategii i programów dedykowanych mieszkańcom, planów zagospodarowania przestrzennego, inicjują projekty i przedsięwzięcia ukierunkowane na integrację międzypokoleniową, dziedzictwo kulturowe, wzmacnianie więzi społecznych i lokalnej tożsamości. Rady stanowią organ opiniodawczo-doradczy i często to z jej inicjatywy j.s.t. podejmują działania w kierunku rozwijania infrastruktury dziennych ośrodków wsparcia dla osób 60+. Z drugiej strony działalność placówek senior+ również bywa impulsem do powołania rady seniorów z grona uczęszczających doń osób, po to by instruować osoby decyzyjne w jakim kierunku rozwijać działalność ośrodków Senior+.</w:t>
      </w:r>
    </w:p>
    <w:p w14:paraId="0992E011" w14:textId="77777777" w:rsidR="00246300" w:rsidRDefault="00246300" w:rsidP="00D02C8D">
      <w:pPr>
        <w:spacing w:after="0" w:line="240" w:lineRule="auto"/>
        <w:jc w:val="both"/>
        <w:rPr>
          <w:rFonts w:ascii="Lato" w:hAnsi="Lato" w:cs="Times New Roman"/>
          <w:b/>
          <w:sz w:val="20"/>
          <w:szCs w:val="20"/>
        </w:rPr>
      </w:pPr>
    </w:p>
    <w:p w14:paraId="45F78380" w14:textId="1CEC5553" w:rsidR="00E25DA3" w:rsidRDefault="00E25DA3" w:rsidP="00E25DA3">
      <w:pPr>
        <w:pStyle w:val="Legenda"/>
        <w:keepNext/>
      </w:pPr>
      <w:bookmarkStart w:id="177" w:name="_Toc142566034"/>
      <w:r>
        <w:t xml:space="preserve">Tabela </w:t>
      </w:r>
      <w:fldSimple w:instr=" SEQ Tabela \* ARABIC ">
        <w:r w:rsidR="00AA385B">
          <w:rPr>
            <w:noProof/>
          </w:rPr>
          <w:t>71</w:t>
        </w:r>
      </w:fldSimple>
      <w:r>
        <w:t xml:space="preserve"> Karta województwa świętokrzyskiego za 2022 r.</w:t>
      </w:r>
      <w:bookmarkEnd w:id="177"/>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E25DA3" w:rsidRPr="00E25DA3" w14:paraId="07F98201"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1D2DFAC1"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WOJEWÓDZTWO ŚWIĘTOKRZYSKIE</w:t>
            </w:r>
          </w:p>
        </w:tc>
      </w:tr>
      <w:tr w:rsidR="00E25DA3" w:rsidRPr="00E25DA3" w14:paraId="51A609C9" w14:textId="77777777" w:rsidTr="00E25DA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9FD0335"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Informacja o regionie</w:t>
            </w:r>
          </w:p>
        </w:tc>
        <w:tc>
          <w:tcPr>
            <w:tcW w:w="1346" w:type="pct"/>
            <w:shd w:val="clear" w:color="auto" w:fill="auto"/>
          </w:tcPr>
          <w:p w14:paraId="4A70CD7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gmin</w:t>
            </w:r>
          </w:p>
        </w:tc>
        <w:tc>
          <w:tcPr>
            <w:tcW w:w="2693" w:type="pct"/>
            <w:gridSpan w:val="2"/>
            <w:shd w:val="clear" w:color="auto" w:fill="auto"/>
          </w:tcPr>
          <w:p w14:paraId="648807F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102</w:t>
            </w:r>
          </w:p>
        </w:tc>
      </w:tr>
      <w:tr w:rsidR="00E25DA3" w:rsidRPr="00E25DA3" w14:paraId="07BA321E" w14:textId="77777777" w:rsidTr="00E25DA3">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9D23E4E"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41AD31D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powiatów</w:t>
            </w:r>
          </w:p>
        </w:tc>
        <w:tc>
          <w:tcPr>
            <w:tcW w:w="2693" w:type="pct"/>
            <w:gridSpan w:val="2"/>
            <w:shd w:val="clear" w:color="auto" w:fill="auto"/>
          </w:tcPr>
          <w:p w14:paraId="2C5D05F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 powiatów i 1 miasto na prawach powiatu</w:t>
            </w:r>
          </w:p>
        </w:tc>
      </w:tr>
      <w:tr w:rsidR="00E25DA3" w:rsidRPr="00E25DA3" w14:paraId="55A431FE" w14:textId="77777777" w:rsidTr="00E25DA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D215F86"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545A5B1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Powierzchnia</w:t>
            </w:r>
          </w:p>
        </w:tc>
        <w:tc>
          <w:tcPr>
            <w:tcW w:w="2693" w:type="pct"/>
            <w:gridSpan w:val="2"/>
            <w:shd w:val="clear" w:color="auto" w:fill="auto"/>
          </w:tcPr>
          <w:p w14:paraId="296653A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11 709 km</w:t>
            </w:r>
            <w:r w:rsidRPr="00E25DA3">
              <w:rPr>
                <w:rFonts w:ascii="Lato" w:hAnsi="Lato" w:cs="Times New Roman"/>
                <w:color w:val="auto"/>
                <w:sz w:val="18"/>
                <w:szCs w:val="18"/>
                <w:vertAlign w:val="superscript"/>
              </w:rPr>
              <w:t>2</w:t>
            </w:r>
          </w:p>
        </w:tc>
      </w:tr>
      <w:tr w:rsidR="00E25DA3" w:rsidRPr="00E25DA3" w14:paraId="0F1BF3F4"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71EAE93" w14:textId="77777777" w:rsidR="00E25DA3" w:rsidRPr="00E25DA3" w:rsidRDefault="00E25DA3" w:rsidP="00CA4EC0">
            <w:pPr>
              <w:jc w:val="center"/>
              <w:rPr>
                <w:rFonts w:ascii="Lato" w:hAnsi="Lato" w:cs="Times New Roman"/>
                <w:b w:val="0"/>
                <w:color w:val="auto"/>
                <w:sz w:val="18"/>
                <w:szCs w:val="18"/>
              </w:rPr>
            </w:pPr>
            <w:r w:rsidRPr="00E25DA3">
              <w:rPr>
                <w:rFonts w:ascii="Lato" w:hAnsi="Lato" w:cs="Times New Roman"/>
                <w:color w:val="auto"/>
                <w:sz w:val="18"/>
                <w:szCs w:val="18"/>
              </w:rPr>
              <w:t>DEMOGRAFIA</w:t>
            </w:r>
          </w:p>
        </w:tc>
      </w:tr>
      <w:tr w:rsidR="00E25DA3" w:rsidRPr="00E25DA3" w14:paraId="516DE878"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E6A941C" w14:textId="77777777" w:rsidR="00E25DA3" w:rsidRPr="00E25DA3" w:rsidRDefault="00E25DA3" w:rsidP="00CA4EC0">
            <w:pPr>
              <w:jc w:val="center"/>
              <w:rPr>
                <w:rFonts w:ascii="Lato" w:hAnsi="Lato" w:cs="Times New Roman"/>
                <w:b w:val="0"/>
                <w:color w:val="auto"/>
                <w:sz w:val="18"/>
                <w:szCs w:val="18"/>
                <w:lang w:eastAsia="pl-PL"/>
              </w:rPr>
            </w:pPr>
            <w:r w:rsidRPr="00E25DA3">
              <w:rPr>
                <w:rFonts w:ascii="Lato" w:hAnsi="Lato" w:cs="Times New Roman"/>
                <w:color w:val="auto"/>
                <w:sz w:val="18"/>
                <w:szCs w:val="18"/>
                <w:lang w:eastAsia="pl-PL"/>
              </w:rPr>
              <w:t>Treść</w:t>
            </w:r>
          </w:p>
        </w:tc>
        <w:tc>
          <w:tcPr>
            <w:tcW w:w="1346" w:type="pct"/>
            <w:shd w:val="clear" w:color="auto" w:fill="auto"/>
          </w:tcPr>
          <w:p w14:paraId="19C0C00E"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2020 r.</w:t>
            </w:r>
          </w:p>
        </w:tc>
        <w:tc>
          <w:tcPr>
            <w:tcW w:w="1346" w:type="pct"/>
            <w:shd w:val="clear" w:color="auto" w:fill="auto"/>
          </w:tcPr>
          <w:p w14:paraId="12949050"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2021 r.</w:t>
            </w:r>
          </w:p>
        </w:tc>
        <w:tc>
          <w:tcPr>
            <w:tcW w:w="1347" w:type="pct"/>
            <w:shd w:val="clear" w:color="auto" w:fill="auto"/>
          </w:tcPr>
          <w:p w14:paraId="6870FB84"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2022 r.</w:t>
            </w:r>
          </w:p>
        </w:tc>
      </w:tr>
      <w:tr w:rsidR="00E25DA3" w:rsidRPr="00E25DA3" w14:paraId="3A47B796"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07C248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Populacja ogółem</w:t>
            </w:r>
          </w:p>
        </w:tc>
        <w:tc>
          <w:tcPr>
            <w:tcW w:w="1346" w:type="pct"/>
            <w:shd w:val="clear" w:color="auto" w:fill="auto"/>
          </w:tcPr>
          <w:p w14:paraId="359310B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1199584</w:t>
            </w:r>
          </w:p>
        </w:tc>
        <w:tc>
          <w:tcPr>
            <w:tcW w:w="1346" w:type="pct"/>
            <w:shd w:val="clear" w:color="auto" w:fill="auto"/>
          </w:tcPr>
          <w:p w14:paraId="65F4E7A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1187693</w:t>
            </w:r>
          </w:p>
        </w:tc>
        <w:tc>
          <w:tcPr>
            <w:tcW w:w="1347" w:type="pct"/>
            <w:shd w:val="clear" w:color="auto" w:fill="auto"/>
          </w:tcPr>
          <w:p w14:paraId="7F67557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1178164</w:t>
            </w:r>
          </w:p>
        </w:tc>
      </w:tr>
      <w:tr w:rsidR="00E25DA3" w:rsidRPr="00E25DA3" w14:paraId="73D935A6"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C5AD639" w14:textId="77777777" w:rsidR="00E25DA3" w:rsidRPr="00E25DA3" w:rsidRDefault="00E25DA3" w:rsidP="00CA4EC0">
            <w:pPr>
              <w:rPr>
                <w:rFonts w:ascii="Lato" w:hAnsi="Lato" w:cs="Times New Roman"/>
                <w:b w:val="0"/>
                <w:color w:val="auto"/>
                <w:sz w:val="18"/>
                <w:szCs w:val="18"/>
              </w:rPr>
            </w:pPr>
          </w:p>
        </w:tc>
      </w:tr>
      <w:tr w:rsidR="00E25DA3" w:rsidRPr="00E25DA3" w14:paraId="369BAE89"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EEC25B3" w14:textId="77777777" w:rsidR="00E25DA3" w:rsidRPr="00E25DA3" w:rsidRDefault="00E25DA3" w:rsidP="00CA4EC0">
            <w:pPr>
              <w:rPr>
                <w:rFonts w:ascii="Lato" w:hAnsi="Lato" w:cs="Times New Roman"/>
                <w:b w:val="0"/>
                <w:color w:val="auto"/>
                <w:sz w:val="18"/>
                <w:szCs w:val="18"/>
              </w:rPr>
            </w:pPr>
            <w:r w:rsidRPr="00E25DA3">
              <w:rPr>
                <w:rFonts w:ascii="Lato" w:hAnsi="Lato" w:cs="Times New Roman"/>
                <w:color w:val="auto"/>
                <w:sz w:val="18"/>
                <w:szCs w:val="18"/>
                <w:lang w:eastAsia="pl-PL"/>
              </w:rPr>
              <w:t>w wieku 60 lat i więcej</w:t>
            </w:r>
          </w:p>
        </w:tc>
        <w:tc>
          <w:tcPr>
            <w:tcW w:w="1346" w:type="pct"/>
            <w:shd w:val="clear" w:color="auto" w:fill="auto"/>
          </w:tcPr>
          <w:p w14:paraId="746F42B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338303</w:t>
            </w:r>
          </w:p>
        </w:tc>
        <w:tc>
          <w:tcPr>
            <w:tcW w:w="1346" w:type="pct"/>
            <w:shd w:val="clear" w:color="auto" w:fill="auto"/>
          </w:tcPr>
          <w:p w14:paraId="6B5FDFC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338493</w:t>
            </w:r>
          </w:p>
        </w:tc>
        <w:tc>
          <w:tcPr>
            <w:tcW w:w="1347" w:type="pct"/>
            <w:shd w:val="clear" w:color="auto" w:fill="auto"/>
          </w:tcPr>
          <w:p w14:paraId="5818485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340123</w:t>
            </w:r>
          </w:p>
        </w:tc>
      </w:tr>
      <w:tr w:rsidR="00E25DA3" w:rsidRPr="00E25DA3" w14:paraId="0E62318F"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0D83867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60–64 lata</w:t>
            </w:r>
          </w:p>
        </w:tc>
        <w:tc>
          <w:tcPr>
            <w:tcW w:w="1346" w:type="pct"/>
            <w:shd w:val="clear" w:color="auto" w:fill="auto"/>
          </w:tcPr>
          <w:p w14:paraId="09C9CAF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90994</w:t>
            </w:r>
          </w:p>
        </w:tc>
        <w:tc>
          <w:tcPr>
            <w:tcW w:w="1346" w:type="pct"/>
            <w:shd w:val="clear" w:color="auto" w:fill="auto"/>
          </w:tcPr>
          <w:p w14:paraId="1D7C096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87531</w:t>
            </w:r>
          </w:p>
        </w:tc>
        <w:tc>
          <w:tcPr>
            <w:tcW w:w="1347" w:type="pct"/>
            <w:shd w:val="clear" w:color="auto" w:fill="auto"/>
          </w:tcPr>
          <w:p w14:paraId="3A81533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83489</w:t>
            </w:r>
          </w:p>
        </w:tc>
      </w:tr>
      <w:tr w:rsidR="00E25DA3" w:rsidRPr="00E25DA3" w14:paraId="4A7A12FA"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81406D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65–69</w:t>
            </w:r>
          </w:p>
        </w:tc>
        <w:tc>
          <w:tcPr>
            <w:tcW w:w="1346" w:type="pct"/>
            <w:shd w:val="clear" w:color="auto" w:fill="auto"/>
          </w:tcPr>
          <w:p w14:paraId="6357B31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85668</w:t>
            </w:r>
          </w:p>
        </w:tc>
        <w:tc>
          <w:tcPr>
            <w:tcW w:w="1346" w:type="pct"/>
            <w:shd w:val="clear" w:color="auto" w:fill="auto"/>
          </w:tcPr>
          <w:p w14:paraId="367F11D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86077</w:t>
            </w:r>
          </w:p>
        </w:tc>
        <w:tc>
          <w:tcPr>
            <w:tcW w:w="1347" w:type="pct"/>
            <w:shd w:val="clear" w:color="auto" w:fill="auto"/>
          </w:tcPr>
          <w:p w14:paraId="43DB2DD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86572</w:t>
            </w:r>
          </w:p>
        </w:tc>
      </w:tr>
      <w:tr w:rsidR="00E25DA3" w:rsidRPr="00E25DA3" w14:paraId="54C59A9F"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836EF6A"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70–74</w:t>
            </w:r>
          </w:p>
        </w:tc>
        <w:tc>
          <w:tcPr>
            <w:tcW w:w="1346" w:type="pct"/>
            <w:shd w:val="clear" w:color="auto" w:fill="auto"/>
          </w:tcPr>
          <w:p w14:paraId="7E8B933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65849</w:t>
            </w:r>
          </w:p>
        </w:tc>
        <w:tc>
          <w:tcPr>
            <w:tcW w:w="1346" w:type="pct"/>
            <w:shd w:val="clear" w:color="auto" w:fill="auto"/>
          </w:tcPr>
          <w:p w14:paraId="4B9C944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68811</w:t>
            </w:r>
          </w:p>
        </w:tc>
        <w:tc>
          <w:tcPr>
            <w:tcW w:w="1347" w:type="pct"/>
            <w:shd w:val="clear" w:color="auto" w:fill="auto"/>
          </w:tcPr>
          <w:p w14:paraId="50F1513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70775</w:t>
            </w:r>
          </w:p>
        </w:tc>
      </w:tr>
      <w:tr w:rsidR="00E25DA3" w:rsidRPr="00E25DA3" w14:paraId="4ABC3131"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BC9B85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75–79</w:t>
            </w:r>
          </w:p>
        </w:tc>
        <w:tc>
          <w:tcPr>
            <w:tcW w:w="1346" w:type="pct"/>
            <w:shd w:val="clear" w:color="auto" w:fill="auto"/>
          </w:tcPr>
          <w:p w14:paraId="44B13DF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34934</w:t>
            </w:r>
          </w:p>
        </w:tc>
        <w:tc>
          <w:tcPr>
            <w:tcW w:w="1346" w:type="pct"/>
            <w:shd w:val="clear" w:color="auto" w:fill="auto"/>
          </w:tcPr>
          <w:p w14:paraId="5EA20EB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37515</w:t>
            </w:r>
          </w:p>
        </w:tc>
        <w:tc>
          <w:tcPr>
            <w:tcW w:w="1347" w:type="pct"/>
            <w:shd w:val="clear" w:color="auto" w:fill="auto"/>
          </w:tcPr>
          <w:p w14:paraId="0A1B0C8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42436</w:t>
            </w:r>
          </w:p>
        </w:tc>
      </w:tr>
      <w:tr w:rsidR="00E25DA3" w:rsidRPr="00E25DA3" w14:paraId="28C847C2"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0B80DB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80–84</w:t>
            </w:r>
          </w:p>
        </w:tc>
        <w:tc>
          <w:tcPr>
            <w:tcW w:w="1346" w:type="pct"/>
            <w:shd w:val="clear" w:color="auto" w:fill="auto"/>
          </w:tcPr>
          <w:p w14:paraId="1FF2714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31147</w:t>
            </w:r>
          </w:p>
        </w:tc>
        <w:tc>
          <w:tcPr>
            <w:tcW w:w="1346" w:type="pct"/>
            <w:shd w:val="clear" w:color="auto" w:fill="auto"/>
          </w:tcPr>
          <w:p w14:paraId="32EFB3A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29237</w:t>
            </w:r>
          </w:p>
        </w:tc>
        <w:tc>
          <w:tcPr>
            <w:tcW w:w="1347" w:type="pct"/>
            <w:shd w:val="clear" w:color="auto" w:fill="auto"/>
          </w:tcPr>
          <w:p w14:paraId="30CC4D9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27596</w:t>
            </w:r>
          </w:p>
        </w:tc>
      </w:tr>
      <w:tr w:rsidR="00E25DA3" w:rsidRPr="00E25DA3" w14:paraId="4EC69650"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675AB0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85 lat i więcej</w:t>
            </w:r>
          </w:p>
        </w:tc>
        <w:tc>
          <w:tcPr>
            <w:tcW w:w="1346" w:type="pct"/>
            <w:shd w:val="clear" w:color="auto" w:fill="auto"/>
          </w:tcPr>
          <w:p w14:paraId="0B2F055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29711</w:t>
            </w:r>
          </w:p>
        </w:tc>
        <w:tc>
          <w:tcPr>
            <w:tcW w:w="1346" w:type="pct"/>
            <w:shd w:val="clear" w:color="auto" w:fill="auto"/>
          </w:tcPr>
          <w:p w14:paraId="25EB726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29322</w:t>
            </w:r>
          </w:p>
        </w:tc>
        <w:tc>
          <w:tcPr>
            <w:tcW w:w="1347" w:type="pct"/>
            <w:shd w:val="clear" w:color="auto" w:fill="auto"/>
          </w:tcPr>
          <w:p w14:paraId="5490B6E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29255</w:t>
            </w:r>
          </w:p>
        </w:tc>
      </w:tr>
      <w:tr w:rsidR="00E25DA3" w:rsidRPr="00E25DA3" w14:paraId="70577DA9"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3814A56"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Przeciętne dalsze trwanie życia</w:t>
            </w:r>
          </w:p>
        </w:tc>
        <w:tc>
          <w:tcPr>
            <w:tcW w:w="1346" w:type="pct"/>
            <w:shd w:val="clear" w:color="auto" w:fill="auto"/>
          </w:tcPr>
          <w:p w14:paraId="020DA5D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72,0</w:t>
            </w:r>
          </w:p>
          <w:p w14:paraId="609F6EA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80,9</w:t>
            </w:r>
          </w:p>
          <w:p w14:paraId="5F652F8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lastRenderedPageBreak/>
              <w:t>Mężczyzna w wieku 60 lat – 17,6</w:t>
            </w:r>
          </w:p>
          <w:p w14:paraId="47DD084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23,3</w:t>
            </w:r>
          </w:p>
        </w:tc>
        <w:tc>
          <w:tcPr>
            <w:tcW w:w="1346" w:type="pct"/>
            <w:shd w:val="clear" w:color="auto" w:fill="auto"/>
          </w:tcPr>
          <w:p w14:paraId="0592D15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lastRenderedPageBreak/>
              <w:t>Noworodek płci męskiej – 71,6</w:t>
            </w:r>
          </w:p>
          <w:p w14:paraId="6C76297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80,0</w:t>
            </w:r>
          </w:p>
          <w:p w14:paraId="0C215D7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lastRenderedPageBreak/>
              <w:t>Mężczyzna w wieku 60 lat – 17,2</w:t>
            </w:r>
          </w:p>
          <w:p w14:paraId="770AC6A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22,6</w:t>
            </w:r>
          </w:p>
        </w:tc>
        <w:tc>
          <w:tcPr>
            <w:tcW w:w="1347" w:type="pct"/>
            <w:shd w:val="clear" w:color="auto" w:fill="auto"/>
          </w:tcPr>
          <w:p w14:paraId="73734E7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lastRenderedPageBreak/>
              <w:t>Noworodek płci męskiej – 72,9</w:t>
            </w:r>
          </w:p>
          <w:p w14:paraId="2995A011"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81,5</w:t>
            </w:r>
          </w:p>
          <w:p w14:paraId="6C2A839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lastRenderedPageBreak/>
              <w:t>Mężczyzna w wieku 60 lat – 18,5</w:t>
            </w:r>
          </w:p>
          <w:p w14:paraId="36081D4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24,0</w:t>
            </w:r>
          </w:p>
        </w:tc>
      </w:tr>
      <w:tr w:rsidR="00E25DA3" w:rsidRPr="00E25DA3" w14:paraId="3437F06A"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77CB2E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lastRenderedPageBreak/>
              <w:t>Współczynnik feminizacji</w:t>
            </w:r>
          </w:p>
        </w:tc>
        <w:tc>
          <w:tcPr>
            <w:tcW w:w="1346" w:type="pct"/>
            <w:shd w:val="clear" w:color="auto" w:fill="auto"/>
          </w:tcPr>
          <w:p w14:paraId="35E93C1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105</w:t>
            </w:r>
          </w:p>
        </w:tc>
        <w:tc>
          <w:tcPr>
            <w:tcW w:w="1346" w:type="pct"/>
            <w:shd w:val="clear" w:color="auto" w:fill="auto"/>
          </w:tcPr>
          <w:p w14:paraId="4FB2F9D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105</w:t>
            </w:r>
          </w:p>
        </w:tc>
        <w:tc>
          <w:tcPr>
            <w:tcW w:w="1347" w:type="pct"/>
            <w:shd w:val="clear" w:color="auto" w:fill="auto"/>
          </w:tcPr>
          <w:p w14:paraId="2027DC3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r>
      <w:tr w:rsidR="00E25DA3" w:rsidRPr="00E25DA3" w14:paraId="034C05A8"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10EE27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1312751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31,7</w:t>
            </w:r>
          </w:p>
        </w:tc>
        <w:tc>
          <w:tcPr>
            <w:tcW w:w="1346" w:type="pct"/>
            <w:shd w:val="clear" w:color="auto" w:fill="auto"/>
          </w:tcPr>
          <w:p w14:paraId="46223A2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32,7</w:t>
            </w:r>
          </w:p>
        </w:tc>
        <w:tc>
          <w:tcPr>
            <w:tcW w:w="1347" w:type="pct"/>
            <w:shd w:val="clear" w:color="auto" w:fill="auto"/>
          </w:tcPr>
          <w:p w14:paraId="2A1F069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33,9</w:t>
            </w:r>
          </w:p>
        </w:tc>
      </w:tr>
      <w:tr w:rsidR="00E25DA3" w:rsidRPr="00E25DA3" w14:paraId="6B6B21CF"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6819FC0"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zgonów</w:t>
            </w:r>
          </w:p>
        </w:tc>
        <w:tc>
          <w:tcPr>
            <w:tcW w:w="1346" w:type="pct"/>
            <w:shd w:val="clear" w:color="auto" w:fill="auto"/>
          </w:tcPr>
          <w:p w14:paraId="05DA588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14,4</w:t>
            </w:r>
          </w:p>
        </w:tc>
        <w:tc>
          <w:tcPr>
            <w:tcW w:w="1346" w:type="pct"/>
            <w:shd w:val="clear" w:color="auto" w:fill="auto"/>
          </w:tcPr>
          <w:p w14:paraId="2483F4D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15,4</w:t>
            </w:r>
          </w:p>
        </w:tc>
        <w:tc>
          <w:tcPr>
            <w:tcW w:w="1347" w:type="pct"/>
            <w:shd w:val="clear" w:color="auto" w:fill="auto"/>
          </w:tcPr>
          <w:p w14:paraId="75557B6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13,4</w:t>
            </w:r>
          </w:p>
        </w:tc>
      </w:tr>
      <w:tr w:rsidR="00E25DA3" w:rsidRPr="00E25DA3" w14:paraId="0FF03F91"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7FCFFDC"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lang w:eastAsia="pl-PL"/>
              </w:rPr>
              <w:t>AKTYWNOŚĆ EKONOMICZNA OSÓB STARSZYCH – DANE ZA 2022 R.</w:t>
            </w:r>
            <w:r w:rsidRPr="00E25DA3">
              <w:rPr>
                <w:rFonts w:ascii="Lato" w:hAnsi="Lato" w:cs="Times New Roman"/>
                <w:color w:val="auto"/>
                <w:sz w:val="18"/>
                <w:szCs w:val="18"/>
                <w:vertAlign w:val="superscript"/>
                <w:lang w:eastAsia="pl-PL"/>
              </w:rPr>
              <w:t>1)</w:t>
            </w:r>
          </w:p>
        </w:tc>
      </w:tr>
      <w:tr w:rsidR="00E25DA3" w:rsidRPr="00E25DA3" w14:paraId="3C2A6B72"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0EC34A56"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Podział</w:t>
            </w:r>
          </w:p>
        </w:tc>
        <w:tc>
          <w:tcPr>
            <w:tcW w:w="2693" w:type="pct"/>
            <w:gridSpan w:val="2"/>
            <w:shd w:val="clear" w:color="auto" w:fill="auto"/>
          </w:tcPr>
          <w:p w14:paraId="7507829B"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Liczba</w:t>
            </w:r>
          </w:p>
        </w:tc>
      </w:tr>
      <w:tr w:rsidR="00E25DA3" w:rsidRPr="00E25DA3" w14:paraId="5250F767"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4268C70F"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aktywne zawodowo razem (w tys.)</w:t>
            </w:r>
          </w:p>
        </w:tc>
        <w:tc>
          <w:tcPr>
            <w:tcW w:w="1346" w:type="pct"/>
            <w:shd w:val="clear" w:color="auto" w:fill="auto"/>
          </w:tcPr>
          <w:p w14:paraId="48A971B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277BC56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546</w:t>
            </w:r>
          </w:p>
        </w:tc>
      </w:tr>
      <w:tr w:rsidR="00E25DA3" w:rsidRPr="00E25DA3" w14:paraId="07CE4F20"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7301558"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5AAF8C2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1BA0EDC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54</w:t>
            </w:r>
          </w:p>
        </w:tc>
      </w:tr>
      <w:tr w:rsidR="00E25DA3" w:rsidRPr="00E25DA3" w14:paraId="4F26E749"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0BE26B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 xml:space="preserve">Osoby aktywne zawodowo </w:t>
            </w:r>
            <w:r w:rsidRPr="00E25DA3">
              <w:rPr>
                <w:rFonts w:ascii="Lato" w:hAnsi="Lato" w:cs="Times New Roman"/>
                <w:color w:val="auto"/>
                <w:sz w:val="18"/>
                <w:szCs w:val="18"/>
                <w:lang w:eastAsia="pl-PL"/>
              </w:rPr>
              <w:br/>
              <w:t>– pracujący (w tys.)</w:t>
            </w:r>
          </w:p>
        </w:tc>
        <w:tc>
          <w:tcPr>
            <w:tcW w:w="1346" w:type="pct"/>
            <w:shd w:val="clear" w:color="auto" w:fill="auto"/>
          </w:tcPr>
          <w:p w14:paraId="69DFF4C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4FBE35E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525</w:t>
            </w:r>
          </w:p>
        </w:tc>
      </w:tr>
      <w:tr w:rsidR="00E25DA3" w:rsidRPr="00E25DA3" w14:paraId="10B1A33B"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283CBD7"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352FB54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024AF55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53</w:t>
            </w:r>
          </w:p>
        </w:tc>
      </w:tr>
      <w:tr w:rsidR="00E25DA3" w:rsidRPr="00E25DA3" w14:paraId="72851351"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9CFC583"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bierne zawodowo (w tys.)</w:t>
            </w:r>
          </w:p>
        </w:tc>
        <w:tc>
          <w:tcPr>
            <w:tcW w:w="1346" w:type="pct"/>
            <w:shd w:val="clear" w:color="auto" w:fill="auto"/>
          </w:tcPr>
          <w:p w14:paraId="02D8EA1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569A24D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421</w:t>
            </w:r>
          </w:p>
        </w:tc>
      </w:tr>
      <w:tr w:rsidR="00E25DA3" w:rsidRPr="00E25DA3" w14:paraId="19F25042"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64303E2"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03F8DFE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7DB1681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269</w:t>
            </w:r>
          </w:p>
        </w:tc>
      </w:tr>
      <w:tr w:rsidR="00E25DA3" w:rsidRPr="00E25DA3" w14:paraId="3735B356"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FFDC605"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aktywności zawodowej %</w:t>
            </w:r>
          </w:p>
        </w:tc>
        <w:tc>
          <w:tcPr>
            <w:tcW w:w="1346" w:type="pct"/>
            <w:shd w:val="clear" w:color="auto" w:fill="auto"/>
          </w:tcPr>
          <w:p w14:paraId="45A2AA0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0C626E7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56,5</w:t>
            </w:r>
          </w:p>
        </w:tc>
      </w:tr>
      <w:tr w:rsidR="00E25DA3" w:rsidRPr="00E25DA3" w14:paraId="2033D45D"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22DC2BC"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50946DA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693E905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16,7</w:t>
            </w:r>
          </w:p>
        </w:tc>
      </w:tr>
      <w:tr w:rsidR="00E25DA3" w:rsidRPr="00E25DA3" w14:paraId="67999583" w14:textId="77777777" w:rsidTr="00E25DA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F66B232"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Wskaźnik zatrudnienia %</w:t>
            </w:r>
          </w:p>
        </w:tc>
        <w:tc>
          <w:tcPr>
            <w:tcW w:w="1346" w:type="pct"/>
            <w:shd w:val="clear" w:color="auto" w:fill="auto"/>
          </w:tcPr>
          <w:p w14:paraId="21CF342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250FBB8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54,3</w:t>
            </w:r>
          </w:p>
        </w:tc>
      </w:tr>
      <w:tr w:rsidR="00E25DA3" w:rsidRPr="00E25DA3" w14:paraId="266A31AD"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A09A546"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2F162A6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0064645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16,4</w:t>
            </w:r>
          </w:p>
        </w:tc>
      </w:tr>
      <w:tr w:rsidR="00E25DA3" w:rsidRPr="00E25DA3" w14:paraId="4709145D" w14:textId="77777777" w:rsidTr="00E25DA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3008C0B" w14:textId="77777777" w:rsidR="00E25DA3" w:rsidRPr="00E25DA3" w:rsidRDefault="00E25DA3" w:rsidP="00CA4EC0">
            <w:pPr>
              <w:rPr>
                <w:rFonts w:ascii="Lato" w:hAnsi="Lato" w:cs="Times New Roman"/>
                <w:b w:val="0"/>
                <w:color w:val="auto"/>
                <w:sz w:val="18"/>
                <w:szCs w:val="18"/>
                <w:lang w:eastAsia="pl-PL"/>
              </w:rPr>
            </w:pPr>
            <w:r w:rsidRPr="00E25DA3">
              <w:rPr>
                <w:rFonts w:ascii="Lato" w:eastAsia="Times New Roman" w:hAnsi="Lato" w:cs="Times New Roman"/>
                <w:color w:val="auto"/>
                <w:sz w:val="18"/>
                <w:szCs w:val="18"/>
                <w:lang w:eastAsia="pl-PL"/>
              </w:rPr>
              <w:t xml:space="preserve">Osoby bierne zawodowo  w wieku 60-74 lata według wybranych przyczyn bierności </w:t>
            </w:r>
            <w:r w:rsidRPr="00E25DA3">
              <w:rPr>
                <w:rFonts w:ascii="Lato" w:eastAsia="Times New Roman" w:hAnsi="Lato" w:cs="Times New Roman"/>
                <w:color w:val="auto"/>
                <w:sz w:val="18"/>
                <w:szCs w:val="18"/>
                <w:lang w:eastAsia="pl-PL"/>
              </w:rPr>
              <w:br/>
              <w:t>(w tys.)</w:t>
            </w:r>
          </w:p>
        </w:tc>
        <w:tc>
          <w:tcPr>
            <w:tcW w:w="1346" w:type="pct"/>
            <w:shd w:val="clear" w:color="auto" w:fill="auto"/>
          </w:tcPr>
          <w:p w14:paraId="5709743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20BB286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193</w:t>
            </w:r>
          </w:p>
        </w:tc>
      </w:tr>
      <w:tr w:rsidR="00E25DA3" w:rsidRPr="00E25DA3" w14:paraId="7BBE12B6"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25F08AE"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52DCCD5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w:t>
            </w:r>
          </w:p>
        </w:tc>
      </w:tr>
      <w:tr w:rsidR="00E25DA3" w:rsidRPr="00E25DA3" w14:paraId="1780A676"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5E0D258"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CF2481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E25DA3">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55C5920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193</w:t>
            </w:r>
          </w:p>
        </w:tc>
      </w:tr>
      <w:tr w:rsidR="00E25DA3" w:rsidRPr="00E25DA3" w14:paraId="217B4F5E"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D7EB703"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13FC62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46A0CA3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176</w:t>
            </w:r>
          </w:p>
        </w:tc>
      </w:tr>
      <w:tr w:rsidR="00E25DA3" w:rsidRPr="00E25DA3" w14:paraId="5A32EAC8"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2A08E63"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483192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24688E9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w:t>
            </w:r>
          </w:p>
        </w:tc>
      </w:tr>
      <w:tr w:rsidR="00E25DA3" w:rsidRPr="00E25DA3" w14:paraId="5515BD2D" w14:textId="77777777" w:rsidTr="00E25DA3">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E65CFC6"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Osoby bezrobotne zarejestrowane w urzędach pracy (w tys.)</w:t>
            </w:r>
            <w:r w:rsidRPr="00E25DA3">
              <w:rPr>
                <w:rFonts w:ascii="Lato" w:eastAsia="Times New Roman" w:hAnsi="Lato" w:cs="Times New Roman"/>
                <w:color w:val="auto"/>
                <w:sz w:val="18"/>
                <w:szCs w:val="18"/>
                <w:vertAlign w:val="superscript"/>
                <w:lang w:eastAsia="pl-PL"/>
              </w:rPr>
              <w:t>2)</w:t>
            </w:r>
          </w:p>
        </w:tc>
        <w:tc>
          <w:tcPr>
            <w:tcW w:w="1346" w:type="pct"/>
            <w:shd w:val="clear" w:color="auto" w:fill="auto"/>
          </w:tcPr>
          <w:p w14:paraId="52E0C5F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1417188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34,0</w:t>
            </w:r>
          </w:p>
        </w:tc>
      </w:tr>
      <w:tr w:rsidR="00E25DA3" w:rsidRPr="00E25DA3" w14:paraId="3AE88193"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E074D07"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922CBA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60-64 lata</w:t>
            </w:r>
          </w:p>
        </w:tc>
        <w:tc>
          <w:tcPr>
            <w:tcW w:w="2693" w:type="pct"/>
            <w:gridSpan w:val="2"/>
            <w:shd w:val="clear" w:color="auto" w:fill="auto"/>
          </w:tcPr>
          <w:p w14:paraId="06EC864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2,2</w:t>
            </w:r>
          </w:p>
        </w:tc>
      </w:tr>
      <w:tr w:rsidR="00E25DA3" w:rsidRPr="00E25DA3" w14:paraId="343DFE57" w14:textId="77777777" w:rsidTr="00E25DA3">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04BFC331"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 xml:space="preserve">Osoby pobierające renty </w:t>
            </w:r>
            <w:r w:rsidRPr="00E25DA3">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4BAFD9A9" w14:textId="77777777" w:rsidR="00E25DA3" w:rsidRPr="00E25DA3" w:rsidRDefault="00E25DA3"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ZUS</w:t>
            </w:r>
          </w:p>
        </w:tc>
      </w:tr>
      <w:tr w:rsidR="00E25DA3" w:rsidRPr="00E25DA3" w14:paraId="66AE867E" w14:textId="77777777" w:rsidTr="00E25DA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953103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2A117AC"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3" w:type="pct"/>
            <w:gridSpan w:val="2"/>
            <w:shd w:val="clear" w:color="auto" w:fill="auto"/>
          </w:tcPr>
          <w:p w14:paraId="4915DC3A"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32EA1EAC" w14:textId="77777777" w:rsidTr="00E25DA3">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06A7F6A"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20A6F81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3" w:type="pct"/>
            <w:gridSpan w:val="2"/>
            <w:shd w:val="clear" w:color="auto" w:fill="auto"/>
          </w:tcPr>
          <w:p w14:paraId="4087C05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197,0</w:t>
            </w:r>
          </w:p>
        </w:tc>
      </w:tr>
      <w:tr w:rsidR="00E25DA3" w:rsidRPr="00E25DA3" w14:paraId="0F93DAE9" w14:textId="77777777" w:rsidTr="00E25DA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AA78340"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763152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3" w:type="pct"/>
            <w:gridSpan w:val="2"/>
            <w:shd w:val="clear" w:color="auto" w:fill="auto"/>
          </w:tcPr>
          <w:p w14:paraId="5F2E558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16,8</w:t>
            </w:r>
          </w:p>
        </w:tc>
      </w:tr>
      <w:tr w:rsidR="00E25DA3" w:rsidRPr="00E25DA3" w14:paraId="6B1F1D5D"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641DF55"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8218CAF"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3" w:type="pct"/>
            <w:gridSpan w:val="2"/>
            <w:shd w:val="clear" w:color="auto" w:fill="auto"/>
          </w:tcPr>
          <w:p w14:paraId="5A1ED00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40,2</w:t>
            </w:r>
          </w:p>
        </w:tc>
      </w:tr>
      <w:tr w:rsidR="00E25DA3" w:rsidRPr="00E25DA3" w14:paraId="5EEEAA5E"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3B678EA"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2A4973DD" w14:textId="77777777" w:rsidR="00E25DA3" w:rsidRPr="00E25DA3" w:rsidRDefault="00E25DA3"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KRUS</w:t>
            </w:r>
          </w:p>
        </w:tc>
      </w:tr>
      <w:tr w:rsidR="00E25DA3" w:rsidRPr="00E25DA3" w14:paraId="781B2E9C" w14:textId="77777777" w:rsidTr="00E25DA3">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50AC420"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912A94A"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3" w:type="pct"/>
            <w:gridSpan w:val="2"/>
            <w:shd w:val="clear" w:color="auto" w:fill="auto"/>
          </w:tcPr>
          <w:p w14:paraId="2BF52F0F"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7755BB70"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5D8008C"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A99C7A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3" w:type="pct"/>
            <w:gridSpan w:val="2"/>
            <w:shd w:val="clear" w:color="auto" w:fill="auto"/>
          </w:tcPr>
          <w:p w14:paraId="488D7F3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43,0</w:t>
            </w:r>
          </w:p>
        </w:tc>
      </w:tr>
      <w:tr w:rsidR="00E25DA3" w:rsidRPr="00E25DA3" w14:paraId="0B1B76A3" w14:textId="77777777" w:rsidTr="00E25DA3">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F04B7D1"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30C97C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3" w:type="pct"/>
            <w:gridSpan w:val="2"/>
            <w:shd w:val="clear" w:color="auto" w:fill="auto"/>
          </w:tcPr>
          <w:p w14:paraId="752798BD" w14:textId="77777777" w:rsidR="00E25DA3" w:rsidRPr="00E25DA3" w:rsidRDefault="00E25DA3" w:rsidP="00CA4EC0">
            <w:pPr>
              <w:tabs>
                <w:tab w:val="left" w:pos="187"/>
              </w:tabs>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8,8</w:t>
            </w:r>
          </w:p>
        </w:tc>
      </w:tr>
      <w:tr w:rsidR="00E25DA3" w:rsidRPr="00E25DA3" w14:paraId="4E78C2B3"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7A2F4F3"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19BEEC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3" w:type="pct"/>
            <w:gridSpan w:val="2"/>
            <w:shd w:val="clear" w:color="auto" w:fill="auto"/>
          </w:tcPr>
          <w:p w14:paraId="56246D0F" w14:textId="77777777" w:rsidR="00E25DA3" w:rsidRPr="00E25DA3" w:rsidRDefault="00E25DA3" w:rsidP="00CA4EC0">
            <w:pPr>
              <w:tabs>
                <w:tab w:val="left" w:pos="281"/>
              </w:tabs>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2,3</w:t>
            </w:r>
          </w:p>
        </w:tc>
      </w:tr>
      <w:tr w:rsidR="00E25DA3" w:rsidRPr="00E25DA3" w14:paraId="5D638D3E"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9D221B3"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 xml:space="preserve">SYTUACJA DOCHODOWA, WARUNKI BYTU, W TYM WARUNKI MIESZKANIOWE – DANE ZA 2022 R. </w:t>
            </w:r>
          </w:p>
        </w:tc>
      </w:tr>
      <w:tr w:rsidR="00E25DA3" w:rsidRPr="00E25DA3" w14:paraId="0EC8EFFD"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3EF4F7C" w14:textId="3C070B9E" w:rsidR="00E25DA3" w:rsidRPr="0031646A" w:rsidRDefault="00E25DA3" w:rsidP="00CA4EC0">
            <w:pPr>
              <w:jc w:val="both"/>
              <w:rPr>
                <w:rFonts w:ascii="Lato" w:eastAsia="Times New Roman" w:hAnsi="Lato" w:cs="Times New Roman"/>
                <w:b w:val="0"/>
                <w:bCs w:val="0"/>
                <w:color w:val="auto"/>
                <w:sz w:val="18"/>
                <w:szCs w:val="18"/>
                <w:lang w:eastAsia="pl-PL"/>
              </w:rPr>
            </w:pPr>
            <w:r w:rsidRPr="00E25DA3">
              <w:rPr>
                <w:rFonts w:ascii="Lato" w:eastAsia="Times New Roman" w:hAnsi="Lato" w:cs="Times New Roman"/>
                <w:b w:val="0"/>
                <w:bCs w:val="0"/>
                <w:color w:val="auto"/>
                <w:sz w:val="18"/>
                <w:szCs w:val="18"/>
                <w:lang w:eastAsia="pl-PL"/>
              </w:rPr>
              <w:t>W 2022 r. w województwie świętokrzyskim przeciętny miesięczny dochód rozporządzalny przypadający na 1 osobę w gospodarstwach domowych wyniósł 1983,42 zł. Na dochód rozporządzalny gospodarstwa domowego składają się przede wszystkim dochody z pracy najemnej oraz dochody ze świadczeń społecznych. W 2022 r. ich udział w dochodzie rozporządzalnym wyniósł odpowiednio 53,0% i 35,8%. W 2022 r. przeciętne miesięczne wydatki na 1 osobę w gospodarstwach domowych wyniosły 1266,97 zł.  Na żywność i napoje bezalkoholowe gospodarstwa domowe przeznaczały przeciętnie 29,6% ogólnej kwoty wydatków, na opłaty z tytułu użytkowania mieszkania lub domu i za korzystanie z nośników energii - 18,8%, a na zdrowie – 5,6%.</w:t>
            </w:r>
            <w:r w:rsidR="0031646A">
              <w:rPr>
                <w:rFonts w:ascii="Lato" w:eastAsia="Times New Roman" w:hAnsi="Lato" w:cs="Times New Roman"/>
                <w:b w:val="0"/>
                <w:bCs w:val="0"/>
                <w:color w:val="auto"/>
                <w:sz w:val="18"/>
                <w:szCs w:val="18"/>
                <w:lang w:eastAsia="pl-PL"/>
              </w:rPr>
              <w:t xml:space="preserve"> </w:t>
            </w:r>
            <w:r w:rsidRPr="00E25DA3">
              <w:rPr>
                <w:rFonts w:ascii="Lato" w:eastAsia="Times New Roman" w:hAnsi="Lato" w:cs="Times New Roman"/>
                <w:b w:val="0"/>
                <w:bCs w:val="0"/>
                <w:color w:val="auto"/>
                <w:sz w:val="18"/>
                <w:szCs w:val="18"/>
                <w:lang w:eastAsia="pl-PL"/>
              </w:rPr>
              <w:t>W 2022 r. swoją sytuację materialną jako dobrą lub raczej dobrą oceniło 43,9% gospodarstw domowych. Udział gospodarstw określających swoją sytuację materialną jako przeciętną wyniósł 51,9%, a raczej złą lub złą ukształtował się na poziomie 4,2%.</w:t>
            </w:r>
            <w:r w:rsidR="0031646A">
              <w:rPr>
                <w:rFonts w:ascii="Lato" w:eastAsia="Times New Roman" w:hAnsi="Lato" w:cs="Times New Roman"/>
                <w:b w:val="0"/>
                <w:bCs w:val="0"/>
                <w:color w:val="auto"/>
                <w:sz w:val="18"/>
                <w:szCs w:val="18"/>
                <w:lang w:eastAsia="pl-PL"/>
              </w:rPr>
              <w:t xml:space="preserve"> </w:t>
            </w:r>
            <w:r w:rsidRPr="00E25DA3">
              <w:rPr>
                <w:rFonts w:ascii="Lato" w:eastAsia="Times New Roman" w:hAnsi="Lato" w:cs="Times New Roman"/>
                <w:b w:val="0"/>
                <w:bCs w:val="0"/>
                <w:color w:val="auto"/>
                <w:sz w:val="18"/>
                <w:szCs w:val="18"/>
                <w:lang w:eastAsia="pl-PL"/>
              </w:rPr>
              <w:t xml:space="preserve">W </w:t>
            </w:r>
            <w:r w:rsidRPr="00E25DA3">
              <w:rPr>
                <w:rFonts w:ascii="Lato" w:eastAsia="Times New Roman" w:hAnsi="Lato" w:cs="Times New Roman"/>
                <w:b w:val="0"/>
                <w:bCs w:val="0"/>
                <w:color w:val="auto"/>
                <w:sz w:val="18"/>
                <w:szCs w:val="18"/>
                <w:lang w:eastAsia="pl-PL"/>
              </w:rPr>
              <w:lastRenderedPageBreak/>
              <w:t>analizowanym roku przeciętna liczba osób w gospodarstwie domowym ukształtowała się na poziomie 2,54. Przeciętna powierzchnia użytkowa mieszkania zajmowana przez gospodarstwo domowe wyniosła 92,7 m</w:t>
            </w:r>
            <w:r w:rsidRPr="00E25DA3">
              <w:rPr>
                <w:rFonts w:ascii="Lato" w:eastAsia="Times New Roman" w:hAnsi="Lato" w:cs="Times New Roman"/>
                <w:b w:val="0"/>
                <w:bCs w:val="0"/>
                <w:color w:val="auto"/>
                <w:sz w:val="18"/>
                <w:szCs w:val="18"/>
                <w:vertAlign w:val="superscript"/>
                <w:lang w:eastAsia="pl-PL"/>
              </w:rPr>
              <w:t>2</w:t>
            </w:r>
            <w:r w:rsidRPr="00E25DA3">
              <w:rPr>
                <w:rFonts w:ascii="Lato" w:eastAsia="Times New Roman" w:hAnsi="Lato" w:cs="Times New Roman"/>
                <w:b w:val="0"/>
                <w:bCs w:val="0"/>
                <w:color w:val="auto"/>
                <w:sz w:val="18"/>
                <w:szCs w:val="18"/>
                <w:lang w:eastAsia="pl-PL"/>
              </w:rPr>
              <w:t>.</w:t>
            </w:r>
          </w:p>
        </w:tc>
      </w:tr>
    </w:tbl>
    <w:p w14:paraId="694458E1"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lastRenderedPageBreak/>
        <w:t>Źródło: dane GUS</w:t>
      </w:r>
    </w:p>
    <w:p w14:paraId="7E128D2C"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28BEBE3B"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3AFDC792" w14:textId="61EB2EEF" w:rsidR="00D02C8D" w:rsidRPr="00E25DA3" w:rsidRDefault="00E25DA3" w:rsidP="00D02C8D">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755FCAB0" w14:textId="0C635D5E" w:rsidR="001B6EE9" w:rsidRPr="002B0821" w:rsidRDefault="00586D97" w:rsidP="001B6EE9">
      <w:pPr>
        <w:pStyle w:val="Nagwek2"/>
        <w:numPr>
          <w:ilvl w:val="1"/>
          <w:numId w:val="44"/>
        </w:numPr>
        <w:rPr>
          <w:b/>
          <w:bCs/>
        </w:rPr>
      </w:pPr>
      <w:bookmarkStart w:id="178" w:name="_Toc142565961"/>
      <w:r w:rsidRPr="002B0821">
        <w:rPr>
          <w:b/>
          <w:bCs/>
        </w:rPr>
        <w:t>Województwo warmińsko-mazurskie</w:t>
      </w:r>
      <w:bookmarkEnd w:id="178"/>
    </w:p>
    <w:p w14:paraId="2A5AC92C" w14:textId="4780F8CC" w:rsidR="001B6EE9" w:rsidRPr="001B6EE9" w:rsidRDefault="001B6EE9" w:rsidP="001B6EE9">
      <w:pPr>
        <w:pStyle w:val="Textbody"/>
        <w:spacing w:after="0"/>
        <w:rPr>
          <w:rFonts w:ascii="Lato" w:hAnsi="Lato"/>
          <w:b/>
          <w:bCs/>
          <w:sz w:val="20"/>
          <w:szCs w:val="20"/>
        </w:rPr>
      </w:pPr>
      <w:r w:rsidRPr="001B6EE9">
        <w:rPr>
          <w:rFonts w:ascii="Lato" w:hAnsi="Lato"/>
          <w:b/>
          <w:bCs/>
          <w:sz w:val="20"/>
          <w:szCs w:val="20"/>
        </w:rPr>
        <w:t>Dokumenty i strategie na poziomie wojewódzkim</w:t>
      </w:r>
    </w:p>
    <w:p w14:paraId="176F4B78" w14:textId="39D58B38" w:rsidR="001B6EE9" w:rsidRPr="001B6EE9" w:rsidRDefault="001B6EE9" w:rsidP="001B6EE9">
      <w:pPr>
        <w:pStyle w:val="Standard"/>
        <w:widowControl/>
        <w:jc w:val="both"/>
        <w:rPr>
          <w:rFonts w:ascii="Lato" w:hAnsi="Lato"/>
          <w:b/>
          <w:bCs/>
          <w:sz w:val="20"/>
          <w:szCs w:val="20"/>
        </w:rPr>
      </w:pPr>
      <w:r w:rsidRPr="001B6EE9">
        <w:rPr>
          <w:rFonts w:ascii="Lato" w:eastAsia="Calibri" w:hAnsi="Lato" w:cs="Calibri"/>
          <w:b/>
          <w:bCs/>
          <w:sz w:val="20"/>
          <w:szCs w:val="20"/>
        </w:rPr>
        <w:t xml:space="preserve"> „</w:t>
      </w:r>
      <w:proofErr w:type="spellStart"/>
      <w:r w:rsidRPr="001B6EE9">
        <w:rPr>
          <w:rFonts w:ascii="Lato" w:eastAsia="Calibri" w:hAnsi="Lato" w:cs="Calibri"/>
          <w:b/>
          <w:bCs/>
          <w:sz w:val="20"/>
          <w:szCs w:val="20"/>
        </w:rPr>
        <w:t>Warmińsko-Mazurskie</w:t>
      </w:r>
      <w:proofErr w:type="spellEnd"/>
      <w:r w:rsidRPr="001B6EE9">
        <w:rPr>
          <w:rFonts w:ascii="Lato" w:eastAsia="Calibri" w:hAnsi="Lato" w:cs="Calibri"/>
          <w:b/>
          <w:bCs/>
          <w:sz w:val="20"/>
          <w:szCs w:val="20"/>
        </w:rPr>
        <w:t xml:space="preserve"> 2030. </w:t>
      </w:r>
      <w:proofErr w:type="spellStart"/>
      <w:r w:rsidRPr="001B6EE9">
        <w:rPr>
          <w:rFonts w:ascii="Lato" w:eastAsia="Calibri" w:hAnsi="Lato" w:cs="Calibri"/>
          <w:b/>
          <w:bCs/>
          <w:sz w:val="20"/>
          <w:szCs w:val="20"/>
        </w:rPr>
        <w:t>Strategia</w:t>
      </w:r>
      <w:proofErr w:type="spellEnd"/>
      <w:r w:rsidRPr="001B6EE9">
        <w:rPr>
          <w:rFonts w:ascii="Lato" w:eastAsia="Calibri" w:hAnsi="Lato" w:cs="Calibri"/>
          <w:b/>
          <w:bCs/>
          <w:sz w:val="20"/>
          <w:szCs w:val="20"/>
        </w:rPr>
        <w:t xml:space="preserve"> </w:t>
      </w:r>
      <w:proofErr w:type="spellStart"/>
      <w:r w:rsidRPr="001B6EE9">
        <w:rPr>
          <w:rFonts w:ascii="Lato" w:eastAsia="Calibri" w:hAnsi="Lato" w:cs="Calibri"/>
          <w:b/>
          <w:bCs/>
          <w:sz w:val="20"/>
          <w:szCs w:val="20"/>
        </w:rPr>
        <w:t>rozwoju</w:t>
      </w:r>
      <w:proofErr w:type="spellEnd"/>
      <w:r w:rsidRPr="001B6EE9">
        <w:rPr>
          <w:rFonts w:ascii="Lato" w:eastAsia="Calibri" w:hAnsi="Lato" w:cs="Calibri"/>
          <w:b/>
          <w:bCs/>
          <w:sz w:val="20"/>
          <w:szCs w:val="20"/>
        </w:rPr>
        <w:t xml:space="preserve"> </w:t>
      </w:r>
      <w:proofErr w:type="spellStart"/>
      <w:r w:rsidRPr="001B6EE9">
        <w:rPr>
          <w:rFonts w:ascii="Lato" w:eastAsia="Calibri" w:hAnsi="Lato" w:cs="Calibri"/>
          <w:b/>
          <w:bCs/>
          <w:sz w:val="20"/>
          <w:szCs w:val="20"/>
        </w:rPr>
        <w:t>społeczno-gospodarczego</w:t>
      </w:r>
      <w:proofErr w:type="spellEnd"/>
      <w:r w:rsidRPr="001B6EE9">
        <w:rPr>
          <w:rFonts w:ascii="Lato" w:eastAsia="Calibri" w:hAnsi="Lato" w:cs="Calibri"/>
          <w:b/>
          <w:bCs/>
          <w:sz w:val="20"/>
          <w:szCs w:val="20"/>
        </w:rPr>
        <w:t xml:space="preserve">”: </w:t>
      </w:r>
    </w:p>
    <w:p w14:paraId="09FB9D5C" w14:textId="77777777" w:rsidR="001B6EE9" w:rsidRDefault="001B6EE9" w:rsidP="0059185B">
      <w:pPr>
        <w:pStyle w:val="Standard"/>
        <w:widowControl/>
        <w:numPr>
          <w:ilvl w:val="0"/>
          <w:numId w:val="125"/>
        </w:numPr>
        <w:jc w:val="both"/>
        <w:rPr>
          <w:rFonts w:ascii="Lato" w:hAnsi="Lato"/>
          <w:sz w:val="20"/>
          <w:szCs w:val="20"/>
        </w:rPr>
      </w:pPr>
      <w:r w:rsidRPr="001B6EE9">
        <w:rPr>
          <w:rFonts w:ascii="Lato" w:eastAsia="Calibri" w:hAnsi="Lato" w:cs="Calibri"/>
          <w:sz w:val="20"/>
          <w:szCs w:val="20"/>
        </w:rPr>
        <w:t>„</w:t>
      </w:r>
      <w:proofErr w:type="spellStart"/>
      <w:r w:rsidRPr="001B6EE9">
        <w:rPr>
          <w:rFonts w:ascii="Lato" w:eastAsia="Calibri" w:hAnsi="Lato" w:cs="Calibri"/>
          <w:sz w:val="20"/>
          <w:szCs w:val="20"/>
        </w:rPr>
        <w:t>Strategia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polityki</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społecznej</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województwa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warmińsko-mazurskiego</w:t>
      </w:r>
      <w:proofErr w:type="spellEnd"/>
      <w:r w:rsidRPr="001B6EE9">
        <w:rPr>
          <w:rFonts w:ascii="Lato" w:eastAsia="Calibri" w:hAnsi="Lato" w:cs="Calibri"/>
          <w:sz w:val="20"/>
          <w:szCs w:val="20"/>
        </w:rPr>
        <w:t xml:space="preserve"> na lata 2021-2030”:</w:t>
      </w:r>
      <w:r w:rsidRPr="001B6EE9">
        <w:rPr>
          <w:rFonts w:ascii="Lato" w:hAnsi="Lato" w:cs="Calibri"/>
          <w:sz w:val="20"/>
          <w:szCs w:val="20"/>
        </w:rPr>
        <w:t xml:space="preserve"> </w:t>
      </w:r>
    </w:p>
    <w:p w14:paraId="7DF1A9E9" w14:textId="77777777" w:rsidR="001B6EE9" w:rsidRDefault="001B6EE9" w:rsidP="0059185B">
      <w:pPr>
        <w:pStyle w:val="Standard"/>
        <w:widowControl/>
        <w:numPr>
          <w:ilvl w:val="0"/>
          <w:numId w:val="125"/>
        </w:numPr>
        <w:jc w:val="both"/>
        <w:rPr>
          <w:rFonts w:ascii="Lato" w:hAnsi="Lato"/>
          <w:sz w:val="20"/>
          <w:szCs w:val="20"/>
        </w:rPr>
      </w:pPr>
      <w:proofErr w:type="spellStart"/>
      <w:r w:rsidRPr="001B6EE9">
        <w:rPr>
          <w:rFonts w:ascii="Lato" w:eastAsia="Calibri" w:hAnsi="Lato" w:cs="Calibri"/>
          <w:sz w:val="20"/>
          <w:szCs w:val="20"/>
        </w:rPr>
        <w:t>Program</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Polityka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senioralna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województwa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warmińsko-mazurskiego</w:t>
      </w:r>
      <w:proofErr w:type="spellEnd"/>
      <w:r w:rsidRPr="001B6EE9">
        <w:rPr>
          <w:rFonts w:ascii="Lato" w:eastAsia="Calibri" w:hAnsi="Lato" w:cs="Calibri"/>
          <w:sz w:val="20"/>
          <w:szCs w:val="20"/>
        </w:rPr>
        <w:t xml:space="preserve"> na lata 2021-2027”: </w:t>
      </w:r>
    </w:p>
    <w:p w14:paraId="1264E917" w14:textId="5A9D10B5" w:rsidR="001B6EE9" w:rsidRPr="001B6EE9" w:rsidRDefault="001B6EE9" w:rsidP="0059185B">
      <w:pPr>
        <w:pStyle w:val="Standard"/>
        <w:widowControl/>
        <w:numPr>
          <w:ilvl w:val="0"/>
          <w:numId w:val="125"/>
        </w:numPr>
        <w:jc w:val="both"/>
        <w:rPr>
          <w:rFonts w:ascii="Lato" w:hAnsi="Lato"/>
          <w:sz w:val="20"/>
          <w:szCs w:val="20"/>
        </w:rPr>
      </w:pPr>
      <w:proofErr w:type="spellStart"/>
      <w:r w:rsidRPr="001B6EE9">
        <w:rPr>
          <w:rFonts w:ascii="Lato" w:eastAsia="Calibri" w:hAnsi="Lato" w:cs="Calibri"/>
          <w:sz w:val="20"/>
          <w:szCs w:val="20"/>
        </w:rPr>
        <w:t>Program</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współpracy</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Samorządu</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Województwa</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Warmińsko-Mazurskiego</w:t>
      </w:r>
      <w:proofErr w:type="spellEnd"/>
      <w:r w:rsidRPr="001B6EE9">
        <w:rPr>
          <w:rFonts w:ascii="Lato" w:eastAsia="Calibri" w:hAnsi="Lato" w:cs="Calibri"/>
          <w:sz w:val="20"/>
          <w:szCs w:val="20"/>
        </w:rPr>
        <w:t xml:space="preserve"> z </w:t>
      </w:r>
      <w:proofErr w:type="spellStart"/>
      <w:r w:rsidRPr="001B6EE9">
        <w:rPr>
          <w:rFonts w:ascii="Lato" w:eastAsia="Calibri" w:hAnsi="Lato" w:cs="Calibri"/>
          <w:sz w:val="20"/>
          <w:szCs w:val="20"/>
        </w:rPr>
        <w:t>organizacjami</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pozarządowymi</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oraz</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podmiotami</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wymienionymi</w:t>
      </w:r>
      <w:proofErr w:type="spellEnd"/>
      <w:r w:rsidRPr="001B6EE9">
        <w:rPr>
          <w:rFonts w:ascii="Lato" w:eastAsia="Calibri" w:hAnsi="Lato" w:cs="Calibri"/>
          <w:sz w:val="20"/>
          <w:szCs w:val="20"/>
        </w:rPr>
        <w:t xml:space="preserve"> w art. 3 </w:t>
      </w:r>
      <w:proofErr w:type="spellStart"/>
      <w:r w:rsidRPr="001B6EE9">
        <w:rPr>
          <w:rFonts w:ascii="Lato" w:eastAsia="Calibri" w:hAnsi="Lato" w:cs="Calibri"/>
          <w:sz w:val="20"/>
          <w:szCs w:val="20"/>
        </w:rPr>
        <w:t>ust</w:t>
      </w:r>
      <w:proofErr w:type="spellEnd"/>
      <w:r w:rsidRPr="001B6EE9">
        <w:rPr>
          <w:rFonts w:ascii="Lato" w:eastAsia="Calibri" w:hAnsi="Lato" w:cs="Calibri"/>
          <w:sz w:val="20"/>
          <w:szCs w:val="20"/>
        </w:rPr>
        <w:t xml:space="preserve">. 3 </w:t>
      </w:r>
      <w:proofErr w:type="spellStart"/>
      <w:r w:rsidRPr="001B6EE9">
        <w:rPr>
          <w:rFonts w:ascii="Lato" w:eastAsia="Calibri" w:hAnsi="Lato" w:cs="Calibri"/>
          <w:sz w:val="20"/>
          <w:szCs w:val="20"/>
        </w:rPr>
        <w:t>ustawy</w:t>
      </w:r>
      <w:proofErr w:type="spellEnd"/>
      <w:r w:rsidRPr="001B6EE9">
        <w:rPr>
          <w:rFonts w:ascii="Lato" w:eastAsia="Calibri" w:hAnsi="Lato" w:cs="Calibri"/>
          <w:sz w:val="20"/>
          <w:szCs w:val="20"/>
        </w:rPr>
        <w:t xml:space="preserve"> o </w:t>
      </w:r>
      <w:proofErr w:type="spellStart"/>
      <w:r w:rsidRPr="001B6EE9">
        <w:rPr>
          <w:rFonts w:ascii="Lato" w:eastAsia="Calibri" w:hAnsi="Lato" w:cs="Calibri"/>
          <w:sz w:val="20"/>
          <w:szCs w:val="20"/>
        </w:rPr>
        <w:t>działalności</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pożytku</w:t>
      </w:r>
      <w:proofErr w:type="spellEnd"/>
      <w:r w:rsidRPr="001B6EE9">
        <w:rPr>
          <w:rFonts w:ascii="Lato" w:eastAsia="Calibri" w:hAnsi="Lato" w:cs="Calibri"/>
          <w:sz w:val="20"/>
          <w:szCs w:val="20"/>
        </w:rPr>
        <w:t xml:space="preserve"> </w:t>
      </w:r>
      <w:proofErr w:type="spellStart"/>
      <w:r w:rsidRPr="001B6EE9">
        <w:rPr>
          <w:rFonts w:ascii="Lato" w:eastAsia="Calibri" w:hAnsi="Lato" w:cs="Calibri"/>
          <w:sz w:val="20"/>
          <w:szCs w:val="20"/>
        </w:rPr>
        <w:t>publicznego</w:t>
      </w:r>
      <w:proofErr w:type="spellEnd"/>
      <w:r w:rsidRPr="001B6EE9">
        <w:rPr>
          <w:rFonts w:ascii="Lato" w:eastAsia="Calibri" w:hAnsi="Lato" w:cs="Calibri"/>
          <w:sz w:val="20"/>
          <w:szCs w:val="20"/>
        </w:rPr>
        <w:t xml:space="preserve"> i o </w:t>
      </w:r>
      <w:proofErr w:type="spellStart"/>
      <w:r w:rsidRPr="001B6EE9">
        <w:rPr>
          <w:rFonts w:ascii="Lato" w:eastAsia="Calibri" w:hAnsi="Lato" w:cs="Calibri"/>
          <w:sz w:val="20"/>
          <w:szCs w:val="20"/>
        </w:rPr>
        <w:t>wolontariacie</w:t>
      </w:r>
      <w:proofErr w:type="spellEnd"/>
      <w:r w:rsidRPr="001B6EE9">
        <w:rPr>
          <w:rFonts w:ascii="Lato" w:eastAsia="Calibri" w:hAnsi="Lato" w:cs="Calibri"/>
          <w:sz w:val="20"/>
          <w:szCs w:val="20"/>
        </w:rPr>
        <w:t xml:space="preserve"> na 2022</w:t>
      </w:r>
      <w:r>
        <w:rPr>
          <w:rFonts w:ascii="Lato" w:eastAsia="Calibri" w:hAnsi="Lato" w:cs="Calibri"/>
          <w:sz w:val="20"/>
          <w:szCs w:val="20"/>
        </w:rPr>
        <w:t xml:space="preserve"> r.</w:t>
      </w:r>
    </w:p>
    <w:p w14:paraId="4AA747B0" w14:textId="77777777" w:rsidR="001B6EE9" w:rsidRDefault="001B6EE9" w:rsidP="001B6EE9">
      <w:pPr>
        <w:pStyle w:val="Standard"/>
        <w:widowControl/>
        <w:jc w:val="both"/>
        <w:rPr>
          <w:rFonts w:ascii="Lato" w:eastAsia="Calibri" w:hAnsi="Lato" w:cs="Calibri"/>
          <w:sz w:val="20"/>
          <w:szCs w:val="20"/>
        </w:rPr>
      </w:pPr>
    </w:p>
    <w:p w14:paraId="147BB055" w14:textId="14598228" w:rsidR="001B6EE9" w:rsidRPr="001B6EE9" w:rsidRDefault="001B6EE9" w:rsidP="001B6EE9">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r w:rsidRPr="001B6EE9">
        <w:rPr>
          <w:rFonts w:ascii="Lato" w:eastAsia="Calibri" w:hAnsi="Lato" w:cs="Calibri"/>
          <w:sz w:val="20"/>
          <w:szCs w:val="20"/>
        </w:rPr>
        <w:t xml:space="preserve">  </w:t>
      </w:r>
    </w:p>
    <w:p w14:paraId="40D758D7" w14:textId="5696C47F" w:rsidR="001B6EE9" w:rsidRDefault="001B6EE9" w:rsidP="001B6EE9">
      <w:pPr>
        <w:pStyle w:val="Standard"/>
        <w:jc w:val="both"/>
        <w:rPr>
          <w:rFonts w:ascii="Lato" w:hAnsi="Lato" w:cs="Calibri"/>
          <w:sz w:val="20"/>
          <w:szCs w:val="20"/>
        </w:rPr>
      </w:pPr>
      <w:proofErr w:type="spellStart"/>
      <w:r w:rsidRPr="001B6EE9">
        <w:rPr>
          <w:rFonts w:ascii="Lato" w:hAnsi="Lato" w:cs="Calibri"/>
          <w:sz w:val="20"/>
          <w:szCs w:val="20"/>
        </w:rPr>
        <w:t>Wojewoda</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w:t>
      </w:r>
      <w:proofErr w:type="spellEnd"/>
      <w:r w:rsidRPr="001B6EE9">
        <w:rPr>
          <w:rFonts w:ascii="Lato" w:hAnsi="Lato" w:cs="Calibri"/>
          <w:sz w:val="20"/>
          <w:szCs w:val="20"/>
        </w:rPr>
        <w:t xml:space="preserve"> </w:t>
      </w:r>
      <w:proofErr w:type="spellStart"/>
      <w:r w:rsidRPr="001B6EE9">
        <w:rPr>
          <w:rFonts w:ascii="Lato" w:hAnsi="Lato" w:cs="Calibri"/>
          <w:sz w:val="20"/>
          <w:szCs w:val="20"/>
        </w:rPr>
        <w:t>co</w:t>
      </w:r>
      <w:proofErr w:type="spellEnd"/>
      <w:r w:rsidRPr="001B6EE9">
        <w:rPr>
          <w:rFonts w:ascii="Lato" w:hAnsi="Lato" w:cs="Calibri"/>
          <w:sz w:val="20"/>
          <w:szCs w:val="20"/>
        </w:rPr>
        <w:t xml:space="preserve"> </w:t>
      </w:r>
      <w:proofErr w:type="spellStart"/>
      <w:r w:rsidRPr="001B6EE9">
        <w:rPr>
          <w:rFonts w:ascii="Lato" w:hAnsi="Lato" w:cs="Calibri"/>
          <w:sz w:val="20"/>
          <w:szCs w:val="20"/>
        </w:rPr>
        <w:t>roku</w:t>
      </w:r>
      <w:proofErr w:type="spellEnd"/>
      <w:r w:rsidRPr="001B6EE9">
        <w:rPr>
          <w:rFonts w:ascii="Lato" w:hAnsi="Lato" w:cs="Calibri"/>
          <w:sz w:val="20"/>
          <w:szCs w:val="20"/>
        </w:rPr>
        <w:t xml:space="preserve"> </w:t>
      </w:r>
      <w:proofErr w:type="spellStart"/>
      <w:r w:rsidRPr="001B6EE9">
        <w:rPr>
          <w:rFonts w:ascii="Lato" w:hAnsi="Lato" w:cs="Calibri"/>
          <w:sz w:val="20"/>
          <w:szCs w:val="20"/>
        </w:rPr>
        <w:t>udziela</w:t>
      </w:r>
      <w:proofErr w:type="spellEnd"/>
      <w:r w:rsidRPr="001B6EE9">
        <w:rPr>
          <w:rFonts w:ascii="Lato" w:hAnsi="Lato" w:cs="Calibri"/>
          <w:sz w:val="20"/>
          <w:szCs w:val="20"/>
        </w:rPr>
        <w:t xml:space="preserve"> </w:t>
      </w:r>
      <w:proofErr w:type="spellStart"/>
      <w:r w:rsidRPr="001B6EE9">
        <w:rPr>
          <w:rFonts w:ascii="Lato" w:hAnsi="Lato" w:cs="Calibri"/>
          <w:sz w:val="20"/>
          <w:szCs w:val="20"/>
        </w:rPr>
        <w:t>wsparcia</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organizacji</w:t>
      </w:r>
      <w:proofErr w:type="spellEnd"/>
      <w:r w:rsidRPr="001B6EE9">
        <w:rPr>
          <w:rFonts w:ascii="Lato" w:hAnsi="Lato" w:cs="Calibri"/>
          <w:sz w:val="20"/>
          <w:szCs w:val="20"/>
        </w:rPr>
        <w:t xml:space="preserve"> </w:t>
      </w:r>
      <w:proofErr w:type="spellStart"/>
      <w:r w:rsidRPr="001B6EE9">
        <w:rPr>
          <w:rFonts w:ascii="Lato" w:hAnsi="Lato" w:cs="Calibri"/>
          <w:sz w:val="20"/>
          <w:szCs w:val="20"/>
        </w:rPr>
        <w:t>pozarządowych</w:t>
      </w:r>
      <w:proofErr w:type="spellEnd"/>
      <w:r w:rsidRPr="001B6EE9">
        <w:rPr>
          <w:rFonts w:ascii="Lato" w:hAnsi="Lato" w:cs="Calibri"/>
          <w:sz w:val="20"/>
          <w:szCs w:val="20"/>
        </w:rPr>
        <w:t xml:space="preserve"> w </w:t>
      </w:r>
      <w:proofErr w:type="spellStart"/>
      <w:r w:rsidRPr="001B6EE9">
        <w:rPr>
          <w:rFonts w:ascii="Lato" w:hAnsi="Lato" w:cs="Calibri"/>
          <w:sz w:val="20"/>
          <w:szCs w:val="20"/>
        </w:rPr>
        <w:t>drodze</w:t>
      </w:r>
      <w:proofErr w:type="spellEnd"/>
      <w:r w:rsidRPr="001B6EE9">
        <w:rPr>
          <w:rFonts w:ascii="Lato" w:hAnsi="Lato" w:cs="Calibri"/>
          <w:sz w:val="20"/>
          <w:szCs w:val="20"/>
        </w:rPr>
        <w:t xml:space="preserve"> </w:t>
      </w:r>
      <w:proofErr w:type="spellStart"/>
      <w:r w:rsidRPr="001B6EE9">
        <w:rPr>
          <w:rFonts w:ascii="Lato" w:hAnsi="Lato" w:cs="Calibri"/>
          <w:sz w:val="20"/>
          <w:szCs w:val="20"/>
        </w:rPr>
        <w:t>otwartych</w:t>
      </w:r>
      <w:proofErr w:type="spellEnd"/>
      <w:r w:rsidRPr="001B6EE9">
        <w:rPr>
          <w:rFonts w:ascii="Lato" w:hAnsi="Lato" w:cs="Calibri"/>
          <w:sz w:val="20"/>
          <w:szCs w:val="20"/>
        </w:rPr>
        <w:t xml:space="preserve"> </w:t>
      </w:r>
      <w:proofErr w:type="spellStart"/>
      <w:r w:rsidRPr="001B6EE9">
        <w:rPr>
          <w:rFonts w:ascii="Lato" w:hAnsi="Lato" w:cs="Calibri"/>
          <w:sz w:val="20"/>
          <w:szCs w:val="20"/>
        </w:rPr>
        <w:t>konkursów</w:t>
      </w:r>
      <w:proofErr w:type="spellEnd"/>
      <w:r w:rsidRPr="001B6EE9">
        <w:rPr>
          <w:rFonts w:ascii="Lato" w:hAnsi="Lato" w:cs="Calibri"/>
          <w:sz w:val="20"/>
          <w:szCs w:val="20"/>
        </w:rPr>
        <w:t xml:space="preserve"> </w:t>
      </w:r>
      <w:proofErr w:type="spellStart"/>
      <w:r w:rsidRPr="001B6EE9">
        <w:rPr>
          <w:rFonts w:ascii="Lato" w:hAnsi="Lato" w:cs="Calibri"/>
          <w:sz w:val="20"/>
          <w:szCs w:val="20"/>
        </w:rPr>
        <w:t>ofert</w:t>
      </w:r>
      <w:proofErr w:type="spellEnd"/>
      <w:r w:rsidRPr="001B6EE9">
        <w:rPr>
          <w:rFonts w:ascii="Lato" w:hAnsi="Lato" w:cs="Calibri"/>
          <w:sz w:val="20"/>
          <w:szCs w:val="20"/>
        </w:rPr>
        <w:t xml:space="preserve">, na </w:t>
      </w:r>
      <w:proofErr w:type="spellStart"/>
      <w:r w:rsidRPr="001B6EE9">
        <w:rPr>
          <w:rFonts w:ascii="Lato" w:hAnsi="Lato" w:cs="Calibri"/>
          <w:sz w:val="20"/>
          <w:szCs w:val="20"/>
        </w:rPr>
        <w:t>zasadach</w:t>
      </w:r>
      <w:proofErr w:type="spellEnd"/>
      <w:r w:rsidRPr="001B6EE9">
        <w:rPr>
          <w:rFonts w:ascii="Lato" w:hAnsi="Lato" w:cs="Calibri"/>
          <w:sz w:val="20"/>
          <w:szCs w:val="20"/>
        </w:rPr>
        <w:t xml:space="preserve"> </w:t>
      </w:r>
      <w:proofErr w:type="spellStart"/>
      <w:r w:rsidRPr="001B6EE9">
        <w:rPr>
          <w:rFonts w:ascii="Lato" w:hAnsi="Lato" w:cs="Calibri"/>
          <w:sz w:val="20"/>
          <w:szCs w:val="20"/>
        </w:rPr>
        <w:t>określonych</w:t>
      </w:r>
      <w:proofErr w:type="spellEnd"/>
      <w:r w:rsidRPr="001B6EE9">
        <w:rPr>
          <w:rFonts w:ascii="Lato" w:hAnsi="Lato" w:cs="Calibri"/>
          <w:sz w:val="20"/>
          <w:szCs w:val="20"/>
        </w:rPr>
        <w:t xml:space="preserve"> w art. 25 </w:t>
      </w:r>
      <w:proofErr w:type="spellStart"/>
      <w:r w:rsidRPr="001B6EE9">
        <w:rPr>
          <w:rFonts w:ascii="Lato" w:hAnsi="Lato" w:cs="Calibri"/>
          <w:sz w:val="20"/>
          <w:szCs w:val="20"/>
        </w:rPr>
        <w:t>ustawy</w:t>
      </w:r>
      <w:proofErr w:type="spellEnd"/>
      <w:r w:rsidRPr="001B6EE9">
        <w:rPr>
          <w:rFonts w:ascii="Lato" w:hAnsi="Lato" w:cs="Calibri"/>
          <w:sz w:val="20"/>
          <w:szCs w:val="20"/>
        </w:rPr>
        <w:t xml:space="preserve"> z </w:t>
      </w:r>
      <w:proofErr w:type="spellStart"/>
      <w:r w:rsidRPr="001B6EE9">
        <w:rPr>
          <w:rFonts w:ascii="Lato" w:hAnsi="Lato" w:cs="Calibri"/>
          <w:sz w:val="20"/>
          <w:szCs w:val="20"/>
        </w:rPr>
        <w:t>dnia</w:t>
      </w:r>
      <w:proofErr w:type="spellEnd"/>
      <w:r w:rsidRPr="001B6EE9">
        <w:rPr>
          <w:rFonts w:ascii="Lato" w:hAnsi="Lato" w:cs="Calibri"/>
          <w:sz w:val="20"/>
          <w:szCs w:val="20"/>
        </w:rPr>
        <w:t xml:space="preserve"> 12 </w:t>
      </w:r>
      <w:proofErr w:type="spellStart"/>
      <w:r w:rsidRPr="001B6EE9">
        <w:rPr>
          <w:rFonts w:ascii="Lato" w:hAnsi="Lato" w:cs="Calibri"/>
          <w:sz w:val="20"/>
          <w:szCs w:val="20"/>
        </w:rPr>
        <w:t>marca</w:t>
      </w:r>
      <w:proofErr w:type="spellEnd"/>
      <w:r w:rsidRPr="001B6EE9">
        <w:rPr>
          <w:rFonts w:ascii="Lato" w:hAnsi="Lato" w:cs="Calibri"/>
          <w:sz w:val="20"/>
          <w:szCs w:val="20"/>
        </w:rPr>
        <w:t xml:space="preserve"> 2004 r. o </w:t>
      </w:r>
      <w:proofErr w:type="spellStart"/>
      <w:r w:rsidRPr="001B6EE9">
        <w:rPr>
          <w:rFonts w:ascii="Lato" w:hAnsi="Lato" w:cs="Calibri"/>
          <w:sz w:val="20"/>
          <w:szCs w:val="20"/>
        </w:rPr>
        <w:t>pomocy</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społecznej</w:t>
      </w:r>
      <w:proofErr w:type="spellEnd"/>
      <w:r w:rsidRPr="001B6EE9">
        <w:rPr>
          <w:rFonts w:ascii="Lato" w:hAnsi="Lato" w:cs="Calibri"/>
          <w:sz w:val="20"/>
          <w:szCs w:val="20"/>
        </w:rPr>
        <w:t xml:space="preserve">, art. 13 </w:t>
      </w:r>
      <w:proofErr w:type="spellStart"/>
      <w:r w:rsidRPr="001B6EE9">
        <w:rPr>
          <w:rFonts w:ascii="Lato" w:hAnsi="Lato" w:cs="Calibri"/>
          <w:sz w:val="20"/>
          <w:szCs w:val="20"/>
        </w:rPr>
        <w:t>ustawy</w:t>
      </w:r>
      <w:proofErr w:type="spellEnd"/>
      <w:r w:rsidRPr="001B6EE9">
        <w:rPr>
          <w:rFonts w:ascii="Lato" w:hAnsi="Lato" w:cs="Calibri"/>
          <w:sz w:val="20"/>
          <w:szCs w:val="20"/>
        </w:rPr>
        <w:t xml:space="preserve"> z </w:t>
      </w:r>
      <w:proofErr w:type="spellStart"/>
      <w:r w:rsidRPr="001B6EE9">
        <w:rPr>
          <w:rFonts w:ascii="Lato" w:hAnsi="Lato" w:cs="Calibri"/>
          <w:sz w:val="20"/>
          <w:szCs w:val="20"/>
        </w:rPr>
        <w:t>dnia</w:t>
      </w:r>
      <w:proofErr w:type="spellEnd"/>
      <w:r w:rsidRPr="001B6EE9">
        <w:rPr>
          <w:rFonts w:ascii="Lato" w:hAnsi="Lato" w:cs="Calibri"/>
          <w:sz w:val="20"/>
          <w:szCs w:val="20"/>
        </w:rPr>
        <w:t xml:space="preserve"> 24 </w:t>
      </w:r>
      <w:proofErr w:type="spellStart"/>
      <w:r w:rsidRPr="001B6EE9">
        <w:rPr>
          <w:rFonts w:ascii="Lato" w:hAnsi="Lato" w:cs="Calibri"/>
          <w:sz w:val="20"/>
          <w:szCs w:val="20"/>
        </w:rPr>
        <w:t>kwietnia</w:t>
      </w:r>
      <w:proofErr w:type="spellEnd"/>
      <w:r w:rsidRPr="001B6EE9">
        <w:rPr>
          <w:rFonts w:ascii="Lato" w:hAnsi="Lato" w:cs="Calibri"/>
          <w:sz w:val="20"/>
          <w:szCs w:val="20"/>
        </w:rPr>
        <w:t xml:space="preserve"> 2003 r. o </w:t>
      </w:r>
      <w:proofErr w:type="spellStart"/>
      <w:r w:rsidRPr="001B6EE9">
        <w:rPr>
          <w:rFonts w:ascii="Lato" w:hAnsi="Lato" w:cs="Calibri"/>
          <w:sz w:val="20"/>
          <w:szCs w:val="20"/>
        </w:rPr>
        <w:t>działalności</w:t>
      </w:r>
      <w:proofErr w:type="spellEnd"/>
      <w:r w:rsidRPr="001B6EE9">
        <w:rPr>
          <w:rFonts w:ascii="Lato" w:hAnsi="Lato" w:cs="Calibri"/>
          <w:sz w:val="20"/>
          <w:szCs w:val="20"/>
        </w:rPr>
        <w:t xml:space="preserve"> </w:t>
      </w:r>
      <w:proofErr w:type="spellStart"/>
      <w:r w:rsidRPr="001B6EE9">
        <w:rPr>
          <w:rFonts w:ascii="Lato" w:hAnsi="Lato" w:cs="Calibri"/>
          <w:sz w:val="20"/>
          <w:szCs w:val="20"/>
        </w:rPr>
        <w:t>pożytku</w:t>
      </w:r>
      <w:proofErr w:type="spellEnd"/>
      <w:r w:rsidRPr="001B6EE9">
        <w:rPr>
          <w:rFonts w:ascii="Lato" w:hAnsi="Lato" w:cs="Calibri"/>
          <w:sz w:val="20"/>
          <w:szCs w:val="20"/>
        </w:rPr>
        <w:t xml:space="preserve"> </w:t>
      </w:r>
      <w:proofErr w:type="spellStart"/>
      <w:r w:rsidRPr="001B6EE9">
        <w:rPr>
          <w:rFonts w:ascii="Lato" w:hAnsi="Lato" w:cs="Calibri"/>
          <w:sz w:val="20"/>
          <w:szCs w:val="20"/>
        </w:rPr>
        <w:t>publicznego</w:t>
      </w:r>
      <w:proofErr w:type="spellEnd"/>
      <w:r w:rsidRPr="001B6EE9">
        <w:rPr>
          <w:rFonts w:ascii="Lato" w:hAnsi="Lato" w:cs="Calibri"/>
          <w:sz w:val="20"/>
          <w:szCs w:val="20"/>
        </w:rPr>
        <w:t xml:space="preserve"> i o </w:t>
      </w:r>
      <w:proofErr w:type="spellStart"/>
      <w:r w:rsidRPr="001B6EE9">
        <w:rPr>
          <w:rFonts w:ascii="Lato" w:hAnsi="Lato" w:cs="Calibri"/>
          <w:sz w:val="20"/>
          <w:szCs w:val="20"/>
        </w:rPr>
        <w:t>wolontariacie</w:t>
      </w:r>
      <w:proofErr w:type="spellEnd"/>
      <w:r w:rsidRPr="001B6EE9">
        <w:rPr>
          <w:rFonts w:ascii="Lato" w:hAnsi="Lato" w:cs="Calibri"/>
          <w:sz w:val="20"/>
          <w:szCs w:val="20"/>
        </w:rPr>
        <w:t xml:space="preserve">, art. 151 </w:t>
      </w:r>
      <w:proofErr w:type="spellStart"/>
      <w:r w:rsidRPr="001B6EE9">
        <w:rPr>
          <w:rFonts w:ascii="Lato" w:hAnsi="Lato" w:cs="Calibri"/>
          <w:sz w:val="20"/>
          <w:szCs w:val="20"/>
        </w:rPr>
        <w:t>ustawy</w:t>
      </w:r>
      <w:proofErr w:type="spellEnd"/>
      <w:r w:rsidRPr="001B6EE9">
        <w:rPr>
          <w:rFonts w:ascii="Lato" w:hAnsi="Lato" w:cs="Calibri"/>
          <w:sz w:val="20"/>
          <w:szCs w:val="20"/>
        </w:rPr>
        <w:t xml:space="preserve"> z </w:t>
      </w:r>
      <w:proofErr w:type="spellStart"/>
      <w:r w:rsidRPr="001B6EE9">
        <w:rPr>
          <w:rFonts w:ascii="Lato" w:hAnsi="Lato" w:cs="Calibri"/>
          <w:sz w:val="20"/>
          <w:szCs w:val="20"/>
        </w:rPr>
        <w:t>dnia</w:t>
      </w:r>
      <w:proofErr w:type="spellEnd"/>
      <w:r w:rsidRPr="001B6EE9">
        <w:rPr>
          <w:rFonts w:ascii="Lato" w:hAnsi="Lato" w:cs="Calibri"/>
          <w:sz w:val="20"/>
          <w:szCs w:val="20"/>
        </w:rPr>
        <w:t xml:space="preserve"> 27 </w:t>
      </w:r>
      <w:proofErr w:type="spellStart"/>
      <w:r w:rsidRPr="001B6EE9">
        <w:rPr>
          <w:rFonts w:ascii="Lato" w:hAnsi="Lato" w:cs="Calibri"/>
          <w:sz w:val="20"/>
          <w:szCs w:val="20"/>
        </w:rPr>
        <w:t>sierpnia</w:t>
      </w:r>
      <w:proofErr w:type="spellEnd"/>
      <w:r w:rsidRPr="001B6EE9">
        <w:rPr>
          <w:rFonts w:ascii="Lato" w:hAnsi="Lato" w:cs="Calibri"/>
          <w:sz w:val="20"/>
          <w:szCs w:val="20"/>
        </w:rPr>
        <w:t xml:space="preserve"> 2009 r. o </w:t>
      </w:r>
      <w:proofErr w:type="spellStart"/>
      <w:r w:rsidRPr="001B6EE9">
        <w:rPr>
          <w:rFonts w:ascii="Lato" w:hAnsi="Lato" w:cs="Calibri"/>
          <w:sz w:val="20"/>
          <w:szCs w:val="20"/>
        </w:rPr>
        <w:t>finansach</w:t>
      </w:r>
      <w:proofErr w:type="spellEnd"/>
      <w:r w:rsidRPr="001B6EE9">
        <w:rPr>
          <w:rFonts w:ascii="Lato" w:hAnsi="Lato" w:cs="Calibri"/>
          <w:sz w:val="20"/>
          <w:szCs w:val="20"/>
        </w:rPr>
        <w:t xml:space="preserve"> </w:t>
      </w:r>
      <w:proofErr w:type="spellStart"/>
      <w:r w:rsidRPr="001B6EE9">
        <w:rPr>
          <w:rFonts w:ascii="Lato" w:hAnsi="Lato" w:cs="Calibri"/>
          <w:sz w:val="20"/>
          <w:szCs w:val="20"/>
        </w:rPr>
        <w:t>publicznych</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zgodnie</w:t>
      </w:r>
      <w:proofErr w:type="spellEnd"/>
      <w:r w:rsidRPr="001B6EE9">
        <w:rPr>
          <w:rFonts w:ascii="Lato" w:hAnsi="Lato" w:cs="Calibri"/>
          <w:sz w:val="20"/>
          <w:szCs w:val="20"/>
        </w:rPr>
        <w:t xml:space="preserve"> z </w:t>
      </w:r>
      <w:proofErr w:type="spellStart"/>
      <w:r w:rsidRPr="001B6EE9">
        <w:rPr>
          <w:rFonts w:ascii="Lato" w:hAnsi="Lato" w:cs="Calibri"/>
          <w:sz w:val="20"/>
          <w:szCs w:val="20"/>
        </w:rPr>
        <w:t>corocznie</w:t>
      </w:r>
      <w:proofErr w:type="spellEnd"/>
      <w:r w:rsidRPr="001B6EE9">
        <w:rPr>
          <w:rFonts w:ascii="Lato" w:hAnsi="Lato" w:cs="Calibri"/>
          <w:sz w:val="20"/>
          <w:szCs w:val="20"/>
        </w:rPr>
        <w:t xml:space="preserve"> </w:t>
      </w:r>
      <w:proofErr w:type="spellStart"/>
      <w:r w:rsidRPr="001B6EE9">
        <w:rPr>
          <w:rFonts w:ascii="Lato" w:hAnsi="Lato" w:cs="Calibri"/>
          <w:sz w:val="20"/>
          <w:szCs w:val="20"/>
        </w:rPr>
        <w:t>ustalanym</w:t>
      </w:r>
      <w:proofErr w:type="spellEnd"/>
      <w:r w:rsidRPr="001B6EE9">
        <w:rPr>
          <w:rFonts w:ascii="Lato" w:hAnsi="Lato" w:cs="Calibri"/>
          <w:sz w:val="20"/>
          <w:szCs w:val="20"/>
        </w:rPr>
        <w:t xml:space="preserve"> Programem </w:t>
      </w:r>
      <w:proofErr w:type="spellStart"/>
      <w:r w:rsidRPr="001B6EE9">
        <w:rPr>
          <w:rFonts w:ascii="Lato" w:hAnsi="Lato" w:cs="Calibri"/>
          <w:sz w:val="20"/>
          <w:szCs w:val="20"/>
        </w:rPr>
        <w:t>Współpracy</w:t>
      </w:r>
      <w:proofErr w:type="spellEnd"/>
      <w:r w:rsidRPr="001B6EE9">
        <w:rPr>
          <w:rFonts w:ascii="Lato" w:hAnsi="Lato" w:cs="Calibri"/>
          <w:sz w:val="20"/>
          <w:szCs w:val="20"/>
        </w:rPr>
        <w:t xml:space="preserve"> </w:t>
      </w:r>
      <w:proofErr w:type="spellStart"/>
      <w:r w:rsidRPr="001B6EE9">
        <w:rPr>
          <w:rFonts w:ascii="Lato" w:hAnsi="Lato" w:cs="Calibri"/>
          <w:sz w:val="20"/>
          <w:szCs w:val="20"/>
        </w:rPr>
        <w:t>Wojewody</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z </w:t>
      </w:r>
      <w:proofErr w:type="spellStart"/>
      <w:r w:rsidRPr="001B6EE9">
        <w:rPr>
          <w:rFonts w:ascii="Lato" w:hAnsi="Lato" w:cs="Calibri"/>
          <w:sz w:val="20"/>
          <w:szCs w:val="20"/>
        </w:rPr>
        <w:t>organizacjami</w:t>
      </w:r>
      <w:proofErr w:type="spellEnd"/>
      <w:r w:rsidRPr="001B6EE9">
        <w:rPr>
          <w:rFonts w:ascii="Lato" w:hAnsi="Lato" w:cs="Calibri"/>
          <w:sz w:val="20"/>
          <w:szCs w:val="20"/>
        </w:rPr>
        <w:t xml:space="preserve"> </w:t>
      </w:r>
      <w:proofErr w:type="spellStart"/>
      <w:r w:rsidRPr="001B6EE9">
        <w:rPr>
          <w:rFonts w:ascii="Lato" w:hAnsi="Lato" w:cs="Calibri"/>
          <w:sz w:val="20"/>
          <w:szCs w:val="20"/>
        </w:rPr>
        <w:t>pozarządowymi</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uprawnionymi</w:t>
      </w:r>
      <w:proofErr w:type="spellEnd"/>
      <w:r w:rsidRPr="001B6EE9">
        <w:rPr>
          <w:rFonts w:ascii="Lato" w:hAnsi="Lato" w:cs="Calibri"/>
          <w:sz w:val="20"/>
          <w:szCs w:val="20"/>
        </w:rPr>
        <w:t xml:space="preserve"> </w:t>
      </w:r>
      <w:proofErr w:type="spellStart"/>
      <w:r w:rsidRPr="001B6EE9">
        <w:rPr>
          <w:rFonts w:ascii="Lato" w:hAnsi="Lato" w:cs="Calibri"/>
          <w:sz w:val="20"/>
          <w:szCs w:val="20"/>
        </w:rPr>
        <w:t>podmiotami</w:t>
      </w:r>
      <w:proofErr w:type="spellEnd"/>
      <w:r w:rsidRPr="001B6EE9">
        <w:rPr>
          <w:rFonts w:ascii="Lato" w:hAnsi="Lato" w:cs="Calibri"/>
          <w:sz w:val="20"/>
          <w:szCs w:val="20"/>
        </w:rPr>
        <w:t xml:space="preserve">, </w:t>
      </w:r>
      <w:proofErr w:type="spellStart"/>
      <w:r w:rsidRPr="001B6EE9">
        <w:rPr>
          <w:rFonts w:ascii="Lato" w:hAnsi="Lato" w:cs="Calibri"/>
          <w:sz w:val="20"/>
          <w:szCs w:val="20"/>
        </w:rPr>
        <w:t>prowadzącymi</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działalność</w:t>
      </w:r>
      <w:proofErr w:type="spellEnd"/>
      <w:r w:rsidRPr="001B6EE9">
        <w:rPr>
          <w:rFonts w:ascii="Lato" w:hAnsi="Lato" w:cs="Calibri"/>
          <w:sz w:val="20"/>
          <w:szCs w:val="20"/>
        </w:rPr>
        <w:t xml:space="preserve"> w </w:t>
      </w:r>
      <w:proofErr w:type="spellStart"/>
      <w:r w:rsidRPr="001B6EE9">
        <w:rPr>
          <w:rFonts w:ascii="Lato" w:hAnsi="Lato" w:cs="Calibri"/>
          <w:sz w:val="20"/>
          <w:szCs w:val="20"/>
        </w:rPr>
        <w:t>zakresie</w:t>
      </w:r>
      <w:proofErr w:type="spellEnd"/>
      <w:r w:rsidRPr="001B6EE9">
        <w:rPr>
          <w:rFonts w:ascii="Lato" w:hAnsi="Lato" w:cs="Calibri"/>
          <w:sz w:val="20"/>
          <w:szCs w:val="20"/>
        </w:rPr>
        <w:t xml:space="preserve"> </w:t>
      </w:r>
      <w:proofErr w:type="spellStart"/>
      <w:r w:rsidRPr="001B6EE9">
        <w:rPr>
          <w:rFonts w:ascii="Lato" w:hAnsi="Lato" w:cs="Calibri"/>
          <w:sz w:val="20"/>
          <w:szCs w:val="20"/>
        </w:rPr>
        <w:t>pomocy</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społecznej</w:t>
      </w:r>
      <w:proofErr w:type="spellEnd"/>
      <w:r w:rsidRPr="001B6EE9">
        <w:rPr>
          <w:rFonts w:ascii="Lato" w:hAnsi="Lato" w:cs="Calibri"/>
          <w:sz w:val="20"/>
          <w:szCs w:val="20"/>
        </w:rPr>
        <w:t>.</w:t>
      </w:r>
    </w:p>
    <w:p w14:paraId="70FD26AF" w14:textId="77777777" w:rsidR="001B6EE9" w:rsidRPr="001B6EE9" w:rsidRDefault="001B6EE9" w:rsidP="001B6EE9">
      <w:pPr>
        <w:pStyle w:val="Standard"/>
        <w:jc w:val="both"/>
        <w:rPr>
          <w:rFonts w:ascii="Lato" w:hAnsi="Lato"/>
          <w:sz w:val="20"/>
          <w:szCs w:val="20"/>
        </w:rPr>
      </w:pPr>
    </w:p>
    <w:p w14:paraId="20780DD8" w14:textId="3AC1ECA7" w:rsidR="001B6EE9" w:rsidRDefault="001B6EE9" w:rsidP="001B6EE9">
      <w:pPr>
        <w:pStyle w:val="Standard"/>
        <w:jc w:val="both"/>
        <w:rPr>
          <w:rFonts w:ascii="Lato" w:hAnsi="Lato" w:cs="Calibri"/>
          <w:sz w:val="20"/>
          <w:szCs w:val="20"/>
        </w:rPr>
      </w:pPr>
      <w:r w:rsidRPr="001B6EE9">
        <w:rPr>
          <w:rFonts w:ascii="Lato" w:hAnsi="Lato" w:cs="Calibri"/>
          <w:sz w:val="20"/>
          <w:szCs w:val="20"/>
        </w:rPr>
        <w:t xml:space="preserve">W </w:t>
      </w:r>
      <w:proofErr w:type="spellStart"/>
      <w:r w:rsidRPr="001B6EE9">
        <w:rPr>
          <w:rFonts w:ascii="Lato" w:hAnsi="Lato" w:cs="Calibri"/>
          <w:sz w:val="20"/>
          <w:szCs w:val="20"/>
        </w:rPr>
        <w:t>budżecie</w:t>
      </w:r>
      <w:proofErr w:type="spellEnd"/>
      <w:r w:rsidRPr="001B6EE9">
        <w:rPr>
          <w:rFonts w:ascii="Lato" w:hAnsi="Lato" w:cs="Calibri"/>
          <w:sz w:val="20"/>
          <w:szCs w:val="20"/>
        </w:rPr>
        <w:t xml:space="preserve"> </w:t>
      </w:r>
      <w:proofErr w:type="spellStart"/>
      <w:r w:rsidRPr="001B6EE9">
        <w:rPr>
          <w:rFonts w:ascii="Lato" w:hAnsi="Lato" w:cs="Calibri"/>
          <w:sz w:val="20"/>
          <w:szCs w:val="20"/>
        </w:rPr>
        <w:t>Wojewody</w:t>
      </w:r>
      <w:proofErr w:type="spellEnd"/>
      <w:r w:rsidRPr="001B6EE9">
        <w:rPr>
          <w:rFonts w:ascii="Lato" w:hAnsi="Lato" w:cs="Calibri"/>
          <w:sz w:val="20"/>
          <w:szCs w:val="20"/>
        </w:rPr>
        <w:t xml:space="preserve"> </w:t>
      </w:r>
      <w:r w:rsidRPr="001B6EE9">
        <w:rPr>
          <w:rFonts w:ascii="Lato" w:hAnsi="Lato" w:cs="Calibri"/>
          <w:bCs/>
          <w:sz w:val="20"/>
          <w:szCs w:val="20"/>
        </w:rPr>
        <w:t xml:space="preserve">w 2022 r. </w:t>
      </w:r>
      <w:proofErr w:type="spellStart"/>
      <w:r w:rsidRPr="001B6EE9">
        <w:rPr>
          <w:rFonts w:ascii="Lato" w:hAnsi="Lato" w:cs="Calibri"/>
          <w:bCs/>
          <w:sz w:val="20"/>
          <w:szCs w:val="20"/>
        </w:rPr>
        <w:t>planowano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środki</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łącznej</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wysokości</w:t>
      </w:r>
      <w:proofErr w:type="spellEnd"/>
      <w:r w:rsidRPr="001B6EE9">
        <w:rPr>
          <w:rFonts w:ascii="Lato" w:hAnsi="Lato" w:cs="Calibri"/>
          <w:bCs/>
          <w:sz w:val="20"/>
          <w:szCs w:val="20"/>
        </w:rPr>
        <w:t xml:space="preserve"> 1.200.000 </w:t>
      </w:r>
      <w:proofErr w:type="spellStart"/>
      <w:r w:rsidRPr="001B6EE9">
        <w:rPr>
          <w:rFonts w:ascii="Lato" w:hAnsi="Lato" w:cs="Calibri"/>
          <w:bCs/>
          <w:sz w:val="20"/>
          <w:szCs w:val="20"/>
        </w:rPr>
        <w:t>zł</w:t>
      </w:r>
      <w:proofErr w:type="spellEnd"/>
      <w:r w:rsidRPr="001B6EE9">
        <w:rPr>
          <w:rFonts w:ascii="Lato" w:hAnsi="Lato" w:cs="Calibri"/>
          <w:b/>
          <w:bCs/>
          <w:sz w:val="20"/>
          <w:szCs w:val="20"/>
        </w:rPr>
        <w:t xml:space="preserve"> </w:t>
      </w:r>
      <w:r w:rsidRPr="001B6EE9">
        <w:rPr>
          <w:rFonts w:ascii="Lato" w:hAnsi="Lato" w:cs="Calibri"/>
          <w:sz w:val="20"/>
          <w:szCs w:val="20"/>
        </w:rPr>
        <w:t xml:space="preserve">. </w:t>
      </w:r>
      <w:proofErr w:type="spellStart"/>
      <w:r w:rsidRPr="001B6EE9">
        <w:rPr>
          <w:rFonts w:ascii="Lato" w:hAnsi="Lato" w:cs="Calibri"/>
          <w:sz w:val="20"/>
          <w:szCs w:val="20"/>
        </w:rPr>
        <w:t>Jednym</w:t>
      </w:r>
      <w:proofErr w:type="spellEnd"/>
      <w:r w:rsidRPr="001B6EE9">
        <w:rPr>
          <w:rFonts w:ascii="Lato" w:hAnsi="Lato" w:cs="Calibri"/>
          <w:sz w:val="20"/>
          <w:szCs w:val="20"/>
        </w:rPr>
        <w:t xml:space="preserve"> z </w:t>
      </w:r>
      <w:proofErr w:type="spellStart"/>
      <w:r w:rsidRPr="001B6EE9">
        <w:rPr>
          <w:rFonts w:ascii="Lato" w:hAnsi="Lato" w:cs="Calibri"/>
          <w:sz w:val="20"/>
          <w:szCs w:val="20"/>
        </w:rPr>
        <w:t>priorytetowych</w:t>
      </w:r>
      <w:proofErr w:type="spellEnd"/>
      <w:r w:rsidRPr="001B6EE9">
        <w:rPr>
          <w:rFonts w:ascii="Lato" w:hAnsi="Lato" w:cs="Calibri"/>
          <w:sz w:val="20"/>
          <w:szCs w:val="20"/>
        </w:rPr>
        <w:t xml:space="preserve"> </w:t>
      </w:r>
      <w:proofErr w:type="spellStart"/>
      <w:r w:rsidRPr="001B6EE9">
        <w:rPr>
          <w:rFonts w:ascii="Lato" w:hAnsi="Lato" w:cs="Calibri"/>
          <w:sz w:val="20"/>
          <w:szCs w:val="20"/>
        </w:rPr>
        <w:t>obszarów</w:t>
      </w:r>
      <w:proofErr w:type="spellEnd"/>
      <w:r w:rsidRPr="001B6EE9">
        <w:rPr>
          <w:rFonts w:ascii="Lato" w:hAnsi="Lato" w:cs="Calibri"/>
          <w:sz w:val="20"/>
          <w:szCs w:val="20"/>
        </w:rPr>
        <w:t xml:space="preserve"> </w:t>
      </w:r>
      <w:proofErr w:type="spellStart"/>
      <w:r w:rsidRPr="001B6EE9">
        <w:rPr>
          <w:rFonts w:ascii="Lato" w:hAnsi="Lato" w:cs="Calibri"/>
          <w:sz w:val="20"/>
          <w:szCs w:val="20"/>
        </w:rPr>
        <w:t>zadań</w:t>
      </w:r>
      <w:proofErr w:type="spellEnd"/>
      <w:r w:rsidRPr="001B6EE9">
        <w:rPr>
          <w:rFonts w:ascii="Lato" w:hAnsi="Lato" w:cs="Calibri"/>
          <w:sz w:val="20"/>
          <w:szCs w:val="20"/>
        </w:rPr>
        <w:t xml:space="preserve"> </w:t>
      </w:r>
      <w:proofErr w:type="spellStart"/>
      <w:r w:rsidRPr="001B6EE9">
        <w:rPr>
          <w:rFonts w:ascii="Lato" w:hAnsi="Lato" w:cs="Calibri"/>
          <w:sz w:val="20"/>
          <w:szCs w:val="20"/>
        </w:rPr>
        <w:t>publicznych</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realizowanych</w:t>
      </w:r>
      <w:proofErr w:type="spellEnd"/>
      <w:r w:rsidRPr="001B6EE9">
        <w:rPr>
          <w:rFonts w:ascii="Lato" w:hAnsi="Lato" w:cs="Calibri"/>
          <w:sz w:val="20"/>
          <w:szCs w:val="20"/>
        </w:rPr>
        <w:t xml:space="preserve"> w </w:t>
      </w:r>
      <w:proofErr w:type="spellStart"/>
      <w:r w:rsidRPr="001B6EE9">
        <w:rPr>
          <w:rFonts w:ascii="Lato" w:hAnsi="Lato" w:cs="Calibri"/>
          <w:sz w:val="20"/>
          <w:szCs w:val="20"/>
        </w:rPr>
        <w:t>ramach</w:t>
      </w:r>
      <w:proofErr w:type="spellEnd"/>
      <w:r w:rsidRPr="001B6EE9">
        <w:rPr>
          <w:rFonts w:ascii="Lato" w:hAnsi="Lato" w:cs="Calibri"/>
          <w:sz w:val="20"/>
          <w:szCs w:val="20"/>
        </w:rPr>
        <w:t xml:space="preserve"> </w:t>
      </w:r>
      <w:proofErr w:type="spellStart"/>
      <w:r w:rsidRPr="001B6EE9">
        <w:rPr>
          <w:rFonts w:ascii="Lato" w:hAnsi="Lato" w:cs="Calibri"/>
          <w:sz w:val="20"/>
          <w:szCs w:val="20"/>
        </w:rPr>
        <w:t>Programu</w:t>
      </w:r>
      <w:proofErr w:type="spellEnd"/>
      <w:r w:rsidRPr="001B6EE9">
        <w:rPr>
          <w:rFonts w:ascii="Lato" w:hAnsi="Lato" w:cs="Calibri"/>
          <w:sz w:val="20"/>
          <w:szCs w:val="20"/>
        </w:rPr>
        <w:t xml:space="preserve"> </w:t>
      </w:r>
      <w:proofErr w:type="spellStart"/>
      <w:r w:rsidRPr="001B6EE9">
        <w:rPr>
          <w:rFonts w:ascii="Lato" w:hAnsi="Lato" w:cs="Calibri"/>
          <w:sz w:val="20"/>
          <w:szCs w:val="20"/>
        </w:rPr>
        <w:t>Współpracy</w:t>
      </w:r>
      <w:proofErr w:type="spellEnd"/>
      <w:r w:rsidRPr="001B6EE9">
        <w:rPr>
          <w:rFonts w:ascii="Lato" w:hAnsi="Lato" w:cs="Calibri"/>
          <w:sz w:val="20"/>
          <w:szCs w:val="20"/>
        </w:rPr>
        <w:t xml:space="preserve"> </w:t>
      </w:r>
      <w:proofErr w:type="spellStart"/>
      <w:r w:rsidRPr="001B6EE9">
        <w:rPr>
          <w:rFonts w:ascii="Lato" w:hAnsi="Lato" w:cs="Calibri"/>
          <w:sz w:val="20"/>
          <w:szCs w:val="20"/>
        </w:rPr>
        <w:t>Wojewody</w:t>
      </w:r>
      <w:proofErr w:type="spellEnd"/>
      <w:r w:rsidRPr="001B6EE9">
        <w:rPr>
          <w:rFonts w:ascii="Lato" w:hAnsi="Lato" w:cs="Calibri"/>
          <w:sz w:val="20"/>
          <w:szCs w:val="20"/>
        </w:rPr>
        <w:t xml:space="preserve"> z </w:t>
      </w:r>
      <w:proofErr w:type="spellStart"/>
      <w:r w:rsidRPr="001B6EE9">
        <w:rPr>
          <w:rFonts w:ascii="Lato" w:hAnsi="Lato" w:cs="Calibri"/>
          <w:sz w:val="20"/>
          <w:szCs w:val="20"/>
        </w:rPr>
        <w:t>organizacjami</w:t>
      </w:r>
      <w:proofErr w:type="spellEnd"/>
      <w:r w:rsidRPr="001B6EE9">
        <w:rPr>
          <w:rFonts w:ascii="Lato" w:hAnsi="Lato" w:cs="Calibri"/>
          <w:sz w:val="20"/>
          <w:szCs w:val="20"/>
        </w:rPr>
        <w:t xml:space="preserve"> </w:t>
      </w:r>
      <w:proofErr w:type="spellStart"/>
      <w:r w:rsidRPr="001B6EE9">
        <w:rPr>
          <w:rFonts w:ascii="Lato" w:hAnsi="Lato" w:cs="Calibri"/>
          <w:sz w:val="20"/>
          <w:szCs w:val="20"/>
        </w:rPr>
        <w:t>pozarządowymi</w:t>
      </w:r>
      <w:proofErr w:type="spellEnd"/>
      <w:r w:rsidRPr="001B6EE9">
        <w:rPr>
          <w:rFonts w:ascii="Lato" w:hAnsi="Lato" w:cs="Calibri"/>
          <w:sz w:val="20"/>
          <w:szCs w:val="20"/>
        </w:rPr>
        <w:t xml:space="preserve"> </w:t>
      </w:r>
      <w:proofErr w:type="spellStart"/>
      <w:r w:rsidRPr="001B6EE9">
        <w:rPr>
          <w:rFonts w:ascii="Lato" w:hAnsi="Lato" w:cs="Calibri"/>
          <w:sz w:val="20"/>
          <w:szCs w:val="20"/>
        </w:rPr>
        <w:t>jest</w:t>
      </w:r>
      <w:proofErr w:type="spellEnd"/>
      <w:r w:rsidRPr="001B6EE9">
        <w:rPr>
          <w:rFonts w:ascii="Lato" w:hAnsi="Lato" w:cs="Calibri"/>
          <w:sz w:val="20"/>
          <w:szCs w:val="20"/>
        </w:rPr>
        <w:t xml:space="preserve"> </w:t>
      </w:r>
      <w:proofErr w:type="spellStart"/>
      <w:r w:rsidRPr="001B6EE9">
        <w:rPr>
          <w:rFonts w:ascii="Lato" w:hAnsi="Lato" w:cs="Calibri"/>
          <w:bCs/>
          <w:sz w:val="20"/>
          <w:szCs w:val="20"/>
        </w:rPr>
        <w:t>aktywizacja</w:t>
      </w:r>
      <w:proofErr w:type="spellEnd"/>
      <w:r w:rsidRPr="001B6EE9">
        <w:rPr>
          <w:rFonts w:ascii="Lato" w:hAnsi="Lato" w:cs="Calibri"/>
          <w:bCs/>
          <w:sz w:val="20"/>
          <w:szCs w:val="20"/>
        </w:rPr>
        <w:t xml:space="preserve"> i </w:t>
      </w:r>
      <w:proofErr w:type="spellStart"/>
      <w:r w:rsidRPr="001B6EE9">
        <w:rPr>
          <w:rFonts w:ascii="Lato" w:hAnsi="Lato" w:cs="Calibri"/>
          <w:bCs/>
          <w:sz w:val="20"/>
          <w:szCs w:val="20"/>
        </w:rPr>
        <w:t>przeciwdziałanie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marginalizacji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osób</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starszych</w:t>
      </w:r>
      <w:proofErr w:type="spellEnd"/>
      <w:r w:rsidRPr="001B6EE9">
        <w:rPr>
          <w:rFonts w:ascii="Lato" w:hAnsi="Lato" w:cs="Calibri"/>
          <w:sz w:val="20"/>
          <w:szCs w:val="20"/>
        </w:rPr>
        <w:t xml:space="preserve">. </w:t>
      </w:r>
      <w:proofErr w:type="spellStart"/>
      <w:r w:rsidRPr="001B6EE9">
        <w:rPr>
          <w:rFonts w:ascii="Lato" w:hAnsi="Lato" w:cs="Calibri"/>
          <w:sz w:val="20"/>
          <w:szCs w:val="20"/>
        </w:rPr>
        <w:t>Każdego</w:t>
      </w:r>
      <w:proofErr w:type="spellEnd"/>
      <w:r w:rsidRPr="001B6EE9">
        <w:rPr>
          <w:rFonts w:ascii="Lato" w:hAnsi="Lato" w:cs="Calibri"/>
          <w:sz w:val="20"/>
          <w:szCs w:val="20"/>
        </w:rPr>
        <w:t xml:space="preserve"> </w:t>
      </w:r>
      <w:proofErr w:type="spellStart"/>
      <w:r w:rsidRPr="001B6EE9">
        <w:rPr>
          <w:rFonts w:ascii="Lato" w:hAnsi="Lato" w:cs="Calibri"/>
          <w:sz w:val="20"/>
          <w:szCs w:val="20"/>
        </w:rPr>
        <w:t>roku</w:t>
      </w:r>
      <w:proofErr w:type="spellEnd"/>
      <w:r w:rsidRPr="001B6EE9">
        <w:rPr>
          <w:rFonts w:ascii="Lato" w:hAnsi="Lato" w:cs="Calibri"/>
          <w:sz w:val="20"/>
          <w:szCs w:val="20"/>
        </w:rPr>
        <w:t xml:space="preserve"> </w:t>
      </w:r>
      <w:proofErr w:type="spellStart"/>
      <w:r w:rsidRPr="001B6EE9">
        <w:rPr>
          <w:rFonts w:ascii="Lato" w:hAnsi="Lato" w:cs="Calibri"/>
          <w:sz w:val="20"/>
          <w:szCs w:val="20"/>
        </w:rPr>
        <w:t>ogłaszane</w:t>
      </w:r>
      <w:proofErr w:type="spellEnd"/>
      <w:r w:rsidRPr="001B6EE9">
        <w:rPr>
          <w:rFonts w:ascii="Lato" w:hAnsi="Lato" w:cs="Calibri"/>
          <w:sz w:val="20"/>
          <w:szCs w:val="20"/>
        </w:rPr>
        <w:t xml:space="preserve"> </w:t>
      </w:r>
      <w:proofErr w:type="spellStart"/>
      <w:r w:rsidRPr="001B6EE9">
        <w:rPr>
          <w:rFonts w:ascii="Lato" w:hAnsi="Lato" w:cs="Calibri"/>
          <w:sz w:val="20"/>
          <w:szCs w:val="20"/>
        </w:rPr>
        <w:t>są</w:t>
      </w:r>
      <w:proofErr w:type="spellEnd"/>
      <w:r w:rsidRPr="001B6EE9">
        <w:rPr>
          <w:rFonts w:ascii="Lato" w:hAnsi="Lato" w:cs="Calibri"/>
          <w:sz w:val="20"/>
          <w:szCs w:val="20"/>
        </w:rPr>
        <w:t xml:space="preserve"> </w:t>
      </w:r>
      <w:proofErr w:type="spellStart"/>
      <w:r w:rsidRPr="001B6EE9">
        <w:rPr>
          <w:rFonts w:ascii="Lato" w:hAnsi="Lato" w:cs="Calibri"/>
          <w:sz w:val="20"/>
          <w:szCs w:val="20"/>
        </w:rPr>
        <w:t>odrębne</w:t>
      </w:r>
      <w:proofErr w:type="spellEnd"/>
      <w:r w:rsidRPr="001B6EE9">
        <w:rPr>
          <w:rFonts w:ascii="Lato" w:hAnsi="Lato" w:cs="Calibri"/>
          <w:sz w:val="20"/>
          <w:szCs w:val="20"/>
        </w:rPr>
        <w:t xml:space="preserve"> </w:t>
      </w:r>
      <w:proofErr w:type="spellStart"/>
      <w:r w:rsidRPr="001B6EE9">
        <w:rPr>
          <w:rFonts w:ascii="Lato" w:hAnsi="Lato" w:cs="Calibri"/>
          <w:sz w:val="20"/>
          <w:szCs w:val="20"/>
        </w:rPr>
        <w:t>konkursy</w:t>
      </w:r>
      <w:proofErr w:type="spellEnd"/>
      <w:r w:rsidRPr="001B6EE9">
        <w:rPr>
          <w:rFonts w:ascii="Lato" w:hAnsi="Lato" w:cs="Calibri"/>
          <w:sz w:val="20"/>
          <w:szCs w:val="20"/>
        </w:rPr>
        <w:t xml:space="preserve"> w </w:t>
      </w:r>
      <w:proofErr w:type="spellStart"/>
      <w:r w:rsidRPr="001B6EE9">
        <w:rPr>
          <w:rFonts w:ascii="Lato" w:hAnsi="Lato" w:cs="Calibri"/>
          <w:sz w:val="20"/>
          <w:szCs w:val="20"/>
        </w:rPr>
        <w:t>tym</w:t>
      </w:r>
      <w:proofErr w:type="spellEnd"/>
      <w:r w:rsidRPr="001B6EE9">
        <w:rPr>
          <w:rFonts w:ascii="Lato" w:hAnsi="Lato" w:cs="Calibri"/>
          <w:sz w:val="20"/>
          <w:szCs w:val="20"/>
        </w:rPr>
        <w:t xml:space="preserve"> </w:t>
      </w:r>
      <w:proofErr w:type="spellStart"/>
      <w:r w:rsidRPr="001B6EE9">
        <w:rPr>
          <w:rFonts w:ascii="Lato" w:hAnsi="Lato" w:cs="Calibri"/>
          <w:sz w:val="20"/>
          <w:szCs w:val="20"/>
        </w:rPr>
        <w:t>zakresie</w:t>
      </w:r>
      <w:proofErr w:type="spellEnd"/>
      <w:r w:rsidRPr="001B6EE9">
        <w:rPr>
          <w:rFonts w:ascii="Lato" w:hAnsi="Lato" w:cs="Calibri"/>
          <w:sz w:val="20"/>
          <w:szCs w:val="20"/>
        </w:rPr>
        <w:t>.</w:t>
      </w:r>
    </w:p>
    <w:p w14:paraId="3CA09DDB" w14:textId="77777777" w:rsidR="001B6EE9" w:rsidRPr="001B6EE9" w:rsidRDefault="001B6EE9" w:rsidP="001B6EE9">
      <w:pPr>
        <w:pStyle w:val="Standard"/>
        <w:jc w:val="both"/>
        <w:rPr>
          <w:rFonts w:ascii="Lato" w:hAnsi="Lato"/>
          <w:sz w:val="20"/>
          <w:szCs w:val="20"/>
        </w:rPr>
      </w:pPr>
    </w:p>
    <w:p w14:paraId="38B7D3DD" w14:textId="77777777" w:rsidR="001B6EE9" w:rsidRPr="001B6EE9" w:rsidRDefault="001B6EE9" w:rsidP="001B6EE9">
      <w:pPr>
        <w:pStyle w:val="Standard"/>
        <w:jc w:val="both"/>
        <w:rPr>
          <w:rFonts w:ascii="Lato" w:hAnsi="Lato"/>
          <w:sz w:val="20"/>
          <w:szCs w:val="20"/>
        </w:rPr>
      </w:pPr>
      <w:r w:rsidRPr="001B6EE9">
        <w:rPr>
          <w:rFonts w:ascii="Lato" w:hAnsi="Lato" w:cs="Calibri"/>
          <w:sz w:val="20"/>
          <w:szCs w:val="20"/>
        </w:rPr>
        <w:t xml:space="preserve">W 2022 r. </w:t>
      </w:r>
      <w:proofErr w:type="spellStart"/>
      <w:r w:rsidRPr="001B6EE9">
        <w:rPr>
          <w:rFonts w:ascii="Lato" w:hAnsi="Lato" w:cs="Calibri"/>
          <w:sz w:val="20"/>
          <w:szCs w:val="20"/>
        </w:rPr>
        <w:t>kwotę</w:t>
      </w:r>
      <w:proofErr w:type="spellEnd"/>
      <w:r w:rsidRPr="001B6EE9">
        <w:rPr>
          <w:rFonts w:ascii="Lato" w:hAnsi="Lato" w:cs="Calibri"/>
          <w:sz w:val="20"/>
          <w:szCs w:val="20"/>
        </w:rPr>
        <w:t xml:space="preserve"> </w:t>
      </w:r>
      <w:proofErr w:type="spellStart"/>
      <w:r w:rsidRPr="001B6EE9">
        <w:rPr>
          <w:rFonts w:ascii="Lato" w:hAnsi="Lato" w:cs="Calibri"/>
          <w:sz w:val="20"/>
          <w:szCs w:val="20"/>
        </w:rPr>
        <w:t>przeznaczoną</w:t>
      </w:r>
      <w:proofErr w:type="spellEnd"/>
      <w:r w:rsidRPr="001B6EE9">
        <w:rPr>
          <w:rFonts w:ascii="Lato" w:hAnsi="Lato" w:cs="Calibri"/>
          <w:sz w:val="20"/>
          <w:szCs w:val="20"/>
        </w:rPr>
        <w:t xml:space="preserve"> na </w:t>
      </w:r>
      <w:proofErr w:type="spellStart"/>
      <w:r w:rsidRPr="001B6EE9">
        <w:rPr>
          <w:rFonts w:ascii="Lato" w:hAnsi="Lato" w:cs="Calibri"/>
          <w:sz w:val="20"/>
          <w:szCs w:val="20"/>
        </w:rPr>
        <w:t>zadanie</w:t>
      </w:r>
      <w:proofErr w:type="spellEnd"/>
      <w:r w:rsidRPr="001B6EE9">
        <w:rPr>
          <w:rFonts w:ascii="Lato" w:hAnsi="Lato" w:cs="Calibri"/>
          <w:sz w:val="20"/>
          <w:szCs w:val="20"/>
        </w:rPr>
        <w:t xml:space="preserve"> </w:t>
      </w:r>
      <w:proofErr w:type="spellStart"/>
      <w:r w:rsidRPr="001B6EE9">
        <w:rPr>
          <w:rFonts w:ascii="Lato" w:hAnsi="Lato" w:cs="Calibri"/>
          <w:sz w:val="20"/>
          <w:szCs w:val="20"/>
        </w:rPr>
        <w:t>aktywizacja</w:t>
      </w:r>
      <w:proofErr w:type="spellEnd"/>
      <w:r w:rsidRPr="001B6EE9">
        <w:rPr>
          <w:rFonts w:ascii="Lato" w:hAnsi="Lato" w:cs="Calibri"/>
          <w:sz w:val="20"/>
          <w:szCs w:val="20"/>
        </w:rPr>
        <w:t xml:space="preserve"> i </w:t>
      </w:r>
      <w:proofErr w:type="spellStart"/>
      <w:r w:rsidRPr="001B6EE9">
        <w:rPr>
          <w:rFonts w:ascii="Lato" w:hAnsi="Lato" w:cs="Calibri"/>
          <w:sz w:val="20"/>
          <w:szCs w:val="20"/>
        </w:rPr>
        <w:t>przeciwdziałanie</w:t>
      </w:r>
      <w:proofErr w:type="spellEnd"/>
      <w:r w:rsidRPr="001B6EE9">
        <w:rPr>
          <w:rFonts w:ascii="Lato" w:hAnsi="Lato" w:cs="Calibri"/>
          <w:sz w:val="20"/>
          <w:szCs w:val="20"/>
        </w:rPr>
        <w:t xml:space="preserve"> </w:t>
      </w:r>
      <w:proofErr w:type="spellStart"/>
      <w:r w:rsidRPr="001B6EE9">
        <w:rPr>
          <w:rFonts w:ascii="Lato" w:hAnsi="Lato" w:cs="Calibri"/>
          <w:sz w:val="20"/>
          <w:szCs w:val="20"/>
        </w:rPr>
        <w:t>marginalizacji</w:t>
      </w:r>
      <w:proofErr w:type="spellEnd"/>
      <w:r w:rsidRPr="001B6EE9">
        <w:rPr>
          <w:rFonts w:ascii="Lato" w:hAnsi="Lato" w:cs="Calibri"/>
          <w:sz w:val="20"/>
          <w:szCs w:val="20"/>
        </w:rPr>
        <w:t xml:space="preserve">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w:t>
      </w:r>
      <w:proofErr w:type="spellStart"/>
      <w:r w:rsidRPr="001B6EE9">
        <w:rPr>
          <w:rFonts w:ascii="Lato" w:hAnsi="Lato" w:cs="Calibri"/>
          <w:sz w:val="20"/>
          <w:szCs w:val="20"/>
        </w:rPr>
        <w:t>starszych</w:t>
      </w:r>
      <w:proofErr w:type="spellEnd"/>
      <w:r w:rsidRPr="001B6EE9">
        <w:rPr>
          <w:rFonts w:ascii="Lato" w:hAnsi="Lato" w:cs="Calibri"/>
          <w:sz w:val="20"/>
          <w:szCs w:val="20"/>
        </w:rPr>
        <w:t xml:space="preserve"> </w:t>
      </w:r>
      <w:proofErr w:type="spellStart"/>
      <w:r w:rsidRPr="001B6EE9">
        <w:rPr>
          <w:rFonts w:ascii="Lato" w:hAnsi="Lato" w:cs="Calibri"/>
          <w:sz w:val="20"/>
          <w:szCs w:val="20"/>
        </w:rPr>
        <w:t>zwiększono</w:t>
      </w:r>
      <w:proofErr w:type="spellEnd"/>
      <w:r w:rsidRPr="001B6EE9">
        <w:rPr>
          <w:rFonts w:ascii="Lato" w:hAnsi="Lato" w:cs="Calibri"/>
          <w:sz w:val="20"/>
          <w:szCs w:val="20"/>
        </w:rPr>
        <w:t xml:space="preserve"> do </w:t>
      </w:r>
      <w:r w:rsidRPr="001B6EE9">
        <w:rPr>
          <w:rFonts w:ascii="Lato" w:hAnsi="Lato" w:cs="Calibri"/>
          <w:bCs/>
          <w:sz w:val="20"/>
          <w:szCs w:val="20"/>
        </w:rPr>
        <w:t xml:space="preserve">250.000 </w:t>
      </w:r>
      <w:proofErr w:type="spellStart"/>
      <w:r w:rsidRPr="001B6EE9">
        <w:rPr>
          <w:rFonts w:ascii="Lato" w:hAnsi="Lato" w:cs="Calibri"/>
          <w:bCs/>
          <w:sz w:val="20"/>
          <w:szCs w:val="20"/>
        </w:rPr>
        <w:t>zł</w:t>
      </w:r>
      <w:proofErr w:type="spellEnd"/>
      <w:r w:rsidRPr="001B6EE9">
        <w:rPr>
          <w:rFonts w:ascii="Lato" w:hAnsi="Lato" w:cs="Calibri"/>
          <w:sz w:val="20"/>
          <w:szCs w:val="20"/>
        </w:rPr>
        <w:t xml:space="preserve">, </w:t>
      </w:r>
      <w:proofErr w:type="spellStart"/>
      <w:r w:rsidRPr="001B6EE9">
        <w:rPr>
          <w:rFonts w:ascii="Lato" w:hAnsi="Lato" w:cs="Calibri"/>
          <w:sz w:val="20"/>
          <w:szCs w:val="20"/>
        </w:rPr>
        <w:t>ogłoszono</w:t>
      </w:r>
      <w:proofErr w:type="spellEnd"/>
      <w:r w:rsidRPr="001B6EE9">
        <w:rPr>
          <w:rFonts w:ascii="Lato" w:hAnsi="Lato" w:cs="Calibri"/>
          <w:sz w:val="20"/>
          <w:szCs w:val="20"/>
        </w:rPr>
        <w:t xml:space="preserve"> </w:t>
      </w:r>
      <w:proofErr w:type="spellStart"/>
      <w:r w:rsidRPr="001B6EE9">
        <w:rPr>
          <w:rFonts w:ascii="Lato" w:hAnsi="Lato" w:cs="Calibri"/>
          <w:sz w:val="20"/>
          <w:szCs w:val="20"/>
        </w:rPr>
        <w:t>również</w:t>
      </w:r>
      <w:proofErr w:type="spellEnd"/>
      <w:r w:rsidRPr="001B6EE9">
        <w:rPr>
          <w:rFonts w:ascii="Lato" w:hAnsi="Lato" w:cs="Calibri"/>
          <w:sz w:val="20"/>
          <w:szCs w:val="20"/>
        </w:rPr>
        <w:t xml:space="preserve"> </w:t>
      </w:r>
      <w:proofErr w:type="spellStart"/>
      <w:r w:rsidRPr="001B6EE9">
        <w:rPr>
          <w:rFonts w:ascii="Lato" w:hAnsi="Lato" w:cs="Calibri"/>
          <w:sz w:val="20"/>
          <w:szCs w:val="20"/>
        </w:rPr>
        <w:t>dodatkową</w:t>
      </w:r>
      <w:proofErr w:type="spellEnd"/>
      <w:r w:rsidRPr="001B6EE9">
        <w:rPr>
          <w:rFonts w:ascii="Lato" w:hAnsi="Lato" w:cs="Calibri"/>
          <w:sz w:val="20"/>
          <w:szCs w:val="20"/>
        </w:rPr>
        <w:t xml:space="preserve"> II </w:t>
      </w:r>
      <w:proofErr w:type="spellStart"/>
      <w:r w:rsidRPr="001B6EE9">
        <w:rPr>
          <w:rFonts w:ascii="Lato" w:hAnsi="Lato" w:cs="Calibri"/>
          <w:sz w:val="20"/>
          <w:szCs w:val="20"/>
        </w:rPr>
        <w:t>edycję</w:t>
      </w:r>
      <w:proofErr w:type="spellEnd"/>
      <w:r w:rsidRPr="001B6EE9">
        <w:rPr>
          <w:rFonts w:ascii="Lato" w:hAnsi="Lato" w:cs="Calibri"/>
          <w:sz w:val="20"/>
          <w:szCs w:val="20"/>
        </w:rPr>
        <w:t xml:space="preserve"> </w:t>
      </w:r>
      <w:proofErr w:type="spellStart"/>
      <w:r w:rsidRPr="001B6EE9">
        <w:rPr>
          <w:rFonts w:ascii="Lato" w:hAnsi="Lato" w:cs="Calibri"/>
          <w:sz w:val="20"/>
          <w:szCs w:val="20"/>
        </w:rPr>
        <w:t>konkursu</w:t>
      </w:r>
      <w:proofErr w:type="spellEnd"/>
      <w:r w:rsidRPr="001B6EE9">
        <w:rPr>
          <w:rFonts w:ascii="Lato" w:hAnsi="Lato" w:cs="Calibri"/>
          <w:sz w:val="20"/>
          <w:szCs w:val="20"/>
        </w:rPr>
        <w:t xml:space="preserve"> z </w:t>
      </w:r>
      <w:proofErr w:type="spellStart"/>
      <w:r w:rsidRPr="001B6EE9">
        <w:rPr>
          <w:rFonts w:ascii="Lato" w:hAnsi="Lato" w:cs="Calibri"/>
          <w:sz w:val="20"/>
          <w:szCs w:val="20"/>
        </w:rPr>
        <w:t>limitem</w:t>
      </w:r>
      <w:proofErr w:type="spellEnd"/>
      <w:r w:rsidRPr="001B6EE9">
        <w:rPr>
          <w:rFonts w:ascii="Lato" w:hAnsi="Lato" w:cs="Calibri"/>
          <w:sz w:val="20"/>
          <w:szCs w:val="20"/>
        </w:rPr>
        <w:t xml:space="preserve"> </w:t>
      </w:r>
      <w:proofErr w:type="spellStart"/>
      <w:r w:rsidRPr="001B6EE9">
        <w:rPr>
          <w:rFonts w:ascii="Lato" w:hAnsi="Lato" w:cs="Calibri"/>
          <w:sz w:val="20"/>
          <w:szCs w:val="20"/>
        </w:rPr>
        <w:t>środków</w:t>
      </w:r>
      <w:proofErr w:type="spellEnd"/>
      <w:r w:rsidRPr="001B6EE9">
        <w:rPr>
          <w:rFonts w:ascii="Lato" w:hAnsi="Lato" w:cs="Calibri"/>
          <w:sz w:val="20"/>
          <w:szCs w:val="20"/>
        </w:rPr>
        <w:t xml:space="preserve"> w </w:t>
      </w:r>
      <w:proofErr w:type="spellStart"/>
      <w:r w:rsidRPr="001B6EE9">
        <w:rPr>
          <w:rFonts w:ascii="Lato" w:hAnsi="Lato" w:cs="Calibri"/>
          <w:sz w:val="20"/>
          <w:szCs w:val="20"/>
        </w:rPr>
        <w:t>kwocie</w:t>
      </w:r>
      <w:proofErr w:type="spellEnd"/>
      <w:r w:rsidRPr="001B6EE9">
        <w:rPr>
          <w:rFonts w:ascii="Lato" w:hAnsi="Lato" w:cs="Calibri"/>
          <w:sz w:val="20"/>
          <w:szCs w:val="20"/>
        </w:rPr>
        <w:t xml:space="preserve"> </w:t>
      </w:r>
      <w:r w:rsidRPr="001B6EE9">
        <w:rPr>
          <w:rFonts w:ascii="Lato" w:hAnsi="Lato" w:cs="Calibri"/>
          <w:bCs/>
          <w:sz w:val="20"/>
          <w:szCs w:val="20"/>
        </w:rPr>
        <w:t xml:space="preserve">100.000 </w:t>
      </w:r>
      <w:proofErr w:type="spellStart"/>
      <w:r w:rsidRPr="001B6EE9">
        <w:rPr>
          <w:rFonts w:ascii="Lato" w:hAnsi="Lato" w:cs="Calibri"/>
          <w:bCs/>
          <w:sz w:val="20"/>
          <w:szCs w:val="20"/>
        </w:rPr>
        <w:t>zł</w:t>
      </w:r>
      <w:proofErr w:type="spellEnd"/>
      <w:r w:rsidRPr="001B6EE9">
        <w:rPr>
          <w:rFonts w:ascii="Lato" w:hAnsi="Lato" w:cs="Calibri"/>
          <w:sz w:val="20"/>
          <w:szCs w:val="20"/>
        </w:rPr>
        <w:t>.</w:t>
      </w:r>
    </w:p>
    <w:p w14:paraId="7F478831" w14:textId="77777777" w:rsidR="001B6EE9" w:rsidRPr="001B6EE9" w:rsidRDefault="001B6EE9" w:rsidP="001B6EE9">
      <w:pPr>
        <w:pStyle w:val="Standard"/>
        <w:jc w:val="both"/>
        <w:rPr>
          <w:rFonts w:ascii="Lato" w:hAnsi="Lato" w:cs="Calibri"/>
          <w:sz w:val="20"/>
          <w:szCs w:val="20"/>
          <w:shd w:val="clear" w:color="auto" w:fill="FFFF99"/>
        </w:rPr>
      </w:pPr>
    </w:p>
    <w:p w14:paraId="7640C7DE" w14:textId="77777777" w:rsidR="001B6EE9" w:rsidRPr="001B6EE9" w:rsidRDefault="001B6EE9" w:rsidP="001B6EE9">
      <w:pPr>
        <w:pStyle w:val="Standard"/>
        <w:jc w:val="both"/>
        <w:rPr>
          <w:rFonts w:ascii="Lato" w:hAnsi="Lato"/>
          <w:sz w:val="20"/>
          <w:szCs w:val="20"/>
        </w:rPr>
      </w:pPr>
      <w:proofErr w:type="spellStart"/>
      <w:r w:rsidRPr="001B6EE9">
        <w:rPr>
          <w:rFonts w:ascii="Lato" w:hAnsi="Lato" w:cs="Calibri"/>
          <w:sz w:val="20"/>
          <w:szCs w:val="20"/>
        </w:rPr>
        <w:t>Głównymi</w:t>
      </w:r>
      <w:proofErr w:type="spellEnd"/>
      <w:r w:rsidRPr="001B6EE9">
        <w:rPr>
          <w:rFonts w:ascii="Lato" w:hAnsi="Lato" w:cs="Calibri"/>
          <w:sz w:val="20"/>
          <w:szCs w:val="20"/>
        </w:rPr>
        <w:t xml:space="preserve"> </w:t>
      </w:r>
      <w:proofErr w:type="spellStart"/>
      <w:r w:rsidRPr="001B6EE9">
        <w:rPr>
          <w:rFonts w:ascii="Lato" w:hAnsi="Lato" w:cs="Calibri"/>
          <w:sz w:val="20"/>
          <w:szCs w:val="20"/>
        </w:rPr>
        <w:t>założeniami</w:t>
      </w:r>
      <w:proofErr w:type="spellEnd"/>
      <w:r w:rsidRPr="001B6EE9">
        <w:rPr>
          <w:rFonts w:ascii="Lato" w:hAnsi="Lato" w:cs="Calibri"/>
          <w:sz w:val="20"/>
          <w:szCs w:val="20"/>
        </w:rPr>
        <w:t xml:space="preserve"> </w:t>
      </w:r>
      <w:proofErr w:type="spellStart"/>
      <w:r w:rsidRPr="001B6EE9">
        <w:rPr>
          <w:rFonts w:ascii="Lato" w:hAnsi="Lato" w:cs="Calibri"/>
          <w:sz w:val="20"/>
          <w:szCs w:val="20"/>
        </w:rPr>
        <w:t>zadań</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realizowanych</w:t>
      </w:r>
      <w:proofErr w:type="spellEnd"/>
      <w:r w:rsidRPr="001B6EE9">
        <w:rPr>
          <w:rFonts w:ascii="Lato" w:hAnsi="Lato" w:cs="Calibri"/>
          <w:sz w:val="20"/>
          <w:szCs w:val="20"/>
        </w:rPr>
        <w:t xml:space="preserve"> w </w:t>
      </w:r>
      <w:proofErr w:type="spellStart"/>
      <w:r w:rsidRPr="001B6EE9">
        <w:rPr>
          <w:rFonts w:ascii="Lato" w:hAnsi="Lato" w:cs="Calibri"/>
          <w:sz w:val="20"/>
          <w:szCs w:val="20"/>
        </w:rPr>
        <w:t>zakresie</w:t>
      </w:r>
      <w:proofErr w:type="spellEnd"/>
      <w:r w:rsidRPr="001B6EE9">
        <w:rPr>
          <w:rFonts w:ascii="Lato" w:hAnsi="Lato" w:cs="Calibri"/>
          <w:sz w:val="20"/>
          <w:szCs w:val="20"/>
        </w:rPr>
        <w:t xml:space="preserve"> </w:t>
      </w:r>
      <w:proofErr w:type="spellStart"/>
      <w:r w:rsidRPr="001B6EE9">
        <w:rPr>
          <w:rFonts w:ascii="Lato" w:hAnsi="Lato" w:cs="Calibri"/>
          <w:sz w:val="20"/>
          <w:szCs w:val="20"/>
        </w:rPr>
        <w:t>aktywizacji</w:t>
      </w:r>
      <w:proofErr w:type="spellEnd"/>
      <w:r w:rsidRPr="001B6EE9">
        <w:rPr>
          <w:rFonts w:ascii="Lato" w:hAnsi="Lato" w:cs="Calibri"/>
          <w:sz w:val="20"/>
          <w:szCs w:val="20"/>
        </w:rPr>
        <w:t xml:space="preserve"> i </w:t>
      </w:r>
      <w:proofErr w:type="spellStart"/>
      <w:r w:rsidRPr="001B6EE9">
        <w:rPr>
          <w:rFonts w:ascii="Lato" w:hAnsi="Lato" w:cs="Calibri"/>
          <w:sz w:val="20"/>
          <w:szCs w:val="20"/>
        </w:rPr>
        <w:t>przeciwdziałanie</w:t>
      </w:r>
      <w:proofErr w:type="spellEnd"/>
      <w:r w:rsidRPr="001B6EE9">
        <w:rPr>
          <w:rFonts w:ascii="Lato" w:hAnsi="Lato" w:cs="Calibri"/>
          <w:sz w:val="20"/>
          <w:szCs w:val="20"/>
        </w:rPr>
        <w:t xml:space="preserve"> </w:t>
      </w:r>
      <w:proofErr w:type="spellStart"/>
      <w:r w:rsidRPr="001B6EE9">
        <w:rPr>
          <w:rFonts w:ascii="Lato" w:hAnsi="Lato" w:cs="Calibri"/>
          <w:sz w:val="20"/>
          <w:szCs w:val="20"/>
        </w:rPr>
        <w:t>marginalizacji</w:t>
      </w:r>
      <w:proofErr w:type="spellEnd"/>
      <w:r w:rsidRPr="001B6EE9">
        <w:rPr>
          <w:rFonts w:ascii="Lato" w:hAnsi="Lato" w:cs="Calibri"/>
          <w:sz w:val="20"/>
          <w:szCs w:val="20"/>
        </w:rPr>
        <w:t xml:space="preserve">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w:t>
      </w:r>
      <w:proofErr w:type="spellStart"/>
      <w:r w:rsidRPr="001B6EE9">
        <w:rPr>
          <w:rFonts w:ascii="Lato" w:hAnsi="Lato" w:cs="Calibri"/>
          <w:sz w:val="20"/>
          <w:szCs w:val="20"/>
        </w:rPr>
        <w:t>starszych</w:t>
      </w:r>
      <w:proofErr w:type="spellEnd"/>
      <w:r w:rsidRPr="001B6EE9">
        <w:rPr>
          <w:rFonts w:ascii="Lato" w:hAnsi="Lato" w:cs="Calibri"/>
          <w:sz w:val="20"/>
          <w:szCs w:val="20"/>
        </w:rPr>
        <w:t xml:space="preserve"> </w:t>
      </w:r>
      <w:proofErr w:type="spellStart"/>
      <w:r w:rsidRPr="001B6EE9">
        <w:rPr>
          <w:rFonts w:ascii="Lato" w:hAnsi="Lato" w:cs="Calibri"/>
          <w:sz w:val="20"/>
          <w:szCs w:val="20"/>
        </w:rPr>
        <w:t>było</w:t>
      </w:r>
      <w:proofErr w:type="spellEnd"/>
      <w:r w:rsidRPr="001B6EE9">
        <w:rPr>
          <w:rFonts w:ascii="Lato" w:hAnsi="Lato" w:cs="Calibri"/>
          <w:sz w:val="20"/>
          <w:szCs w:val="20"/>
        </w:rPr>
        <w:t>:</w:t>
      </w:r>
    </w:p>
    <w:p w14:paraId="09492DB9" w14:textId="77777777" w:rsidR="001B6EE9" w:rsidRPr="001B6EE9" w:rsidRDefault="001B6EE9" w:rsidP="0059185B">
      <w:pPr>
        <w:pStyle w:val="Akapitzlist"/>
        <w:numPr>
          <w:ilvl w:val="0"/>
          <w:numId w:val="126"/>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zmniejszenie stopnia marginalizacji seniorów w sferze społecznej, integracja międzypokoleniowa,  przełamywanie stereotypów dotyczących starości,</w:t>
      </w:r>
    </w:p>
    <w:p w14:paraId="4A494393" w14:textId="77777777" w:rsidR="001B6EE9" w:rsidRPr="001B6EE9" w:rsidRDefault="001B6EE9" w:rsidP="0059185B">
      <w:pPr>
        <w:pStyle w:val="Akapitzlist"/>
        <w:numPr>
          <w:ilvl w:val="0"/>
          <w:numId w:val="126"/>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podniesienie aktywności i świadomości społecznej osób starszych, zawieranie nowych znajomości i tworzenie się przyjaźni między uczestnikami, przeciwdziałanie osamotnieniu,</w:t>
      </w:r>
    </w:p>
    <w:p w14:paraId="510BAF8B" w14:textId="77777777" w:rsidR="001B6EE9" w:rsidRPr="001B6EE9" w:rsidRDefault="001B6EE9" w:rsidP="0059185B">
      <w:pPr>
        <w:pStyle w:val="Akapitzlist"/>
        <w:numPr>
          <w:ilvl w:val="0"/>
          <w:numId w:val="126"/>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włączenie osób starszych w działania na rzecz środowiska lokalnego,</w:t>
      </w:r>
    </w:p>
    <w:p w14:paraId="7750364C" w14:textId="670BF6E5" w:rsidR="001B6EE9" w:rsidRPr="001B6EE9" w:rsidRDefault="001B6EE9" w:rsidP="0059185B">
      <w:pPr>
        <w:pStyle w:val="Akapitzlist"/>
        <w:numPr>
          <w:ilvl w:val="0"/>
          <w:numId w:val="126"/>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budowanie poczucia własnej wartości, aspiracji, lepsze rozpoznawanie własnych możliwości rozwojowych przez seniorów.</w:t>
      </w:r>
    </w:p>
    <w:p w14:paraId="4A66A7F5" w14:textId="77777777" w:rsidR="001B6EE9" w:rsidRDefault="001B6EE9" w:rsidP="001B6EE9">
      <w:pPr>
        <w:pStyle w:val="Standard"/>
        <w:jc w:val="both"/>
        <w:rPr>
          <w:rFonts w:ascii="Lato" w:hAnsi="Lato" w:cs="Calibri"/>
          <w:sz w:val="20"/>
          <w:szCs w:val="20"/>
        </w:rPr>
      </w:pPr>
    </w:p>
    <w:p w14:paraId="5B3FF30D" w14:textId="485A471B" w:rsidR="001B6EE9" w:rsidRPr="001B6EE9" w:rsidRDefault="001B6EE9" w:rsidP="001B6EE9">
      <w:pPr>
        <w:pStyle w:val="Standard"/>
        <w:jc w:val="both"/>
        <w:rPr>
          <w:rFonts w:ascii="Lato" w:hAnsi="Lato"/>
          <w:sz w:val="20"/>
          <w:szCs w:val="20"/>
        </w:rPr>
      </w:pPr>
      <w:proofErr w:type="spellStart"/>
      <w:r w:rsidRPr="001B6EE9">
        <w:rPr>
          <w:rFonts w:ascii="Lato" w:hAnsi="Lato" w:cs="Calibri"/>
          <w:sz w:val="20"/>
          <w:szCs w:val="20"/>
        </w:rPr>
        <w:t>Przedmiotowe</w:t>
      </w:r>
      <w:proofErr w:type="spellEnd"/>
      <w:r w:rsidRPr="001B6EE9">
        <w:rPr>
          <w:rFonts w:ascii="Lato" w:hAnsi="Lato" w:cs="Calibri"/>
          <w:sz w:val="20"/>
          <w:szCs w:val="20"/>
        </w:rPr>
        <w:t xml:space="preserve"> </w:t>
      </w:r>
      <w:proofErr w:type="spellStart"/>
      <w:r w:rsidRPr="001B6EE9">
        <w:rPr>
          <w:rFonts w:ascii="Lato" w:hAnsi="Lato" w:cs="Calibri"/>
          <w:sz w:val="20"/>
          <w:szCs w:val="20"/>
        </w:rPr>
        <w:t>cele</w:t>
      </w:r>
      <w:proofErr w:type="spellEnd"/>
      <w:r w:rsidRPr="001B6EE9">
        <w:rPr>
          <w:rFonts w:ascii="Lato" w:hAnsi="Lato" w:cs="Calibri"/>
          <w:sz w:val="20"/>
          <w:szCs w:val="20"/>
        </w:rPr>
        <w:t xml:space="preserve"> w </w:t>
      </w:r>
      <w:proofErr w:type="spellStart"/>
      <w:r w:rsidRPr="001B6EE9">
        <w:rPr>
          <w:rFonts w:ascii="Lato" w:hAnsi="Lato" w:cs="Calibri"/>
          <w:sz w:val="20"/>
          <w:szCs w:val="20"/>
        </w:rPr>
        <w:t>wymiarze</w:t>
      </w:r>
      <w:proofErr w:type="spellEnd"/>
      <w:r w:rsidRPr="001B6EE9">
        <w:rPr>
          <w:rFonts w:ascii="Lato" w:hAnsi="Lato" w:cs="Calibri"/>
          <w:sz w:val="20"/>
          <w:szCs w:val="20"/>
        </w:rPr>
        <w:t xml:space="preserve"> </w:t>
      </w:r>
      <w:proofErr w:type="spellStart"/>
      <w:r w:rsidRPr="001B6EE9">
        <w:rPr>
          <w:rFonts w:ascii="Lato" w:hAnsi="Lato" w:cs="Calibri"/>
          <w:sz w:val="20"/>
          <w:szCs w:val="20"/>
        </w:rPr>
        <w:t>określonym</w:t>
      </w:r>
      <w:proofErr w:type="spellEnd"/>
      <w:r w:rsidRPr="001B6EE9">
        <w:rPr>
          <w:rFonts w:ascii="Lato" w:hAnsi="Lato" w:cs="Calibri"/>
          <w:sz w:val="20"/>
          <w:szCs w:val="20"/>
        </w:rPr>
        <w:t xml:space="preserve"> w </w:t>
      </w:r>
      <w:proofErr w:type="spellStart"/>
      <w:r w:rsidRPr="001B6EE9">
        <w:rPr>
          <w:rFonts w:ascii="Lato" w:hAnsi="Lato" w:cs="Calibri"/>
          <w:sz w:val="20"/>
          <w:szCs w:val="20"/>
        </w:rPr>
        <w:t>złożonych</w:t>
      </w:r>
      <w:proofErr w:type="spellEnd"/>
      <w:r w:rsidRPr="001B6EE9">
        <w:rPr>
          <w:rFonts w:ascii="Lato" w:hAnsi="Lato" w:cs="Calibri"/>
          <w:sz w:val="20"/>
          <w:szCs w:val="20"/>
        </w:rPr>
        <w:t xml:space="preserve"> </w:t>
      </w:r>
      <w:proofErr w:type="spellStart"/>
      <w:r w:rsidRPr="001B6EE9">
        <w:rPr>
          <w:rFonts w:ascii="Lato" w:hAnsi="Lato" w:cs="Calibri"/>
          <w:sz w:val="20"/>
          <w:szCs w:val="20"/>
        </w:rPr>
        <w:t>ofertach</w:t>
      </w:r>
      <w:proofErr w:type="spellEnd"/>
      <w:r w:rsidRPr="001B6EE9">
        <w:rPr>
          <w:rFonts w:ascii="Lato" w:hAnsi="Lato" w:cs="Calibri"/>
          <w:sz w:val="20"/>
          <w:szCs w:val="20"/>
        </w:rPr>
        <w:t xml:space="preserve"> </w:t>
      </w:r>
      <w:proofErr w:type="spellStart"/>
      <w:r w:rsidRPr="001B6EE9">
        <w:rPr>
          <w:rFonts w:ascii="Lato" w:hAnsi="Lato" w:cs="Calibri"/>
          <w:sz w:val="20"/>
          <w:szCs w:val="20"/>
        </w:rPr>
        <w:t>zostały</w:t>
      </w:r>
      <w:proofErr w:type="spellEnd"/>
      <w:r w:rsidRPr="001B6EE9">
        <w:rPr>
          <w:rFonts w:ascii="Lato" w:hAnsi="Lato" w:cs="Calibri"/>
          <w:sz w:val="20"/>
          <w:szCs w:val="20"/>
        </w:rPr>
        <w:t xml:space="preserve"> </w:t>
      </w:r>
      <w:proofErr w:type="spellStart"/>
      <w:r w:rsidRPr="001B6EE9">
        <w:rPr>
          <w:rFonts w:ascii="Lato" w:hAnsi="Lato" w:cs="Calibri"/>
          <w:sz w:val="20"/>
          <w:szCs w:val="20"/>
        </w:rPr>
        <w:t>osiągnięte</w:t>
      </w:r>
      <w:proofErr w:type="spellEnd"/>
      <w:r w:rsidRPr="001B6EE9">
        <w:rPr>
          <w:rFonts w:ascii="Lato" w:hAnsi="Lato" w:cs="Calibri"/>
          <w:sz w:val="20"/>
          <w:szCs w:val="20"/>
        </w:rPr>
        <w:t xml:space="preserve"> </w:t>
      </w:r>
      <w:proofErr w:type="spellStart"/>
      <w:r w:rsidRPr="001B6EE9">
        <w:rPr>
          <w:rFonts w:ascii="Lato" w:hAnsi="Lato" w:cs="Calibri"/>
          <w:sz w:val="20"/>
          <w:szCs w:val="20"/>
        </w:rPr>
        <w:t>poprzez</w:t>
      </w:r>
      <w:proofErr w:type="spellEnd"/>
      <w:r w:rsidRPr="001B6EE9">
        <w:rPr>
          <w:rFonts w:ascii="Lato" w:hAnsi="Lato" w:cs="Calibri"/>
          <w:sz w:val="20"/>
          <w:szCs w:val="20"/>
        </w:rPr>
        <w:t xml:space="preserve"> m.in.:</w:t>
      </w:r>
    </w:p>
    <w:p w14:paraId="6B0885F3"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tworzenie grup samopomocowych dla osób starszych, niepełnosprawnych,</w:t>
      </w:r>
    </w:p>
    <w:p w14:paraId="37AF64FB"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organizowanie zajęcia ruchowo-aktywizujących,</w:t>
      </w:r>
    </w:p>
    <w:p w14:paraId="1C984614"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 xml:space="preserve">zajęcia rozwijające zainteresowania, warsztaty kulinarne (żywieniowe i dietetyczne), rękodzielnicze, </w:t>
      </w:r>
      <w:proofErr w:type="spellStart"/>
      <w:r w:rsidRPr="001B6EE9">
        <w:rPr>
          <w:rFonts w:ascii="Lato" w:hAnsi="Lato" w:cs="Calibri"/>
          <w:sz w:val="20"/>
          <w:szCs w:val="20"/>
        </w:rPr>
        <w:t>psychoedukacyjne</w:t>
      </w:r>
      <w:proofErr w:type="spellEnd"/>
      <w:r w:rsidRPr="001B6EE9">
        <w:rPr>
          <w:rFonts w:ascii="Lato" w:hAnsi="Lato" w:cs="Calibri"/>
          <w:sz w:val="20"/>
          <w:szCs w:val="20"/>
        </w:rPr>
        <w:t>, aktywności społecznej, z edukacji cyfrowej, spotkania i wyjazdy integracyjne,</w:t>
      </w:r>
    </w:p>
    <w:p w14:paraId="03641740"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aktywizację kulturalną, tj. wyjście do kina, teatru,</w:t>
      </w:r>
    </w:p>
    <w:p w14:paraId="1BE39FE2"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 xml:space="preserve">integracja z lokalną społecznością, międzypokoleniowa z dziećmi i młodzieżą szkolną, organizacja spotkań prelekcji, dzielenie się wiedzą i doświadczeniem poprzez organizowanie wspólnych warsztatów,  </w:t>
      </w:r>
    </w:p>
    <w:p w14:paraId="10411472"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lastRenderedPageBreak/>
        <w:t>zajęcia edukacyjne, dyskusje - prelekcja kosmetyczki, lekarza, dietetyka, muzyka, literatura polecana,</w:t>
      </w:r>
    </w:p>
    <w:p w14:paraId="318F7D7C" w14:textId="77777777"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 xml:space="preserve">organizację zajęć manualnych, tj. florystyka, dziewiarstwo i krawiectwo, </w:t>
      </w:r>
      <w:proofErr w:type="spellStart"/>
      <w:r w:rsidRPr="001B6EE9">
        <w:rPr>
          <w:rFonts w:ascii="Lato" w:hAnsi="Lato" w:cs="Calibri"/>
          <w:sz w:val="20"/>
          <w:szCs w:val="20"/>
        </w:rPr>
        <w:t>decoupage</w:t>
      </w:r>
      <w:proofErr w:type="spellEnd"/>
      <w:r w:rsidRPr="001B6EE9">
        <w:rPr>
          <w:rFonts w:ascii="Lato" w:hAnsi="Lato" w:cs="Calibri"/>
          <w:sz w:val="20"/>
          <w:szCs w:val="20"/>
        </w:rPr>
        <w:t>,</w:t>
      </w:r>
    </w:p>
    <w:p w14:paraId="690C55CD" w14:textId="25971F10" w:rsidR="001B6EE9" w:rsidRPr="001B6EE9" w:rsidRDefault="001B6EE9" w:rsidP="0059185B">
      <w:pPr>
        <w:pStyle w:val="Akapitzlist"/>
        <w:numPr>
          <w:ilvl w:val="0"/>
          <w:numId w:val="127"/>
        </w:numPr>
        <w:suppressAutoHyphens/>
        <w:autoSpaceDN w:val="0"/>
        <w:spacing w:after="0" w:line="240" w:lineRule="auto"/>
        <w:jc w:val="both"/>
        <w:textAlignment w:val="baseline"/>
        <w:rPr>
          <w:rFonts w:ascii="Lato" w:hAnsi="Lato"/>
          <w:sz w:val="20"/>
          <w:szCs w:val="20"/>
        </w:rPr>
      </w:pPr>
      <w:r w:rsidRPr="001B6EE9">
        <w:rPr>
          <w:rFonts w:ascii="Lato" w:hAnsi="Lato" w:cs="Calibri"/>
          <w:sz w:val="20"/>
          <w:szCs w:val="20"/>
        </w:rPr>
        <w:t>zajęcia mające na celu poprawienie kondycji fizycznej, poprawienie kondycji psychicznej, rozwinięcie umiejętności w zakresie rękodzieła artystycznego, udział w warsztatach kosmetycznych spowoduje wyższe poczucie przynależności.</w:t>
      </w:r>
    </w:p>
    <w:p w14:paraId="72F18242" w14:textId="77777777" w:rsidR="001B6EE9" w:rsidRPr="001B6EE9" w:rsidRDefault="001B6EE9" w:rsidP="001B6EE9">
      <w:pPr>
        <w:pStyle w:val="Standard"/>
        <w:jc w:val="both"/>
        <w:rPr>
          <w:rFonts w:ascii="Lato" w:hAnsi="Lato"/>
          <w:sz w:val="20"/>
          <w:szCs w:val="20"/>
        </w:rPr>
      </w:pPr>
      <w:proofErr w:type="spellStart"/>
      <w:r w:rsidRPr="001B6EE9">
        <w:rPr>
          <w:rFonts w:ascii="Lato" w:hAnsi="Lato" w:cs="Calibri"/>
          <w:sz w:val="20"/>
          <w:szCs w:val="20"/>
        </w:rPr>
        <w:t>Realizacja</w:t>
      </w:r>
      <w:proofErr w:type="spellEnd"/>
      <w:r w:rsidRPr="001B6EE9">
        <w:rPr>
          <w:rFonts w:ascii="Lato" w:hAnsi="Lato" w:cs="Calibri"/>
          <w:sz w:val="20"/>
          <w:szCs w:val="20"/>
        </w:rPr>
        <w:t xml:space="preserve"> </w:t>
      </w:r>
      <w:proofErr w:type="spellStart"/>
      <w:r w:rsidRPr="001B6EE9">
        <w:rPr>
          <w:rFonts w:ascii="Lato" w:hAnsi="Lato" w:cs="Calibri"/>
          <w:sz w:val="20"/>
          <w:szCs w:val="20"/>
        </w:rPr>
        <w:t>projektu</w:t>
      </w:r>
      <w:proofErr w:type="spellEnd"/>
      <w:r w:rsidRPr="001B6EE9">
        <w:rPr>
          <w:rFonts w:ascii="Lato" w:hAnsi="Lato" w:cs="Calibri"/>
          <w:sz w:val="20"/>
          <w:szCs w:val="20"/>
        </w:rPr>
        <w:t xml:space="preserve"> </w:t>
      </w:r>
      <w:proofErr w:type="spellStart"/>
      <w:r w:rsidRPr="001B6EE9">
        <w:rPr>
          <w:rFonts w:ascii="Lato" w:hAnsi="Lato" w:cs="Calibri"/>
          <w:b/>
          <w:bCs/>
          <w:sz w:val="20"/>
          <w:szCs w:val="20"/>
        </w:rPr>
        <w:t>Warmińsko-Mazurska</w:t>
      </w:r>
      <w:proofErr w:type="spellEnd"/>
      <w:r w:rsidRPr="001B6EE9">
        <w:rPr>
          <w:rFonts w:ascii="Lato" w:hAnsi="Lato" w:cs="Calibri"/>
          <w:b/>
          <w:bCs/>
          <w:sz w:val="20"/>
          <w:szCs w:val="20"/>
        </w:rPr>
        <w:t xml:space="preserve"> </w:t>
      </w:r>
      <w:proofErr w:type="spellStart"/>
      <w:r w:rsidRPr="001B6EE9">
        <w:rPr>
          <w:rFonts w:ascii="Lato" w:hAnsi="Lato" w:cs="Calibri"/>
          <w:b/>
          <w:bCs/>
          <w:sz w:val="20"/>
          <w:szCs w:val="20"/>
        </w:rPr>
        <w:t>Karta</w:t>
      </w:r>
      <w:proofErr w:type="spellEnd"/>
      <w:r w:rsidRPr="001B6EE9">
        <w:rPr>
          <w:rFonts w:ascii="Lato" w:hAnsi="Lato" w:cs="Calibri"/>
          <w:b/>
          <w:bCs/>
          <w:sz w:val="20"/>
          <w:szCs w:val="20"/>
        </w:rPr>
        <w:t xml:space="preserve"> </w:t>
      </w:r>
      <w:proofErr w:type="spellStart"/>
      <w:r w:rsidRPr="001B6EE9">
        <w:rPr>
          <w:rFonts w:ascii="Lato" w:hAnsi="Lato" w:cs="Calibri"/>
          <w:b/>
          <w:bCs/>
          <w:sz w:val="20"/>
          <w:szCs w:val="20"/>
        </w:rPr>
        <w:t>Seniora</w:t>
      </w:r>
      <w:proofErr w:type="spellEnd"/>
      <w:r w:rsidRPr="001B6EE9">
        <w:rPr>
          <w:rFonts w:ascii="Lato" w:hAnsi="Lato" w:cs="Calibri"/>
          <w:b/>
          <w:bCs/>
          <w:sz w:val="20"/>
          <w:szCs w:val="20"/>
        </w:rPr>
        <w:t>,</w:t>
      </w:r>
      <w:r w:rsidRPr="001B6EE9">
        <w:rPr>
          <w:rFonts w:ascii="Lato" w:hAnsi="Lato" w:cs="Calibri"/>
          <w:sz w:val="20"/>
          <w:szCs w:val="20"/>
        </w:rPr>
        <w:t xml:space="preserve"> </w:t>
      </w:r>
      <w:proofErr w:type="spellStart"/>
      <w:r w:rsidRPr="001B6EE9">
        <w:rPr>
          <w:rFonts w:ascii="Lato" w:hAnsi="Lato" w:cs="Calibri"/>
          <w:sz w:val="20"/>
          <w:szCs w:val="20"/>
        </w:rPr>
        <w:t>który</w:t>
      </w:r>
      <w:proofErr w:type="spellEnd"/>
      <w:r w:rsidRPr="001B6EE9">
        <w:rPr>
          <w:rFonts w:ascii="Lato" w:hAnsi="Lato" w:cs="Calibri"/>
          <w:sz w:val="20"/>
          <w:szCs w:val="20"/>
        </w:rPr>
        <w:t xml:space="preserve"> </w:t>
      </w:r>
      <w:proofErr w:type="spellStart"/>
      <w:r w:rsidRPr="001B6EE9">
        <w:rPr>
          <w:rFonts w:ascii="Lato" w:hAnsi="Lato" w:cs="Calibri"/>
          <w:sz w:val="20"/>
          <w:szCs w:val="20"/>
        </w:rPr>
        <w:t>spotkał</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z </w:t>
      </w:r>
      <w:proofErr w:type="spellStart"/>
      <w:r w:rsidRPr="001B6EE9">
        <w:rPr>
          <w:rFonts w:ascii="Lato" w:hAnsi="Lato" w:cs="Calibri"/>
          <w:sz w:val="20"/>
          <w:szCs w:val="20"/>
        </w:rPr>
        <w:t>pozytywnym</w:t>
      </w:r>
      <w:proofErr w:type="spellEnd"/>
      <w:r w:rsidRPr="001B6EE9">
        <w:rPr>
          <w:rFonts w:ascii="Lato" w:hAnsi="Lato" w:cs="Calibri"/>
          <w:sz w:val="20"/>
          <w:szCs w:val="20"/>
        </w:rPr>
        <w:t xml:space="preserve"> </w:t>
      </w:r>
      <w:proofErr w:type="spellStart"/>
      <w:r w:rsidRPr="001B6EE9">
        <w:rPr>
          <w:rFonts w:ascii="Lato" w:hAnsi="Lato" w:cs="Calibri"/>
          <w:sz w:val="20"/>
          <w:szCs w:val="20"/>
        </w:rPr>
        <w:t>odbiorem</w:t>
      </w:r>
      <w:proofErr w:type="spellEnd"/>
      <w:r w:rsidRPr="001B6EE9">
        <w:rPr>
          <w:rFonts w:ascii="Lato" w:hAnsi="Lato" w:cs="Calibri"/>
          <w:sz w:val="20"/>
          <w:szCs w:val="20"/>
        </w:rPr>
        <w:t xml:space="preserve"> </w:t>
      </w:r>
      <w:proofErr w:type="spellStart"/>
      <w:r w:rsidRPr="001B6EE9">
        <w:rPr>
          <w:rFonts w:ascii="Lato" w:hAnsi="Lato" w:cs="Calibri"/>
          <w:sz w:val="20"/>
          <w:szCs w:val="20"/>
        </w:rPr>
        <w:t>mieszkańców</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 </w:t>
      </w:r>
      <w:proofErr w:type="spellStart"/>
      <w:r w:rsidRPr="001B6EE9">
        <w:rPr>
          <w:rFonts w:ascii="Lato" w:hAnsi="Lato" w:cs="Calibri"/>
          <w:sz w:val="20"/>
          <w:szCs w:val="20"/>
        </w:rPr>
        <w:t>wieku</w:t>
      </w:r>
      <w:proofErr w:type="spellEnd"/>
      <w:r w:rsidRPr="001B6EE9">
        <w:rPr>
          <w:rFonts w:ascii="Lato" w:hAnsi="Lato" w:cs="Calibri"/>
          <w:sz w:val="20"/>
          <w:szCs w:val="20"/>
        </w:rPr>
        <w:t xml:space="preserve"> </w:t>
      </w:r>
      <w:proofErr w:type="spellStart"/>
      <w:r w:rsidRPr="001B6EE9">
        <w:rPr>
          <w:rFonts w:ascii="Lato" w:hAnsi="Lato" w:cs="Calibri"/>
          <w:sz w:val="20"/>
          <w:szCs w:val="20"/>
        </w:rPr>
        <w:t>powyżej</w:t>
      </w:r>
      <w:proofErr w:type="spellEnd"/>
      <w:r w:rsidRPr="001B6EE9">
        <w:rPr>
          <w:rFonts w:ascii="Lato" w:hAnsi="Lato" w:cs="Calibri"/>
          <w:sz w:val="20"/>
          <w:szCs w:val="20"/>
        </w:rPr>
        <w:t xml:space="preserve"> 60 </w:t>
      </w:r>
      <w:proofErr w:type="spellStart"/>
      <w:r w:rsidRPr="001B6EE9">
        <w:rPr>
          <w:rFonts w:ascii="Lato" w:hAnsi="Lato" w:cs="Calibri"/>
          <w:sz w:val="20"/>
          <w:szCs w:val="20"/>
        </w:rPr>
        <w:t>r.ż</w:t>
      </w:r>
      <w:proofErr w:type="spellEnd"/>
      <w:r w:rsidRPr="001B6EE9">
        <w:rPr>
          <w:rFonts w:ascii="Lato" w:hAnsi="Lato" w:cs="Calibri"/>
          <w:sz w:val="20"/>
          <w:szCs w:val="20"/>
        </w:rPr>
        <w:t xml:space="preserve">. W </w:t>
      </w:r>
      <w:proofErr w:type="spellStart"/>
      <w:r w:rsidRPr="001B6EE9">
        <w:rPr>
          <w:rFonts w:ascii="Lato" w:hAnsi="Lato" w:cs="Calibri"/>
          <w:sz w:val="20"/>
          <w:szCs w:val="20"/>
        </w:rPr>
        <w:t>jego</w:t>
      </w:r>
      <w:proofErr w:type="spellEnd"/>
      <w:r w:rsidRPr="001B6EE9">
        <w:rPr>
          <w:rFonts w:ascii="Lato" w:hAnsi="Lato" w:cs="Calibri"/>
          <w:sz w:val="20"/>
          <w:szCs w:val="20"/>
        </w:rPr>
        <w:t xml:space="preserve"> </w:t>
      </w:r>
      <w:proofErr w:type="spellStart"/>
      <w:r w:rsidRPr="001B6EE9">
        <w:rPr>
          <w:rFonts w:ascii="Lato" w:hAnsi="Lato" w:cs="Calibri"/>
          <w:sz w:val="20"/>
          <w:szCs w:val="20"/>
        </w:rPr>
        <w:t>promocję</w:t>
      </w:r>
      <w:proofErr w:type="spellEnd"/>
      <w:r w:rsidRPr="001B6EE9">
        <w:rPr>
          <w:rFonts w:ascii="Lato" w:hAnsi="Lato" w:cs="Calibri"/>
          <w:sz w:val="20"/>
          <w:szCs w:val="20"/>
        </w:rPr>
        <w:t xml:space="preserve"> </w:t>
      </w:r>
      <w:proofErr w:type="spellStart"/>
      <w:r w:rsidRPr="001B6EE9">
        <w:rPr>
          <w:rFonts w:ascii="Lato" w:hAnsi="Lato" w:cs="Calibri"/>
          <w:sz w:val="20"/>
          <w:szCs w:val="20"/>
        </w:rPr>
        <w:t>aktywnie</w:t>
      </w:r>
      <w:proofErr w:type="spellEnd"/>
      <w:r w:rsidRPr="001B6EE9">
        <w:rPr>
          <w:rFonts w:ascii="Lato" w:hAnsi="Lato" w:cs="Calibri"/>
          <w:sz w:val="20"/>
          <w:szCs w:val="20"/>
        </w:rPr>
        <w:t xml:space="preserve"> </w:t>
      </w:r>
      <w:proofErr w:type="spellStart"/>
      <w:r w:rsidRPr="001B6EE9">
        <w:rPr>
          <w:rFonts w:ascii="Lato" w:hAnsi="Lato" w:cs="Calibri"/>
          <w:sz w:val="20"/>
          <w:szCs w:val="20"/>
        </w:rPr>
        <w:t>włączyły</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organizacje</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seniorskie</w:t>
      </w:r>
      <w:proofErr w:type="spellEnd"/>
      <w:r w:rsidRPr="001B6EE9">
        <w:rPr>
          <w:rFonts w:ascii="Lato" w:hAnsi="Lato" w:cs="Calibri"/>
          <w:sz w:val="20"/>
          <w:szCs w:val="20"/>
        </w:rPr>
        <w:t xml:space="preserve">. Do </w:t>
      </w:r>
      <w:proofErr w:type="spellStart"/>
      <w:r w:rsidRPr="001B6EE9">
        <w:rPr>
          <w:rFonts w:ascii="Lato" w:hAnsi="Lato" w:cs="Calibri"/>
          <w:sz w:val="20"/>
          <w:szCs w:val="20"/>
        </w:rPr>
        <w:t>końca</w:t>
      </w:r>
      <w:proofErr w:type="spellEnd"/>
      <w:r w:rsidRPr="001B6EE9">
        <w:rPr>
          <w:rFonts w:ascii="Lato" w:hAnsi="Lato" w:cs="Calibri"/>
          <w:sz w:val="20"/>
          <w:szCs w:val="20"/>
        </w:rPr>
        <w:t xml:space="preserve"> 2022 r. </w:t>
      </w:r>
      <w:proofErr w:type="spellStart"/>
      <w:r w:rsidRPr="001B6EE9">
        <w:rPr>
          <w:rFonts w:ascii="Lato" w:hAnsi="Lato" w:cs="Calibri"/>
          <w:sz w:val="20"/>
          <w:szCs w:val="20"/>
        </w:rPr>
        <w:t>wydano</w:t>
      </w:r>
      <w:proofErr w:type="spellEnd"/>
      <w:r w:rsidRPr="001B6EE9">
        <w:rPr>
          <w:rFonts w:ascii="Lato" w:hAnsi="Lato" w:cs="Calibri"/>
          <w:sz w:val="20"/>
          <w:szCs w:val="20"/>
        </w:rPr>
        <w:t xml:space="preserve"> 11583 </w:t>
      </w:r>
      <w:proofErr w:type="spellStart"/>
      <w:r w:rsidRPr="001B6EE9">
        <w:rPr>
          <w:rFonts w:ascii="Lato" w:hAnsi="Lato" w:cs="Calibri"/>
          <w:sz w:val="20"/>
          <w:szCs w:val="20"/>
        </w:rPr>
        <w:t>karty</w:t>
      </w:r>
      <w:proofErr w:type="spellEnd"/>
      <w:r w:rsidRPr="001B6EE9">
        <w:rPr>
          <w:rFonts w:ascii="Lato" w:hAnsi="Lato" w:cs="Calibri"/>
          <w:sz w:val="20"/>
          <w:szCs w:val="20"/>
        </w:rPr>
        <w:t xml:space="preserve">. Do </w:t>
      </w:r>
      <w:proofErr w:type="spellStart"/>
      <w:r w:rsidRPr="001B6EE9">
        <w:rPr>
          <w:rFonts w:ascii="Lato" w:hAnsi="Lato" w:cs="Calibri"/>
          <w:sz w:val="20"/>
          <w:szCs w:val="20"/>
        </w:rPr>
        <w:t>projektu</w:t>
      </w:r>
      <w:proofErr w:type="spellEnd"/>
      <w:r w:rsidRPr="001B6EE9">
        <w:rPr>
          <w:rFonts w:ascii="Lato" w:hAnsi="Lato" w:cs="Calibri"/>
          <w:sz w:val="20"/>
          <w:szCs w:val="20"/>
        </w:rPr>
        <w:t xml:space="preserve"> </w:t>
      </w:r>
      <w:proofErr w:type="spellStart"/>
      <w:r w:rsidRPr="001B6EE9">
        <w:rPr>
          <w:rFonts w:ascii="Lato" w:hAnsi="Lato" w:cs="Calibri"/>
          <w:sz w:val="20"/>
          <w:szCs w:val="20"/>
        </w:rPr>
        <w:t>przystąpiły</w:t>
      </w:r>
      <w:proofErr w:type="spellEnd"/>
      <w:r w:rsidRPr="001B6EE9">
        <w:rPr>
          <w:rFonts w:ascii="Lato" w:hAnsi="Lato" w:cs="Calibri"/>
          <w:sz w:val="20"/>
          <w:szCs w:val="20"/>
        </w:rPr>
        <w:t xml:space="preserve"> 43 </w:t>
      </w:r>
      <w:proofErr w:type="spellStart"/>
      <w:r w:rsidRPr="001B6EE9">
        <w:rPr>
          <w:rFonts w:ascii="Lato" w:hAnsi="Lato" w:cs="Calibri"/>
          <w:sz w:val="20"/>
          <w:szCs w:val="20"/>
        </w:rPr>
        <w:t>firmy</w:t>
      </w:r>
      <w:proofErr w:type="spellEnd"/>
      <w:r w:rsidRPr="001B6EE9">
        <w:rPr>
          <w:rFonts w:ascii="Lato" w:hAnsi="Lato" w:cs="Calibri"/>
          <w:sz w:val="20"/>
          <w:szCs w:val="20"/>
        </w:rPr>
        <w:t xml:space="preserve"> i </w:t>
      </w:r>
      <w:proofErr w:type="spellStart"/>
      <w:r w:rsidRPr="001B6EE9">
        <w:rPr>
          <w:rFonts w:ascii="Lato" w:hAnsi="Lato" w:cs="Calibri"/>
          <w:sz w:val="20"/>
          <w:szCs w:val="20"/>
        </w:rPr>
        <w:t>instytucje</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8 </w:t>
      </w:r>
      <w:proofErr w:type="spellStart"/>
      <w:r w:rsidRPr="001B6EE9">
        <w:rPr>
          <w:rFonts w:ascii="Lato" w:hAnsi="Lato" w:cs="Calibri"/>
          <w:sz w:val="20"/>
          <w:szCs w:val="20"/>
        </w:rPr>
        <w:t>samorządów</w:t>
      </w:r>
      <w:proofErr w:type="spellEnd"/>
      <w:r w:rsidRPr="001B6EE9">
        <w:rPr>
          <w:rFonts w:ascii="Lato" w:hAnsi="Lato" w:cs="Calibri"/>
          <w:sz w:val="20"/>
          <w:szCs w:val="20"/>
        </w:rPr>
        <w:t xml:space="preserve"> </w:t>
      </w:r>
      <w:proofErr w:type="spellStart"/>
      <w:r w:rsidRPr="001B6EE9">
        <w:rPr>
          <w:rFonts w:ascii="Lato" w:hAnsi="Lato" w:cs="Calibri"/>
          <w:sz w:val="20"/>
          <w:szCs w:val="20"/>
        </w:rPr>
        <w:t>gminnych</w:t>
      </w:r>
      <w:proofErr w:type="spellEnd"/>
      <w:r w:rsidRPr="001B6EE9">
        <w:rPr>
          <w:rFonts w:ascii="Lato" w:hAnsi="Lato" w:cs="Calibri"/>
          <w:sz w:val="20"/>
          <w:szCs w:val="20"/>
        </w:rPr>
        <w:t xml:space="preserve"> i 3 </w:t>
      </w:r>
      <w:proofErr w:type="spellStart"/>
      <w:r w:rsidRPr="001B6EE9">
        <w:rPr>
          <w:rFonts w:ascii="Lato" w:hAnsi="Lato" w:cs="Calibri"/>
          <w:sz w:val="20"/>
          <w:szCs w:val="20"/>
        </w:rPr>
        <w:t>powiaty</w:t>
      </w:r>
      <w:proofErr w:type="spellEnd"/>
      <w:r w:rsidRPr="001B6EE9">
        <w:rPr>
          <w:rFonts w:ascii="Lato" w:hAnsi="Lato" w:cs="Calibri"/>
          <w:sz w:val="20"/>
          <w:szCs w:val="20"/>
        </w:rPr>
        <w:t>.</w:t>
      </w:r>
    </w:p>
    <w:p w14:paraId="6B06D604" w14:textId="77777777" w:rsidR="001B6EE9" w:rsidRPr="001B6EE9" w:rsidRDefault="001B6EE9" w:rsidP="001B6EE9">
      <w:pPr>
        <w:pStyle w:val="Standard"/>
        <w:jc w:val="both"/>
        <w:rPr>
          <w:rFonts w:ascii="Lato" w:hAnsi="Lato"/>
          <w:sz w:val="20"/>
          <w:szCs w:val="20"/>
        </w:rPr>
      </w:pPr>
    </w:p>
    <w:p w14:paraId="4900D566" w14:textId="16AF823F" w:rsidR="001B6EE9" w:rsidRPr="001B6EE9" w:rsidRDefault="001B6EE9" w:rsidP="001B6EE9">
      <w:pPr>
        <w:pStyle w:val="Standard"/>
        <w:jc w:val="both"/>
        <w:rPr>
          <w:rFonts w:ascii="Lato" w:hAnsi="Lato"/>
          <w:sz w:val="20"/>
          <w:szCs w:val="20"/>
        </w:rPr>
      </w:pPr>
      <w:r w:rsidRPr="001B6EE9">
        <w:rPr>
          <w:rFonts w:ascii="Lato" w:hAnsi="Lato" w:cs="Calibri"/>
          <w:sz w:val="20"/>
          <w:szCs w:val="20"/>
        </w:rPr>
        <w:t>W  2022</w:t>
      </w:r>
      <w:r>
        <w:rPr>
          <w:rFonts w:ascii="Lato" w:hAnsi="Lato" w:cs="Calibri"/>
          <w:sz w:val="20"/>
          <w:szCs w:val="20"/>
        </w:rPr>
        <w:t xml:space="preserve"> r.</w:t>
      </w:r>
      <w:r w:rsidRPr="001B6EE9">
        <w:rPr>
          <w:rFonts w:ascii="Lato" w:hAnsi="Lato" w:cs="Calibri"/>
          <w:sz w:val="20"/>
          <w:szCs w:val="20"/>
        </w:rPr>
        <w:t xml:space="preserve"> z </w:t>
      </w:r>
      <w:proofErr w:type="spellStart"/>
      <w:r w:rsidRPr="001B6EE9">
        <w:rPr>
          <w:rFonts w:ascii="Lato" w:hAnsi="Lato" w:cs="Calibri"/>
          <w:sz w:val="20"/>
          <w:szCs w:val="20"/>
        </w:rPr>
        <w:t>inicjatywy</w:t>
      </w:r>
      <w:proofErr w:type="spellEnd"/>
      <w:r w:rsidRPr="001B6EE9">
        <w:rPr>
          <w:rFonts w:ascii="Lato" w:hAnsi="Lato" w:cs="Calibri"/>
          <w:sz w:val="20"/>
          <w:szCs w:val="20"/>
        </w:rPr>
        <w:t xml:space="preserve"> </w:t>
      </w:r>
      <w:proofErr w:type="spellStart"/>
      <w:r w:rsidRPr="001B6EE9">
        <w:rPr>
          <w:rFonts w:ascii="Lato" w:hAnsi="Lato" w:cs="Calibri"/>
          <w:sz w:val="20"/>
          <w:szCs w:val="20"/>
        </w:rPr>
        <w:t>Pełnomocnika</w:t>
      </w:r>
      <w:proofErr w:type="spellEnd"/>
      <w:r w:rsidRPr="001B6EE9">
        <w:rPr>
          <w:rFonts w:ascii="Lato" w:hAnsi="Lato" w:cs="Calibri"/>
          <w:sz w:val="20"/>
          <w:szCs w:val="20"/>
        </w:rPr>
        <w:t xml:space="preserve"> </w:t>
      </w:r>
      <w:proofErr w:type="spellStart"/>
      <w:r w:rsidRPr="001B6EE9">
        <w:rPr>
          <w:rFonts w:ascii="Lato" w:hAnsi="Lato" w:cs="Calibri"/>
          <w:sz w:val="20"/>
          <w:szCs w:val="20"/>
        </w:rPr>
        <w:t>Wojewody</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w:t>
      </w:r>
      <w:proofErr w:type="spellStart"/>
      <w:r w:rsidRPr="001B6EE9">
        <w:rPr>
          <w:rFonts w:ascii="Lato" w:hAnsi="Lato" w:cs="Calibri"/>
          <w:sz w:val="20"/>
          <w:szCs w:val="20"/>
        </w:rPr>
        <w:t>ds</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Pełnomocnik</w:t>
      </w:r>
      <w:proofErr w:type="spellEnd"/>
      <w:r w:rsidRPr="001B6EE9">
        <w:rPr>
          <w:rFonts w:ascii="Lato" w:hAnsi="Lato" w:cs="Calibri"/>
          <w:sz w:val="20"/>
          <w:szCs w:val="20"/>
        </w:rPr>
        <w:t xml:space="preserve"> </w:t>
      </w:r>
      <w:proofErr w:type="spellStart"/>
      <w:r w:rsidRPr="001B6EE9">
        <w:rPr>
          <w:rFonts w:ascii="Lato" w:hAnsi="Lato" w:cs="Calibri"/>
          <w:sz w:val="20"/>
          <w:szCs w:val="20"/>
        </w:rPr>
        <w:t>wraz</w:t>
      </w:r>
      <w:proofErr w:type="spellEnd"/>
      <w:r w:rsidRPr="001B6EE9">
        <w:rPr>
          <w:rFonts w:ascii="Lato" w:hAnsi="Lato" w:cs="Calibri"/>
          <w:sz w:val="20"/>
          <w:szCs w:val="20"/>
        </w:rPr>
        <w:t xml:space="preserve"> z </w:t>
      </w:r>
      <w:proofErr w:type="spellStart"/>
      <w:r w:rsidRPr="001B6EE9">
        <w:rPr>
          <w:rFonts w:ascii="Lato" w:hAnsi="Lato" w:cs="Calibri"/>
          <w:sz w:val="20"/>
          <w:szCs w:val="20"/>
        </w:rPr>
        <w:t>pracownikami</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w:t>
      </w:r>
      <w:proofErr w:type="spellStart"/>
      <w:r w:rsidRPr="001B6EE9">
        <w:rPr>
          <w:rFonts w:ascii="Lato" w:hAnsi="Lato" w:cs="Calibri"/>
          <w:sz w:val="20"/>
          <w:szCs w:val="20"/>
        </w:rPr>
        <w:t>Urzędu</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Wojewódzkiego</w:t>
      </w:r>
      <w:proofErr w:type="spellEnd"/>
      <w:r w:rsidRPr="001B6EE9">
        <w:rPr>
          <w:rFonts w:ascii="Lato" w:hAnsi="Lato" w:cs="Calibri"/>
          <w:sz w:val="20"/>
          <w:szCs w:val="20"/>
        </w:rPr>
        <w:t xml:space="preserve"> </w:t>
      </w:r>
      <w:proofErr w:type="spellStart"/>
      <w:r w:rsidRPr="001B6EE9">
        <w:rPr>
          <w:rFonts w:ascii="Lato" w:hAnsi="Lato" w:cs="Calibri"/>
          <w:bCs/>
          <w:sz w:val="20"/>
          <w:szCs w:val="20"/>
        </w:rPr>
        <w:t>zajmującymi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się</w:t>
      </w:r>
      <w:proofErr w:type="spellEnd"/>
      <w:r>
        <w:rPr>
          <w:rFonts w:ascii="Lato" w:hAnsi="Lato" w:cs="Calibri"/>
          <w:bCs/>
          <w:sz w:val="20"/>
          <w:szCs w:val="20"/>
        </w:rPr>
        <w:t xml:space="preserve"> </w:t>
      </w:r>
      <w:proofErr w:type="spellStart"/>
      <w:r w:rsidRPr="001B6EE9">
        <w:rPr>
          <w:rFonts w:ascii="Lato" w:hAnsi="Lato" w:cs="Calibri"/>
          <w:bCs/>
          <w:sz w:val="20"/>
          <w:szCs w:val="20"/>
        </w:rPr>
        <w:t>przeciwdziałaniem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przemocy</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rodzinie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opracował</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projekt</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pt</w:t>
      </w:r>
      <w:proofErr w:type="spellEnd"/>
      <w:r w:rsidRPr="001B6EE9">
        <w:rPr>
          <w:rFonts w:ascii="Lato" w:hAnsi="Lato" w:cs="Calibri"/>
          <w:b/>
          <w:sz w:val="20"/>
          <w:szCs w:val="20"/>
        </w:rPr>
        <w:t xml:space="preserve">. </w:t>
      </w:r>
      <w:r w:rsidRPr="001B6EE9">
        <w:rPr>
          <w:rFonts w:ascii="Lato" w:hAnsi="Lato" w:cs="Calibri"/>
          <w:sz w:val="20"/>
          <w:szCs w:val="20"/>
        </w:rPr>
        <w:t>,,</w:t>
      </w:r>
      <w:proofErr w:type="spellStart"/>
      <w:r w:rsidRPr="001B6EE9">
        <w:rPr>
          <w:rFonts w:ascii="Lato" w:hAnsi="Lato" w:cs="Calibri"/>
          <w:sz w:val="20"/>
          <w:szCs w:val="20"/>
        </w:rPr>
        <w:t>Świadomość</w:t>
      </w:r>
      <w:proofErr w:type="spellEnd"/>
      <w:r w:rsidRPr="001B6EE9">
        <w:rPr>
          <w:rFonts w:ascii="Lato" w:hAnsi="Lato" w:cs="Calibri"/>
          <w:sz w:val="20"/>
          <w:szCs w:val="20"/>
        </w:rPr>
        <w:t xml:space="preserve">. </w:t>
      </w:r>
      <w:proofErr w:type="spellStart"/>
      <w:r w:rsidRPr="001B6EE9">
        <w:rPr>
          <w:rFonts w:ascii="Lato" w:hAnsi="Lato" w:cs="Calibri"/>
          <w:sz w:val="20"/>
          <w:szCs w:val="20"/>
        </w:rPr>
        <w:t>Bezpieczeństwo</w:t>
      </w:r>
      <w:proofErr w:type="spellEnd"/>
      <w:r w:rsidRPr="001B6EE9">
        <w:rPr>
          <w:rFonts w:ascii="Lato" w:hAnsi="Lato" w:cs="Calibri"/>
          <w:sz w:val="20"/>
          <w:szCs w:val="20"/>
        </w:rPr>
        <w:t xml:space="preserve">. </w:t>
      </w:r>
      <w:proofErr w:type="spellStart"/>
      <w:r w:rsidRPr="001B6EE9">
        <w:rPr>
          <w:rFonts w:ascii="Lato" w:hAnsi="Lato" w:cs="Calibri"/>
          <w:sz w:val="20"/>
          <w:szCs w:val="20"/>
        </w:rPr>
        <w:t>Wsparcie</w:t>
      </w:r>
      <w:proofErr w:type="spellEnd"/>
      <w:r w:rsidRPr="001B6EE9">
        <w:rPr>
          <w:rFonts w:ascii="Lato" w:hAnsi="Lato" w:cs="Calibri"/>
          <w:sz w:val="20"/>
          <w:szCs w:val="20"/>
        </w:rPr>
        <w:t xml:space="preserve">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w:t>
      </w:r>
      <w:proofErr w:type="spellStart"/>
      <w:r w:rsidRPr="001B6EE9">
        <w:rPr>
          <w:rFonts w:ascii="Lato" w:hAnsi="Lato" w:cs="Calibri"/>
          <w:sz w:val="20"/>
          <w:szCs w:val="20"/>
        </w:rPr>
        <w:t>Starszych</w:t>
      </w:r>
      <w:proofErr w:type="spellEnd"/>
      <w:r w:rsidRPr="001B6EE9">
        <w:rPr>
          <w:rFonts w:ascii="Lato" w:hAnsi="Lato" w:cs="Calibri"/>
          <w:sz w:val="20"/>
          <w:szCs w:val="20"/>
        </w:rPr>
        <w:t xml:space="preserve">'' </w:t>
      </w:r>
      <w:r w:rsidRPr="001B6EE9">
        <w:rPr>
          <w:rFonts w:ascii="Lato" w:hAnsi="Lato" w:cs="Calibri"/>
          <w:bCs/>
          <w:sz w:val="20"/>
          <w:szCs w:val="20"/>
        </w:rPr>
        <w:t xml:space="preserve">w </w:t>
      </w:r>
      <w:proofErr w:type="spellStart"/>
      <w:r w:rsidRPr="001B6EE9">
        <w:rPr>
          <w:rFonts w:ascii="Lato" w:hAnsi="Lato" w:cs="Calibri"/>
          <w:bCs/>
          <w:sz w:val="20"/>
          <w:szCs w:val="20"/>
        </w:rPr>
        <w:t>ramach</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którego</w:t>
      </w:r>
      <w:proofErr w:type="spellEnd"/>
      <w:r w:rsidRPr="001B6EE9">
        <w:rPr>
          <w:rFonts w:ascii="Lato" w:hAnsi="Lato" w:cs="Calibri"/>
          <w:b/>
          <w:sz w:val="20"/>
          <w:szCs w:val="20"/>
        </w:rPr>
        <w:t xml:space="preserve"> </w:t>
      </w:r>
      <w:r w:rsidRPr="001B6EE9">
        <w:rPr>
          <w:rFonts w:ascii="Lato" w:hAnsi="Lato" w:cs="Calibri"/>
          <w:sz w:val="20"/>
          <w:szCs w:val="20"/>
        </w:rPr>
        <w:t xml:space="preserve">14 </w:t>
      </w:r>
      <w:proofErr w:type="spellStart"/>
      <w:r w:rsidRPr="001B6EE9">
        <w:rPr>
          <w:rFonts w:ascii="Lato" w:hAnsi="Lato" w:cs="Calibri"/>
          <w:sz w:val="20"/>
          <w:szCs w:val="20"/>
        </w:rPr>
        <w:t>listopada</w:t>
      </w:r>
      <w:proofErr w:type="spellEnd"/>
      <w:r w:rsidRPr="001B6EE9">
        <w:rPr>
          <w:rFonts w:ascii="Lato" w:hAnsi="Lato" w:cs="Calibri"/>
          <w:sz w:val="20"/>
          <w:szCs w:val="20"/>
        </w:rPr>
        <w:t xml:space="preserve"> 2022 r.,  z </w:t>
      </w:r>
      <w:proofErr w:type="spellStart"/>
      <w:r w:rsidRPr="001B6EE9">
        <w:rPr>
          <w:rFonts w:ascii="Lato" w:hAnsi="Lato" w:cs="Calibri"/>
          <w:sz w:val="20"/>
          <w:szCs w:val="20"/>
        </w:rPr>
        <w:t>okazji</w:t>
      </w:r>
      <w:proofErr w:type="spellEnd"/>
      <w:r w:rsidRPr="001B6EE9">
        <w:rPr>
          <w:rFonts w:ascii="Lato" w:hAnsi="Lato" w:cs="Calibri"/>
          <w:sz w:val="20"/>
          <w:szCs w:val="20"/>
        </w:rPr>
        <w:t xml:space="preserve"> </w:t>
      </w:r>
      <w:proofErr w:type="spellStart"/>
      <w:r w:rsidRPr="001B6EE9">
        <w:rPr>
          <w:rFonts w:ascii="Lato" w:hAnsi="Lato" w:cs="Calibri"/>
          <w:sz w:val="20"/>
          <w:szCs w:val="20"/>
        </w:rPr>
        <w:t>Światowego</w:t>
      </w:r>
      <w:proofErr w:type="spellEnd"/>
      <w:r w:rsidRPr="001B6EE9">
        <w:rPr>
          <w:rFonts w:ascii="Lato" w:hAnsi="Lato" w:cs="Calibri"/>
          <w:sz w:val="20"/>
          <w:szCs w:val="20"/>
        </w:rPr>
        <w:t xml:space="preserve"> </w:t>
      </w:r>
      <w:proofErr w:type="spellStart"/>
      <w:r w:rsidRPr="001B6EE9">
        <w:rPr>
          <w:rFonts w:ascii="Lato" w:hAnsi="Lato" w:cs="Calibri"/>
          <w:sz w:val="20"/>
          <w:szCs w:val="20"/>
        </w:rPr>
        <w:t>Dnia</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w:t>
      </w:r>
      <w:proofErr w:type="spellEnd"/>
      <w:r w:rsidRPr="001B6EE9">
        <w:rPr>
          <w:rFonts w:ascii="Lato" w:hAnsi="Lato" w:cs="Calibri"/>
          <w:sz w:val="20"/>
          <w:szCs w:val="20"/>
        </w:rPr>
        <w:t xml:space="preserve">, w </w:t>
      </w:r>
      <w:proofErr w:type="spellStart"/>
      <w:r w:rsidRPr="001B6EE9">
        <w:rPr>
          <w:rFonts w:ascii="Lato" w:hAnsi="Lato" w:cs="Calibri"/>
          <w:sz w:val="20"/>
          <w:szCs w:val="20"/>
        </w:rPr>
        <w:t>Warmińsko-Mazurskim</w:t>
      </w:r>
      <w:proofErr w:type="spellEnd"/>
      <w:r w:rsidRPr="001B6EE9">
        <w:rPr>
          <w:rFonts w:ascii="Lato" w:hAnsi="Lato" w:cs="Calibri"/>
          <w:sz w:val="20"/>
          <w:szCs w:val="20"/>
        </w:rPr>
        <w:t xml:space="preserve"> </w:t>
      </w:r>
      <w:proofErr w:type="spellStart"/>
      <w:r w:rsidRPr="001B6EE9">
        <w:rPr>
          <w:rFonts w:ascii="Lato" w:hAnsi="Lato" w:cs="Calibri"/>
          <w:sz w:val="20"/>
          <w:szCs w:val="20"/>
        </w:rPr>
        <w:t>Urzędzie</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Wojewódzkim</w:t>
      </w:r>
      <w:proofErr w:type="spellEnd"/>
      <w:r w:rsidRPr="001B6EE9">
        <w:rPr>
          <w:rFonts w:ascii="Lato" w:hAnsi="Lato" w:cs="Calibri"/>
          <w:sz w:val="20"/>
          <w:szCs w:val="20"/>
        </w:rPr>
        <w:t xml:space="preserve"> </w:t>
      </w:r>
      <w:proofErr w:type="spellStart"/>
      <w:r w:rsidRPr="001B6EE9">
        <w:rPr>
          <w:rFonts w:ascii="Lato" w:hAnsi="Lato" w:cs="Calibri"/>
          <w:sz w:val="20"/>
          <w:szCs w:val="20"/>
        </w:rPr>
        <w:t>została</w:t>
      </w:r>
      <w:proofErr w:type="spellEnd"/>
      <w:r w:rsidRPr="001B6EE9">
        <w:rPr>
          <w:rFonts w:ascii="Lato" w:hAnsi="Lato" w:cs="Calibri"/>
          <w:sz w:val="20"/>
          <w:szCs w:val="20"/>
        </w:rPr>
        <w:t xml:space="preserve"> </w:t>
      </w:r>
      <w:proofErr w:type="spellStart"/>
      <w:r w:rsidRPr="001B6EE9">
        <w:rPr>
          <w:rFonts w:ascii="Lato" w:hAnsi="Lato" w:cs="Calibri"/>
          <w:sz w:val="20"/>
          <w:szCs w:val="20"/>
        </w:rPr>
        <w:t>zorganizowana</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Wojewódzka</w:t>
      </w:r>
      <w:proofErr w:type="spellEnd"/>
      <w:r w:rsidRPr="001B6EE9">
        <w:rPr>
          <w:rFonts w:ascii="Lato" w:hAnsi="Lato" w:cs="Calibri"/>
          <w:sz w:val="20"/>
          <w:szCs w:val="20"/>
        </w:rPr>
        <w:t xml:space="preserve"> </w:t>
      </w:r>
      <w:proofErr w:type="spellStart"/>
      <w:r w:rsidRPr="001B6EE9">
        <w:rPr>
          <w:rFonts w:ascii="Lato" w:hAnsi="Lato" w:cs="Calibri"/>
          <w:sz w:val="20"/>
          <w:szCs w:val="20"/>
        </w:rPr>
        <w:t>Konferencja</w:t>
      </w:r>
      <w:proofErr w:type="spellEnd"/>
      <w:r w:rsidRPr="001B6EE9">
        <w:rPr>
          <w:rFonts w:ascii="Lato" w:hAnsi="Lato" w:cs="Calibri"/>
          <w:sz w:val="20"/>
          <w:szCs w:val="20"/>
        </w:rPr>
        <w:t xml:space="preserve"> </w:t>
      </w:r>
      <w:proofErr w:type="spellStart"/>
      <w:r w:rsidRPr="001B6EE9">
        <w:rPr>
          <w:rFonts w:ascii="Lato" w:hAnsi="Lato" w:cs="Calibri"/>
          <w:sz w:val="20"/>
          <w:szCs w:val="20"/>
        </w:rPr>
        <w:t>dotycząca</w:t>
      </w:r>
      <w:proofErr w:type="spellEnd"/>
      <w:r w:rsidRPr="001B6EE9">
        <w:rPr>
          <w:rFonts w:ascii="Lato" w:hAnsi="Lato" w:cs="Calibri"/>
          <w:sz w:val="20"/>
          <w:szCs w:val="20"/>
        </w:rPr>
        <w:t xml:space="preserve"> </w:t>
      </w:r>
      <w:proofErr w:type="spellStart"/>
      <w:r w:rsidRPr="001B6EE9">
        <w:rPr>
          <w:rFonts w:ascii="Lato" w:hAnsi="Lato" w:cs="Calibri"/>
          <w:sz w:val="20"/>
          <w:szCs w:val="20"/>
        </w:rPr>
        <w:t>problemu</w:t>
      </w:r>
      <w:proofErr w:type="spellEnd"/>
      <w:r w:rsidRPr="001B6EE9">
        <w:rPr>
          <w:rFonts w:ascii="Lato" w:hAnsi="Lato" w:cs="Calibri"/>
          <w:sz w:val="20"/>
          <w:szCs w:val="20"/>
        </w:rPr>
        <w:t xml:space="preserve"> </w:t>
      </w:r>
      <w:proofErr w:type="spellStart"/>
      <w:r w:rsidRPr="001B6EE9">
        <w:rPr>
          <w:rFonts w:ascii="Lato" w:hAnsi="Lato" w:cs="Calibri"/>
          <w:sz w:val="20"/>
          <w:szCs w:val="20"/>
        </w:rPr>
        <w:t>przemocy</w:t>
      </w:r>
      <w:proofErr w:type="spellEnd"/>
      <w:r w:rsidRPr="001B6EE9">
        <w:rPr>
          <w:rFonts w:ascii="Lato" w:hAnsi="Lato" w:cs="Calibri"/>
          <w:sz w:val="20"/>
          <w:szCs w:val="20"/>
        </w:rPr>
        <w:t xml:space="preserve"> </w:t>
      </w:r>
      <w:proofErr w:type="spellStart"/>
      <w:r w:rsidRPr="001B6EE9">
        <w:rPr>
          <w:rFonts w:ascii="Lato" w:hAnsi="Lato" w:cs="Calibri"/>
          <w:sz w:val="20"/>
          <w:szCs w:val="20"/>
        </w:rPr>
        <w:t>wobec</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w:t>
      </w:r>
      <w:r>
        <w:rPr>
          <w:rFonts w:ascii="Lato" w:hAnsi="Lato"/>
          <w:sz w:val="20"/>
          <w:szCs w:val="20"/>
        </w:rPr>
        <w:t xml:space="preserve"> </w:t>
      </w:r>
      <w:proofErr w:type="spellStart"/>
      <w:r w:rsidRPr="001B6EE9">
        <w:rPr>
          <w:rFonts w:ascii="Lato" w:hAnsi="Lato" w:cs="Calibri"/>
          <w:sz w:val="20"/>
          <w:szCs w:val="20"/>
        </w:rPr>
        <w:t>Pełnomocnik</w:t>
      </w:r>
      <w:proofErr w:type="spellEnd"/>
      <w:r w:rsidRPr="001B6EE9">
        <w:rPr>
          <w:rFonts w:ascii="Lato" w:hAnsi="Lato" w:cs="Calibri"/>
          <w:sz w:val="20"/>
          <w:szCs w:val="20"/>
        </w:rPr>
        <w:t xml:space="preserve"> </w:t>
      </w:r>
      <w:proofErr w:type="spellStart"/>
      <w:r w:rsidRPr="001B6EE9">
        <w:rPr>
          <w:rFonts w:ascii="Lato" w:hAnsi="Lato" w:cs="Calibri"/>
          <w:sz w:val="20"/>
          <w:szCs w:val="20"/>
        </w:rPr>
        <w:t>brał</w:t>
      </w:r>
      <w:proofErr w:type="spellEnd"/>
      <w:r w:rsidRPr="001B6EE9">
        <w:rPr>
          <w:rFonts w:ascii="Lato" w:hAnsi="Lato" w:cs="Calibri"/>
          <w:sz w:val="20"/>
          <w:szCs w:val="20"/>
        </w:rPr>
        <w:t xml:space="preserve"> </w:t>
      </w:r>
      <w:proofErr w:type="spellStart"/>
      <w:r w:rsidRPr="001B6EE9">
        <w:rPr>
          <w:rFonts w:ascii="Lato" w:hAnsi="Lato" w:cs="Calibri"/>
          <w:sz w:val="20"/>
          <w:szCs w:val="20"/>
        </w:rPr>
        <w:t>także</w:t>
      </w:r>
      <w:proofErr w:type="spellEnd"/>
      <w:r w:rsidRPr="001B6EE9">
        <w:rPr>
          <w:rFonts w:ascii="Lato" w:hAnsi="Lato" w:cs="Calibri"/>
          <w:sz w:val="20"/>
          <w:szCs w:val="20"/>
        </w:rPr>
        <w:t xml:space="preserve"> </w:t>
      </w:r>
      <w:proofErr w:type="spellStart"/>
      <w:r w:rsidRPr="001B6EE9">
        <w:rPr>
          <w:rFonts w:ascii="Lato" w:hAnsi="Lato" w:cs="Calibri"/>
          <w:sz w:val="20"/>
          <w:szCs w:val="20"/>
        </w:rPr>
        <w:t>udział</w:t>
      </w:r>
      <w:proofErr w:type="spellEnd"/>
      <w:r w:rsidRPr="001B6EE9">
        <w:rPr>
          <w:rFonts w:ascii="Lato" w:hAnsi="Lato" w:cs="Calibri"/>
          <w:sz w:val="20"/>
          <w:szCs w:val="20"/>
        </w:rPr>
        <w:t xml:space="preserve"> w </w:t>
      </w:r>
      <w:proofErr w:type="spellStart"/>
      <w:r w:rsidRPr="001B6EE9">
        <w:rPr>
          <w:rFonts w:ascii="Lato" w:eastAsia="Times New Roman" w:hAnsi="Lato" w:cs="Calibri"/>
          <w:sz w:val="20"/>
          <w:szCs w:val="20"/>
          <w:lang w:eastAsia="pl-PL"/>
        </w:rPr>
        <w:t>pracach</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zespołu</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roboczego</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którego</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celem</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było</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wypracowanie</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Ścieżki</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Pracy</w:t>
      </w:r>
      <w:proofErr w:type="spellEnd"/>
      <w:r w:rsidRPr="001B6EE9">
        <w:rPr>
          <w:rFonts w:ascii="Lato" w:eastAsia="Times New Roman" w:hAnsi="Lato" w:cs="Calibri"/>
          <w:sz w:val="20"/>
          <w:szCs w:val="20"/>
          <w:lang w:eastAsia="pl-PL"/>
        </w:rPr>
        <w:t xml:space="preserve"> z </w:t>
      </w:r>
      <w:proofErr w:type="spellStart"/>
      <w:r w:rsidRPr="001B6EE9">
        <w:rPr>
          <w:rFonts w:ascii="Lato" w:eastAsia="Times New Roman" w:hAnsi="Lato" w:cs="Calibri"/>
          <w:sz w:val="20"/>
          <w:szCs w:val="20"/>
          <w:lang w:eastAsia="pl-PL"/>
        </w:rPr>
        <w:t>Osobami</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Starszymi</w:t>
      </w:r>
      <w:proofErr w:type="spellEnd"/>
      <w:r w:rsidRPr="001B6EE9">
        <w:rPr>
          <w:rFonts w:ascii="Lato" w:eastAsia="Times New Roman" w:hAnsi="Lato" w:cs="Calibri"/>
          <w:sz w:val="20"/>
          <w:szCs w:val="20"/>
          <w:lang w:eastAsia="pl-PL"/>
        </w:rPr>
        <w:t xml:space="preserve"> </w:t>
      </w:r>
      <w:proofErr w:type="spellStart"/>
      <w:r w:rsidRPr="001B6EE9">
        <w:rPr>
          <w:rFonts w:ascii="Lato" w:eastAsia="Times New Roman" w:hAnsi="Lato" w:cs="Calibri"/>
          <w:sz w:val="20"/>
          <w:szCs w:val="20"/>
          <w:lang w:eastAsia="pl-PL"/>
        </w:rPr>
        <w:t>Uwikłanymi</w:t>
      </w:r>
      <w:proofErr w:type="spellEnd"/>
      <w:r w:rsidRPr="001B6EE9">
        <w:rPr>
          <w:rFonts w:ascii="Lato" w:eastAsia="Times New Roman" w:hAnsi="Lato" w:cs="Calibri"/>
          <w:sz w:val="20"/>
          <w:szCs w:val="20"/>
          <w:lang w:eastAsia="pl-PL"/>
        </w:rPr>
        <w:t xml:space="preserve"> w </w:t>
      </w:r>
      <w:proofErr w:type="spellStart"/>
      <w:r w:rsidRPr="001B6EE9">
        <w:rPr>
          <w:rFonts w:ascii="Lato" w:eastAsia="Times New Roman" w:hAnsi="Lato" w:cs="Calibri"/>
          <w:sz w:val="20"/>
          <w:szCs w:val="20"/>
          <w:lang w:eastAsia="pl-PL"/>
        </w:rPr>
        <w:t>Przemoc</w:t>
      </w:r>
      <w:proofErr w:type="spellEnd"/>
      <w:r w:rsidRPr="001B6EE9">
        <w:rPr>
          <w:rFonts w:ascii="Lato" w:eastAsia="Times New Roman" w:hAnsi="Lato" w:cs="Calibri"/>
          <w:sz w:val="20"/>
          <w:szCs w:val="20"/>
          <w:lang w:eastAsia="pl-PL"/>
        </w:rPr>
        <w:t>”.</w:t>
      </w:r>
    </w:p>
    <w:p w14:paraId="1AF1B6B8" w14:textId="77777777" w:rsidR="001B6EE9" w:rsidRDefault="001B6EE9" w:rsidP="001B6EE9">
      <w:pPr>
        <w:pStyle w:val="Akapitzlist"/>
        <w:spacing w:after="0" w:line="240" w:lineRule="auto"/>
        <w:ind w:left="0"/>
        <w:jc w:val="both"/>
        <w:rPr>
          <w:rFonts w:ascii="Lato" w:eastAsia="Calibri" w:hAnsi="Lato" w:cs="Calibri"/>
          <w:sz w:val="20"/>
          <w:szCs w:val="20"/>
        </w:rPr>
      </w:pPr>
    </w:p>
    <w:p w14:paraId="60AF4F67" w14:textId="49F97E15" w:rsidR="001B6EE9" w:rsidRPr="001B6EE9" w:rsidRDefault="001B6EE9" w:rsidP="001B6EE9">
      <w:pPr>
        <w:pStyle w:val="Akapitzlist"/>
        <w:spacing w:after="0" w:line="240" w:lineRule="auto"/>
        <w:ind w:left="0"/>
        <w:jc w:val="both"/>
        <w:rPr>
          <w:rFonts w:ascii="Lato" w:hAnsi="Lato"/>
          <w:sz w:val="20"/>
          <w:szCs w:val="20"/>
        </w:rPr>
      </w:pPr>
      <w:r w:rsidRPr="001B6EE9">
        <w:rPr>
          <w:rFonts w:ascii="Lato" w:eastAsia="Calibri" w:hAnsi="Lato" w:cs="Calibri"/>
          <w:sz w:val="20"/>
          <w:szCs w:val="20"/>
        </w:rPr>
        <w:t xml:space="preserve">Fundamentalne znaczenie dla tworzenia środowisk przyjaznych seniorom ma także rzecznictwo interesów tej grupy społecznej. W województwie warmińsko-mazurskim w 2022 r. kontynuowane ono było m.in. poprzez działalność Rzeczników Praw Osób Starszych prowadzoną w subregionach olsztyńskim, ełckim, a od 2022 r. uruchomiono działalność rzecznika w subregionie elbląskim. Inicjatorem projektu dotyczącego działalności  rzeczników praw osób starszych była </w:t>
      </w:r>
      <w:r w:rsidRPr="001B6EE9">
        <w:rPr>
          <w:rFonts w:ascii="Lato" w:hAnsi="Lato"/>
          <w:sz w:val="20"/>
          <w:szCs w:val="20"/>
        </w:rPr>
        <w:t>Federacja Organizacji Socjalnych Województwa Warmińsko – Mazurskiego</w:t>
      </w:r>
      <w:r w:rsidRPr="001B6EE9">
        <w:rPr>
          <w:rFonts w:ascii="Lato" w:eastAsia="Calibri" w:hAnsi="Lato" w:cs="Calibri"/>
          <w:sz w:val="20"/>
          <w:szCs w:val="20"/>
        </w:rPr>
        <w:t xml:space="preserve"> przy wsparciu finansowym Samorządu Województwa Warmińsko-Mazurskiego. Od 2022 r. Projekt "Regionalne Biuro Rzecznika Praw Osób Starszych” współfinansowany jest również przez Islandię, Liechtenstein i Norwegię z Funduszy EOG w ramach Programu Aktywni Obywatele – Fundusz Regionalny.</w:t>
      </w:r>
    </w:p>
    <w:p w14:paraId="511B2B8A" w14:textId="77777777" w:rsidR="001B6EE9" w:rsidRPr="001B6EE9" w:rsidRDefault="001B6EE9" w:rsidP="001B6EE9">
      <w:pPr>
        <w:pStyle w:val="Standard"/>
        <w:jc w:val="both"/>
        <w:rPr>
          <w:rFonts w:ascii="Lato" w:hAnsi="Lato" w:cs="Calibri"/>
          <w:sz w:val="20"/>
          <w:szCs w:val="20"/>
        </w:rPr>
      </w:pPr>
    </w:p>
    <w:p w14:paraId="1A621CC9" w14:textId="4C9F41D7" w:rsidR="001B6EE9" w:rsidRPr="001B6EE9" w:rsidRDefault="001B6EE9" w:rsidP="001B6EE9">
      <w:pPr>
        <w:suppressAutoHyphens/>
        <w:autoSpaceDN w:val="0"/>
        <w:spacing w:after="0" w:line="240" w:lineRule="auto"/>
        <w:jc w:val="both"/>
        <w:textAlignment w:val="baseline"/>
        <w:rPr>
          <w:rFonts w:ascii="Lato" w:hAnsi="Lato"/>
          <w:sz w:val="20"/>
          <w:szCs w:val="20"/>
        </w:rPr>
      </w:pPr>
      <w:r w:rsidRPr="001B6EE9">
        <w:rPr>
          <w:rFonts w:ascii="Lato" w:eastAsia="Calibri" w:hAnsi="Lato" w:cs="Calibri"/>
          <w:sz w:val="20"/>
          <w:szCs w:val="20"/>
        </w:rPr>
        <w:t>Inną formacją, mającą krajowy zasięg działania jest Obywatelski Parlament Seniorów, w którym województwo warmińsko-mazurskie reprezentowane jest przez kilkunastu delegatów z naszego regionu.</w:t>
      </w:r>
    </w:p>
    <w:p w14:paraId="4C6212C7" w14:textId="77777777" w:rsidR="001B6EE9" w:rsidRDefault="001B6EE9" w:rsidP="001B6EE9">
      <w:pPr>
        <w:suppressAutoHyphens/>
        <w:autoSpaceDN w:val="0"/>
        <w:spacing w:after="0" w:line="240" w:lineRule="auto"/>
        <w:jc w:val="both"/>
        <w:textAlignment w:val="baseline"/>
        <w:rPr>
          <w:rFonts w:ascii="Lato" w:eastAsia="Calibri" w:hAnsi="Lato" w:cs="Calibri"/>
          <w:sz w:val="20"/>
          <w:szCs w:val="20"/>
        </w:rPr>
      </w:pPr>
    </w:p>
    <w:p w14:paraId="5F09BA3F" w14:textId="69772F63" w:rsidR="001B6EE9" w:rsidRPr="001B6EE9" w:rsidRDefault="001B6EE9" w:rsidP="001B6EE9">
      <w:pPr>
        <w:suppressAutoHyphens/>
        <w:autoSpaceDN w:val="0"/>
        <w:spacing w:after="0" w:line="240" w:lineRule="auto"/>
        <w:jc w:val="both"/>
        <w:textAlignment w:val="baseline"/>
        <w:rPr>
          <w:rFonts w:ascii="Lato" w:hAnsi="Lato"/>
          <w:sz w:val="20"/>
          <w:szCs w:val="20"/>
        </w:rPr>
      </w:pPr>
      <w:r w:rsidRPr="001B6EE9">
        <w:rPr>
          <w:rFonts w:ascii="Lato" w:eastAsia="Calibri" w:hAnsi="Lato" w:cs="Calibri"/>
          <w:sz w:val="20"/>
          <w:szCs w:val="20"/>
        </w:rPr>
        <w:t>W ramach Działania 10.7 "Aktywne i zdrowe starzenie się" Regionalnego Programu Operacyjnego Województwa Warmińsko-Mazurskiego na lata 2014-2020, w 2022 roku wsparciem objęto 680 aktywnych zawodowo mieszkańców województwa, ze szczególnym uwzględnieniem osób powyżej 50 r.ż. Wsparcie realizowane było poprzez objęcie ww. osób programami zdrowotnymi.</w:t>
      </w:r>
    </w:p>
    <w:p w14:paraId="133AEAE4" w14:textId="77777777" w:rsidR="001B6EE9" w:rsidRPr="001B6EE9" w:rsidRDefault="001B6EE9" w:rsidP="001B6EE9">
      <w:pPr>
        <w:pStyle w:val="Akapitzlist"/>
        <w:spacing w:after="0" w:line="240" w:lineRule="auto"/>
        <w:jc w:val="both"/>
        <w:rPr>
          <w:rFonts w:ascii="Lato" w:hAnsi="Lato"/>
          <w:sz w:val="20"/>
          <w:szCs w:val="20"/>
        </w:rPr>
      </w:pPr>
    </w:p>
    <w:p w14:paraId="1EC35A40" w14:textId="05A844A6" w:rsidR="001B6EE9" w:rsidRPr="001B6EE9" w:rsidRDefault="001B6EE9" w:rsidP="001B6EE9">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4B30594A" w14:textId="77777777" w:rsidR="001B6EE9" w:rsidRPr="001B6EE9" w:rsidRDefault="001B6EE9" w:rsidP="001B6EE9">
      <w:pPr>
        <w:pStyle w:val="Standard"/>
        <w:ind w:right="60"/>
        <w:jc w:val="both"/>
        <w:rPr>
          <w:rFonts w:ascii="Lato" w:hAnsi="Lato"/>
          <w:sz w:val="20"/>
          <w:szCs w:val="20"/>
        </w:rPr>
      </w:pPr>
      <w:r w:rsidRPr="001B6EE9">
        <w:rPr>
          <w:rFonts w:ascii="Lato" w:hAnsi="Lato" w:cs="Calibri"/>
          <w:b/>
          <w:sz w:val="20"/>
          <w:szCs w:val="20"/>
        </w:rPr>
        <w:t xml:space="preserve">Klub „Senior+” w </w:t>
      </w:r>
      <w:proofErr w:type="spellStart"/>
      <w:r w:rsidRPr="001B6EE9">
        <w:rPr>
          <w:rFonts w:ascii="Lato" w:hAnsi="Lato" w:cs="Calibri"/>
          <w:b/>
          <w:sz w:val="20"/>
          <w:szCs w:val="20"/>
        </w:rPr>
        <w:t>Złotowie</w:t>
      </w:r>
      <w:proofErr w:type="spellEnd"/>
      <w:r w:rsidRPr="001B6EE9">
        <w:rPr>
          <w:rFonts w:ascii="Lato" w:hAnsi="Lato" w:cs="Calibri"/>
          <w:bCs/>
          <w:sz w:val="20"/>
          <w:szCs w:val="20"/>
        </w:rPr>
        <w:t xml:space="preserve"> </w:t>
      </w:r>
      <w:proofErr w:type="spellStart"/>
      <w:r w:rsidRPr="001B6EE9">
        <w:rPr>
          <w:rFonts w:ascii="Lato" w:hAnsi="Lato" w:cs="Calibri"/>
          <w:sz w:val="20"/>
          <w:szCs w:val="20"/>
        </w:rPr>
        <w:t>powstał</w:t>
      </w:r>
      <w:proofErr w:type="spellEnd"/>
      <w:r w:rsidRPr="001B6EE9">
        <w:rPr>
          <w:rFonts w:ascii="Lato" w:hAnsi="Lato" w:cs="Calibri"/>
          <w:sz w:val="20"/>
          <w:szCs w:val="20"/>
        </w:rPr>
        <w:t xml:space="preserve"> w </w:t>
      </w:r>
      <w:proofErr w:type="spellStart"/>
      <w:r w:rsidRPr="001B6EE9">
        <w:rPr>
          <w:rFonts w:ascii="Lato" w:hAnsi="Lato" w:cs="Calibri"/>
          <w:sz w:val="20"/>
          <w:szCs w:val="20"/>
          <w:lang w:eastAsia="pl-PL"/>
        </w:rPr>
        <w:t>ramach</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Programu</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Wieloletniego</w:t>
      </w:r>
      <w:proofErr w:type="spellEnd"/>
      <w:r w:rsidRPr="001B6EE9">
        <w:rPr>
          <w:rFonts w:ascii="Lato" w:hAnsi="Lato" w:cs="Calibri"/>
          <w:sz w:val="20"/>
          <w:szCs w:val="20"/>
          <w:lang w:eastAsia="pl-PL"/>
        </w:rPr>
        <w:t xml:space="preserve"> „Senior+” na lata 2015-2020 (</w:t>
      </w:r>
      <w:proofErr w:type="spellStart"/>
      <w:r w:rsidRPr="001B6EE9">
        <w:rPr>
          <w:rFonts w:ascii="Lato" w:hAnsi="Lato" w:cs="Calibri"/>
          <w:sz w:val="20"/>
          <w:szCs w:val="20"/>
          <w:lang w:eastAsia="pl-PL"/>
        </w:rPr>
        <w:t>Moduł</w:t>
      </w:r>
      <w:proofErr w:type="spellEnd"/>
      <w:r w:rsidRPr="001B6EE9">
        <w:rPr>
          <w:rFonts w:ascii="Lato" w:hAnsi="Lato" w:cs="Calibri"/>
          <w:sz w:val="20"/>
          <w:szCs w:val="20"/>
          <w:lang w:eastAsia="pl-PL"/>
        </w:rPr>
        <w:t xml:space="preserve"> I) i </w:t>
      </w:r>
      <w:proofErr w:type="spellStart"/>
      <w:r w:rsidRPr="001B6EE9">
        <w:rPr>
          <w:rFonts w:ascii="Lato" w:hAnsi="Lato" w:cs="Calibri"/>
          <w:bCs/>
          <w:sz w:val="20"/>
          <w:szCs w:val="20"/>
        </w:rPr>
        <w:t>funkcjonuje</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strukturze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Ośrodka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Pomocy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Społecznej</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Gminy</w:t>
      </w:r>
      <w:proofErr w:type="spellEnd"/>
      <w:r w:rsidRPr="001B6EE9">
        <w:rPr>
          <w:rFonts w:ascii="Lato" w:hAnsi="Lato" w:cs="Calibri"/>
          <w:bCs/>
          <w:sz w:val="20"/>
          <w:szCs w:val="20"/>
        </w:rPr>
        <w:t xml:space="preserve"> Lubawa </w:t>
      </w:r>
      <w:proofErr w:type="spellStart"/>
      <w:r w:rsidRPr="001B6EE9">
        <w:rPr>
          <w:rFonts w:ascii="Lato" w:hAnsi="Lato" w:cs="Calibri"/>
          <w:bCs/>
          <w:sz w:val="20"/>
          <w:szCs w:val="20"/>
        </w:rPr>
        <w:t>od</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lutego</w:t>
      </w:r>
      <w:proofErr w:type="spellEnd"/>
      <w:r w:rsidRPr="001B6EE9">
        <w:rPr>
          <w:rFonts w:ascii="Lato" w:hAnsi="Lato" w:cs="Calibri"/>
          <w:bCs/>
          <w:sz w:val="20"/>
          <w:szCs w:val="20"/>
        </w:rPr>
        <w:t xml:space="preserve"> 2018 </w:t>
      </w:r>
      <w:proofErr w:type="spellStart"/>
      <w:r w:rsidRPr="001B6EE9">
        <w:rPr>
          <w:rFonts w:ascii="Lato" w:hAnsi="Lato" w:cs="Calibri"/>
          <w:bCs/>
          <w:sz w:val="20"/>
          <w:szCs w:val="20"/>
        </w:rPr>
        <w:t>roku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jednak</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działania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jego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członków</w:t>
      </w:r>
      <w:proofErr w:type="spellEnd"/>
      <w:r w:rsidRPr="001B6EE9">
        <w:rPr>
          <w:rFonts w:ascii="Lato" w:hAnsi="Lato" w:cs="Calibri"/>
          <w:bCs/>
          <w:sz w:val="20"/>
          <w:szCs w:val="20"/>
        </w:rPr>
        <w:t xml:space="preserve"> i </w:t>
      </w:r>
      <w:proofErr w:type="spellStart"/>
      <w:r w:rsidRPr="001B6EE9">
        <w:rPr>
          <w:rFonts w:ascii="Lato" w:hAnsi="Lato" w:cs="Calibri"/>
          <w:bCs/>
          <w:sz w:val="20"/>
          <w:szCs w:val="20"/>
        </w:rPr>
        <w:t>zaangażowanie</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życie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społeczności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lokalnej</w:t>
      </w:r>
      <w:proofErr w:type="spellEnd"/>
      <w:r w:rsidRPr="001B6EE9">
        <w:rPr>
          <w:rFonts w:ascii="Lato" w:hAnsi="Lato" w:cs="Calibri"/>
          <w:bCs/>
          <w:sz w:val="20"/>
          <w:szCs w:val="20"/>
        </w:rPr>
        <w:t xml:space="preserve"> i </w:t>
      </w:r>
      <w:proofErr w:type="spellStart"/>
      <w:r w:rsidRPr="001B6EE9">
        <w:rPr>
          <w:rFonts w:ascii="Lato" w:hAnsi="Lato" w:cs="Calibri"/>
          <w:bCs/>
          <w:sz w:val="20"/>
          <w:szCs w:val="20"/>
        </w:rPr>
        <w:t>środowiska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seniorów</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rozpoczęły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się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prawie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dekadę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wcześniej</w:t>
      </w:r>
      <w:proofErr w:type="spellEnd"/>
      <w:r w:rsidRPr="001B6EE9">
        <w:rPr>
          <w:rFonts w:ascii="Lato" w:hAnsi="Lato" w:cs="Calibri"/>
          <w:bCs/>
          <w:sz w:val="20"/>
          <w:szCs w:val="20"/>
        </w:rPr>
        <w:t>. Z </w:t>
      </w:r>
      <w:proofErr w:type="spellStart"/>
      <w:r w:rsidRPr="001B6EE9">
        <w:rPr>
          <w:rFonts w:ascii="Lato" w:hAnsi="Lato" w:cs="Calibri"/>
          <w:bCs/>
          <w:sz w:val="20"/>
          <w:szCs w:val="20"/>
        </w:rPr>
        <w:t>inicjatywy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pani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Teresy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Licznerskiej</w:t>
      </w:r>
      <w:proofErr w:type="spellEnd"/>
      <w:r w:rsidRPr="001B6EE9">
        <w:rPr>
          <w:rFonts w:ascii="Lato" w:hAnsi="Lato" w:cs="Calibri"/>
          <w:bCs/>
          <w:sz w:val="20"/>
          <w:szCs w:val="20"/>
        </w:rPr>
        <w:t xml:space="preserve"> – </w:t>
      </w:r>
      <w:proofErr w:type="spellStart"/>
      <w:r w:rsidRPr="001B6EE9">
        <w:rPr>
          <w:rFonts w:ascii="Lato" w:hAnsi="Lato" w:cs="Calibri"/>
          <w:bCs/>
          <w:sz w:val="20"/>
          <w:szCs w:val="20"/>
        </w:rPr>
        <w:t>obecnej</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przewodniczącej</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Klubu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seniorzy</w:t>
      </w:r>
      <w:proofErr w:type="spellEnd"/>
      <w:r w:rsidRPr="001B6EE9">
        <w:rPr>
          <w:rFonts w:ascii="Lato" w:hAnsi="Lato" w:cs="Calibri"/>
          <w:bCs/>
          <w:sz w:val="20"/>
          <w:szCs w:val="20"/>
        </w:rPr>
        <w:t xml:space="preserve"> z </w:t>
      </w:r>
      <w:proofErr w:type="spellStart"/>
      <w:r w:rsidRPr="001B6EE9">
        <w:rPr>
          <w:rFonts w:ascii="Lato" w:hAnsi="Lato" w:cs="Calibri"/>
          <w:bCs/>
          <w:sz w:val="20"/>
          <w:szCs w:val="20"/>
        </w:rPr>
        <w:t>sołectwa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Złotowo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spotykali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się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jako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nieformalna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grupa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mieszkańców</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budynku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świetlicy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wiejskiej</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już</w:t>
      </w:r>
      <w:proofErr w:type="spellEnd"/>
      <w:r w:rsidRPr="001B6EE9">
        <w:rPr>
          <w:rFonts w:ascii="Lato" w:hAnsi="Lato" w:cs="Calibri"/>
          <w:bCs/>
          <w:sz w:val="20"/>
          <w:szCs w:val="20"/>
        </w:rPr>
        <w:t xml:space="preserve"> w 2009 </w:t>
      </w:r>
      <w:proofErr w:type="spellStart"/>
      <w:r w:rsidRPr="001B6EE9">
        <w:rPr>
          <w:rFonts w:ascii="Lato" w:hAnsi="Lato" w:cs="Calibri"/>
          <w:bCs/>
          <w:sz w:val="20"/>
          <w:szCs w:val="20"/>
        </w:rPr>
        <w:t>roku</w:t>
      </w:r>
      <w:proofErr w:type="spellEnd"/>
      <w:r w:rsidRPr="001B6EE9">
        <w:rPr>
          <w:rFonts w:ascii="Lato" w:hAnsi="Lato" w:cs="Calibri"/>
          <w:bCs/>
          <w:sz w:val="20"/>
          <w:szCs w:val="20"/>
        </w:rPr>
        <w:t xml:space="preserve">, a w </w:t>
      </w:r>
      <w:proofErr w:type="spellStart"/>
      <w:r w:rsidRPr="001B6EE9">
        <w:rPr>
          <w:rFonts w:ascii="Lato" w:hAnsi="Lato" w:cs="Calibri"/>
          <w:bCs/>
          <w:sz w:val="20"/>
          <w:szCs w:val="20"/>
        </w:rPr>
        <w:t>roku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kolejnym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zawiązali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nieformalny</w:t>
      </w:r>
      <w:proofErr w:type="spellEnd"/>
      <w:r w:rsidRPr="001B6EE9">
        <w:rPr>
          <w:rFonts w:ascii="Lato" w:hAnsi="Lato" w:cs="Calibri"/>
          <w:bCs/>
          <w:sz w:val="20"/>
          <w:szCs w:val="20"/>
        </w:rPr>
        <w:t xml:space="preserve"> Klub </w:t>
      </w:r>
      <w:proofErr w:type="spellStart"/>
      <w:r w:rsidRPr="001B6EE9">
        <w:rPr>
          <w:rFonts w:ascii="Lato" w:hAnsi="Lato" w:cs="Calibri"/>
          <w:bCs/>
          <w:sz w:val="20"/>
          <w:szCs w:val="20"/>
        </w:rPr>
        <w:t>Seniora</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wyniku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udziału</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projekcie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dofinansowanym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ze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środków</w:t>
      </w:r>
      <w:proofErr w:type="spellEnd"/>
      <w:r w:rsidRPr="001B6EE9">
        <w:rPr>
          <w:rFonts w:ascii="Lato" w:hAnsi="Lato" w:cs="Calibri"/>
          <w:bCs/>
          <w:sz w:val="20"/>
          <w:szCs w:val="20"/>
        </w:rPr>
        <w:t xml:space="preserve"> EFS „</w:t>
      </w:r>
      <w:proofErr w:type="spellStart"/>
      <w:r w:rsidRPr="001B6EE9">
        <w:rPr>
          <w:rFonts w:ascii="Lato" w:hAnsi="Lato" w:cs="Calibri"/>
          <w:bCs/>
          <w:sz w:val="20"/>
          <w:szCs w:val="20"/>
        </w:rPr>
        <w:t>Jesień</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życia</w:t>
      </w:r>
      <w:proofErr w:type="spellEnd"/>
      <w:r w:rsidRPr="001B6EE9">
        <w:rPr>
          <w:rFonts w:ascii="Lato" w:hAnsi="Lato" w:cs="Calibri"/>
          <w:bCs/>
          <w:sz w:val="20"/>
          <w:szCs w:val="20"/>
        </w:rPr>
        <w:t xml:space="preserve"> - </w:t>
      </w:r>
      <w:proofErr w:type="spellStart"/>
      <w:r w:rsidRPr="001B6EE9">
        <w:rPr>
          <w:rFonts w:ascii="Lato" w:hAnsi="Lato" w:cs="Calibri"/>
          <w:bCs/>
          <w:sz w:val="20"/>
          <w:szCs w:val="20"/>
        </w:rPr>
        <w:t>czas</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seniora</w:t>
      </w:r>
      <w:proofErr w:type="spellEnd"/>
      <w:r w:rsidRPr="001B6EE9">
        <w:rPr>
          <w:rFonts w:ascii="Lato" w:hAnsi="Lato" w:cs="Calibri"/>
          <w:bCs/>
          <w:sz w:val="20"/>
          <w:szCs w:val="20"/>
        </w:rPr>
        <w:t>”.</w:t>
      </w:r>
    </w:p>
    <w:p w14:paraId="7081F185" w14:textId="77777777" w:rsidR="001B6EE9" w:rsidRDefault="001B6EE9" w:rsidP="001B6EE9">
      <w:pPr>
        <w:pStyle w:val="Standard"/>
        <w:ind w:left="62" w:right="62"/>
        <w:jc w:val="both"/>
        <w:rPr>
          <w:rFonts w:ascii="Lato" w:hAnsi="Lato" w:cs="Calibri"/>
          <w:sz w:val="20"/>
          <w:szCs w:val="20"/>
        </w:rPr>
      </w:pPr>
    </w:p>
    <w:p w14:paraId="18DE4A85" w14:textId="235E3773" w:rsidR="001B6EE9" w:rsidRPr="001B6EE9" w:rsidRDefault="001B6EE9" w:rsidP="001B6EE9">
      <w:pPr>
        <w:pStyle w:val="Standard"/>
        <w:ind w:left="62" w:right="62"/>
        <w:jc w:val="both"/>
        <w:rPr>
          <w:rFonts w:ascii="Lato" w:hAnsi="Lato"/>
          <w:sz w:val="20"/>
          <w:szCs w:val="20"/>
        </w:rPr>
      </w:pPr>
      <w:proofErr w:type="spellStart"/>
      <w:r w:rsidRPr="001B6EE9">
        <w:rPr>
          <w:rFonts w:ascii="Lato" w:hAnsi="Lato" w:cs="Calibri"/>
          <w:sz w:val="20"/>
          <w:szCs w:val="20"/>
        </w:rPr>
        <w:t>Obecnie</w:t>
      </w:r>
      <w:proofErr w:type="spellEnd"/>
      <w:r w:rsidRPr="001B6EE9">
        <w:rPr>
          <w:rFonts w:ascii="Lato" w:hAnsi="Lato" w:cs="Calibri"/>
          <w:sz w:val="20"/>
          <w:szCs w:val="20"/>
        </w:rPr>
        <w:t xml:space="preserve"> Klub </w:t>
      </w:r>
      <w:proofErr w:type="spellStart"/>
      <w:r w:rsidRPr="001B6EE9">
        <w:rPr>
          <w:rFonts w:ascii="Lato" w:hAnsi="Lato" w:cs="Calibri"/>
          <w:sz w:val="20"/>
          <w:szCs w:val="20"/>
        </w:rPr>
        <w:t>liczy</w:t>
      </w:r>
      <w:proofErr w:type="spellEnd"/>
      <w:r w:rsidRPr="001B6EE9">
        <w:rPr>
          <w:rFonts w:ascii="Lato" w:hAnsi="Lato" w:cs="Calibri"/>
          <w:sz w:val="20"/>
          <w:szCs w:val="20"/>
        </w:rPr>
        <w:t xml:space="preserve"> 20 </w:t>
      </w:r>
      <w:proofErr w:type="spellStart"/>
      <w:r w:rsidRPr="001B6EE9">
        <w:rPr>
          <w:rFonts w:ascii="Lato" w:hAnsi="Lato" w:cs="Calibri"/>
          <w:sz w:val="20"/>
          <w:szCs w:val="20"/>
        </w:rPr>
        <w:t>uczestników</w:t>
      </w:r>
      <w:proofErr w:type="spellEnd"/>
      <w:r w:rsidRPr="001B6EE9">
        <w:rPr>
          <w:rFonts w:ascii="Lato" w:hAnsi="Lato" w:cs="Calibri"/>
          <w:sz w:val="20"/>
          <w:szCs w:val="20"/>
        </w:rPr>
        <w:t xml:space="preserve">. Od </w:t>
      </w:r>
      <w:proofErr w:type="spellStart"/>
      <w:r w:rsidRPr="001B6EE9">
        <w:rPr>
          <w:rFonts w:ascii="Lato" w:hAnsi="Lato" w:cs="Calibri"/>
          <w:sz w:val="20"/>
          <w:szCs w:val="20"/>
        </w:rPr>
        <w:t>wielu</w:t>
      </w:r>
      <w:proofErr w:type="spellEnd"/>
      <w:r w:rsidRPr="001B6EE9">
        <w:rPr>
          <w:rFonts w:ascii="Lato" w:hAnsi="Lato" w:cs="Calibri"/>
          <w:sz w:val="20"/>
          <w:szCs w:val="20"/>
        </w:rPr>
        <w:t xml:space="preserve"> </w:t>
      </w:r>
      <w:proofErr w:type="spellStart"/>
      <w:r w:rsidRPr="001B6EE9">
        <w:rPr>
          <w:rFonts w:ascii="Lato" w:hAnsi="Lato" w:cs="Calibri"/>
          <w:sz w:val="20"/>
          <w:szCs w:val="20"/>
        </w:rPr>
        <w:t>lat</w:t>
      </w:r>
      <w:proofErr w:type="spellEnd"/>
      <w:r w:rsidRPr="001B6EE9">
        <w:rPr>
          <w:rFonts w:ascii="Lato" w:hAnsi="Lato" w:cs="Calibri"/>
          <w:sz w:val="20"/>
          <w:szCs w:val="20"/>
        </w:rPr>
        <w:t xml:space="preserve"> </w:t>
      </w:r>
      <w:proofErr w:type="spellStart"/>
      <w:r w:rsidRPr="001B6EE9">
        <w:rPr>
          <w:rFonts w:ascii="Lato" w:hAnsi="Lato" w:cs="Calibri"/>
          <w:sz w:val="20"/>
          <w:szCs w:val="20"/>
        </w:rPr>
        <w:t>jest</w:t>
      </w:r>
      <w:proofErr w:type="spellEnd"/>
      <w:r w:rsidRPr="001B6EE9">
        <w:rPr>
          <w:rFonts w:ascii="Lato" w:hAnsi="Lato" w:cs="Calibri"/>
          <w:sz w:val="20"/>
          <w:szCs w:val="20"/>
        </w:rPr>
        <w:t xml:space="preserve"> on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nich</w:t>
      </w:r>
      <w:proofErr w:type="spellEnd"/>
      <w:r w:rsidRPr="001B6EE9">
        <w:rPr>
          <w:rFonts w:ascii="Lato" w:hAnsi="Lato" w:cs="Calibri"/>
          <w:sz w:val="20"/>
          <w:szCs w:val="20"/>
        </w:rPr>
        <w:t xml:space="preserve"> </w:t>
      </w:r>
      <w:proofErr w:type="spellStart"/>
      <w:r w:rsidRPr="001B6EE9">
        <w:rPr>
          <w:rFonts w:ascii="Lato" w:hAnsi="Lato" w:cs="Calibri"/>
          <w:sz w:val="20"/>
          <w:szCs w:val="20"/>
        </w:rPr>
        <w:t>miejscem</w:t>
      </w:r>
      <w:proofErr w:type="spellEnd"/>
      <w:r w:rsidRPr="001B6EE9">
        <w:rPr>
          <w:rFonts w:ascii="Lato" w:hAnsi="Lato" w:cs="Calibri"/>
          <w:sz w:val="20"/>
          <w:szCs w:val="20"/>
        </w:rPr>
        <w:t xml:space="preserve">, w </w:t>
      </w:r>
      <w:proofErr w:type="spellStart"/>
      <w:r w:rsidRPr="001B6EE9">
        <w:rPr>
          <w:rFonts w:ascii="Lato" w:hAnsi="Lato" w:cs="Calibri"/>
          <w:sz w:val="20"/>
          <w:szCs w:val="20"/>
        </w:rPr>
        <w:t>którym</w:t>
      </w:r>
      <w:proofErr w:type="spellEnd"/>
      <w:r w:rsidRPr="001B6EE9">
        <w:rPr>
          <w:rFonts w:ascii="Lato" w:hAnsi="Lato" w:cs="Calibri"/>
          <w:sz w:val="20"/>
          <w:szCs w:val="20"/>
        </w:rPr>
        <w:t xml:space="preserve"> </w:t>
      </w:r>
      <w:proofErr w:type="spellStart"/>
      <w:r w:rsidRPr="001B6EE9">
        <w:rPr>
          <w:rFonts w:ascii="Lato" w:hAnsi="Lato" w:cs="Calibri"/>
          <w:sz w:val="20"/>
          <w:szCs w:val="20"/>
        </w:rPr>
        <w:t>mogą</w:t>
      </w:r>
      <w:proofErr w:type="spellEnd"/>
      <w:r w:rsidRPr="001B6EE9">
        <w:rPr>
          <w:rFonts w:ascii="Lato" w:hAnsi="Lato" w:cs="Calibri"/>
          <w:sz w:val="20"/>
          <w:szCs w:val="20"/>
        </w:rPr>
        <w:t xml:space="preserve"> </w:t>
      </w:r>
      <w:proofErr w:type="spellStart"/>
      <w:r w:rsidRPr="001B6EE9">
        <w:rPr>
          <w:rFonts w:ascii="Lato" w:hAnsi="Lato" w:cs="Calibri"/>
          <w:sz w:val="20"/>
          <w:szCs w:val="20"/>
        </w:rPr>
        <w:t>spotkać</w:t>
      </w:r>
      <w:proofErr w:type="spellEnd"/>
      <w:r w:rsidRPr="001B6EE9">
        <w:rPr>
          <w:rFonts w:ascii="Lato" w:hAnsi="Lato" w:cs="Calibri"/>
          <w:sz w:val="20"/>
          <w:szCs w:val="20"/>
        </w:rPr>
        <w:t xml:space="preserve"> </w:t>
      </w:r>
      <w:proofErr w:type="spellStart"/>
      <w:r w:rsidRPr="001B6EE9">
        <w:rPr>
          <w:rFonts w:ascii="Lato" w:hAnsi="Lato" w:cs="Calibri"/>
          <w:sz w:val="20"/>
          <w:szCs w:val="20"/>
        </w:rPr>
        <w:t>swoich</w:t>
      </w:r>
      <w:proofErr w:type="spellEnd"/>
      <w:r w:rsidRPr="001B6EE9">
        <w:rPr>
          <w:rFonts w:ascii="Lato" w:hAnsi="Lato" w:cs="Calibri"/>
          <w:sz w:val="20"/>
          <w:szCs w:val="20"/>
        </w:rPr>
        <w:t xml:space="preserve"> </w:t>
      </w:r>
      <w:proofErr w:type="spellStart"/>
      <w:r w:rsidRPr="001B6EE9">
        <w:rPr>
          <w:rFonts w:ascii="Lato" w:hAnsi="Lato" w:cs="Calibri"/>
          <w:sz w:val="20"/>
          <w:szCs w:val="20"/>
        </w:rPr>
        <w:t>znajomych</w:t>
      </w:r>
      <w:proofErr w:type="spellEnd"/>
      <w:r w:rsidRPr="001B6EE9">
        <w:rPr>
          <w:rFonts w:ascii="Lato" w:hAnsi="Lato" w:cs="Calibri"/>
          <w:sz w:val="20"/>
          <w:szCs w:val="20"/>
        </w:rPr>
        <w:t xml:space="preserve">, </w:t>
      </w:r>
      <w:proofErr w:type="spellStart"/>
      <w:r w:rsidRPr="001B6EE9">
        <w:rPr>
          <w:rFonts w:ascii="Lato" w:hAnsi="Lato" w:cs="Calibri"/>
          <w:sz w:val="20"/>
          <w:szCs w:val="20"/>
        </w:rPr>
        <w:t>nawiązywać</w:t>
      </w:r>
      <w:proofErr w:type="spellEnd"/>
      <w:r w:rsidRPr="001B6EE9">
        <w:rPr>
          <w:rFonts w:ascii="Lato" w:hAnsi="Lato" w:cs="Calibri"/>
          <w:sz w:val="20"/>
          <w:szCs w:val="20"/>
        </w:rPr>
        <w:t xml:space="preserve"> </w:t>
      </w:r>
      <w:proofErr w:type="spellStart"/>
      <w:r w:rsidRPr="001B6EE9">
        <w:rPr>
          <w:rFonts w:ascii="Lato" w:hAnsi="Lato" w:cs="Calibri"/>
          <w:sz w:val="20"/>
          <w:szCs w:val="20"/>
        </w:rPr>
        <w:t>nowe</w:t>
      </w:r>
      <w:proofErr w:type="spellEnd"/>
      <w:r w:rsidRPr="001B6EE9">
        <w:rPr>
          <w:rFonts w:ascii="Lato" w:hAnsi="Lato" w:cs="Calibri"/>
          <w:sz w:val="20"/>
          <w:szCs w:val="20"/>
        </w:rPr>
        <w:t xml:space="preserve"> </w:t>
      </w:r>
      <w:proofErr w:type="spellStart"/>
      <w:r w:rsidRPr="001B6EE9">
        <w:rPr>
          <w:rFonts w:ascii="Lato" w:hAnsi="Lato" w:cs="Calibri"/>
          <w:sz w:val="20"/>
          <w:szCs w:val="20"/>
        </w:rPr>
        <w:t>znajomości</w:t>
      </w:r>
      <w:proofErr w:type="spellEnd"/>
      <w:r w:rsidRPr="001B6EE9">
        <w:rPr>
          <w:rFonts w:ascii="Lato" w:hAnsi="Lato" w:cs="Calibri"/>
          <w:sz w:val="20"/>
          <w:szCs w:val="20"/>
        </w:rPr>
        <w:t xml:space="preserve"> </w:t>
      </w:r>
      <w:proofErr w:type="spellStart"/>
      <w:r w:rsidRPr="001B6EE9">
        <w:rPr>
          <w:rFonts w:ascii="Lato" w:hAnsi="Lato" w:cs="Calibri"/>
          <w:sz w:val="20"/>
          <w:szCs w:val="20"/>
        </w:rPr>
        <w:t>czy</w:t>
      </w:r>
      <w:proofErr w:type="spellEnd"/>
      <w:r w:rsidRPr="001B6EE9">
        <w:rPr>
          <w:rFonts w:ascii="Lato" w:hAnsi="Lato" w:cs="Calibri"/>
          <w:sz w:val="20"/>
          <w:szCs w:val="20"/>
        </w:rPr>
        <w:t xml:space="preserve"> </w:t>
      </w:r>
      <w:proofErr w:type="spellStart"/>
      <w:r w:rsidRPr="001B6EE9">
        <w:rPr>
          <w:rFonts w:ascii="Lato" w:hAnsi="Lato" w:cs="Calibri"/>
          <w:sz w:val="20"/>
          <w:szCs w:val="20"/>
        </w:rPr>
        <w:t>przyjaźnie</w:t>
      </w:r>
      <w:proofErr w:type="spellEnd"/>
      <w:r w:rsidRPr="001B6EE9">
        <w:rPr>
          <w:rFonts w:ascii="Lato" w:hAnsi="Lato" w:cs="Calibri"/>
          <w:sz w:val="20"/>
          <w:szCs w:val="20"/>
        </w:rPr>
        <w:t xml:space="preserve">. Klub ich </w:t>
      </w:r>
      <w:proofErr w:type="spellStart"/>
      <w:r w:rsidRPr="001B6EE9">
        <w:rPr>
          <w:rFonts w:ascii="Lato" w:hAnsi="Lato" w:cs="Calibri"/>
          <w:sz w:val="20"/>
          <w:szCs w:val="20"/>
        </w:rPr>
        <w:t>łączy</w:t>
      </w:r>
      <w:proofErr w:type="spellEnd"/>
      <w:r w:rsidRPr="001B6EE9">
        <w:rPr>
          <w:rFonts w:ascii="Lato" w:hAnsi="Lato" w:cs="Calibri"/>
          <w:sz w:val="20"/>
          <w:szCs w:val="20"/>
        </w:rPr>
        <w:t xml:space="preserve"> i </w:t>
      </w:r>
      <w:proofErr w:type="spellStart"/>
      <w:r w:rsidRPr="001B6EE9">
        <w:rPr>
          <w:rFonts w:ascii="Lato" w:hAnsi="Lato" w:cs="Calibri"/>
          <w:sz w:val="20"/>
          <w:szCs w:val="20"/>
        </w:rPr>
        <w:t>pozwala</w:t>
      </w:r>
      <w:proofErr w:type="spellEnd"/>
      <w:r w:rsidRPr="001B6EE9">
        <w:rPr>
          <w:rFonts w:ascii="Lato" w:hAnsi="Lato" w:cs="Calibri"/>
          <w:sz w:val="20"/>
          <w:szCs w:val="20"/>
        </w:rPr>
        <w:t xml:space="preserve"> </w:t>
      </w:r>
      <w:proofErr w:type="spellStart"/>
      <w:r w:rsidRPr="001B6EE9">
        <w:rPr>
          <w:rFonts w:ascii="Lato" w:hAnsi="Lato" w:cs="Calibri"/>
          <w:sz w:val="20"/>
          <w:szCs w:val="20"/>
        </w:rPr>
        <w:t>miło</w:t>
      </w:r>
      <w:proofErr w:type="spellEnd"/>
      <w:r w:rsidRPr="001B6EE9">
        <w:rPr>
          <w:rFonts w:ascii="Lato" w:hAnsi="Lato" w:cs="Calibri"/>
          <w:sz w:val="20"/>
          <w:szCs w:val="20"/>
        </w:rPr>
        <w:t xml:space="preserve"> </w:t>
      </w:r>
      <w:proofErr w:type="spellStart"/>
      <w:r w:rsidRPr="001B6EE9">
        <w:rPr>
          <w:rFonts w:ascii="Lato" w:hAnsi="Lato" w:cs="Calibri"/>
          <w:sz w:val="20"/>
          <w:szCs w:val="20"/>
        </w:rPr>
        <w:t>spędzić</w:t>
      </w:r>
      <w:proofErr w:type="spellEnd"/>
      <w:r w:rsidRPr="001B6EE9">
        <w:rPr>
          <w:rFonts w:ascii="Lato" w:hAnsi="Lato" w:cs="Calibri"/>
          <w:sz w:val="20"/>
          <w:szCs w:val="20"/>
        </w:rPr>
        <w:t xml:space="preserve"> </w:t>
      </w:r>
      <w:proofErr w:type="spellStart"/>
      <w:r w:rsidRPr="001B6EE9">
        <w:rPr>
          <w:rFonts w:ascii="Lato" w:hAnsi="Lato" w:cs="Calibri"/>
          <w:sz w:val="20"/>
          <w:szCs w:val="20"/>
        </w:rPr>
        <w:t>czas</w:t>
      </w:r>
      <w:proofErr w:type="spellEnd"/>
      <w:r w:rsidRPr="001B6EE9">
        <w:rPr>
          <w:rFonts w:ascii="Lato" w:hAnsi="Lato" w:cs="Calibri"/>
          <w:sz w:val="20"/>
          <w:szCs w:val="20"/>
        </w:rPr>
        <w:t xml:space="preserve">. </w:t>
      </w:r>
      <w:proofErr w:type="spellStart"/>
      <w:r w:rsidRPr="001B6EE9">
        <w:rPr>
          <w:rFonts w:ascii="Lato" w:hAnsi="Lato" w:cs="Calibri"/>
          <w:sz w:val="20"/>
          <w:szCs w:val="20"/>
        </w:rPr>
        <w:t>Członkowie</w:t>
      </w:r>
      <w:proofErr w:type="spellEnd"/>
      <w:r w:rsidRPr="001B6EE9">
        <w:rPr>
          <w:rFonts w:ascii="Lato" w:hAnsi="Lato" w:cs="Calibri"/>
          <w:sz w:val="20"/>
          <w:szCs w:val="20"/>
        </w:rPr>
        <w:t xml:space="preserve"> </w:t>
      </w:r>
      <w:proofErr w:type="spellStart"/>
      <w:r w:rsidRPr="001B6EE9">
        <w:rPr>
          <w:rFonts w:ascii="Lato" w:hAnsi="Lato" w:cs="Calibri"/>
          <w:sz w:val="20"/>
          <w:szCs w:val="20"/>
        </w:rPr>
        <w:t>wspólnie</w:t>
      </w:r>
      <w:proofErr w:type="spellEnd"/>
      <w:r w:rsidRPr="001B6EE9">
        <w:rPr>
          <w:rFonts w:ascii="Lato" w:hAnsi="Lato" w:cs="Calibri"/>
          <w:sz w:val="20"/>
          <w:szCs w:val="20"/>
        </w:rPr>
        <w:t xml:space="preserve"> </w:t>
      </w:r>
      <w:proofErr w:type="spellStart"/>
      <w:r w:rsidRPr="001B6EE9">
        <w:rPr>
          <w:rFonts w:ascii="Lato" w:hAnsi="Lato" w:cs="Calibri"/>
          <w:sz w:val="20"/>
          <w:szCs w:val="20"/>
        </w:rPr>
        <w:t>świętują</w:t>
      </w:r>
      <w:proofErr w:type="spellEnd"/>
      <w:r w:rsidRPr="001B6EE9">
        <w:rPr>
          <w:rFonts w:ascii="Lato" w:hAnsi="Lato" w:cs="Calibri"/>
          <w:sz w:val="20"/>
          <w:szCs w:val="20"/>
        </w:rPr>
        <w:t xml:space="preserve"> </w:t>
      </w:r>
      <w:proofErr w:type="spellStart"/>
      <w:r w:rsidRPr="001B6EE9">
        <w:rPr>
          <w:rFonts w:ascii="Lato" w:hAnsi="Lato" w:cs="Calibri"/>
          <w:sz w:val="20"/>
          <w:szCs w:val="20"/>
        </w:rPr>
        <w:t>urodziny</w:t>
      </w:r>
      <w:proofErr w:type="spellEnd"/>
      <w:r w:rsidRPr="001B6EE9">
        <w:rPr>
          <w:rFonts w:ascii="Lato" w:hAnsi="Lato" w:cs="Calibri"/>
          <w:sz w:val="20"/>
          <w:szCs w:val="20"/>
        </w:rPr>
        <w:t xml:space="preserve">, </w:t>
      </w:r>
      <w:proofErr w:type="spellStart"/>
      <w:r w:rsidRPr="001B6EE9">
        <w:rPr>
          <w:rFonts w:ascii="Lato" w:hAnsi="Lato" w:cs="Calibri"/>
          <w:sz w:val="20"/>
          <w:szCs w:val="20"/>
        </w:rPr>
        <w:t>imieniny</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organizują</w:t>
      </w:r>
      <w:proofErr w:type="spellEnd"/>
      <w:r w:rsidRPr="001B6EE9">
        <w:rPr>
          <w:rFonts w:ascii="Lato" w:hAnsi="Lato" w:cs="Calibri"/>
          <w:sz w:val="20"/>
          <w:szCs w:val="20"/>
        </w:rPr>
        <w:t xml:space="preserve"> </w:t>
      </w:r>
      <w:proofErr w:type="spellStart"/>
      <w:r w:rsidRPr="001B6EE9">
        <w:rPr>
          <w:rFonts w:ascii="Lato" w:hAnsi="Lato" w:cs="Calibri"/>
          <w:sz w:val="20"/>
          <w:szCs w:val="20"/>
        </w:rPr>
        <w:t>imprezy</w:t>
      </w:r>
      <w:proofErr w:type="spellEnd"/>
      <w:r w:rsidRPr="001B6EE9">
        <w:rPr>
          <w:rFonts w:ascii="Lato" w:hAnsi="Lato" w:cs="Calibri"/>
          <w:sz w:val="20"/>
          <w:szCs w:val="20"/>
        </w:rPr>
        <w:t xml:space="preserve"> </w:t>
      </w:r>
      <w:proofErr w:type="spellStart"/>
      <w:r w:rsidRPr="001B6EE9">
        <w:rPr>
          <w:rFonts w:ascii="Lato" w:hAnsi="Lato" w:cs="Calibri"/>
          <w:sz w:val="20"/>
          <w:szCs w:val="20"/>
        </w:rPr>
        <w:t>okolicznościowe</w:t>
      </w:r>
      <w:proofErr w:type="spellEnd"/>
      <w:r w:rsidRPr="001B6EE9">
        <w:rPr>
          <w:rFonts w:ascii="Lato" w:hAnsi="Lato" w:cs="Calibri"/>
          <w:sz w:val="20"/>
          <w:szCs w:val="20"/>
        </w:rPr>
        <w:t xml:space="preserve">, </w:t>
      </w:r>
      <w:proofErr w:type="spellStart"/>
      <w:r w:rsidRPr="001B6EE9">
        <w:rPr>
          <w:rFonts w:ascii="Lato" w:hAnsi="Lato" w:cs="Calibri"/>
          <w:sz w:val="20"/>
          <w:szCs w:val="20"/>
        </w:rPr>
        <w:t>biorą</w:t>
      </w:r>
      <w:proofErr w:type="spellEnd"/>
      <w:r w:rsidRPr="001B6EE9">
        <w:rPr>
          <w:rFonts w:ascii="Lato" w:hAnsi="Lato" w:cs="Calibri"/>
          <w:sz w:val="20"/>
          <w:szCs w:val="20"/>
        </w:rPr>
        <w:t xml:space="preserve"> </w:t>
      </w:r>
      <w:proofErr w:type="spellStart"/>
      <w:r w:rsidRPr="001B6EE9">
        <w:rPr>
          <w:rFonts w:ascii="Lato" w:hAnsi="Lato" w:cs="Calibri"/>
          <w:sz w:val="20"/>
          <w:szCs w:val="20"/>
        </w:rPr>
        <w:t>udział</w:t>
      </w:r>
      <w:proofErr w:type="spellEnd"/>
      <w:r w:rsidRPr="001B6EE9">
        <w:rPr>
          <w:rFonts w:ascii="Lato" w:hAnsi="Lato" w:cs="Calibri"/>
          <w:sz w:val="20"/>
          <w:szCs w:val="20"/>
        </w:rPr>
        <w:t xml:space="preserve"> w </w:t>
      </w:r>
      <w:proofErr w:type="spellStart"/>
      <w:r w:rsidRPr="001B6EE9">
        <w:rPr>
          <w:rFonts w:ascii="Lato" w:hAnsi="Lato" w:cs="Calibri"/>
          <w:sz w:val="20"/>
          <w:szCs w:val="20"/>
        </w:rPr>
        <w:t>licznych</w:t>
      </w:r>
      <w:proofErr w:type="spellEnd"/>
      <w:r w:rsidRPr="001B6EE9">
        <w:rPr>
          <w:rFonts w:ascii="Lato" w:hAnsi="Lato" w:cs="Calibri"/>
          <w:sz w:val="20"/>
          <w:szCs w:val="20"/>
        </w:rPr>
        <w:t xml:space="preserve"> </w:t>
      </w:r>
      <w:proofErr w:type="spellStart"/>
      <w:r w:rsidRPr="001B6EE9">
        <w:rPr>
          <w:rFonts w:ascii="Lato" w:hAnsi="Lato" w:cs="Calibri"/>
          <w:sz w:val="20"/>
          <w:szCs w:val="20"/>
        </w:rPr>
        <w:t>wyjazdach</w:t>
      </w:r>
      <w:proofErr w:type="spellEnd"/>
      <w:r w:rsidRPr="001B6EE9">
        <w:rPr>
          <w:rFonts w:ascii="Lato" w:hAnsi="Lato" w:cs="Calibri"/>
          <w:sz w:val="20"/>
          <w:szCs w:val="20"/>
        </w:rPr>
        <w:t xml:space="preserve">. </w:t>
      </w:r>
      <w:proofErr w:type="spellStart"/>
      <w:r w:rsidRPr="001B6EE9">
        <w:rPr>
          <w:rFonts w:ascii="Lato" w:hAnsi="Lato" w:cs="Calibri"/>
          <w:sz w:val="20"/>
          <w:szCs w:val="20"/>
        </w:rPr>
        <w:t>Uczestnicy</w:t>
      </w:r>
      <w:proofErr w:type="spellEnd"/>
      <w:r w:rsidRPr="001B6EE9">
        <w:rPr>
          <w:rFonts w:ascii="Lato" w:hAnsi="Lato" w:cs="Calibri"/>
          <w:sz w:val="20"/>
          <w:szCs w:val="20"/>
        </w:rPr>
        <w:t xml:space="preserve"> </w:t>
      </w:r>
      <w:proofErr w:type="spellStart"/>
      <w:r w:rsidRPr="001B6EE9">
        <w:rPr>
          <w:rFonts w:ascii="Lato" w:hAnsi="Lato" w:cs="Calibri"/>
          <w:sz w:val="20"/>
          <w:szCs w:val="20"/>
        </w:rPr>
        <w:t>stanowią</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siebie</w:t>
      </w:r>
      <w:proofErr w:type="spellEnd"/>
      <w:r w:rsidRPr="001B6EE9">
        <w:rPr>
          <w:rFonts w:ascii="Lato" w:hAnsi="Lato" w:cs="Calibri"/>
          <w:sz w:val="20"/>
          <w:szCs w:val="20"/>
        </w:rPr>
        <w:t xml:space="preserve"> </w:t>
      </w:r>
      <w:proofErr w:type="spellStart"/>
      <w:r w:rsidRPr="001B6EE9">
        <w:rPr>
          <w:rFonts w:ascii="Lato" w:hAnsi="Lato" w:cs="Calibri"/>
          <w:sz w:val="20"/>
          <w:szCs w:val="20"/>
        </w:rPr>
        <w:t>nawzajem</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innych</w:t>
      </w:r>
      <w:proofErr w:type="spellEnd"/>
      <w:r w:rsidRPr="001B6EE9">
        <w:rPr>
          <w:rFonts w:ascii="Lato" w:hAnsi="Lato" w:cs="Calibri"/>
          <w:sz w:val="20"/>
          <w:szCs w:val="20"/>
        </w:rPr>
        <w:t xml:space="preserve"> </w:t>
      </w:r>
      <w:proofErr w:type="spellStart"/>
      <w:r w:rsidRPr="001B6EE9">
        <w:rPr>
          <w:rFonts w:ascii="Lato" w:hAnsi="Lato" w:cs="Calibri"/>
          <w:sz w:val="20"/>
          <w:szCs w:val="20"/>
        </w:rPr>
        <w:t>osób</w:t>
      </w:r>
      <w:proofErr w:type="spellEnd"/>
      <w:r w:rsidRPr="001B6EE9">
        <w:rPr>
          <w:rFonts w:ascii="Lato" w:hAnsi="Lato" w:cs="Calibri"/>
          <w:sz w:val="20"/>
          <w:szCs w:val="20"/>
        </w:rPr>
        <w:t>, w </w:t>
      </w:r>
      <w:proofErr w:type="spellStart"/>
      <w:r w:rsidRPr="001B6EE9">
        <w:rPr>
          <w:rFonts w:ascii="Lato" w:hAnsi="Lato" w:cs="Calibri"/>
          <w:sz w:val="20"/>
          <w:szCs w:val="20"/>
        </w:rPr>
        <w:t>tym</w:t>
      </w:r>
      <w:proofErr w:type="spellEnd"/>
      <w:r w:rsidRPr="001B6EE9">
        <w:rPr>
          <w:rFonts w:ascii="Lato" w:hAnsi="Lato" w:cs="Calibri"/>
          <w:sz w:val="20"/>
          <w:szCs w:val="20"/>
        </w:rPr>
        <w:t xml:space="preserve"> </w:t>
      </w:r>
      <w:proofErr w:type="spellStart"/>
      <w:r w:rsidRPr="001B6EE9">
        <w:rPr>
          <w:rFonts w:ascii="Lato" w:hAnsi="Lato" w:cs="Calibri"/>
          <w:sz w:val="20"/>
          <w:szCs w:val="20"/>
        </w:rPr>
        <w:t>starszych</w:t>
      </w:r>
      <w:proofErr w:type="spellEnd"/>
      <w:r w:rsidRPr="001B6EE9">
        <w:rPr>
          <w:rFonts w:ascii="Lato" w:hAnsi="Lato" w:cs="Calibri"/>
          <w:sz w:val="20"/>
          <w:szCs w:val="20"/>
        </w:rPr>
        <w:t xml:space="preserve">, </w:t>
      </w:r>
      <w:proofErr w:type="spellStart"/>
      <w:r w:rsidRPr="001B6EE9">
        <w:rPr>
          <w:rFonts w:ascii="Lato" w:hAnsi="Lato" w:cs="Calibri"/>
          <w:sz w:val="20"/>
          <w:szCs w:val="20"/>
        </w:rPr>
        <w:t>wsparcie</w:t>
      </w:r>
      <w:proofErr w:type="spellEnd"/>
      <w:r w:rsidRPr="001B6EE9">
        <w:rPr>
          <w:rFonts w:ascii="Lato" w:hAnsi="Lato" w:cs="Calibri"/>
          <w:sz w:val="20"/>
          <w:szCs w:val="20"/>
        </w:rPr>
        <w:t xml:space="preserve"> w </w:t>
      </w:r>
      <w:proofErr w:type="spellStart"/>
      <w:r w:rsidRPr="001B6EE9">
        <w:rPr>
          <w:rFonts w:ascii="Lato" w:hAnsi="Lato" w:cs="Calibri"/>
          <w:sz w:val="20"/>
          <w:szCs w:val="20"/>
        </w:rPr>
        <w:t>trudnych</w:t>
      </w:r>
      <w:proofErr w:type="spellEnd"/>
      <w:r w:rsidRPr="001B6EE9">
        <w:rPr>
          <w:rFonts w:ascii="Lato" w:hAnsi="Lato" w:cs="Calibri"/>
          <w:sz w:val="20"/>
          <w:szCs w:val="20"/>
        </w:rPr>
        <w:t xml:space="preserve"> </w:t>
      </w:r>
      <w:proofErr w:type="spellStart"/>
      <w:r w:rsidRPr="001B6EE9">
        <w:rPr>
          <w:rFonts w:ascii="Lato" w:hAnsi="Lato" w:cs="Calibri"/>
          <w:sz w:val="20"/>
          <w:szCs w:val="20"/>
        </w:rPr>
        <w:t>sytuacjach</w:t>
      </w:r>
      <w:proofErr w:type="spellEnd"/>
      <w:r w:rsidRPr="001B6EE9">
        <w:rPr>
          <w:rFonts w:ascii="Lato" w:hAnsi="Lato" w:cs="Calibri"/>
          <w:sz w:val="20"/>
          <w:szCs w:val="20"/>
        </w:rPr>
        <w:t xml:space="preserve"> </w:t>
      </w:r>
      <w:proofErr w:type="spellStart"/>
      <w:r w:rsidRPr="001B6EE9">
        <w:rPr>
          <w:rFonts w:ascii="Lato" w:hAnsi="Lato" w:cs="Calibri"/>
          <w:sz w:val="20"/>
          <w:szCs w:val="20"/>
        </w:rPr>
        <w:t>życiowych</w:t>
      </w:r>
      <w:proofErr w:type="spellEnd"/>
      <w:r w:rsidRPr="001B6EE9">
        <w:rPr>
          <w:rFonts w:ascii="Lato" w:hAnsi="Lato" w:cs="Calibri"/>
          <w:sz w:val="20"/>
          <w:szCs w:val="20"/>
        </w:rPr>
        <w:t>.</w:t>
      </w:r>
    </w:p>
    <w:p w14:paraId="69F49660" w14:textId="77777777" w:rsidR="001B6EE9" w:rsidRDefault="001B6EE9" w:rsidP="001B6EE9">
      <w:pPr>
        <w:pStyle w:val="Standard"/>
        <w:ind w:left="62" w:right="62"/>
        <w:jc w:val="both"/>
        <w:rPr>
          <w:rFonts w:ascii="Lato" w:hAnsi="Lato" w:cs="Calibri"/>
          <w:sz w:val="20"/>
          <w:szCs w:val="20"/>
        </w:rPr>
      </w:pPr>
    </w:p>
    <w:p w14:paraId="29745922" w14:textId="77777777" w:rsidR="001B6EE9" w:rsidRPr="001B6EE9" w:rsidRDefault="001B6EE9" w:rsidP="001B6EE9">
      <w:pPr>
        <w:pStyle w:val="Standard"/>
        <w:ind w:left="62" w:right="62"/>
        <w:jc w:val="both"/>
        <w:rPr>
          <w:rFonts w:ascii="Lato" w:hAnsi="Lato"/>
          <w:sz w:val="20"/>
          <w:szCs w:val="20"/>
        </w:rPr>
      </w:pPr>
      <w:r w:rsidRPr="001B6EE9">
        <w:rPr>
          <w:rFonts w:ascii="Lato" w:hAnsi="Lato" w:cs="Calibri"/>
          <w:sz w:val="20"/>
          <w:szCs w:val="20"/>
        </w:rPr>
        <w:t xml:space="preserve">Klub </w:t>
      </w:r>
      <w:proofErr w:type="spellStart"/>
      <w:r w:rsidRPr="001B6EE9">
        <w:rPr>
          <w:rFonts w:ascii="Lato" w:hAnsi="Lato" w:cs="Calibri"/>
          <w:sz w:val="20"/>
          <w:szCs w:val="20"/>
        </w:rPr>
        <w:t>aktywnie</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w:t>
      </w:r>
      <w:proofErr w:type="spellEnd"/>
      <w:r w:rsidRPr="001B6EE9">
        <w:rPr>
          <w:rFonts w:ascii="Lato" w:hAnsi="Lato" w:cs="Calibri"/>
          <w:sz w:val="20"/>
          <w:szCs w:val="20"/>
        </w:rPr>
        <w:t xml:space="preserve"> na </w:t>
      </w:r>
      <w:proofErr w:type="spellStart"/>
      <w:r w:rsidRPr="001B6EE9">
        <w:rPr>
          <w:rFonts w:ascii="Lato" w:hAnsi="Lato" w:cs="Calibri"/>
          <w:sz w:val="20"/>
          <w:szCs w:val="20"/>
        </w:rPr>
        <w:t>rzecz</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lokalnej</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społeczności</w:t>
      </w:r>
      <w:proofErr w:type="spellEnd"/>
      <w:r w:rsidRPr="001B6EE9">
        <w:rPr>
          <w:rFonts w:ascii="Lato" w:hAnsi="Lato" w:cs="Calibri"/>
          <w:sz w:val="20"/>
          <w:szCs w:val="20"/>
        </w:rPr>
        <w:t xml:space="preserve">, </w:t>
      </w:r>
      <w:proofErr w:type="spellStart"/>
      <w:r w:rsidRPr="001B6EE9">
        <w:rPr>
          <w:rFonts w:ascii="Lato" w:hAnsi="Lato" w:cs="Calibri"/>
          <w:sz w:val="20"/>
          <w:szCs w:val="20"/>
        </w:rPr>
        <w:t>integrując</w:t>
      </w:r>
      <w:proofErr w:type="spellEnd"/>
      <w:r w:rsidRPr="001B6EE9">
        <w:rPr>
          <w:rFonts w:ascii="Lato" w:hAnsi="Lato" w:cs="Calibri"/>
          <w:sz w:val="20"/>
          <w:szCs w:val="20"/>
        </w:rPr>
        <w:t xml:space="preserve"> </w:t>
      </w:r>
      <w:proofErr w:type="spellStart"/>
      <w:r w:rsidRPr="001B6EE9">
        <w:rPr>
          <w:rFonts w:ascii="Lato" w:hAnsi="Lato" w:cs="Calibri"/>
          <w:sz w:val="20"/>
          <w:szCs w:val="20"/>
        </w:rPr>
        <w:t>mieszkańców</w:t>
      </w:r>
      <w:proofErr w:type="spellEnd"/>
      <w:r w:rsidRPr="001B6EE9">
        <w:rPr>
          <w:rFonts w:ascii="Lato" w:hAnsi="Lato" w:cs="Calibri"/>
          <w:sz w:val="20"/>
          <w:szCs w:val="20"/>
        </w:rPr>
        <w:t xml:space="preserve"> </w:t>
      </w:r>
      <w:proofErr w:type="spellStart"/>
      <w:r w:rsidRPr="001B6EE9">
        <w:rPr>
          <w:rFonts w:ascii="Lato" w:hAnsi="Lato" w:cs="Calibri"/>
          <w:sz w:val="20"/>
          <w:szCs w:val="20"/>
        </w:rPr>
        <w:t>sołectwa</w:t>
      </w:r>
      <w:proofErr w:type="spellEnd"/>
      <w:r w:rsidRPr="001B6EE9">
        <w:rPr>
          <w:rFonts w:ascii="Lato" w:hAnsi="Lato" w:cs="Calibri"/>
          <w:sz w:val="20"/>
          <w:szCs w:val="20"/>
        </w:rPr>
        <w:t xml:space="preserve"> </w:t>
      </w:r>
      <w:proofErr w:type="spellStart"/>
      <w:r w:rsidRPr="001B6EE9">
        <w:rPr>
          <w:rFonts w:ascii="Lato" w:hAnsi="Lato" w:cs="Calibri"/>
          <w:sz w:val="20"/>
          <w:szCs w:val="20"/>
        </w:rPr>
        <w:t>podczas</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realizacji</w:t>
      </w:r>
      <w:proofErr w:type="spellEnd"/>
      <w:r w:rsidRPr="001B6EE9">
        <w:rPr>
          <w:rFonts w:ascii="Lato" w:hAnsi="Lato" w:cs="Calibri"/>
          <w:sz w:val="20"/>
          <w:szCs w:val="20"/>
        </w:rPr>
        <w:t xml:space="preserve"> </w:t>
      </w:r>
      <w:proofErr w:type="spellStart"/>
      <w:r w:rsidRPr="001B6EE9">
        <w:rPr>
          <w:rFonts w:ascii="Lato" w:hAnsi="Lato" w:cs="Calibri"/>
          <w:sz w:val="20"/>
          <w:szCs w:val="20"/>
        </w:rPr>
        <w:t>wspólnych</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działań</w:t>
      </w:r>
      <w:proofErr w:type="spellEnd"/>
      <w:r w:rsidRPr="001B6EE9">
        <w:rPr>
          <w:rFonts w:ascii="Lato" w:hAnsi="Lato" w:cs="Calibri"/>
          <w:sz w:val="20"/>
          <w:szCs w:val="20"/>
        </w:rPr>
        <w:t xml:space="preserve"> – </w:t>
      </w:r>
      <w:proofErr w:type="spellStart"/>
      <w:r w:rsidRPr="001B6EE9">
        <w:rPr>
          <w:rFonts w:ascii="Lato" w:hAnsi="Lato" w:cs="Calibri"/>
          <w:sz w:val="20"/>
          <w:szCs w:val="20"/>
        </w:rPr>
        <w:t>wydarzeń</w:t>
      </w:r>
      <w:proofErr w:type="spellEnd"/>
      <w:r w:rsidRPr="001B6EE9">
        <w:rPr>
          <w:rFonts w:ascii="Lato" w:hAnsi="Lato" w:cs="Calibri"/>
          <w:sz w:val="20"/>
          <w:szCs w:val="20"/>
        </w:rPr>
        <w:t xml:space="preserve"> </w:t>
      </w:r>
      <w:proofErr w:type="spellStart"/>
      <w:r w:rsidRPr="001B6EE9">
        <w:rPr>
          <w:rFonts w:ascii="Lato" w:hAnsi="Lato" w:cs="Calibri"/>
          <w:sz w:val="20"/>
          <w:szCs w:val="20"/>
        </w:rPr>
        <w:t>integracyjnych</w:t>
      </w:r>
      <w:proofErr w:type="spellEnd"/>
      <w:r w:rsidRPr="001B6EE9">
        <w:rPr>
          <w:rFonts w:ascii="Lato" w:hAnsi="Lato" w:cs="Calibri"/>
          <w:sz w:val="20"/>
          <w:szCs w:val="20"/>
        </w:rPr>
        <w:t xml:space="preserve">, </w:t>
      </w:r>
      <w:proofErr w:type="spellStart"/>
      <w:r w:rsidRPr="001B6EE9">
        <w:rPr>
          <w:rFonts w:ascii="Lato" w:hAnsi="Lato" w:cs="Calibri"/>
          <w:sz w:val="20"/>
          <w:szCs w:val="20"/>
        </w:rPr>
        <w:t>spotkań</w:t>
      </w:r>
      <w:proofErr w:type="spellEnd"/>
      <w:r w:rsidRPr="001B6EE9">
        <w:rPr>
          <w:rFonts w:ascii="Lato" w:hAnsi="Lato" w:cs="Calibri"/>
          <w:sz w:val="20"/>
          <w:szCs w:val="20"/>
        </w:rPr>
        <w:t xml:space="preserve"> </w:t>
      </w:r>
      <w:proofErr w:type="spellStart"/>
      <w:r w:rsidRPr="001B6EE9">
        <w:rPr>
          <w:rFonts w:ascii="Lato" w:hAnsi="Lato" w:cs="Calibri"/>
          <w:sz w:val="20"/>
          <w:szCs w:val="20"/>
        </w:rPr>
        <w:t>międzypokoleniowych</w:t>
      </w:r>
      <w:proofErr w:type="spellEnd"/>
      <w:r w:rsidRPr="001B6EE9">
        <w:rPr>
          <w:rFonts w:ascii="Lato" w:hAnsi="Lato" w:cs="Calibri"/>
          <w:sz w:val="20"/>
          <w:szCs w:val="20"/>
        </w:rPr>
        <w:t xml:space="preserve"> i </w:t>
      </w:r>
      <w:proofErr w:type="spellStart"/>
      <w:r w:rsidRPr="001B6EE9">
        <w:rPr>
          <w:rFonts w:ascii="Lato" w:hAnsi="Lato" w:cs="Calibri"/>
          <w:sz w:val="20"/>
          <w:szCs w:val="20"/>
        </w:rPr>
        <w:t>inicjatyw</w:t>
      </w:r>
      <w:proofErr w:type="spellEnd"/>
      <w:r w:rsidRPr="001B6EE9">
        <w:rPr>
          <w:rFonts w:ascii="Lato" w:hAnsi="Lato" w:cs="Calibri"/>
          <w:sz w:val="20"/>
          <w:szCs w:val="20"/>
        </w:rPr>
        <w:t xml:space="preserve"> na  </w:t>
      </w:r>
      <w:proofErr w:type="spellStart"/>
      <w:r w:rsidRPr="001B6EE9">
        <w:rPr>
          <w:rFonts w:ascii="Lato" w:hAnsi="Lato" w:cs="Calibri"/>
          <w:sz w:val="20"/>
          <w:szCs w:val="20"/>
        </w:rPr>
        <w:t>rzecz</w:t>
      </w:r>
      <w:proofErr w:type="spellEnd"/>
      <w:r w:rsidRPr="001B6EE9">
        <w:rPr>
          <w:rFonts w:ascii="Lato" w:hAnsi="Lato" w:cs="Calibri"/>
          <w:sz w:val="20"/>
          <w:szCs w:val="20"/>
        </w:rPr>
        <w:t xml:space="preserve"> </w:t>
      </w:r>
      <w:proofErr w:type="spellStart"/>
      <w:r w:rsidRPr="001B6EE9">
        <w:rPr>
          <w:rFonts w:ascii="Lato" w:hAnsi="Lato" w:cs="Calibri"/>
          <w:sz w:val="20"/>
          <w:szCs w:val="20"/>
        </w:rPr>
        <w:t>wsi</w:t>
      </w:r>
      <w:proofErr w:type="spellEnd"/>
      <w:r w:rsidRPr="001B6EE9">
        <w:rPr>
          <w:rFonts w:ascii="Lato" w:hAnsi="Lato" w:cs="Calibri"/>
          <w:sz w:val="20"/>
          <w:szCs w:val="20"/>
        </w:rPr>
        <w:t>.</w:t>
      </w:r>
    </w:p>
    <w:p w14:paraId="31FCB831" w14:textId="77777777" w:rsidR="001B6EE9" w:rsidRDefault="001B6EE9" w:rsidP="001B6EE9">
      <w:pPr>
        <w:pStyle w:val="Standard"/>
        <w:ind w:right="60"/>
        <w:jc w:val="both"/>
        <w:rPr>
          <w:rFonts w:ascii="Lato" w:hAnsi="Lato" w:cs="Calibri"/>
          <w:b/>
          <w:sz w:val="20"/>
          <w:szCs w:val="20"/>
        </w:rPr>
      </w:pPr>
    </w:p>
    <w:p w14:paraId="6FAE8159" w14:textId="7E44D718" w:rsidR="001B6EE9" w:rsidRPr="001B6EE9" w:rsidRDefault="001B6EE9" w:rsidP="001B6EE9">
      <w:pPr>
        <w:pStyle w:val="Standard"/>
        <w:ind w:right="60"/>
        <w:jc w:val="both"/>
        <w:rPr>
          <w:rFonts w:ascii="Lato" w:hAnsi="Lato"/>
          <w:sz w:val="20"/>
          <w:szCs w:val="20"/>
        </w:rPr>
      </w:pPr>
      <w:proofErr w:type="spellStart"/>
      <w:r w:rsidRPr="001B6EE9">
        <w:rPr>
          <w:rFonts w:ascii="Lato" w:hAnsi="Lato" w:cs="Calibri"/>
          <w:b/>
          <w:sz w:val="20"/>
          <w:szCs w:val="20"/>
        </w:rPr>
        <w:t>Zajęcia</w:t>
      </w:r>
      <w:proofErr w:type="spellEnd"/>
      <w:r w:rsidRPr="001B6EE9">
        <w:rPr>
          <w:rFonts w:ascii="Lato" w:hAnsi="Lato" w:cs="Calibri"/>
          <w:b/>
          <w:sz w:val="20"/>
          <w:szCs w:val="20"/>
        </w:rPr>
        <w:t xml:space="preserve"> w </w:t>
      </w:r>
      <w:proofErr w:type="spellStart"/>
      <w:r w:rsidRPr="001B6EE9">
        <w:rPr>
          <w:rFonts w:ascii="Lato" w:hAnsi="Lato" w:cs="Calibri"/>
          <w:b/>
          <w:sz w:val="20"/>
          <w:szCs w:val="20"/>
        </w:rPr>
        <w:t>Klubie</w:t>
      </w:r>
      <w:proofErr w:type="spellEnd"/>
    </w:p>
    <w:p w14:paraId="14A5175D" w14:textId="77777777" w:rsidR="001B6EE9" w:rsidRPr="001B6EE9" w:rsidRDefault="001B6EE9" w:rsidP="001B6EE9">
      <w:pPr>
        <w:pStyle w:val="Standard"/>
        <w:jc w:val="both"/>
        <w:rPr>
          <w:rFonts w:ascii="Lato" w:hAnsi="Lato"/>
          <w:sz w:val="20"/>
          <w:szCs w:val="20"/>
        </w:rPr>
      </w:pPr>
      <w:proofErr w:type="spellStart"/>
      <w:r w:rsidRPr="001B6EE9">
        <w:rPr>
          <w:rFonts w:ascii="Lato" w:hAnsi="Lato" w:cs="Calibri"/>
          <w:sz w:val="20"/>
          <w:szCs w:val="20"/>
        </w:rPr>
        <w:t>Seniorzy</w:t>
      </w:r>
      <w:proofErr w:type="spellEnd"/>
      <w:r w:rsidRPr="001B6EE9">
        <w:rPr>
          <w:rFonts w:ascii="Lato" w:hAnsi="Lato" w:cs="Calibri"/>
          <w:sz w:val="20"/>
          <w:szCs w:val="20"/>
        </w:rPr>
        <w:t xml:space="preserve"> </w:t>
      </w:r>
      <w:proofErr w:type="spellStart"/>
      <w:r w:rsidRPr="001B6EE9">
        <w:rPr>
          <w:rFonts w:ascii="Lato" w:hAnsi="Lato" w:cs="Calibri"/>
          <w:sz w:val="20"/>
          <w:szCs w:val="20"/>
        </w:rPr>
        <w:t>regularnie</w:t>
      </w:r>
      <w:proofErr w:type="spellEnd"/>
      <w:r w:rsidRPr="001B6EE9">
        <w:rPr>
          <w:rFonts w:ascii="Lato" w:hAnsi="Lato" w:cs="Calibri"/>
          <w:sz w:val="20"/>
          <w:szCs w:val="20"/>
        </w:rPr>
        <w:t xml:space="preserve"> </w:t>
      </w:r>
      <w:proofErr w:type="spellStart"/>
      <w:r w:rsidRPr="001B6EE9">
        <w:rPr>
          <w:rFonts w:ascii="Lato" w:hAnsi="Lato" w:cs="Calibri"/>
          <w:sz w:val="20"/>
          <w:szCs w:val="20"/>
        </w:rPr>
        <w:t>uczestniczą</w:t>
      </w:r>
      <w:proofErr w:type="spellEnd"/>
      <w:r w:rsidRPr="001B6EE9">
        <w:rPr>
          <w:rFonts w:ascii="Lato" w:hAnsi="Lato" w:cs="Calibri"/>
          <w:sz w:val="20"/>
          <w:szCs w:val="20"/>
        </w:rPr>
        <w:t xml:space="preserve"> w </w:t>
      </w:r>
      <w:proofErr w:type="spellStart"/>
      <w:r w:rsidRPr="001B6EE9">
        <w:rPr>
          <w:rFonts w:ascii="Lato" w:hAnsi="Lato" w:cs="Calibri"/>
          <w:sz w:val="20"/>
          <w:szCs w:val="20"/>
        </w:rPr>
        <w:t>zajęciach</w:t>
      </w:r>
      <w:proofErr w:type="spellEnd"/>
      <w:r w:rsidRPr="001B6EE9">
        <w:rPr>
          <w:rFonts w:ascii="Lato" w:hAnsi="Lato" w:cs="Calibri"/>
          <w:sz w:val="20"/>
          <w:szCs w:val="20"/>
        </w:rPr>
        <w:t xml:space="preserve"> i </w:t>
      </w:r>
      <w:proofErr w:type="spellStart"/>
      <w:r w:rsidRPr="001B6EE9">
        <w:rPr>
          <w:rFonts w:ascii="Lato" w:hAnsi="Lato" w:cs="Calibri"/>
          <w:sz w:val="20"/>
          <w:szCs w:val="20"/>
        </w:rPr>
        <w:t>aktywnościach</w:t>
      </w:r>
      <w:proofErr w:type="spellEnd"/>
      <w:r w:rsidRPr="001B6EE9">
        <w:rPr>
          <w:rFonts w:ascii="Lato" w:hAnsi="Lato" w:cs="Calibri"/>
          <w:sz w:val="20"/>
          <w:szCs w:val="20"/>
        </w:rPr>
        <w:t xml:space="preserve"> w </w:t>
      </w:r>
      <w:proofErr w:type="spellStart"/>
      <w:r w:rsidRPr="001B6EE9">
        <w:rPr>
          <w:rFonts w:ascii="Lato" w:hAnsi="Lato" w:cs="Calibri"/>
          <w:sz w:val="20"/>
          <w:szCs w:val="20"/>
        </w:rPr>
        <w:t>Klubie</w:t>
      </w:r>
      <w:proofErr w:type="spellEnd"/>
      <w:r w:rsidRPr="001B6EE9">
        <w:rPr>
          <w:rFonts w:ascii="Lato" w:hAnsi="Lato" w:cs="Calibri"/>
          <w:sz w:val="20"/>
          <w:szCs w:val="20"/>
        </w:rPr>
        <w:t xml:space="preserve">. </w:t>
      </w:r>
      <w:proofErr w:type="spellStart"/>
      <w:r w:rsidRPr="001B6EE9">
        <w:rPr>
          <w:rFonts w:ascii="Lato" w:hAnsi="Lato" w:cs="Calibri"/>
          <w:sz w:val="20"/>
          <w:szCs w:val="20"/>
        </w:rPr>
        <w:t>Trzy</w:t>
      </w:r>
      <w:proofErr w:type="spellEnd"/>
      <w:r w:rsidRPr="001B6EE9">
        <w:rPr>
          <w:rFonts w:ascii="Lato" w:hAnsi="Lato" w:cs="Calibri"/>
          <w:sz w:val="20"/>
          <w:szCs w:val="20"/>
        </w:rPr>
        <w:t xml:space="preserve"> </w:t>
      </w:r>
      <w:proofErr w:type="spellStart"/>
      <w:r w:rsidRPr="001B6EE9">
        <w:rPr>
          <w:rFonts w:ascii="Lato" w:hAnsi="Lato" w:cs="Calibri"/>
          <w:sz w:val="20"/>
          <w:szCs w:val="20"/>
        </w:rPr>
        <w:t>dni</w:t>
      </w:r>
      <w:proofErr w:type="spellEnd"/>
      <w:r w:rsidRPr="001B6EE9">
        <w:rPr>
          <w:rFonts w:ascii="Lato" w:hAnsi="Lato" w:cs="Calibri"/>
          <w:sz w:val="20"/>
          <w:szCs w:val="20"/>
        </w:rPr>
        <w:t xml:space="preserve"> w </w:t>
      </w:r>
      <w:proofErr w:type="spellStart"/>
      <w:r w:rsidRPr="001B6EE9">
        <w:rPr>
          <w:rFonts w:ascii="Lato" w:hAnsi="Lato" w:cs="Calibri"/>
          <w:sz w:val="20"/>
          <w:szCs w:val="20"/>
        </w:rPr>
        <w:t>tygodniu</w:t>
      </w:r>
      <w:proofErr w:type="spellEnd"/>
      <w:r w:rsidRPr="001B6EE9">
        <w:rPr>
          <w:rFonts w:ascii="Lato" w:hAnsi="Lato" w:cs="Calibri"/>
          <w:sz w:val="20"/>
          <w:szCs w:val="20"/>
        </w:rPr>
        <w:t xml:space="preserve"> </w:t>
      </w:r>
      <w:proofErr w:type="spellStart"/>
      <w:r w:rsidRPr="001B6EE9">
        <w:rPr>
          <w:rFonts w:ascii="Lato" w:hAnsi="Lato" w:cs="Calibri"/>
          <w:sz w:val="20"/>
          <w:szCs w:val="20"/>
        </w:rPr>
        <w:t>mają</w:t>
      </w:r>
      <w:proofErr w:type="spellEnd"/>
      <w:r w:rsidRPr="001B6EE9">
        <w:rPr>
          <w:rFonts w:ascii="Lato" w:hAnsi="Lato" w:cs="Calibri"/>
          <w:sz w:val="20"/>
          <w:szCs w:val="20"/>
        </w:rPr>
        <w:t xml:space="preserve"> </w:t>
      </w:r>
      <w:proofErr w:type="spellStart"/>
      <w:r w:rsidRPr="001B6EE9">
        <w:rPr>
          <w:rFonts w:ascii="Lato" w:hAnsi="Lato" w:cs="Calibri"/>
          <w:sz w:val="20"/>
          <w:szCs w:val="20"/>
        </w:rPr>
        <w:t>możliwość</w:t>
      </w:r>
      <w:proofErr w:type="spellEnd"/>
      <w:r w:rsidRPr="001B6EE9">
        <w:rPr>
          <w:rFonts w:ascii="Lato" w:hAnsi="Lato" w:cs="Calibri"/>
          <w:sz w:val="20"/>
          <w:szCs w:val="20"/>
        </w:rPr>
        <w:t xml:space="preserve"> </w:t>
      </w:r>
      <w:proofErr w:type="spellStart"/>
      <w:r w:rsidRPr="001B6EE9">
        <w:rPr>
          <w:rFonts w:ascii="Lato" w:hAnsi="Lato" w:cs="Calibri"/>
          <w:sz w:val="20"/>
          <w:szCs w:val="20"/>
        </w:rPr>
        <w:t>korzystania</w:t>
      </w:r>
      <w:proofErr w:type="spellEnd"/>
      <w:r w:rsidRPr="001B6EE9">
        <w:rPr>
          <w:rFonts w:ascii="Lato" w:hAnsi="Lato" w:cs="Calibri"/>
          <w:sz w:val="20"/>
          <w:szCs w:val="20"/>
        </w:rPr>
        <w:t xml:space="preserve"> z:</w:t>
      </w:r>
    </w:p>
    <w:p w14:paraId="1C7E1125" w14:textId="77777777" w:rsidR="001B6EE9" w:rsidRPr="001B6EE9" w:rsidRDefault="001B6EE9" w:rsidP="0059185B">
      <w:pPr>
        <w:pStyle w:val="Akapitzlist"/>
        <w:numPr>
          <w:ilvl w:val="0"/>
          <w:numId w:val="123"/>
        </w:numPr>
        <w:suppressAutoHyphens/>
        <w:autoSpaceDN w:val="0"/>
        <w:spacing w:after="0" w:line="240" w:lineRule="auto"/>
        <w:contextualSpacing w:val="0"/>
        <w:jc w:val="both"/>
        <w:textAlignment w:val="baseline"/>
        <w:rPr>
          <w:rFonts w:ascii="Lato" w:hAnsi="Lato"/>
          <w:sz w:val="20"/>
          <w:szCs w:val="20"/>
        </w:rPr>
      </w:pPr>
      <w:r w:rsidRPr="001B6EE9">
        <w:rPr>
          <w:rFonts w:ascii="Lato" w:hAnsi="Lato" w:cs="Calibri"/>
          <w:sz w:val="20"/>
          <w:szCs w:val="20"/>
        </w:rPr>
        <w:lastRenderedPageBreak/>
        <w:t xml:space="preserve">warsztatów </w:t>
      </w:r>
      <w:proofErr w:type="spellStart"/>
      <w:r w:rsidRPr="001B6EE9">
        <w:rPr>
          <w:rFonts w:ascii="Lato" w:hAnsi="Lato" w:cs="Calibri"/>
          <w:sz w:val="20"/>
          <w:szCs w:val="20"/>
        </w:rPr>
        <w:t>handmade</w:t>
      </w:r>
      <w:proofErr w:type="spellEnd"/>
      <w:r w:rsidRPr="001B6EE9">
        <w:rPr>
          <w:rFonts w:ascii="Lato" w:hAnsi="Lato" w:cs="Calibri"/>
          <w:sz w:val="20"/>
          <w:szCs w:val="20"/>
        </w:rPr>
        <w:t xml:space="preserve"> i kreatywnych, podczas których tworzą piękne prace i poznają nowe techniki artystyczne;</w:t>
      </w:r>
    </w:p>
    <w:p w14:paraId="2B64816C" w14:textId="77777777" w:rsidR="001B6EE9" w:rsidRPr="001B6EE9" w:rsidRDefault="001B6EE9" w:rsidP="0059185B">
      <w:pPr>
        <w:pStyle w:val="Akapitzlist"/>
        <w:numPr>
          <w:ilvl w:val="0"/>
          <w:numId w:val="111"/>
        </w:numPr>
        <w:suppressAutoHyphens/>
        <w:autoSpaceDN w:val="0"/>
        <w:spacing w:after="0" w:line="240" w:lineRule="auto"/>
        <w:contextualSpacing w:val="0"/>
        <w:jc w:val="both"/>
        <w:textAlignment w:val="baseline"/>
        <w:rPr>
          <w:rFonts w:ascii="Lato" w:hAnsi="Lato"/>
          <w:sz w:val="20"/>
          <w:szCs w:val="20"/>
        </w:rPr>
      </w:pPr>
      <w:r w:rsidRPr="001B6EE9">
        <w:rPr>
          <w:rFonts w:ascii="Lato" w:hAnsi="Lato" w:cs="Calibri"/>
          <w:sz w:val="20"/>
          <w:szCs w:val="20"/>
        </w:rPr>
        <w:t>zajęć kulinarnych „Kuchnia Seniora”, podczas których dzielą się doświadczeniami kulinarnymi oraz poznają nowe przepisy z różnorodnych kuchni świata,</w:t>
      </w:r>
    </w:p>
    <w:p w14:paraId="49C5E2ED" w14:textId="77777777" w:rsidR="001B6EE9" w:rsidRPr="001B6EE9" w:rsidRDefault="001B6EE9" w:rsidP="0059185B">
      <w:pPr>
        <w:pStyle w:val="Akapitzlist"/>
        <w:numPr>
          <w:ilvl w:val="0"/>
          <w:numId w:val="111"/>
        </w:numPr>
        <w:suppressAutoHyphens/>
        <w:autoSpaceDN w:val="0"/>
        <w:spacing w:after="0" w:line="240" w:lineRule="auto"/>
        <w:contextualSpacing w:val="0"/>
        <w:jc w:val="both"/>
        <w:textAlignment w:val="baseline"/>
        <w:rPr>
          <w:rFonts w:ascii="Lato" w:hAnsi="Lato"/>
          <w:sz w:val="20"/>
          <w:szCs w:val="20"/>
        </w:rPr>
      </w:pPr>
      <w:r w:rsidRPr="001B6EE9">
        <w:rPr>
          <w:rFonts w:ascii="Lato" w:hAnsi="Lato" w:cs="Calibri"/>
          <w:sz w:val="20"/>
          <w:szCs w:val="20"/>
        </w:rPr>
        <w:t xml:space="preserve">zajęć „Aktywny Senior” – seniorzy uczestniczą w zajęciach ruchowych, relaksacyjnych, zajęciach przy muzyce oraz spacerach po okolicy </w:t>
      </w:r>
      <w:proofErr w:type="spellStart"/>
      <w:r w:rsidRPr="001B6EE9">
        <w:rPr>
          <w:rFonts w:ascii="Lato" w:hAnsi="Lato" w:cs="Calibri"/>
          <w:sz w:val="20"/>
          <w:szCs w:val="20"/>
        </w:rPr>
        <w:t>nordic</w:t>
      </w:r>
      <w:proofErr w:type="spellEnd"/>
      <w:r w:rsidRPr="001B6EE9">
        <w:rPr>
          <w:rFonts w:ascii="Lato" w:hAnsi="Lato" w:cs="Calibri"/>
          <w:sz w:val="20"/>
          <w:szCs w:val="20"/>
        </w:rPr>
        <w:t xml:space="preserve"> </w:t>
      </w:r>
      <w:proofErr w:type="spellStart"/>
      <w:r w:rsidRPr="001B6EE9">
        <w:rPr>
          <w:rFonts w:ascii="Lato" w:hAnsi="Lato" w:cs="Calibri"/>
          <w:sz w:val="20"/>
          <w:szCs w:val="20"/>
        </w:rPr>
        <w:t>walking</w:t>
      </w:r>
      <w:proofErr w:type="spellEnd"/>
      <w:r w:rsidRPr="001B6EE9">
        <w:rPr>
          <w:rFonts w:ascii="Lato" w:hAnsi="Lato" w:cs="Calibri"/>
          <w:sz w:val="20"/>
          <w:szCs w:val="20"/>
        </w:rPr>
        <w:t>,</w:t>
      </w:r>
    </w:p>
    <w:p w14:paraId="479F7E01" w14:textId="77777777" w:rsidR="001B6EE9" w:rsidRPr="001B6EE9" w:rsidRDefault="001B6EE9" w:rsidP="0059185B">
      <w:pPr>
        <w:pStyle w:val="Akapitzlist"/>
        <w:numPr>
          <w:ilvl w:val="0"/>
          <w:numId w:val="111"/>
        </w:numPr>
        <w:suppressAutoHyphens/>
        <w:autoSpaceDN w:val="0"/>
        <w:spacing w:after="0" w:line="240" w:lineRule="auto"/>
        <w:contextualSpacing w:val="0"/>
        <w:jc w:val="both"/>
        <w:textAlignment w:val="baseline"/>
        <w:rPr>
          <w:rFonts w:ascii="Lato" w:hAnsi="Lato"/>
          <w:sz w:val="20"/>
          <w:szCs w:val="20"/>
        </w:rPr>
      </w:pPr>
      <w:r w:rsidRPr="001B6EE9">
        <w:rPr>
          <w:rFonts w:ascii="Lato" w:hAnsi="Lato" w:cs="Calibri"/>
          <w:sz w:val="20"/>
          <w:szCs w:val="20"/>
        </w:rPr>
        <w:t>innych zajęć: Klubowy Kącik Gier Towarzyskich, „Siłownia Pamięci”, Klub dyskusyjny, „Spotkania społeczności”, zajęcia tematyczne i pogadanki (w tym o wolontariacie, bezpieczeństwie, zagrożeniach).</w:t>
      </w:r>
    </w:p>
    <w:p w14:paraId="4CB1D962" w14:textId="77777777" w:rsidR="001B6EE9" w:rsidRPr="001B6EE9" w:rsidRDefault="001B6EE9" w:rsidP="001B6EE9">
      <w:pPr>
        <w:pStyle w:val="Akapitzlist"/>
        <w:spacing w:after="0" w:line="240" w:lineRule="auto"/>
        <w:jc w:val="both"/>
        <w:rPr>
          <w:rFonts w:ascii="Lato" w:hAnsi="Lato" w:cs="Calibri"/>
          <w:sz w:val="20"/>
          <w:szCs w:val="20"/>
        </w:rPr>
      </w:pPr>
    </w:p>
    <w:p w14:paraId="5DED6974" w14:textId="6739DA68" w:rsidR="001B6EE9" w:rsidRDefault="001B6EE9" w:rsidP="001B6EE9">
      <w:pPr>
        <w:pStyle w:val="Standard"/>
        <w:jc w:val="both"/>
        <w:rPr>
          <w:rFonts w:ascii="Lato" w:hAnsi="Lato" w:cs="Calibri"/>
          <w:sz w:val="20"/>
          <w:szCs w:val="20"/>
        </w:rPr>
      </w:pPr>
      <w:proofErr w:type="spellStart"/>
      <w:r w:rsidRPr="001B6EE9">
        <w:rPr>
          <w:rFonts w:ascii="Lato" w:hAnsi="Lato" w:cs="Calibri"/>
          <w:sz w:val="20"/>
          <w:szCs w:val="20"/>
        </w:rPr>
        <w:t>Ponadto</w:t>
      </w:r>
      <w:proofErr w:type="spellEnd"/>
      <w:r w:rsidRPr="001B6EE9">
        <w:rPr>
          <w:rFonts w:ascii="Lato" w:hAnsi="Lato" w:cs="Calibri"/>
          <w:sz w:val="20"/>
          <w:szCs w:val="20"/>
        </w:rPr>
        <w:t xml:space="preserve"> </w:t>
      </w:r>
      <w:proofErr w:type="spellStart"/>
      <w:r w:rsidRPr="001B6EE9">
        <w:rPr>
          <w:rFonts w:ascii="Lato" w:hAnsi="Lato" w:cs="Calibri"/>
          <w:sz w:val="20"/>
          <w:szCs w:val="20"/>
        </w:rPr>
        <w:t>uczestnicy</w:t>
      </w:r>
      <w:proofErr w:type="spellEnd"/>
      <w:r w:rsidRPr="001B6EE9">
        <w:rPr>
          <w:rFonts w:ascii="Lato" w:hAnsi="Lato" w:cs="Calibri"/>
          <w:sz w:val="20"/>
          <w:szCs w:val="20"/>
        </w:rPr>
        <w:t xml:space="preserve"> </w:t>
      </w:r>
      <w:proofErr w:type="spellStart"/>
      <w:r w:rsidRPr="001B6EE9">
        <w:rPr>
          <w:rFonts w:ascii="Lato" w:hAnsi="Lato" w:cs="Calibri"/>
          <w:sz w:val="20"/>
          <w:szCs w:val="20"/>
        </w:rPr>
        <w:t>mają</w:t>
      </w:r>
      <w:proofErr w:type="spellEnd"/>
      <w:r w:rsidRPr="001B6EE9">
        <w:rPr>
          <w:rFonts w:ascii="Lato" w:hAnsi="Lato" w:cs="Calibri"/>
          <w:sz w:val="20"/>
          <w:szCs w:val="20"/>
        </w:rPr>
        <w:t xml:space="preserve"> </w:t>
      </w:r>
      <w:proofErr w:type="spellStart"/>
      <w:r w:rsidRPr="001B6EE9">
        <w:rPr>
          <w:rFonts w:ascii="Lato" w:hAnsi="Lato" w:cs="Calibri"/>
          <w:sz w:val="20"/>
          <w:szCs w:val="20"/>
        </w:rPr>
        <w:t>możliwość</w:t>
      </w:r>
      <w:proofErr w:type="spellEnd"/>
      <w:r w:rsidRPr="001B6EE9">
        <w:rPr>
          <w:rFonts w:ascii="Lato" w:hAnsi="Lato" w:cs="Calibri"/>
          <w:sz w:val="20"/>
          <w:szCs w:val="20"/>
        </w:rPr>
        <w:t xml:space="preserve"> </w:t>
      </w:r>
      <w:proofErr w:type="spellStart"/>
      <w:r w:rsidRPr="001B6EE9">
        <w:rPr>
          <w:rFonts w:ascii="Lato" w:hAnsi="Lato" w:cs="Calibri"/>
          <w:sz w:val="20"/>
          <w:szCs w:val="20"/>
        </w:rPr>
        <w:t>korzystania</w:t>
      </w:r>
      <w:proofErr w:type="spellEnd"/>
      <w:r w:rsidRPr="001B6EE9">
        <w:rPr>
          <w:rFonts w:ascii="Lato" w:hAnsi="Lato" w:cs="Calibri"/>
          <w:sz w:val="20"/>
          <w:szCs w:val="20"/>
        </w:rPr>
        <w:t xml:space="preserve"> z </w:t>
      </w:r>
      <w:proofErr w:type="spellStart"/>
      <w:r w:rsidRPr="001B6EE9">
        <w:rPr>
          <w:rFonts w:ascii="Lato" w:hAnsi="Lato" w:cs="Calibri"/>
          <w:sz w:val="20"/>
          <w:szCs w:val="20"/>
        </w:rPr>
        <w:t>zajęć</w:t>
      </w:r>
      <w:proofErr w:type="spellEnd"/>
      <w:r w:rsidRPr="001B6EE9">
        <w:rPr>
          <w:rFonts w:ascii="Lato" w:hAnsi="Lato" w:cs="Calibri"/>
          <w:sz w:val="20"/>
          <w:szCs w:val="20"/>
        </w:rPr>
        <w:t xml:space="preserve"> </w:t>
      </w:r>
      <w:proofErr w:type="spellStart"/>
      <w:r w:rsidRPr="001B6EE9">
        <w:rPr>
          <w:rFonts w:ascii="Lato" w:hAnsi="Lato" w:cs="Calibri"/>
          <w:sz w:val="20"/>
          <w:szCs w:val="20"/>
        </w:rPr>
        <w:t>ze</w:t>
      </w:r>
      <w:proofErr w:type="spellEnd"/>
      <w:r w:rsidRPr="001B6EE9">
        <w:rPr>
          <w:rFonts w:ascii="Lato" w:hAnsi="Lato" w:cs="Calibri"/>
          <w:sz w:val="20"/>
          <w:szCs w:val="20"/>
        </w:rPr>
        <w:t xml:space="preserve"> </w:t>
      </w:r>
      <w:proofErr w:type="spellStart"/>
      <w:r w:rsidRPr="001B6EE9">
        <w:rPr>
          <w:rFonts w:ascii="Lato" w:hAnsi="Lato" w:cs="Calibri"/>
          <w:sz w:val="20"/>
          <w:szCs w:val="20"/>
        </w:rPr>
        <w:t>specjalistami</w:t>
      </w:r>
      <w:proofErr w:type="spellEnd"/>
      <w:r w:rsidRPr="001B6EE9">
        <w:rPr>
          <w:rFonts w:ascii="Lato" w:hAnsi="Lato" w:cs="Calibri"/>
          <w:sz w:val="20"/>
          <w:szCs w:val="20"/>
        </w:rPr>
        <w:t xml:space="preserve"> w </w:t>
      </w:r>
      <w:proofErr w:type="spellStart"/>
      <w:r w:rsidRPr="001B6EE9">
        <w:rPr>
          <w:rFonts w:ascii="Lato" w:hAnsi="Lato" w:cs="Calibri"/>
          <w:sz w:val="20"/>
          <w:szCs w:val="20"/>
        </w:rPr>
        <w:t>zależności</w:t>
      </w:r>
      <w:proofErr w:type="spellEnd"/>
      <w:r w:rsidRPr="001B6EE9">
        <w:rPr>
          <w:rFonts w:ascii="Lato" w:hAnsi="Lato" w:cs="Calibri"/>
          <w:sz w:val="20"/>
          <w:szCs w:val="20"/>
        </w:rPr>
        <w:t xml:space="preserve"> </w:t>
      </w:r>
      <w:proofErr w:type="spellStart"/>
      <w:r w:rsidRPr="001B6EE9">
        <w:rPr>
          <w:rFonts w:ascii="Lato" w:hAnsi="Lato" w:cs="Calibri"/>
          <w:sz w:val="20"/>
          <w:szCs w:val="20"/>
        </w:rPr>
        <w:t>od</w:t>
      </w:r>
      <w:proofErr w:type="spellEnd"/>
      <w:r w:rsidRPr="001B6EE9">
        <w:rPr>
          <w:rFonts w:ascii="Lato" w:hAnsi="Lato" w:cs="Calibri"/>
          <w:sz w:val="20"/>
          <w:szCs w:val="20"/>
        </w:rPr>
        <w:t xml:space="preserve"> </w:t>
      </w:r>
      <w:proofErr w:type="spellStart"/>
      <w:r w:rsidRPr="001B6EE9">
        <w:rPr>
          <w:rFonts w:ascii="Lato" w:hAnsi="Lato" w:cs="Calibri"/>
          <w:sz w:val="20"/>
          <w:szCs w:val="20"/>
        </w:rPr>
        <w:t>potrzeb</w:t>
      </w:r>
      <w:proofErr w:type="spellEnd"/>
      <w:r w:rsidRPr="001B6EE9">
        <w:rPr>
          <w:rFonts w:ascii="Lato" w:hAnsi="Lato" w:cs="Calibri"/>
          <w:sz w:val="20"/>
          <w:szCs w:val="20"/>
        </w:rPr>
        <w:t xml:space="preserve"> – </w:t>
      </w:r>
      <w:proofErr w:type="spellStart"/>
      <w:r w:rsidRPr="001B6EE9">
        <w:rPr>
          <w:rFonts w:ascii="Lato" w:hAnsi="Lato" w:cs="Calibri"/>
          <w:sz w:val="20"/>
          <w:szCs w:val="20"/>
        </w:rPr>
        <w:t>realizowano</w:t>
      </w:r>
      <w:proofErr w:type="spellEnd"/>
      <w:r w:rsidRPr="001B6EE9">
        <w:rPr>
          <w:rFonts w:ascii="Lato" w:hAnsi="Lato" w:cs="Calibri"/>
          <w:sz w:val="20"/>
          <w:szCs w:val="20"/>
        </w:rPr>
        <w:t xml:space="preserve"> m.in. </w:t>
      </w:r>
      <w:proofErr w:type="spellStart"/>
      <w:r w:rsidRPr="001B6EE9">
        <w:rPr>
          <w:rFonts w:ascii="Lato" w:hAnsi="Lato" w:cs="Calibri"/>
          <w:sz w:val="20"/>
          <w:szCs w:val="20"/>
        </w:rPr>
        <w:t>zajęcia</w:t>
      </w:r>
      <w:proofErr w:type="spellEnd"/>
      <w:r w:rsidRPr="001B6EE9">
        <w:rPr>
          <w:rFonts w:ascii="Lato" w:hAnsi="Lato" w:cs="Calibri"/>
          <w:sz w:val="20"/>
          <w:szCs w:val="20"/>
        </w:rPr>
        <w:t xml:space="preserve"> z </w:t>
      </w:r>
      <w:proofErr w:type="spellStart"/>
      <w:r w:rsidRPr="001B6EE9">
        <w:rPr>
          <w:rFonts w:ascii="Lato" w:hAnsi="Lato" w:cs="Calibri"/>
          <w:sz w:val="20"/>
          <w:szCs w:val="20"/>
        </w:rPr>
        <w:t>dietetyczką</w:t>
      </w:r>
      <w:proofErr w:type="spellEnd"/>
      <w:r w:rsidRPr="001B6EE9">
        <w:rPr>
          <w:rFonts w:ascii="Lato" w:hAnsi="Lato" w:cs="Calibri"/>
          <w:sz w:val="20"/>
          <w:szCs w:val="20"/>
        </w:rPr>
        <w:t xml:space="preserve">, </w:t>
      </w:r>
      <w:proofErr w:type="spellStart"/>
      <w:r w:rsidRPr="001B6EE9">
        <w:rPr>
          <w:rFonts w:ascii="Lato" w:hAnsi="Lato" w:cs="Calibri"/>
          <w:sz w:val="20"/>
          <w:szCs w:val="20"/>
        </w:rPr>
        <w:t>prawniczką</w:t>
      </w:r>
      <w:proofErr w:type="spellEnd"/>
      <w:r w:rsidRPr="001B6EE9">
        <w:rPr>
          <w:rFonts w:ascii="Lato" w:hAnsi="Lato" w:cs="Calibri"/>
          <w:sz w:val="20"/>
          <w:szCs w:val="20"/>
        </w:rPr>
        <w:t xml:space="preserve">, </w:t>
      </w:r>
      <w:proofErr w:type="spellStart"/>
      <w:r w:rsidRPr="001B6EE9">
        <w:rPr>
          <w:rFonts w:ascii="Lato" w:hAnsi="Lato" w:cs="Calibri"/>
          <w:sz w:val="20"/>
          <w:szCs w:val="20"/>
        </w:rPr>
        <w:t>fizjoterapeutą</w:t>
      </w:r>
      <w:proofErr w:type="spellEnd"/>
      <w:r w:rsidRPr="001B6EE9">
        <w:rPr>
          <w:rFonts w:ascii="Lato" w:hAnsi="Lato" w:cs="Calibri"/>
          <w:sz w:val="20"/>
          <w:szCs w:val="20"/>
        </w:rPr>
        <w:t xml:space="preserve">, </w:t>
      </w:r>
      <w:proofErr w:type="spellStart"/>
      <w:r w:rsidRPr="001B6EE9">
        <w:rPr>
          <w:rFonts w:ascii="Lato" w:hAnsi="Lato" w:cs="Calibri"/>
          <w:sz w:val="20"/>
          <w:szCs w:val="20"/>
        </w:rPr>
        <w:t>psychologiem</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Organizowane</w:t>
      </w:r>
      <w:proofErr w:type="spellEnd"/>
      <w:r w:rsidRPr="001B6EE9">
        <w:rPr>
          <w:rFonts w:ascii="Lato" w:hAnsi="Lato" w:cs="Calibri"/>
          <w:sz w:val="20"/>
          <w:szCs w:val="20"/>
        </w:rPr>
        <w:t xml:space="preserve"> </w:t>
      </w:r>
      <w:proofErr w:type="spellStart"/>
      <w:r w:rsidRPr="001B6EE9">
        <w:rPr>
          <w:rFonts w:ascii="Lato" w:hAnsi="Lato" w:cs="Calibri"/>
          <w:sz w:val="20"/>
          <w:szCs w:val="20"/>
        </w:rPr>
        <w:t>są</w:t>
      </w:r>
      <w:proofErr w:type="spellEnd"/>
      <w:r w:rsidRPr="001B6EE9">
        <w:rPr>
          <w:rFonts w:ascii="Lato" w:hAnsi="Lato" w:cs="Calibri"/>
          <w:sz w:val="20"/>
          <w:szCs w:val="20"/>
        </w:rPr>
        <w:t xml:space="preserve"> </w:t>
      </w:r>
      <w:proofErr w:type="spellStart"/>
      <w:r w:rsidRPr="001B6EE9">
        <w:rPr>
          <w:rFonts w:ascii="Lato" w:hAnsi="Lato" w:cs="Calibri"/>
          <w:sz w:val="20"/>
          <w:szCs w:val="20"/>
        </w:rPr>
        <w:t>również</w:t>
      </w:r>
      <w:proofErr w:type="spellEnd"/>
      <w:r w:rsidRPr="001B6EE9">
        <w:rPr>
          <w:rFonts w:ascii="Lato" w:hAnsi="Lato" w:cs="Calibri"/>
          <w:sz w:val="20"/>
          <w:szCs w:val="20"/>
        </w:rPr>
        <w:t xml:space="preserve"> </w:t>
      </w:r>
      <w:proofErr w:type="spellStart"/>
      <w:r w:rsidRPr="001B6EE9">
        <w:rPr>
          <w:rFonts w:ascii="Lato" w:hAnsi="Lato" w:cs="Calibri"/>
          <w:sz w:val="20"/>
          <w:szCs w:val="20"/>
        </w:rPr>
        <w:t>liczne</w:t>
      </w:r>
      <w:proofErr w:type="spellEnd"/>
      <w:r w:rsidRPr="001B6EE9">
        <w:rPr>
          <w:rFonts w:ascii="Lato" w:hAnsi="Lato" w:cs="Calibri"/>
          <w:sz w:val="20"/>
          <w:szCs w:val="20"/>
        </w:rPr>
        <w:t xml:space="preserve"> </w:t>
      </w:r>
      <w:proofErr w:type="spellStart"/>
      <w:r w:rsidRPr="001B6EE9">
        <w:rPr>
          <w:rFonts w:ascii="Lato" w:hAnsi="Lato" w:cs="Calibri"/>
          <w:sz w:val="20"/>
          <w:szCs w:val="20"/>
        </w:rPr>
        <w:t>wyjazdy</w:t>
      </w:r>
      <w:proofErr w:type="spellEnd"/>
      <w:r w:rsidRPr="001B6EE9">
        <w:rPr>
          <w:rFonts w:ascii="Lato" w:hAnsi="Lato" w:cs="Calibri"/>
          <w:sz w:val="20"/>
          <w:szCs w:val="20"/>
        </w:rPr>
        <w:t xml:space="preserve"> </w:t>
      </w:r>
      <w:proofErr w:type="spellStart"/>
      <w:r w:rsidRPr="001B6EE9">
        <w:rPr>
          <w:rFonts w:ascii="Lato" w:hAnsi="Lato" w:cs="Calibri"/>
          <w:sz w:val="20"/>
          <w:szCs w:val="20"/>
        </w:rPr>
        <w:t>integracyjne</w:t>
      </w:r>
      <w:proofErr w:type="spellEnd"/>
      <w:r w:rsidRPr="001B6EE9">
        <w:rPr>
          <w:rFonts w:ascii="Lato" w:hAnsi="Lato" w:cs="Calibri"/>
          <w:sz w:val="20"/>
          <w:szCs w:val="20"/>
        </w:rPr>
        <w:t xml:space="preserve"> o </w:t>
      </w:r>
      <w:proofErr w:type="spellStart"/>
      <w:r w:rsidRPr="001B6EE9">
        <w:rPr>
          <w:rFonts w:ascii="Lato" w:hAnsi="Lato" w:cs="Calibri"/>
          <w:sz w:val="20"/>
          <w:szCs w:val="20"/>
        </w:rPr>
        <w:t>charakterze</w:t>
      </w:r>
      <w:proofErr w:type="spellEnd"/>
      <w:r w:rsidRPr="001B6EE9">
        <w:rPr>
          <w:rFonts w:ascii="Lato" w:hAnsi="Lato" w:cs="Calibri"/>
          <w:sz w:val="20"/>
          <w:szCs w:val="20"/>
        </w:rPr>
        <w:t xml:space="preserve"> </w:t>
      </w:r>
      <w:proofErr w:type="spellStart"/>
      <w:r w:rsidRPr="001B6EE9">
        <w:rPr>
          <w:rFonts w:ascii="Lato" w:hAnsi="Lato" w:cs="Calibri"/>
          <w:sz w:val="20"/>
          <w:szCs w:val="20"/>
        </w:rPr>
        <w:t>edukacyjno</w:t>
      </w:r>
      <w:proofErr w:type="spellEnd"/>
      <w:r w:rsidRPr="001B6EE9">
        <w:rPr>
          <w:rFonts w:ascii="Lato" w:hAnsi="Lato" w:cs="Calibri"/>
          <w:sz w:val="20"/>
          <w:szCs w:val="20"/>
        </w:rPr>
        <w:t xml:space="preserve"> – </w:t>
      </w:r>
      <w:proofErr w:type="spellStart"/>
      <w:r w:rsidRPr="001B6EE9">
        <w:rPr>
          <w:rFonts w:ascii="Lato" w:hAnsi="Lato" w:cs="Calibri"/>
          <w:sz w:val="20"/>
          <w:szCs w:val="20"/>
        </w:rPr>
        <w:t>kulturalnym</w:t>
      </w:r>
      <w:proofErr w:type="spellEnd"/>
      <w:r w:rsidRPr="001B6EE9">
        <w:rPr>
          <w:rFonts w:ascii="Lato" w:hAnsi="Lato" w:cs="Calibri"/>
          <w:sz w:val="20"/>
          <w:szCs w:val="20"/>
        </w:rPr>
        <w:t xml:space="preserve"> </w:t>
      </w:r>
      <w:proofErr w:type="spellStart"/>
      <w:r w:rsidRPr="001B6EE9">
        <w:rPr>
          <w:rFonts w:ascii="Lato" w:hAnsi="Lato" w:cs="Calibri"/>
          <w:sz w:val="20"/>
          <w:szCs w:val="20"/>
        </w:rPr>
        <w:t>lub</w:t>
      </w:r>
      <w:proofErr w:type="spellEnd"/>
      <w:r w:rsidRPr="001B6EE9">
        <w:rPr>
          <w:rFonts w:ascii="Lato" w:hAnsi="Lato" w:cs="Calibri"/>
          <w:sz w:val="20"/>
          <w:szCs w:val="20"/>
        </w:rPr>
        <w:t xml:space="preserve"> </w:t>
      </w:r>
      <w:proofErr w:type="spellStart"/>
      <w:r w:rsidRPr="001B6EE9">
        <w:rPr>
          <w:rFonts w:ascii="Lato" w:hAnsi="Lato" w:cs="Calibri"/>
          <w:sz w:val="20"/>
          <w:szCs w:val="20"/>
        </w:rPr>
        <w:t>integracyjnym</w:t>
      </w:r>
      <w:proofErr w:type="spellEnd"/>
      <w:r w:rsidRPr="001B6EE9">
        <w:rPr>
          <w:rFonts w:ascii="Lato" w:hAnsi="Lato" w:cs="Calibri"/>
          <w:sz w:val="20"/>
          <w:szCs w:val="20"/>
        </w:rPr>
        <w:t xml:space="preserve">. </w:t>
      </w:r>
      <w:proofErr w:type="spellStart"/>
      <w:r w:rsidRPr="001B6EE9">
        <w:rPr>
          <w:rFonts w:ascii="Lato" w:hAnsi="Lato" w:cs="Calibri"/>
          <w:sz w:val="20"/>
          <w:szCs w:val="20"/>
        </w:rPr>
        <w:t>Dzięki</w:t>
      </w:r>
      <w:proofErr w:type="spellEnd"/>
      <w:r w:rsidRPr="001B6EE9">
        <w:rPr>
          <w:rFonts w:ascii="Lato" w:hAnsi="Lato" w:cs="Calibri"/>
          <w:sz w:val="20"/>
          <w:szCs w:val="20"/>
        </w:rPr>
        <w:t xml:space="preserve"> </w:t>
      </w:r>
      <w:proofErr w:type="spellStart"/>
      <w:r w:rsidRPr="001B6EE9">
        <w:rPr>
          <w:rFonts w:ascii="Lato" w:hAnsi="Lato" w:cs="Calibri"/>
          <w:sz w:val="20"/>
          <w:szCs w:val="20"/>
        </w:rPr>
        <w:t>Klubowi</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seniorzy</w:t>
      </w:r>
      <w:proofErr w:type="spellEnd"/>
      <w:r w:rsidRPr="001B6EE9">
        <w:rPr>
          <w:rFonts w:ascii="Lato" w:hAnsi="Lato" w:cs="Calibri"/>
          <w:sz w:val="20"/>
          <w:szCs w:val="20"/>
        </w:rPr>
        <w:t xml:space="preserve"> </w:t>
      </w:r>
      <w:proofErr w:type="spellStart"/>
      <w:r w:rsidRPr="001B6EE9">
        <w:rPr>
          <w:rFonts w:ascii="Lato" w:hAnsi="Lato" w:cs="Calibri"/>
          <w:sz w:val="20"/>
          <w:szCs w:val="20"/>
        </w:rPr>
        <w:t>zwiedzili</w:t>
      </w:r>
      <w:proofErr w:type="spellEnd"/>
      <w:r w:rsidRPr="001B6EE9">
        <w:rPr>
          <w:rFonts w:ascii="Lato" w:hAnsi="Lato" w:cs="Calibri"/>
          <w:sz w:val="20"/>
          <w:szCs w:val="20"/>
        </w:rPr>
        <w:t xml:space="preserve"> </w:t>
      </w:r>
      <w:proofErr w:type="spellStart"/>
      <w:r w:rsidRPr="001B6EE9">
        <w:rPr>
          <w:rFonts w:ascii="Lato" w:hAnsi="Lato" w:cs="Calibri"/>
          <w:sz w:val="20"/>
          <w:szCs w:val="20"/>
        </w:rPr>
        <w:t>wiele</w:t>
      </w:r>
      <w:proofErr w:type="spellEnd"/>
      <w:r w:rsidRPr="001B6EE9">
        <w:rPr>
          <w:rFonts w:ascii="Lato" w:hAnsi="Lato" w:cs="Calibri"/>
          <w:sz w:val="20"/>
          <w:szCs w:val="20"/>
        </w:rPr>
        <w:t xml:space="preserve"> </w:t>
      </w:r>
      <w:proofErr w:type="spellStart"/>
      <w:r w:rsidRPr="001B6EE9">
        <w:rPr>
          <w:rFonts w:ascii="Lato" w:hAnsi="Lato" w:cs="Calibri"/>
          <w:sz w:val="20"/>
          <w:szCs w:val="20"/>
        </w:rPr>
        <w:t>pięknych</w:t>
      </w:r>
      <w:proofErr w:type="spellEnd"/>
      <w:r w:rsidRPr="001B6EE9">
        <w:rPr>
          <w:rFonts w:ascii="Lato" w:hAnsi="Lato" w:cs="Calibri"/>
          <w:sz w:val="20"/>
          <w:szCs w:val="20"/>
        </w:rPr>
        <w:t xml:space="preserve"> </w:t>
      </w:r>
      <w:proofErr w:type="spellStart"/>
      <w:r w:rsidRPr="001B6EE9">
        <w:rPr>
          <w:rFonts w:ascii="Lato" w:hAnsi="Lato" w:cs="Calibri"/>
          <w:sz w:val="20"/>
          <w:szCs w:val="20"/>
        </w:rPr>
        <w:t>polskich</w:t>
      </w:r>
      <w:proofErr w:type="spellEnd"/>
      <w:r w:rsidRPr="001B6EE9">
        <w:rPr>
          <w:rFonts w:ascii="Lato" w:hAnsi="Lato" w:cs="Calibri"/>
          <w:sz w:val="20"/>
          <w:szCs w:val="20"/>
        </w:rPr>
        <w:t xml:space="preserve"> </w:t>
      </w:r>
      <w:proofErr w:type="spellStart"/>
      <w:r w:rsidRPr="001B6EE9">
        <w:rPr>
          <w:rFonts w:ascii="Lato" w:hAnsi="Lato" w:cs="Calibri"/>
          <w:sz w:val="20"/>
          <w:szCs w:val="20"/>
        </w:rPr>
        <w:t>miast</w:t>
      </w:r>
      <w:proofErr w:type="spellEnd"/>
      <w:r w:rsidRPr="001B6EE9">
        <w:rPr>
          <w:rFonts w:ascii="Lato" w:hAnsi="Lato" w:cs="Calibri"/>
          <w:sz w:val="20"/>
          <w:szCs w:val="20"/>
        </w:rPr>
        <w:t xml:space="preserve">, </w:t>
      </w:r>
      <w:proofErr w:type="spellStart"/>
      <w:r w:rsidRPr="001B6EE9">
        <w:rPr>
          <w:rFonts w:ascii="Lato" w:hAnsi="Lato" w:cs="Calibri"/>
          <w:sz w:val="20"/>
          <w:szCs w:val="20"/>
        </w:rPr>
        <w:t>uczestniczyli</w:t>
      </w:r>
      <w:proofErr w:type="spellEnd"/>
      <w:r w:rsidRPr="001B6EE9">
        <w:rPr>
          <w:rFonts w:ascii="Lato" w:hAnsi="Lato" w:cs="Calibri"/>
          <w:sz w:val="20"/>
          <w:szCs w:val="20"/>
        </w:rPr>
        <w:t xml:space="preserve"> w </w:t>
      </w:r>
      <w:proofErr w:type="spellStart"/>
      <w:r w:rsidRPr="001B6EE9">
        <w:rPr>
          <w:rFonts w:ascii="Lato" w:hAnsi="Lato" w:cs="Calibri"/>
          <w:sz w:val="20"/>
          <w:szCs w:val="20"/>
        </w:rPr>
        <w:t>spektaklach</w:t>
      </w:r>
      <w:proofErr w:type="spellEnd"/>
      <w:r w:rsidRPr="001B6EE9">
        <w:rPr>
          <w:rFonts w:ascii="Lato" w:hAnsi="Lato" w:cs="Calibri"/>
          <w:sz w:val="20"/>
          <w:szCs w:val="20"/>
        </w:rPr>
        <w:t xml:space="preserve"> </w:t>
      </w:r>
      <w:proofErr w:type="spellStart"/>
      <w:r w:rsidRPr="001B6EE9">
        <w:rPr>
          <w:rFonts w:ascii="Lato" w:hAnsi="Lato" w:cs="Calibri"/>
          <w:sz w:val="20"/>
          <w:szCs w:val="20"/>
        </w:rPr>
        <w:t>teatralnych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seansach</w:t>
      </w:r>
      <w:proofErr w:type="spellEnd"/>
      <w:r w:rsidRPr="001B6EE9">
        <w:rPr>
          <w:rFonts w:ascii="Lato" w:hAnsi="Lato" w:cs="Calibri"/>
          <w:sz w:val="20"/>
          <w:szCs w:val="20"/>
        </w:rPr>
        <w:t xml:space="preserve"> </w:t>
      </w:r>
      <w:proofErr w:type="spellStart"/>
      <w:r w:rsidRPr="001B6EE9">
        <w:rPr>
          <w:rFonts w:ascii="Lato" w:hAnsi="Lato" w:cs="Calibri"/>
          <w:sz w:val="20"/>
          <w:szCs w:val="20"/>
        </w:rPr>
        <w:t>kinowych</w:t>
      </w:r>
      <w:proofErr w:type="spellEnd"/>
      <w:r w:rsidRPr="001B6EE9">
        <w:rPr>
          <w:rFonts w:ascii="Lato" w:hAnsi="Lato" w:cs="Calibri"/>
          <w:sz w:val="20"/>
          <w:szCs w:val="20"/>
        </w:rPr>
        <w:t xml:space="preserve"> a </w:t>
      </w:r>
      <w:proofErr w:type="spellStart"/>
      <w:r w:rsidRPr="001B6EE9">
        <w:rPr>
          <w:rFonts w:ascii="Lato" w:hAnsi="Lato" w:cs="Calibri"/>
          <w:sz w:val="20"/>
          <w:szCs w:val="20"/>
        </w:rPr>
        <w:t>także</w:t>
      </w:r>
      <w:proofErr w:type="spellEnd"/>
      <w:r w:rsidRPr="001B6EE9">
        <w:rPr>
          <w:rFonts w:ascii="Lato" w:hAnsi="Lato" w:cs="Calibri"/>
          <w:sz w:val="20"/>
          <w:szCs w:val="20"/>
        </w:rPr>
        <w:t xml:space="preserve"> </w:t>
      </w:r>
      <w:proofErr w:type="spellStart"/>
      <w:r w:rsidRPr="001B6EE9">
        <w:rPr>
          <w:rFonts w:ascii="Lato" w:hAnsi="Lato" w:cs="Calibri"/>
          <w:sz w:val="20"/>
          <w:szCs w:val="20"/>
        </w:rPr>
        <w:t>zwiedzali</w:t>
      </w:r>
      <w:proofErr w:type="spellEnd"/>
      <w:r w:rsidRPr="001B6EE9">
        <w:rPr>
          <w:rFonts w:ascii="Lato" w:hAnsi="Lato" w:cs="Calibri"/>
          <w:sz w:val="20"/>
          <w:szCs w:val="20"/>
        </w:rPr>
        <w:t xml:space="preserve"> </w:t>
      </w:r>
      <w:proofErr w:type="spellStart"/>
      <w:r w:rsidRPr="001B6EE9">
        <w:rPr>
          <w:rFonts w:ascii="Lato" w:hAnsi="Lato" w:cs="Calibri"/>
          <w:sz w:val="20"/>
          <w:szCs w:val="20"/>
        </w:rPr>
        <w:t>muzea</w:t>
      </w:r>
      <w:proofErr w:type="spellEnd"/>
      <w:r w:rsidRPr="001B6EE9">
        <w:rPr>
          <w:rFonts w:ascii="Lato" w:hAnsi="Lato" w:cs="Calibri"/>
          <w:sz w:val="20"/>
          <w:szCs w:val="20"/>
        </w:rPr>
        <w:t>.</w:t>
      </w:r>
    </w:p>
    <w:p w14:paraId="601A5EF1" w14:textId="77777777" w:rsidR="001B6EE9" w:rsidRDefault="001B6EE9" w:rsidP="001B6EE9">
      <w:pPr>
        <w:pStyle w:val="Standard"/>
        <w:jc w:val="both"/>
        <w:rPr>
          <w:rFonts w:ascii="Lato" w:hAnsi="Lato"/>
          <w:sz w:val="20"/>
          <w:szCs w:val="20"/>
        </w:rPr>
      </w:pPr>
    </w:p>
    <w:p w14:paraId="77F373B5" w14:textId="18E33950" w:rsidR="001B6EE9" w:rsidRPr="001B6EE9" w:rsidRDefault="001B6EE9" w:rsidP="001B6EE9">
      <w:pPr>
        <w:pStyle w:val="Standard"/>
        <w:jc w:val="both"/>
        <w:rPr>
          <w:rFonts w:ascii="Lato" w:hAnsi="Lato"/>
          <w:sz w:val="20"/>
          <w:szCs w:val="20"/>
        </w:rPr>
      </w:pPr>
      <w:r w:rsidRPr="001B6EE9">
        <w:rPr>
          <w:rFonts w:ascii="Lato" w:hAnsi="Lato" w:cs="Calibri"/>
          <w:sz w:val="20"/>
          <w:szCs w:val="20"/>
        </w:rPr>
        <w:t xml:space="preserve">W </w:t>
      </w:r>
      <w:proofErr w:type="spellStart"/>
      <w:r w:rsidRPr="001B6EE9">
        <w:rPr>
          <w:rFonts w:ascii="Lato" w:hAnsi="Lato" w:cs="Calibri"/>
          <w:sz w:val="20"/>
          <w:szCs w:val="20"/>
        </w:rPr>
        <w:t>okresie</w:t>
      </w:r>
      <w:proofErr w:type="spellEnd"/>
      <w:r w:rsidRPr="001B6EE9">
        <w:rPr>
          <w:rFonts w:ascii="Lato" w:hAnsi="Lato" w:cs="Calibri"/>
          <w:sz w:val="20"/>
          <w:szCs w:val="20"/>
        </w:rPr>
        <w:t xml:space="preserve"> </w:t>
      </w:r>
      <w:proofErr w:type="spellStart"/>
      <w:r w:rsidRPr="001B6EE9">
        <w:rPr>
          <w:rFonts w:ascii="Lato" w:hAnsi="Lato" w:cs="Calibri"/>
          <w:sz w:val="20"/>
          <w:szCs w:val="20"/>
        </w:rPr>
        <w:t>zagrożenia</w:t>
      </w:r>
      <w:proofErr w:type="spellEnd"/>
      <w:r w:rsidRPr="001B6EE9">
        <w:rPr>
          <w:rFonts w:ascii="Lato" w:hAnsi="Lato" w:cs="Calibri"/>
          <w:sz w:val="20"/>
          <w:szCs w:val="20"/>
        </w:rPr>
        <w:t xml:space="preserve"> </w:t>
      </w:r>
      <w:proofErr w:type="spellStart"/>
      <w:r w:rsidRPr="001B6EE9">
        <w:rPr>
          <w:rFonts w:ascii="Lato" w:hAnsi="Lato" w:cs="Calibri"/>
          <w:sz w:val="20"/>
          <w:szCs w:val="20"/>
        </w:rPr>
        <w:t>epidemiologicznego</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seniorzy</w:t>
      </w:r>
      <w:proofErr w:type="spellEnd"/>
      <w:r w:rsidRPr="001B6EE9">
        <w:rPr>
          <w:rFonts w:ascii="Lato" w:hAnsi="Lato" w:cs="Calibri"/>
          <w:sz w:val="20"/>
          <w:szCs w:val="20"/>
        </w:rPr>
        <w:t xml:space="preserve"> </w:t>
      </w:r>
      <w:proofErr w:type="spellStart"/>
      <w:r w:rsidRPr="001B6EE9">
        <w:rPr>
          <w:rFonts w:ascii="Lato" w:hAnsi="Lato" w:cs="Calibri"/>
          <w:sz w:val="20"/>
          <w:szCs w:val="20"/>
        </w:rPr>
        <w:t>mogli</w:t>
      </w:r>
      <w:proofErr w:type="spellEnd"/>
      <w:r w:rsidRPr="001B6EE9">
        <w:rPr>
          <w:rFonts w:ascii="Lato" w:hAnsi="Lato" w:cs="Calibri"/>
          <w:sz w:val="20"/>
          <w:szCs w:val="20"/>
        </w:rPr>
        <w:t xml:space="preserve"> </w:t>
      </w:r>
      <w:proofErr w:type="spellStart"/>
      <w:r w:rsidRPr="001B6EE9">
        <w:rPr>
          <w:rFonts w:ascii="Lato" w:hAnsi="Lato" w:cs="Calibri"/>
          <w:sz w:val="20"/>
          <w:szCs w:val="20"/>
        </w:rPr>
        <w:t>korzystać</w:t>
      </w:r>
      <w:proofErr w:type="spellEnd"/>
      <w:r w:rsidRPr="001B6EE9">
        <w:rPr>
          <w:rFonts w:ascii="Lato" w:hAnsi="Lato" w:cs="Calibri"/>
          <w:sz w:val="20"/>
          <w:szCs w:val="20"/>
        </w:rPr>
        <w:t xml:space="preserve"> z </w:t>
      </w:r>
      <w:proofErr w:type="spellStart"/>
      <w:r w:rsidRPr="001B6EE9">
        <w:rPr>
          <w:rFonts w:ascii="Lato" w:hAnsi="Lato" w:cs="Calibri"/>
          <w:sz w:val="20"/>
          <w:szCs w:val="20"/>
        </w:rPr>
        <w:t>oferty</w:t>
      </w:r>
      <w:proofErr w:type="spellEnd"/>
      <w:r w:rsidRPr="001B6EE9">
        <w:rPr>
          <w:rFonts w:ascii="Lato" w:hAnsi="Lato" w:cs="Calibri"/>
          <w:sz w:val="20"/>
          <w:szCs w:val="20"/>
        </w:rPr>
        <w:t xml:space="preserve"> </w:t>
      </w:r>
      <w:proofErr w:type="spellStart"/>
      <w:r w:rsidRPr="001B6EE9">
        <w:rPr>
          <w:rFonts w:ascii="Lato" w:hAnsi="Lato" w:cs="Calibri"/>
          <w:sz w:val="20"/>
          <w:szCs w:val="20"/>
        </w:rPr>
        <w:t>Klubu</w:t>
      </w:r>
      <w:proofErr w:type="spellEnd"/>
      <w:r w:rsidRPr="001B6EE9">
        <w:rPr>
          <w:rFonts w:ascii="Lato" w:hAnsi="Lato" w:cs="Calibri"/>
          <w:sz w:val="20"/>
          <w:szCs w:val="20"/>
        </w:rPr>
        <w:t xml:space="preserve"> w </w:t>
      </w:r>
      <w:proofErr w:type="spellStart"/>
      <w:r w:rsidRPr="001B6EE9">
        <w:rPr>
          <w:rFonts w:ascii="Lato" w:hAnsi="Lato" w:cs="Calibri"/>
          <w:sz w:val="20"/>
          <w:szCs w:val="20"/>
        </w:rPr>
        <w:t>formie</w:t>
      </w:r>
      <w:proofErr w:type="spellEnd"/>
      <w:r w:rsidRPr="001B6EE9">
        <w:rPr>
          <w:rFonts w:ascii="Lato" w:hAnsi="Lato" w:cs="Calibri"/>
          <w:sz w:val="20"/>
          <w:szCs w:val="20"/>
        </w:rPr>
        <w:t xml:space="preserve"> </w:t>
      </w:r>
      <w:proofErr w:type="spellStart"/>
      <w:r w:rsidRPr="001B6EE9">
        <w:rPr>
          <w:rFonts w:ascii="Lato" w:hAnsi="Lato" w:cs="Calibri"/>
          <w:sz w:val="20"/>
          <w:szCs w:val="20"/>
        </w:rPr>
        <w:t>zdalnej</w:t>
      </w:r>
      <w:proofErr w:type="spellEnd"/>
      <w:r w:rsidRPr="001B6EE9">
        <w:rPr>
          <w:rFonts w:ascii="Lato" w:hAnsi="Lato" w:cs="Calibri"/>
          <w:sz w:val="20"/>
          <w:szCs w:val="20"/>
        </w:rPr>
        <w:t xml:space="preserve">. </w:t>
      </w:r>
      <w:proofErr w:type="spellStart"/>
      <w:r w:rsidRPr="001B6EE9">
        <w:rPr>
          <w:rFonts w:ascii="Lato" w:hAnsi="Lato" w:cs="Calibri"/>
          <w:b/>
          <w:bCs/>
          <w:sz w:val="20"/>
          <w:szCs w:val="20"/>
        </w:rPr>
        <w:t>Treści</w:t>
      </w:r>
      <w:proofErr w:type="spellEnd"/>
      <w:r w:rsidRPr="001B6EE9">
        <w:rPr>
          <w:rFonts w:ascii="Lato" w:hAnsi="Lato" w:cs="Calibri"/>
          <w:b/>
          <w:bCs/>
          <w:sz w:val="20"/>
          <w:szCs w:val="20"/>
        </w:rPr>
        <w:t xml:space="preserve"> </w:t>
      </w:r>
      <w:proofErr w:type="spellStart"/>
      <w:r w:rsidRPr="001B6EE9">
        <w:rPr>
          <w:rFonts w:ascii="Lato" w:hAnsi="Lato" w:cs="Calibri"/>
          <w:b/>
          <w:bCs/>
          <w:sz w:val="20"/>
          <w:szCs w:val="20"/>
        </w:rPr>
        <w:t>zdalne</w:t>
      </w:r>
      <w:proofErr w:type="spellEnd"/>
      <w:r w:rsidRPr="001B6EE9">
        <w:rPr>
          <w:rFonts w:ascii="Lato" w:hAnsi="Lato" w:cs="Calibri"/>
          <w:sz w:val="20"/>
          <w:szCs w:val="20"/>
        </w:rPr>
        <w:t xml:space="preserve"> </w:t>
      </w:r>
      <w:proofErr w:type="spellStart"/>
      <w:r w:rsidRPr="001B6EE9">
        <w:rPr>
          <w:rFonts w:ascii="Lato" w:hAnsi="Lato" w:cs="Calibri"/>
          <w:sz w:val="20"/>
          <w:szCs w:val="20"/>
        </w:rPr>
        <w:t>dostępne</w:t>
      </w:r>
      <w:proofErr w:type="spellEnd"/>
      <w:r w:rsidRPr="001B6EE9">
        <w:rPr>
          <w:rFonts w:ascii="Lato" w:hAnsi="Lato" w:cs="Calibri"/>
          <w:sz w:val="20"/>
          <w:szCs w:val="20"/>
        </w:rPr>
        <w:t xml:space="preserve"> </w:t>
      </w:r>
      <w:proofErr w:type="spellStart"/>
      <w:r w:rsidRPr="001B6EE9">
        <w:rPr>
          <w:rFonts w:ascii="Lato" w:hAnsi="Lato" w:cs="Calibri"/>
          <w:sz w:val="20"/>
          <w:szCs w:val="20"/>
        </w:rPr>
        <w:t>były</w:t>
      </w:r>
      <w:proofErr w:type="spellEnd"/>
      <w:r w:rsidRPr="001B6EE9">
        <w:rPr>
          <w:rFonts w:ascii="Lato" w:hAnsi="Lato" w:cs="Calibri"/>
          <w:sz w:val="20"/>
          <w:szCs w:val="20"/>
        </w:rPr>
        <w:t xml:space="preserve"> na </w:t>
      </w:r>
      <w:proofErr w:type="spellStart"/>
      <w:r w:rsidRPr="001B6EE9">
        <w:rPr>
          <w:rFonts w:ascii="Lato" w:hAnsi="Lato" w:cs="Calibri"/>
          <w:sz w:val="20"/>
          <w:szCs w:val="20"/>
        </w:rPr>
        <w:t>witrynie</w:t>
      </w:r>
      <w:proofErr w:type="spellEnd"/>
      <w:r w:rsidRPr="001B6EE9">
        <w:rPr>
          <w:rFonts w:ascii="Lato" w:hAnsi="Lato" w:cs="Calibri"/>
          <w:sz w:val="20"/>
          <w:szCs w:val="20"/>
        </w:rPr>
        <w:t xml:space="preserve"> </w:t>
      </w:r>
      <w:proofErr w:type="spellStart"/>
      <w:r w:rsidRPr="001B6EE9">
        <w:rPr>
          <w:rFonts w:ascii="Lato" w:hAnsi="Lato" w:cs="Calibri"/>
          <w:sz w:val="20"/>
          <w:szCs w:val="20"/>
        </w:rPr>
        <w:t>internetowej</w:t>
      </w:r>
      <w:proofErr w:type="spellEnd"/>
      <w:r w:rsidRPr="001B6EE9">
        <w:rPr>
          <w:rFonts w:ascii="Lato" w:hAnsi="Lato" w:cs="Calibri"/>
          <w:sz w:val="20"/>
          <w:szCs w:val="20"/>
        </w:rPr>
        <w:t xml:space="preserve"> </w:t>
      </w:r>
      <w:proofErr w:type="spellStart"/>
      <w:r w:rsidRPr="001B6EE9">
        <w:rPr>
          <w:rFonts w:ascii="Lato" w:hAnsi="Lato" w:cs="Calibri"/>
          <w:sz w:val="20"/>
          <w:szCs w:val="20"/>
        </w:rPr>
        <w:t>zarówno</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klubowiczów</w:t>
      </w:r>
      <w:proofErr w:type="spellEnd"/>
      <w:r w:rsidRPr="001B6EE9">
        <w:rPr>
          <w:rFonts w:ascii="Lato" w:hAnsi="Lato" w:cs="Calibri"/>
          <w:sz w:val="20"/>
          <w:szCs w:val="20"/>
        </w:rPr>
        <w:t xml:space="preserve"> </w:t>
      </w:r>
      <w:proofErr w:type="spellStart"/>
      <w:r w:rsidRPr="001B6EE9">
        <w:rPr>
          <w:rFonts w:ascii="Lato" w:hAnsi="Lato" w:cs="Calibri"/>
          <w:sz w:val="20"/>
          <w:szCs w:val="20"/>
        </w:rPr>
        <w:t>jak</w:t>
      </w:r>
      <w:proofErr w:type="spellEnd"/>
      <w:r w:rsidRPr="001B6EE9">
        <w:rPr>
          <w:rFonts w:ascii="Lato" w:hAnsi="Lato" w:cs="Calibri"/>
          <w:sz w:val="20"/>
          <w:szCs w:val="20"/>
        </w:rPr>
        <w:t xml:space="preserve"> i </w:t>
      </w:r>
      <w:proofErr w:type="spellStart"/>
      <w:r w:rsidRPr="001B6EE9">
        <w:rPr>
          <w:rFonts w:ascii="Lato" w:hAnsi="Lato" w:cs="Calibri"/>
          <w:sz w:val="20"/>
          <w:szCs w:val="20"/>
        </w:rPr>
        <w:t>innych</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i </w:t>
      </w:r>
      <w:proofErr w:type="spellStart"/>
      <w:r w:rsidRPr="001B6EE9">
        <w:rPr>
          <w:rFonts w:ascii="Lato" w:hAnsi="Lato" w:cs="Calibri"/>
          <w:sz w:val="20"/>
          <w:szCs w:val="20"/>
        </w:rPr>
        <w:t>obejmowały</w:t>
      </w:r>
      <w:proofErr w:type="spellEnd"/>
      <w:r w:rsidRPr="001B6EE9">
        <w:rPr>
          <w:rFonts w:ascii="Lato" w:hAnsi="Lato" w:cs="Calibri"/>
          <w:sz w:val="20"/>
          <w:szCs w:val="20"/>
        </w:rPr>
        <w:t xml:space="preserve"> </w:t>
      </w:r>
      <w:proofErr w:type="spellStart"/>
      <w:r w:rsidRPr="001B6EE9">
        <w:rPr>
          <w:rFonts w:ascii="Lato" w:hAnsi="Lato" w:cs="Calibri"/>
          <w:sz w:val="20"/>
          <w:szCs w:val="20"/>
        </w:rPr>
        <w:t>następujące</w:t>
      </w:r>
      <w:proofErr w:type="spellEnd"/>
      <w:r w:rsidRPr="001B6EE9">
        <w:rPr>
          <w:rFonts w:ascii="Lato" w:hAnsi="Lato" w:cs="Calibri"/>
          <w:sz w:val="20"/>
          <w:szCs w:val="20"/>
        </w:rPr>
        <w:t xml:space="preserve"> </w:t>
      </w:r>
      <w:proofErr w:type="spellStart"/>
      <w:r w:rsidRPr="001B6EE9">
        <w:rPr>
          <w:rFonts w:ascii="Lato" w:hAnsi="Lato" w:cs="Calibri"/>
          <w:sz w:val="20"/>
          <w:szCs w:val="20"/>
        </w:rPr>
        <w:t>bloki</w:t>
      </w:r>
      <w:proofErr w:type="spellEnd"/>
      <w:r w:rsidRPr="001B6EE9">
        <w:rPr>
          <w:rFonts w:ascii="Lato" w:hAnsi="Lato" w:cs="Calibri"/>
          <w:sz w:val="20"/>
          <w:szCs w:val="20"/>
        </w:rPr>
        <w:t xml:space="preserve"> </w:t>
      </w:r>
      <w:proofErr w:type="spellStart"/>
      <w:r w:rsidRPr="001B6EE9">
        <w:rPr>
          <w:rFonts w:ascii="Lato" w:hAnsi="Lato" w:cs="Calibri"/>
          <w:sz w:val="20"/>
          <w:szCs w:val="20"/>
        </w:rPr>
        <w:t>tematyczne</w:t>
      </w:r>
      <w:proofErr w:type="spellEnd"/>
      <w:r w:rsidRPr="001B6EE9">
        <w:rPr>
          <w:rFonts w:ascii="Lato" w:hAnsi="Lato" w:cs="Calibri"/>
          <w:sz w:val="20"/>
          <w:szCs w:val="20"/>
        </w:rPr>
        <w:t xml:space="preserve">: </w:t>
      </w:r>
      <w:proofErr w:type="spellStart"/>
      <w:r w:rsidRPr="001B6EE9">
        <w:rPr>
          <w:rFonts w:ascii="Lato" w:hAnsi="Lato" w:cs="Calibri"/>
          <w:sz w:val="20"/>
          <w:szCs w:val="20"/>
        </w:rPr>
        <w:t>Trening</w:t>
      </w:r>
      <w:proofErr w:type="spellEnd"/>
      <w:r w:rsidRPr="001B6EE9">
        <w:rPr>
          <w:rFonts w:ascii="Lato" w:hAnsi="Lato" w:cs="Calibri"/>
          <w:sz w:val="20"/>
          <w:szCs w:val="20"/>
        </w:rPr>
        <w:t xml:space="preserve"> </w:t>
      </w:r>
      <w:proofErr w:type="spellStart"/>
      <w:r w:rsidRPr="001B6EE9">
        <w:rPr>
          <w:rFonts w:ascii="Lato" w:hAnsi="Lato" w:cs="Calibri"/>
          <w:sz w:val="20"/>
          <w:szCs w:val="20"/>
        </w:rPr>
        <w:t>umysłu</w:t>
      </w:r>
      <w:proofErr w:type="spellEnd"/>
      <w:r w:rsidRPr="001B6EE9">
        <w:rPr>
          <w:rFonts w:ascii="Lato" w:hAnsi="Lato" w:cs="Calibri"/>
          <w:sz w:val="20"/>
          <w:szCs w:val="20"/>
        </w:rPr>
        <w:t xml:space="preserve">, </w:t>
      </w:r>
      <w:proofErr w:type="spellStart"/>
      <w:r w:rsidRPr="001B6EE9">
        <w:rPr>
          <w:rFonts w:ascii="Lato" w:hAnsi="Lato" w:cs="Calibri"/>
          <w:sz w:val="20"/>
          <w:szCs w:val="20"/>
        </w:rPr>
        <w:t>Zdalnie-kulinarnie</w:t>
      </w:r>
      <w:proofErr w:type="spellEnd"/>
      <w:r w:rsidRPr="001B6EE9">
        <w:rPr>
          <w:rFonts w:ascii="Lato" w:hAnsi="Lato" w:cs="Calibri"/>
          <w:sz w:val="20"/>
          <w:szCs w:val="20"/>
        </w:rPr>
        <w:t xml:space="preserve">, </w:t>
      </w:r>
      <w:proofErr w:type="spellStart"/>
      <w:r w:rsidRPr="001B6EE9">
        <w:rPr>
          <w:rFonts w:ascii="Lato" w:hAnsi="Lato" w:cs="Calibri"/>
          <w:sz w:val="20"/>
          <w:szCs w:val="20"/>
        </w:rPr>
        <w:t>Aktywny</w:t>
      </w:r>
      <w:proofErr w:type="spellEnd"/>
      <w:r w:rsidRPr="001B6EE9">
        <w:rPr>
          <w:rFonts w:ascii="Lato" w:hAnsi="Lato" w:cs="Calibri"/>
          <w:sz w:val="20"/>
          <w:szCs w:val="20"/>
        </w:rPr>
        <w:t xml:space="preserve"> Senior, </w:t>
      </w:r>
      <w:proofErr w:type="spellStart"/>
      <w:r w:rsidRPr="001B6EE9">
        <w:rPr>
          <w:rFonts w:ascii="Lato" w:hAnsi="Lato" w:cs="Calibri"/>
          <w:sz w:val="20"/>
          <w:szCs w:val="20"/>
        </w:rPr>
        <w:t>Coś</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ciała</w:t>
      </w:r>
      <w:proofErr w:type="spellEnd"/>
      <w:r w:rsidRPr="001B6EE9">
        <w:rPr>
          <w:rFonts w:ascii="Lato" w:hAnsi="Lato" w:cs="Calibri"/>
          <w:sz w:val="20"/>
          <w:szCs w:val="20"/>
        </w:rPr>
        <w:t xml:space="preserve"> – </w:t>
      </w:r>
      <w:proofErr w:type="spellStart"/>
      <w:r w:rsidRPr="001B6EE9">
        <w:rPr>
          <w:rFonts w:ascii="Lato" w:hAnsi="Lato" w:cs="Calibri"/>
          <w:sz w:val="20"/>
          <w:szCs w:val="20"/>
        </w:rPr>
        <w:t>coś</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ducha</w:t>
      </w:r>
      <w:proofErr w:type="spellEnd"/>
      <w:r w:rsidRPr="001B6EE9">
        <w:rPr>
          <w:rFonts w:ascii="Lato" w:hAnsi="Lato" w:cs="Calibri"/>
          <w:sz w:val="20"/>
          <w:szCs w:val="20"/>
        </w:rPr>
        <w:t>, Senior w </w:t>
      </w:r>
      <w:proofErr w:type="spellStart"/>
      <w:r w:rsidRPr="001B6EE9">
        <w:rPr>
          <w:rFonts w:ascii="Lato" w:hAnsi="Lato" w:cs="Calibri"/>
          <w:sz w:val="20"/>
          <w:szCs w:val="20"/>
        </w:rPr>
        <w:t>ogrodzie</w:t>
      </w:r>
      <w:proofErr w:type="spellEnd"/>
      <w:r w:rsidRPr="001B6EE9">
        <w:rPr>
          <w:rFonts w:ascii="Lato" w:hAnsi="Lato" w:cs="Calibri"/>
          <w:sz w:val="20"/>
          <w:szCs w:val="20"/>
        </w:rPr>
        <w:t xml:space="preserve">, </w:t>
      </w:r>
      <w:proofErr w:type="spellStart"/>
      <w:r w:rsidRPr="001B6EE9">
        <w:rPr>
          <w:rFonts w:ascii="Lato" w:hAnsi="Lato" w:cs="Calibri"/>
          <w:sz w:val="20"/>
          <w:szCs w:val="20"/>
        </w:rPr>
        <w:t>ESenior</w:t>
      </w:r>
      <w:proofErr w:type="spellEnd"/>
      <w:r w:rsidRPr="001B6EE9">
        <w:rPr>
          <w:rFonts w:ascii="Lato" w:hAnsi="Lato" w:cs="Calibri"/>
          <w:sz w:val="20"/>
          <w:szCs w:val="20"/>
        </w:rPr>
        <w:t xml:space="preserve">, Senior </w:t>
      </w:r>
      <w:proofErr w:type="spellStart"/>
      <w:r w:rsidRPr="001B6EE9">
        <w:rPr>
          <w:rFonts w:ascii="Lato" w:hAnsi="Lato" w:cs="Calibri"/>
          <w:sz w:val="20"/>
          <w:szCs w:val="20"/>
        </w:rPr>
        <w:t>Artysta</w:t>
      </w:r>
      <w:proofErr w:type="spellEnd"/>
      <w:r w:rsidRPr="001B6EE9">
        <w:rPr>
          <w:rFonts w:ascii="Lato" w:hAnsi="Lato" w:cs="Calibri"/>
          <w:sz w:val="20"/>
          <w:szCs w:val="20"/>
        </w:rPr>
        <w:t xml:space="preserve">, Senior </w:t>
      </w:r>
      <w:proofErr w:type="spellStart"/>
      <w:r w:rsidRPr="001B6EE9">
        <w:rPr>
          <w:rFonts w:ascii="Lato" w:hAnsi="Lato" w:cs="Calibri"/>
          <w:sz w:val="20"/>
          <w:szCs w:val="20"/>
        </w:rPr>
        <w:t>konstruktor</w:t>
      </w:r>
      <w:proofErr w:type="spellEnd"/>
      <w:r w:rsidRPr="001B6EE9">
        <w:rPr>
          <w:rFonts w:ascii="Lato" w:hAnsi="Lato" w:cs="Calibri"/>
          <w:sz w:val="20"/>
          <w:szCs w:val="20"/>
        </w:rPr>
        <w:t xml:space="preserve">, </w:t>
      </w:r>
      <w:proofErr w:type="spellStart"/>
      <w:r w:rsidRPr="001B6EE9">
        <w:rPr>
          <w:rFonts w:ascii="Lato" w:hAnsi="Lato" w:cs="Calibri"/>
          <w:sz w:val="20"/>
          <w:szCs w:val="20"/>
        </w:rPr>
        <w:t>Horyzonty</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Zdrowy</w:t>
      </w:r>
      <w:proofErr w:type="spellEnd"/>
      <w:r w:rsidRPr="001B6EE9">
        <w:rPr>
          <w:rFonts w:ascii="Lato" w:hAnsi="Lato" w:cs="Calibri"/>
          <w:sz w:val="20"/>
          <w:szCs w:val="20"/>
        </w:rPr>
        <w:t xml:space="preserve"> Senior.</w:t>
      </w:r>
    </w:p>
    <w:p w14:paraId="5346C1D9" w14:textId="77777777" w:rsidR="001B6EE9" w:rsidRDefault="001B6EE9" w:rsidP="001B6EE9">
      <w:pPr>
        <w:pStyle w:val="Standard"/>
        <w:jc w:val="both"/>
        <w:rPr>
          <w:rFonts w:ascii="Lato" w:hAnsi="Lato" w:cs="Calibri"/>
          <w:sz w:val="20"/>
          <w:szCs w:val="20"/>
        </w:rPr>
      </w:pPr>
    </w:p>
    <w:p w14:paraId="51AAEE86" w14:textId="6EB93C2F" w:rsidR="001B6EE9" w:rsidRPr="001B6EE9" w:rsidRDefault="001B6EE9" w:rsidP="001B6EE9">
      <w:pPr>
        <w:pStyle w:val="Standard"/>
        <w:jc w:val="both"/>
        <w:rPr>
          <w:rFonts w:ascii="Lato" w:hAnsi="Lato"/>
          <w:sz w:val="20"/>
          <w:szCs w:val="20"/>
        </w:rPr>
      </w:pPr>
      <w:proofErr w:type="spellStart"/>
      <w:r w:rsidRPr="001B6EE9">
        <w:rPr>
          <w:rFonts w:ascii="Lato" w:hAnsi="Lato" w:cs="Calibri"/>
          <w:sz w:val="20"/>
          <w:szCs w:val="20"/>
        </w:rPr>
        <w:t>Poza</w:t>
      </w:r>
      <w:proofErr w:type="spellEnd"/>
      <w:r w:rsidRPr="001B6EE9">
        <w:rPr>
          <w:rFonts w:ascii="Lato" w:hAnsi="Lato" w:cs="Calibri"/>
          <w:sz w:val="20"/>
          <w:szCs w:val="20"/>
        </w:rPr>
        <w:t xml:space="preserve"> </w:t>
      </w:r>
      <w:proofErr w:type="spellStart"/>
      <w:r w:rsidRPr="001B6EE9">
        <w:rPr>
          <w:rFonts w:ascii="Lato" w:hAnsi="Lato" w:cs="Calibri"/>
          <w:sz w:val="20"/>
          <w:szCs w:val="20"/>
        </w:rPr>
        <w:t>regularnymi</w:t>
      </w:r>
      <w:proofErr w:type="spellEnd"/>
      <w:r w:rsidRPr="001B6EE9">
        <w:rPr>
          <w:rFonts w:ascii="Lato" w:hAnsi="Lato" w:cs="Calibri"/>
          <w:sz w:val="20"/>
          <w:szCs w:val="20"/>
        </w:rPr>
        <w:t xml:space="preserve"> </w:t>
      </w:r>
      <w:proofErr w:type="spellStart"/>
      <w:r w:rsidRPr="001B6EE9">
        <w:rPr>
          <w:rFonts w:ascii="Lato" w:hAnsi="Lato" w:cs="Calibri"/>
          <w:sz w:val="20"/>
          <w:szCs w:val="20"/>
        </w:rPr>
        <w:t>zajęciami</w:t>
      </w:r>
      <w:proofErr w:type="spellEnd"/>
      <w:r w:rsidRPr="001B6EE9">
        <w:rPr>
          <w:rFonts w:ascii="Lato" w:hAnsi="Lato" w:cs="Calibri"/>
          <w:sz w:val="20"/>
          <w:szCs w:val="20"/>
        </w:rPr>
        <w:t xml:space="preserve"> </w:t>
      </w:r>
      <w:proofErr w:type="spellStart"/>
      <w:r w:rsidRPr="001B6EE9">
        <w:rPr>
          <w:rFonts w:ascii="Lato" w:hAnsi="Lato" w:cs="Calibri"/>
          <w:sz w:val="20"/>
          <w:szCs w:val="20"/>
        </w:rPr>
        <w:t>klub</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organizuje</w:t>
      </w:r>
      <w:proofErr w:type="spellEnd"/>
      <w:r w:rsidRPr="001B6EE9">
        <w:rPr>
          <w:rFonts w:ascii="Lato" w:hAnsi="Lato" w:cs="Calibri"/>
          <w:sz w:val="20"/>
          <w:szCs w:val="20"/>
        </w:rPr>
        <w:t xml:space="preserve"> </w:t>
      </w:r>
      <w:proofErr w:type="spellStart"/>
      <w:r w:rsidRPr="001B6EE9">
        <w:rPr>
          <w:rFonts w:ascii="Lato" w:hAnsi="Lato" w:cs="Calibri"/>
          <w:sz w:val="20"/>
          <w:szCs w:val="20"/>
        </w:rPr>
        <w:t>wiele</w:t>
      </w:r>
      <w:proofErr w:type="spellEnd"/>
      <w:r w:rsidRPr="001B6EE9">
        <w:rPr>
          <w:rFonts w:ascii="Lato" w:hAnsi="Lato" w:cs="Calibri"/>
          <w:sz w:val="20"/>
          <w:szCs w:val="20"/>
        </w:rPr>
        <w:t xml:space="preserve"> </w:t>
      </w:r>
      <w:proofErr w:type="spellStart"/>
      <w:r w:rsidRPr="001B6EE9">
        <w:rPr>
          <w:rFonts w:ascii="Lato" w:hAnsi="Lato" w:cs="Calibri"/>
          <w:sz w:val="20"/>
          <w:szCs w:val="20"/>
        </w:rPr>
        <w:t>inicjatyw</w:t>
      </w:r>
      <w:proofErr w:type="spellEnd"/>
      <w:r w:rsidRPr="001B6EE9">
        <w:rPr>
          <w:rFonts w:ascii="Lato" w:hAnsi="Lato" w:cs="Calibri"/>
          <w:sz w:val="20"/>
          <w:szCs w:val="20"/>
        </w:rPr>
        <w:t xml:space="preserve"> </w:t>
      </w:r>
      <w:proofErr w:type="spellStart"/>
      <w:r w:rsidRPr="001B6EE9">
        <w:rPr>
          <w:rFonts w:ascii="Lato" w:hAnsi="Lato" w:cs="Calibri"/>
          <w:sz w:val="20"/>
          <w:szCs w:val="20"/>
        </w:rPr>
        <w:t>integracyjnych</w:t>
      </w:r>
      <w:proofErr w:type="spellEnd"/>
      <w:r w:rsidRPr="001B6EE9">
        <w:rPr>
          <w:rFonts w:ascii="Lato" w:hAnsi="Lato" w:cs="Calibri"/>
          <w:sz w:val="20"/>
          <w:szCs w:val="20"/>
        </w:rPr>
        <w:t xml:space="preserve">, </w:t>
      </w:r>
      <w:proofErr w:type="spellStart"/>
      <w:r w:rsidRPr="001B6EE9">
        <w:rPr>
          <w:rFonts w:ascii="Lato" w:hAnsi="Lato" w:cs="Calibri"/>
          <w:sz w:val="20"/>
          <w:szCs w:val="20"/>
        </w:rPr>
        <w:t>włącza</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w </w:t>
      </w:r>
      <w:proofErr w:type="spellStart"/>
      <w:r w:rsidRPr="001B6EE9">
        <w:rPr>
          <w:rFonts w:ascii="Lato" w:hAnsi="Lato" w:cs="Calibri"/>
          <w:sz w:val="20"/>
          <w:szCs w:val="20"/>
        </w:rPr>
        <w:t>akcje</w:t>
      </w:r>
      <w:proofErr w:type="spellEnd"/>
      <w:r w:rsidRPr="001B6EE9">
        <w:rPr>
          <w:rFonts w:ascii="Lato" w:hAnsi="Lato" w:cs="Calibri"/>
          <w:sz w:val="20"/>
          <w:szCs w:val="20"/>
        </w:rPr>
        <w:t xml:space="preserve"> </w:t>
      </w:r>
      <w:proofErr w:type="spellStart"/>
      <w:r w:rsidRPr="001B6EE9">
        <w:rPr>
          <w:rFonts w:ascii="Lato" w:hAnsi="Lato" w:cs="Calibri"/>
          <w:sz w:val="20"/>
          <w:szCs w:val="20"/>
        </w:rPr>
        <w:t>charytatywne</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współpracuje</w:t>
      </w:r>
      <w:proofErr w:type="spellEnd"/>
      <w:r w:rsidRPr="001B6EE9">
        <w:rPr>
          <w:rFonts w:ascii="Lato" w:hAnsi="Lato" w:cs="Calibri"/>
          <w:sz w:val="20"/>
          <w:szCs w:val="20"/>
        </w:rPr>
        <w:t xml:space="preserve"> z </w:t>
      </w:r>
      <w:proofErr w:type="spellStart"/>
      <w:r w:rsidRPr="001B6EE9">
        <w:rPr>
          <w:rFonts w:ascii="Lato" w:hAnsi="Lato" w:cs="Calibri"/>
          <w:sz w:val="20"/>
          <w:szCs w:val="20"/>
        </w:rPr>
        <w:t>podmiotami</w:t>
      </w:r>
      <w:proofErr w:type="spellEnd"/>
      <w:r w:rsidRPr="001B6EE9">
        <w:rPr>
          <w:rFonts w:ascii="Lato" w:hAnsi="Lato" w:cs="Calibri"/>
          <w:sz w:val="20"/>
          <w:szCs w:val="20"/>
        </w:rPr>
        <w:t xml:space="preserve"> i </w:t>
      </w:r>
      <w:proofErr w:type="spellStart"/>
      <w:r w:rsidRPr="001B6EE9">
        <w:rPr>
          <w:rFonts w:ascii="Lato" w:hAnsi="Lato" w:cs="Calibri"/>
          <w:sz w:val="20"/>
          <w:szCs w:val="20"/>
        </w:rPr>
        <w:t>organizacjami</w:t>
      </w:r>
      <w:proofErr w:type="spellEnd"/>
      <w:r w:rsidRPr="001B6EE9">
        <w:rPr>
          <w:rFonts w:ascii="Lato" w:hAnsi="Lato" w:cs="Calibri"/>
          <w:sz w:val="20"/>
          <w:szCs w:val="20"/>
        </w:rPr>
        <w:t xml:space="preserve">.  </w:t>
      </w:r>
    </w:p>
    <w:p w14:paraId="53B491C3" w14:textId="77777777" w:rsidR="001B6EE9" w:rsidRDefault="001B6EE9" w:rsidP="001B6EE9">
      <w:pPr>
        <w:pStyle w:val="Standard"/>
        <w:ind w:left="60" w:right="60"/>
        <w:jc w:val="both"/>
        <w:rPr>
          <w:rFonts w:ascii="Lato" w:hAnsi="Lato" w:cs="Calibri"/>
          <w:bCs/>
          <w:sz w:val="20"/>
          <w:szCs w:val="20"/>
        </w:rPr>
      </w:pPr>
    </w:p>
    <w:p w14:paraId="6635CA44" w14:textId="14787A26" w:rsidR="001B6EE9" w:rsidRPr="001B6EE9" w:rsidRDefault="001B6EE9" w:rsidP="001B6EE9">
      <w:pPr>
        <w:pStyle w:val="Standard"/>
        <w:ind w:left="60" w:right="60"/>
        <w:jc w:val="both"/>
        <w:rPr>
          <w:rFonts w:ascii="Lato" w:hAnsi="Lato"/>
          <w:sz w:val="20"/>
          <w:szCs w:val="20"/>
        </w:rPr>
      </w:pPr>
      <w:proofErr w:type="spellStart"/>
      <w:r w:rsidRPr="001B6EE9">
        <w:rPr>
          <w:rFonts w:ascii="Lato" w:hAnsi="Lato" w:cs="Calibri"/>
          <w:bCs/>
          <w:sz w:val="20"/>
          <w:szCs w:val="20"/>
        </w:rPr>
        <w:t>Uczestnicy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Klubu</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corocznie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inicjują</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lub</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współorganizują</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wydarzenia</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których</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uczestniczą</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mieszkańcy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sołectwa</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tym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osoby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starsze</w:t>
      </w:r>
      <w:proofErr w:type="spellEnd"/>
      <w:r w:rsidRPr="001B6EE9">
        <w:rPr>
          <w:rFonts w:ascii="Lato" w:hAnsi="Lato" w:cs="Calibri"/>
          <w:bCs/>
          <w:sz w:val="20"/>
          <w:szCs w:val="20"/>
        </w:rPr>
        <w:t>:</w:t>
      </w:r>
    </w:p>
    <w:p w14:paraId="7076B130" w14:textId="77777777" w:rsidR="001B6EE9" w:rsidRPr="001B6EE9" w:rsidRDefault="001B6EE9" w:rsidP="0059185B">
      <w:pPr>
        <w:pStyle w:val="Akapitzlist"/>
        <w:numPr>
          <w:ilvl w:val="0"/>
          <w:numId w:val="128"/>
        </w:numPr>
        <w:suppressAutoHyphens/>
        <w:autoSpaceDN w:val="0"/>
        <w:spacing w:after="0" w:line="240" w:lineRule="auto"/>
        <w:ind w:right="60"/>
        <w:jc w:val="both"/>
        <w:textAlignment w:val="baseline"/>
        <w:rPr>
          <w:rFonts w:ascii="Lato" w:hAnsi="Lato"/>
          <w:sz w:val="20"/>
          <w:szCs w:val="20"/>
        </w:rPr>
      </w:pPr>
      <w:r w:rsidRPr="001B6EE9">
        <w:rPr>
          <w:rFonts w:ascii="Lato" w:hAnsi="Lato" w:cs="Calibri"/>
          <w:sz w:val="20"/>
          <w:szCs w:val="20"/>
        </w:rPr>
        <w:t>Piknik Dożynkowy – klubowicze organizują poczęstunek, przygotowują dekoracje, atrakcje dla dzieci i prezentują się w występach artystycznych (wokalnych, tanecznych a nawet występach teatralnych).</w:t>
      </w:r>
    </w:p>
    <w:p w14:paraId="735B6565" w14:textId="77777777" w:rsidR="001B6EE9" w:rsidRDefault="001B6EE9" w:rsidP="0059185B">
      <w:pPr>
        <w:pStyle w:val="Akapitzlist"/>
        <w:numPr>
          <w:ilvl w:val="0"/>
          <w:numId w:val="128"/>
        </w:numPr>
        <w:suppressAutoHyphens/>
        <w:autoSpaceDN w:val="0"/>
        <w:spacing w:after="0" w:line="240" w:lineRule="auto"/>
        <w:ind w:right="60"/>
        <w:jc w:val="both"/>
        <w:textAlignment w:val="baseline"/>
        <w:rPr>
          <w:rFonts w:ascii="Lato" w:hAnsi="Lato"/>
          <w:sz w:val="20"/>
          <w:szCs w:val="20"/>
        </w:rPr>
      </w:pPr>
      <w:r w:rsidRPr="001B6EE9">
        <w:rPr>
          <w:rFonts w:ascii="Lato" w:hAnsi="Lato"/>
          <w:bCs/>
          <w:sz w:val="20"/>
          <w:szCs w:val="20"/>
        </w:rPr>
        <w:t>Obchody urodzin najstarszej mieszkanki wsi</w:t>
      </w:r>
      <w:r w:rsidRPr="001B6EE9">
        <w:rPr>
          <w:rFonts w:ascii="Lato" w:hAnsi="Lato"/>
          <w:sz w:val="20"/>
          <w:szCs w:val="20"/>
        </w:rPr>
        <w:t xml:space="preserve"> – w 2019 i 2020 r</w:t>
      </w:r>
      <w:r>
        <w:rPr>
          <w:rFonts w:ascii="Lato" w:hAnsi="Lato"/>
          <w:sz w:val="20"/>
          <w:szCs w:val="20"/>
        </w:rPr>
        <w:t>.</w:t>
      </w:r>
      <w:r w:rsidRPr="001B6EE9">
        <w:rPr>
          <w:rFonts w:ascii="Lato" w:hAnsi="Lato"/>
          <w:sz w:val="20"/>
          <w:szCs w:val="20"/>
        </w:rPr>
        <w:t xml:space="preserve"> seniorzy z Klubu zorganizowali w siedzibie Klubu uroczyste obchody urodzin (99 i 100) najstarszej mieszkanki wsi Złotowo Marianny Licznerskiej.</w:t>
      </w:r>
    </w:p>
    <w:p w14:paraId="463A9CCC" w14:textId="77777777" w:rsidR="001B6EE9" w:rsidRDefault="001B6EE9" w:rsidP="0059185B">
      <w:pPr>
        <w:pStyle w:val="Akapitzlist"/>
        <w:numPr>
          <w:ilvl w:val="0"/>
          <w:numId w:val="128"/>
        </w:numPr>
        <w:suppressAutoHyphens/>
        <w:autoSpaceDN w:val="0"/>
        <w:spacing w:after="0" w:line="240" w:lineRule="auto"/>
        <w:ind w:right="60"/>
        <w:jc w:val="both"/>
        <w:textAlignment w:val="baseline"/>
        <w:rPr>
          <w:rFonts w:ascii="Lato" w:hAnsi="Lato"/>
          <w:sz w:val="20"/>
          <w:szCs w:val="20"/>
        </w:rPr>
      </w:pPr>
      <w:r w:rsidRPr="001B6EE9">
        <w:rPr>
          <w:rFonts w:ascii="Lato" w:hAnsi="Lato"/>
          <w:bCs/>
          <w:sz w:val="20"/>
          <w:szCs w:val="20"/>
        </w:rPr>
        <w:t>Obchody Warmińsko – Mazurskich Dni Rodziny</w:t>
      </w:r>
      <w:r w:rsidRPr="001B6EE9">
        <w:rPr>
          <w:rFonts w:ascii="Lato" w:hAnsi="Lato"/>
          <w:sz w:val="20"/>
          <w:szCs w:val="20"/>
        </w:rPr>
        <w:t xml:space="preserve"> -  we współpracy ze Szkołą Podstawową i dawniej również Placówką Wsparcia Dziennego spotkania i wydarzenia, w których uczestniczą seniorzy oraz dzieci.</w:t>
      </w:r>
    </w:p>
    <w:p w14:paraId="7E7ECFF9" w14:textId="5A13D761" w:rsidR="001B6EE9" w:rsidRPr="001B6EE9" w:rsidRDefault="001B6EE9" w:rsidP="0059185B">
      <w:pPr>
        <w:pStyle w:val="Akapitzlist"/>
        <w:numPr>
          <w:ilvl w:val="0"/>
          <w:numId w:val="128"/>
        </w:numPr>
        <w:suppressAutoHyphens/>
        <w:autoSpaceDN w:val="0"/>
        <w:spacing w:after="0" w:line="240" w:lineRule="auto"/>
        <w:ind w:right="60"/>
        <w:jc w:val="both"/>
        <w:textAlignment w:val="baseline"/>
        <w:rPr>
          <w:rFonts w:ascii="Lato" w:hAnsi="Lato"/>
          <w:sz w:val="20"/>
          <w:szCs w:val="20"/>
        </w:rPr>
      </w:pPr>
      <w:r w:rsidRPr="001B6EE9">
        <w:rPr>
          <w:rFonts w:ascii="Lato" w:hAnsi="Lato" w:cs="Calibri"/>
          <w:sz w:val="20"/>
          <w:szCs w:val="20"/>
        </w:rPr>
        <w:t>Wydarzenie „Łączymy pokolenia” – cykl spotkań organizowanych przez uczestników Klubu dla dzieci z oddziałów przedszkolnych SP Złotowo. Seniorzy przygotowują dla dzieci zajęcia artystyczne, wspólne czytanie bajek, poczęstunek oraz upominki.</w:t>
      </w:r>
    </w:p>
    <w:p w14:paraId="61FD8E86" w14:textId="77777777" w:rsidR="001B6EE9" w:rsidRPr="001B6EE9" w:rsidRDefault="001B6EE9" w:rsidP="001B6EE9">
      <w:pPr>
        <w:pStyle w:val="Standard"/>
        <w:ind w:right="60"/>
        <w:jc w:val="both"/>
        <w:rPr>
          <w:rFonts w:ascii="Lato" w:hAnsi="Lato" w:cs="Calibri"/>
          <w:sz w:val="20"/>
          <w:szCs w:val="20"/>
        </w:rPr>
      </w:pPr>
    </w:p>
    <w:p w14:paraId="57518950" w14:textId="77777777" w:rsidR="001B6EE9" w:rsidRPr="001B6EE9" w:rsidRDefault="001B6EE9" w:rsidP="001B6EE9">
      <w:pPr>
        <w:pStyle w:val="Standard"/>
        <w:ind w:left="60" w:right="60"/>
        <w:jc w:val="both"/>
        <w:rPr>
          <w:rFonts w:ascii="Lato" w:hAnsi="Lato"/>
          <w:sz w:val="20"/>
          <w:szCs w:val="20"/>
        </w:rPr>
      </w:pPr>
      <w:r w:rsidRPr="001B6EE9">
        <w:rPr>
          <w:rFonts w:ascii="Lato" w:hAnsi="Lato" w:cs="Calibri"/>
          <w:bCs/>
          <w:sz w:val="20"/>
          <w:szCs w:val="20"/>
        </w:rPr>
        <w:t xml:space="preserve">Klub </w:t>
      </w:r>
      <w:proofErr w:type="spellStart"/>
      <w:r w:rsidRPr="001B6EE9">
        <w:rPr>
          <w:rFonts w:ascii="Lato" w:hAnsi="Lato" w:cs="Calibri"/>
          <w:bCs/>
          <w:sz w:val="20"/>
          <w:szCs w:val="20"/>
        </w:rPr>
        <w:t>Seniora</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Złotowie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organizuje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lub</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włącza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się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aktywnie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również</w:t>
      </w:r>
      <w:proofErr w:type="spellEnd"/>
      <w:r w:rsidRPr="001B6EE9">
        <w:rPr>
          <w:rFonts w:ascii="Lato" w:hAnsi="Lato" w:cs="Calibri"/>
          <w:bCs/>
          <w:sz w:val="20"/>
          <w:szCs w:val="20"/>
        </w:rPr>
        <w:t xml:space="preserve"> w </w:t>
      </w:r>
      <w:proofErr w:type="spellStart"/>
      <w:r w:rsidRPr="001B6EE9">
        <w:rPr>
          <w:rFonts w:ascii="Lato" w:hAnsi="Lato" w:cs="Calibri"/>
          <w:bCs/>
          <w:sz w:val="20"/>
          <w:szCs w:val="20"/>
        </w:rPr>
        <w:t>organizację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inicjatyw</w:t>
      </w:r>
      <w:proofErr w:type="spellEnd"/>
      <w:r w:rsidRPr="001B6EE9">
        <w:rPr>
          <w:rFonts w:ascii="Lato" w:hAnsi="Lato" w:cs="Calibri"/>
          <w:bCs/>
          <w:sz w:val="20"/>
          <w:szCs w:val="20"/>
        </w:rPr>
        <w:t xml:space="preserve"> o </w:t>
      </w:r>
      <w:proofErr w:type="spellStart"/>
      <w:r w:rsidRPr="001B6EE9">
        <w:rPr>
          <w:rFonts w:ascii="Lato" w:hAnsi="Lato" w:cs="Calibri"/>
          <w:bCs/>
          <w:sz w:val="20"/>
          <w:szCs w:val="20"/>
        </w:rPr>
        <w:t>charakterze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gminnym</w:t>
      </w:r>
      <w:proofErr w:type="spellEnd"/>
      <w:r w:rsidRPr="001B6EE9">
        <w:rPr>
          <w:rFonts w:ascii="Lato" w:hAnsi="Lato" w:cs="Calibri"/>
          <w:bCs/>
          <w:sz w:val="20"/>
          <w:szCs w:val="20"/>
        </w:rPr>
        <w:t>:</w:t>
      </w:r>
    </w:p>
    <w:p w14:paraId="254D9685" w14:textId="77777777" w:rsidR="008548E7" w:rsidRP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cs="Calibri"/>
          <w:sz w:val="20"/>
          <w:szCs w:val="20"/>
        </w:rPr>
        <w:t>Obchody Rocznicy Plebiscytu na Warmii Mazurach i Powiślu</w:t>
      </w:r>
      <w:r w:rsidRPr="001B6EE9">
        <w:rPr>
          <w:rFonts w:ascii="Lato" w:hAnsi="Lato" w:cs="Calibri"/>
          <w:b/>
          <w:bCs/>
          <w:sz w:val="20"/>
          <w:szCs w:val="20"/>
        </w:rPr>
        <w:t xml:space="preserve"> </w:t>
      </w:r>
      <w:r w:rsidRPr="001B6EE9">
        <w:rPr>
          <w:rFonts w:ascii="Lato" w:hAnsi="Lato" w:cs="Calibri"/>
          <w:bCs/>
          <w:sz w:val="20"/>
          <w:szCs w:val="20"/>
        </w:rPr>
        <w:t>–wydarzenie organizowane przez IPN i Gminę Wiejską Lubawa.</w:t>
      </w:r>
    </w:p>
    <w:p w14:paraId="44AC2E6C" w14:textId="77777777" w:rsidR="008548E7" w:rsidRP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cs="Calibri"/>
          <w:sz w:val="20"/>
          <w:szCs w:val="20"/>
        </w:rPr>
        <w:t>Forum Aktywnych Kobiet</w:t>
      </w:r>
      <w:r w:rsidRPr="008548E7">
        <w:rPr>
          <w:rFonts w:ascii="Lato" w:hAnsi="Lato" w:cs="Calibri"/>
          <w:b/>
          <w:bCs/>
          <w:sz w:val="20"/>
          <w:szCs w:val="20"/>
        </w:rPr>
        <w:t xml:space="preserve"> </w:t>
      </w:r>
      <w:r w:rsidRPr="008548E7">
        <w:rPr>
          <w:rFonts w:ascii="Lato" w:hAnsi="Lato" w:cs="Calibri"/>
          <w:bCs/>
          <w:sz w:val="20"/>
          <w:szCs w:val="20"/>
        </w:rPr>
        <w:t>– W tym cyklicznym wydarzeniu każdorazowo bierze udział około 200 mieszkanek gminy, w tym aktywne seniorki.</w:t>
      </w:r>
    </w:p>
    <w:p w14:paraId="00E68C48" w14:textId="77777777" w:rsidR="008548E7" w:rsidRP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cs="Calibri"/>
          <w:sz w:val="20"/>
          <w:szCs w:val="20"/>
        </w:rPr>
        <w:t>Dożynki Gminne</w:t>
      </w:r>
      <w:r w:rsidRPr="008548E7">
        <w:rPr>
          <w:rFonts w:ascii="Lato" w:hAnsi="Lato" w:cs="Calibri"/>
          <w:b/>
          <w:bCs/>
          <w:sz w:val="20"/>
          <w:szCs w:val="20"/>
        </w:rPr>
        <w:t xml:space="preserve"> </w:t>
      </w:r>
      <w:r w:rsidRPr="008548E7">
        <w:rPr>
          <w:rFonts w:ascii="Lato" w:hAnsi="Lato" w:cs="Calibri"/>
          <w:bCs/>
          <w:sz w:val="20"/>
          <w:szCs w:val="20"/>
        </w:rPr>
        <w:t>– Uczestnicy klubu włączają się w przygotowanie słodkiego poczęstunku, biorą też udział w Konkursie Kulinarnym Kuchnia Ziemi Lubawskiej, którego celem jest promowanie lokalnych tradycji kulinarnych.</w:t>
      </w:r>
    </w:p>
    <w:p w14:paraId="76248262" w14:textId="77777777" w:rsid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bCs/>
          <w:sz w:val="20"/>
          <w:szCs w:val="20"/>
        </w:rPr>
        <w:t>Wiosna z Kołami Gospodyń Wiejskich</w:t>
      </w:r>
      <w:r w:rsidRPr="008548E7">
        <w:rPr>
          <w:rFonts w:ascii="Lato" w:hAnsi="Lato"/>
          <w:sz w:val="20"/>
          <w:szCs w:val="20"/>
        </w:rPr>
        <w:t xml:space="preserve"> – spotkanie w kwietniu 2023r. organizowane przez Gminę Wiejską Lubawa we współpracy z KOWR – Klub Seniora przygotowywał słodki poczęstunek dla prawie 230 uczestniczek wydarzenia, w tym osób starszych należących do KGW i klubów seniora na terenie gminy.</w:t>
      </w:r>
    </w:p>
    <w:p w14:paraId="0AAC8E3B" w14:textId="77777777" w:rsidR="008548E7" w:rsidRP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bCs/>
          <w:sz w:val="20"/>
          <w:szCs w:val="20"/>
        </w:rPr>
        <w:t>Przegląd</w:t>
      </w:r>
      <w:r w:rsidRPr="008548E7">
        <w:rPr>
          <w:rFonts w:ascii="Lato" w:hAnsi="Lato" w:cs="Calibri"/>
          <w:bCs/>
          <w:sz w:val="20"/>
          <w:szCs w:val="20"/>
        </w:rPr>
        <w:t xml:space="preserve"> Twórczości Klubów Seniora w Gminie Lubawa</w:t>
      </w:r>
      <w:r w:rsidRPr="008548E7">
        <w:rPr>
          <w:rFonts w:ascii="Lato" w:hAnsi="Lato" w:cs="Calibri"/>
          <w:b/>
          <w:sz w:val="20"/>
          <w:szCs w:val="20"/>
        </w:rPr>
        <w:t xml:space="preserve"> </w:t>
      </w:r>
      <w:r w:rsidRPr="008548E7">
        <w:rPr>
          <w:rFonts w:ascii="Lato" w:hAnsi="Lato" w:cs="Calibri"/>
          <w:bCs/>
          <w:sz w:val="20"/>
          <w:szCs w:val="20"/>
        </w:rPr>
        <w:t>podsumowujący wydarzenie „Artystyczna jesień”</w:t>
      </w:r>
      <w:r w:rsidRPr="008548E7">
        <w:rPr>
          <w:rFonts w:ascii="Lato" w:hAnsi="Lato" w:cs="Calibri"/>
          <w:b/>
          <w:sz w:val="20"/>
          <w:szCs w:val="20"/>
        </w:rPr>
        <w:t xml:space="preserve"> </w:t>
      </w:r>
      <w:r w:rsidRPr="008548E7">
        <w:rPr>
          <w:rFonts w:ascii="Lato" w:hAnsi="Lato" w:cs="Calibri"/>
          <w:bCs/>
          <w:sz w:val="20"/>
          <w:szCs w:val="20"/>
        </w:rPr>
        <w:t>dofinansowane z KOWR (29.10.2022r.) – seniorzy z Klubu w Złotowie we współpracy z OPS Gminy Lubawa zorganizowali w siedzibie Klubu spotkanie.</w:t>
      </w:r>
    </w:p>
    <w:p w14:paraId="0C0A7A54" w14:textId="5AA51892" w:rsidR="001B6EE9" w:rsidRPr="008548E7" w:rsidRDefault="001B6EE9" w:rsidP="0059185B">
      <w:pPr>
        <w:pStyle w:val="Akapitzlist"/>
        <w:numPr>
          <w:ilvl w:val="0"/>
          <w:numId w:val="124"/>
        </w:numPr>
        <w:suppressAutoHyphens/>
        <w:autoSpaceDN w:val="0"/>
        <w:spacing w:after="0" w:line="240" w:lineRule="auto"/>
        <w:ind w:left="723" w:right="60"/>
        <w:contextualSpacing w:val="0"/>
        <w:jc w:val="both"/>
        <w:textAlignment w:val="baseline"/>
        <w:rPr>
          <w:rFonts w:ascii="Lato" w:hAnsi="Lato"/>
          <w:sz w:val="20"/>
          <w:szCs w:val="20"/>
        </w:rPr>
      </w:pPr>
      <w:r w:rsidRPr="008548E7">
        <w:rPr>
          <w:rFonts w:ascii="Lato" w:hAnsi="Lato" w:cs="Calibri"/>
          <w:bCs/>
          <w:sz w:val="20"/>
          <w:szCs w:val="20"/>
        </w:rPr>
        <w:t>Biesiada Seniora (2018r.)</w:t>
      </w:r>
      <w:r w:rsidRPr="008548E7">
        <w:rPr>
          <w:rFonts w:ascii="Lato" w:hAnsi="Lato" w:cs="Calibri"/>
          <w:b/>
          <w:sz w:val="20"/>
          <w:szCs w:val="20"/>
        </w:rPr>
        <w:t xml:space="preserve"> – </w:t>
      </w:r>
      <w:r w:rsidRPr="008548E7">
        <w:rPr>
          <w:rFonts w:ascii="Lato" w:hAnsi="Lato" w:cs="Calibri"/>
          <w:bCs/>
          <w:sz w:val="20"/>
          <w:szCs w:val="20"/>
        </w:rPr>
        <w:t>spotkanie integracyjne dla członków klubów seniora z terenu gminy, które zostało zorganizowane w siedzibie Klubu „Senior+” w Złotowie.</w:t>
      </w:r>
    </w:p>
    <w:p w14:paraId="5D4ED6A0" w14:textId="77777777" w:rsidR="008548E7" w:rsidRDefault="008548E7" w:rsidP="001B6EE9">
      <w:pPr>
        <w:pStyle w:val="Akapitzlist"/>
        <w:spacing w:after="0" w:line="240" w:lineRule="auto"/>
        <w:ind w:left="348"/>
        <w:jc w:val="both"/>
        <w:rPr>
          <w:rFonts w:ascii="Lato" w:hAnsi="Lato" w:cs="Calibri"/>
          <w:bCs/>
          <w:sz w:val="20"/>
          <w:szCs w:val="20"/>
        </w:rPr>
      </w:pPr>
    </w:p>
    <w:p w14:paraId="0903A224" w14:textId="18D92435" w:rsidR="001B6EE9" w:rsidRPr="001B6EE9" w:rsidRDefault="001B6EE9" w:rsidP="001B6EE9">
      <w:pPr>
        <w:pStyle w:val="Akapitzlist"/>
        <w:spacing w:after="0" w:line="240" w:lineRule="auto"/>
        <w:ind w:left="348"/>
        <w:jc w:val="both"/>
        <w:rPr>
          <w:rFonts w:ascii="Lato" w:hAnsi="Lato"/>
          <w:sz w:val="20"/>
          <w:szCs w:val="20"/>
        </w:rPr>
      </w:pPr>
      <w:r w:rsidRPr="001B6EE9">
        <w:rPr>
          <w:rFonts w:ascii="Lato" w:hAnsi="Lato" w:cs="Calibri"/>
          <w:bCs/>
          <w:sz w:val="20"/>
          <w:szCs w:val="20"/>
        </w:rPr>
        <w:t xml:space="preserve">Uczestnicy Klubu organizują również spotkania i wydarzenia integracyjne we własnym gronie takie jak: </w:t>
      </w:r>
      <w:r w:rsidRPr="001B6EE9">
        <w:rPr>
          <w:rFonts w:ascii="Lato" w:hAnsi="Lato" w:cs="Calibri"/>
          <w:b/>
          <w:sz w:val="20"/>
          <w:szCs w:val="20"/>
        </w:rPr>
        <w:t>spotkania Andrzejkowe przy kawie, klubowe spotkania wigilijne, obchody imienin czy urodzin</w:t>
      </w:r>
      <w:r w:rsidRPr="001B6EE9">
        <w:rPr>
          <w:rFonts w:ascii="Lato" w:hAnsi="Lato" w:cs="Calibri"/>
          <w:bCs/>
          <w:sz w:val="20"/>
          <w:szCs w:val="20"/>
        </w:rPr>
        <w:t>. Ponadto seniorzy biorą udział w wydarzeniach organizowanych na terenie gminy m.in.: Noc Świętojańska w Szczepankowie. Dodatkowo w 2022r. przedstawicielki Klubu wzięły udział w  V Spotkaniu Seniorów w ramach obchodów Międzynarodowego Dnia Osób Starszych w Warszawie.</w:t>
      </w:r>
    </w:p>
    <w:p w14:paraId="5DE96843" w14:textId="77777777" w:rsidR="001B6EE9" w:rsidRPr="001B6EE9" w:rsidRDefault="001B6EE9" w:rsidP="001B6EE9">
      <w:pPr>
        <w:pStyle w:val="Standard"/>
        <w:jc w:val="both"/>
        <w:rPr>
          <w:rFonts w:ascii="Lato" w:hAnsi="Lato"/>
          <w:sz w:val="20"/>
          <w:szCs w:val="20"/>
        </w:rPr>
      </w:pPr>
      <w:proofErr w:type="spellStart"/>
      <w:r w:rsidRPr="001B6EE9">
        <w:rPr>
          <w:rFonts w:ascii="Lato" w:hAnsi="Lato" w:cs="Calibri"/>
          <w:b/>
          <w:bCs/>
          <w:sz w:val="20"/>
          <w:szCs w:val="20"/>
        </w:rPr>
        <w:t>Stowarzyszenie</w:t>
      </w:r>
      <w:proofErr w:type="spellEnd"/>
      <w:r w:rsidRPr="001B6EE9">
        <w:rPr>
          <w:rFonts w:ascii="Lato" w:hAnsi="Lato" w:cs="Calibri"/>
          <w:b/>
          <w:bCs/>
          <w:sz w:val="20"/>
          <w:szCs w:val="20"/>
        </w:rPr>
        <w:t xml:space="preserve"> „OSTOJA WARMIŃSKA” </w:t>
      </w:r>
      <w:proofErr w:type="spellStart"/>
      <w:r w:rsidRPr="001B6EE9">
        <w:rPr>
          <w:rFonts w:ascii="Lato" w:hAnsi="Lato" w:cs="Calibri"/>
          <w:sz w:val="20"/>
          <w:szCs w:val="20"/>
        </w:rPr>
        <w:t>to</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organizacja</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działająca</w:t>
      </w:r>
      <w:proofErr w:type="spellEnd"/>
      <w:r w:rsidRPr="001B6EE9">
        <w:rPr>
          <w:rFonts w:ascii="Lato" w:hAnsi="Lato" w:cs="Calibri"/>
          <w:sz w:val="20"/>
          <w:szCs w:val="20"/>
        </w:rPr>
        <w:t xml:space="preserve"> </w:t>
      </w:r>
      <w:proofErr w:type="spellStart"/>
      <w:r w:rsidRPr="001B6EE9">
        <w:rPr>
          <w:rFonts w:ascii="Lato" w:hAnsi="Lato" w:cs="Calibri"/>
          <w:sz w:val="20"/>
          <w:szCs w:val="20"/>
        </w:rPr>
        <w:t>od</w:t>
      </w:r>
      <w:proofErr w:type="spellEnd"/>
      <w:r w:rsidRPr="001B6EE9">
        <w:rPr>
          <w:rFonts w:ascii="Lato" w:hAnsi="Lato" w:cs="Calibri"/>
          <w:sz w:val="20"/>
          <w:szCs w:val="20"/>
        </w:rPr>
        <w:t xml:space="preserve"> 2016 na </w:t>
      </w:r>
      <w:proofErr w:type="spellStart"/>
      <w:r w:rsidRPr="001B6EE9">
        <w:rPr>
          <w:rFonts w:ascii="Lato" w:hAnsi="Lato" w:cs="Calibri"/>
          <w:sz w:val="20"/>
          <w:szCs w:val="20"/>
        </w:rPr>
        <w:t>terenie</w:t>
      </w:r>
      <w:proofErr w:type="spellEnd"/>
      <w:r w:rsidRPr="001B6EE9">
        <w:rPr>
          <w:rFonts w:ascii="Lato" w:hAnsi="Lato" w:cs="Calibri"/>
          <w:sz w:val="20"/>
          <w:szCs w:val="20"/>
        </w:rPr>
        <w:t xml:space="preserve"> </w:t>
      </w:r>
      <w:proofErr w:type="spellStart"/>
      <w:r w:rsidRPr="001B6EE9">
        <w:rPr>
          <w:rFonts w:ascii="Lato" w:hAnsi="Lato" w:cs="Calibri"/>
          <w:sz w:val="20"/>
          <w:szCs w:val="20"/>
        </w:rPr>
        <w:t>ziemi</w:t>
      </w:r>
      <w:proofErr w:type="spellEnd"/>
      <w:r w:rsidRPr="001B6EE9">
        <w:rPr>
          <w:rFonts w:ascii="Lato" w:hAnsi="Lato" w:cs="Calibri"/>
          <w:sz w:val="20"/>
          <w:szCs w:val="20"/>
        </w:rPr>
        <w:t xml:space="preserve"> </w:t>
      </w:r>
      <w:proofErr w:type="spellStart"/>
      <w:r w:rsidRPr="001B6EE9">
        <w:rPr>
          <w:rFonts w:ascii="Lato" w:hAnsi="Lato" w:cs="Calibri"/>
          <w:sz w:val="20"/>
          <w:szCs w:val="20"/>
        </w:rPr>
        <w:t>braniewskiej</w:t>
      </w:r>
      <w:proofErr w:type="spellEnd"/>
      <w:r w:rsidRPr="001B6EE9">
        <w:rPr>
          <w:rFonts w:ascii="Lato" w:hAnsi="Lato" w:cs="Calibri"/>
          <w:sz w:val="20"/>
          <w:szCs w:val="20"/>
        </w:rPr>
        <w:t xml:space="preserve">. </w:t>
      </w:r>
      <w:proofErr w:type="spellStart"/>
      <w:r w:rsidRPr="001B6EE9">
        <w:rPr>
          <w:rFonts w:ascii="Lato" w:hAnsi="Lato" w:cs="Calibri"/>
          <w:sz w:val="20"/>
          <w:szCs w:val="20"/>
        </w:rPr>
        <w:t>Relatywnie</w:t>
      </w:r>
      <w:proofErr w:type="spellEnd"/>
      <w:r w:rsidRPr="001B6EE9">
        <w:rPr>
          <w:rFonts w:ascii="Lato" w:hAnsi="Lato" w:cs="Calibri"/>
          <w:sz w:val="20"/>
          <w:szCs w:val="20"/>
        </w:rPr>
        <w:t xml:space="preserve"> </w:t>
      </w:r>
      <w:proofErr w:type="spellStart"/>
      <w:r w:rsidRPr="001B6EE9">
        <w:rPr>
          <w:rFonts w:ascii="Lato" w:hAnsi="Lato" w:cs="Calibri"/>
          <w:sz w:val="20"/>
          <w:szCs w:val="20"/>
        </w:rPr>
        <w:t>krótkie</w:t>
      </w:r>
      <w:proofErr w:type="spellEnd"/>
      <w:r w:rsidRPr="001B6EE9">
        <w:rPr>
          <w:rFonts w:ascii="Lato" w:hAnsi="Lato" w:cs="Calibri"/>
          <w:sz w:val="20"/>
          <w:szCs w:val="20"/>
        </w:rPr>
        <w:t xml:space="preserve"> </w:t>
      </w:r>
      <w:proofErr w:type="spellStart"/>
      <w:r w:rsidRPr="001B6EE9">
        <w:rPr>
          <w:rFonts w:ascii="Lato" w:hAnsi="Lato" w:cs="Calibri"/>
          <w:sz w:val="20"/>
          <w:szCs w:val="20"/>
        </w:rPr>
        <w:t>istnienie</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organizacji</w:t>
      </w:r>
      <w:proofErr w:type="spellEnd"/>
      <w:r w:rsidRPr="001B6EE9">
        <w:rPr>
          <w:rFonts w:ascii="Lato" w:hAnsi="Lato" w:cs="Calibri"/>
          <w:sz w:val="20"/>
          <w:szCs w:val="20"/>
        </w:rPr>
        <w:t xml:space="preserve"> w </w:t>
      </w:r>
      <w:proofErr w:type="spellStart"/>
      <w:r w:rsidRPr="001B6EE9">
        <w:rPr>
          <w:rFonts w:ascii="Lato" w:hAnsi="Lato" w:cs="Calibri"/>
          <w:sz w:val="20"/>
          <w:szCs w:val="20"/>
        </w:rPr>
        <w:t>zestawieniu</w:t>
      </w:r>
      <w:proofErr w:type="spellEnd"/>
      <w:r w:rsidRPr="001B6EE9">
        <w:rPr>
          <w:rFonts w:ascii="Lato" w:hAnsi="Lato" w:cs="Calibri"/>
          <w:sz w:val="20"/>
          <w:szCs w:val="20"/>
        </w:rPr>
        <w:t xml:space="preserve"> z </w:t>
      </w:r>
      <w:proofErr w:type="spellStart"/>
      <w:r w:rsidRPr="001B6EE9">
        <w:rPr>
          <w:rFonts w:ascii="Lato" w:hAnsi="Lato" w:cs="Calibri"/>
          <w:sz w:val="20"/>
          <w:szCs w:val="20"/>
        </w:rPr>
        <w:t>ilością</w:t>
      </w:r>
      <w:proofErr w:type="spellEnd"/>
      <w:r w:rsidRPr="001B6EE9">
        <w:rPr>
          <w:rFonts w:ascii="Lato" w:hAnsi="Lato" w:cs="Calibri"/>
          <w:sz w:val="20"/>
          <w:szCs w:val="20"/>
        </w:rPr>
        <w:t xml:space="preserve"> </w:t>
      </w:r>
      <w:proofErr w:type="spellStart"/>
      <w:r w:rsidRPr="001B6EE9">
        <w:rPr>
          <w:rFonts w:ascii="Lato" w:hAnsi="Lato" w:cs="Calibri"/>
          <w:sz w:val="20"/>
          <w:szCs w:val="20"/>
        </w:rPr>
        <w:t>zadań</w:t>
      </w:r>
      <w:proofErr w:type="spellEnd"/>
      <w:r w:rsidRPr="001B6EE9">
        <w:rPr>
          <w:rFonts w:ascii="Lato" w:hAnsi="Lato" w:cs="Calibri"/>
          <w:sz w:val="20"/>
          <w:szCs w:val="20"/>
        </w:rPr>
        <w:t xml:space="preserve"> i </w:t>
      </w:r>
      <w:proofErr w:type="spellStart"/>
      <w:r w:rsidRPr="001B6EE9">
        <w:rPr>
          <w:rFonts w:ascii="Lato" w:hAnsi="Lato" w:cs="Calibri"/>
          <w:sz w:val="20"/>
          <w:szCs w:val="20"/>
        </w:rPr>
        <w:t>projektów</w:t>
      </w:r>
      <w:proofErr w:type="spellEnd"/>
      <w:r w:rsidRPr="001B6EE9">
        <w:rPr>
          <w:rFonts w:ascii="Lato" w:hAnsi="Lato" w:cs="Calibri"/>
          <w:sz w:val="20"/>
          <w:szCs w:val="20"/>
        </w:rPr>
        <w:t xml:space="preserve"> </w:t>
      </w:r>
      <w:proofErr w:type="spellStart"/>
      <w:r w:rsidRPr="001B6EE9">
        <w:rPr>
          <w:rFonts w:ascii="Lato" w:hAnsi="Lato" w:cs="Calibri"/>
          <w:sz w:val="20"/>
          <w:szCs w:val="20"/>
        </w:rPr>
        <w:t>które</w:t>
      </w:r>
      <w:proofErr w:type="spellEnd"/>
      <w:r w:rsidRPr="001B6EE9">
        <w:rPr>
          <w:rFonts w:ascii="Lato" w:hAnsi="Lato" w:cs="Calibri"/>
          <w:sz w:val="20"/>
          <w:szCs w:val="20"/>
        </w:rPr>
        <w:t xml:space="preserve"> </w:t>
      </w:r>
      <w:proofErr w:type="spellStart"/>
      <w:r w:rsidRPr="001B6EE9">
        <w:rPr>
          <w:rFonts w:ascii="Lato" w:hAnsi="Lato" w:cs="Calibri"/>
          <w:sz w:val="20"/>
          <w:szCs w:val="20"/>
        </w:rPr>
        <w:t>udało</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w:t>
      </w:r>
      <w:proofErr w:type="spellStart"/>
      <w:r w:rsidRPr="001B6EE9">
        <w:rPr>
          <w:rFonts w:ascii="Lato" w:hAnsi="Lato" w:cs="Calibri"/>
          <w:sz w:val="20"/>
          <w:szCs w:val="20"/>
        </w:rPr>
        <w:t>zrealizować</w:t>
      </w:r>
      <w:proofErr w:type="spellEnd"/>
      <w:r w:rsidRPr="001B6EE9">
        <w:rPr>
          <w:rFonts w:ascii="Lato" w:hAnsi="Lato" w:cs="Calibri"/>
          <w:sz w:val="20"/>
          <w:szCs w:val="20"/>
        </w:rPr>
        <w:t xml:space="preserve"> </w:t>
      </w:r>
      <w:proofErr w:type="spellStart"/>
      <w:r w:rsidRPr="001B6EE9">
        <w:rPr>
          <w:rFonts w:ascii="Lato" w:hAnsi="Lato" w:cs="Calibri"/>
          <w:sz w:val="20"/>
          <w:szCs w:val="20"/>
        </w:rPr>
        <w:t>świadczy</w:t>
      </w:r>
      <w:proofErr w:type="spellEnd"/>
      <w:r w:rsidRPr="001B6EE9">
        <w:rPr>
          <w:rFonts w:ascii="Lato" w:hAnsi="Lato" w:cs="Calibri"/>
          <w:sz w:val="20"/>
          <w:szCs w:val="20"/>
        </w:rPr>
        <w:t xml:space="preserve"> o </w:t>
      </w:r>
      <w:proofErr w:type="spellStart"/>
      <w:r w:rsidRPr="001B6EE9">
        <w:rPr>
          <w:rFonts w:ascii="Lato" w:hAnsi="Lato" w:cs="Calibri"/>
          <w:sz w:val="20"/>
          <w:szCs w:val="20"/>
        </w:rPr>
        <w:t>jej</w:t>
      </w:r>
      <w:proofErr w:type="spellEnd"/>
      <w:r w:rsidRPr="001B6EE9">
        <w:rPr>
          <w:rFonts w:ascii="Lato" w:hAnsi="Lato" w:cs="Calibri"/>
          <w:sz w:val="20"/>
          <w:szCs w:val="20"/>
        </w:rPr>
        <w:t xml:space="preserve">  </w:t>
      </w:r>
      <w:proofErr w:type="spellStart"/>
      <w:r w:rsidRPr="001B6EE9">
        <w:rPr>
          <w:rFonts w:ascii="Lato" w:hAnsi="Lato" w:cs="Calibri"/>
          <w:sz w:val="20"/>
          <w:szCs w:val="20"/>
        </w:rPr>
        <w:t>prężnie</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działających</w:t>
      </w:r>
      <w:proofErr w:type="spellEnd"/>
      <w:r w:rsidRPr="001B6EE9">
        <w:rPr>
          <w:rFonts w:ascii="Lato" w:hAnsi="Lato" w:cs="Calibri"/>
          <w:sz w:val="20"/>
          <w:szCs w:val="20"/>
        </w:rPr>
        <w:t xml:space="preserve"> </w:t>
      </w:r>
      <w:proofErr w:type="spellStart"/>
      <w:r w:rsidRPr="001B6EE9">
        <w:rPr>
          <w:rFonts w:ascii="Lato" w:hAnsi="Lato" w:cs="Calibri"/>
          <w:sz w:val="20"/>
          <w:szCs w:val="20"/>
        </w:rPr>
        <w:t>członkach</w:t>
      </w:r>
      <w:proofErr w:type="spellEnd"/>
      <w:r w:rsidRPr="001B6EE9">
        <w:rPr>
          <w:rFonts w:ascii="Lato" w:hAnsi="Lato" w:cs="Calibri"/>
          <w:sz w:val="20"/>
          <w:szCs w:val="20"/>
        </w:rPr>
        <w:t xml:space="preserve"> i  </w:t>
      </w:r>
      <w:proofErr w:type="spellStart"/>
      <w:r w:rsidRPr="001B6EE9">
        <w:rPr>
          <w:rFonts w:ascii="Lato" w:hAnsi="Lato" w:cs="Calibri"/>
          <w:sz w:val="20"/>
          <w:szCs w:val="20"/>
        </w:rPr>
        <w:t>założycielach</w:t>
      </w:r>
      <w:proofErr w:type="spellEnd"/>
      <w:r w:rsidRPr="001B6EE9">
        <w:rPr>
          <w:rFonts w:ascii="Lato" w:hAnsi="Lato" w:cs="Calibri"/>
          <w:sz w:val="20"/>
          <w:szCs w:val="20"/>
        </w:rPr>
        <w:t xml:space="preserve">, </w:t>
      </w:r>
      <w:proofErr w:type="spellStart"/>
      <w:r w:rsidRPr="001B6EE9">
        <w:rPr>
          <w:rFonts w:ascii="Lato" w:hAnsi="Lato" w:cs="Calibri"/>
          <w:sz w:val="20"/>
          <w:szCs w:val="20"/>
        </w:rPr>
        <w:t>którzy</w:t>
      </w:r>
      <w:proofErr w:type="spellEnd"/>
      <w:r w:rsidRPr="001B6EE9">
        <w:rPr>
          <w:rFonts w:ascii="Lato" w:hAnsi="Lato" w:cs="Calibri"/>
          <w:sz w:val="20"/>
          <w:szCs w:val="20"/>
        </w:rPr>
        <w:t xml:space="preserve"> pro publico </w:t>
      </w:r>
      <w:proofErr w:type="spellStart"/>
      <w:r w:rsidRPr="001B6EE9">
        <w:rPr>
          <w:rFonts w:ascii="Lato" w:hAnsi="Lato" w:cs="Calibri"/>
          <w:sz w:val="20"/>
          <w:szCs w:val="20"/>
        </w:rPr>
        <w:t>bono</w:t>
      </w:r>
      <w:proofErr w:type="spellEnd"/>
      <w:r w:rsidRPr="001B6EE9">
        <w:rPr>
          <w:rFonts w:ascii="Lato" w:hAnsi="Lato" w:cs="Calibri"/>
          <w:sz w:val="20"/>
          <w:szCs w:val="20"/>
        </w:rPr>
        <w:t xml:space="preserve"> </w:t>
      </w:r>
      <w:proofErr w:type="spellStart"/>
      <w:r w:rsidRPr="001B6EE9">
        <w:rPr>
          <w:rFonts w:ascii="Lato" w:hAnsi="Lato" w:cs="Calibri"/>
          <w:sz w:val="20"/>
          <w:szCs w:val="20"/>
        </w:rPr>
        <w:t>wspierają</w:t>
      </w:r>
      <w:proofErr w:type="spellEnd"/>
      <w:r w:rsidRPr="001B6EE9">
        <w:rPr>
          <w:rFonts w:ascii="Lato" w:hAnsi="Lato" w:cs="Calibri"/>
          <w:sz w:val="20"/>
          <w:szCs w:val="20"/>
        </w:rPr>
        <w:t xml:space="preserve"> </w:t>
      </w:r>
      <w:proofErr w:type="spellStart"/>
      <w:r w:rsidRPr="001B6EE9">
        <w:rPr>
          <w:rFonts w:ascii="Lato" w:hAnsi="Lato" w:cs="Calibri"/>
          <w:sz w:val="20"/>
          <w:szCs w:val="20"/>
        </w:rPr>
        <w:t>jej</w:t>
      </w:r>
      <w:proofErr w:type="spellEnd"/>
      <w:r w:rsidRPr="001B6EE9">
        <w:rPr>
          <w:rFonts w:ascii="Lato" w:hAnsi="Lato" w:cs="Calibri"/>
          <w:sz w:val="20"/>
          <w:szCs w:val="20"/>
        </w:rPr>
        <w:t xml:space="preserve"> </w:t>
      </w:r>
      <w:proofErr w:type="spellStart"/>
      <w:r w:rsidRPr="001B6EE9">
        <w:rPr>
          <w:rFonts w:ascii="Lato" w:hAnsi="Lato" w:cs="Calibri"/>
          <w:sz w:val="20"/>
          <w:szCs w:val="20"/>
        </w:rPr>
        <w:t>bieżącą</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działalność</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dalszy</w:t>
      </w:r>
      <w:proofErr w:type="spellEnd"/>
      <w:r w:rsidRPr="001B6EE9">
        <w:rPr>
          <w:rFonts w:ascii="Lato" w:hAnsi="Lato" w:cs="Calibri"/>
          <w:sz w:val="20"/>
          <w:szCs w:val="20"/>
        </w:rPr>
        <w:t xml:space="preserve"> </w:t>
      </w:r>
      <w:proofErr w:type="spellStart"/>
      <w:r w:rsidRPr="001B6EE9">
        <w:rPr>
          <w:rFonts w:ascii="Lato" w:hAnsi="Lato" w:cs="Calibri"/>
          <w:sz w:val="20"/>
          <w:szCs w:val="20"/>
        </w:rPr>
        <w:t>rozwój</w:t>
      </w:r>
      <w:proofErr w:type="spellEnd"/>
      <w:r w:rsidRPr="001B6EE9">
        <w:rPr>
          <w:rFonts w:ascii="Lato" w:hAnsi="Lato" w:cs="Calibri"/>
          <w:sz w:val="20"/>
          <w:szCs w:val="20"/>
        </w:rPr>
        <w:t>.</w:t>
      </w:r>
    </w:p>
    <w:p w14:paraId="1149B113" w14:textId="77777777" w:rsidR="008548E7" w:rsidRDefault="008548E7" w:rsidP="008548E7">
      <w:pPr>
        <w:pStyle w:val="Standard"/>
        <w:jc w:val="both"/>
        <w:rPr>
          <w:rFonts w:ascii="Lato" w:hAnsi="Lato" w:cs="Calibri"/>
          <w:sz w:val="20"/>
          <w:szCs w:val="20"/>
        </w:rPr>
      </w:pPr>
    </w:p>
    <w:p w14:paraId="5E51B731" w14:textId="348C9C01" w:rsidR="001B6EE9" w:rsidRPr="001B6EE9" w:rsidRDefault="001B6EE9" w:rsidP="008548E7">
      <w:pPr>
        <w:pStyle w:val="Standard"/>
        <w:jc w:val="both"/>
        <w:rPr>
          <w:rFonts w:ascii="Lato" w:hAnsi="Lato"/>
          <w:sz w:val="20"/>
          <w:szCs w:val="20"/>
        </w:rPr>
      </w:pPr>
      <w:proofErr w:type="spellStart"/>
      <w:r w:rsidRPr="001B6EE9">
        <w:rPr>
          <w:rFonts w:ascii="Lato" w:hAnsi="Lato" w:cs="Calibri"/>
          <w:sz w:val="20"/>
          <w:szCs w:val="20"/>
        </w:rPr>
        <w:t>Stowarzyszenie</w:t>
      </w:r>
      <w:proofErr w:type="spellEnd"/>
      <w:r w:rsidRPr="001B6EE9">
        <w:rPr>
          <w:rFonts w:ascii="Lato" w:hAnsi="Lato" w:cs="Calibri"/>
          <w:sz w:val="20"/>
          <w:szCs w:val="20"/>
        </w:rPr>
        <w:t xml:space="preserve"> </w:t>
      </w:r>
      <w:proofErr w:type="spellStart"/>
      <w:r w:rsidRPr="001B6EE9">
        <w:rPr>
          <w:rFonts w:ascii="Lato" w:hAnsi="Lato" w:cs="Calibri"/>
          <w:sz w:val="20"/>
          <w:szCs w:val="20"/>
        </w:rPr>
        <w:t>zostało</w:t>
      </w:r>
      <w:proofErr w:type="spellEnd"/>
      <w:r w:rsidRPr="001B6EE9">
        <w:rPr>
          <w:rFonts w:ascii="Lato" w:hAnsi="Lato" w:cs="Calibri"/>
          <w:sz w:val="20"/>
          <w:szCs w:val="20"/>
        </w:rPr>
        <w:t xml:space="preserve"> </w:t>
      </w:r>
      <w:proofErr w:type="spellStart"/>
      <w:r w:rsidRPr="001B6EE9">
        <w:rPr>
          <w:rFonts w:ascii="Lato" w:hAnsi="Lato" w:cs="Calibri"/>
          <w:sz w:val="20"/>
          <w:szCs w:val="20"/>
        </w:rPr>
        <w:t>powołane</w:t>
      </w:r>
      <w:proofErr w:type="spellEnd"/>
      <w:r w:rsidRPr="001B6EE9">
        <w:rPr>
          <w:rFonts w:ascii="Lato" w:hAnsi="Lato" w:cs="Calibri"/>
          <w:sz w:val="20"/>
          <w:szCs w:val="20"/>
        </w:rPr>
        <w:t xml:space="preserve"> </w:t>
      </w:r>
      <w:proofErr w:type="spellStart"/>
      <w:r w:rsidRPr="001B6EE9">
        <w:rPr>
          <w:rFonts w:ascii="Lato" w:hAnsi="Lato" w:cs="Calibri"/>
          <w:sz w:val="20"/>
          <w:szCs w:val="20"/>
        </w:rPr>
        <w:t>jako</w:t>
      </w:r>
      <w:proofErr w:type="spellEnd"/>
      <w:r w:rsidRPr="001B6EE9">
        <w:rPr>
          <w:rFonts w:ascii="Lato" w:hAnsi="Lato" w:cs="Calibri"/>
          <w:sz w:val="20"/>
          <w:szCs w:val="20"/>
        </w:rPr>
        <w:t xml:space="preserve"> </w:t>
      </w:r>
      <w:proofErr w:type="spellStart"/>
      <w:r w:rsidRPr="001B6EE9">
        <w:rPr>
          <w:rFonts w:ascii="Lato" w:hAnsi="Lato" w:cs="Calibri"/>
          <w:sz w:val="20"/>
          <w:szCs w:val="20"/>
        </w:rPr>
        <w:t>podmiot</w:t>
      </w:r>
      <w:proofErr w:type="spellEnd"/>
      <w:r w:rsidRPr="001B6EE9">
        <w:rPr>
          <w:rFonts w:ascii="Lato" w:hAnsi="Lato" w:cs="Calibri"/>
          <w:sz w:val="20"/>
          <w:szCs w:val="20"/>
        </w:rPr>
        <w:t xml:space="preserve"> </w:t>
      </w:r>
      <w:proofErr w:type="spellStart"/>
      <w:r w:rsidRPr="001B6EE9">
        <w:rPr>
          <w:rFonts w:ascii="Lato" w:hAnsi="Lato" w:cs="Calibri"/>
          <w:sz w:val="20"/>
          <w:szCs w:val="20"/>
        </w:rPr>
        <w:t>prawny</w:t>
      </w:r>
      <w:proofErr w:type="spellEnd"/>
      <w:r w:rsidRPr="001B6EE9">
        <w:rPr>
          <w:rFonts w:ascii="Lato" w:hAnsi="Lato" w:cs="Calibri"/>
          <w:sz w:val="20"/>
          <w:szCs w:val="20"/>
        </w:rPr>
        <w:t xml:space="preserve"> do </w:t>
      </w:r>
      <w:proofErr w:type="spellStart"/>
      <w:r w:rsidRPr="001B6EE9">
        <w:rPr>
          <w:rFonts w:ascii="Lato" w:hAnsi="Lato" w:cs="Calibri"/>
          <w:sz w:val="20"/>
          <w:szCs w:val="20"/>
        </w:rPr>
        <w:t>prowadzenia</w:t>
      </w:r>
      <w:proofErr w:type="spellEnd"/>
      <w:r w:rsidRPr="001B6EE9">
        <w:rPr>
          <w:rFonts w:ascii="Lato" w:hAnsi="Lato" w:cs="Calibri"/>
          <w:sz w:val="20"/>
          <w:szCs w:val="20"/>
        </w:rPr>
        <w:t xml:space="preserve"> </w:t>
      </w:r>
      <w:proofErr w:type="spellStart"/>
      <w:r w:rsidRPr="001B6EE9">
        <w:rPr>
          <w:rFonts w:ascii="Lato" w:hAnsi="Lato" w:cs="Calibri"/>
          <w:sz w:val="20"/>
          <w:szCs w:val="20"/>
        </w:rPr>
        <w:t>Środowiskowego</w:t>
      </w:r>
      <w:proofErr w:type="spellEnd"/>
      <w:r w:rsidRPr="001B6EE9">
        <w:rPr>
          <w:rFonts w:ascii="Lato" w:hAnsi="Lato" w:cs="Calibri"/>
          <w:sz w:val="20"/>
          <w:szCs w:val="20"/>
        </w:rPr>
        <w:t xml:space="preserve"> </w:t>
      </w:r>
      <w:proofErr w:type="spellStart"/>
      <w:r w:rsidRPr="001B6EE9">
        <w:rPr>
          <w:rFonts w:ascii="Lato" w:hAnsi="Lato" w:cs="Calibri"/>
          <w:sz w:val="20"/>
          <w:szCs w:val="20"/>
        </w:rPr>
        <w:t>Domu</w:t>
      </w:r>
      <w:proofErr w:type="spellEnd"/>
      <w:r w:rsidRPr="001B6EE9">
        <w:rPr>
          <w:rFonts w:ascii="Lato" w:hAnsi="Lato" w:cs="Calibri"/>
          <w:sz w:val="20"/>
          <w:szCs w:val="20"/>
        </w:rPr>
        <w:t xml:space="preserve"> </w:t>
      </w:r>
      <w:proofErr w:type="spellStart"/>
      <w:r w:rsidRPr="001B6EE9">
        <w:rPr>
          <w:rFonts w:ascii="Lato" w:hAnsi="Lato" w:cs="Calibri"/>
          <w:sz w:val="20"/>
          <w:szCs w:val="20"/>
        </w:rPr>
        <w:t>Samopomocy</w:t>
      </w:r>
      <w:proofErr w:type="spellEnd"/>
      <w:r w:rsidRPr="001B6EE9">
        <w:rPr>
          <w:rFonts w:ascii="Lato" w:hAnsi="Lato" w:cs="Calibri"/>
          <w:sz w:val="20"/>
          <w:szCs w:val="20"/>
        </w:rPr>
        <w:t xml:space="preserve"> w </w:t>
      </w:r>
      <w:proofErr w:type="spellStart"/>
      <w:r w:rsidRPr="001B6EE9">
        <w:rPr>
          <w:rFonts w:ascii="Lato" w:hAnsi="Lato" w:cs="Calibri"/>
          <w:sz w:val="20"/>
          <w:szCs w:val="20"/>
        </w:rPr>
        <w:t>Żelaznej</w:t>
      </w:r>
      <w:proofErr w:type="spellEnd"/>
      <w:r w:rsidRPr="001B6EE9">
        <w:rPr>
          <w:rFonts w:ascii="Lato" w:hAnsi="Lato" w:cs="Calibri"/>
          <w:sz w:val="20"/>
          <w:szCs w:val="20"/>
        </w:rPr>
        <w:t xml:space="preserve"> </w:t>
      </w:r>
      <w:proofErr w:type="spellStart"/>
      <w:r w:rsidRPr="001B6EE9">
        <w:rPr>
          <w:rFonts w:ascii="Lato" w:hAnsi="Lato" w:cs="Calibri"/>
          <w:sz w:val="20"/>
          <w:szCs w:val="20"/>
        </w:rPr>
        <w:t>Górze</w:t>
      </w:r>
      <w:proofErr w:type="spellEnd"/>
      <w:r w:rsidRPr="001B6EE9">
        <w:rPr>
          <w:rFonts w:ascii="Lato" w:hAnsi="Lato" w:cs="Calibri"/>
          <w:sz w:val="20"/>
          <w:szCs w:val="20"/>
        </w:rPr>
        <w:t xml:space="preserve">, </w:t>
      </w:r>
      <w:proofErr w:type="spellStart"/>
      <w:r w:rsidRPr="001B6EE9">
        <w:rPr>
          <w:rFonts w:ascii="Lato" w:hAnsi="Lato" w:cs="Calibri"/>
          <w:sz w:val="20"/>
          <w:szCs w:val="20"/>
        </w:rPr>
        <w:t>jednak</w:t>
      </w:r>
      <w:proofErr w:type="spellEnd"/>
      <w:r w:rsidRPr="001B6EE9">
        <w:rPr>
          <w:rFonts w:ascii="Lato" w:hAnsi="Lato" w:cs="Calibri"/>
          <w:sz w:val="20"/>
          <w:szCs w:val="20"/>
        </w:rPr>
        <w:t xml:space="preserve"> </w:t>
      </w:r>
      <w:proofErr w:type="spellStart"/>
      <w:r w:rsidRPr="001B6EE9">
        <w:rPr>
          <w:rFonts w:ascii="Lato" w:hAnsi="Lato" w:cs="Calibri"/>
          <w:sz w:val="20"/>
          <w:szCs w:val="20"/>
        </w:rPr>
        <w:t>jego</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działalność</w:t>
      </w:r>
      <w:proofErr w:type="spellEnd"/>
      <w:r w:rsidRPr="001B6EE9">
        <w:rPr>
          <w:rFonts w:ascii="Lato" w:hAnsi="Lato" w:cs="Calibri"/>
          <w:sz w:val="20"/>
          <w:szCs w:val="20"/>
        </w:rPr>
        <w:t xml:space="preserve"> </w:t>
      </w:r>
      <w:proofErr w:type="spellStart"/>
      <w:r w:rsidRPr="001B6EE9">
        <w:rPr>
          <w:rFonts w:ascii="Lato" w:hAnsi="Lato" w:cs="Calibri"/>
          <w:sz w:val="20"/>
          <w:szCs w:val="20"/>
        </w:rPr>
        <w:t>znacznie</w:t>
      </w:r>
      <w:proofErr w:type="spellEnd"/>
      <w:r w:rsidRPr="001B6EE9">
        <w:rPr>
          <w:rFonts w:ascii="Lato" w:hAnsi="Lato" w:cs="Calibri"/>
          <w:sz w:val="20"/>
          <w:szCs w:val="20"/>
        </w:rPr>
        <w:t xml:space="preserve"> </w:t>
      </w:r>
      <w:proofErr w:type="spellStart"/>
      <w:r w:rsidRPr="001B6EE9">
        <w:rPr>
          <w:rFonts w:ascii="Lato" w:hAnsi="Lato" w:cs="Calibri"/>
          <w:sz w:val="20"/>
          <w:szCs w:val="20"/>
        </w:rPr>
        <w:t>wykracza</w:t>
      </w:r>
      <w:proofErr w:type="spellEnd"/>
      <w:r w:rsidRPr="001B6EE9">
        <w:rPr>
          <w:rFonts w:ascii="Lato" w:hAnsi="Lato" w:cs="Calibri"/>
          <w:sz w:val="20"/>
          <w:szCs w:val="20"/>
        </w:rPr>
        <w:t xml:space="preserve"> </w:t>
      </w:r>
      <w:proofErr w:type="spellStart"/>
      <w:r w:rsidRPr="001B6EE9">
        <w:rPr>
          <w:rFonts w:ascii="Lato" w:hAnsi="Lato" w:cs="Calibri"/>
          <w:sz w:val="20"/>
          <w:szCs w:val="20"/>
        </w:rPr>
        <w:t>poza</w:t>
      </w:r>
      <w:proofErr w:type="spellEnd"/>
      <w:r w:rsidRPr="001B6EE9">
        <w:rPr>
          <w:rFonts w:ascii="Lato" w:hAnsi="Lato" w:cs="Calibri"/>
          <w:sz w:val="20"/>
          <w:szCs w:val="20"/>
        </w:rPr>
        <w:t xml:space="preserve"> </w:t>
      </w:r>
      <w:proofErr w:type="spellStart"/>
      <w:r w:rsidRPr="001B6EE9">
        <w:rPr>
          <w:rFonts w:ascii="Lato" w:hAnsi="Lato" w:cs="Calibri"/>
          <w:sz w:val="20"/>
          <w:szCs w:val="20"/>
        </w:rPr>
        <w:t>prowadzenie</w:t>
      </w:r>
      <w:proofErr w:type="spellEnd"/>
      <w:r w:rsidRPr="001B6EE9">
        <w:rPr>
          <w:rFonts w:ascii="Lato" w:hAnsi="Lato" w:cs="Calibri"/>
          <w:sz w:val="20"/>
          <w:szCs w:val="20"/>
        </w:rPr>
        <w:t xml:space="preserve"> ŚDS </w:t>
      </w:r>
      <w:proofErr w:type="spellStart"/>
      <w:r w:rsidRPr="001B6EE9">
        <w:rPr>
          <w:rFonts w:ascii="Lato" w:hAnsi="Lato" w:cs="Calibri"/>
          <w:sz w:val="20"/>
          <w:szCs w:val="20"/>
        </w:rPr>
        <w:t>skupiając</w:t>
      </w:r>
      <w:proofErr w:type="spellEnd"/>
      <w:r w:rsidRPr="001B6EE9">
        <w:rPr>
          <w:rFonts w:ascii="Lato" w:hAnsi="Lato" w:cs="Calibri"/>
          <w:sz w:val="20"/>
          <w:szCs w:val="20"/>
        </w:rPr>
        <w:t xml:space="preserve"> </w:t>
      </w:r>
      <w:proofErr w:type="spellStart"/>
      <w:r w:rsidRPr="001B6EE9">
        <w:rPr>
          <w:rFonts w:ascii="Lato" w:hAnsi="Lato" w:cs="Calibri"/>
          <w:sz w:val="20"/>
          <w:szCs w:val="20"/>
        </w:rPr>
        <w:t>wokół</w:t>
      </w:r>
      <w:proofErr w:type="spellEnd"/>
      <w:r w:rsidRPr="001B6EE9">
        <w:rPr>
          <w:rFonts w:ascii="Lato" w:hAnsi="Lato" w:cs="Calibri"/>
          <w:sz w:val="20"/>
          <w:szCs w:val="20"/>
        </w:rPr>
        <w:t xml:space="preserve"> </w:t>
      </w:r>
      <w:proofErr w:type="spellStart"/>
      <w:r w:rsidRPr="001B6EE9">
        <w:rPr>
          <w:rFonts w:ascii="Lato" w:hAnsi="Lato" w:cs="Calibri"/>
          <w:sz w:val="20"/>
          <w:szCs w:val="20"/>
        </w:rPr>
        <w:t>siebie</w:t>
      </w:r>
      <w:proofErr w:type="spellEnd"/>
      <w:r w:rsidRPr="001B6EE9">
        <w:rPr>
          <w:rFonts w:ascii="Lato" w:hAnsi="Lato" w:cs="Calibri"/>
          <w:sz w:val="20"/>
          <w:szCs w:val="20"/>
        </w:rPr>
        <w:t xml:space="preserve"> </w:t>
      </w:r>
      <w:proofErr w:type="spellStart"/>
      <w:r w:rsidRPr="001B6EE9">
        <w:rPr>
          <w:rFonts w:ascii="Lato" w:hAnsi="Lato" w:cs="Calibri"/>
          <w:sz w:val="20"/>
          <w:szCs w:val="20"/>
        </w:rPr>
        <w:t>oprócz</w:t>
      </w:r>
      <w:proofErr w:type="spellEnd"/>
      <w:r w:rsidRPr="001B6EE9">
        <w:rPr>
          <w:rFonts w:ascii="Lato" w:hAnsi="Lato" w:cs="Calibri"/>
          <w:sz w:val="20"/>
          <w:szCs w:val="20"/>
        </w:rPr>
        <w:t xml:space="preserve"> </w:t>
      </w:r>
      <w:proofErr w:type="spellStart"/>
      <w:r w:rsidRPr="001B6EE9">
        <w:rPr>
          <w:rFonts w:ascii="Lato" w:hAnsi="Lato" w:cs="Calibri"/>
          <w:sz w:val="20"/>
          <w:szCs w:val="20"/>
        </w:rPr>
        <w:t>zatrudnionych</w:t>
      </w:r>
      <w:proofErr w:type="spellEnd"/>
      <w:r w:rsidRPr="001B6EE9">
        <w:rPr>
          <w:rFonts w:ascii="Lato" w:hAnsi="Lato" w:cs="Calibri"/>
          <w:sz w:val="20"/>
          <w:szCs w:val="20"/>
        </w:rPr>
        <w:t xml:space="preserve"> </w:t>
      </w:r>
      <w:proofErr w:type="spellStart"/>
      <w:r w:rsidRPr="001B6EE9">
        <w:rPr>
          <w:rFonts w:ascii="Lato" w:hAnsi="Lato" w:cs="Calibri"/>
          <w:sz w:val="20"/>
          <w:szCs w:val="20"/>
        </w:rPr>
        <w:t>pracowników</w:t>
      </w:r>
      <w:proofErr w:type="spellEnd"/>
      <w:r w:rsidRPr="001B6EE9">
        <w:rPr>
          <w:rFonts w:ascii="Lato" w:hAnsi="Lato" w:cs="Calibri"/>
          <w:sz w:val="20"/>
          <w:szCs w:val="20"/>
        </w:rPr>
        <w:t xml:space="preserve"> do </w:t>
      </w:r>
      <w:proofErr w:type="spellStart"/>
      <w:r w:rsidRPr="001B6EE9">
        <w:rPr>
          <w:rFonts w:ascii="Lato" w:hAnsi="Lato" w:cs="Calibri"/>
          <w:sz w:val="20"/>
          <w:szCs w:val="20"/>
        </w:rPr>
        <w:t>realizacji</w:t>
      </w:r>
      <w:proofErr w:type="spellEnd"/>
      <w:r w:rsidRPr="001B6EE9">
        <w:rPr>
          <w:rFonts w:ascii="Lato" w:hAnsi="Lato" w:cs="Calibri"/>
          <w:sz w:val="20"/>
          <w:szCs w:val="20"/>
        </w:rPr>
        <w:t xml:space="preserve"> </w:t>
      </w:r>
      <w:proofErr w:type="spellStart"/>
      <w:r w:rsidRPr="001B6EE9">
        <w:rPr>
          <w:rFonts w:ascii="Lato" w:hAnsi="Lato" w:cs="Calibri"/>
          <w:sz w:val="20"/>
          <w:szCs w:val="20"/>
        </w:rPr>
        <w:t>zadania</w:t>
      </w:r>
      <w:proofErr w:type="spellEnd"/>
      <w:r w:rsidRPr="001B6EE9">
        <w:rPr>
          <w:rFonts w:ascii="Lato" w:hAnsi="Lato" w:cs="Calibri"/>
          <w:sz w:val="20"/>
          <w:szCs w:val="20"/>
        </w:rPr>
        <w:t xml:space="preserve">, </w:t>
      </w:r>
      <w:proofErr w:type="spellStart"/>
      <w:r w:rsidRPr="001B6EE9">
        <w:rPr>
          <w:rFonts w:ascii="Lato" w:hAnsi="Lato" w:cs="Calibri"/>
          <w:sz w:val="20"/>
          <w:szCs w:val="20"/>
        </w:rPr>
        <w:t>mnóstwo</w:t>
      </w:r>
      <w:proofErr w:type="spellEnd"/>
      <w:r w:rsidRPr="001B6EE9">
        <w:rPr>
          <w:rFonts w:ascii="Lato" w:hAnsi="Lato" w:cs="Calibri"/>
          <w:sz w:val="20"/>
          <w:szCs w:val="20"/>
        </w:rPr>
        <w:t xml:space="preserve"> </w:t>
      </w:r>
      <w:proofErr w:type="spellStart"/>
      <w:r w:rsidRPr="001B6EE9">
        <w:rPr>
          <w:rFonts w:ascii="Lato" w:hAnsi="Lato" w:cs="Calibri"/>
          <w:sz w:val="20"/>
          <w:szCs w:val="20"/>
        </w:rPr>
        <w:t>ludzi</w:t>
      </w:r>
      <w:proofErr w:type="spellEnd"/>
      <w:r w:rsidRPr="001B6EE9">
        <w:rPr>
          <w:rFonts w:ascii="Lato" w:hAnsi="Lato" w:cs="Calibri"/>
          <w:sz w:val="20"/>
          <w:szCs w:val="20"/>
        </w:rPr>
        <w:t xml:space="preserve"> </w:t>
      </w:r>
      <w:proofErr w:type="spellStart"/>
      <w:r w:rsidRPr="001B6EE9">
        <w:rPr>
          <w:rFonts w:ascii="Lato" w:hAnsi="Lato" w:cs="Calibri"/>
          <w:sz w:val="20"/>
          <w:szCs w:val="20"/>
        </w:rPr>
        <w:t>dobrej</w:t>
      </w:r>
      <w:proofErr w:type="spellEnd"/>
      <w:r w:rsidRPr="001B6EE9">
        <w:rPr>
          <w:rFonts w:ascii="Lato" w:hAnsi="Lato" w:cs="Calibri"/>
          <w:sz w:val="20"/>
          <w:szCs w:val="20"/>
        </w:rPr>
        <w:t xml:space="preserve"> </w:t>
      </w:r>
      <w:proofErr w:type="spellStart"/>
      <w:r w:rsidRPr="001B6EE9">
        <w:rPr>
          <w:rFonts w:ascii="Lato" w:hAnsi="Lato" w:cs="Calibri"/>
          <w:sz w:val="20"/>
          <w:szCs w:val="20"/>
        </w:rPr>
        <w:t>woli</w:t>
      </w:r>
      <w:proofErr w:type="spellEnd"/>
      <w:r w:rsidRPr="001B6EE9">
        <w:rPr>
          <w:rFonts w:ascii="Lato" w:hAnsi="Lato" w:cs="Calibri"/>
          <w:sz w:val="20"/>
          <w:szCs w:val="20"/>
        </w:rPr>
        <w:t xml:space="preserve"> w </w:t>
      </w:r>
      <w:proofErr w:type="spellStart"/>
      <w:r w:rsidRPr="001B6EE9">
        <w:rPr>
          <w:rFonts w:ascii="Lato" w:hAnsi="Lato" w:cs="Calibri"/>
          <w:sz w:val="20"/>
          <w:szCs w:val="20"/>
        </w:rPr>
        <w:t>każdym</w:t>
      </w:r>
      <w:proofErr w:type="spellEnd"/>
      <w:r w:rsidRPr="001B6EE9">
        <w:rPr>
          <w:rFonts w:ascii="Lato" w:hAnsi="Lato" w:cs="Calibri"/>
          <w:sz w:val="20"/>
          <w:szCs w:val="20"/>
        </w:rPr>
        <w:t xml:space="preserve"> </w:t>
      </w:r>
      <w:proofErr w:type="spellStart"/>
      <w:r w:rsidRPr="001B6EE9">
        <w:rPr>
          <w:rFonts w:ascii="Lato" w:hAnsi="Lato" w:cs="Calibri"/>
          <w:sz w:val="20"/>
          <w:szCs w:val="20"/>
        </w:rPr>
        <w:t>wieku</w:t>
      </w:r>
      <w:proofErr w:type="spellEnd"/>
      <w:r w:rsidRPr="001B6EE9">
        <w:rPr>
          <w:rFonts w:ascii="Lato" w:hAnsi="Lato" w:cs="Calibri"/>
          <w:sz w:val="20"/>
          <w:szCs w:val="20"/>
        </w:rPr>
        <w:t xml:space="preserve">, </w:t>
      </w:r>
      <w:proofErr w:type="spellStart"/>
      <w:r w:rsidRPr="001B6EE9">
        <w:rPr>
          <w:rFonts w:ascii="Lato" w:hAnsi="Lato" w:cs="Calibri"/>
          <w:sz w:val="20"/>
          <w:szCs w:val="20"/>
        </w:rPr>
        <w:t>wolontariuszy</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przedsiębiorców</w:t>
      </w:r>
      <w:proofErr w:type="spellEnd"/>
      <w:r w:rsidRPr="001B6EE9">
        <w:rPr>
          <w:rFonts w:ascii="Lato" w:hAnsi="Lato" w:cs="Calibri"/>
          <w:sz w:val="20"/>
          <w:szCs w:val="20"/>
        </w:rPr>
        <w:t xml:space="preserve">, </w:t>
      </w:r>
      <w:proofErr w:type="spellStart"/>
      <w:r w:rsidRPr="001B6EE9">
        <w:rPr>
          <w:rFonts w:ascii="Lato" w:hAnsi="Lato" w:cs="Calibri"/>
          <w:sz w:val="20"/>
          <w:szCs w:val="20"/>
        </w:rPr>
        <w:t>innych</w:t>
      </w:r>
      <w:proofErr w:type="spellEnd"/>
      <w:r w:rsidRPr="001B6EE9">
        <w:rPr>
          <w:rFonts w:ascii="Lato" w:hAnsi="Lato" w:cs="Calibri"/>
          <w:sz w:val="20"/>
          <w:szCs w:val="20"/>
        </w:rPr>
        <w:t xml:space="preserve"> </w:t>
      </w:r>
      <w:proofErr w:type="spellStart"/>
      <w:r w:rsidRPr="001B6EE9">
        <w:rPr>
          <w:rFonts w:ascii="Lato" w:hAnsi="Lato" w:cs="Calibri"/>
          <w:sz w:val="20"/>
          <w:szCs w:val="20"/>
        </w:rPr>
        <w:t>instytucji</w:t>
      </w:r>
      <w:proofErr w:type="spellEnd"/>
      <w:r w:rsidRPr="001B6EE9">
        <w:rPr>
          <w:rFonts w:ascii="Lato" w:hAnsi="Lato" w:cs="Calibri"/>
          <w:sz w:val="20"/>
          <w:szCs w:val="20"/>
        </w:rPr>
        <w:t xml:space="preserve"> </w:t>
      </w:r>
      <w:proofErr w:type="spellStart"/>
      <w:r w:rsidRPr="001B6EE9">
        <w:rPr>
          <w:rFonts w:ascii="Lato" w:hAnsi="Lato" w:cs="Calibri"/>
          <w:sz w:val="20"/>
          <w:szCs w:val="20"/>
        </w:rPr>
        <w:t>zarówno</w:t>
      </w:r>
      <w:proofErr w:type="spellEnd"/>
      <w:r w:rsidRPr="001B6EE9">
        <w:rPr>
          <w:rFonts w:ascii="Lato" w:hAnsi="Lato" w:cs="Calibri"/>
          <w:sz w:val="20"/>
          <w:szCs w:val="20"/>
        </w:rPr>
        <w:t xml:space="preserve"> </w:t>
      </w:r>
      <w:proofErr w:type="spellStart"/>
      <w:r w:rsidRPr="001B6EE9">
        <w:rPr>
          <w:rFonts w:ascii="Lato" w:hAnsi="Lato" w:cs="Calibri"/>
          <w:sz w:val="20"/>
          <w:szCs w:val="20"/>
        </w:rPr>
        <w:t>państwowych</w:t>
      </w:r>
      <w:proofErr w:type="spellEnd"/>
      <w:r w:rsidRPr="001B6EE9">
        <w:rPr>
          <w:rFonts w:ascii="Lato" w:hAnsi="Lato" w:cs="Calibri"/>
          <w:sz w:val="20"/>
          <w:szCs w:val="20"/>
        </w:rPr>
        <w:t xml:space="preserve"> </w:t>
      </w:r>
      <w:proofErr w:type="spellStart"/>
      <w:r w:rsidRPr="001B6EE9">
        <w:rPr>
          <w:rFonts w:ascii="Lato" w:hAnsi="Lato" w:cs="Calibri"/>
          <w:sz w:val="20"/>
          <w:szCs w:val="20"/>
        </w:rPr>
        <w:t>jak</w:t>
      </w:r>
      <w:proofErr w:type="spellEnd"/>
      <w:r w:rsidRPr="001B6EE9">
        <w:rPr>
          <w:rFonts w:ascii="Lato" w:hAnsi="Lato" w:cs="Calibri"/>
          <w:sz w:val="20"/>
          <w:szCs w:val="20"/>
        </w:rPr>
        <w:t xml:space="preserve"> i </w:t>
      </w:r>
      <w:proofErr w:type="spellStart"/>
      <w:r w:rsidRPr="001B6EE9">
        <w:rPr>
          <w:rFonts w:ascii="Lato" w:hAnsi="Lato" w:cs="Calibri"/>
          <w:sz w:val="20"/>
          <w:szCs w:val="20"/>
        </w:rPr>
        <w:t>trzeciego</w:t>
      </w:r>
      <w:proofErr w:type="spellEnd"/>
      <w:r w:rsidRPr="001B6EE9">
        <w:rPr>
          <w:rFonts w:ascii="Lato" w:hAnsi="Lato" w:cs="Calibri"/>
          <w:sz w:val="20"/>
          <w:szCs w:val="20"/>
        </w:rPr>
        <w:t xml:space="preserve"> </w:t>
      </w:r>
      <w:proofErr w:type="spellStart"/>
      <w:r w:rsidRPr="001B6EE9">
        <w:rPr>
          <w:rFonts w:ascii="Lato" w:hAnsi="Lato" w:cs="Calibri"/>
          <w:sz w:val="20"/>
          <w:szCs w:val="20"/>
        </w:rPr>
        <w:t>sektora</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organizując</w:t>
      </w:r>
      <w:proofErr w:type="spellEnd"/>
      <w:r w:rsidRPr="001B6EE9">
        <w:rPr>
          <w:rFonts w:ascii="Lato" w:hAnsi="Lato" w:cs="Calibri"/>
          <w:sz w:val="20"/>
          <w:szCs w:val="20"/>
        </w:rPr>
        <w:t xml:space="preserve"> </w:t>
      </w:r>
      <w:proofErr w:type="spellStart"/>
      <w:r w:rsidRPr="001B6EE9">
        <w:rPr>
          <w:rFonts w:ascii="Lato" w:hAnsi="Lato" w:cs="Calibri"/>
          <w:sz w:val="20"/>
          <w:szCs w:val="20"/>
        </w:rPr>
        <w:t>staże</w:t>
      </w:r>
      <w:proofErr w:type="spellEnd"/>
      <w:r w:rsidRPr="001B6EE9">
        <w:rPr>
          <w:rFonts w:ascii="Lato" w:hAnsi="Lato" w:cs="Calibri"/>
          <w:sz w:val="20"/>
          <w:szCs w:val="20"/>
        </w:rPr>
        <w:t xml:space="preserve">, </w:t>
      </w:r>
      <w:proofErr w:type="spellStart"/>
      <w:r w:rsidRPr="001B6EE9">
        <w:rPr>
          <w:rFonts w:ascii="Lato" w:hAnsi="Lato" w:cs="Calibri"/>
          <w:sz w:val="20"/>
          <w:szCs w:val="20"/>
        </w:rPr>
        <w:t>prowadząc</w:t>
      </w:r>
      <w:proofErr w:type="spellEnd"/>
      <w:r w:rsidRPr="001B6EE9">
        <w:rPr>
          <w:rFonts w:ascii="Lato" w:hAnsi="Lato" w:cs="Calibri"/>
          <w:sz w:val="20"/>
          <w:szCs w:val="20"/>
        </w:rPr>
        <w:t xml:space="preserve"> </w:t>
      </w:r>
      <w:proofErr w:type="spellStart"/>
      <w:r w:rsidRPr="001B6EE9">
        <w:rPr>
          <w:rFonts w:ascii="Lato" w:hAnsi="Lato" w:cs="Calibri"/>
          <w:sz w:val="20"/>
          <w:szCs w:val="20"/>
        </w:rPr>
        <w:t>projekty</w:t>
      </w:r>
      <w:proofErr w:type="spellEnd"/>
      <w:r w:rsidRPr="001B6EE9">
        <w:rPr>
          <w:rFonts w:ascii="Lato" w:hAnsi="Lato" w:cs="Calibri"/>
          <w:sz w:val="20"/>
          <w:szCs w:val="20"/>
        </w:rPr>
        <w:t>.</w:t>
      </w:r>
    </w:p>
    <w:p w14:paraId="4B7C0898" w14:textId="77777777" w:rsidR="008548E7" w:rsidRDefault="008548E7" w:rsidP="008548E7">
      <w:pPr>
        <w:pStyle w:val="Standard"/>
        <w:jc w:val="both"/>
        <w:rPr>
          <w:rFonts w:ascii="Lato" w:hAnsi="Lato" w:cs="Calibri"/>
          <w:sz w:val="20"/>
          <w:szCs w:val="20"/>
        </w:rPr>
      </w:pPr>
    </w:p>
    <w:p w14:paraId="7FEDBF5E" w14:textId="531AF028" w:rsidR="001B6EE9" w:rsidRPr="001B6EE9" w:rsidRDefault="001B6EE9" w:rsidP="008548E7">
      <w:pPr>
        <w:pStyle w:val="Standard"/>
        <w:jc w:val="both"/>
        <w:rPr>
          <w:rFonts w:ascii="Lato" w:hAnsi="Lato"/>
          <w:sz w:val="20"/>
          <w:szCs w:val="20"/>
        </w:rPr>
      </w:pPr>
      <w:proofErr w:type="spellStart"/>
      <w:r w:rsidRPr="001B6EE9">
        <w:rPr>
          <w:rFonts w:ascii="Lato" w:hAnsi="Lato" w:cs="Calibri"/>
          <w:sz w:val="20"/>
          <w:szCs w:val="20"/>
        </w:rPr>
        <w:t>Jedną</w:t>
      </w:r>
      <w:proofErr w:type="spellEnd"/>
      <w:r w:rsidRPr="001B6EE9">
        <w:rPr>
          <w:rFonts w:ascii="Lato" w:hAnsi="Lato" w:cs="Calibri"/>
          <w:sz w:val="20"/>
          <w:szCs w:val="20"/>
        </w:rPr>
        <w:t xml:space="preserve"> z </w:t>
      </w:r>
      <w:proofErr w:type="spellStart"/>
      <w:r w:rsidRPr="001B6EE9">
        <w:rPr>
          <w:rFonts w:ascii="Lato" w:hAnsi="Lato" w:cs="Calibri"/>
          <w:sz w:val="20"/>
          <w:szCs w:val="20"/>
        </w:rPr>
        <w:t>bardzo</w:t>
      </w:r>
      <w:proofErr w:type="spellEnd"/>
      <w:r w:rsidRPr="001B6EE9">
        <w:rPr>
          <w:rFonts w:ascii="Lato" w:hAnsi="Lato" w:cs="Calibri"/>
          <w:sz w:val="20"/>
          <w:szCs w:val="20"/>
        </w:rPr>
        <w:t xml:space="preserve"> </w:t>
      </w:r>
      <w:proofErr w:type="spellStart"/>
      <w:r w:rsidRPr="001B6EE9">
        <w:rPr>
          <w:rFonts w:ascii="Lato" w:hAnsi="Lato" w:cs="Calibri"/>
          <w:sz w:val="20"/>
          <w:szCs w:val="20"/>
        </w:rPr>
        <w:t>udanych</w:t>
      </w:r>
      <w:proofErr w:type="spellEnd"/>
      <w:r w:rsidRPr="001B6EE9">
        <w:rPr>
          <w:rFonts w:ascii="Lato" w:hAnsi="Lato" w:cs="Calibri"/>
          <w:sz w:val="20"/>
          <w:szCs w:val="20"/>
        </w:rPr>
        <w:t xml:space="preserve"> </w:t>
      </w:r>
      <w:proofErr w:type="spellStart"/>
      <w:r w:rsidRPr="001B6EE9">
        <w:rPr>
          <w:rFonts w:ascii="Lato" w:hAnsi="Lato" w:cs="Calibri"/>
          <w:sz w:val="20"/>
          <w:szCs w:val="20"/>
        </w:rPr>
        <w:t>inicjatyw</w:t>
      </w:r>
      <w:proofErr w:type="spellEnd"/>
      <w:r w:rsidRPr="001B6EE9">
        <w:rPr>
          <w:rFonts w:ascii="Lato" w:hAnsi="Lato" w:cs="Calibri"/>
          <w:sz w:val="20"/>
          <w:szCs w:val="20"/>
        </w:rPr>
        <w:t xml:space="preserve"> </w:t>
      </w:r>
      <w:proofErr w:type="spellStart"/>
      <w:r w:rsidRPr="001B6EE9">
        <w:rPr>
          <w:rFonts w:ascii="Lato" w:hAnsi="Lato" w:cs="Calibri"/>
          <w:sz w:val="20"/>
          <w:szCs w:val="20"/>
        </w:rPr>
        <w:t>ponadlokalnych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organizowanych</w:t>
      </w:r>
      <w:proofErr w:type="spellEnd"/>
      <w:r w:rsidRPr="001B6EE9">
        <w:rPr>
          <w:rFonts w:ascii="Lato" w:hAnsi="Lato" w:cs="Calibri"/>
          <w:sz w:val="20"/>
          <w:szCs w:val="20"/>
        </w:rPr>
        <w:t xml:space="preserve"> </w:t>
      </w:r>
      <w:proofErr w:type="spellStart"/>
      <w:r w:rsidRPr="001B6EE9">
        <w:rPr>
          <w:rFonts w:ascii="Lato" w:hAnsi="Lato" w:cs="Calibri"/>
          <w:sz w:val="20"/>
          <w:szCs w:val="20"/>
        </w:rPr>
        <w:t>przez</w:t>
      </w:r>
      <w:proofErr w:type="spellEnd"/>
      <w:r w:rsidRPr="001B6EE9">
        <w:rPr>
          <w:rFonts w:ascii="Lato" w:hAnsi="Lato" w:cs="Calibri"/>
          <w:sz w:val="20"/>
          <w:szCs w:val="20"/>
        </w:rPr>
        <w:t xml:space="preserve"> </w:t>
      </w:r>
      <w:proofErr w:type="spellStart"/>
      <w:r w:rsidRPr="001B6EE9">
        <w:rPr>
          <w:rFonts w:ascii="Lato" w:hAnsi="Lato" w:cs="Calibri"/>
          <w:sz w:val="20"/>
          <w:szCs w:val="20"/>
        </w:rPr>
        <w:t>Stowarzyszenie</w:t>
      </w:r>
      <w:proofErr w:type="spellEnd"/>
      <w:r w:rsidRPr="001B6EE9">
        <w:rPr>
          <w:rFonts w:ascii="Lato" w:hAnsi="Lato" w:cs="Calibri"/>
          <w:sz w:val="20"/>
          <w:szCs w:val="20"/>
        </w:rPr>
        <w:t xml:space="preserve"> w  </w:t>
      </w:r>
      <w:proofErr w:type="spellStart"/>
      <w:r w:rsidRPr="001B6EE9">
        <w:rPr>
          <w:rFonts w:ascii="Lato" w:hAnsi="Lato" w:cs="Calibri"/>
          <w:sz w:val="20"/>
          <w:szCs w:val="20"/>
        </w:rPr>
        <w:t>ramach</w:t>
      </w:r>
      <w:proofErr w:type="spellEnd"/>
      <w:r w:rsidRPr="001B6EE9">
        <w:rPr>
          <w:rFonts w:ascii="Lato" w:hAnsi="Lato" w:cs="Calibri"/>
          <w:sz w:val="20"/>
          <w:szCs w:val="20"/>
        </w:rPr>
        <w:t xml:space="preserve"> </w:t>
      </w:r>
      <w:proofErr w:type="spellStart"/>
      <w:r w:rsidRPr="001B6EE9">
        <w:rPr>
          <w:rFonts w:ascii="Lato" w:hAnsi="Lato" w:cs="Calibri"/>
          <w:sz w:val="20"/>
          <w:szCs w:val="20"/>
        </w:rPr>
        <w:t>prowadzenia</w:t>
      </w:r>
      <w:proofErr w:type="spellEnd"/>
      <w:r w:rsidRPr="001B6EE9">
        <w:rPr>
          <w:rFonts w:ascii="Lato" w:hAnsi="Lato" w:cs="Calibri"/>
          <w:sz w:val="20"/>
          <w:szCs w:val="20"/>
        </w:rPr>
        <w:t xml:space="preserve"> </w:t>
      </w:r>
      <w:proofErr w:type="spellStart"/>
      <w:r w:rsidRPr="001B6EE9">
        <w:rPr>
          <w:rFonts w:ascii="Lato" w:hAnsi="Lato" w:cs="Calibri"/>
          <w:sz w:val="20"/>
          <w:szCs w:val="20"/>
        </w:rPr>
        <w:t>placówki</w:t>
      </w:r>
      <w:proofErr w:type="spellEnd"/>
      <w:r w:rsidRPr="001B6EE9">
        <w:rPr>
          <w:rFonts w:ascii="Lato" w:hAnsi="Lato" w:cs="Calibri"/>
          <w:sz w:val="20"/>
          <w:szCs w:val="20"/>
        </w:rPr>
        <w:t xml:space="preserve"> ŚDS </w:t>
      </w:r>
      <w:proofErr w:type="spellStart"/>
      <w:r w:rsidRPr="001B6EE9">
        <w:rPr>
          <w:rFonts w:ascii="Lato" w:hAnsi="Lato" w:cs="Calibri"/>
          <w:sz w:val="20"/>
          <w:szCs w:val="20"/>
        </w:rPr>
        <w:t>jest</w:t>
      </w:r>
      <w:proofErr w:type="spellEnd"/>
      <w:r w:rsidRPr="001B6EE9">
        <w:rPr>
          <w:rFonts w:ascii="Lato" w:hAnsi="Lato" w:cs="Calibri"/>
          <w:sz w:val="20"/>
          <w:szCs w:val="20"/>
        </w:rPr>
        <w:t xml:space="preserve"> </w:t>
      </w:r>
      <w:proofErr w:type="spellStart"/>
      <w:r w:rsidRPr="001B6EE9">
        <w:rPr>
          <w:rFonts w:ascii="Lato" w:hAnsi="Lato" w:cs="Calibri"/>
          <w:sz w:val="20"/>
          <w:szCs w:val="20"/>
        </w:rPr>
        <w:t>organizacja</w:t>
      </w:r>
      <w:proofErr w:type="spellEnd"/>
      <w:r w:rsidRPr="001B6EE9">
        <w:rPr>
          <w:rFonts w:ascii="Lato" w:hAnsi="Lato" w:cs="Calibri"/>
          <w:sz w:val="20"/>
          <w:szCs w:val="20"/>
        </w:rPr>
        <w:t xml:space="preserve"> </w:t>
      </w:r>
      <w:proofErr w:type="spellStart"/>
      <w:r w:rsidRPr="001B6EE9">
        <w:rPr>
          <w:rFonts w:ascii="Lato" w:hAnsi="Lato" w:cs="Calibri"/>
          <w:sz w:val="20"/>
          <w:szCs w:val="20"/>
        </w:rPr>
        <w:t>cyklicznego</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Wojewódzkiego</w:t>
      </w:r>
      <w:proofErr w:type="spellEnd"/>
      <w:r w:rsidRPr="001B6EE9">
        <w:rPr>
          <w:rFonts w:ascii="Lato" w:hAnsi="Lato" w:cs="Calibri"/>
          <w:sz w:val="20"/>
          <w:szCs w:val="20"/>
        </w:rPr>
        <w:t xml:space="preserve"> </w:t>
      </w:r>
      <w:proofErr w:type="spellStart"/>
      <w:r w:rsidRPr="001B6EE9">
        <w:rPr>
          <w:rFonts w:ascii="Lato" w:hAnsi="Lato" w:cs="Calibri"/>
          <w:sz w:val="20"/>
          <w:szCs w:val="20"/>
        </w:rPr>
        <w:t>konkursu</w:t>
      </w:r>
      <w:proofErr w:type="spellEnd"/>
      <w:r w:rsidRPr="001B6EE9">
        <w:rPr>
          <w:rFonts w:ascii="Lato" w:hAnsi="Lato" w:cs="Calibri"/>
          <w:sz w:val="20"/>
          <w:szCs w:val="20"/>
        </w:rPr>
        <w:t xml:space="preserve"> Master </w:t>
      </w:r>
      <w:proofErr w:type="spellStart"/>
      <w:r w:rsidRPr="001B6EE9">
        <w:rPr>
          <w:rFonts w:ascii="Lato" w:hAnsi="Lato" w:cs="Calibri"/>
          <w:sz w:val="20"/>
          <w:szCs w:val="20"/>
        </w:rPr>
        <w:t>Szef</w:t>
      </w:r>
      <w:proofErr w:type="spellEnd"/>
      <w:r w:rsidRPr="001B6EE9">
        <w:rPr>
          <w:rFonts w:ascii="Lato" w:hAnsi="Lato" w:cs="Calibri"/>
          <w:sz w:val="20"/>
          <w:szCs w:val="20"/>
        </w:rPr>
        <w:t xml:space="preserve"> ŚDS”, w </w:t>
      </w:r>
      <w:proofErr w:type="spellStart"/>
      <w:r w:rsidRPr="001B6EE9">
        <w:rPr>
          <w:rFonts w:ascii="Lato" w:hAnsi="Lato" w:cs="Calibri"/>
          <w:sz w:val="20"/>
          <w:szCs w:val="20"/>
        </w:rPr>
        <w:t>którym</w:t>
      </w:r>
      <w:proofErr w:type="spellEnd"/>
      <w:r w:rsidRPr="001B6EE9">
        <w:rPr>
          <w:rFonts w:ascii="Lato" w:hAnsi="Lato" w:cs="Calibri"/>
          <w:sz w:val="20"/>
          <w:szCs w:val="20"/>
        </w:rPr>
        <w:t xml:space="preserve"> </w:t>
      </w:r>
      <w:proofErr w:type="spellStart"/>
      <w:r w:rsidRPr="001B6EE9">
        <w:rPr>
          <w:rFonts w:ascii="Lato" w:hAnsi="Lato" w:cs="Calibri"/>
          <w:sz w:val="20"/>
          <w:szCs w:val="20"/>
        </w:rPr>
        <w:t>corocznie</w:t>
      </w:r>
      <w:proofErr w:type="spellEnd"/>
      <w:r w:rsidRPr="001B6EE9">
        <w:rPr>
          <w:rFonts w:ascii="Lato" w:hAnsi="Lato" w:cs="Calibri"/>
          <w:sz w:val="20"/>
          <w:szCs w:val="20"/>
        </w:rPr>
        <w:t xml:space="preserve"> </w:t>
      </w:r>
      <w:proofErr w:type="spellStart"/>
      <w:r w:rsidRPr="001B6EE9">
        <w:rPr>
          <w:rFonts w:ascii="Lato" w:hAnsi="Lato" w:cs="Calibri"/>
          <w:sz w:val="20"/>
          <w:szCs w:val="20"/>
        </w:rPr>
        <w:t>bierze</w:t>
      </w:r>
      <w:proofErr w:type="spellEnd"/>
      <w:r w:rsidRPr="001B6EE9">
        <w:rPr>
          <w:rFonts w:ascii="Lato" w:hAnsi="Lato" w:cs="Calibri"/>
          <w:sz w:val="20"/>
          <w:szCs w:val="20"/>
        </w:rPr>
        <w:t xml:space="preserve"> </w:t>
      </w:r>
      <w:proofErr w:type="spellStart"/>
      <w:r w:rsidRPr="001B6EE9">
        <w:rPr>
          <w:rFonts w:ascii="Lato" w:hAnsi="Lato" w:cs="Calibri"/>
          <w:sz w:val="20"/>
          <w:szCs w:val="20"/>
        </w:rPr>
        <w:t>udział</w:t>
      </w:r>
      <w:proofErr w:type="spellEnd"/>
      <w:r w:rsidRPr="001B6EE9">
        <w:rPr>
          <w:rFonts w:ascii="Lato" w:hAnsi="Lato" w:cs="Calibri"/>
          <w:sz w:val="20"/>
          <w:szCs w:val="20"/>
        </w:rPr>
        <w:t xml:space="preserve"> </w:t>
      </w:r>
      <w:proofErr w:type="spellStart"/>
      <w:r w:rsidRPr="001B6EE9">
        <w:rPr>
          <w:rFonts w:ascii="Lato" w:hAnsi="Lato" w:cs="Calibri"/>
          <w:sz w:val="20"/>
          <w:szCs w:val="20"/>
        </w:rPr>
        <w:t>około</w:t>
      </w:r>
      <w:proofErr w:type="spellEnd"/>
      <w:r w:rsidRPr="001B6EE9">
        <w:rPr>
          <w:rFonts w:ascii="Lato" w:hAnsi="Lato" w:cs="Calibri"/>
          <w:sz w:val="20"/>
          <w:szCs w:val="20"/>
        </w:rPr>
        <w:t xml:space="preserve"> 300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W </w:t>
      </w:r>
      <w:proofErr w:type="spellStart"/>
      <w:r w:rsidRPr="001B6EE9">
        <w:rPr>
          <w:rFonts w:ascii="Lato" w:hAnsi="Lato" w:cs="Calibri"/>
          <w:sz w:val="20"/>
          <w:szCs w:val="20"/>
        </w:rPr>
        <w:t>wydarzeniu</w:t>
      </w:r>
      <w:proofErr w:type="spellEnd"/>
      <w:r w:rsidRPr="001B6EE9">
        <w:rPr>
          <w:rFonts w:ascii="Lato" w:hAnsi="Lato" w:cs="Calibri"/>
          <w:sz w:val="20"/>
          <w:szCs w:val="20"/>
        </w:rPr>
        <w:t xml:space="preserve"> </w:t>
      </w:r>
      <w:proofErr w:type="spellStart"/>
      <w:r w:rsidRPr="001B6EE9">
        <w:rPr>
          <w:rFonts w:ascii="Lato" w:hAnsi="Lato" w:cs="Calibri"/>
          <w:sz w:val="20"/>
          <w:szCs w:val="20"/>
        </w:rPr>
        <w:t>biorą</w:t>
      </w:r>
      <w:proofErr w:type="spellEnd"/>
      <w:r w:rsidRPr="001B6EE9">
        <w:rPr>
          <w:rFonts w:ascii="Lato" w:hAnsi="Lato" w:cs="Calibri"/>
          <w:sz w:val="20"/>
          <w:szCs w:val="20"/>
        </w:rPr>
        <w:t xml:space="preserve"> </w:t>
      </w:r>
      <w:proofErr w:type="spellStart"/>
      <w:r w:rsidRPr="001B6EE9">
        <w:rPr>
          <w:rFonts w:ascii="Lato" w:hAnsi="Lato" w:cs="Calibri"/>
          <w:sz w:val="20"/>
          <w:szCs w:val="20"/>
        </w:rPr>
        <w:t>udział</w:t>
      </w:r>
      <w:proofErr w:type="spellEnd"/>
      <w:r w:rsidRPr="001B6EE9">
        <w:rPr>
          <w:rFonts w:ascii="Lato" w:hAnsi="Lato" w:cs="Calibri"/>
          <w:sz w:val="20"/>
          <w:szCs w:val="20"/>
        </w:rPr>
        <w:t xml:space="preserve"> </w:t>
      </w:r>
      <w:proofErr w:type="spellStart"/>
      <w:r w:rsidRPr="001B6EE9">
        <w:rPr>
          <w:rFonts w:ascii="Lato" w:hAnsi="Lato" w:cs="Calibri"/>
          <w:sz w:val="20"/>
          <w:szCs w:val="20"/>
        </w:rPr>
        <w:t>uczestnicy</w:t>
      </w:r>
      <w:proofErr w:type="spellEnd"/>
      <w:r w:rsidRPr="001B6EE9">
        <w:rPr>
          <w:rFonts w:ascii="Lato" w:hAnsi="Lato" w:cs="Calibri"/>
          <w:sz w:val="20"/>
          <w:szCs w:val="20"/>
        </w:rPr>
        <w:t xml:space="preserve"> z </w:t>
      </w:r>
      <w:proofErr w:type="spellStart"/>
      <w:r w:rsidRPr="001B6EE9">
        <w:rPr>
          <w:rFonts w:ascii="Lato" w:hAnsi="Lato" w:cs="Calibri"/>
          <w:sz w:val="20"/>
          <w:szCs w:val="20"/>
        </w:rPr>
        <w:t>instytucji</w:t>
      </w:r>
      <w:proofErr w:type="spellEnd"/>
      <w:r w:rsidRPr="001B6EE9">
        <w:rPr>
          <w:rFonts w:ascii="Lato" w:hAnsi="Lato" w:cs="Calibri"/>
          <w:sz w:val="20"/>
          <w:szCs w:val="20"/>
        </w:rPr>
        <w:t xml:space="preserve"> </w:t>
      </w:r>
      <w:proofErr w:type="spellStart"/>
      <w:r w:rsidRPr="001B6EE9">
        <w:rPr>
          <w:rFonts w:ascii="Lato" w:hAnsi="Lato" w:cs="Calibri"/>
          <w:sz w:val="20"/>
          <w:szCs w:val="20"/>
        </w:rPr>
        <w:t>takich</w:t>
      </w:r>
      <w:proofErr w:type="spellEnd"/>
      <w:r w:rsidRPr="001B6EE9">
        <w:rPr>
          <w:rFonts w:ascii="Lato" w:hAnsi="Lato" w:cs="Calibri"/>
          <w:sz w:val="20"/>
          <w:szCs w:val="20"/>
        </w:rPr>
        <w:t xml:space="preserve"> </w:t>
      </w:r>
      <w:proofErr w:type="spellStart"/>
      <w:r w:rsidRPr="001B6EE9">
        <w:rPr>
          <w:rFonts w:ascii="Lato" w:hAnsi="Lato" w:cs="Calibri"/>
          <w:sz w:val="20"/>
          <w:szCs w:val="20"/>
        </w:rPr>
        <w:t>jak</w:t>
      </w:r>
      <w:proofErr w:type="spellEnd"/>
      <w:r w:rsidRPr="001B6EE9">
        <w:rPr>
          <w:rFonts w:ascii="Lato" w:hAnsi="Lato" w:cs="Calibri"/>
          <w:sz w:val="20"/>
          <w:szCs w:val="20"/>
        </w:rPr>
        <w:t xml:space="preserve">: </w:t>
      </w:r>
      <w:proofErr w:type="spellStart"/>
      <w:r w:rsidRPr="001B6EE9">
        <w:rPr>
          <w:rFonts w:ascii="Lato" w:hAnsi="Lato" w:cs="Calibri"/>
          <w:sz w:val="20"/>
          <w:szCs w:val="20"/>
        </w:rPr>
        <w:t>Domy</w:t>
      </w:r>
      <w:proofErr w:type="spellEnd"/>
      <w:r w:rsidRPr="001B6EE9">
        <w:rPr>
          <w:rFonts w:ascii="Lato" w:hAnsi="Lato" w:cs="Calibri"/>
          <w:sz w:val="20"/>
          <w:szCs w:val="20"/>
        </w:rPr>
        <w:t xml:space="preserve"> </w:t>
      </w:r>
      <w:proofErr w:type="spellStart"/>
      <w:r w:rsidRPr="001B6EE9">
        <w:rPr>
          <w:rFonts w:ascii="Lato" w:hAnsi="Lato" w:cs="Calibri"/>
          <w:sz w:val="20"/>
          <w:szCs w:val="20"/>
        </w:rPr>
        <w:t>Pomocy</w:t>
      </w:r>
      <w:proofErr w:type="spellEnd"/>
      <w:r w:rsidRPr="001B6EE9">
        <w:rPr>
          <w:rFonts w:ascii="Lato" w:hAnsi="Lato" w:cs="Calibri"/>
          <w:sz w:val="20"/>
          <w:szCs w:val="20"/>
        </w:rPr>
        <w:t xml:space="preserve"> , </w:t>
      </w:r>
      <w:proofErr w:type="spellStart"/>
      <w:r w:rsidRPr="001B6EE9">
        <w:rPr>
          <w:rFonts w:ascii="Lato" w:hAnsi="Lato" w:cs="Calibri"/>
          <w:sz w:val="20"/>
          <w:szCs w:val="20"/>
        </w:rPr>
        <w:t>Środowiskowe</w:t>
      </w:r>
      <w:proofErr w:type="spellEnd"/>
      <w:r w:rsidRPr="001B6EE9">
        <w:rPr>
          <w:rFonts w:ascii="Lato" w:hAnsi="Lato" w:cs="Calibri"/>
          <w:sz w:val="20"/>
          <w:szCs w:val="20"/>
        </w:rPr>
        <w:t xml:space="preserve"> </w:t>
      </w:r>
      <w:proofErr w:type="spellStart"/>
      <w:r w:rsidRPr="001B6EE9">
        <w:rPr>
          <w:rFonts w:ascii="Lato" w:hAnsi="Lato" w:cs="Calibri"/>
          <w:sz w:val="20"/>
          <w:szCs w:val="20"/>
        </w:rPr>
        <w:t>Domy</w:t>
      </w:r>
      <w:proofErr w:type="spellEnd"/>
      <w:r w:rsidRPr="001B6EE9">
        <w:rPr>
          <w:rFonts w:ascii="Lato" w:hAnsi="Lato" w:cs="Calibri"/>
          <w:sz w:val="20"/>
          <w:szCs w:val="20"/>
        </w:rPr>
        <w:t xml:space="preserve"> </w:t>
      </w:r>
      <w:proofErr w:type="spellStart"/>
      <w:r w:rsidRPr="001B6EE9">
        <w:rPr>
          <w:rFonts w:ascii="Lato" w:hAnsi="Lato" w:cs="Calibri"/>
          <w:sz w:val="20"/>
          <w:szCs w:val="20"/>
        </w:rPr>
        <w:t>Samopomocy</w:t>
      </w:r>
      <w:proofErr w:type="spellEnd"/>
      <w:r w:rsidRPr="001B6EE9">
        <w:rPr>
          <w:rFonts w:ascii="Lato" w:hAnsi="Lato" w:cs="Calibri"/>
          <w:sz w:val="20"/>
          <w:szCs w:val="20"/>
        </w:rPr>
        <w:t xml:space="preserve">, </w:t>
      </w:r>
      <w:proofErr w:type="spellStart"/>
      <w:r w:rsidRPr="001B6EE9">
        <w:rPr>
          <w:rFonts w:ascii="Lato" w:hAnsi="Lato" w:cs="Calibri"/>
          <w:sz w:val="20"/>
          <w:szCs w:val="20"/>
        </w:rPr>
        <w:t>Warsztaty</w:t>
      </w:r>
      <w:proofErr w:type="spellEnd"/>
      <w:r w:rsidRPr="001B6EE9">
        <w:rPr>
          <w:rFonts w:ascii="Lato" w:hAnsi="Lato" w:cs="Calibri"/>
          <w:sz w:val="20"/>
          <w:szCs w:val="20"/>
        </w:rPr>
        <w:t xml:space="preserve"> </w:t>
      </w:r>
      <w:proofErr w:type="spellStart"/>
      <w:r w:rsidRPr="001B6EE9">
        <w:rPr>
          <w:rFonts w:ascii="Lato" w:hAnsi="Lato" w:cs="Calibri"/>
          <w:sz w:val="20"/>
          <w:szCs w:val="20"/>
        </w:rPr>
        <w:t>Terapii</w:t>
      </w:r>
      <w:proofErr w:type="spellEnd"/>
      <w:r w:rsidRPr="001B6EE9">
        <w:rPr>
          <w:rFonts w:ascii="Lato" w:hAnsi="Lato" w:cs="Calibri"/>
          <w:sz w:val="20"/>
          <w:szCs w:val="20"/>
        </w:rPr>
        <w:t xml:space="preserve"> </w:t>
      </w:r>
      <w:proofErr w:type="spellStart"/>
      <w:r w:rsidRPr="001B6EE9">
        <w:rPr>
          <w:rFonts w:ascii="Lato" w:hAnsi="Lato" w:cs="Calibri"/>
          <w:sz w:val="20"/>
          <w:szCs w:val="20"/>
        </w:rPr>
        <w:t>Zajęciowej</w:t>
      </w:r>
      <w:proofErr w:type="spellEnd"/>
      <w:r w:rsidRPr="001B6EE9">
        <w:rPr>
          <w:rFonts w:ascii="Lato" w:hAnsi="Lato" w:cs="Calibri"/>
          <w:sz w:val="20"/>
          <w:szCs w:val="20"/>
        </w:rPr>
        <w:t xml:space="preserve">. </w:t>
      </w:r>
      <w:r w:rsidRPr="001B6EE9">
        <w:rPr>
          <w:rFonts w:ascii="Lato" w:hAnsi="Lato" w:cs="Calibri"/>
          <w:bCs/>
          <w:sz w:val="20"/>
          <w:szCs w:val="20"/>
        </w:rPr>
        <w:t xml:space="preserve">W </w:t>
      </w:r>
      <w:proofErr w:type="spellStart"/>
      <w:r w:rsidRPr="001B6EE9">
        <w:rPr>
          <w:rFonts w:ascii="Lato" w:hAnsi="Lato" w:cs="Calibri"/>
          <w:bCs/>
          <w:sz w:val="20"/>
          <w:szCs w:val="20"/>
        </w:rPr>
        <w:t>ramach</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działań</w:t>
      </w:r>
      <w:proofErr w:type="spellEnd"/>
      <w:r w:rsidRPr="001B6EE9">
        <w:rPr>
          <w:rFonts w:ascii="Lato" w:hAnsi="Lato" w:cs="Calibri"/>
          <w:bCs/>
          <w:sz w:val="20"/>
          <w:szCs w:val="20"/>
        </w:rPr>
        <w:t xml:space="preserve"> ŚDS </w:t>
      </w:r>
      <w:proofErr w:type="spellStart"/>
      <w:r w:rsidRPr="001B6EE9">
        <w:rPr>
          <w:rFonts w:ascii="Lato" w:hAnsi="Lato" w:cs="Calibri"/>
          <w:bCs/>
          <w:sz w:val="20"/>
          <w:szCs w:val="20"/>
        </w:rPr>
        <w:t>Stowarzyszenie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współpracuje</w:t>
      </w:r>
      <w:proofErr w:type="spellEnd"/>
      <w:r w:rsidRPr="001B6EE9">
        <w:rPr>
          <w:rFonts w:ascii="Lato" w:hAnsi="Lato" w:cs="Calibri"/>
          <w:bCs/>
          <w:sz w:val="20"/>
          <w:szCs w:val="20"/>
        </w:rPr>
        <w:t xml:space="preserve"> z </w:t>
      </w:r>
      <w:proofErr w:type="spellStart"/>
      <w:r w:rsidRPr="001B6EE9">
        <w:rPr>
          <w:rFonts w:ascii="Lato" w:hAnsi="Lato" w:cs="Calibri"/>
          <w:bCs/>
          <w:sz w:val="20"/>
          <w:szCs w:val="20"/>
        </w:rPr>
        <w:t>innymi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lokalnymi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inicjatywami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chociażby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takimi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jak</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Teatr</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pomyłek</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prowadzony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przez</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seniorów</w:t>
      </w:r>
      <w:proofErr w:type="spellEnd"/>
      <w:r w:rsidRPr="001B6EE9">
        <w:rPr>
          <w:rFonts w:ascii="Lato" w:hAnsi="Lato" w:cs="Calibri"/>
          <w:bCs/>
          <w:sz w:val="20"/>
          <w:szCs w:val="20"/>
        </w:rPr>
        <w:t xml:space="preserve"> z </w:t>
      </w:r>
      <w:proofErr w:type="spellStart"/>
      <w:r w:rsidRPr="001B6EE9">
        <w:rPr>
          <w:rFonts w:ascii="Lato" w:hAnsi="Lato" w:cs="Calibri"/>
          <w:bCs/>
          <w:sz w:val="20"/>
          <w:szCs w:val="20"/>
        </w:rPr>
        <w:t>Braniewa</w:t>
      </w:r>
      <w:proofErr w:type="spellEnd"/>
      <w:r w:rsidRPr="001B6EE9">
        <w:rPr>
          <w:rFonts w:ascii="Lato" w:hAnsi="Lato" w:cs="Calibri"/>
          <w:sz w:val="20"/>
          <w:szCs w:val="20"/>
        </w:rPr>
        <w:t xml:space="preserve">. </w:t>
      </w:r>
      <w:proofErr w:type="spellStart"/>
      <w:r w:rsidRPr="001B6EE9">
        <w:rPr>
          <w:rFonts w:ascii="Lato" w:hAnsi="Lato" w:cs="Calibri"/>
          <w:sz w:val="20"/>
          <w:szCs w:val="20"/>
        </w:rPr>
        <w:t>Częstymi</w:t>
      </w:r>
      <w:proofErr w:type="spellEnd"/>
      <w:r w:rsidRPr="001B6EE9">
        <w:rPr>
          <w:rFonts w:ascii="Lato" w:hAnsi="Lato" w:cs="Calibri"/>
          <w:sz w:val="20"/>
          <w:szCs w:val="20"/>
        </w:rPr>
        <w:t xml:space="preserve"> </w:t>
      </w:r>
      <w:proofErr w:type="spellStart"/>
      <w:r w:rsidRPr="001B6EE9">
        <w:rPr>
          <w:rFonts w:ascii="Lato" w:hAnsi="Lato" w:cs="Calibri"/>
          <w:sz w:val="20"/>
          <w:szCs w:val="20"/>
        </w:rPr>
        <w:t>gośćmi</w:t>
      </w:r>
      <w:proofErr w:type="spellEnd"/>
      <w:r w:rsidRPr="001B6EE9">
        <w:rPr>
          <w:rFonts w:ascii="Lato" w:hAnsi="Lato" w:cs="Calibri"/>
          <w:sz w:val="20"/>
          <w:szCs w:val="20"/>
        </w:rPr>
        <w:t xml:space="preserve"> </w:t>
      </w:r>
      <w:proofErr w:type="spellStart"/>
      <w:r w:rsidRPr="001B6EE9">
        <w:rPr>
          <w:rFonts w:ascii="Lato" w:hAnsi="Lato" w:cs="Calibri"/>
          <w:sz w:val="20"/>
          <w:szCs w:val="20"/>
        </w:rPr>
        <w:t>są</w:t>
      </w:r>
      <w:proofErr w:type="spellEnd"/>
      <w:r w:rsidRPr="001B6EE9">
        <w:rPr>
          <w:rFonts w:ascii="Lato" w:hAnsi="Lato" w:cs="Calibri"/>
          <w:sz w:val="20"/>
          <w:szCs w:val="20"/>
        </w:rPr>
        <w:t xml:space="preserve"> </w:t>
      </w:r>
      <w:proofErr w:type="spellStart"/>
      <w:r w:rsidRPr="001B6EE9">
        <w:rPr>
          <w:rFonts w:ascii="Lato" w:hAnsi="Lato" w:cs="Calibri"/>
          <w:sz w:val="20"/>
          <w:szCs w:val="20"/>
        </w:rPr>
        <w:t>też</w:t>
      </w:r>
      <w:proofErr w:type="spellEnd"/>
      <w:r w:rsidRPr="001B6EE9">
        <w:rPr>
          <w:rFonts w:ascii="Lato" w:hAnsi="Lato" w:cs="Calibri"/>
          <w:sz w:val="20"/>
          <w:szCs w:val="20"/>
        </w:rPr>
        <w:t xml:space="preserve"> </w:t>
      </w:r>
      <w:proofErr w:type="spellStart"/>
      <w:r w:rsidRPr="001B6EE9">
        <w:rPr>
          <w:rFonts w:ascii="Lato" w:hAnsi="Lato" w:cs="Calibri"/>
          <w:sz w:val="20"/>
          <w:szCs w:val="20"/>
        </w:rPr>
        <w:t>członkowie</w:t>
      </w:r>
      <w:proofErr w:type="spellEnd"/>
      <w:r w:rsidRPr="001B6EE9">
        <w:rPr>
          <w:rFonts w:ascii="Lato" w:hAnsi="Lato" w:cs="Calibri"/>
          <w:sz w:val="20"/>
          <w:szCs w:val="20"/>
        </w:rPr>
        <w:t xml:space="preserve"> </w:t>
      </w:r>
      <w:proofErr w:type="spellStart"/>
      <w:r w:rsidRPr="001B6EE9">
        <w:rPr>
          <w:rFonts w:ascii="Lato" w:hAnsi="Lato" w:cs="Calibri"/>
          <w:sz w:val="20"/>
          <w:szCs w:val="20"/>
        </w:rPr>
        <w:t>Uniwersytety</w:t>
      </w:r>
      <w:proofErr w:type="spellEnd"/>
      <w:r w:rsidRPr="001B6EE9">
        <w:rPr>
          <w:rFonts w:ascii="Lato" w:hAnsi="Lato" w:cs="Calibri"/>
          <w:sz w:val="20"/>
          <w:szCs w:val="20"/>
        </w:rPr>
        <w:t xml:space="preserve"> III </w:t>
      </w:r>
      <w:proofErr w:type="spellStart"/>
      <w:r w:rsidRPr="001B6EE9">
        <w:rPr>
          <w:rFonts w:ascii="Lato" w:hAnsi="Lato" w:cs="Calibri"/>
          <w:sz w:val="20"/>
          <w:szCs w:val="20"/>
        </w:rPr>
        <w:t>Wieku</w:t>
      </w:r>
      <w:proofErr w:type="spellEnd"/>
      <w:r w:rsidRPr="001B6EE9">
        <w:rPr>
          <w:rFonts w:ascii="Lato" w:hAnsi="Lato" w:cs="Calibri"/>
          <w:sz w:val="20"/>
          <w:szCs w:val="20"/>
        </w:rPr>
        <w:t xml:space="preserve"> w </w:t>
      </w:r>
      <w:proofErr w:type="spellStart"/>
      <w:r w:rsidRPr="001B6EE9">
        <w:rPr>
          <w:rFonts w:ascii="Lato" w:hAnsi="Lato" w:cs="Calibri"/>
          <w:sz w:val="20"/>
          <w:szCs w:val="20"/>
        </w:rPr>
        <w:t>Braniewie</w:t>
      </w:r>
      <w:proofErr w:type="spellEnd"/>
      <w:r w:rsidRPr="001B6EE9">
        <w:rPr>
          <w:rFonts w:ascii="Lato" w:hAnsi="Lato" w:cs="Calibri"/>
          <w:sz w:val="20"/>
          <w:szCs w:val="20"/>
        </w:rPr>
        <w:t xml:space="preserve"> i </w:t>
      </w:r>
      <w:proofErr w:type="spellStart"/>
      <w:r w:rsidRPr="001B6EE9">
        <w:rPr>
          <w:rFonts w:ascii="Lato" w:hAnsi="Lato" w:cs="Calibri"/>
          <w:sz w:val="20"/>
          <w:szCs w:val="20"/>
        </w:rPr>
        <w:t>Fromborku</w:t>
      </w:r>
      <w:proofErr w:type="spellEnd"/>
      <w:r w:rsidRPr="001B6EE9">
        <w:rPr>
          <w:rFonts w:ascii="Lato" w:hAnsi="Lato" w:cs="Calibri"/>
          <w:sz w:val="20"/>
          <w:szCs w:val="20"/>
        </w:rPr>
        <w:t xml:space="preserve">, </w:t>
      </w:r>
      <w:proofErr w:type="spellStart"/>
      <w:r w:rsidRPr="001B6EE9">
        <w:rPr>
          <w:rFonts w:ascii="Lato" w:hAnsi="Lato" w:cs="Calibri"/>
          <w:sz w:val="20"/>
          <w:szCs w:val="20"/>
        </w:rPr>
        <w:t>regionalne</w:t>
      </w:r>
      <w:proofErr w:type="spellEnd"/>
      <w:r w:rsidRPr="001B6EE9">
        <w:rPr>
          <w:rFonts w:ascii="Lato" w:hAnsi="Lato" w:cs="Calibri"/>
          <w:sz w:val="20"/>
          <w:szCs w:val="20"/>
        </w:rPr>
        <w:t xml:space="preserve"> </w:t>
      </w:r>
      <w:proofErr w:type="spellStart"/>
      <w:r w:rsidRPr="001B6EE9">
        <w:rPr>
          <w:rFonts w:ascii="Lato" w:hAnsi="Lato" w:cs="Calibri"/>
          <w:sz w:val="20"/>
          <w:szCs w:val="20"/>
        </w:rPr>
        <w:t>zespoły</w:t>
      </w:r>
      <w:proofErr w:type="spellEnd"/>
      <w:r w:rsidRPr="001B6EE9">
        <w:rPr>
          <w:rFonts w:ascii="Lato" w:hAnsi="Lato" w:cs="Calibri"/>
          <w:sz w:val="20"/>
          <w:szCs w:val="20"/>
        </w:rPr>
        <w:t xml:space="preserve"> </w:t>
      </w:r>
      <w:proofErr w:type="spellStart"/>
      <w:r w:rsidRPr="001B6EE9">
        <w:rPr>
          <w:rFonts w:ascii="Lato" w:hAnsi="Lato" w:cs="Calibri"/>
          <w:sz w:val="20"/>
          <w:szCs w:val="20"/>
        </w:rPr>
        <w:t>pieśni</w:t>
      </w:r>
      <w:proofErr w:type="spellEnd"/>
      <w:r w:rsidRPr="001B6EE9">
        <w:rPr>
          <w:rFonts w:ascii="Lato" w:hAnsi="Lato" w:cs="Calibri"/>
          <w:sz w:val="20"/>
          <w:szCs w:val="20"/>
        </w:rPr>
        <w:t xml:space="preserve"> i </w:t>
      </w:r>
      <w:proofErr w:type="spellStart"/>
      <w:r w:rsidRPr="001B6EE9">
        <w:rPr>
          <w:rFonts w:ascii="Lato" w:hAnsi="Lato" w:cs="Calibri"/>
          <w:sz w:val="20"/>
          <w:szCs w:val="20"/>
        </w:rPr>
        <w:t>tańca</w:t>
      </w:r>
      <w:proofErr w:type="spellEnd"/>
      <w:r w:rsidRPr="001B6EE9">
        <w:rPr>
          <w:rFonts w:ascii="Lato" w:hAnsi="Lato" w:cs="Calibri"/>
          <w:sz w:val="20"/>
          <w:szCs w:val="20"/>
        </w:rPr>
        <w:t xml:space="preserve">, </w:t>
      </w:r>
      <w:proofErr w:type="spellStart"/>
      <w:r w:rsidRPr="001B6EE9">
        <w:rPr>
          <w:rFonts w:ascii="Lato" w:hAnsi="Lato" w:cs="Calibri"/>
          <w:sz w:val="20"/>
          <w:szCs w:val="20"/>
        </w:rPr>
        <w:t>związek</w:t>
      </w:r>
      <w:proofErr w:type="spellEnd"/>
      <w:r w:rsidRPr="001B6EE9">
        <w:rPr>
          <w:rFonts w:ascii="Lato" w:hAnsi="Lato" w:cs="Calibri"/>
          <w:sz w:val="20"/>
          <w:szCs w:val="20"/>
        </w:rPr>
        <w:t xml:space="preserve"> </w:t>
      </w:r>
      <w:proofErr w:type="spellStart"/>
      <w:r w:rsidRPr="001B6EE9">
        <w:rPr>
          <w:rFonts w:ascii="Lato" w:hAnsi="Lato" w:cs="Calibri"/>
          <w:sz w:val="20"/>
          <w:szCs w:val="20"/>
        </w:rPr>
        <w:t>niewidomych</w:t>
      </w:r>
      <w:proofErr w:type="spellEnd"/>
      <w:r w:rsidRPr="001B6EE9">
        <w:rPr>
          <w:rFonts w:ascii="Lato" w:hAnsi="Lato" w:cs="Calibri"/>
          <w:sz w:val="20"/>
          <w:szCs w:val="20"/>
        </w:rPr>
        <w:t xml:space="preserve">, </w:t>
      </w:r>
      <w:proofErr w:type="spellStart"/>
      <w:r w:rsidRPr="001B6EE9">
        <w:rPr>
          <w:rFonts w:ascii="Lato" w:hAnsi="Lato" w:cs="Calibri"/>
          <w:sz w:val="20"/>
          <w:szCs w:val="20"/>
        </w:rPr>
        <w:t>zgromadzenie</w:t>
      </w:r>
      <w:proofErr w:type="spellEnd"/>
      <w:r w:rsidRPr="001B6EE9">
        <w:rPr>
          <w:rFonts w:ascii="Lato" w:hAnsi="Lato" w:cs="Calibri"/>
          <w:sz w:val="20"/>
          <w:szCs w:val="20"/>
        </w:rPr>
        <w:t xml:space="preserve"> </w:t>
      </w:r>
      <w:proofErr w:type="spellStart"/>
      <w:r w:rsidRPr="001B6EE9">
        <w:rPr>
          <w:rFonts w:ascii="Lato" w:hAnsi="Lato" w:cs="Calibri"/>
          <w:sz w:val="20"/>
          <w:szCs w:val="20"/>
        </w:rPr>
        <w:t>zakonne</w:t>
      </w:r>
      <w:proofErr w:type="spellEnd"/>
      <w:r w:rsidRPr="001B6EE9">
        <w:rPr>
          <w:rFonts w:ascii="Lato" w:hAnsi="Lato" w:cs="Calibri"/>
          <w:sz w:val="20"/>
          <w:szCs w:val="20"/>
        </w:rPr>
        <w:t xml:space="preserve"> </w:t>
      </w:r>
      <w:proofErr w:type="spellStart"/>
      <w:r w:rsidRPr="001B6EE9">
        <w:rPr>
          <w:rFonts w:ascii="Lato" w:hAnsi="Lato" w:cs="Calibri"/>
          <w:sz w:val="20"/>
          <w:szCs w:val="20"/>
        </w:rPr>
        <w:t>sióstr</w:t>
      </w:r>
      <w:proofErr w:type="spellEnd"/>
      <w:r w:rsidRPr="001B6EE9">
        <w:rPr>
          <w:rFonts w:ascii="Lato" w:hAnsi="Lato" w:cs="Calibri"/>
          <w:sz w:val="20"/>
          <w:szCs w:val="20"/>
        </w:rPr>
        <w:t xml:space="preserve"> </w:t>
      </w:r>
      <w:proofErr w:type="spellStart"/>
      <w:r w:rsidRPr="001B6EE9">
        <w:rPr>
          <w:rFonts w:ascii="Lato" w:hAnsi="Lato" w:cs="Calibri"/>
          <w:sz w:val="20"/>
          <w:szCs w:val="20"/>
        </w:rPr>
        <w:t>Katarzynek</w:t>
      </w:r>
      <w:proofErr w:type="spellEnd"/>
      <w:r w:rsidRPr="001B6EE9">
        <w:rPr>
          <w:rFonts w:ascii="Lato" w:hAnsi="Lato" w:cs="Calibri"/>
          <w:sz w:val="20"/>
          <w:szCs w:val="20"/>
        </w:rPr>
        <w:t xml:space="preserve">, </w:t>
      </w:r>
      <w:proofErr w:type="spellStart"/>
      <w:r w:rsidRPr="001B6EE9">
        <w:rPr>
          <w:rFonts w:ascii="Lato" w:hAnsi="Lato" w:cs="Calibri"/>
          <w:sz w:val="20"/>
          <w:szCs w:val="20"/>
        </w:rPr>
        <w:t>członkowie</w:t>
      </w:r>
      <w:proofErr w:type="spellEnd"/>
      <w:r w:rsidRPr="001B6EE9">
        <w:rPr>
          <w:rFonts w:ascii="Lato" w:hAnsi="Lato" w:cs="Calibri"/>
          <w:sz w:val="20"/>
          <w:szCs w:val="20"/>
        </w:rPr>
        <w:t xml:space="preserve"> </w:t>
      </w:r>
      <w:proofErr w:type="spellStart"/>
      <w:r w:rsidRPr="001B6EE9">
        <w:rPr>
          <w:rFonts w:ascii="Lato" w:hAnsi="Lato" w:cs="Calibri"/>
          <w:sz w:val="20"/>
          <w:szCs w:val="20"/>
        </w:rPr>
        <w:t>projektów</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realizowanych</w:t>
      </w:r>
      <w:proofErr w:type="spellEnd"/>
      <w:r w:rsidRPr="001B6EE9">
        <w:rPr>
          <w:rFonts w:ascii="Lato" w:hAnsi="Lato" w:cs="Calibri"/>
          <w:sz w:val="20"/>
          <w:szCs w:val="20"/>
        </w:rPr>
        <w:t xml:space="preserve"> </w:t>
      </w:r>
      <w:proofErr w:type="spellStart"/>
      <w:r w:rsidRPr="001B6EE9">
        <w:rPr>
          <w:rFonts w:ascii="Lato" w:hAnsi="Lato" w:cs="Calibri"/>
          <w:sz w:val="20"/>
          <w:szCs w:val="20"/>
        </w:rPr>
        <w:t>przez</w:t>
      </w:r>
      <w:proofErr w:type="spellEnd"/>
      <w:r w:rsidRPr="001B6EE9">
        <w:rPr>
          <w:rFonts w:ascii="Lato" w:hAnsi="Lato" w:cs="Calibri"/>
          <w:sz w:val="20"/>
          <w:szCs w:val="20"/>
        </w:rPr>
        <w:t xml:space="preserve"> </w:t>
      </w:r>
      <w:proofErr w:type="spellStart"/>
      <w:r w:rsidRPr="001B6EE9">
        <w:rPr>
          <w:rFonts w:ascii="Lato" w:hAnsi="Lato" w:cs="Calibri"/>
          <w:sz w:val="20"/>
          <w:szCs w:val="20"/>
        </w:rPr>
        <w:t>Fundację</w:t>
      </w:r>
      <w:proofErr w:type="spellEnd"/>
      <w:r w:rsidRPr="001B6EE9">
        <w:rPr>
          <w:rFonts w:ascii="Lato" w:hAnsi="Lato" w:cs="Calibri"/>
          <w:sz w:val="20"/>
          <w:szCs w:val="20"/>
        </w:rPr>
        <w:t xml:space="preserve"> </w:t>
      </w:r>
      <w:proofErr w:type="spellStart"/>
      <w:r w:rsidRPr="001B6EE9">
        <w:rPr>
          <w:rFonts w:ascii="Lato" w:hAnsi="Lato" w:cs="Calibri"/>
          <w:sz w:val="20"/>
          <w:szCs w:val="20"/>
        </w:rPr>
        <w:t>Żółty</w:t>
      </w:r>
      <w:proofErr w:type="spellEnd"/>
      <w:r w:rsidRPr="001B6EE9">
        <w:rPr>
          <w:rFonts w:ascii="Lato" w:hAnsi="Lato" w:cs="Calibri"/>
          <w:sz w:val="20"/>
          <w:szCs w:val="20"/>
        </w:rPr>
        <w:t xml:space="preserve"> </w:t>
      </w:r>
      <w:proofErr w:type="spellStart"/>
      <w:r w:rsidRPr="001B6EE9">
        <w:rPr>
          <w:rFonts w:ascii="Lato" w:hAnsi="Lato" w:cs="Calibri"/>
          <w:sz w:val="20"/>
          <w:szCs w:val="20"/>
        </w:rPr>
        <w:t>Szalik</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wiele</w:t>
      </w:r>
      <w:proofErr w:type="spellEnd"/>
      <w:r w:rsidRPr="001B6EE9">
        <w:rPr>
          <w:rFonts w:ascii="Lato" w:hAnsi="Lato" w:cs="Calibri"/>
          <w:sz w:val="20"/>
          <w:szCs w:val="20"/>
        </w:rPr>
        <w:t xml:space="preserve"> </w:t>
      </w:r>
      <w:proofErr w:type="spellStart"/>
      <w:r w:rsidRPr="001B6EE9">
        <w:rPr>
          <w:rFonts w:ascii="Lato" w:hAnsi="Lato" w:cs="Calibri"/>
          <w:sz w:val="20"/>
          <w:szCs w:val="20"/>
        </w:rPr>
        <w:t>innych</w:t>
      </w:r>
      <w:proofErr w:type="spellEnd"/>
      <w:r w:rsidRPr="001B6EE9">
        <w:rPr>
          <w:rFonts w:ascii="Lato" w:hAnsi="Lato" w:cs="Calibri"/>
          <w:sz w:val="20"/>
          <w:szCs w:val="20"/>
        </w:rPr>
        <w:t xml:space="preserve"> </w:t>
      </w:r>
      <w:proofErr w:type="spellStart"/>
      <w:r w:rsidRPr="001B6EE9">
        <w:rPr>
          <w:rFonts w:ascii="Lato" w:hAnsi="Lato" w:cs="Calibri"/>
          <w:sz w:val="20"/>
          <w:szCs w:val="20"/>
        </w:rPr>
        <w:t>podmiotów</w:t>
      </w:r>
      <w:proofErr w:type="spellEnd"/>
      <w:r w:rsidRPr="001B6EE9">
        <w:rPr>
          <w:rFonts w:ascii="Lato" w:hAnsi="Lato" w:cs="Calibri"/>
          <w:sz w:val="20"/>
          <w:szCs w:val="20"/>
        </w:rPr>
        <w:t xml:space="preserve">, </w:t>
      </w:r>
      <w:proofErr w:type="spellStart"/>
      <w:r w:rsidRPr="001B6EE9">
        <w:rPr>
          <w:rFonts w:ascii="Lato" w:hAnsi="Lato" w:cs="Calibri"/>
          <w:sz w:val="20"/>
          <w:szCs w:val="20"/>
        </w:rPr>
        <w:t>instytucji</w:t>
      </w:r>
      <w:proofErr w:type="spellEnd"/>
      <w:r w:rsidRPr="001B6EE9">
        <w:rPr>
          <w:rFonts w:ascii="Lato" w:hAnsi="Lato" w:cs="Calibri"/>
          <w:sz w:val="20"/>
          <w:szCs w:val="20"/>
        </w:rPr>
        <w:t xml:space="preserve">, inne </w:t>
      </w:r>
      <w:proofErr w:type="spellStart"/>
      <w:r w:rsidRPr="001B6EE9">
        <w:rPr>
          <w:rFonts w:ascii="Lato" w:hAnsi="Lato" w:cs="Calibri"/>
          <w:sz w:val="20"/>
          <w:szCs w:val="20"/>
        </w:rPr>
        <w:t>placówki</w:t>
      </w:r>
      <w:proofErr w:type="spellEnd"/>
      <w:r w:rsidRPr="001B6EE9">
        <w:rPr>
          <w:rFonts w:ascii="Lato" w:hAnsi="Lato" w:cs="Calibri"/>
          <w:sz w:val="20"/>
          <w:szCs w:val="20"/>
        </w:rPr>
        <w:t xml:space="preserve"> </w:t>
      </w:r>
      <w:proofErr w:type="spellStart"/>
      <w:r w:rsidRPr="001B6EE9">
        <w:rPr>
          <w:rFonts w:ascii="Lato" w:hAnsi="Lato" w:cs="Calibri"/>
          <w:sz w:val="20"/>
          <w:szCs w:val="20"/>
        </w:rPr>
        <w:t>wsparcia</w:t>
      </w:r>
      <w:proofErr w:type="spellEnd"/>
      <w:r w:rsidRPr="001B6EE9">
        <w:rPr>
          <w:rFonts w:ascii="Lato" w:hAnsi="Lato" w:cs="Calibri"/>
          <w:sz w:val="20"/>
          <w:szCs w:val="20"/>
        </w:rPr>
        <w:t xml:space="preserve">, a </w:t>
      </w:r>
      <w:proofErr w:type="spellStart"/>
      <w:r w:rsidRPr="001B6EE9">
        <w:rPr>
          <w:rFonts w:ascii="Lato" w:hAnsi="Lato" w:cs="Calibri"/>
          <w:sz w:val="20"/>
          <w:szCs w:val="20"/>
        </w:rPr>
        <w:t>także</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lokalni</w:t>
      </w:r>
      <w:proofErr w:type="spellEnd"/>
      <w:r w:rsidRPr="001B6EE9">
        <w:rPr>
          <w:rFonts w:ascii="Lato" w:hAnsi="Lato" w:cs="Calibri"/>
          <w:sz w:val="20"/>
          <w:szCs w:val="20"/>
        </w:rPr>
        <w:t xml:space="preserve"> </w:t>
      </w:r>
      <w:proofErr w:type="spellStart"/>
      <w:r w:rsidRPr="001B6EE9">
        <w:rPr>
          <w:rFonts w:ascii="Lato" w:hAnsi="Lato" w:cs="Calibri"/>
          <w:sz w:val="20"/>
          <w:szCs w:val="20"/>
        </w:rPr>
        <w:t>przedsiębiorcy</w:t>
      </w:r>
      <w:proofErr w:type="spellEnd"/>
      <w:r w:rsidRPr="001B6EE9">
        <w:rPr>
          <w:rFonts w:ascii="Lato" w:hAnsi="Lato" w:cs="Calibri"/>
          <w:sz w:val="20"/>
          <w:szCs w:val="20"/>
        </w:rPr>
        <w:t>.</w:t>
      </w:r>
    </w:p>
    <w:p w14:paraId="11198024" w14:textId="77777777" w:rsidR="008548E7" w:rsidRDefault="008548E7" w:rsidP="008548E7">
      <w:pPr>
        <w:pStyle w:val="Standard"/>
        <w:jc w:val="both"/>
        <w:rPr>
          <w:rFonts w:ascii="Lato" w:hAnsi="Lato" w:cs="Calibri"/>
          <w:bCs/>
          <w:sz w:val="20"/>
          <w:szCs w:val="20"/>
        </w:rPr>
      </w:pPr>
    </w:p>
    <w:p w14:paraId="5ED380EB" w14:textId="706295CB" w:rsidR="001B6EE9" w:rsidRPr="001B6EE9" w:rsidRDefault="001B6EE9" w:rsidP="008548E7">
      <w:pPr>
        <w:pStyle w:val="Standard"/>
        <w:jc w:val="both"/>
        <w:rPr>
          <w:rFonts w:ascii="Lato" w:hAnsi="Lato"/>
          <w:sz w:val="20"/>
          <w:szCs w:val="20"/>
        </w:rPr>
      </w:pPr>
      <w:proofErr w:type="spellStart"/>
      <w:r w:rsidRPr="001B6EE9">
        <w:rPr>
          <w:rFonts w:ascii="Lato" w:hAnsi="Lato" w:cs="Calibri"/>
          <w:bCs/>
          <w:sz w:val="20"/>
          <w:szCs w:val="20"/>
        </w:rPr>
        <w:t>Uczestnicy</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oraz</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pracownicy</w:t>
      </w:r>
      <w:proofErr w:type="spellEnd"/>
      <w:r w:rsidRPr="001B6EE9">
        <w:rPr>
          <w:rFonts w:ascii="Lato" w:hAnsi="Lato" w:cs="Calibri"/>
          <w:bCs/>
          <w:sz w:val="20"/>
          <w:szCs w:val="20"/>
        </w:rPr>
        <w:t xml:space="preserve"> ŚDS </w:t>
      </w:r>
      <w:proofErr w:type="spellStart"/>
      <w:r w:rsidRPr="001B6EE9">
        <w:rPr>
          <w:rFonts w:ascii="Lato" w:hAnsi="Lato" w:cs="Calibri"/>
          <w:bCs/>
          <w:sz w:val="20"/>
          <w:szCs w:val="20"/>
        </w:rPr>
        <w:t>organizują</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takie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cykliczne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wydarzenia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jak</w:t>
      </w:r>
      <w:proofErr w:type="spellEnd"/>
      <w:r w:rsidRPr="001B6EE9">
        <w:rPr>
          <w:rFonts w:ascii="Lato" w:hAnsi="Lato" w:cs="Calibri"/>
          <w:sz w:val="20"/>
          <w:szCs w:val="20"/>
        </w:rPr>
        <w:t xml:space="preserve">: </w:t>
      </w:r>
      <w:proofErr w:type="spellStart"/>
      <w:r w:rsidRPr="001B6EE9">
        <w:rPr>
          <w:rFonts w:ascii="Lato" w:hAnsi="Lato" w:cs="Calibri"/>
          <w:sz w:val="20"/>
          <w:szCs w:val="20"/>
        </w:rPr>
        <w:t>Dzień</w:t>
      </w:r>
      <w:proofErr w:type="spellEnd"/>
      <w:r w:rsidRPr="001B6EE9">
        <w:rPr>
          <w:rFonts w:ascii="Lato" w:hAnsi="Lato" w:cs="Calibri"/>
          <w:sz w:val="20"/>
          <w:szCs w:val="20"/>
        </w:rPr>
        <w:t xml:space="preserve"> </w:t>
      </w:r>
      <w:proofErr w:type="spellStart"/>
      <w:r w:rsidRPr="001B6EE9">
        <w:rPr>
          <w:rFonts w:ascii="Lato" w:hAnsi="Lato" w:cs="Calibri"/>
          <w:sz w:val="20"/>
          <w:szCs w:val="20"/>
        </w:rPr>
        <w:t>Babci</w:t>
      </w:r>
      <w:proofErr w:type="spellEnd"/>
      <w:r w:rsidRPr="001B6EE9">
        <w:rPr>
          <w:rFonts w:ascii="Lato" w:hAnsi="Lato" w:cs="Calibri"/>
          <w:sz w:val="20"/>
          <w:szCs w:val="20"/>
        </w:rPr>
        <w:t xml:space="preserve"> i </w:t>
      </w:r>
      <w:proofErr w:type="spellStart"/>
      <w:r w:rsidRPr="001B6EE9">
        <w:rPr>
          <w:rFonts w:ascii="Lato" w:hAnsi="Lato" w:cs="Calibri"/>
          <w:sz w:val="20"/>
          <w:szCs w:val="20"/>
        </w:rPr>
        <w:t>Dziadka</w:t>
      </w:r>
      <w:proofErr w:type="spellEnd"/>
      <w:r w:rsidRPr="001B6EE9">
        <w:rPr>
          <w:rFonts w:ascii="Lato" w:hAnsi="Lato" w:cs="Calibri"/>
          <w:sz w:val="20"/>
          <w:szCs w:val="20"/>
        </w:rPr>
        <w:t xml:space="preserve">, </w:t>
      </w:r>
      <w:proofErr w:type="spellStart"/>
      <w:r w:rsidRPr="001B6EE9">
        <w:rPr>
          <w:rFonts w:ascii="Lato" w:hAnsi="Lato" w:cs="Calibri"/>
          <w:sz w:val="20"/>
          <w:szCs w:val="20"/>
        </w:rPr>
        <w:t>dni</w:t>
      </w:r>
      <w:proofErr w:type="spellEnd"/>
      <w:r w:rsidRPr="001B6EE9">
        <w:rPr>
          <w:rFonts w:ascii="Lato" w:hAnsi="Lato" w:cs="Calibri"/>
          <w:sz w:val="20"/>
          <w:szCs w:val="20"/>
        </w:rPr>
        <w:t xml:space="preserve"> </w:t>
      </w:r>
      <w:proofErr w:type="spellStart"/>
      <w:r w:rsidRPr="001B6EE9">
        <w:rPr>
          <w:rFonts w:ascii="Lato" w:hAnsi="Lato" w:cs="Calibri"/>
          <w:sz w:val="20"/>
          <w:szCs w:val="20"/>
        </w:rPr>
        <w:t>rodziny</w:t>
      </w:r>
      <w:proofErr w:type="spellEnd"/>
      <w:r w:rsidRPr="001B6EE9">
        <w:rPr>
          <w:rFonts w:ascii="Lato" w:hAnsi="Lato" w:cs="Calibri"/>
          <w:sz w:val="20"/>
          <w:szCs w:val="20"/>
        </w:rPr>
        <w:t xml:space="preserve">, </w:t>
      </w:r>
      <w:proofErr w:type="spellStart"/>
      <w:r w:rsidRPr="001B6EE9">
        <w:rPr>
          <w:rFonts w:ascii="Lato" w:hAnsi="Lato" w:cs="Calibri"/>
          <w:sz w:val="20"/>
          <w:szCs w:val="20"/>
        </w:rPr>
        <w:t>Dzień</w:t>
      </w:r>
      <w:proofErr w:type="spellEnd"/>
      <w:r w:rsidRPr="001B6EE9">
        <w:rPr>
          <w:rFonts w:ascii="Lato" w:hAnsi="Lato" w:cs="Calibri"/>
          <w:sz w:val="20"/>
          <w:szCs w:val="20"/>
        </w:rPr>
        <w:t xml:space="preserve"> </w:t>
      </w:r>
      <w:proofErr w:type="spellStart"/>
      <w:r w:rsidRPr="001B6EE9">
        <w:rPr>
          <w:rFonts w:ascii="Lato" w:hAnsi="Lato" w:cs="Calibri"/>
          <w:sz w:val="20"/>
          <w:szCs w:val="20"/>
        </w:rPr>
        <w:t>Kobiet</w:t>
      </w:r>
      <w:proofErr w:type="spellEnd"/>
      <w:r w:rsidRPr="001B6EE9">
        <w:rPr>
          <w:rFonts w:ascii="Lato" w:hAnsi="Lato" w:cs="Calibri"/>
          <w:sz w:val="20"/>
          <w:szCs w:val="20"/>
        </w:rPr>
        <w:t xml:space="preserve"> i </w:t>
      </w:r>
      <w:proofErr w:type="spellStart"/>
      <w:r w:rsidRPr="001B6EE9">
        <w:rPr>
          <w:rFonts w:ascii="Lato" w:hAnsi="Lato" w:cs="Calibri"/>
          <w:sz w:val="20"/>
          <w:szCs w:val="20"/>
        </w:rPr>
        <w:t>chłopaka</w:t>
      </w:r>
      <w:proofErr w:type="spellEnd"/>
      <w:r w:rsidRPr="001B6EE9">
        <w:rPr>
          <w:rFonts w:ascii="Lato" w:hAnsi="Lato" w:cs="Calibri"/>
          <w:sz w:val="20"/>
          <w:szCs w:val="20"/>
        </w:rPr>
        <w:t xml:space="preserve">, </w:t>
      </w:r>
      <w:proofErr w:type="spellStart"/>
      <w:r w:rsidRPr="001B6EE9">
        <w:rPr>
          <w:rFonts w:ascii="Lato" w:hAnsi="Lato" w:cs="Calibri"/>
          <w:sz w:val="20"/>
          <w:szCs w:val="20"/>
        </w:rPr>
        <w:t>bal</w:t>
      </w:r>
      <w:proofErr w:type="spellEnd"/>
      <w:r w:rsidRPr="001B6EE9">
        <w:rPr>
          <w:rFonts w:ascii="Lato" w:hAnsi="Lato" w:cs="Calibri"/>
          <w:sz w:val="20"/>
          <w:szCs w:val="20"/>
        </w:rPr>
        <w:t xml:space="preserve"> </w:t>
      </w:r>
      <w:proofErr w:type="spellStart"/>
      <w:r w:rsidRPr="001B6EE9">
        <w:rPr>
          <w:rFonts w:ascii="Lato" w:hAnsi="Lato" w:cs="Calibri"/>
          <w:sz w:val="20"/>
          <w:szCs w:val="20"/>
        </w:rPr>
        <w:t>dyniowy</w:t>
      </w:r>
      <w:proofErr w:type="spellEnd"/>
      <w:r w:rsidRPr="001B6EE9">
        <w:rPr>
          <w:rFonts w:ascii="Lato" w:hAnsi="Lato" w:cs="Calibri"/>
          <w:sz w:val="20"/>
          <w:szCs w:val="20"/>
        </w:rPr>
        <w:t xml:space="preserve">, </w:t>
      </w:r>
      <w:proofErr w:type="spellStart"/>
      <w:r w:rsidRPr="001B6EE9">
        <w:rPr>
          <w:rFonts w:ascii="Lato" w:hAnsi="Lato" w:cs="Calibri"/>
          <w:sz w:val="20"/>
          <w:szCs w:val="20"/>
        </w:rPr>
        <w:t>dni</w:t>
      </w:r>
      <w:proofErr w:type="spellEnd"/>
      <w:r w:rsidRPr="001B6EE9">
        <w:rPr>
          <w:rFonts w:ascii="Lato" w:hAnsi="Lato" w:cs="Calibri"/>
          <w:sz w:val="20"/>
          <w:szCs w:val="20"/>
        </w:rPr>
        <w:t xml:space="preserve"> </w:t>
      </w:r>
      <w:proofErr w:type="spellStart"/>
      <w:r w:rsidRPr="001B6EE9">
        <w:rPr>
          <w:rFonts w:ascii="Lato" w:hAnsi="Lato" w:cs="Calibri"/>
          <w:sz w:val="20"/>
          <w:szCs w:val="20"/>
        </w:rPr>
        <w:t>promujące</w:t>
      </w:r>
      <w:proofErr w:type="spellEnd"/>
      <w:r w:rsidRPr="001B6EE9">
        <w:rPr>
          <w:rFonts w:ascii="Lato" w:hAnsi="Lato" w:cs="Calibri"/>
          <w:sz w:val="20"/>
          <w:szCs w:val="20"/>
        </w:rPr>
        <w:t xml:space="preserve"> </w:t>
      </w:r>
      <w:proofErr w:type="spellStart"/>
      <w:r w:rsidRPr="001B6EE9">
        <w:rPr>
          <w:rFonts w:ascii="Lato" w:hAnsi="Lato" w:cs="Calibri"/>
          <w:sz w:val="20"/>
          <w:szCs w:val="20"/>
        </w:rPr>
        <w:t>profilaktykę</w:t>
      </w:r>
      <w:proofErr w:type="spellEnd"/>
      <w:r w:rsidRPr="001B6EE9">
        <w:rPr>
          <w:rFonts w:ascii="Lato" w:hAnsi="Lato" w:cs="Calibri"/>
          <w:sz w:val="20"/>
          <w:szCs w:val="20"/>
        </w:rPr>
        <w:t xml:space="preserve"> </w:t>
      </w:r>
      <w:proofErr w:type="spellStart"/>
      <w:r w:rsidRPr="001B6EE9">
        <w:rPr>
          <w:rFonts w:ascii="Lato" w:hAnsi="Lato" w:cs="Calibri"/>
          <w:sz w:val="20"/>
          <w:szCs w:val="20"/>
        </w:rPr>
        <w:t>zdrowia</w:t>
      </w:r>
      <w:proofErr w:type="spellEnd"/>
      <w:r w:rsidRPr="001B6EE9">
        <w:rPr>
          <w:rFonts w:ascii="Lato" w:hAnsi="Lato" w:cs="Calibri"/>
          <w:sz w:val="20"/>
          <w:szCs w:val="20"/>
        </w:rPr>
        <w:t xml:space="preserve">, </w:t>
      </w:r>
      <w:proofErr w:type="spellStart"/>
      <w:r w:rsidRPr="001B6EE9">
        <w:rPr>
          <w:rFonts w:ascii="Lato" w:hAnsi="Lato" w:cs="Calibri"/>
          <w:sz w:val="20"/>
          <w:szCs w:val="20"/>
        </w:rPr>
        <w:t>dni</w:t>
      </w:r>
      <w:proofErr w:type="spellEnd"/>
      <w:r w:rsidRPr="001B6EE9">
        <w:rPr>
          <w:rFonts w:ascii="Lato" w:hAnsi="Lato" w:cs="Calibri"/>
          <w:sz w:val="20"/>
          <w:szCs w:val="20"/>
        </w:rPr>
        <w:t xml:space="preserve"> </w:t>
      </w:r>
      <w:proofErr w:type="spellStart"/>
      <w:r w:rsidRPr="001B6EE9">
        <w:rPr>
          <w:rFonts w:ascii="Lato" w:hAnsi="Lato" w:cs="Calibri"/>
          <w:sz w:val="20"/>
          <w:szCs w:val="20"/>
        </w:rPr>
        <w:t>świadomości</w:t>
      </w:r>
      <w:proofErr w:type="spellEnd"/>
      <w:r w:rsidRPr="001B6EE9">
        <w:rPr>
          <w:rFonts w:ascii="Lato" w:hAnsi="Lato" w:cs="Calibri"/>
          <w:sz w:val="20"/>
          <w:szCs w:val="20"/>
        </w:rPr>
        <w:t xml:space="preserve"> </w:t>
      </w:r>
      <w:proofErr w:type="spellStart"/>
      <w:r w:rsidRPr="001B6EE9">
        <w:rPr>
          <w:rFonts w:ascii="Lato" w:hAnsi="Lato" w:cs="Calibri"/>
          <w:sz w:val="20"/>
          <w:szCs w:val="20"/>
        </w:rPr>
        <w:t>innych</w:t>
      </w:r>
      <w:proofErr w:type="spellEnd"/>
      <w:r w:rsidRPr="001B6EE9">
        <w:rPr>
          <w:rFonts w:ascii="Lato" w:hAnsi="Lato" w:cs="Calibri"/>
          <w:sz w:val="20"/>
          <w:szCs w:val="20"/>
        </w:rPr>
        <w:t xml:space="preserve"> </w:t>
      </w:r>
      <w:proofErr w:type="spellStart"/>
      <w:r w:rsidRPr="001B6EE9">
        <w:rPr>
          <w:rFonts w:ascii="Lato" w:hAnsi="Lato" w:cs="Calibri"/>
          <w:sz w:val="20"/>
          <w:szCs w:val="20"/>
        </w:rPr>
        <w:t>chorób</w:t>
      </w:r>
      <w:proofErr w:type="spellEnd"/>
      <w:r w:rsidRPr="001B6EE9">
        <w:rPr>
          <w:rFonts w:ascii="Lato" w:hAnsi="Lato" w:cs="Calibri"/>
          <w:sz w:val="20"/>
          <w:szCs w:val="20"/>
        </w:rPr>
        <w:t xml:space="preserve"> i </w:t>
      </w:r>
      <w:proofErr w:type="spellStart"/>
      <w:r w:rsidRPr="001B6EE9">
        <w:rPr>
          <w:rFonts w:ascii="Lato" w:hAnsi="Lato" w:cs="Calibri"/>
          <w:sz w:val="20"/>
          <w:szCs w:val="20"/>
        </w:rPr>
        <w:t>schorzeń</w:t>
      </w:r>
      <w:proofErr w:type="spellEnd"/>
      <w:r w:rsidRPr="001B6EE9">
        <w:rPr>
          <w:rFonts w:ascii="Lato" w:hAnsi="Lato" w:cs="Calibri"/>
          <w:sz w:val="20"/>
          <w:szCs w:val="20"/>
        </w:rPr>
        <w:t xml:space="preserve"> </w:t>
      </w:r>
      <w:proofErr w:type="spellStart"/>
      <w:r w:rsidRPr="001B6EE9">
        <w:rPr>
          <w:rFonts w:ascii="Lato" w:hAnsi="Lato" w:cs="Calibri"/>
          <w:sz w:val="20"/>
          <w:szCs w:val="20"/>
        </w:rPr>
        <w:t>psychicznych</w:t>
      </w:r>
      <w:proofErr w:type="spellEnd"/>
      <w:r w:rsidRPr="001B6EE9">
        <w:rPr>
          <w:rFonts w:ascii="Lato" w:hAnsi="Lato" w:cs="Calibri"/>
          <w:sz w:val="20"/>
          <w:szCs w:val="20"/>
        </w:rPr>
        <w:t xml:space="preserve">, </w:t>
      </w:r>
      <w:proofErr w:type="spellStart"/>
      <w:r w:rsidRPr="001B6EE9">
        <w:rPr>
          <w:rFonts w:ascii="Lato" w:hAnsi="Lato" w:cs="Calibri"/>
          <w:sz w:val="20"/>
          <w:szCs w:val="20"/>
        </w:rPr>
        <w:t>dni</w:t>
      </w:r>
      <w:proofErr w:type="spellEnd"/>
      <w:r w:rsidRPr="001B6EE9">
        <w:rPr>
          <w:rFonts w:ascii="Lato" w:hAnsi="Lato" w:cs="Calibri"/>
          <w:sz w:val="20"/>
          <w:szCs w:val="20"/>
        </w:rPr>
        <w:t xml:space="preserve"> </w:t>
      </w:r>
      <w:proofErr w:type="spellStart"/>
      <w:r w:rsidRPr="001B6EE9">
        <w:rPr>
          <w:rFonts w:ascii="Lato" w:hAnsi="Lato" w:cs="Calibri"/>
          <w:sz w:val="20"/>
          <w:szCs w:val="20"/>
        </w:rPr>
        <w:t>kawy</w:t>
      </w:r>
      <w:proofErr w:type="spellEnd"/>
      <w:r w:rsidRPr="001B6EE9">
        <w:rPr>
          <w:rFonts w:ascii="Lato" w:hAnsi="Lato" w:cs="Calibri"/>
          <w:sz w:val="20"/>
          <w:szCs w:val="20"/>
        </w:rPr>
        <w:t xml:space="preserve"> i inne </w:t>
      </w:r>
      <w:proofErr w:type="spellStart"/>
      <w:r w:rsidRPr="001B6EE9">
        <w:rPr>
          <w:rFonts w:ascii="Lato" w:hAnsi="Lato" w:cs="Calibri"/>
          <w:sz w:val="20"/>
          <w:szCs w:val="20"/>
        </w:rPr>
        <w:t>nietypowe</w:t>
      </w:r>
      <w:proofErr w:type="spellEnd"/>
      <w:r w:rsidRPr="001B6EE9">
        <w:rPr>
          <w:rFonts w:ascii="Lato" w:hAnsi="Lato" w:cs="Calibri"/>
          <w:sz w:val="20"/>
          <w:szCs w:val="20"/>
        </w:rPr>
        <w:t xml:space="preserve"> </w:t>
      </w:r>
      <w:proofErr w:type="spellStart"/>
      <w:r w:rsidRPr="001B6EE9">
        <w:rPr>
          <w:rFonts w:ascii="Lato" w:hAnsi="Lato" w:cs="Calibri"/>
          <w:sz w:val="20"/>
          <w:szCs w:val="20"/>
        </w:rPr>
        <w:t>święta</w:t>
      </w:r>
      <w:proofErr w:type="spellEnd"/>
      <w:r w:rsidRPr="001B6EE9">
        <w:rPr>
          <w:rFonts w:ascii="Lato" w:hAnsi="Lato" w:cs="Calibri"/>
          <w:sz w:val="20"/>
          <w:szCs w:val="20"/>
        </w:rPr>
        <w:t xml:space="preserve"> z </w:t>
      </w:r>
      <w:proofErr w:type="spellStart"/>
      <w:r w:rsidRPr="001B6EE9">
        <w:rPr>
          <w:rFonts w:ascii="Lato" w:hAnsi="Lato" w:cs="Calibri"/>
          <w:sz w:val="20"/>
          <w:szCs w:val="20"/>
        </w:rPr>
        <w:t>kalendarza</w:t>
      </w:r>
      <w:proofErr w:type="spellEnd"/>
      <w:r w:rsidRPr="001B6EE9">
        <w:rPr>
          <w:rFonts w:ascii="Lato" w:hAnsi="Lato" w:cs="Calibri"/>
          <w:sz w:val="20"/>
          <w:szCs w:val="20"/>
        </w:rPr>
        <w:t xml:space="preserve">,  </w:t>
      </w:r>
      <w:proofErr w:type="spellStart"/>
      <w:r w:rsidRPr="001B6EE9">
        <w:rPr>
          <w:rFonts w:ascii="Lato" w:hAnsi="Lato" w:cs="Calibri"/>
          <w:sz w:val="20"/>
          <w:szCs w:val="20"/>
        </w:rPr>
        <w:t>rejsy</w:t>
      </w:r>
      <w:proofErr w:type="spellEnd"/>
      <w:r w:rsidRPr="001B6EE9">
        <w:rPr>
          <w:rFonts w:ascii="Lato" w:hAnsi="Lato" w:cs="Calibri"/>
          <w:sz w:val="20"/>
          <w:szCs w:val="20"/>
        </w:rPr>
        <w:t xml:space="preserve"> </w:t>
      </w:r>
      <w:proofErr w:type="spellStart"/>
      <w:r w:rsidRPr="001B6EE9">
        <w:rPr>
          <w:rFonts w:ascii="Lato" w:hAnsi="Lato" w:cs="Calibri"/>
          <w:sz w:val="20"/>
          <w:szCs w:val="20"/>
        </w:rPr>
        <w:t>po</w:t>
      </w:r>
      <w:proofErr w:type="spellEnd"/>
      <w:r w:rsidRPr="001B6EE9">
        <w:rPr>
          <w:rFonts w:ascii="Lato" w:hAnsi="Lato" w:cs="Calibri"/>
          <w:sz w:val="20"/>
          <w:szCs w:val="20"/>
        </w:rPr>
        <w:t xml:space="preserve"> </w:t>
      </w:r>
      <w:proofErr w:type="spellStart"/>
      <w:r w:rsidRPr="001B6EE9">
        <w:rPr>
          <w:rFonts w:ascii="Lato" w:hAnsi="Lato" w:cs="Calibri"/>
          <w:sz w:val="20"/>
          <w:szCs w:val="20"/>
        </w:rPr>
        <w:t>Zalewie</w:t>
      </w:r>
      <w:proofErr w:type="spellEnd"/>
      <w:r w:rsidRPr="001B6EE9">
        <w:rPr>
          <w:rFonts w:ascii="Lato" w:hAnsi="Lato" w:cs="Calibri"/>
          <w:sz w:val="20"/>
          <w:szCs w:val="20"/>
        </w:rPr>
        <w:t xml:space="preserve"> </w:t>
      </w:r>
      <w:proofErr w:type="spellStart"/>
      <w:r w:rsidRPr="001B6EE9">
        <w:rPr>
          <w:rFonts w:ascii="Lato" w:hAnsi="Lato" w:cs="Calibri"/>
          <w:sz w:val="20"/>
          <w:szCs w:val="20"/>
        </w:rPr>
        <w:t>Wiślanym</w:t>
      </w:r>
      <w:proofErr w:type="spellEnd"/>
      <w:r w:rsidRPr="001B6EE9">
        <w:rPr>
          <w:rFonts w:ascii="Lato" w:hAnsi="Lato" w:cs="Calibri"/>
          <w:sz w:val="20"/>
          <w:szCs w:val="20"/>
        </w:rPr>
        <w:t xml:space="preserve">, i inne </w:t>
      </w:r>
      <w:proofErr w:type="spellStart"/>
      <w:r w:rsidRPr="001B6EE9">
        <w:rPr>
          <w:rFonts w:ascii="Lato" w:hAnsi="Lato" w:cs="Calibri"/>
          <w:sz w:val="20"/>
          <w:szCs w:val="20"/>
        </w:rPr>
        <w:t>wycieczki</w:t>
      </w:r>
      <w:proofErr w:type="spellEnd"/>
      <w:r w:rsidRPr="001B6EE9">
        <w:rPr>
          <w:rFonts w:ascii="Lato" w:hAnsi="Lato" w:cs="Calibri"/>
          <w:sz w:val="20"/>
          <w:szCs w:val="20"/>
        </w:rPr>
        <w:t xml:space="preserve"> </w:t>
      </w:r>
      <w:proofErr w:type="spellStart"/>
      <w:r w:rsidRPr="001B6EE9">
        <w:rPr>
          <w:rFonts w:ascii="Lato" w:hAnsi="Lato" w:cs="Calibri"/>
          <w:sz w:val="20"/>
          <w:szCs w:val="20"/>
        </w:rPr>
        <w:t>regionalne</w:t>
      </w:r>
      <w:proofErr w:type="spellEnd"/>
      <w:r w:rsidRPr="001B6EE9">
        <w:rPr>
          <w:rFonts w:ascii="Lato" w:hAnsi="Lato" w:cs="Calibri"/>
          <w:sz w:val="20"/>
          <w:szCs w:val="20"/>
        </w:rPr>
        <w:t xml:space="preserve">, </w:t>
      </w:r>
      <w:proofErr w:type="spellStart"/>
      <w:r w:rsidRPr="001B6EE9">
        <w:rPr>
          <w:rFonts w:ascii="Lato" w:hAnsi="Lato" w:cs="Calibri"/>
          <w:sz w:val="20"/>
          <w:szCs w:val="20"/>
        </w:rPr>
        <w:t>wyjścia</w:t>
      </w:r>
      <w:proofErr w:type="spellEnd"/>
      <w:r w:rsidRPr="001B6EE9">
        <w:rPr>
          <w:rFonts w:ascii="Lato" w:hAnsi="Lato" w:cs="Calibri"/>
          <w:sz w:val="20"/>
          <w:szCs w:val="20"/>
        </w:rPr>
        <w:t xml:space="preserve"> i </w:t>
      </w:r>
      <w:proofErr w:type="spellStart"/>
      <w:r w:rsidRPr="001B6EE9">
        <w:rPr>
          <w:rFonts w:ascii="Lato" w:hAnsi="Lato" w:cs="Calibri"/>
          <w:sz w:val="20"/>
          <w:szCs w:val="20"/>
        </w:rPr>
        <w:t>wyjazdy</w:t>
      </w:r>
      <w:proofErr w:type="spellEnd"/>
      <w:r w:rsidRPr="001B6EE9">
        <w:rPr>
          <w:rFonts w:ascii="Lato" w:hAnsi="Lato" w:cs="Calibri"/>
          <w:sz w:val="20"/>
          <w:szCs w:val="20"/>
        </w:rPr>
        <w:t xml:space="preserve"> do </w:t>
      </w:r>
      <w:proofErr w:type="spellStart"/>
      <w:r w:rsidRPr="001B6EE9">
        <w:rPr>
          <w:rFonts w:ascii="Lato" w:hAnsi="Lato" w:cs="Calibri"/>
          <w:sz w:val="20"/>
          <w:szCs w:val="20"/>
        </w:rPr>
        <w:t>instytucji</w:t>
      </w:r>
      <w:proofErr w:type="spellEnd"/>
      <w:r w:rsidRPr="001B6EE9">
        <w:rPr>
          <w:rFonts w:ascii="Lato" w:hAnsi="Lato" w:cs="Calibri"/>
          <w:sz w:val="20"/>
          <w:szCs w:val="20"/>
        </w:rPr>
        <w:t xml:space="preserve"> </w:t>
      </w:r>
      <w:proofErr w:type="spellStart"/>
      <w:r w:rsidRPr="001B6EE9">
        <w:rPr>
          <w:rFonts w:ascii="Lato" w:hAnsi="Lato" w:cs="Calibri"/>
          <w:sz w:val="20"/>
          <w:szCs w:val="20"/>
        </w:rPr>
        <w:t>kulturalnych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ciekawe</w:t>
      </w:r>
      <w:proofErr w:type="spellEnd"/>
      <w:r w:rsidRPr="001B6EE9">
        <w:rPr>
          <w:rFonts w:ascii="Lato" w:hAnsi="Lato" w:cs="Calibri"/>
          <w:sz w:val="20"/>
          <w:szCs w:val="20"/>
        </w:rPr>
        <w:t xml:space="preserve"> </w:t>
      </w:r>
      <w:proofErr w:type="spellStart"/>
      <w:r w:rsidRPr="001B6EE9">
        <w:rPr>
          <w:rFonts w:ascii="Lato" w:hAnsi="Lato" w:cs="Calibri"/>
          <w:sz w:val="20"/>
          <w:szCs w:val="20"/>
        </w:rPr>
        <w:t>zajęcia</w:t>
      </w:r>
      <w:proofErr w:type="spellEnd"/>
      <w:r w:rsidRPr="001B6EE9">
        <w:rPr>
          <w:rFonts w:ascii="Lato" w:hAnsi="Lato" w:cs="Calibri"/>
          <w:sz w:val="20"/>
          <w:szCs w:val="20"/>
        </w:rPr>
        <w:t xml:space="preserve">, </w:t>
      </w:r>
      <w:proofErr w:type="spellStart"/>
      <w:r w:rsidRPr="001B6EE9">
        <w:rPr>
          <w:rFonts w:ascii="Lato" w:hAnsi="Lato" w:cs="Calibri"/>
          <w:sz w:val="20"/>
          <w:szCs w:val="20"/>
        </w:rPr>
        <w:t>świąteczne</w:t>
      </w:r>
      <w:proofErr w:type="spellEnd"/>
      <w:r w:rsidRPr="001B6EE9">
        <w:rPr>
          <w:rFonts w:ascii="Lato" w:hAnsi="Lato" w:cs="Calibri"/>
          <w:sz w:val="20"/>
          <w:szCs w:val="20"/>
        </w:rPr>
        <w:t xml:space="preserve"> i </w:t>
      </w:r>
      <w:proofErr w:type="spellStart"/>
      <w:r w:rsidRPr="001B6EE9">
        <w:rPr>
          <w:rFonts w:ascii="Lato" w:hAnsi="Lato" w:cs="Calibri"/>
          <w:sz w:val="20"/>
          <w:szCs w:val="20"/>
        </w:rPr>
        <w:t>kulinarne</w:t>
      </w:r>
      <w:proofErr w:type="spellEnd"/>
      <w:r w:rsidRPr="001B6EE9">
        <w:rPr>
          <w:rFonts w:ascii="Lato" w:hAnsi="Lato" w:cs="Calibri"/>
          <w:sz w:val="20"/>
          <w:szCs w:val="20"/>
        </w:rPr>
        <w:t xml:space="preserve"> </w:t>
      </w:r>
      <w:proofErr w:type="spellStart"/>
      <w:r w:rsidRPr="001B6EE9">
        <w:rPr>
          <w:rFonts w:ascii="Lato" w:hAnsi="Lato" w:cs="Calibri"/>
          <w:sz w:val="20"/>
          <w:szCs w:val="20"/>
        </w:rPr>
        <w:t>warsztaty</w:t>
      </w:r>
      <w:proofErr w:type="spellEnd"/>
      <w:r w:rsidRPr="001B6EE9">
        <w:rPr>
          <w:rFonts w:ascii="Lato" w:hAnsi="Lato" w:cs="Calibri"/>
          <w:sz w:val="20"/>
          <w:szCs w:val="20"/>
        </w:rPr>
        <w:t xml:space="preserve">, </w:t>
      </w:r>
      <w:proofErr w:type="spellStart"/>
      <w:r w:rsidRPr="001B6EE9">
        <w:rPr>
          <w:rFonts w:ascii="Lato" w:hAnsi="Lato" w:cs="Calibri"/>
          <w:sz w:val="20"/>
          <w:szCs w:val="20"/>
        </w:rPr>
        <w:t>Śniadania</w:t>
      </w:r>
      <w:proofErr w:type="spellEnd"/>
      <w:r w:rsidRPr="001B6EE9">
        <w:rPr>
          <w:rFonts w:ascii="Lato" w:hAnsi="Lato" w:cs="Calibri"/>
          <w:sz w:val="20"/>
          <w:szCs w:val="20"/>
        </w:rPr>
        <w:t xml:space="preserve"> </w:t>
      </w:r>
      <w:proofErr w:type="spellStart"/>
      <w:r w:rsidRPr="001B6EE9">
        <w:rPr>
          <w:rFonts w:ascii="Lato" w:hAnsi="Lato" w:cs="Calibri"/>
          <w:sz w:val="20"/>
          <w:szCs w:val="20"/>
        </w:rPr>
        <w:t>Wielkanocne</w:t>
      </w:r>
      <w:proofErr w:type="spellEnd"/>
      <w:r w:rsidRPr="001B6EE9">
        <w:rPr>
          <w:rFonts w:ascii="Lato" w:hAnsi="Lato" w:cs="Calibri"/>
          <w:sz w:val="20"/>
          <w:szCs w:val="20"/>
        </w:rPr>
        <w:t xml:space="preserve">, </w:t>
      </w:r>
      <w:proofErr w:type="spellStart"/>
      <w:r w:rsidRPr="001B6EE9">
        <w:rPr>
          <w:rFonts w:ascii="Lato" w:hAnsi="Lato" w:cs="Calibri"/>
          <w:sz w:val="20"/>
          <w:szCs w:val="20"/>
        </w:rPr>
        <w:t>wspólne</w:t>
      </w:r>
      <w:proofErr w:type="spellEnd"/>
      <w:r w:rsidRPr="001B6EE9">
        <w:rPr>
          <w:rFonts w:ascii="Lato" w:hAnsi="Lato" w:cs="Calibri"/>
          <w:sz w:val="20"/>
          <w:szCs w:val="20"/>
        </w:rPr>
        <w:t xml:space="preserve"> </w:t>
      </w:r>
      <w:proofErr w:type="spellStart"/>
      <w:r w:rsidRPr="001B6EE9">
        <w:rPr>
          <w:rFonts w:ascii="Lato" w:hAnsi="Lato" w:cs="Calibri"/>
          <w:sz w:val="20"/>
          <w:szCs w:val="20"/>
        </w:rPr>
        <w:t>wigilie</w:t>
      </w:r>
      <w:proofErr w:type="spellEnd"/>
      <w:r w:rsidRPr="001B6EE9">
        <w:rPr>
          <w:rFonts w:ascii="Lato" w:hAnsi="Lato" w:cs="Calibri"/>
          <w:sz w:val="20"/>
          <w:szCs w:val="20"/>
        </w:rPr>
        <w:t xml:space="preserve">, grille na </w:t>
      </w:r>
      <w:proofErr w:type="spellStart"/>
      <w:r w:rsidRPr="001B6EE9">
        <w:rPr>
          <w:rFonts w:ascii="Lato" w:hAnsi="Lato" w:cs="Calibri"/>
          <w:sz w:val="20"/>
          <w:szCs w:val="20"/>
        </w:rPr>
        <w:t>świeżym</w:t>
      </w:r>
      <w:proofErr w:type="spellEnd"/>
      <w:r w:rsidRPr="001B6EE9">
        <w:rPr>
          <w:rFonts w:ascii="Lato" w:hAnsi="Lato" w:cs="Calibri"/>
          <w:sz w:val="20"/>
          <w:szCs w:val="20"/>
        </w:rPr>
        <w:t xml:space="preserve"> </w:t>
      </w:r>
      <w:proofErr w:type="spellStart"/>
      <w:r w:rsidRPr="001B6EE9">
        <w:rPr>
          <w:rFonts w:ascii="Lato" w:hAnsi="Lato" w:cs="Calibri"/>
          <w:sz w:val="20"/>
          <w:szCs w:val="20"/>
        </w:rPr>
        <w:t>powietrzu</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wiele</w:t>
      </w:r>
      <w:proofErr w:type="spellEnd"/>
      <w:r w:rsidRPr="001B6EE9">
        <w:rPr>
          <w:rFonts w:ascii="Lato" w:hAnsi="Lato" w:cs="Calibri"/>
          <w:sz w:val="20"/>
          <w:szCs w:val="20"/>
        </w:rPr>
        <w:t xml:space="preserve"> </w:t>
      </w:r>
      <w:proofErr w:type="spellStart"/>
      <w:r w:rsidRPr="001B6EE9">
        <w:rPr>
          <w:rFonts w:ascii="Lato" w:hAnsi="Lato" w:cs="Calibri"/>
          <w:sz w:val="20"/>
          <w:szCs w:val="20"/>
        </w:rPr>
        <w:t>innych</w:t>
      </w:r>
      <w:proofErr w:type="spellEnd"/>
      <w:r w:rsidRPr="001B6EE9">
        <w:rPr>
          <w:rFonts w:ascii="Lato" w:hAnsi="Lato" w:cs="Calibri"/>
          <w:sz w:val="20"/>
          <w:szCs w:val="20"/>
        </w:rPr>
        <w:t>.</w:t>
      </w:r>
    </w:p>
    <w:p w14:paraId="5F37E35D" w14:textId="77777777" w:rsidR="008548E7" w:rsidRDefault="008548E7" w:rsidP="008548E7">
      <w:pPr>
        <w:pStyle w:val="Standard"/>
        <w:jc w:val="both"/>
        <w:rPr>
          <w:rFonts w:ascii="Lato" w:hAnsi="Lato" w:cs="Calibri"/>
          <w:bCs/>
          <w:sz w:val="20"/>
          <w:szCs w:val="20"/>
        </w:rPr>
      </w:pPr>
    </w:p>
    <w:p w14:paraId="7305964D" w14:textId="1A558E11" w:rsidR="001B6EE9" w:rsidRPr="001B6EE9" w:rsidRDefault="001B6EE9" w:rsidP="008548E7">
      <w:pPr>
        <w:pStyle w:val="Standard"/>
        <w:jc w:val="both"/>
        <w:rPr>
          <w:rFonts w:ascii="Lato" w:hAnsi="Lato"/>
          <w:sz w:val="20"/>
          <w:szCs w:val="20"/>
        </w:rPr>
      </w:pPr>
      <w:proofErr w:type="spellStart"/>
      <w:r w:rsidRPr="001B6EE9">
        <w:rPr>
          <w:rFonts w:ascii="Lato" w:hAnsi="Lato" w:cs="Calibri"/>
          <w:bCs/>
          <w:sz w:val="20"/>
          <w:szCs w:val="20"/>
        </w:rPr>
        <w:t>Dzięki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tym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wszystkim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działaniom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udaje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się</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utrzymać</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wysoki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poziom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atrakcyjności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placówki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jego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promocję</w:t>
      </w:r>
      <w:proofErr w:type="spellEnd"/>
      <w:r w:rsidRPr="001B6EE9">
        <w:rPr>
          <w:rFonts w:ascii="Lato" w:hAnsi="Lato" w:cs="Calibri"/>
          <w:bCs/>
          <w:sz w:val="20"/>
          <w:szCs w:val="20"/>
        </w:rPr>
        <w:t xml:space="preserve"> i w </w:t>
      </w:r>
      <w:proofErr w:type="spellStart"/>
      <w:r w:rsidRPr="001B6EE9">
        <w:rPr>
          <w:rFonts w:ascii="Lato" w:hAnsi="Lato" w:cs="Calibri"/>
          <w:bCs/>
          <w:sz w:val="20"/>
          <w:szCs w:val="20"/>
        </w:rPr>
        <w:t>związku</w:t>
      </w:r>
      <w:proofErr w:type="spellEnd"/>
      <w:r w:rsidRPr="001B6EE9">
        <w:rPr>
          <w:rFonts w:ascii="Lato" w:hAnsi="Lato" w:cs="Calibri"/>
          <w:bCs/>
          <w:sz w:val="20"/>
          <w:szCs w:val="20"/>
        </w:rPr>
        <w:t xml:space="preserve"> z </w:t>
      </w:r>
      <w:proofErr w:type="spellStart"/>
      <w:r w:rsidRPr="001B6EE9">
        <w:rPr>
          <w:rFonts w:ascii="Lato" w:hAnsi="Lato" w:cs="Calibri"/>
          <w:bCs/>
          <w:sz w:val="20"/>
          <w:szCs w:val="20"/>
        </w:rPr>
        <w:t>tym</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efektywnie</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działać</w:t>
      </w:r>
      <w:proofErr w:type="spellEnd"/>
      <w:r w:rsidRPr="001B6EE9">
        <w:rPr>
          <w:rFonts w:ascii="Lato" w:hAnsi="Lato" w:cs="Calibri"/>
          <w:bCs/>
          <w:sz w:val="20"/>
          <w:szCs w:val="20"/>
        </w:rPr>
        <w:t xml:space="preserve"> na </w:t>
      </w:r>
      <w:proofErr w:type="spellStart"/>
      <w:r w:rsidRPr="001B6EE9">
        <w:rPr>
          <w:rFonts w:ascii="Lato" w:hAnsi="Lato" w:cs="Calibri"/>
          <w:bCs/>
          <w:sz w:val="20"/>
          <w:szCs w:val="20"/>
        </w:rPr>
        <w:t>rzecz</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integracji</w:t>
      </w:r>
      <w:proofErr w:type="spellEnd"/>
      <w:r w:rsidRPr="001B6EE9">
        <w:rPr>
          <w:rFonts w:ascii="Lato" w:hAnsi="Lato" w:cs="Calibri"/>
          <w:bCs/>
          <w:sz w:val="20"/>
          <w:szCs w:val="20"/>
        </w:rPr>
        <w:t xml:space="preserve"> i </w:t>
      </w:r>
      <w:proofErr w:type="spellStart"/>
      <w:r w:rsidRPr="001B6EE9">
        <w:rPr>
          <w:rFonts w:ascii="Lato" w:hAnsi="Lato" w:cs="Calibri"/>
          <w:bCs/>
          <w:sz w:val="20"/>
          <w:szCs w:val="20"/>
        </w:rPr>
        <w:t>aktywizacji</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seniorów</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oraz</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osób</w:t>
      </w:r>
      <w:proofErr w:type="spellEnd"/>
      <w:r w:rsidRPr="001B6EE9">
        <w:rPr>
          <w:rFonts w:ascii="Lato" w:hAnsi="Lato" w:cs="Calibri"/>
          <w:bCs/>
          <w:sz w:val="20"/>
          <w:szCs w:val="20"/>
        </w:rPr>
        <w:t xml:space="preserve"> z </w:t>
      </w:r>
      <w:proofErr w:type="spellStart"/>
      <w:r w:rsidRPr="001B6EE9">
        <w:rPr>
          <w:rFonts w:ascii="Lato" w:hAnsi="Lato" w:cs="Calibri"/>
          <w:bCs/>
          <w:sz w:val="20"/>
          <w:szCs w:val="20"/>
        </w:rPr>
        <w:t>niepełnosprawnościami</w:t>
      </w:r>
      <w:proofErr w:type="spellEnd"/>
      <w:r w:rsidRPr="001B6EE9">
        <w:rPr>
          <w:rFonts w:ascii="Lato" w:hAnsi="Lato" w:cs="Calibri"/>
          <w:bCs/>
          <w:sz w:val="20"/>
          <w:szCs w:val="20"/>
        </w:rPr>
        <w:t xml:space="preserve">, a w </w:t>
      </w:r>
      <w:proofErr w:type="spellStart"/>
      <w:r w:rsidRPr="001B6EE9">
        <w:rPr>
          <w:rFonts w:ascii="Lato" w:hAnsi="Lato" w:cs="Calibri"/>
          <w:bCs/>
          <w:sz w:val="20"/>
          <w:szCs w:val="20"/>
        </w:rPr>
        <w:t>ramach</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bieżącego</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wsparcia</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zapewnić</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również</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dostęp</w:t>
      </w:r>
      <w:proofErr w:type="spellEnd"/>
      <w:r w:rsidRPr="001B6EE9">
        <w:rPr>
          <w:rFonts w:ascii="Lato" w:hAnsi="Lato" w:cs="Calibri"/>
          <w:bCs/>
          <w:sz w:val="20"/>
          <w:szCs w:val="20"/>
        </w:rPr>
        <w:t xml:space="preserve"> do </w:t>
      </w:r>
      <w:proofErr w:type="spellStart"/>
      <w:r w:rsidRPr="001B6EE9">
        <w:rPr>
          <w:rFonts w:ascii="Lato" w:hAnsi="Lato" w:cs="Calibri"/>
          <w:bCs/>
          <w:sz w:val="20"/>
          <w:szCs w:val="20"/>
        </w:rPr>
        <w:t>urzędów</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jednostek</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terytorialnych</w:t>
      </w:r>
      <w:proofErr w:type="spellEnd"/>
      <w:r w:rsidRPr="001B6EE9">
        <w:rPr>
          <w:rFonts w:ascii="Lato" w:hAnsi="Lato" w:cs="Calibri"/>
          <w:bCs/>
          <w:sz w:val="20"/>
          <w:szCs w:val="20"/>
        </w:rPr>
        <w:t xml:space="preserve"> i </w:t>
      </w:r>
      <w:proofErr w:type="spellStart"/>
      <w:r w:rsidRPr="001B6EE9">
        <w:rPr>
          <w:rFonts w:ascii="Lato" w:hAnsi="Lato" w:cs="Calibri"/>
          <w:bCs/>
          <w:sz w:val="20"/>
          <w:szCs w:val="20"/>
        </w:rPr>
        <w:t>placówek</w:t>
      </w:r>
      <w:proofErr w:type="spellEnd"/>
      <w:r w:rsidRPr="001B6EE9">
        <w:rPr>
          <w:rFonts w:ascii="Lato" w:hAnsi="Lato" w:cs="Calibri"/>
          <w:bCs/>
          <w:sz w:val="20"/>
          <w:szCs w:val="20"/>
        </w:rPr>
        <w:t xml:space="preserve"> </w:t>
      </w:r>
      <w:proofErr w:type="spellStart"/>
      <w:r w:rsidRPr="001B6EE9">
        <w:rPr>
          <w:rFonts w:ascii="Lato" w:hAnsi="Lato" w:cs="Calibri"/>
          <w:bCs/>
          <w:sz w:val="20"/>
          <w:szCs w:val="20"/>
        </w:rPr>
        <w:t>medycznych</w:t>
      </w:r>
      <w:proofErr w:type="spellEnd"/>
      <w:r w:rsidRPr="001B6EE9">
        <w:rPr>
          <w:rFonts w:ascii="Lato" w:hAnsi="Lato" w:cs="Calibri"/>
          <w:sz w:val="20"/>
          <w:szCs w:val="20"/>
        </w:rPr>
        <w:t xml:space="preserve">. Od </w:t>
      </w:r>
      <w:proofErr w:type="spellStart"/>
      <w:r w:rsidRPr="001B6EE9">
        <w:rPr>
          <w:rFonts w:ascii="Lato" w:hAnsi="Lato" w:cs="Calibri"/>
          <w:sz w:val="20"/>
          <w:szCs w:val="20"/>
        </w:rPr>
        <w:t>czerwca</w:t>
      </w:r>
      <w:proofErr w:type="spellEnd"/>
      <w:r w:rsidRPr="001B6EE9">
        <w:rPr>
          <w:rFonts w:ascii="Lato" w:hAnsi="Lato" w:cs="Calibri"/>
          <w:sz w:val="20"/>
          <w:szCs w:val="20"/>
        </w:rPr>
        <w:t xml:space="preserve"> 2022 </w:t>
      </w:r>
      <w:proofErr w:type="spellStart"/>
      <w:r w:rsidRPr="001B6EE9">
        <w:rPr>
          <w:rFonts w:ascii="Lato" w:hAnsi="Lato" w:cs="Calibri"/>
          <w:sz w:val="20"/>
          <w:szCs w:val="20"/>
        </w:rPr>
        <w:t>roku</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realizowany</w:t>
      </w:r>
      <w:proofErr w:type="spellEnd"/>
      <w:r w:rsidRPr="001B6EE9">
        <w:rPr>
          <w:rFonts w:ascii="Lato" w:hAnsi="Lato" w:cs="Calibri"/>
          <w:sz w:val="20"/>
          <w:szCs w:val="20"/>
        </w:rPr>
        <w:t xml:space="preserve"> </w:t>
      </w:r>
      <w:proofErr w:type="spellStart"/>
      <w:r w:rsidRPr="001B6EE9">
        <w:rPr>
          <w:rFonts w:ascii="Lato" w:hAnsi="Lato" w:cs="Calibri"/>
          <w:sz w:val="20"/>
          <w:szCs w:val="20"/>
        </w:rPr>
        <w:t>jest</w:t>
      </w:r>
      <w:proofErr w:type="spellEnd"/>
      <w:r w:rsidRPr="001B6EE9">
        <w:rPr>
          <w:rFonts w:ascii="Lato" w:hAnsi="Lato" w:cs="Calibri"/>
          <w:sz w:val="20"/>
          <w:szCs w:val="20"/>
        </w:rPr>
        <w:t xml:space="preserve"> </w:t>
      </w:r>
      <w:proofErr w:type="spellStart"/>
      <w:r w:rsidRPr="001B6EE9">
        <w:rPr>
          <w:rFonts w:ascii="Lato" w:hAnsi="Lato" w:cs="Calibri"/>
          <w:sz w:val="20"/>
          <w:szCs w:val="20"/>
        </w:rPr>
        <w:t>projekt</w:t>
      </w:r>
      <w:proofErr w:type="spellEnd"/>
      <w:r w:rsidRPr="001B6EE9">
        <w:rPr>
          <w:rFonts w:ascii="Lato" w:hAnsi="Lato" w:cs="Calibri"/>
          <w:sz w:val="20"/>
          <w:szCs w:val="20"/>
        </w:rPr>
        <w:t xml:space="preserve"> „AKCJA NAWIGACJA” </w:t>
      </w:r>
      <w:proofErr w:type="spellStart"/>
      <w:r w:rsidRPr="001B6EE9">
        <w:rPr>
          <w:rFonts w:ascii="Lato" w:hAnsi="Lato" w:cs="Calibri"/>
          <w:sz w:val="20"/>
          <w:szCs w:val="20"/>
        </w:rPr>
        <w:t>której</w:t>
      </w:r>
      <w:proofErr w:type="spellEnd"/>
      <w:r w:rsidRPr="001B6EE9">
        <w:rPr>
          <w:rFonts w:ascii="Lato" w:hAnsi="Lato" w:cs="Calibri"/>
          <w:sz w:val="20"/>
          <w:szCs w:val="20"/>
        </w:rPr>
        <w:t xml:space="preserve"> </w:t>
      </w:r>
      <w:proofErr w:type="spellStart"/>
      <w:r w:rsidRPr="001B6EE9">
        <w:rPr>
          <w:rFonts w:ascii="Lato" w:hAnsi="Lato" w:cs="Calibri"/>
          <w:sz w:val="20"/>
          <w:szCs w:val="20"/>
        </w:rPr>
        <w:t>głównym</w:t>
      </w:r>
      <w:proofErr w:type="spellEnd"/>
      <w:r w:rsidRPr="001B6EE9">
        <w:rPr>
          <w:rFonts w:ascii="Lato" w:hAnsi="Lato" w:cs="Calibri"/>
          <w:sz w:val="20"/>
          <w:szCs w:val="20"/>
        </w:rPr>
        <w:t xml:space="preserve"> </w:t>
      </w:r>
      <w:proofErr w:type="spellStart"/>
      <w:r w:rsidRPr="001B6EE9">
        <w:rPr>
          <w:rFonts w:ascii="Lato" w:hAnsi="Lato" w:cs="Calibri"/>
          <w:sz w:val="20"/>
          <w:szCs w:val="20"/>
        </w:rPr>
        <w:t>celem</w:t>
      </w:r>
      <w:proofErr w:type="spellEnd"/>
      <w:r w:rsidRPr="001B6EE9">
        <w:rPr>
          <w:rFonts w:ascii="Lato" w:hAnsi="Lato" w:cs="Calibri"/>
          <w:sz w:val="20"/>
          <w:szCs w:val="20"/>
        </w:rPr>
        <w:t xml:space="preserve"> </w:t>
      </w:r>
      <w:proofErr w:type="spellStart"/>
      <w:r w:rsidRPr="001B6EE9">
        <w:rPr>
          <w:rFonts w:ascii="Lato" w:hAnsi="Lato" w:cs="Calibri"/>
          <w:sz w:val="20"/>
          <w:szCs w:val="20"/>
        </w:rPr>
        <w:t>jest</w:t>
      </w:r>
      <w:proofErr w:type="spellEnd"/>
      <w:r w:rsidRPr="001B6EE9">
        <w:rPr>
          <w:rFonts w:ascii="Lato" w:hAnsi="Lato" w:cs="Calibri"/>
          <w:sz w:val="20"/>
          <w:szCs w:val="20"/>
        </w:rPr>
        <w:t xml:space="preserve"> </w:t>
      </w:r>
      <w:proofErr w:type="spellStart"/>
      <w:r w:rsidRPr="001B6EE9">
        <w:rPr>
          <w:rFonts w:ascii="Lato" w:hAnsi="Lato" w:cs="Calibri"/>
          <w:sz w:val="20"/>
          <w:szCs w:val="20"/>
        </w:rPr>
        <w:t>zwiększenie</w:t>
      </w:r>
      <w:proofErr w:type="spellEnd"/>
      <w:r w:rsidRPr="001B6EE9">
        <w:rPr>
          <w:rFonts w:ascii="Lato" w:hAnsi="Lato" w:cs="Calibri"/>
          <w:sz w:val="20"/>
          <w:szCs w:val="20"/>
        </w:rPr>
        <w:t xml:space="preserve"> </w:t>
      </w:r>
      <w:proofErr w:type="spellStart"/>
      <w:r w:rsidRPr="001B6EE9">
        <w:rPr>
          <w:rFonts w:ascii="Lato" w:hAnsi="Lato" w:cs="Calibri"/>
          <w:sz w:val="20"/>
          <w:szCs w:val="20"/>
        </w:rPr>
        <w:t>zaangażowania</w:t>
      </w:r>
      <w:proofErr w:type="spellEnd"/>
      <w:r w:rsidRPr="001B6EE9">
        <w:rPr>
          <w:rFonts w:ascii="Lato" w:hAnsi="Lato" w:cs="Calibri"/>
          <w:sz w:val="20"/>
          <w:szCs w:val="20"/>
        </w:rPr>
        <w:t xml:space="preserve"> </w:t>
      </w:r>
      <w:proofErr w:type="spellStart"/>
      <w:r w:rsidRPr="001B6EE9">
        <w:rPr>
          <w:rFonts w:ascii="Lato" w:hAnsi="Lato" w:cs="Calibri"/>
          <w:sz w:val="20"/>
          <w:szCs w:val="20"/>
        </w:rPr>
        <w:t>mieszkańców</w:t>
      </w:r>
      <w:proofErr w:type="spellEnd"/>
      <w:r w:rsidRPr="001B6EE9">
        <w:rPr>
          <w:rFonts w:ascii="Lato" w:hAnsi="Lato" w:cs="Calibri"/>
          <w:sz w:val="20"/>
          <w:szCs w:val="20"/>
        </w:rPr>
        <w:t xml:space="preserve"> </w:t>
      </w:r>
      <w:proofErr w:type="spellStart"/>
      <w:r w:rsidRPr="001B6EE9">
        <w:rPr>
          <w:rFonts w:ascii="Lato" w:hAnsi="Lato" w:cs="Calibri"/>
          <w:sz w:val="20"/>
          <w:szCs w:val="20"/>
        </w:rPr>
        <w:t>powiatu</w:t>
      </w:r>
      <w:proofErr w:type="spellEnd"/>
      <w:r w:rsidRPr="001B6EE9">
        <w:rPr>
          <w:rFonts w:ascii="Lato" w:hAnsi="Lato" w:cs="Calibri"/>
          <w:sz w:val="20"/>
          <w:szCs w:val="20"/>
        </w:rPr>
        <w:t xml:space="preserve"> </w:t>
      </w:r>
      <w:proofErr w:type="spellStart"/>
      <w:r w:rsidRPr="001B6EE9">
        <w:rPr>
          <w:rFonts w:ascii="Lato" w:hAnsi="Lato" w:cs="Calibri"/>
          <w:sz w:val="20"/>
          <w:szCs w:val="20"/>
        </w:rPr>
        <w:t>braniewskiego</w:t>
      </w:r>
      <w:proofErr w:type="spellEnd"/>
      <w:r w:rsidRPr="001B6EE9">
        <w:rPr>
          <w:rFonts w:ascii="Lato" w:hAnsi="Lato" w:cs="Calibri"/>
          <w:sz w:val="20"/>
          <w:szCs w:val="20"/>
        </w:rPr>
        <w:t xml:space="preserve"> w </w:t>
      </w:r>
      <w:proofErr w:type="spellStart"/>
      <w:r w:rsidRPr="001B6EE9">
        <w:rPr>
          <w:rFonts w:ascii="Lato" w:hAnsi="Lato" w:cs="Calibri"/>
          <w:sz w:val="20"/>
          <w:szCs w:val="20"/>
        </w:rPr>
        <w:t>wieku</w:t>
      </w:r>
      <w:proofErr w:type="spellEnd"/>
      <w:r w:rsidRPr="001B6EE9">
        <w:rPr>
          <w:rFonts w:ascii="Lato" w:hAnsi="Lato" w:cs="Calibri"/>
          <w:sz w:val="20"/>
          <w:szCs w:val="20"/>
        </w:rPr>
        <w:t xml:space="preserve"> 13-19 </w:t>
      </w:r>
      <w:proofErr w:type="spellStart"/>
      <w:r w:rsidRPr="001B6EE9">
        <w:rPr>
          <w:rFonts w:ascii="Lato" w:hAnsi="Lato" w:cs="Calibri"/>
          <w:sz w:val="20"/>
          <w:szCs w:val="20"/>
        </w:rPr>
        <w:t>lat</w:t>
      </w:r>
      <w:proofErr w:type="spellEnd"/>
      <w:r w:rsidRPr="001B6EE9">
        <w:rPr>
          <w:rFonts w:ascii="Lato" w:hAnsi="Lato" w:cs="Calibri"/>
          <w:sz w:val="20"/>
          <w:szCs w:val="20"/>
        </w:rPr>
        <w:t xml:space="preserve"> w </w:t>
      </w:r>
      <w:proofErr w:type="spellStart"/>
      <w:r w:rsidRPr="001B6EE9">
        <w:rPr>
          <w:rFonts w:ascii="Lato" w:hAnsi="Lato" w:cs="Calibri"/>
          <w:sz w:val="20"/>
          <w:szCs w:val="20"/>
        </w:rPr>
        <w:t>działania</w:t>
      </w:r>
      <w:proofErr w:type="spellEnd"/>
      <w:r w:rsidRPr="001B6EE9">
        <w:rPr>
          <w:rFonts w:ascii="Lato" w:hAnsi="Lato" w:cs="Calibri"/>
          <w:sz w:val="20"/>
          <w:szCs w:val="20"/>
        </w:rPr>
        <w:t xml:space="preserve"> </w:t>
      </w:r>
      <w:proofErr w:type="spellStart"/>
      <w:r w:rsidRPr="001B6EE9">
        <w:rPr>
          <w:rFonts w:ascii="Lato" w:hAnsi="Lato" w:cs="Calibri"/>
          <w:sz w:val="20"/>
          <w:szCs w:val="20"/>
        </w:rPr>
        <w:t>realizowane</w:t>
      </w:r>
      <w:proofErr w:type="spellEnd"/>
      <w:r w:rsidRPr="001B6EE9">
        <w:rPr>
          <w:rFonts w:ascii="Lato" w:hAnsi="Lato" w:cs="Calibri"/>
          <w:sz w:val="20"/>
          <w:szCs w:val="20"/>
        </w:rPr>
        <w:t xml:space="preserve"> na </w:t>
      </w:r>
      <w:proofErr w:type="spellStart"/>
      <w:r w:rsidRPr="001B6EE9">
        <w:rPr>
          <w:rFonts w:ascii="Lato" w:hAnsi="Lato" w:cs="Calibri"/>
          <w:sz w:val="20"/>
          <w:szCs w:val="20"/>
        </w:rPr>
        <w:t>rzecz</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społeczności</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lokalnej</w:t>
      </w:r>
      <w:proofErr w:type="spellEnd"/>
      <w:r w:rsidRPr="001B6EE9">
        <w:rPr>
          <w:rFonts w:ascii="Lato" w:hAnsi="Lato" w:cs="Calibri"/>
          <w:sz w:val="20"/>
          <w:szCs w:val="20"/>
        </w:rPr>
        <w:t xml:space="preserve"> </w:t>
      </w:r>
      <w:proofErr w:type="spellStart"/>
      <w:r w:rsidRPr="001B6EE9">
        <w:rPr>
          <w:rFonts w:ascii="Lato" w:hAnsi="Lato" w:cs="Calibri"/>
          <w:sz w:val="20"/>
          <w:szCs w:val="20"/>
        </w:rPr>
        <w:t>poprzez</w:t>
      </w:r>
      <w:proofErr w:type="spellEnd"/>
      <w:r w:rsidRPr="001B6EE9">
        <w:rPr>
          <w:rFonts w:ascii="Lato" w:hAnsi="Lato" w:cs="Calibri"/>
          <w:sz w:val="20"/>
          <w:szCs w:val="20"/>
        </w:rPr>
        <w:t xml:space="preserve"> </w:t>
      </w:r>
      <w:proofErr w:type="spellStart"/>
      <w:r w:rsidRPr="001B6EE9">
        <w:rPr>
          <w:rFonts w:ascii="Lato" w:hAnsi="Lato" w:cs="Calibri"/>
          <w:sz w:val="20"/>
          <w:szCs w:val="20"/>
        </w:rPr>
        <w:t>stworzenie</w:t>
      </w:r>
      <w:proofErr w:type="spellEnd"/>
      <w:r w:rsidRPr="001B6EE9">
        <w:rPr>
          <w:rFonts w:ascii="Lato" w:hAnsi="Lato" w:cs="Calibri"/>
          <w:sz w:val="20"/>
          <w:szCs w:val="20"/>
        </w:rPr>
        <w:t xml:space="preserve"> </w:t>
      </w:r>
      <w:proofErr w:type="spellStart"/>
      <w:r w:rsidRPr="001B6EE9">
        <w:rPr>
          <w:rFonts w:ascii="Lato" w:hAnsi="Lato" w:cs="Calibri"/>
          <w:sz w:val="20"/>
          <w:szCs w:val="20"/>
        </w:rPr>
        <w:t>Akademii</w:t>
      </w:r>
      <w:proofErr w:type="spellEnd"/>
      <w:r w:rsidRPr="001B6EE9">
        <w:rPr>
          <w:rFonts w:ascii="Lato" w:hAnsi="Lato" w:cs="Calibri"/>
          <w:sz w:val="20"/>
          <w:szCs w:val="20"/>
        </w:rPr>
        <w:t xml:space="preserve"> </w:t>
      </w:r>
      <w:proofErr w:type="spellStart"/>
      <w:r w:rsidRPr="001B6EE9">
        <w:rPr>
          <w:rFonts w:ascii="Lato" w:hAnsi="Lato" w:cs="Calibri"/>
          <w:sz w:val="20"/>
          <w:szCs w:val="20"/>
        </w:rPr>
        <w:t>Aktywności</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zorganizowanie</w:t>
      </w:r>
      <w:proofErr w:type="spellEnd"/>
      <w:r w:rsidRPr="001B6EE9">
        <w:rPr>
          <w:rFonts w:ascii="Lato" w:hAnsi="Lato" w:cs="Calibri"/>
          <w:sz w:val="20"/>
          <w:szCs w:val="20"/>
        </w:rPr>
        <w:t xml:space="preserve"> 6 </w:t>
      </w:r>
      <w:proofErr w:type="spellStart"/>
      <w:r w:rsidRPr="001B6EE9">
        <w:rPr>
          <w:rFonts w:ascii="Lato" w:hAnsi="Lato" w:cs="Calibri"/>
          <w:sz w:val="20"/>
          <w:szCs w:val="20"/>
        </w:rPr>
        <w:t>oddolnych</w:t>
      </w:r>
      <w:proofErr w:type="spellEnd"/>
      <w:r w:rsidRPr="001B6EE9">
        <w:rPr>
          <w:rFonts w:ascii="Lato" w:hAnsi="Lato" w:cs="Calibri"/>
          <w:sz w:val="20"/>
          <w:szCs w:val="20"/>
        </w:rPr>
        <w:t xml:space="preserve"> </w:t>
      </w:r>
      <w:proofErr w:type="spellStart"/>
      <w:r w:rsidRPr="001B6EE9">
        <w:rPr>
          <w:rFonts w:ascii="Lato" w:hAnsi="Lato" w:cs="Calibri"/>
          <w:sz w:val="20"/>
          <w:szCs w:val="20"/>
        </w:rPr>
        <w:t>inicjatyw</w:t>
      </w:r>
      <w:proofErr w:type="spellEnd"/>
      <w:r w:rsidRPr="001B6EE9">
        <w:rPr>
          <w:rFonts w:ascii="Lato" w:hAnsi="Lato" w:cs="Calibri"/>
          <w:sz w:val="20"/>
          <w:szCs w:val="20"/>
        </w:rPr>
        <w:t xml:space="preserve"> </w:t>
      </w:r>
      <w:proofErr w:type="spellStart"/>
      <w:r w:rsidRPr="001B6EE9">
        <w:rPr>
          <w:rFonts w:ascii="Lato" w:hAnsi="Lato" w:cs="Calibri"/>
          <w:sz w:val="20"/>
          <w:szCs w:val="20"/>
        </w:rPr>
        <w:t>polegających</w:t>
      </w:r>
      <w:proofErr w:type="spellEnd"/>
      <w:r w:rsidRPr="001B6EE9">
        <w:rPr>
          <w:rFonts w:ascii="Lato" w:hAnsi="Lato" w:cs="Calibri"/>
          <w:sz w:val="20"/>
          <w:szCs w:val="20"/>
        </w:rPr>
        <w:t xml:space="preserve"> na </w:t>
      </w:r>
      <w:proofErr w:type="spellStart"/>
      <w:r w:rsidRPr="001B6EE9">
        <w:rPr>
          <w:rFonts w:ascii="Lato" w:hAnsi="Lato" w:cs="Calibri"/>
          <w:sz w:val="20"/>
          <w:szCs w:val="20"/>
        </w:rPr>
        <w:t>samodzielnym</w:t>
      </w:r>
      <w:proofErr w:type="spellEnd"/>
      <w:r w:rsidRPr="001B6EE9">
        <w:rPr>
          <w:rFonts w:ascii="Lato" w:hAnsi="Lato" w:cs="Calibri"/>
          <w:sz w:val="20"/>
          <w:szCs w:val="20"/>
        </w:rPr>
        <w:t xml:space="preserve"> </w:t>
      </w:r>
      <w:proofErr w:type="spellStart"/>
      <w:r w:rsidRPr="001B6EE9">
        <w:rPr>
          <w:rFonts w:ascii="Lato" w:hAnsi="Lato" w:cs="Calibri"/>
          <w:sz w:val="20"/>
          <w:szCs w:val="20"/>
        </w:rPr>
        <w:t>zaplanowaniu</w:t>
      </w:r>
      <w:proofErr w:type="spellEnd"/>
      <w:r w:rsidRPr="001B6EE9">
        <w:rPr>
          <w:rFonts w:ascii="Lato" w:hAnsi="Lato" w:cs="Calibri"/>
          <w:sz w:val="20"/>
          <w:szCs w:val="20"/>
        </w:rPr>
        <w:t xml:space="preserve">, </w:t>
      </w:r>
      <w:proofErr w:type="spellStart"/>
      <w:r w:rsidRPr="001B6EE9">
        <w:rPr>
          <w:rFonts w:ascii="Lato" w:hAnsi="Lato" w:cs="Calibri"/>
          <w:sz w:val="20"/>
          <w:szCs w:val="20"/>
        </w:rPr>
        <w:t>przygotowaniu</w:t>
      </w:r>
      <w:proofErr w:type="spellEnd"/>
      <w:r w:rsidRPr="001B6EE9">
        <w:rPr>
          <w:rFonts w:ascii="Lato" w:hAnsi="Lato" w:cs="Calibri"/>
          <w:sz w:val="20"/>
          <w:szCs w:val="20"/>
        </w:rPr>
        <w:t xml:space="preserve"> i </w:t>
      </w:r>
      <w:proofErr w:type="spellStart"/>
      <w:r w:rsidRPr="001B6EE9">
        <w:rPr>
          <w:rFonts w:ascii="Lato" w:hAnsi="Lato" w:cs="Calibri"/>
          <w:sz w:val="20"/>
          <w:szCs w:val="20"/>
        </w:rPr>
        <w:t>przeprowadzeniu</w:t>
      </w:r>
      <w:proofErr w:type="spellEnd"/>
      <w:r w:rsidRPr="001B6EE9">
        <w:rPr>
          <w:rFonts w:ascii="Lato" w:hAnsi="Lato" w:cs="Calibri"/>
          <w:sz w:val="20"/>
          <w:szCs w:val="20"/>
        </w:rPr>
        <w:t xml:space="preserve"> </w:t>
      </w:r>
      <w:proofErr w:type="spellStart"/>
      <w:r w:rsidRPr="001B6EE9">
        <w:rPr>
          <w:rFonts w:ascii="Lato" w:hAnsi="Lato" w:cs="Calibri"/>
          <w:sz w:val="20"/>
          <w:szCs w:val="20"/>
        </w:rPr>
        <w:t>spotkań</w:t>
      </w:r>
      <w:proofErr w:type="spellEnd"/>
      <w:r w:rsidRPr="001B6EE9">
        <w:rPr>
          <w:rFonts w:ascii="Lato" w:hAnsi="Lato" w:cs="Calibri"/>
          <w:sz w:val="20"/>
          <w:szCs w:val="20"/>
        </w:rPr>
        <w:t xml:space="preserve"> w </w:t>
      </w:r>
      <w:proofErr w:type="spellStart"/>
      <w:r w:rsidRPr="001B6EE9">
        <w:rPr>
          <w:rFonts w:ascii="Lato" w:hAnsi="Lato" w:cs="Calibri"/>
          <w:sz w:val="20"/>
          <w:szCs w:val="20"/>
        </w:rPr>
        <w:t>formie</w:t>
      </w:r>
      <w:proofErr w:type="spellEnd"/>
      <w:r w:rsidRPr="001B6EE9">
        <w:rPr>
          <w:rFonts w:ascii="Lato" w:hAnsi="Lato" w:cs="Calibri"/>
          <w:sz w:val="20"/>
          <w:szCs w:val="20"/>
        </w:rPr>
        <w:t xml:space="preserve"> </w:t>
      </w:r>
      <w:proofErr w:type="spellStart"/>
      <w:r w:rsidRPr="001B6EE9">
        <w:rPr>
          <w:rFonts w:ascii="Lato" w:hAnsi="Lato" w:cs="Calibri"/>
          <w:sz w:val="20"/>
          <w:szCs w:val="20"/>
        </w:rPr>
        <w:t>warsztatów</w:t>
      </w:r>
      <w:proofErr w:type="spellEnd"/>
      <w:r w:rsidRPr="001B6EE9">
        <w:rPr>
          <w:rFonts w:ascii="Lato" w:hAnsi="Lato" w:cs="Calibri"/>
          <w:sz w:val="20"/>
          <w:szCs w:val="20"/>
        </w:rPr>
        <w:t xml:space="preserve"> </w:t>
      </w:r>
      <w:proofErr w:type="spellStart"/>
      <w:r w:rsidRPr="001B6EE9">
        <w:rPr>
          <w:rFonts w:ascii="Lato" w:hAnsi="Lato" w:cs="Calibri"/>
          <w:sz w:val="20"/>
          <w:szCs w:val="20"/>
        </w:rPr>
        <w:t>dla</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 </w:t>
      </w:r>
      <w:proofErr w:type="spellStart"/>
      <w:r w:rsidRPr="001B6EE9">
        <w:rPr>
          <w:rFonts w:ascii="Lato" w:hAnsi="Lato" w:cs="Calibri"/>
          <w:sz w:val="20"/>
          <w:szCs w:val="20"/>
        </w:rPr>
        <w:t>tym</w:t>
      </w:r>
      <w:proofErr w:type="spellEnd"/>
      <w:r w:rsidRPr="001B6EE9">
        <w:rPr>
          <w:rFonts w:ascii="Lato" w:hAnsi="Lato" w:cs="Calibri"/>
          <w:sz w:val="20"/>
          <w:szCs w:val="20"/>
        </w:rPr>
        <w:t xml:space="preserve"> z  </w:t>
      </w:r>
      <w:proofErr w:type="spellStart"/>
      <w:r w:rsidRPr="001B6EE9">
        <w:rPr>
          <w:rFonts w:ascii="Lato" w:hAnsi="Lato" w:cs="Calibri"/>
          <w:sz w:val="20"/>
          <w:szCs w:val="20"/>
        </w:rPr>
        <w:t>niepełnosprawnościami</w:t>
      </w:r>
      <w:proofErr w:type="spellEnd"/>
      <w:r w:rsidRPr="001B6EE9">
        <w:rPr>
          <w:rFonts w:ascii="Lato" w:hAnsi="Lato" w:cs="Calibri"/>
          <w:sz w:val="20"/>
          <w:szCs w:val="20"/>
        </w:rPr>
        <w:t xml:space="preserve"> </w:t>
      </w:r>
      <w:proofErr w:type="spellStart"/>
      <w:r w:rsidRPr="001B6EE9">
        <w:rPr>
          <w:rFonts w:ascii="Lato" w:hAnsi="Lato" w:cs="Calibri"/>
          <w:sz w:val="20"/>
          <w:szCs w:val="20"/>
        </w:rPr>
        <w:t>ruchowymi</w:t>
      </w:r>
      <w:proofErr w:type="spellEnd"/>
      <w:r w:rsidRPr="001B6EE9">
        <w:rPr>
          <w:rFonts w:ascii="Lato" w:hAnsi="Lato" w:cs="Calibri"/>
          <w:sz w:val="20"/>
          <w:szCs w:val="20"/>
        </w:rPr>
        <w:t xml:space="preserve"> i </w:t>
      </w:r>
      <w:proofErr w:type="spellStart"/>
      <w:r w:rsidRPr="001B6EE9">
        <w:rPr>
          <w:rFonts w:ascii="Lato" w:hAnsi="Lato" w:cs="Calibri"/>
          <w:sz w:val="20"/>
          <w:szCs w:val="20"/>
        </w:rPr>
        <w:t>zaburzeniami</w:t>
      </w:r>
      <w:proofErr w:type="spellEnd"/>
      <w:r w:rsidRPr="001B6EE9">
        <w:rPr>
          <w:rFonts w:ascii="Lato" w:hAnsi="Lato" w:cs="Calibri"/>
          <w:sz w:val="20"/>
          <w:szCs w:val="20"/>
        </w:rPr>
        <w:t xml:space="preserve"> </w:t>
      </w:r>
      <w:proofErr w:type="spellStart"/>
      <w:r w:rsidRPr="001B6EE9">
        <w:rPr>
          <w:rFonts w:ascii="Lato" w:hAnsi="Lato" w:cs="Calibri"/>
          <w:sz w:val="20"/>
          <w:szCs w:val="20"/>
        </w:rPr>
        <w:t>psychicznymi</w:t>
      </w:r>
      <w:proofErr w:type="spellEnd"/>
      <w:r w:rsidRPr="001B6EE9">
        <w:rPr>
          <w:rFonts w:ascii="Lato" w:hAnsi="Lato" w:cs="Calibri"/>
          <w:sz w:val="20"/>
          <w:szCs w:val="20"/>
        </w:rPr>
        <w:t>.</w:t>
      </w:r>
    </w:p>
    <w:p w14:paraId="38640D7F" w14:textId="77777777" w:rsidR="001B6EE9" w:rsidRPr="001B6EE9" w:rsidRDefault="001B6EE9" w:rsidP="001B6EE9">
      <w:pPr>
        <w:pStyle w:val="Standard"/>
        <w:jc w:val="both"/>
        <w:rPr>
          <w:rFonts w:ascii="Lato" w:hAnsi="Lato" w:cs="Calibri"/>
          <w:color w:val="00B050"/>
          <w:sz w:val="20"/>
          <w:szCs w:val="20"/>
        </w:rPr>
      </w:pPr>
    </w:p>
    <w:p w14:paraId="4139E190" w14:textId="648E8A8C" w:rsidR="008548E7" w:rsidRPr="008548E7" w:rsidRDefault="008548E7" w:rsidP="001B6EE9">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p>
    <w:p w14:paraId="06884F30" w14:textId="2B073731" w:rsidR="001B6EE9" w:rsidRPr="001B6EE9" w:rsidRDefault="008548E7" w:rsidP="001B6EE9">
      <w:pPr>
        <w:spacing w:after="0" w:line="240" w:lineRule="auto"/>
        <w:jc w:val="both"/>
        <w:rPr>
          <w:rFonts w:ascii="Lato" w:hAnsi="Lato"/>
          <w:sz w:val="20"/>
          <w:szCs w:val="20"/>
        </w:rPr>
      </w:pPr>
      <w:r>
        <w:rPr>
          <w:rFonts w:ascii="Lato" w:hAnsi="Lato"/>
          <w:sz w:val="20"/>
          <w:szCs w:val="20"/>
        </w:rPr>
        <w:t>Na szczególną</w:t>
      </w:r>
      <w:r w:rsidR="001B6EE9" w:rsidRPr="001B6EE9">
        <w:rPr>
          <w:rFonts w:ascii="Lato" w:hAnsi="Lato"/>
          <w:sz w:val="20"/>
          <w:szCs w:val="20"/>
        </w:rPr>
        <w:t xml:space="preserve"> uwagę zasługują metody pracy osób związanych zarówno ze Stowarzyszeniem „OSTOJA WARMIŃSKA”, jak i samym Środowiskowym Domem Samopomocy w Żelaznej Górze, którzy cały czas się doszkalają w celu podwyższenia jakości usług dla mieszkańców ziemi braniewskiej. Pracownicy ŚDS oraz członkowie Stowarzyszenia korzystają z programu Erasmus plus, biorą udział w  szkoleniach i wymianach międzynarodowych, szkolą się z innowacyjnych programów takie jak Kręgi Wsparcia, wdrażają niestandardowe metody takie jak Edukacja w Plenerze metodą Edynburską, a także wiele innych. Wdrażaniu innowacyjnych metod sprzyja utrzymywanie przez pracowników ŚDS w Żelaznej Górze szerokich kontaktów krajowych (PSONI, Podlaski Senior, Fundacja Żółty Szalik, Centrum Innowacyjnej Edukacji, Stowarzyszenie Tratwa, czy Stowarzyszenie Inicjatyw Pozytywnych w Kaczym Bagnie)  oraz międzynarodowych (AKCION SYNERGY z Grecji, czy AMICA w Hiszpanii).  </w:t>
      </w:r>
    </w:p>
    <w:p w14:paraId="36529ECF" w14:textId="77777777" w:rsidR="001B6EE9" w:rsidRPr="001B6EE9" w:rsidRDefault="001B6EE9" w:rsidP="001B6EE9">
      <w:pPr>
        <w:spacing w:after="0" w:line="240" w:lineRule="auto"/>
        <w:jc w:val="both"/>
        <w:rPr>
          <w:rFonts w:ascii="Lato" w:hAnsi="Lato"/>
          <w:sz w:val="20"/>
          <w:szCs w:val="20"/>
        </w:rPr>
      </w:pPr>
    </w:p>
    <w:p w14:paraId="01B9A38C" w14:textId="78E1A825" w:rsidR="001B6EE9" w:rsidRPr="008548E7" w:rsidRDefault="008548E7" w:rsidP="008548E7">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49C3D5D3" w14:textId="2B835649" w:rsidR="001B6EE9" w:rsidRPr="001B6EE9" w:rsidRDefault="001B6EE9" w:rsidP="008548E7">
      <w:pPr>
        <w:pStyle w:val="Standard"/>
        <w:widowControl/>
        <w:jc w:val="both"/>
        <w:rPr>
          <w:rFonts w:ascii="Lato" w:hAnsi="Lato"/>
          <w:sz w:val="20"/>
          <w:szCs w:val="20"/>
        </w:rPr>
      </w:pPr>
      <w:r w:rsidRPr="001B6EE9">
        <w:rPr>
          <w:rFonts w:ascii="Lato" w:hAnsi="Lato" w:cs="Calibri"/>
          <w:sz w:val="20"/>
          <w:szCs w:val="20"/>
          <w:lang w:eastAsia="pl-PL"/>
        </w:rPr>
        <w:lastRenderedPageBreak/>
        <w:t>W 2022 r</w:t>
      </w:r>
      <w:r w:rsidR="008548E7">
        <w:rPr>
          <w:rFonts w:ascii="Lato" w:hAnsi="Lato" w:cs="Calibri"/>
          <w:sz w:val="20"/>
          <w:szCs w:val="20"/>
          <w:lang w:eastAsia="pl-PL"/>
        </w:rPr>
        <w:t xml:space="preserve">. </w:t>
      </w:r>
      <w:proofErr w:type="spellStart"/>
      <w:r w:rsidRPr="001B6EE9">
        <w:rPr>
          <w:rFonts w:ascii="Lato" w:hAnsi="Lato" w:cs="Calibri"/>
          <w:sz w:val="20"/>
          <w:szCs w:val="20"/>
          <w:lang w:eastAsia="pl-PL"/>
        </w:rPr>
        <w:t>funkcjonowała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Społeczna</w:t>
      </w:r>
      <w:proofErr w:type="spellEnd"/>
      <w:r w:rsidRPr="001B6EE9">
        <w:rPr>
          <w:rFonts w:ascii="Lato" w:hAnsi="Lato" w:cs="Calibri"/>
          <w:sz w:val="20"/>
          <w:szCs w:val="20"/>
          <w:lang w:eastAsia="pl-PL"/>
        </w:rPr>
        <w:t xml:space="preserve"> Rada </w:t>
      </w:r>
      <w:proofErr w:type="spellStart"/>
      <w:r w:rsidRPr="001B6EE9">
        <w:rPr>
          <w:rFonts w:ascii="Lato" w:hAnsi="Lato" w:cs="Calibri"/>
          <w:sz w:val="20"/>
          <w:szCs w:val="20"/>
          <w:lang w:eastAsia="pl-PL"/>
        </w:rPr>
        <w:t>Seniorów</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Województwa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Warmińsko-Mazurskiego</w:t>
      </w:r>
      <w:proofErr w:type="spellEnd"/>
      <w:r w:rsidRPr="001B6EE9">
        <w:rPr>
          <w:rFonts w:ascii="Lato" w:hAnsi="Lato" w:cs="Calibri"/>
          <w:sz w:val="20"/>
          <w:szCs w:val="20"/>
          <w:lang w:eastAsia="pl-PL"/>
        </w:rPr>
        <w:t xml:space="preserve"> II </w:t>
      </w:r>
      <w:proofErr w:type="spellStart"/>
      <w:r w:rsidRPr="001B6EE9">
        <w:rPr>
          <w:rFonts w:ascii="Lato" w:hAnsi="Lato" w:cs="Calibri"/>
          <w:sz w:val="20"/>
          <w:szCs w:val="20"/>
          <w:lang w:eastAsia="pl-PL"/>
        </w:rPr>
        <w:t>kadencji</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Wybory</w:t>
      </w:r>
      <w:proofErr w:type="spellEnd"/>
      <w:r w:rsidRPr="001B6EE9">
        <w:rPr>
          <w:rFonts w:ascii="Lato" w:hAnsi="Lato" w:cs="Calibri"/>
          <w:sz w:val="20"/>
          <w:szCs w:val="20"/>
          <w:lang w:eastAsia="pl-PL"/>
        </w:rPr>
        <w:t xml:space="preserve"> do </w:t>
      </w:r>
      <w:proofErr w:type="spellStart"/>
      <w:r w:rsidRPr="001B6EE9">
        <w:rPr>
          <w:rFonts w:ascii="Lato" w:hAnsi="Lato" w:cs="Calibri"/>
          <w:sz w:val="20"/>
          <w:szCs w:val="20"/>
          <w:lang w:eastAsia="pl-PL"/>
        </w:rPr>
        <w:t>Rady</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przeprowadzono</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we</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współpracy</w:t>
      </w:r>
      <w:proofErr w:type="spellEnd"/>
      <w:r w:rsidRPr="001B6EE9">
        <w:rPr>
          <w:rFonts w:ascii="Lato" w:hAnsi="Lato" w:cs="Calibri"/>
          <w:sz w:val="20"/>
          <w:szCs w:val="20"/>
          <w:lang w:eastAsia="pl-PL"/>
        </w:rPr>
        <w:t xml:space="preserve"> z </w:t>
      </w:r>
      <w:proofErr w:type="spellStart"/>
      <w:r w:rsidRPr="001B6EE9">
        <w:rPr>
          <w:rFonts w:ascii="Lato" w:hAnsi="Lato" w:cs="Calibri"/>
          <w:sz w:val="20"/>
          <w:szCs w:val="20"/>
          <w:lang w:eastAsia="pl-PL"/>
        </w:rPr>
        <w:t>Federacją</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Organizacji</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Socjalnych</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Województwa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Warmińsko-Mazurskiego</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FOSa</w:t>
      </w:r>
      <w:proofErr w:type="spellEnd"/>
      <w:r w:rsidRPr="001B6EE9">
        <w:rPr>
          <w:rFonts w:ascii="Lato" w:hAnsi="Lato" w:cs="Calibri"/>
          <w:sz w:val="20"/>
          <w:szCs w:val="20"/>
          <w:lang w:eastAsia="pl-PL"/>
        </w:rPr>
        <w:t xml:space="preserve"> z </w:t>
      </w:r>
      <w:proofErr w:type="spellStart"/>
      <w:r w:rsidRPr="001B6EE9">
        <w:rPr>
          <w:rFonts w:ascii="Lato" w:hAnsi="Lato" w:cs="Calibri"/>
          <w:sz w:val="20"/>
          <w:szCs w:val="20"/>
          <w:lang w:eastAsia="pl-PL"/>
        </w:rPr>
        <w:t>Olsztyna</w:t>
      </w:r>
      <w:proofErr w:type="spellEnd"/>
      <w:r w:rsidRPr="001B6EE9">
        <w:rPr>
          <w:rFonts w:ascii="Lato" w:hAnsi="Lato" w:cs="Calibri"/>
          <w:sz w:val="20"/>
          <w:szCs w:val="20"/>
          <w:lang w:eastAsia="pl-PL"/>
        </w:rPr>
        <w:t xml:space="preserve">. Rada </w:t>
      </w:r>
      <w:proofErr w:type="spellStart"/>
      <w:r w:rsidRPr="001B6EE9">
        <w:rPr>
          <w:rFonts w:ascii="Lato" w:hAnsi="Lato" w:cs="Calibri"/>
          <w:sz w:val="20"/>
          <w:szCs w:val="20"/>
          <w:lang w:eastAsia="pl-PL"/>
        </w:rPr>
        <w:t>została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powołana</w:t>
      </w:r>
      <w:proofErr w:type="spellEnd"/>
      <w:r w:rsidRPr="001B6EE9">
        <w:rPr>
          <w:rFonts w:ascii="Lato" w:hAnsi="Lato" w:cs="Calibri"/>
          <w:sz w:val="20"/>
          <w:szCs w:val="20"/>
          <w:lang w:eastAsia="pl-PL"/>
        </w:rPr>
        <w:t xml:space="preserve"> w </w:t>
      </w:r>
      <w:proofErr w:type="spellStart"/>
      <w:r w:rsidRPr="001B6EE9">
        <w:rPr>
          <w:rFonts w:ascii="Lato" w:hAnsi="Lato" w:cs="Calibri"/>
          <w:sz w:val="20"/>
          <w:szCs w:val="20"/>
          <w:lang w:eastAsia="pl-PL"/>
        </w:rPr>
        <w:t>grudniu</w:t>
      </w:r>
      <w:proofErr w:type="spellEnd"/>
      <w:r w:rsidRPr="001B6EE9">
        <w:rPr>
          <w:rFonts w:ascii="Lato" w:hAnsi="Lato" w:cs="Calibri"/>
          <w:sz w:val="20"/>
          <w:szCs w:val="20"/>
          <w:lang w:eastAsia="pl-PL"/>
        </w:rPr>
        <w:t xml:space="preserve"> 2021 r. </w:t>
      </w:r>
      <w:proofErr w:type="spellStart"/>
      <w:r w:rsidRPr="001B6EE9">
        <w:rPr>
          <w:rFonts w:ascii="Lato" w:hAnsi="Lato" w:cs="Calibri"/>
          <w:sz w:val="20"/>
          <w:szCs w:val="20"/>
          <w:lang w:eastAsia="pl-PL"/>
        </w:rPr>
        <w:t>Obecnie</w:t>
      </w:r>
      <w:proofErr w:type="spellEnd"/>
      <w:r w:rsidRPr="001B6EE9">
        <w:rPr>
          <w:rFonts w:ascii="Lato" w:hAnsi="Lato" w:cs="Calibri"/>
          <w:sz w:val="20"/>
          <w:szCs w:val="20"/>
          <w:lang w:eastAsia="pl-PL"/>
        </w:rPr>
        <w:t xml:space="preserve"> Rada </w:t>
      </w:r>
      <w:proofErr w:type="spellStart"/>
      <w:r w:rsidRPr="001B6EE9">
        <w:rPr>
          <w:rFonts w:ascii="Lato" w:hAnsi="Lato" w:cs="Calibri"/>
          <w:sz w:val="20"/>
          <w:szCs w:val="20"/>
          <w:lang w:eastAsia="pl-PL"/>
        </w:rPr>
        <w:t>liczy</w:t>
      </w:r>
      <w:proofErr w:type="spellEnd"/>
      <w:r w:rsidRPr="001B6EE9">
        <w:rPr>
          <w:rFonts w:ascii="Lato" w:hAnsi="Lato" w:cs="Calibri"/>
          <w:sz w:val="20"/>
          <w:szCs w:val="20"/>
          <w:lang w:eastAsia="pl-PL"/>
        </w:rPr>
        <w:t xml:space="preserve"> 32 </w:t>
      </w:r>
      <w:proofErr w:type="spellStart"/>
      <w:r w:rsidRPr="001B6EE9">
        <w:rPr>
          <w:rFonts w:ascii="Lato" w:hAnsi="Lato" w:cs="Calibri"/>
          <w:sz w:val="20"/>
          <w:szCs w:val="20"/>
          <w:lang w:eastAsia="pl-PL"/>
        </w:rPr>
        <w:t>członków</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Głównymi</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priorytetami</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jakie</w:t>
      </w:r>
      <w:proofErr w:type="spellEnd"/>
      <w:r w:rsidRPr="001B6EE9">
        <w:rPr>
          <w:rFonts w:ascii="Lato" w:hAnsi="Lato" w:cs="Calibri"/>
          <w:sz w:val="20"/>
          <w:szCs w:val="20"/>
          <w:lang w:eastAsia="pl-PL"/>
        </w:rPr>
        <w:t xml:space="preserve"> Rada </w:t>
      </w:r>
      <w:proofErr w:type="spellStart"/>
      <w:r w:rsidRPr="001B6EE9">
        <w:rPr>
          <w:rFonts w:ascii="Lato" w:hAnsi="Lato" w:cs="Calibri"/>
          <w:sz w:val="20"/>
          <w:szCs w:val="20"/>
          <w:lang w:eastAsia="pl-PL"/>
        </w:rPr>
        <w:t>ustaliła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dla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swoich</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działań</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to</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promowanie</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tworzenia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gminnych</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rad</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seniorów</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rozwój</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geriatrii</w:t>
      </w:r>
      <w:proofErr w:type="spellEnd"/>
      <w:r w:rsidRPr="001B6EE9">
        <w:rPr>
          <w:rFonts w:ascii="Lato" w:hAnsi="Lato" w:cs="Calibri"/>
          <w:sz w:val="20"/>
          <w:szCs w:val="20"/>
          <w:lang w:eastAsia="pl-PL"/>
        </w:rPr>
        <w:t xml:space="preserve"> w </w:t>
      </w:r>
      <w:proofErr w:type="spellStart"/>
      <w:r w:rsidRPr="001B6EE9">
        <w:rPr>
          <w:rFonts w:ascii="Lato" w:hAnsi="Lato" w:cs="Calibri"/>
          <w:sz w:val="20"/>
          <w:szCs w:val="20"/>
          <w:lang w:eastAsia="pl-PL"/>
        </w:rPr>
        <w:t>regionie</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oraz</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rozwój</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usług</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społecznych</w:t>
      </w:r>
      <w:proofErr w:type="spellEnd"/>
      <w:r w:rsidRPr="001B6EE9">
        <w:rPr>
          <w:rFonts w:ascii="Lato" w:hAnsi="Lato" w:cs="Calibri"/>
          <w:sz w:val="20"/>
          <w:szCs w:val="20"/>
          <w:lang w:eastAsia="pl-PL"/>
        </w:rPr>
        <w:t xml:space="preserve"> i </w:t>
      </w:r>
      <w:proofErr w:type="spellStart"/>
      <w:r w:rsidRPr="001B6EE9">
        <w:rPr>
          <w:rFonts w:ascii="Lato" w:hAnsi="Lato" w:cs="Calibri"/>
          <w:sz w:val="20"/>
          <w:szCs w:val="20"/>
          <w:lang w:eastAsia="pl-PL"/>
        </w:rPr>
        <w:t>zdrowotnych</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dla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osób</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starszych</w:t>
      </w:r>
      <w:proofErr w:type="spellEnd"/>
      <w:r w:rsidRPr="001B6EE9">
        <w:rPr>
          <w:rFonts w:ascii="Lato" w:hAnsi="Lato" w:cs="Calibri"/>
          <w:sz w:val="20"/>
          <w:szCs w:val="20"/>
          <w:lang w:eastAsia="pl-PL"/>
        </w:rPr>
        <w:t xml:space="preserve"> w </w:t>
      </w:r>
      <w:proofErr w:type="spellStart"/>
      <w:r w:rsidRPr="001B6EE9">
        <w:rPr>
          <w:rFonts w:ascii="Lato" w:hAnsi="Lato" w:cs="Calibri"/>
          <w:sz w:val="20"/>
          <w:szCs w:val="20"/>
          <w:lang w:eastAsia="pl-PL"/>
        </w:rPr>
        <w:t>środowisku</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lokalnym</w:t>
      </w:r>
      <w:proofErr w:type="spellEnd"/>
      <w:r w:rsidRPr="001B6EE9">
        <w:rPr>
          <w:rFonts w:ascii="Lato" w:hAnsi="Lato" w:cs="Calibri"/>
          <w:sz w:val="20"/>
          <w:szCs w:val="20"/>
          <w:lang w:eastAsia="pl-PL"/>
        </w:rPr>
        <w:t xml:space="preserve">. W 2022 </w:t>
      </w:r>
      <w:proofErr w:type="spellStart"/>
      <w:r w:rsidRPr="001B6EE9">
        <w:rPr>
          <w:rFonts w:ascii="Lato" w:hAnsi="Lato" w:cs="Calibri"/>
          <w:sz w:val="20"/>
          <w:szCs w:val="20"/>
          <w:lang w:eastAsia="pl-PL"/>
        </w:rPr>
        <w:t>roku</w:t>
      </w:r>
      <w:proofErr w:type="spellEnd"/>
      <w:r w:rsidRPr="001B6EE9">
        <w:rPr>
          <w:rFonts w:ascii="Lato" w:hAnsi="Lato" w:cs="Calibri"/>
          <w:sz w:val="20"/>
          <w:szCs w:val="20"/>
          <w:lang w:eastAsia="pl-PL"/>
        </w:rPr>
        <w:t xml:space="preserve"> Rada </w:t>
      </w:r>
      <w:proofErr w:type="spellStart"/>
      <w:r w:rsidRPr="001B6EE9">
        <w:rPr>
          <w:rFonts w:ascii="Lato" w:hAnsi="Lato" w:cs="Calibri"/>
          <w:sz w:val="20"/>
          <w:szCs w:val="20"/>
          <w:lang w:eastAsia="pl-PL"/>
        </w:rPr>
        <w:t>zainicjowała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międzypokoleniową</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współpracę</w:t>
      </w:r>
      <w:proofErr w:type="spellEnd"/>
      <w:r w:rsidRPr="001B6EE9">
        <w:rPr>
          <w:rFonts w:ascii="Lato" w:hAnsi="Lato" w:cs="Calibri"/>
          <w:sz w:val="20"/>
          <w:szCs w:val="20"/>
          <w:lang w:eastAsia="pl-PL"/>
        </w:rPr>
        <w:t xml:space="preserve"> z </w:t>
      </w:r>
      <w:proofErr w:type="spellStart"/>
      <w:r w:rsidRPr="001B6EE9">
        <w:rPr>
          <w:rFonts w:ascii="Lato" w:hAnsi="Lato" w:cs="Calibri"/>
          <w:sz w:val="20"/>
          <w:szCs w:val="20"/>
          <w:lang w:eastAsia="pl-PL"/>
        </w:rPr>
        <w:t>Młodzieżowym</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Sejmikiem</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Województwa</w:t>
      </w:r>
      <w:proofErr w:type="spellEnd"/>
      <w:r w:rsidRPr="001B6EE9">
        <w:rPr>
          <w:rFonts w:ascii="Lato" w:hAnsi="Lato" w:cs="Calibri"/>
          <w:sz w:val="20"/>
          <w:szCs w:val="20"/>
          <w:lang w:eastAsia="pl-PL"/>
        </w:rPr>
        <w:t xml:space="preserve"> </w:t>
      </w:r>
      <w:proofErr w:type="spellStart"/>
      <w:r w:rsidRPr="001B6EE9">
        <w:rPr>
          <w:rFonts w:ascii="Lato" w:hAnsi="Lato" w:cs="Calibri"/>
          <w:sz w:val="20"/>
          <w:szCs w:val="20"/>
          <w:lang w:eastAsia="pl-PL"/>
        </w:rPr>
        <w:t>Warmińsko-Mazurskiego</w:t>
      </w:r>
      <w:proofErr w:type="spellEnd"/>
      <w:r w:rsidRPr="001B6EE9">
        <w:rPr>
          <w:rFonts w:ascii="Lato" w:hAnsi="Lato" w:cs="Calibri"/>
          <w:sz w:val="20"/>
          <w:szCs w:val="20"/>
          <w:lang w:eastAsia="pl-PL"/>
        </w:rPr>
        <w:t xml:space="preserve">.  </w:t>
      </w:r>
    </w:p>
    <w:p w14:paraId="409629DD" w14:textId="77777777" w:rsidR="008548E7" w:rsidRDefault="008548E7" w:rsidP="008548E7">
      <w:pPr>
        <w:pStyle w:val="Standard"/>
        <w:widowControl/>
        <w:jc w:val="both"/>
        <w:rPr>
          <w:rFonts w:ascii="Lato" w:hAnsi="Lato" w:cs="Calibri"/>
          <w:sz w:val="20"/>
          <w:szCs w:val="20"/>
        </w:rPr>
      </w:pPr>
    </w:p>
    <w:p w14:paraId="78EEE0AF" w14:textId="6891E8A0" w:rsidR="001B6EE9" w:rsidRPr="001B6EE9" w:rsidRDefault="001B6EE9" w:rsidP="008548E7">
      <w:pPr>
        <w:pStyle w:val="Standard"/>
        <w:widowControl/>
        <w:jc w:val="both"/>
        <w:rPr>
          <w:rFonts w:ascii="Lato" w:hAnsi="Lato"/>
          <w:sz w:val="20"/>
          <w:szCs w:val="20"/>
        </w:rPr>
      </w:pPr>
      <w:r w:rsidRPr="001B6EE9">
        <w:rPr>
          <w:rFonts w:ascii="Lato" w:hAnsi="Lato" w:cs="Calibri"/>
          <w:sz w:val="20"/>
          <w:szCs w:val="20"/>
        </w:rPr>
        <w:t xml:space="preserve">W </w:t>
      </w:r>
      <w:proofErr w:type="spellStart"/>
      <w:r w:rsidRPr="001B6EE9">
        <w:rPr>
          <w:rFonts w:ascii="Lato" w:hAnsi="Lato" w:cs="Calibri"/>
          <w:sz w:val="20"/>
          <w:szCs w:val="20"/>
        </w:rPr>
        <w:t>dniach</w:t>
      </w:r>
      <w:proofErr w:type="spellEnd"/>
      <w:r w:rsidRPr="001B6EE9">
        <w:rPr>
          <w:rFonts w:ascii="Lato" w:hAnsi="Lato" w:cs="Calibri"/>
          <w:sz w:val="20"/>
          <w:szCs w:val="20"/>
        </w:rPr>
        <w:t xml:space="preserve"> 2-3 </w:t>
      </w:r>
      <w:proofErr w:type="spellStart"/>
      <w:r w:rsidRPr="001B6EE9">
        <w:rPr>
          <w:rFonts w:ascii="Lato" w:hAnsi="Lato" w:cs="Calibri"/>
          <w:sz w:val="20"/>
          <w:szCs w:val="20"/>
        </w:rPr>
        <w:t>czerwca</w:t>
      </w:r>
      <w:proofErr w:type="spellEnd"/>
      <w:r w:rsidRPr="001B6EE9">
        <w:rPr>
          <w:rFonts w:ascii="Lato" w:hAnsi="Lato" w:cs="Calibri"/>
          <w:sz w:val="20"/>
          <w:szCs w:val="20"/>
        </w:rPr>
        <w:t xml:space="preserve"> 2022 r. w </w:t>
      </w:r>
      <w:proofErr w:type="spellStart"/>
      <w:r w:rsidRPr="001B6EE9">
        <w:rPr>
          <w:rFonts w:ascii="Lato" w:hAnsi="Lato" w:cs="Calibri"/>
          <w:sz w:val="20"/>
          <w:szCs w:val="20"/>
        </w:rPr>
        <w:t>Olsztynie</w:t>
      </w:r>
      <w:proofErr w:type="spellEnd"/>
      <w:r w:rsidRPr="001B6EE9">
        <w:rPr>
          <w:rFonts w:ascii="Lato" w:hAnsi="Lato" w:cs="Calibri"/>
          <w:sz w:val="20"/>
          <w:szCs w:val="20"/>
        </w:rPr>
        <w:t xml:space="preserve"> </w:t>
      </w:r>
      <w:proofErr w:type="spellStart"/>
      <w:r w:rsidRPr="001B6EE9">
        <w:rPr>
          <w:rFonts w:ascii="Lato" w:hAnsi="Lato" w:cs="Calibri"/>
          <w:sz w:val="20"/>
          <w:szCs w:val="20"/>
        </w:rPr>
        <w:t>odbyło</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w:t>
      </w:r>
      <w:proofErr w:type="spellStart"/>
      <w:r w:rsidRPr="001B6EE9">
        <w:rPr>
          <w:rFonts w:ascii="Lato" w:hAnsi="Lato" w:cs="Calibri"/>
          <w:sz w:val="20"/>
          <w:szCs w:val="20"/>
        </w:rPr>
        <w:t>pierwsze</w:t>
      </w:r>
      <w:proofErr w:type="spellEnd"/>
      <w:r w:rsidRPr="001B6EE9">
        <w:rPr>
          <w:rFonts w:ascii="Lato" w:hAnsi="Lato" w:cs="Calibri"/>
          <w:sz w:val="20"/>
          <w:szCs w:val="20"/>
        </w:rPr>
        <w:t xml:space="preserve"> </w:t>
      </w:r>
      <w:proofErr w:type="spellStart"/>
      <w:r w:rsidRPr="001B6EE9">
        <w:rPr>
          <w:rFonts w:ascii="Lato" w:hAnsi="Lato" w:cs="Calibri"/>
          <w:sz w:val="20"/>
          <w:szCs w:val="20"/>
        </w:rPr>
        <w:t>ogólnopolskie</w:t>
      </w:r>
      <w:proofErr w:type="spellEnd"/>
      <w:r w:rsidRPr="001B6EE9">
        <w:rPr>
          <w:rFonts w:ascii="Lato" w:hAnsi="Lato" w:cs="Calibri"/>
          <w:sz w:val="20"/>
          <w:szCs w:val="20"/>
        </w:rPr>
        <w:t xml:space="preserve"> </w:t>
      </w:r>
      <w:proofErr w:type="spellStart"/>
      <w:r w:rsidRPr="001B6EE9">
        <w:rPr>
          <w:rFonts w:ascii="Lato" w:hAnsi="Lato" w:cs="Calibri"/>
          <w:sz w:val="20"/>
          <w:szCs w:val="20"/>
        </w:rPr>
        <w:t>spotkanie</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Wojewódzkich</w:t>
      </w:r>
      <w:proofErr w:type="spellEnd"/>
      <w:r w:rsidRPr="001B6EE9">
        <w:rPr>
          <w:rFonts w:ascii="Lato" w:hAnsi="Lato" w:cs="Calibri"/>
          <w:sz w:val="20"/>
          <w:szCs w:val="20"/>
        </w:rPr>
        <w:t xml:space="preserve"> Rad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Inicjatorem</w:t>
      </w:r>
      <w:proofErr w:type="spellEnd"/>
      <w:r w:rsidRPr="001B6EE9">
        <w:rPr>
          <w:rFonts w:ascii="Lato" w:hAnsi="Lato" w:cs="Calibri"/>
          <w:sz w:val="20"/>
          <w:szCs w:val="20"/>
        </w:rPr>
        <w:t xml:space="preserve"> i </w:t>
      </w:r>
      <w:proofErr w:type="spellStart"/>
      <w:r w:rsidRPr="001B6EE9">
        <w:rPr>
          <w:rFonts w:ascii="Lato" w:hAnsi="Lato" w:cs="Calibri"/>
          <w:sz w:val="20"/>
          <w:szCs w:val="20"/>
        </w:rPr>
        <w:t>pomysłodawcą</w:t>
      </w:r>
      <w:proofErr w:type="spellEnd"/>
      <w:r w:rsidRPr="001B6EE9">
        <w:rPr>
          <w:rFonts w:ascii="Lato" w:hAnsi="Lato" w:cs="Calibri"/>
          <w:sz w:val="20"/>
          <w:szCs w:val="20"/>
        </w:rPr>
        <w:t xml:space="preserve"> </w:t>
      </w:r>
      <w:proofErr w:type="spellStart"/>
      <w:r w:rsidRPr="001B6EE9">
        <w:rPr>
          <w:rFonts w:ascii="Lato" w:hAnsi="Lato" w:cs="Calibri"/>
          <w:sz w:val="20"/>
          <w:szCs w:val="20"/>
        </w:rPr>
        <w:t>był</w:t>
      </w:r>
      <w:proofErr w:type="spellEnd"/>
      <w:r w:rsidRPr="001B6EE9">
        <w:rPr>
          <w:rFonts w:ascii="Lato" w:hAnsi="Lato" w:cs="Calibri"/>
          <w:sz w:val="20"/>
          <w:szCs w:val="20"/>
        </w:rPr>
        <w:t xml:space="preserve"> </w:t>
      </w:r>
      <w:proofErr w:type="spellStart"/>
      <w:r w:rsidRPr="001B6EE9">
        <w:rPr>
          <w:rFonts w:ascii="Lato" w:hAnsi="Lato" w:cs="Calibri"/>
          <w:sz w:val="20"/>
          <w:szCs w:val="20"/>
        </w:rPr>
        <w:t>Regionalny</w:t>
      </w:r>
      <w:proofErr w:type="spellEnd"/>
      <w:r w:rsidRPr="001B6EE9">
        <w:rPr>
          <w:rFonts w:ascii="Lato" w:hAnsi="Lato" w:cs="Calibri"/>
          <w:sz w:val="20"/>
          <w:szCs w:val="20"/>
        </w:rPr>
        <w:t xml:space="preserve"> </w:t>
      </w:r>
      <w:proofErr w:type="spellStart"/>
      <w:r w:rsidRPr="001B6EE9">
        <w:rPr>
          <w:rFonts w:ascii="Lato" w:hAnsi="Lato" w:cs="Calibri"/>
          <w:sz w:val="20"/>
          <w:szCs w:val="20"/>
        </w:rPr>
        <w:t>Ośrodek</w:t>
      </w:r>
      <w:proofErr w:type="spellEnd"/>
      <w:r w:rsidRPr="001B6EE9">
        <w:rPr>
          <w:rFonts w:ascii="Lato" w:hAnsi="Lato" w:cs="Calibri"/>
          <w:sz w:val="20"/>
          <w:szCs w:val="20"/>
        </w:rPr>
        <w:t xml:space="preserve"> </w:t>
      </w:r>
      <w:proofErr w:type="spellStart"/>
      <w:r w:rsidRPr="001B6EE9">
        <w:rPr>
          <w:rFonts w:ascii="Lato" w:hAnsi="Lato" w:cs="Calibri"/>
          <w:sz w:val="20"/>
          <w:szCs w:val="20"/>
        </w:rPr>
        <w:t>Polityki</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Społecznej</w:t>
      </w:r>
      <w:proofErr w:type="spellEnd"/>
      <w:r w:rsidRPr="001B6EE9">
        <w:rPr>
          <w:rFonts w:ascii="Lato" w:hAnsi="Lato" w:cs="Calibri"/>
          <w:sz w:val="20"/>
          <w:szCs w:val="20"/>
        </w:rPr>
        <w:t xml:space="preserve"> </w:t>
      </w:r>
      <w:proofErr w:type="spellStart"/>
      <w:r w:rsidRPr="001B6EE9">
        <w:rPr>
          <w:rFonts w:ascii="Lato" w:hAnsi="Lato" w:cs="Calibri"/>
          <w:sz w:val="20"/>
          <w:szCs w:val="20"/>
        </w:rPr>
        <w:t>Urzędu</w:t>
      </w:r>
      <w:proofErr w:type="spellEnd"/>
      <w:r w:rsidRPr="001B6EE9">
        <w:rPr>
          <w:rFonts w:ascii="Lato" w:hAnsi="Lato" w:cs="Calibri"/>
          <w:sz w:val="20"/>
          <w:szCs w:val="20"/>
        </w:rPr>
        <w:t xml:space="preserve"> </w:t>
      </w:r>
      <w:proofErr w:type="spellStart"/>
      <w:r w:rsidRPr="001B6EE9">
        <w:rPr>
          <w:rFonts w:ascii="Lato" w:hAnsi="Lato" w:cs="Calibri"/>
          <w:sz w:val="20"/>
          <w:szCs w:val="20"/>
        </w:rPr>
        <w:t>Marszałkowskiego</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w </w:t>
      </w:r>
      <w:proofErr w:type="spellStart"/>
      <w:r w:rsidRPr="001B6EE9">
        <w:rPr>
          <w:rFonts w:ascii="Lato" w:hAnsi="Lato" w:cs="Calibri"/>
          <w:sz w:val="20"/>
          <w:szCs w:val="20"/>
        </w:rPr>
        <w:t>Olsztynie</w:t>
      </w:r>
      <w:proofErr w:type="spellEnd"/>
      <w:r w:rsidRPr="001B6EE9">
        <w:rPr>
          <w:rFonts w:ascii="Lato" w:hAnsi="Lato" w:cs="Calibri"/>
          <w:sz w:val="20"/>
          <w:szCs w:val="20"/>
        </w:rPr>
        <w:t xml:space="preserve"> </w:t>
      </w:r>
      <w:proofErr w:type="spellStart"/>
      <w:r w:rsidRPr="001B6EE9">
        <w:rPr>
          <w:rFonts w:ascii="Lato" w:hAnsi="Lato" w:cs="Calibri"/>
          <w:sz w:val="20"/>
          <w:szCs w:val="20"/>
        </w:rPr>
        <w:t>wraz</w:t>
      </w:r>
      <w:proofErr w:type="spellEnd"/>
      <w:r w:rsidRPr="001B6EE9">
        <w:rPr>
          <w:rFonts w:ascii="Lato" w:hAnsi="Lato" w:cs="Calibri"/>
          <w:sz w:val="20"/>
          <w:szCs w:val="20"/>
        </w:rPr>
        <w:t xml:space="preserve"> </w:t>
      </w:r>
      <w:proofErr w:type="spellStart"/>
      <w:r w:rsidRPr="001B6EE9">
        <w:rPr>
          <w:rFonts w:ascii="Lato" w:hAnsi="Lato" w:cs="Calibri"/>
          <w:sz w:val="20"/>
          <w:szCs w:val="20"/>
        </w:rPr>
        <w:t>ze</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Społeczną</w:t>
      </w:r>
      <w:proofErr w:type="spellEnd"/>
      <w:r w:rsidRPr="001B6EE9">
        <w:rPr>
          <w:rFonts w:ascii="Lato" w:hAnsi="Lato" w:cs="Calibri"/>
          <w:sz w:val="20"/>
          <w:szCs w:val="20"/>
        </w:rPr>
        <w:t xml:space="preserve"> </w:t>
      </w:r>
      <w:proofErr w:type="spellStart"/>
      <w:r w:rsidRPr="001B6EE9">
        <w:rPr>
          <w:rFonts w:ascii="Lato" w:hAnsi="Lato" w:cs="Calibri"/>
          <w:sz w:val="20"/>
          <w:szCs w:val="20"/>
        </w:rPr>
        <w:t>Radą</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Z </w:t>
      </w:r>
      <w:proofErr w:type="spellStart"/>
      <w:r w:rsidRPr="001B6EE9">
        <w:rPr>
          <w:rFonts w:ascii="Lato" w:hAnsi="Lato" w:cs="Calibri"/>
          <w:sz w:val="20"/>
          <w:szCs w:val="20"/>
        </w:rPr>
        <w:t>zaproszenia</w:t>
      </w:r>
      <w:proofErr w:type="spellEnd"/>
      <w:r w:rsidRPr="001B6EE9">
        <w:rPr>
          <w:rFonts w:ascii="Lato" w:hAnsi="Lato" w:cs="Calibri"/>
          <w:sz w:val="20"/>
          <w:szCs w:val="20"/>
        </w:rPr>
        <w:t xml:space="preserve"> </w:t>
      </w:r>
      <w:proofErr w:type="spellStart"/>
      <w:r w:rsidRPr="001B6EE9">
        <w:rPr>
          <w:rFonts w:ascii="Lato" w:hAnsi="Lato" w:cs="Calibri"/>
          <w:sz w:val="20"/>
          <w:szCs w:val="20"/>
        </w:rPr>
        <w:t>skorzystała</w:t>
      </w:r>
      <w:proofErr w:type="spellEnd"/>
      <w:r w:rsidRPr="001B6EE9">
        <w:rPr>
          <w:rFonts w:ascii="Lato" w:hAnsi="Lato" w:cs="Calibri"/>
          <w:sz w:val="20"/>
          <w:szCs w:val="20"/>
        </w:rPr>
        <w:t xml:space="preserve"> </w:t>
      </w:r>
      <w:proofErr w:type="spellStart"/>
      <w:r w:rsidRPr="001B6EE9">
        <w:rPr>
          <w:rFonts w:ascii="Lato" w:hAnsi="Lato" w:cs="Calibri"/>
          <w:sz w:val="20"/>
          <w:szCs w:val="20"/>
        </w:rPr>
        <w:t>Mazowiecka</w:t>
      </w:r>
      <w:proofErr w:type="spellEnd"/>
      <w:r w:rsidRPr="001B6EE9">
        <w:rPr>
          <w:rFonts w:ascii="Lato" w:hAnsi="Lato" w:cs="Calibri"/>
          <w:sz w:val="20"/>
          <w:szCs w:val="20"/>
        </w:rPr>
        <w:t xml:space="preserve"> Rada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Świętokrzyska</w:t>
      </w:r>
      <w:proofErr w:type="spellEnd"/>
      <w:r w:rsidRPr="001B6EE9">
        <w:rPr>
          <w:rFonts w:ascii="Lato" w:hAnsi="Lato" w:cs="Calibri"/>
          <w:sz w:val="20"/>
          <w:szCs w:val="20"/>
        </w:rPr>
        <w:t xml:space="preserve"> Rada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Pomorska</w:t>
      </w:r>
      <w:proofErr w:type="spellEnd"/>
      <w:r w:rsidRPr="001B6EE9">
        <w:rPr>
          <w:rFonts w:ascii="Lato" w:hAnsi="Lato" w:cs="Calibri"/>
          <w:sz w:val="20"/>
          <w:szCs w:val="20"/>
        </w:rPr>
        <w:t xml:space="preserve"> Rada </w:t>
      </w:r>
      <w:proofErr w:type="spellStart"/>
      <w:r w:rsidRPr="001B6EE9">
        <w:rPr>
          <w:rFonts w:ascii="Lato" w:hAnsi="Lato" w:cs="Calibri"/>
          <w:sz w:val="20"/>
          <w:szCs w:val="20"/>
        </w:rPr>
        <w:t>ds</w:t>
      </w:r>
      <w:proofErr w:type="spellEnd"/>
      <w:r w:rsidRPr="001B6EE9">
        <w:rPr>
          <w:rFonts w:ascii="Lato" w:hAnsi="Lato" w:cs="Calibri"/>
          <w:sz w:val="20"/>
          <w:szCs w:val="20"/>
        </w:rPr>
        <w:t xml:space="preserve">. </w:t>
      </w:r>
      <w:proofErr w:type="spellStart"/>
      <w:r w:rsidRPr="001B6EE9">
        <w:rPr>
          <w:rFonts w:ascii="Lato" w:hAnsi="Lato" w:cs="Calibri"/>
          <w:sz w:val="20"/>
          <w:szCs w:val="20"/>
        </w:rPr>
        <w:t>Polityki</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Senioralnej</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Społeczna</w:t>
      </w:r>
      <w:proofErr w:type="spellEnd"/>
      <w:r w:rsidRPr="001B6EE9">
        <w:rPr>
          <w:rFonts w:ascii="Lato" w:hAnsi="Lato" w:cs="Calibri"/>
          <w:sz w:val="20"/>
          <w:szCs w:val="20"/>
        </w:rPr>
        <w:t xml:space="preserve"> Rada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Łódzkiego</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Wojewódzka</w:t>
      </w:r>
      <w:proofErr w:type="spellEnd"/>
      <w:r w:rsidRPr="001B6EE9">
        <w:rPr>
          <w:rFonts w:ascii="Lato" w:hAnsi="Lato" w:cs="Calibri"/>
          <w:sz w:val="20"/>
          <w:szCs w:val="20"/>
        </w:rPr>
        <w:t xml:space="preserve"> Rada </w:t>
      </w:r>
      <w:proofErr w:type="spellStart"/>
      <w:r w:rsidRPr="001B6EE9">
        <w:rPr>
          <w:rFonts w:ascii="Lato" w:hAnsi="Lato" w:cs="Calibri"/>
          <w:sz w:val="20"/>
          <w:szCs w:val="20"/>
        </w:rPr>
        <w:t>ds</w:t>
      </w:r>
      <w:proofErr w:type="spellEnd"/>
      <w:r w:rsidRPr="001B6EE9">
        <w:rPr>
          <w:rFonts w:ascii="Lato" w:hAnsi="Lato" w:cs="Calibri"/>
          <w:sz w:val="20"/>
          <w:szCs w:val="20"/>
        </w:rPr>
        <w:t xml:space="preserve">. </w:t>
      </w:r>
      <w:proofErr w:type="spellStart"/>
      <w:r w:rsidRPr="001B6EE9">
        <w:rPr>
          <w:rFonts w:ascii="Lato" w:hAnsi="Lato" w:cs="Calibri"/>
          <w:sz w:val="20"/>
          <w:szCs w:val="20"/>
        </w:rPr>
        <w:t>Polityki</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Senioralnej</w:t>
      </w:r>
      <w:proofErr w:type="spellEnd"/>
      <w:r w:rsidRPr="001B6EE9">
        <w:rPr>
          <w:rFonts w:ascii="Lato" w:hAnsi="Lato" w:cs="Calibri"/>
          <w:sz w:val="20"/>
          <w:szCs w:val="20"/>
        </w:rPr>
        <w:t xml:space="preserve"> </w:t>
      </w:r>
      <w:proofErr w:type="spellStart"/>
      <w:r w:rsidRPr="001B6EE9">
        <w:rPr>
          <w:rFonts w:ascii="Lato" w:hAnsi="Lato" w:cs="Calibri"/>
          <w:sz w:val="20"/>
          <w:szCs w:val="20"/>
        </w:rPr>
        <w:t>przy</w:t>
      </w:r>
      <w:proofErr w:type="spellEnd"/>
      <w:r w:rsidRPr="001B6EE9">
        <w:rPr>
          <w:rFonts w:ascii="Lato" w:hAnsi="Lato" w:cs="Calibri"/>
          <w:sz w:val="20"/>
          <w:szCs w:val="20"/>
        </w:rPr>
        <w:t xml:space="preserve"> </w:t>
      </w:r>
      <w:proofErr w:type="spellStart"/>
      <w:r w:rsidRPr="001B6EE9">
        <w:rPr>
          <w:rFonts w:ascii="Lato" w:hAnsi="Lato" w:cs="Calibri"/>
          <w:sz w:val="20"/>
          <w:szCs w:val="20"/>
        </w:rPr>
        <w:t>Marszałku</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Kujawsko-Pomorskiego</w:t>
      </w:r>
      <w:proofErr w:type="spellEnd"/>
      <w:r w:rsidRPr="001B6EE9">
        <w:rPr>
          <w:rFonts w:ascii="Lato" w:hAnsi="Lato" w:cs="Calibri"/>
          <w:sz w:val="20"/>
          <w:szCs w:val="20"/>
        </w:rPr>
        <w:t xml:space="preserve">. Na </w:t>
      </w:r>
      <w:proofErr w:type="spellStart"/>
      <w:r w:rsidRPr="001B6EE9">
        <w:rPr>
          <w:rFonts w:ascii="Lato" w:hAnsi="Lato" w:cs="Calibri"/>
          <w:sz w:val="20"/>
          <w:szCs w:val="20"/>
        </w:rPr>
        <w:t>spotkaniu</w:t>
      </w:r>
      <w:proofErr w:type="spellEnd"/>
      <w:r w:rsidRPr="001B6EE9">
        <w:rPr>
          <w:rFonts w:ascii="Lato" w:hAnsi="Lato" w:cs="Calibri"/>
          <w:sz w:val="20"/>
          <w:szCs w:val="20"/>
        </w:rPr>
        <w:t xml:space="preserve"> </w:t>
      </w:r>
      <w:proofErr w:type="spellStart"/>
      <w:r w:rsidRPr="001B6EE9">
        <w:rPr>
          <w:rFonts w:ascii="Lato" w:hAnsi="Lato" w:cs="Calibri"/>
          <w:sz w:val="20"/>
          <w:szCs w:val="20"/>
        </w:rPr>
        <w:t>dyskutowano</w:t>
      </w:r>
      <w:proofErr w:type="spellEnd"/>
      <w:r w:rsidRPr="001B6EE9">
        <w:rPr>
          <w:rFonts w:ascii="Lato" w:hAnsi="Lato" w:cs="Calibri"/>
          <w:sz w:val="20"/>
          <w:szCs w:val="20"/>
        </w:rPr>
        <w:t xml:space="preserve"> o </w:t>
      </w:r>
      <w:proofErr w:type="spellStart"/>
      <w:r w:rsidRPr="001B6EE9">
        <w:rPr>
          <w:rFonts w:ascii="Lato" w:hAnsi="Lato" w:cs="Calibri"/>
          <w:sz w:val="20"/>
          <w:szCs w:val="20"/>
        </w:rPr>
        <w:t>roli</w:t>
      </w:r>
      <w:proofErr w:type="spellEnd"/>
      <w:r w:rsidRPr="001B6EE9">
        <w:rPr>
          <w:rFonts w:ascii="Lato" w:hAnsi="Lato" w:cs="Calibri"/>
          <w:sz w:val="20"/>
          <w:szCs w:val="20"/>
        </w:rPr>
        <w:t xml:space="preserve"> i </w:t>
      </w:r>
      <w:proofErr w:type="spellStart"/>
      <w:r w:rsidRPr="001B6EE9">
        <w:rPr>
          <w:rFonts w:ascii="Lato" w:hAnsi="Lato" w:cs="Calibri"/>
          <w:sz w:val="20"/>
          <w:szCs w:val="20"/>
        </w:rPr>
        <w:t>znaczeniu</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wojewódzkich</w:t>
      </w:r>
      <w:proofErr w:type="spellEnd"/>
      <w:r w:rsidRPr="001B6EE9">
        <w:rPr>
          <w:rFonts w:ascii="Lato" w:hAnsi="Lato" w:cs="Calibri"/>
          <w:sz w:val="20"/>
          <w:szCs w:val="20"/>
        </w:rPr>
        <w:t xml:space="preserve"> </w:t>
      </w:r>
      <w:proofErr w:type="spellStart"/>
      <w:r w:rsidRPr="001B6EE9">
        <w:rPr>
          <w:rFonts w:ascii="Lato" w:hAnsi="Lato" w:cs="Calibri"/>
          <w:sz w:val="20"/>
          <w:szCs w:val="20"/>
        </w:rPr>
        <w:t>rad</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seniorów</w:t>
      </w:r>
      <w:proofErr w:type="spellEnd"/>
      <w:r w:rsidRPr="001B6EE9">
        <w:rPr>
          <w:rFonts w:ascii="Lato" w:hAnsi="Lato" w:cs="Calibri"/>
          <w:sz w:val="20"/>
          <w:szCs w:val="20"/>
        </w:rPr>
        <w:t xml:space="preserve"> w </w:t>
      </w:r>
      <w:proofErr w:type="spellStart"/>
      <w:r w:rsidRPr="001B6EE9">
        <w:rPr>
          <w:rFonts w:ascii="Lato" w:hAnsi="Lato" w:cs="Calibri"/>
          <w:sz w:val="20"/>
          <w:szCs w:val="20"/>
        </w:rPr>
        <w:t>rzecznictwie</w:t>
      </w:r>
      <w:proofErr w:type="spellEnd"/>
      <w:r w:rsidRPr="001B6EE9">
        <w:rPr>
          <w:rFonts w:ascii="Lato" w:hAnsi="Lato" w:cs="Calibri"/>
          <w:sz w:val="20"/>
          <w:szCs w:val="20"/>
        </w:rPr>
        <w:t xml:space="preserve"> </w:t>
      </w:r>
      <w:proofErr w:type="spellStart"/>
      <w:r w:rsidRPr="001B6EE9">
        <w:rPr>
          <w:rFonts w:ascii="Lato" w:hAnsi="Lato" w:cs="Calibri"/>
          <w:sz w:val="20"/>
          <w:szCs w:val="20"/>
        </w:rPr>
        <w:t>środowisk</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oraz</w:t>
      </w:r>
      <w:proofErr w:type="spellEnd"/>
      <w:r w:rsidRPr="001B6EE9">
        <w:rPr>
          <w:rFonts w:ascii="Lato" w:hAnsi="Lato" w:cs="Calibri"/>
          <w:sz w:val="20"/>
          <w:szCs w:val="20"/>
        </w:rPr>
        <w:t xml:space="preserve"> </w:t>
      </w:r>
      <w:proofErr w:type="spellStart"/>
      <w:r w:rsidRPr="001B6EE9">
        <w:rPr>
          <w:rFonts w:ascii="Lato" w:hAnsi="Lato" w:cs="Calibri"/>
          <w:sz w:val="20"/>
          <w:szCs w:val="20"/>
        </w:rPr>
        <w:t>zaprezentowano</w:t>
      </w:r>
      <w:proofErr w:type="spellEnd"/>
      <w:r w:rsidRPr="001B6EE9">
        <w:rPr>
          <w:rFonts w:ascii="Lato" w:hAnsi="Lato" w:cs="Calibri"/>
          <w:sz w:val="20"/>
          <w:szCs w:val="20"/>
        </w:rPr>
        <w:t xml:space="preserve"> </w:t>
      </w:r>
      <w:proofErr w:type="spellStart"/>
      <w:r w:rsidRPr="001B6EE9">
        <w:rPr>
          <w:rFonts w:ascii="Lato" w:hAnsi="Lato" w:cs="Calibri"/>
          <w:sz w:val="20"/>
          <w:szCs w:val="20"/>
        </w:rPr>
        <w:t>tzw</w:t>
      </w:r>
      <w:proofErr w:type="spellEnd"/>
      <w:r w:rsidRPr="001B6EE9">
        <w:rPr>
          <w:rFonts w:ascii="Lato" w:hAnsi="Lato" w:cs="Calibri"/>
          <w:sz w:val="20"/>
          <w:szCs w:val="20"/>
        </w:rPr>
        <w:t>. „</w:t>
      </w:r>
      <w:proofErr w:type="spellStart"/>
      <w:r w:rsidRPr="001B6EE9">
        <w:rPr>
          <w:rFonts w:ascii="Lato" w:hAnsi="Lato" w:cs="Calibri"/>
          <w:sz w:val="20"/>
          <w:szCs w:val="20"/>
        </w:rPr>
        <w:t>dobre</w:t>
      </w:r>
      <w:proofErr w:type="spellEnd"/>
      <w:r w:rsidRPr="001B6EE9">
        <w:rPr>
          <w:rFonts w:ascii="Lato" w:hAnsi="Lato" w:cs="Calibri"/>
          <w:sz w:val="20"/>
          <w:szCs w:val="20"/>
        </w:rPr>
        <w:t xml:space="preserve"> </w:t>
      </w:r>
      <w:proofErr w:type="spellStart"/>
      <w:r w:rsidRPr="001B6EE9">
        <w:rPr>
          <w:rFonts w:ascii="Lato" w:hAnsi="Lato" w:cs="Calibri"/>
          <w:sz w:val="20"/>
          <w:szCs w:val="20"/>
        </w:rPr>
        <w:t>praktyki</w:t>
      </w:r>
      <w:proofErr w:type="spellEnd"/>
      <w:r w:rsidRPr="001B6EE9">
        <w:rPr>
          <w:rFonts w:ascii="Lato" w:hAnsi="Lato" w:cs="Calibri"/>
          <w:sz w:val="20"/>
          <w:szCs w:val="20"/>
        </w:rPr>
        <w:t xml:space="preserve">” z </w:t>
      </w:r>
      <w:proofErr w:type="spellStart"/>
      <w:r w:rsidRPr="001B6EE9">
        <w:rPr>
          <w:rFonts w:ascii="Lato" w:hAnsi="Lato" w:cs="Calibri"/>
          <w:sz w:val="20"/>
          <w:szCs w:val="20"/>
        </w:rPr>
        <w:t>terenu</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z </w:t>
      </w:r>
      <w:proofErr w:type="spellStart"/>
      <w:r w:rsidRPr="001B6EE9">
        <w:rPr>
          <w:rFonts w:ascii="Lato" w:hAnsi="Lato" w:cs="Calibri"/>
          <w:sz w:val="20"/>
          <w:szCs w:val="20"/>
        </w:rPr>
        <w:t>zakresu</w:t>
      </w:r>
      <w:proofErr w:type="spellEnd"/>
      <w:r w:rsidRPr="001B6EE9">
        <w:rPr>
          <w:rFonts w:ascii="Lato" w:hAnsi="Lato" w:cs="Calibri"/>
          <w:sz w:val="20"/>
          <w:szCs w:val="20"/>
        </w:rPr>
        <w:t xml:space="preserve"> </w:t>
      </w:r>
      <w:proofErr w:type="spellStart"/>
      <w:r w:rsidRPr="001B6EE9">
        <w:rPr>
          <w:rFonts w:ascii="Lato" w:hAnsi="Lato" w:cs="Calibri"/>
          <w:sz w:val="20"/>
          <w:szCs w:val="20"/>
        </w:rPr>
        <w:t>polityki</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senioralnej</w:t>
      </w:r>
      <w:proofErr w:type="spellEnd"/>
      <w:r w:rsidRPr="001B6EE9">
        <w:rPr>
          <w:rFonts w:ascii="Lato" w:hAnsi="Lato" w:cs="Calibri"/>
          <w:sz w:val="20"/>
          <w:szCs w:val="20"/>
        </w:rPr>
        <w:t xml:space="preserve">. </w:t>
      </w:r>
      <w:proofErr w:type="spellStart"/>
      <w:r w:rsidRPr="001B6EE9">
        <w:rPr>
          <w:rFonts w:ascii="Lato" w:hAnsi="Lato" w:cs="Calibri"/>
          <w:sz w:val="20"/>
          <w:szCs w:val="20"/>
        </w:rPr>
        <w:t>Każda</w:t>
      </w:r>
      <w:proofErr w:type="spellEnd"/>
      <w:r w:rsidRPr="001B6EE9">
        <w:rPr>
          <w:rFonts w:ascii="Lato" w:hAnsi="Lato" w:cs="Calibri"/>
          <w:sz w:val="20"/>
          <w:szCs w:val="20"/>
        </w:rPr>
        <w:t xml:space="preserve"> z </w:t>
      </w:r>
      <w:proofErr w:type="spellStart"/>
      <w:r w:rsidRPr="001B6EE9">
        <w:rPr>
          <w:rFonts w:ascii="Lato" w:hAnsi="Lato" w:cs="Calibri"/>
          <w:sz w:val="20"/>
          <w:szCs w:val="20"/>
        </w:rPr>
        <w:t>uczestniczących</w:t>
      </w:r>
      <w:proofErr w:type="spellEnd"/>
      <w:r w:rsidRPr="001B6EE9">
        <w:rPr>
          <w:rFonts w:ascii="Lato" w:hAnsi="Lato" w:cs="Calibri"/>
          <w:sz w:val="20"/>
          <w:szCs w:val="20"/>
        </w:rPr>
        <w:t xml:space="preserve"> w </w:t>
      </w:r>
      <w:proofErr w:type="spellStart"/>
      <w:r w:rsidRPr="001B6EE9">
        <w:rPr>
          <w:rFonts w:ascii="Lato" w:hAnsi="Lato" w:cs="Calibri"/>
          <w:sz w:val="20"/>
          <w:szCs w:val="20"/>
        </w:rPr>
        <w:t>spotkaniu</w:t>
      </w:r>
      <w:proofErr w:type="spellEnd"/>
      <w:r w:rsidRPr="001B6EE9">
        <w:rPr>
          <w:rFonts w:ascii="Lato" w:hAnsi="Lato" w:cs="Calibri"/>
          <w:sz w:val="20"/>
          <w:szCs w:val="20"/>
        </w:rPr>
        <w:t xml:space="preserve"> </w:t>
      </w:r>
      <w:proofErr w:type="spellStart"/>
      <w:r w:rsidRPr="001B6EE9">
        <w:rPr>
          <w:rFonts w:ascii="Lato" w:hAnsi="Lato" w:cs="Calibri"/>
          <w:sz w:val="20"/>
          <w:szCs w:val="20"/>
        </w:rPr>
        <w:t>rad</w:t>
      </w:r>
      <w:proofErr w:type="spellEnd"/>
      <w:r w:rsidRPr="001B6EE9">
        <w:rPr>
          <w:rFonts w:ascii="Lato" w:hAnsi="Lato" w:cs="Calibri"/>
          <w:sz w:val="20"/>
          <w:szCs w:val="20"/>
        </w:rPr>
        <w:t xml:space="preserve"> </w:t>
      </w:r>
      <w:proofErr w:type="spellStart"/>
      <w:r w:rsidRPr="001B6EE9">
        <w:rPr>
          <w:rFonts w:ascii="Lato" w:hAnsi="Lato" w:cs="Calibri"/>
          <w:sz w:val="20"/>
          <w:szCs w:val="20"/>
        </w:rPr>
        <w:t>zaprezentowała</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i </w:t>
      </w:r>
      <w:proofErr w:type="spellStart"/>
      <w:r w:rsidRPr="001B6EE9">
        <w:rPr>
          <w:rFonts w:ascii="Lato" w:hAnsi="Lato" w:cs="Calibri"/>
          <w:sz w:val="20"/>
          <w:szCs w:val="20"/>
        </w:rPr>
        <w:t>przedstawiła</w:t>
      </w:r>
      <w:proofErr w:type="spellEnd"/>
      <w:r w:rsidRPr="001B6EE9">
        <w:rPr>
          <w:rFonts w:ascii="Lato" w:hAnsi="Lato" w:cs="Calibri"/>
          <w:sz w:val="20"/>
          <w:szCs w:val="20"/>
        </w:rPr>
        <w:t xml:space="preserve"> </w:t>
      </w:r>
      <w:proofErr w:type="spellStart"/>
      <w:r w:rsidRPr="001B6EE9">
        <w:rPr>
          <w:rFonts w:ascii="Lato" w:hAnsi="Lato" w:cs="Calibri"/>
          <w:sz w:val="20"/>
          <w:szCs w:val="20"/>
        </w:rPr>
        <w:t>swoje</w:t>
      </w:r>
      <w:proofErr w:type="spellEnd"/>
      <w:r w:rsidRPr="001B6EE9">
        <w:rPr>
          <w:rFonts w:ascii="Lato" w:hAnsi="Lato" w:cs="Calibri"/>
          <w:sz w:val="20"/>
          <w:szCs w:val="20"/>
        </w:rPr>
        <w:t xml:space="preserve"> </w:t>
      </w:r>
      <w:proofErr w:type="spellStart"/>
      <w:r w:rsidRPr="001B6EE9">
        <w:rPr>
          <w:rFonts w:ascii="Lato" w:hAnsi="Lato" w:cs="Calibri"/>
          <w:sz w:val="20"/>
          <w:szCs w:val="20"/>
        </w:rPr>
        <w:t>działania</w:t>
      </w:r>
      <w:proofErr w:type="spellEnd"/>
      <w:r w:rsidRPr="001B6EE9">
        <w:rPr>
          <w:rFonts w:ascii="Lato" w:hAnsi="Lato" w:cs="Calibri"/>
          <w:sz w:val="20"/>
          <w:szCs w:val="20"/>
        </w:rPr>
        <w:t>.</w:t>
      </w:r>
    </w:p>
    <w:p w14:paraId="76A60775" w14:textId="77777777" w:rsidR="008548E7" w:rsidRDefault="008548E7" w:rsidP="008548E7">
      <w:pPr>
        <w:pStyle w:val="Standard"/>
        <w:widowControl/>
        <w:jc w:val="both"/>
        <w:rPr>
          <w:rFonts w:ascii="Lato" w:hAnsi="Lato" w:cs="Calibri"/>
          <w:sz w:val="20"/>
          <w:szCs w:val="20"/>
        </w:rPr>
      </w:pPr>
    </w:p>
    <w:p w14:paraId="7F2E9308" w14:textId="5BD0DC73" w:rsidR="001B6EE9" w:rsidRPr="001B6EE9" w:rsidRDefault="001B6EE9" w:rsidP="008548E7">
      <w:pPr>
        <w:pStyle w:val="Standard"/>
        <w:widowControl/>
        <w:jc w:val="both"/>
        <w:rPr>
          <w:rFonts w:ascii="Lato" w:hAnsi="Lato"/>
          <w:sz w:val="20"/>
          <w:szCs w:val="20"/>
        </w:rPr>
      </w:pPr>
      <w:r w:rsidRPr="001B6EE9">
        <w:rPr>
          <w:rFonts w:ascii="Lato" w:hAnsi="Lato" w:cs="Calibri"/>
          <w:sz w:val="20"/>
          <w:szCs w:val="20"/>
        </w:rPr>
        <w:t xml:space="preserve">W </w:t>
      </w:r>
      <w:proofErr w:type="spellStart"/>
      <w:r w:rsidRPr="001B6EE9">
        <w:rPr>
          <w:rFonts w:ascii="Lato" w:hAnsi="Lato" w:cs="Calibri"/>
          <w:sz w:val="20"/>
          <w:szCs w:val="20"/>
        </w:rPr>
        <w:t>dniu</w:t>
      </w:r>
      <w:proofErr w:type="spellEnd"/>
      <w:r w:rsidRPr="001B6EE9">
        <w:rPr>
          <w:rFonts w:ascii="Lato" w:hAnsi="Lato" w:cs="Calibri"/>
          <w:sz w:val="20"/>
          <w:szCs w:val="20"/>
        </w:rPr>
        <w:t xml:space="preserve"> 5 </w:t>
      </w:r>
      <w:proofErr w:type="spellStart"/>
      <w:r w:rsidRPr="001B6EE9">
        <w:rPr>
          <w:rFonts w:ascii="Lato" w:hAnsi="Lato" w:cs="Calibri"/>
          <w:sz w:val="20"/>
          <w:szCs w:val="20"/>
        </w:rPr>
        <w:t>czerwca</w:t>
      </w:r>
      <w:proofErr w:type="spellEnd"/>
      <w:r w:rsidRPr="001B6EE9">
        <w:rPr>
          <w:rFonts w:ascii="Lato" w:hAnsi="Lato" w:cs="Calibri"/>
          <w:sz w:val="20"/>
          <w:szCs w:val="20"/>
        </w:rPr>
        <w:t xml:space="preserve"> 2022 r. </w:t>
      </w:r>
      <w:proofErr w:type="spellStart"/>
      <w:r w:rsidRPr="001B6EE9">
        <w:rPr>
          <w:rFonts w:ascii="Lato" w:hAnsi="Lato" w:cs="Calibri"/>
          <w:sz w:val="20"/>
          <w:szCs w:val="20"/>
        </w:rPr>
        <w:t>odbyła</w:t>
      </w:r>
      <w:proofErr w:type="spellEnd"/>
      <w:r w:rsidRPr="001B6EE9">
        <w:rPr>
          <w:rFonts w:ascii="Lato" w:hAnsi="Lato" w:cs="Calibri"/>
          <w:sz w:val="20"/>
          <w:szCs w:val="20"/>
        </w:rPr>
        <w:t xml:space="preserve"> </w:t>
      </w:r>
      <w:proofErr w:type="spellStart"/>
      <w:r w:rsidRPr="001B6EE9">
        <w:rPr>
          <w:rFonts w:ascii="Lato" w:hAnsi="Lato" w:cs="Calibri"/>
          <w:sz w:val="20"/>
          <w:szCs w:val="20"/>
        </w:rPr>
        <w:t>się</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Wojewódzka</w:t>
      </w:r>
      <w:proofErr w:type="spellEnd"/>
      <w:r w:rsidRPr="001B6EE9">
        <w:rPr>
          <w:rFonts w:ascii="Lato" w:hAnsi="Lato" w:cs="Calibri"/>
          <w:sz w:val="20"/>
          <w:szCs w:val="20"/>
        </w:rPr>
        <w:t xml:space="preserve"> </w:t>
      </w:r>
      <w:proofErr w:type="spellStart"/>
      <w:r w:rsidRPr="001B6EE9">
        <w:rPr>
          <w:rFonts w:ascii="Lato" w:hAnsi="Lato" w:cs="Calibri"/>
          <w:sz w:val="20"/>
          <w:szCs w:val="20"/>
        </w:rPr>
        <w:t>Konferencja</w:t>
      </w:r>
      <w:proofErr w:type="spellEnd"/>
      <w:r w:rsidRPr="001B6EE9">
        <w:rPr>
          <w:rFonts w:ascii="Lato" w:hAnsi="Lato" w:cs="Calibri"/>
          <w:sz w:val="20"/>
          <w:szCs w:val="20"/>
        </w:rPr>
        <w:t xml:space="preserve"> z </w:t>
      </w:r>
      <w:proofErr w:type="spellStart"/>
      <w:r w:rsidRPr="001B6EE9">
        <w:rPr>
          <w:rFonts w:ascii="Lato" w:hAnsi="Lato" w:cs="Calibri"/>
          <w:sz w:val="20"/>
          <w:szCs w:val="20"/>
        </w:rPr>
        <w:t>okazji</w:t>
      </w:r>
      <w:proofErr w:type="spellEnd"/>
      <w:r w:rsidRPr="001B6EE9">
        <w:rPr>
          <w:rFonts w:ascii="Lato" w:hAnsi="Lato" w:cs="Calibri"/>
          <w:sz w:val="20"/>
          <w:szCs w:val="20"/>
        </w:rPr>
        <w:t xml:space="preserve"> </w:t>
      </w:r>
      <w:proofErr w:type="spellStart"/>
      <w:r w:rsidRPr="001B6EE9">
        <w:rPr>
          <w:rFonts w:ascii="Lato" w:hAnsi="Lato" w:cs="Calibri"/>
          <w:sz w:val="20"/>
          <w:szCs w:val="20"/>
        </w:rPr>
        <w:t>Międzynarodowego</w:t>
      </w:r>
      <w:proofErr w:type="spellEnd"/>
      <w:r w:rsidRPr="001B6EE9">
        <w:rPr>
          <w:rFonts w:ascii="Lato" w:hAnsi="Lato" w:cs="Calibri"/>
          <w:sz w:val="20"/>
          <w:szCs w:val="20"/>
        </w:rPr>
        <w:t xml:space="preserve"> </w:t>
      </w:r>
      <w:proofErr w:type="spellStart"/>
      <w:r w:rsidRPr="001B6EE9">
        <w:rPr>
          <w:rFonts w:ascii="Lato" w:hAnsi="Lato" w:cs="Calibri"/>
          <w:sz w:val="20"/>
          <w:szCs w:val="20"/>
        </w:rPr>
        <w:t>Dnia</w:t>
      </w:r>
      <w:proofErr w:type="spellEnd"/>
      <w:r w:rsidRPr="001B6EE9">
        <w:rPr>
          <w:rFonts w:ascii="Lato" w:hAnsi="Lato" w:cs="Calibri"/>
          <w:sz w:val="20"/>
          <w:szCs w:val="20"/>
        </w:rPr>
        <w:t xml:space="preserve">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w:t>
      </w:r>
      <w:proofErr w:type="spellStart"/>
      <w:r w:rsidRPr="001B6EE9">
        <w:rPr>
          <w:rFonts w:ascii="Lato" w:hAnsi="Lato" w:cs="Calibri"/>
          <w:sz w:val="20"/>
          <w:szCs w:val="20"/>
        </w:rPr>
        <w:t>Starszych</w:t>
      </w:r>
      <w:proofErr w:type="spellEnd"/>
      <w:r w:rsidRPr="001B6EE9">
        <w:rPr>
          <w:rFonts w:ascii="Lato" w:hAnsi="Lato" w:cs="Calibri"/>
          <w:sz w:val="20"/>
          <w:szCs w:val="20"/>
        </w:rPr>
        <w:t xml:space="preserve">, </w:t>
      </w:r>
      <w:proofErr w:type="spellStart"/>
      <w:r w:rsidRPr="001B6EE9">
        <w:rPr>
          <w:rFonts w:ascii="Lato" w:hAnsi="Lato" w:cs="Calibri"/>
          <w:sz w:val="20"/>
          <w:szCs w:val="20"/>
        </w:rPr>
        <w:t>natomiast</w:t>
      </w:r>
      <w:proofErr w:type="spellEnd"/>
      <w:r w:rsidRPr="001B6EE9">
        <w:rPr>
          <w:rFonts w:ascii="Lato" w:hAnsi="Lato" w:cs="Calibri"/>
          <w:sz w:val="20"/>
          <w:szCs w:val="20"/>
        </w:rPr>
        <w:t xml:space="preserve"> w </w:t>
      </w:r>
      <w:proofErr w:type="spellStart"/>
      <w:r w:rsidRPr="001B6EE9">
        <w:rPr>
          <w:rFonts w:ascii="Lato" w:hAnsi="Lato" w:cs="Calibri"/>
          <w:sz w:val="20"/>
          <w:szCs w:val="20"/>
        </w:rPr>
        <w:t>dniu</w:t>
      </w:r>
      <w:proofErr w:type="spellEnd"/>
      <w:r w:rsidRPr="001B6EE9">
        <w:rPr>
          <w:rFonts w:ascii="Lato" w:hAnsi="Lato" w:cs="Calibri"/>
          <w:sz w:val="20"/>
          <w:szCs w:val="20"/>
        </w:rPr>
        <w:t xml:space="preserve"> 24 </w:t>
      </w:r>
      <w:proofErr w:type="spellStart"/>
      <w:r w:rsidRPr="001B6EE9">
        <w:rPr>
          <w:rFonts w:ascii="Lato" w:hAnsi="Lato" w:cs="Calibri"/>
          <w:sz w:val="20"/>
          <w:szCs w:val="20"/>
        </w:rPr>
        <w:t>października</w:t>
      </w:r>
      <w:proofErr w:type="spellEnd"/>
      <w:r w:rsidRPr="001B6EE9">
        <w:rPr>
          <w:rFonts w:ascii="Lato" w:hAnsi="Lato" w:cs="Calibri"/>
          <w:sz w:val="20"/>
          <w:szCs w:val="20"/>
        </w:rPr>
        <w:t xml:space="preserve"> 2022 r. </w:t>
      </w:r>
      <w:proofErr w:type="spellStart"/>
      <w:r w:rsidRPr="001B6EE9">
        <w:rPr>
          <w:rFonts w:ascii="Lato" w:hAnsi="Lato" w:cs="Calibri"/>
          <w:sz w:val="20"/>
          <w:szCs w:val="20"/>
        </w:rPr>
        <w:t>uroczysta</w:t>
      </w:r>
      <w:proofErr w:type="spellEnd"/>
      <w:r w:rsidRPr="001B6EE9">
        <w:rPr>
          <w:rFonts w:ascii="Lato" w:hAnsi="Lato" w:cs="Calibri"/>
          <w:sz w:val="20"/>
          <w:szCs w:val="20"/>
        </w:rPr>
        <w:t xml:space="preserve"> </w:t>
      </w:r>
      <w:proofErr w:type="spellStart"/>
      <w:r w:rsidRPr="001B6EE9">
        <w:rPr>
          <w:rFonts w:ascii="Lato" w:hAnsi="Lato" w:cs="Calibri"/>
          <w:sz w:val="20"/>
          <w:szCs w:val="20"/>
        </w:rPr>
        <w:t>inauguracja</w:t>
      </w:r>
      <w:proofErr w:type="spellEnd"/>
      <w:r w:rsidRPr="001B6EE9">
        <w:rPr>
          <w:rFonts w:ascii="Lato" w:hAnsi="Lato" w:cs="Calibri"/>
          <w:sz w:val="20"/>
          <w:szCs w:val="20"/>
        </w:rPr>
        <w:t xml:space="preserve"> </w:t>
      </w:r>
      <w:proofErr w:type="spellStart"/>
      <w:r w:rsidRPr="001B6EE9">
        <w:rPr>
          <w:rFonts w:ascii="Lato" w:hAnsi="Lato" w:cs="Calibri"/>
          <w:sz w:val="20"/>
          <w:szCs w:val="20"/>
        </w:rPr>
        <w:t>roku</w:t>
      </w:r>
      <w:proofErr w:type="spellEnd"/>
      <w:r w:rsidRPr="001B6EE9">
        <w:rPr>
          <w:rFonts w:ascii="Lato" w:hAnsi="Lato" w:cs="Calibri"/>
          <w:sz w:val="20"/>
          <w:szCs w:val="20"/>
        </w:rPr>
        <w:t xml:space="preserve"> </w:t>
      </w:r>
      <w:proofErr w:type="spellStart"/>
      <w:r w:rsidRPr="001B6EE9">
        <w:rPr>
          <w:rFonts w:ascii="Lato" w:hAnsi="Lato" w:cs="Calibri"/>
          <w:sz w:val="20"/>
          <w:szCs w:val="20"/>
        </w:rPr>
        <w:t>akademickiego</w:t>
      </w:r>
      <w:proofErr w:type="spellEnd"/>
      <w:r w:rsidRPr="001B6EE9">
        <w:rPr>
          <w:rFonts w:ascii="Lato" w:hAnsi="Lato" w:cs="Calibri"/>
          <w:sz w:val="20"/>
          <w:szCs w:val="20"/>
        </w:rPr>
        <w:t xml:space="preserve"> UTW i ATW na </w:t>
      </w:r>
      <w:proofErr w:type="spellStart"/>
      <w:r w:rsidRPr="001B6EE9">
        <w:rPr>
          <w:rFonts w:ascii="Lato" w:hAnsi="Lato" w:cs="Calibri"/>
          <w:sz w:val="20"/>
          <w:szCs w:val="20"/>
        </w:rPr>
        <w:t>Warmii</w:t>
      </w:r>
      <w:proofErr w:type="spellEnd"/>
      <w:r w:rsidRPr="001B6EE9">
        <w:rPr>
          <w:rFonts w:ascii="Lato" w:hAnsi="Lato" w:cs="Calibri"/>
          <w:sz w:val="20"/>
          <w:szCs w:val="20"/>
        </w:rPr>
        <w:t xml:space="preserve"> i </w:t>
      </w:r>
      <w:proofErr w:type="spellStart"/>
      <w:r w:rsidRPr="001B6EE9">
        <w:rPr>
          <w:rFonts w:ascii="Lato" w:hAnsi="Lato" w:cs="Calibri"/>
          <w:sz w:val="20"/>
          <w:szCs w:val="20"/>
        </w:rPr>
        <w:t>Mazurach</w:t>
      </w:r>
      <w:proofErr w:type="spellEnd"/>
      <w:r w:rsidRPr="001B6EE9">
        <w:rPr>
          <w:rFonts w:ascii="Lato" w:hAnsi="Lato" w:cs="Calibri"/>
          <w:sz w:val="20"/>
          <w:szCs w:val="20"/>
        </w:rPr>
        <w:t xml:space="preserve">. </w:t>
      </w:r>
      <w:proofErr w:type="spellStart"/>
      <w:r w:rsidRPr="001B6EE9">
        <w:rPr>
          <w:rFonts w:ascii="Lato" w:hAnsi="Lato" w:cs="Calibri"/>
          <w:sz w:val="20"/>
          <w:szCs w:val="20"/>
        </w:rPr>
        <w:t>Obie</w:t>
      </w:r>
      <w:proofErr w:type="spellEnd"/>
      <w:r w:rsidRPr="001B6EE9">
        <w:rPr>
          <w:rFonts w:ascii="Lato" w:hAnsi="Lato" w:cs="Calibri"/>
          <w:sz w:val="20"/>
          <w:szCs w:val="20"/>
        </w:rPr>
        <w:t xml:space="preserve"> </w:t>
      </w:r>
      <w:proofErr w:type="spellStart"/>
      <w:r w:rsidRPr="001B6EE9">
        <w:rPr>
          <w:rFonts w:ascii="Lato" w:hAnsi="Lato" w:cs="Calibri"/>
          <w:sz w:val="20"/>
          <w:szCs w:val="20"/>
        </w:rPr>
        <w:t>uroczystości</w:t>
      </w:r>
      <w:proofErr w:type="spellEnd"/>
      <w:r w:rsidRPr="001B6EE9">
        <w:rPr>
          <w:rFonts w:ascii="Lato" w:hAnsi="Lato" w:cs="Calibri"/>
          <w:sz w:val="20"/>
          <w:szCs w:val="20"/>
        </w:rPr>
        <w:t xml:space="preserve"> </w:t>
      </w:r>
      <w:proofErr w:type="spellStart"/>
      <w:r w:rsidRPr="001B6EE9">
        <w:rPr>
          <w:rFonts w:ascii="Lato" w:hAnsi="Lato" w:cs="Calibri"/>
          <w:sz w:val="20"/>
          <w:szCs w:val="20"/>
        </w:rPr>
        <w:t>zostały</w:t>
      </w:r>
      <w:proofErr w:type="spellEnd"/>
      <w:r w:rsidRPr="001B6EE9">
        <w:rPr>
          <w:rFonts w:ascii="Lato" w:hAnsi="Lato" w:cs="Calibri"/>
          <w:sz w:val="20"/>
          <w:szCs w:val="20"/>
        </w:rPr>
        <w:t xml:space="preserve"> </w:t>
      </w:r>
      <w:proofErr w:type="spellStart"/>
      <w:r w:rsidRPr="001B6EE9">
        <w:rPr>
          <w:rFonts w:ascii="Lato" w:hAnsi="Lato" w:cs="Calibri"/>
          <w:sz w:val="20"/>
          <w:szCs w:val="20"/>
        </w:rPr>
        <w:t>zorganizowane</w:t>
      </w:r>
      <w:proofErr w:type="spellEnd"/>
      <w:r w:rsidRPr="001B6EE9">
        <w:rPr>
          <w:rFonts w:ascii="Lato" w:hAnsi="Lato" w:cs="Calibri"/>
          <w:sz w:val="20"/>
          <w:szCs w:val="20"/>
        </w:rPr>
        <w:t xml:space="preserve"> </w:t>
      </w:r>
      <w:proofErr w:type="spellStart"/>
      <w:r w:rsidRPr="001B6EE9">
        <w:rPr>
          <w:rFonts w:ascii="Lato" w:hAnsi="Lato" w:cs="Calibri"/>
          <w:sz w:val="20"/>
          <w:szCs w:val="20"/>
        </w:rPr>
        <w:t>przez</w:t>
      </w:r>
      <w:proofErr w:type="spellEnd"/>
      <w:r w:rsidRPr="001B6EE9">
        <w:rPr>
          <w:rFonts w:ascii="Lato" w:hAnsi="Lato" w:cs="Calibri"/>
          <w:sz w:val="20"/>
          <w:szCs w:val="20"/>
        </w:rPr>
        <w:t xml:space="preserve"> </w:t>
      </w:r>
      <w:proofErr w:type="spellStart"/>
      <w:r w:rsidRPr="001B6EE9">
        <w:rPr>
          <w:rFonts w:ascii="Lato" w:hAnsi="Lato" w:cs="Calibri"/>
          <w:sz w:val="20"/>
          <w:szCs w:val="20"/>
        </w:rPr>
        <w:t>Regionalny</w:t>
      </w:r>
      <w:proofErr w:type="spellEnd"/>
      <w:r w:rsidRPr="001B6EE9">
        <w:rPr>
          <w:rFonts w:ascii="Lato" w:hAnsi="Lato" w:cs="Calibri"/>
          <w:sz w:val="20"/>
          <w:szCs w:val="20"/>
        </w:rPr>
        <w:t xml:space="preserve"> </w:t>
      </w:r>
      <w:proofErr w:type="spellStart"/>
      <w:r w:rsidRPr="001B6EE9">
        <w:rPr>
          <w:rFonts w:ascii="Lato" w:hAnsi="Lato" w:cs="Calibri"/>
          <w:sz w:val="20"/>
          <w:szCs w:val="20"/>
        </w:rPr>
        <w:t>Ośrodek</w:t>
      </w:r>
      <w:proofErr w:type="spellEnd"/>
      <w:r w:rsidRPr="001B6EE9">
        <w:rPr>
          <w:rFonts w:ascii="Lato" w:hAnsi="Lato" w:cs="Calibri"/>
          <w:sz w:val="20"/>
          <w:szCs w:val="20"/>
        </w:rPr>
        <w:t xml:space="preserve"> </w:t>
      </w:r>
      <w:proofErr w:type="spellStart"/>
      <w:r w:rsidRPr="001B6EE9">
        <w:rPr>
          <w:rFonts w:ascii="Lato" w:hAnsi="Lato" w:cs="Calibri"/>
          <w:sz w:val="20"/>
          <w:szCs w:val="20"/>
        </w:rPr>
        <w:t>Polityki</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Społecznej</w:t>
      </w:r>
      <w:proofErr w:type="spellEnd"/>
      <w:r w:rsidRPr="001B6EE9">
        <w:rPr>
          <w:rFonts w:ascii="Lato" w:hAnsi="Lato" w:cs="Calibri"/>
          <w:sz w:val="20"/>
          <w:szCs w:val="20"/>
        </w:rPr>
        <w:t xml:space="preserve"> </w:t>
      </w:r>
      <w:proofErr w:type="spellStart"/>
      <w:r w:rsidRPr="001B6EE9">
        <w:rPr>
          <w:rFonts w:ascii="Lato" w:hAnsi="Lato" w:cs="Calibri"/>
          <w:sz w:val="20"/>
          <w:szCs w:val="20"/>
        </w:rPr>
        <w:t>Urzędu</w:t>
      </w:r>
      <w:proofErr w:type="spellEnd"/>
      <w:r w:rsidRPr="001B6EE9">
        <w:rPr>
          <w:rFonts w:ascii="Lato" w:hAnsi="Lato" w:cs="Calibri"/>
          <w:sz w:val="20"/>
          <w:szCs w:val="20"/>
        </w:rPr>
        <w:t xml:space="preserve"> </w:t>
      </w:r>
      <w:proofErr w:type="spellStart"/>
      <w:r w:rsidRPr="001B6EE9">
        <w:rPr>
          <w:rFonts w:ascii="Lato" w:hAnsi="Lato" w:cs="Calibri"/>
          <w:sz w:val="20"/>
          <w:szCs w:val="20"/>
        </w:rPr>
        <w:t>Marszałkowskiego</w:t>
      </w:r>
      <w:proofErr w:type="spellEnd"/>
      <w:r w:rsidRPr="001B6EE9">
        <w:rPr>
          <w:rFonts w:ascii="Lato" w:hAnsi="Lato" w:cs="Calibri"/>
          <w:sz w:val="20"/>
          <w:szCs w:val="20"/>
        </w:rPr>
        <w:t xml:space="preserve"> </w:t>
      </w:r>
      <w:proofErr w:type="spellStart"/>
      <w:r w:rsidRPr="001B6EE9">
        <w:rPr>
          <w:rFonts w:ascii="Lato" w:hAnsi="Lato" w:cs="Calibri"/>
          <w:sz w:val="20"/>
          <w:szCs w:val="20"/>
        </w:rPr>
        <w:t>Województwa</w:t>
      </w:r>
      <w:proofErr w:type="spellEnd"/>
      <w:r w:rsidRPr="001B6EE9">
        <w:rPr>
          <w:rFonts w:ascii="Lato" w:hAnsi="Lato" w:cs="Calibri"/>
          <w:sz w:val="20"/>
          <w:szCs w:val="20"/>
        </w:rPr>
        <w:t xml:space="preserve"> </w:t>
      </w:r>
      <w:proofErr w:type="spellStart"/>
      <w:r w:rsidRPr="001B6EE9">
        <w:rPr>
          <w:rFonts w:ascii="Lato" w:hAnsi="Lato" w:cs="Calibri"/>
          <w:sz w:val="20"/>
          <w:szCs w:val="20"/>
        </w:rPr>
        <w:t>Warmińsko-Mazurskiego</w:t>
      </w:r>
      <w:proofErr w:type="spellEnd"/>
      <w:r w:rsidRPr="001B6EE9">
        <w:rPr>
          <w:rFonts w:ascii="Lato" w:hAnsi="Lato" w:cs="Calibri"/>
          <w:sz w:val="20"/>
          <w:szCs w:val="20"/>
        </w:rPr>
        <w:t xml:space="preserve"> w </w:t>
      </w:r>
      <w:proofErr w:type="spellStart"/>
      <w:r w:rsidRPr="001B6EE9">
        <w:rPr>
          <w:rFonts w:ascii="Lato" w:hAnsi="Lato" w:cs="Calibri"/>
          <w:sz w:val="20"/>
          <w:szCs w:val="20"/>
        </w:rPr>
        <w:t>Olsztynie</w:t>
      </w:r>
      <w:proofErr w:type="spellEnd"/>
      <w:r w:rsidRPr="001B6EE9">
        <w:rPr>
          <w:rFonts w:ascii="Lato" w:hAnsi="Lato" w:cs="Calibri"/>
          <w:sz w:val="20"/>
          <w:szCs w:val="20"/>
        </w:rPr>
        <w:t xml:space="preserve">. W </w:t>
      </w:r>
      <w:proofErr w:type="spellStart"/>
      <w:r w:rsidRPr="001B6EE9">
        <w:rPr>
          <w:rFonts w:ascii="Lato" w:hAnsi="Lato" w:cs="Calibri"/>
          <w:sz w:val="20"/>
          <w:szCs w:val="20"/>
        </w:rPr>
        <w:t>uroczystościach</w:t>
      </w:r>
      <w:proofErr w:type="spellEnd"/>
      <w:r w:rsidRPr="001B6EE9">
        <w:rPr>
          <w:rFonts w:ascii="Lato" w:hAnsi="Lato" w:cs="Calibri"/>
          <w:sz w:val="20"/>
          <w:szCs w:val="20"/>
        </w:rPr>
        <w:t xml:space="preserve"> </w:t>
      </w:r>
      <w:proofErr w:type="spellStart"/>
      <w:r w:rsidRPr="001B6EE9">
        <w:rPr>
          <w:rFonts w:ascii="Lato" w:hAnsi="Lato" w:cs="Calibri"/>
          <w:sz w:val="20"/>
          <w:szCs w:val="20"/>
        </w:rPr>
        <w:t>wzięło</w:t>
      </w:r>
      <w:proofErr w:type="spellEnd"/>
      <w:r w:rsidRPr="001B6EE9">
        <w:rPr>
          <w:rFonts w:ascii="Lato" w:hAnsi="Lato" w:cs="Calibri"/>
          <w:sz w:val="20"/>
          <w:szCs w:val="20"/>
        </w:rPr>
        <w:t xml:space="preserve"> </w:t>
      </w:r>
      <w:proofErr w:type="spellStart"/>
      <w:r w:rsidRPr="001B6EE9">
        <w:rPr>
          <w:rFonts w:ascii="Lato" w:hAnsi="Lato" w:cs="Calibri"/>
          <w:sz w:val="20"/>
          <w:szCs w:val="20"/>
        </w:rPr>
        <w:t>udział</w:t>
      </w:r>
      <w:proofErr w:type="spellEnd"/>
      <w:r w:rsidRPr="001B6EE9">
        <w:rPr>
          <w:rFonts w:ascii="Lato" w:hAnsi="Lato" w:cs="Calibri"/>
          <w:sz w:val="20"/>
          <w:szCs w:val="20"/>
        </w:rPr>
        <w:t xml:space="preserve"> </w:t>
      </w:r>
      <w:proofErr w:type="spellStart"/>
      <w:r w:rsidRPr="001B6EE9">
        <w:rPr>
          <w:rFonts w:ascii="Lato" w:hAnsi="Lato" w:cs="Calibri"/>
          <w:sz w:val="20"/>
          <w:szCs w:val="20"/>
        </w:rPr>
        <w:t>około</w:t>
      </w:r>
      <w:proofErr w:type="spellEnd"/>
      <w:r w:rsidRPr="001B6EE9">
        <w:rPr>
          <w:rFonts w:ascii="Lato" w:hAnsi="Lato" w:cs="Calibri"/>
          <w:sz w:val="20"/>
          <w:szCs w:val="20"/>
        </w:rPr>
        <w:t xml:space="preserve"> 250 </w:t>
      </w:r>
      <w:proofErr w:type="spellStart"/>
      <w:r w:rsidRPr="001B6EE9">
        <w:rPr>
          <w:rFonts w:ascii="Lato" w:hAnsi="Lato" w:cs="Calibri"/>
          <w:sz w:val="20"/>
          <w:szCs w:val="20"/>
        </w:rPr>
        <w:t>osób</w:t>
      </w:r>
      <w:proofErr w:type="spellEnd"/>
      <w:r w:rsidRPr="001B6EE9">
        <w:rPr>
          <w:rFonts w:ascii="Lato" w:hAnsi="Lato" w:cs="Calibri"/>
          <w:sz w:val="20"/>
          <w:szCs w:val="20"/>
        </w:rPr>
        <w:t xml:space="preserve">, m.in.: </w:t>
      </w:r>
      <w:proofErr w:type="spellStart"/>
      <w:r w:rsidRPr="001B6EE9">
        <w:rPr>
          <w:rFonts w:ascii="Lato" w:hAnsi="Lato" w:cs="Calibri"/>
          <w:sz w:val="20"/>
          <w:szCs w:val="20"/>
        </w:rPr>
        <w:t>przedstawicieli</w:t>
      </w:r>
      <w:proofErr w:type="spellEnd"/>
      <w:r w:rsidRPr="001B6EE9">
        <w:rPr>
          <w:rFonts w:ascii="Lato" w:hAnsi="Lato" w:cs="Calibri"/>
          <w:sz w:val="20"/>
          <w:szCs w:val="20"/>
        </w:rPr>
        <w:t xml:space="preserve"> </w:t>
      </w:r>
      <w:proofErr w:type="spellStart"/>
      <w:r w:rsidRPr="001B6EE9">
        <w:rPr>
          <w:rFonts w:ascii="Lato" w:hAnsi="Lato" w:cs="Calibri"/>
          <w:sz w:val="20"/>
          <w:szCs w:val="20"/>
        </w:rPr>
        <w:t>władz</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lokalnych</w:t>
      </w:r>
      <w:proofErr w:type="spellEnd"/>
      <w:r w:rsidRPr="001B6EE9">
        <w:rPr>
          <w:rFonts w:ascii="Lato" w:hAnsi="Lato" w:cs="Calibri"/>
          <w:sz w:val="20"/>
          <w:szCs w:val="20"/>
        </w:rPr>
        <w:t xml:space="preserve">, </w:t>
      </w:r>
      <w:proofErr w:type="spellStart"/>
      <w:r w:rsidRPr="001B6EE9">
        <w:rPr>
          <w:rFonts w:ascii="Lato" w:hAnsi="Lato" w:cs="Calibri"/>
          <w:sz w:val="20"/>
          <w:szCs w:val="20"/>
        </w:rPr>
        <w:t>jednostek</w:t>
      </w:r>
      <w:proofErr w:type="spellEnd"/>
      <w:r w:rsidRPr="001B6EE9">
        <w:rPr>
          <w:rFonts w:ascii="Lato" w:hAnsi="Lato" w:cs="Calibri"/>
          <w:sz w:val="20"/>
          <w:szCs w:val="20"/>
        </w:rPr>
        <w:t xml:space="preserve"> </w:t>
      </w:r>
      <w:proofErr w:type="spellStart"/>
      <w:r w:rsidRPr="001B6EE9">
        <w:rPr>
          <w:rFonts w:ascii="Lato" w:hAnsi="Lato" w:cs="Calibri"/>
          <w:sz w:val="20"/>
          <w:szCs w:val="20"/>
        </w:rPr>
        <w:t>samorządu</w:t>
      </w:r>
      <w:proofErr w:type="spellEnd"/>
      <w:r w:rsidRPr="001B6EE9">
        <w:rPr>
          <w:rFonts w:ascii="Lato" w:hAnsi="Lato" w:cs="Calibri"/>
          <w:sz w:val="20"/>
          <w:szCs w:val="20"/>
        </w:rPr>
        <w:t xml:space="preserve"> </w:t>
      </w:r>
      <w:proofErr w:type="spellStart"/>
      <w:r w:rsidRPr="001B6EE9">
        <w:rPr>
          <w:rFonts w:ascii="Lato" w:hAnsi="Lato" w:cs="Calibri"/>
          <w:sz w:val="20"/>
          <w:szCs w:val="20"/>
        </w:rPr>
        <w:t>lokalnego</w:t>
      </w:r>
      <w:proofErr w:type="spellEnd"/>
      <w:r w:rsidRPr="001B6EE9">
        <w:rPr>
          <w:rFonts w:ascii="Lato" w:hAnsi="Lato" w:cs="Calibri"/>
          <w:sz w:val="20"/>
          <w:szCs w:val="20"/>
        </w:rPr>
        <w:t xml:space="preserve">, </w:t>
      </w:r>
      <w:proofErr w:type="spellStart"/>
      <w:r w:rsidRPr="001B6EE9">
        <w:rPr>
          <w:rFonts w:ascii="Lato" w:hAnsi="Lato" w:cs="Calibri"/>
          <w:sz w:val="20"/>
          <w:szCs w:val="20"/>
        </w:rPr>
        <w:t>ośrodków</w:t>
      </w:r>
      <w:proofErr w:type="spellEnd"/>
      <w:r w:rsidRPr="001B6EE9">
        <w:rPr>
          <w:rFonts w:ascii="Lato" w:hAnsi="Lato" w:cs="Calibri"/>
          <w:sz w:val="20"/>
          <w:szCs w:val="20"/>
        </w:rPr>
        <w:t xml:space="preserve"> </w:t>
      </w:r>
      <w:proofErr w:type="spellStart"/>
      <w:r w:rsidRPr="001B6EE9">
        <w:rPr>
          <w:rFonts w:ascii="Lato" w:hAnsi="Lato" w:cs="Calibri"/>
          <w:sz w:val="20"/>
          <w:szCs w:val="20"/>
        </w:rPr>
        <w:t>pomocy</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społecznej</w:t>
      </w:r>
      <w:proofErr w:type="spellEnd"/>
      <w:r w:rsidRPr="001B6EE9">
        <w:rPr>
          <w:rFonts w:ascii="Lato" w:hAnsi="Lato" w:cs="Calibri"/>
          <w:sz w:val="20"/>
          <w:szCs w:val="20"/>
        </w:rPr>
        <w:t xml:space="preserve">, </w:t>
      </w:r>
      <w:proofErr w:type="spellStart"/>
      <w:r w:rsidRPr="001B6EE9">
        <w:rPr>
          <w:rFonts w:ascii="Lato" w:hAnsi="Lato" w:cs="Calibri"/>
          <w:sz w:val="20"/>
          <w:szCs w:val="20"/>
        </w:rPr>
        <w:t>centrów</w:t>
      </w:r>
      <w:proofErr w:type="spellEnd"/>
      <w:r w:rsidRPr="001B6EE9">
        <w:rPr>
          <w:rFonts w:ascii="Lato" w:hAnsi="Lato" w:cs="Calibri"/>
          <w:sz w:val="20"/>
          <w:szCs w:val="20"/>
        </w:rPr>
        <w:t xml:space="preserve"> </w:t>
      </w:r>
      <w:proofErr w:type="spellStart"/>
      <w:r w:rsidRPr="001B6EE9">
        <w:rPr>
          <w:rFonts w:ascii="Lato" w:hAnsi="Lato" w:cs="Calibri"/>
          <w:sz w:val="20"/>
          <w:szCs w:val="20"/>
        </w:rPr>
        <w:t>usług</w:t>
      </w:r>
      <w:proofErr w:type="spellEnd"/>
      <w:r w:rsidRPr="001B6EE9">
        <w:rPr>
          <w:rFonts w:ascii="Lato" w:hAnsi="Lato" w:cs="Calibri"/>
          <w:sz w:val="20"/>
          <w:szCs w:val="20"/>
        </w:rPr>
        <w:t xml:space="preserve"> </w:t>
      </w:r>
      <w:proofErr w:type="spellStart"/>
      <w:r w:rsidRPr="001B6EE9">
        <w:rPr>
          <w:rFonts w:ascii="Lato" w:hAnsi="Lato" w:cs="Calibri"/>
          <w:sz w:val="20"/>
          <w:szCs w:val="20"/>
        </w:rPr>
        <w:t>społecznych</w:t>
      </w:r>
      <w:proofErr w:type="spellEnd"/>
      <w:r w:rsidRPr="001B6EE9">
        <w:rPr>
          <w:rFonts w:ascii="Lato" w:hAnsi="Lato" w:cs="Calibri"/>
          <w:sz w:val="20"/>
          <w:szCs w:val="20"/>
        </w:rPr>
        <w:t xml:space="preserve">, </w:t>
      </w:r>
      <w:proofErr w:type="spellStart"/>
      <w:r w:rsidRPr="001B6EE9">
        <w:rPr>
          <w:rFonts w:ascii="Lato" w:hAnsi="Lato" w:cs="Calibri"/>
          <w:sz w:val="20"/>
          <w:szCs w:val="20"/>
        </w:rPr>
        <w:t>powiatowych</w:t>
      </w:r>
      <w:proofErr w:type="spellEnd"/>
      <w:r w:rsidRPr="001B6EE9">
        <w:rPr>
          <w:rFonts w:ascii="Lato" w:hAnsi="Lato" w:cs="Calibri"/>
          <w:sz w:val="20"/>
          <w:szCs w:val="20"/>
        </w:rPr>
        <w:t xml:space="preserve"> </w:t>
      </w:r>
      <w:proofErr w:type="spellStart"/>
      <w:r w:rsidRPr="001B6EE9">
        <w:rPr>
          <w:rFonts w:ascii="Lato" w:hAnsi="Lato" w:cs="Calibri"/>
          <w:sz w:val="20"/>
          <w:szCs w:val="20"/>
        </w:rPr>
        <w:t>centrów</w:t>
      </w:r>
      <w:proofErr w:type="spellEnd"/>
      <w:r w:rsidRPr="001B6EE9">
        <w:rPr>
          <w:rFonts w:ascii="Lato" w:hAnsi="Lato" w:cs="Calibri"/>
          <w:sz w:val="20"/>
          <w:szCs w:val="20"/>
        </w:rPr>
        <w:t xml:space="preserve"> </w:t>
      </w:r>
      <w:proofErr w:type="spellStart"/>
      <w:r w:rsidRPr="001B6EE9">
        <w:rPr>
          <w:rFonts w:ascii="Lato" w:hAnsi="Lato" w:cs="Calibri"/>
          <w:sz w:val="20"/>
          <w:szCs w:val="20"/>
        </w:rPr>
        <w:t>pomocy</w:t>
      </w:r>
      <w:proofErr w:type="spellEnd"/>
      <w:r w:rsidRPr="001B6EE9">
        <w:rPr>
          <w:rFonts w:ascii="Lato" w:hAnsi="Lato" w:cs="Calibri"/>
          <w:sz w:val="20"/>
          <w:szCs w:val="20"/>
        </w:rPr>
        <w:t xml:space="preserve"> </w:t>
      </w:r>
      <w:proofErr w:type="spellStart"/>
      <w:r w:rsidRPr="001B6EE9">
        <w:rPr>
          <w:rFonts w:ascii="Lato" w:hAnsi="Lato" w:cs="Calibri"/>
          <w:sz w:val="20"/>
          <w:szCs w:val="20"/>
        </w:rPr>
        <w:t>rodzinie</w:t>
      </w:r>
      <w:proofErr w:type="spellEnd"/>
      <w:r w:rsidRPr="001B6EE9">
        <w:rPr>
          <w:rFonts w:ascii="Lato" w:hAnsi="Lato" w:cs="Calibri"/>
          <w:sz w:val="20"/>
          <w:szCs w:val="20"/>
        </w:rPr>
        <w:t xml:space="preserve"> i </w:t>
      </w:r>
      <w:proofErr w:type="spellStart"/>
      <w:r w:rsidRPr="001B6EE9">
        <w:rPr>
          <w:rFonts w:ascii="Lato" w:hAnsi="Lato" w:cs="Calibri"/>
          <w:sz w:val="20"/>
          <w:szCs w:val="20"/>
        </w:rPr>
        <w:t>przedstawicieli</w:t>
      </w:r>
      <w:proofErr w:type="spellEnd"/>
      <w:r w:rsidRPr="001B6EE9">
        <w:rPr>
          <w:rFonts w:ascii="Lato" w:hAnsi="Lato" w:cs="Calibri"/>
          <w:sz w:val="20"/>
          <w:szCs w:val="20"/>
        </w:rPr>
        <w:t xml:space="preserve"> </w:t>
      </w:r>
      <w:proofErr w:type="spellStart"/>
      <w:r w:rsidRPr="001B6EE9">
        <w:rPr>
          <w:rFonts w:ascii="Lato" w:hAnsi="Lato" w:cs="Calibri"/>
          <w:sz w:val="20"/>
          <w:szCs w:val="20"/>
        </w:rPr>
        <w:t>środowisk</w:t>
      </w:r>
      <w:proofErr w:type="spellEnd"/>
      <w:r w:rsidRPr="001B6EE9">
        <w:rPr>
          <w:rFonts w:ascii="Lato" w:hAnsi="Lato" w:cs="Calibri"/>
          <w:sz w:val="20"/>
          <w:szCs w:val="20"/>
        </w:rPr>
        <w:t xml:space="preserve"> </w:t>
      </w:r>
      <w:proofErr w:type="spellStart"/>
      <w:r w:rsidRPr="001B6EE9">
        <w:rPr>
          <w:rFonts w:ascii="Lato" w:hAnsi="Lato" w:cs="Calibri"/>
          <w:sz w:val="20"/>
          <w:szCs w:val="20"/>
        </w:rPr>
        <w:t>senioralnych</w:t>
      </w:r>
      <w:proofErr w:type="spellEnd"/>
      <w:r w:rsidRPr="001B6EE9">
        <w:rPr>
          <w:rFonts w:ascii="Lato" w:hAnsi="Lato" w:cs="Calibri"/>
          <w:sz w:val="20"/>
          <w:szCs w:val="20"/>
        </w:rPr>
        <w:t>.</w:t>
      </w:r>
    </w:p>
    <w:p w14:paraId="38CB84AE" w14:textId="77777777" w:rsidR="001B6EE9" w:rsidRPr="001B6EE9" w:rsidRDefault="001B6EE9" w:rsidP="001B6EE9">
      <w:pPr>
        <w:pStyle w:val="Standard"/>
        <w:jc w:val="both"/>
        <w:rPr>
          <w:rFonts w:ascii="Lato" w:hAnsi="Lato" w:cs="Calibri"/>
          <w:sz w:val="20"/>
          <w:szCs w:val="20"/>
        </w:rPr>
      </w:pPr>
    </w:p>
    <w:p w14:paraId="72ADDAE7" w14:textId="3F4EF081" w:rsidR="001B6EE9" w:rsidRPr="008548E7" w:rsidRDefault="001B6EE9" w:rsidP="008548E7">
      <w:pPr>
        <w:suppressAutoHyphens/>
        <w:autoSpaceDN w:val="0"/>
        <w:spacing w:after="0" w:line="240" w:lineRule="auto"/>
        <w:jc w:val="both"/>
        <w:textAlignment w:val="baseline"/>
        <w:rPr>
          <w:rFonts w:ascii="Lato" w:hAnsi="Lato"/>
          <w:sz w:val="20"/>
          <w:szCs w:val="20"/>
        </w:rPr>
      </w:pPr>
      <w:r w:rsidRPr="008548E7">
        <w:rPr>
          <w:rFonts w:ascii="Lato" w:eastAsia="Calibri" w:hAnsi="Lato" w:cs="Calibri"/>
          <w:sz w:val="20"/>
          <w:szCs w:val="20"/>
        </w:rPr>
        <w:t>Działanie Federacji Uniwersytetów Trzeciego Wieku Warmii i Mazur w Olsztynie – aktualnie Federacja zrzesza 24 UTW z terenu województwa warmińsko-mazurskiego. W województwie działa 46 uniwersytetów trzeciego wieku, z których większość nie posiada osobowości prawnej (utworzone przy bibliotekach gminnych, MOPS, klubach emerytów i rencistów itp.). Część UTW zrzeszona jest w ramach tzw. „Porozumienia UTW”, również nie posiadają osobowości prawnej. Federacja jest organizacją non profit,</w:t>
      </w:r>
      <w:r w:rsidRPr="008548E7">
        <w:rPr>
          <w:rFonts w:ascii="Lato" w:eastAsia="Calibri" w:hAnsi="Lato" w:cs="Calibri"/>
          <w:i/>
          <w:sz w:val="20"/>
          <w:szCs w:val="20"/>
        </w:rPr>
        <w:t xml:space="preserve"> </w:t>
      </w:r>
      <w:r w:rsidRPr="008548E7">
        <w:rPr>
          <w:rFonts w:ascii="Lato" w:eastAsia="Calibri" w:hAnsi="Lato" w:cs="Calibri"/>
          <w:sz w:val="20"/>
          <w:szCs w:val="20"/>
        </w:rPr>
        <w:t>utrzymującą się ze składek jej członków. W roku 2022 Federacja liczyła niemal 4000 członków na co dzień uczestniczących w życiu senioralnym w swoich uniwersytetach.</w:t>
      </w:r>
    </w:p>
    <w:p w14:paraId="6F4A4E27" w14:textId="77777777" w:rsidR="008548E7" w:rsidRDefault="008548E7" w:rsidP="008548E7">
      <w:pPr>
        <w:suppressAutoHyphens/>
        <w:autoSpaceDN w:val="0"/>
        <w:spacing w:after="0" w:line="240" w:lineRule="auto"/>
        <w:jc w:val="both"/>
        <w:textAlignment w:val="baseline"/>
        <w:rPr>
          <w:rFonts w:ascii="Lato" w:hAnsi="Lato" w:cs="Calibri"/>
          <w:sz w:val="20"/>
          <w:szCs w:val="20"/>
        </w:rPr>
      </w:pPr>
    </w:p>
    <w:p w14:paraId="12B3CC01" w14:textId="18C3A9CF" w:rsidR="001B6EE9" w:rsidRPr="008548E7" w:rsidRDefault="001B6EE9" w:rsidP="008548E7">
      <w:pPr>
        <w:suppressAutoHyphens/>
        <w:autoSpaceDN w:val="0"/>
        <w:spacing w:after="0" w:line="240" w:lineRule="auto"/>
        <w:jc w:val="both"/>
        <w:textAlignment w:val="baseline"/>
        <w:rPr>
          <w:rFonts w:ascii="Lato" w:hAnsi="Lato"/>
          <w:sz w:val="20"/>
          <w:szCs w:val="20"/>
        </w:rPr>
      </w:pPr>
      <w:r w:rsidRPr="008548E7">
        <w:rPr>
          <w:rFonts w:ascii="Lato" w:hAnsi="Lato" w:cs="Calibri"/>
          <w:sz w:val="20"/>
          <w:szCs w:val="20"/>
        </w:rPr>
        <w:t>W 2022 r</w:t>
      </w:r>
      <w:r w:rsidR="008548E7">
        <w:rPr>
          <w:rFonts w:ascii="Lato" w:hAnsi="Lato" w:cs="Calibri"/>
          <w:sz w:val="20"/>
          <w:szCs w:val="20"/>
        </w:rPr>
        <w:t>.</w:t>
      </w:r>
      <w:r w:rsidRPr="008548E7">
        <w:rPr>
          <w:rFonts w:ascii="Lato" w:hAnsi="Lato" w:cs="Calibri"/>
          <w:sz w:val="20"/>
          <w:szCs w:val="20"/>
        </w:rPr>
        <w:t xml:space="preserve"> Pełnomocnik Wojewody Warmińsko-Mazurskiego ds. Seniorów podejmował szereg działań na rzecz osób starszych:</w:t>
      </w:r>
    </w:p>
    <w:p w14:paraId="51122FED" w14:textId="77777777" w:rsidR="008548E7" w:rsidRPr="008548E7" w:rsidRDefault="001B6EE9" w:rsidP="0059185B">
      <w:pPr>
        <w:pStyle w:val="Akapitzlist"/>
        <w:numPr>
          <w:ilvl w:val="0"/>
          <w:numId w:val="129"/>
        </w:numPr>
        <w:suppressAutoHyphens/>
        <w:autoSpaceDN w:val="0"/>
        <w:spacing w:after="0" w:line="240" w:lineRule="auto"/>
        <w:jc w:val="both"/>
        <w:textAlignment w:val="baseline"/>
        <w:rPr>
          <w:rFonts w:ascii="Lato" w:hAnsi="Lato"/>
          <w:sz w:val="20"/>
          <w:szCs w:val="20"/>
        </w:rPr>
      </w:pPr>
      <w:r w:rsidRPr="008548E7">
        <w:rPr>
          <w:rFonts w:ascii="Lato" w:hAnsi="Lato" w:cs="Calibri"/>
          <w:sz w:val="20"/>
          <w:szCs w:val="20"/>
        </w:rPr>
        <w:t xml:space="preserve">współpracował z </w:t>
      </w:r>
      <w:r w:rsidRPr="008548E7">
        <w:rPr>
          <w:rFonts w:ascii="Lato" w:eastAsia="Calibri" w:hAnsi="Lato" w:cs="Calibri"/>
          <w:sz w:val="20"/>
          <w:szCs w:val="20"/>
        </w:rPr>
        <w:t xml:space="preserve">Ministerstwem Rodziny i Polityki Społecznej, </w:t>
      </w:r>
      <w:r w:rsidRPr="008548E7">
        <w:rPr>
          <w:rFonts w:ascii="Lato" w:hAnsi="Lato" w:cs="Calibri"/>
          <w:sz w:val="20"/>
          <w:szCs w:val="20"/>
        </w:rPr>
        <w:t>organami administracji publicznej, organizacjami pozarządowymi i instytucjami w zakresie spraw dotyczących seniorów a także reprezentował  Wojewodę Warmińsko-Mazurskiego w kontaktach z instytucjami, stowarzyszeniami i organizacjami działającymi na rzecz seniorów.</w:t>
      </w:r>
    </w:p>
    <w:p w14:paraId="468FD558" w14:textId="77777777" w:rsidR="008548E7" w:rsidRPr="008548E7" w:rsidRDefault="001B6EE9" w:rsidP="0059185B">
      <w:pPr>
        <w:pStyle w:val="Akapitzlist"/>
        <w:numPr>
          <w:ilvl w:val="0"/>
          <w:numId w:val="129"/>
        </w:numPr>
        <w:suppressAutoHyphens/>
        <w:autoSpaceDN w:val="0"/>
        <w:spacing w:after="0" w:line="240" w:lineRule="auto"/>
        <w:jc w:val="both"/>
        <w:textAlignment w:val="baseline"/>
        <w:rPr>
          <w:rFonts w:ascii="Lato" w:hAnsi="Lato"/>
          <w:sz w:val="20"/>
          <w:szCs w:val="20"/>
        </w:rPr>
      </w:pPr>
      <w:r w:rsidRPr="008548E7">
        <w:rPr>
          <w:rFonts w:ascii="Lato" w:hAnsi="Lato" w:cs="Calibri"/>
          <w:sz w:val="20"/>
          <w:szCs w:val="20"/>
        </w:rPr>
        <w:t>uczestniczył m.in. w spotkaniach z Radami Seniorów z województwa warmińsko-mazurskiego na których przekazywał informację o działaniach podejmowanych w zakresie polityki  senioralnej  oraz o programach rządowych skierowanych do Seniorów.</w:t>
      </w:r>
    </w:p>
    <w:p w14:paraId="43C53F5A" w14:textId="77777777" w:rsidR="008548E7" w:rsidRPr="008548E7" w:rsidRDefault="001B6EE9" w:rsidP="0059185B">
      <w:pPr>
        <w:pStyle w:val="Akapitzlist"/>
        <w:numPr>
          <w:ilvl w:val="0"/>
          <w:numId w:val="129"/>
        </w:numPr>
        <w:suppressAutoHyphens/>
        <w:autoSpaceDN w:val="0"/>
        <w:spacing w:after="0" w:line="240" w:lineRule="auto"/>
        <w:jc w:val="both"/>
        <w:textAlignment w:val="baseline"/>
        <w:rPr>
          <w:rFonts w:ascii="Lato" w:hAnsi="Lato"/>
          <w:sz w:val="20"/>
          <w:szCs w:val="20"/>
        </w:rPr>
      </w:pPr>
      <w:r w:rsidRPr="008548E7">
        <w:rPr>
          <w:rFonts w:ascii="Lato" w:hAnsi="Lato" w:cs="Calibri"/>
          <w:sz w:val="20"/>
          <w:szCs w:val="20"/>
        </w:rPr>
        <w:t>przyjmował interesantów w zakresie spraw dotyczących osób starszych.</w:t>
      </w:r>
    </w:p>
    <w:p w14:paraId="6DAE8880" w14:textId="54BFFC04" w:rsidR="008548E7" w:rsidRPr="00E25DA3" w:rsidRDefault="001B6EE9" w:rsidP="00E25DA3">
      <w:pPr>
        <w:pStyle w:val="Akapitzlist"/>
        <w:numPr>
          <w:ilvl w:val="0"/>
          <w:numId w:val="129"/>
        </w:numPr>
        <w:suppressAutoHyphens/>
        <w:autoSpaceDN w:val="0"/>
        <w:spacing w:after="0" w:line="240" w:lineRule="auto"/>
        <w:jc w:val="both"/>
        <w:textAlignment w:val="baseline"/>
        <w:rPr>
          <w:rFonts w:ascii="Lato" w:hAnsi="Lato"/>
          <w:sz w:val="20"/>
          <w:szCs w:val="20"/>
        </w:rPr>
      </w:pPr>
      <w:r w:rsidRPr="008548E7">
        <w:rPr>
          <w:rFonts w:ascii="Lato" w:hAnsi="Lato" w:cs="Calibri"/>
          <w:sz w:val="20"/>
          <w:szCs w:val="20"/>
        </w:rPr>
        <w:t xml:space="preserve">został powołany na członka kapituły Konkursu </w:t>
      </w:r>
      <w:r w:rsidRPr="008548E7">
        <w:rPr>
          <w:rStyle w:val="markedcontent"/>
          <w:rFonts w:ascii="Lato" w:hAnsi="Lato" w:cs="Calibri"/>
          <w:sz w:val="20"/>
          <w:szCs w:val="20"/>
        </w:rPr>
        <w:t>na Aktywnego Seniora/Seniorkę i Najlepszą Inicjatywę Seniorską „POTRZEBNI”</w:t>
      </w:r>
      <w:r w:rsidRPr="008548E7">
        <w:rPr>
          <w:rFonts w:ascii="Lato" w:hAnsi="Lato" w:cs="Calibri"/>
          <w:sz w:val="20"/>
          <w:szCs w:val="20"/>
        </w:rPr>
        <w:t xml:space="preserve"> organizowanego przez Federację </w:t>
      </w:r>
      <w:proofErr w:type="spellStart"/>
      <w:r w:rsidRPr="008548E7">
        <w:rPr>
          <w:rFonts w:ascii="Lato" w:hAnsi="Lato" w:cs="Calibri"/>
          <w:sz w:val="20"/>
          <w:szCs w:val="20"/>
        </w:rPr>
        <w:t>FOSa</w:t>
      </w:r>
      <w:proofErr w:type="spellEnd"/>
      <w:r w:rsidRPr="008548E7">
        <w:rPr>
          <w:rStyle w:val="markedcontent"/>
          <w:rFonts w:ascii="Lato" w:hAnsi="Lato" w:cs="Calibri"/>
          <w:sz w:val="20"/>
          <w:szCs w:val="20"/>
        </w:rPr>
        <w:t>.</w:t>
      </w:r>
      <w:r w:rsidRPr="008548E7">
        <w:rPr>
          <w:rFonts w:ascii="Lato" w:hAnsi="Lato"/>
          <w:sz w:val="20"/>
          <w:szCs w:val="20"/>
        </w:rPr>
        <w:t xml:space="preserve"> </w:t>
      </w:r>
      <w:r w:rsidRPr="008548E7">
        <w:rPr>
          <w:rStyle w:val="markedcontent"/>
          <w:rFonts w:ascii="Lato" w:hAnsi="Lato" w:cs="Calibri"/>
          <w:sz w:val="20"/>
          <w:szCs w:val="20"/>
        </w:rPr>
        <w:t>Celem Konkursu jest promowanie aktywnych postaw w środowisku seniorów i budowanie pozytywnego wizerunku osoby starszej.</w:t>
      </w:r>
    </w:p>
    <w:p w14:paraId="451773D1" w14:textId="2FC2FBC2" w:rsidR="00E25DA3" w:rsidRDefault="00E25DA3" w:rsidP="00E25DA3">
      <w:pPr>
        <w:suppressAutoHyphens/>
        <w:autoSpaceDN w:val="0"/>
        <w:spacing w:after="0" w:line="240" w:lineRule="auto"/>
        <w:jc w:val="both"/>
        <w:textAlignment w:val="baseline"/>
        <w:rPr>
          <w:rFonts w:ascii="Lato" w:hAnsi="Lato"/>
          <w:sz w:val="20"/>
          <w:szCs w:val="20"/>
        </w:rPr>
      </w:pPr>
    </w:p>
    <w:p w14:paraId="6CB6BDAF" w14:textId="1A85A7C3" w:rsidR="00E25DA3" w:rsidRDefault="00E25DA3" w:rsidP="00E25DA3">
      <w:pPr>
        <w:pStyle w:val="Legenda"/>
        <w:keepNext/>
      </w:pPr>
      <w:bookmarkStart w:id="179" w:name="_Toc142566035"/>
      <w:r>
        <w:t xml:space="preserve">Tabela </w:t>
      </w:r>
      <w:fldSimple w:instr=" SEQ Tabela \* ARABIC ">
        <w:r w:rsidR="00AA385B">
          <w:rPr>
            <w:noProof/>
          </w:rPr>
          <w:t>72</w:t>
        </w:r>
      </w:fldSimple>
      <w:r>
        <w:t xml:space="preserve"> Karta województwa warmińsko-mazurskiego za 2022 r.</w:t>
      </w:r>
      <w:bookmarkEnd w:id="179"/>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2441"/>
        <w:gridCol w:w="2441"/>
        <w:gridCol w:w="2438"/>
      </w:tblGrid>
      <w:tr w:rsidR="00E25DA3" w:rsidRPr="00E25DA3" w14:paraId="578E50DA"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0FD0C7D1"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WOJEWÓDZTWO WARMIŃSKO-MAZURSKIE</w:t>
            </w:r>
          </w:p>
        </w:tc>
      </w:tr>
      <w:tr w:rsidR="00E25DA3" w:rsidRPr="00E25DA3" w14:paraId="6E027000" w14:textId="77777777" w:rsidTr="00E25DA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9C09051"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Informacja o regionie</w:t>
            </w:r>
          </w:p>
        </w:tc>
        <w:tc>
          <w:tcPr>
            <w:tcW w:w="1347" w:type="pct"/>
            <w:shd w:val="clear" w:color="auto" w:fill="auto"/>
          </w:tcPr>
          <w:p w14:paraId="3B6D341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gmin</w:t>
            </w:r>
          </w:p>
        </w:tc>
        <w:tc>
          <w:tcPr>
            <w:tcW w:w="2692" w:type="pct"/>
            <w:gridSpan w:val="2"/>
            <w:shd w:val="clear" w:color="auto" w:fill="auto"/>
          </w:tcPr>
          <w:p w14:paraId="677426D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116</w:t>
            </w:r>
          </w:p>
        </w:tc>
      </w:tr>
      <w:tr w:rsidR="00E25DA3" w:rsidRPr="00E25DA3" w14:paraId="11617FDD" w14:textId="77777777" w:rsidTr="00E25DA3">
        <w:trPr>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E8F99CC" w14:textId="77777777" w:rsidR="00E25DA3" w:rsidRPr="00E25DA3" w:rsidRDefault="00E25DA3" w:rsidP="00CA4EC0">
            <w:pPr>
              <w:rPr>
                <w:rFonts w:ascii="Lato" w:hAnsi="Lato" w:cs="Times New Roman"/>
                <w:color w:val="auto"/>
                <w:sz w:val="18"/>
                <w:szCs w:val="18"/>
              </w:rPr>
            </w:pPr>
          </w:p>
        </w:tc>
        <w:tc>
          <w:tcPr>
            <w:tcW w:w="1347" w:type="pct"/>
            <w:shd w:val="clear" w:color="auto" w:fill="auto"/>
          </w:tcPr>
          <w:p w14:paraId="160C133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powiatów</w:t>
            </w:r>
          </w:p>
        </w:tc>
        <w:tc>
          <w:tcPr>
            <w:tcW w:w="2692" w:type="pct"/>
            <w:gridSpan w:val="2"/>
            <w:shd w:val="clear" w:color="auto" w:fill="auto"/>
          </w:tcPr>
          <w:p w14:paraId="684A9C7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19 powiatów i 2 miasta na prawach powiatu</w:t>
            </w:r>
          </w:p>
        </w:tc>
      </w:tr>
      <w:tr w:rsidR="00E25DA3" w:rsidRPr="00E25DA3" w14:paraId="4E30F892" w14:textId="77777777" w:rsidTr="00E25DA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472F3B6" w14:textId="77777777" w:rsidR="00E25DA3" w:rsidRPr="00E25DA3" w:rsidRDefault="00E25DA3" w:rsidP="00CA4EC0">
            <w:pPr>
              <w:rPr>
                <w:rFonts w:ascii="Lato" w:hAnsi="Lato" w:cs="Times New Roman"/>
                <w:color w:val="auto"/>
                <w:sz w:val="18"/>
                <w:szCs w:val="18"/>
              </w:rPr>
            </w:pPr>
          </w:p>
        </w:tc>
        <w:tc>
          <w:tcPr>
            <w:tcW w:w="1347" w:type="pct"/>
            <w:shd w:val="clear" w:color="auto" w:fill="auto"/>
          </w:tcPr>
          <w:p w14:paraId="28FC705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Powierzchnia</w:t>
            </w:r>
          </w:p>
        </w:tc>
        <w:tc>
          <w:tcPr>
            <w:tcW w:w="2692" w:type="pct"/>
            <w:gridSpan w:val="2"/>
            <w:shd w:val="clear" w:color="auto" w:fill="auto"/>
          </w:tcPr>
          <w:p w14:paraId="776DE68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24 174 km</w:t>
            </w:r>
            <w:r w:rsidRPr="00E25DA3">
              <w:rPr>
                <w:rFonts w:ascii="Lato" w:hAnsi="Lato" w:cs="Times New Roman"/>
                <w:color w:val="auto"/>
                <w:sz w:val="18"/>
                <w:szCs w:val="18"/>
                <w:vertAlign w:val="superscript"/>
              </w:rPr>
              <w:t>2</w:t>
            </w:r>
          </w:p>
        </w:tc>
      </w:tr>
      <w:tr w:rsidR="00E25DA3" w:rsidRPr="00E25DA3" w14:paraId="317FD896"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47BCCFE1" w14:textId="77777777" w:rsidR="00E25DA3" w:rsidRPr="00E25DA3" w:rsidRDefault="00E25DA3" w:rsidP="00CA4EC0">
            <w:pPr>
              <w:jc w:val="center"/>
              <w:rPr>
                <w:rFonts w:ascii="Lato" w:hAnsi="Lato" w:cs="Times New Roman"/>
                <w:b w:val="0"/>
                <w:color w:val="auto"/>
                <w:sz w:val="18"/>
                <w:szCs w:val="18"/>
              </w:rPr>
            </w:pPr>
            <w:r w:rsidRPr="00E25DA3">
              <w:rPr>
                <w:rFonts w:ascii="Lato" w:hAnsi="Lato" w:cs="Times New Roman"/>
                <w:color w:val="auto"/>
                <w:sz w:val="18"/>
                <w:szCs w:val="18"/>
              </w:rPr>
              <w:t>DEMOGRAFIA</w:t>
            </w:r>
          </w:p>
        </w:tc>
      </w:tr>
      <w:tr w:rsidR="00E25DA3" w:rsidRPr="00E25DA3" w14:paraId="38416A0A"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0A4B0E9" w14:textId="77777777" w:rsidR="00E25DA3" w:rsidRPr="00E25DA3" w:rsidRDefault="00E25DA3" w:rsidP="00CA4EC0">
            <w:pPr>
              <w:jc w:val="center"/>
              <w:rPr>
                <w:rFonts w:ascii="Lato" w:hAnsi="Lato" w:cs="Times New Roman"/>
                <w:b w:val="0"/>
                <w:color w:val="auto"/>
                <w:sz w:val="18"/>
                <w:szCs w:val="18"/>
                <w:lang w:eastAsia="pl-PL"/>
              </w:rPr>
            </w:pPr>
            <w:r w:rsidRPr="00E25DA3">
              <w:rPr>
                <w:rFonts w:ascii="Lato" w:hAnsi="Lato" w:cs="Times New Roman"/>
                <w:color w:val="auto"/>
                <w:sz w:val="18"/>
                <w:szCs w:val="18"/>
                <w:lang w:eastAsia="pl-PL"/>
              </w:rPr>
              <w:t>Treść</w:t>
            </w:r>
          </w:p>
        </w:tc>
        <w:tc>
          <w:tcPr>
            <w:tcW w:w="1347" w:type="pct"/>
            <w:shd w:val="clear" w:color="auto" w:fill="auto"/>
          </w:tcPr>
          <w:p w14:paraId="192399E3"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2020 r.</w:t>
            </w:r>
          </w:p>
        </w:tc>
        <w:tc>
          <w:tcPr>
            <w:tcW w:w="1347" w:type="pct"/>
            <w:shd w:val="clear" w:color="auto" w:fill="auto"/>
          </w:tcPr>
          <w:p w14:paraId="05D358A2"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2021 r.</w:t>
            </w:r>
          </w:p>
        </w:tc>
        <w:tc>
          <w:tcPr>
            <w:tcW w:w="1345" w:type="pct"/>
            <w:shd w:val="clear" w:color="auto" w:fill="auto"/>
          </w:tcPr>
          <w:p w14:paraId="17FBF70D"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2022 r.</w:t>
            </w:r>
          </w:p>
        </w:tc>
      </w:tr>
      <w:tr w:rsidR="00E25DA3" w:rsidRPr="00E25DA3" w14:paraId="58113C2E"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08DE3F0"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lastRenderedPageBreak/>
              <w:t>Populacja ogółem</w:t>
            </w:r>
          </w:p>
        </w:tc>
        <w:tc>
          <w:tcPr>
            <w:tcW w:w="1347" w:type="pct"/>
            <w:shd w:val="clear" w:color="auto" w:fill="auto"/>
          </w:tcPr>
          <w:p w14:paraId="1E6E540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1385622</w:t>
            </w:r>
          </w:p>
        </w:tc>
        <w:tc>
          <w:tcPr>
            <w:tcW w:w="1347" w:type="pct"/>
            <w:shd w:val="clear" w:color="auto" w:fill="auto"/>
          </w:tcPr>
          <w:p w14:paraId="0999F18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1374699</w:t>
            </w:r>
          </w:p>
        </w:tc>
        <w:tc>
          <w:tcPr>
            <w:tcW w:w="1345" w:type="pct"/>
            <w:shd w:val="clear" w:color="auto" w:fill="auto"/>
          </w:tcPr>
          <w:p w14:paraId="71D373E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1366430</w:t>
            </w:r>
          </w:p>
        </w:tc>
      </w:tr>
      <w:tr w:rsidR="00E25DA3" w:rsidRPr="00E25DA3" w14:paraId="02059885"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83E8874" w14:textId="77777777" w:rsidR="00E25DA3" w:rsidRPr="00E25DA3" w:rsidRDefault="00E25DA3" w:rsidP="00CA4EC0">
            <w:pPr>
              <w:rPr>
                <w:rFonts w:ascii="Lato" w:hAnsi="Lato" w:cs="Times New Roman"/>
                <w:b w:val="0"/>
                <w:color w:val="auto"/>
                <w:sz w:val="18"/>
                <w:szCs w:val="18"/>
              </w:rPr>
            </w:pPr>
          </w:p>
        </w:tc>
      </w:tr>
      <w:tr w:rsidR="00E25DA3" w:rsidRPr="00E25DA3" w14:paraId="09F3D7DE"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BB8D9A5" w14:textId="77777777" w:rsidR="00E25DA3" w:rsidRPr="00E25DA3" w:rsidRDefault="00E25DA3" w:rsidP="00CA4EC0">
            <w:pPr>
              <w:rPr>
                <w:rFonts w:ascii="Lato" w:hAnsi="Lato" w:cs="Times New Roman"/>
                <w:b w:val="0"/>
                <w:color w:val="auto"/>
                <w:sz w:val="18"/>
                <w:szCs w:val="18"/>
              </w:rPr>
            </w:pPr>
            <w:r w:rsidRPr="00E25DA3">
              <w:rPr>
                <w:rFonts w:ascii="Lato" w:hAnsi="Lato" w:cs="Times New Roman"/>
                <w:color w:val="auto"/>
                <w:sz w:val="18"/>
                <w:szCs w:val="18"/>
                <w:lang w:eastAsia="pl-PL"/>
              </w:rPr>
              <w:t>w wieku 60 lat i więcej</w:t>
            </w:r>
          </w:p>
        </w:tc>
        <w:tc>
          <w:tcPr>
            <w:tcW w:w="1347" w:type="pct"/>
            <w:shd w:val="clear" w:color="auto" w:fill="auto"/>
          </w:tcPr>
          <w:p w14:paraId="6D8252A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346532</w:t>
            </w:r>
          </w:p>
        </w:tc>
        <w:tc>
          <w:tcPr>
            <w:tcW w:w="1347" w:type="pct"/>
            <w:shd w:val="clear" w:color="auto" w:fill="auto"/>
          </w:tcPr>
          <w:p w14:paraId="3BAAAF7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349194</w:t>
            </w:r>
          </w:p>
        </w:tc>
        <w:tc>
          <w:tcPr>
            <w:tcW w:w="1345" w:type="pct"/>
            <w:shd w:val="clear" w:color="auto" w:fill="auto"/>
          </w:tcPr>
          <w:p w14:paraId="1E1AEC9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353711</w:t>
            </w:r>
          </w:p>
        </w:tc>
      </w:tr>
      <w:tr w:rsidR="00E25DA3" w:rsidRPr="00E25DA3" w14:paraId="61E87B8C"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AAD262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60–64 lata</w:t>
            </w:r>
          </w:p>
        </w:tc>
        <w:tc>
          <w:tcPr>
            <w:tcW w:w="1347" w:type="pct"/>
            <w:shd w:val="clear" w:color="auto" w:fill="auto"/>
          </w:tcPr>
          <w:p w14:paraId="0F9DA37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103709</w:t>
            </w:r>
          </w:p>
        </w:tc>
        <w:tc>
          <w:tcPr>
            <w:tcW w:w="1347" w:type="pct"/>
            <w:shd w:val="clear" w:color="auto" w:fill="auto"/>
          </w:tcPr>
          <w:p w14:paraId="2D94413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100439</w:t>
            </w:r>
          </w:p>
        </w:tc>
        <w:tc>
          <w:tcPr>
            <w:tcW w:w="1345" w:type="pct"/>
            <w:shd w:val="clear" w:color="auto" w:fill="auto"/>
          </w:tcPr>
          <w:p w14:paraId="2B972EB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96856</w:t>
            </w:r>
          </w:p>
        </w:tc>
      </w:tr>
      <w:tr w:rsidR="00E25DA3" w:rsidRPr="00E25DA3" w14:paraId="66708C0E"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ED88BD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65–69</w:t>
            </w:r>
          </w:p>
        </w:tc>
        <w:tc>
          <w:tcPr>
            <w:tcW w:w="1347" w:type="pct"/>
            <w:shd w:val="clear" w:color="auto" w:fill="auto"/>
          </w:tcPr>
          <w:p w14:paraId="447A8D9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91181</w:t>
            </w:r>
          </w:p>
        </w:tc>
        <w:tc>
          <w:tcPr>
            <w:tcW w:w="1347" w:type="pct"/>
            <w:shd w:val="clear" w:color="auto" w:fill="auto"/>
          </w:tcPr>
          <w:p w14:paraId="2C97318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92749</w:t>
            </w:r>
          </w:p>
        </w:tc>
        <w:tc>
          <w:tcPr>
            <w:tcW w:w="1345" w:type="pct"/>
            <w:shd w:val="clear" w:color="auto" w:fill="auto"/>
          </w:tcPr>
          <w:p w14:paraId="3F52CC3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94534</w:t>
            </w:r>
          </w:p>
        </w:tc>
      </w:tr>
      <w:tr w:rsidR="00E25DA3" w:rsidRPr="00E25DA3" w14:paraId="2A8FFAE6"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6B9D286"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70–74</w:t>
            </w:r>
          </w:p>
        </w:tc>
        <w:tc>
          <w:tcPr>
            <w:tcW w:w="1347" w:type="pct"/>
            <w:shd w:val="clear" w:color="auto" w:fill="auto"/>
          </w:tcPr>
          <w:p w14:paraId="21CE259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65722</w:t>
            </w:r>
          </w:p>
        </w:tc>
        <w:tc>
          <w:tcPr>
            <w:tcW w:w="1347" w:type="pct"/>
            <w:shd w:val="clear" w:color="auto" w:fill="auto"/>
          </w:tcPr>
          <w:p w14:paraId="7C83D8B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70117</w:t>
            </w:r>
          </w:p>
        </w:tc>
        <w:tc>
          <w:tcPr>
            <w:tcW w:w="1345" w:type="pct"/>
            <w:shd w:val="clear" w:color="auto" w:fill="auto"/>
          </w:tcPr>
          <w:p w14:paraId="691D77F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73370</w:t>
            </w:r>
          </w:p>
        </w:tc>
      </w:tr>
      <w:tr w:rsidR="00E25DA3" w:rsidRPr="00E25DA3" w14:paraId="4C20D71C"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0991DEC"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75–79</w:t>
            </w:r>
          </w:p>
        </w:tc>
        <w:tc>
          <w:tcPr>
            <w:tcW w:w="1347" w:type="pct"/>
            <w:shd w:val="clear" w:color="auto" w:fill="auto"/>
          </w:tcPr>
          <w:p w14:paraId="3D1DD4C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31751</w:t>
            </w:r>
          </w:p>
        </w:tc>
        <w:tc>
          <w:tcPr>
            <w:tcW w:w="1347" w:type="pct"/>
            <w:shd w:val="clear" w:color="auto" w:fill="auto"/>
          </w:tcPr>
          <w:p w14:paraId="3C79B63B"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33341</w:t>
            </w:r>
          </w:p>
        </w:tc>
        <w:tc>
          <w:tcPr>
            <w:tcW w:w="1345" w:type="pct"/>
            <w:shd w:val="clear" w:color="auto" w:fill="auto"/>
          </w:tcPr>
          <w:p w14:paraId="2450D5A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36961</w:t>
            </w:r>
          </w:p>
        </w:tc>
      </w:tr>
      <w:tr w:rsidR="00E25DA3" w:rsidRPr="00E25DA3" w14:paraId="3561F336"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2E9218B"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80–84</w:t>
            </w:r>
          </w:p>
        </w:tc>
        <w:tc>
          <w:tcPr>
            <w:tcW w:w="1347" w:type="pct"/>
            <w:shd w:val="clear" w:color="auto" w:fill="auto"/>
          </w:tcPr>
          <w:p w14:paraId="64B8993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27866</w:t>
            </w:r>
          </w:p>
        </w:tc>
        <w:tc>
          <w:tcPr>
            <w:tcW w:w="1347" w:type="pct"/>
            <w:shd w:val="clear" w:color="auto" w:fill="auto"/>
          </w:tcPr>
          <w:p w14:paraId="18DA333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26633</w:t>
            </w:r>
          </w:p>
        </w:tc>
        <w:tc>
          <w:tcPr>
            <w:tcW w:w="1345" w:type="pct"/>
            <w:shd w:val="clear" w:color="auto" w:fill="auto"/>
          </w:tcPr>
          <w:p w14:paraId="05EB77D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25989</w:t>
            </w:r>
          </w:p>
        </w:tc>
      </w:tr>
      <w:tr w:rsidR="00E25DA3" w:rsidRPr="00E25DA3" w14:paraId="09D3DA70"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9BC329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85 lat i więcej</w:t>
            </w:r>
          </w:p>
        </w:tc>
        <w:tc>
          <w:tcPr>
            <w:tcW w:w="1347" w:type="pct"/>
            <w:shd w:val="clear" w:color="auto" w:fill="auto"/>
          </w:tcPr>
          <w:p w14:paraId="13EE7C4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26303</w:t>
            </w:r>
          </w:p>
        </w:tc>
        <w:tc>
          <w:tcPr>
            <w:tcW w:w="1347" w:type="pct"/>
            <w:shd w:val="clear" w:color="auto" w:fill="auto"/>
          </w:tcPr>
          <w:p w14:paraId="3F21FE4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25915</w:t>
            </w:r>
          </w:p>
        </w:tc>
        <w:tc>
          <w:tcPr>
            <w:tcW w:w="1345" w:type="pct"/>
            <w:shd w:val="clear" w:color="auto" w:fill="auto"/>
          </w:tcPr>
          <w:p w14:paraId="16244E1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26001</w:t>
            </w:r>
          </w:p>
        </w:tc>
      </w:tr>
      <w:tr w:rsidR="00E25DA3" w:rsidRPr="00E25DA3" w14:paraId="49BAD1A0"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F6FC29F"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Przeciętne dalsze trwanie życia</w:t>
            </w:r>
          </w:p>
        </w:tc>
        <w:tc>
          <w:tcPr>
            <w:tcW w:w="1347" w:type="pct"/>
            <w:shd w:val="clear" w:color="auto" w:fill="auto"/>
          </w:tcPr>
          <w:p w14:paraId="1D8A0FA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72,0</w:t>
            </w:r>
          </w:p>
          <w:p w14:paraId="54863A0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80,6</w:t>
            </w:r>
          </w:p>
          <w:p w14:paraId="3C6BF9C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17,7</w:t>
            </w:r>
          </w:p>
          <w:p w14:paraId="155A10B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23,2</w:t>
            </w:r>
          </w:p>
        </w:tc>
        <w:tc>
          <w:tcPr>
            <w:tcW w:w="1347" w:type="pct"/>
            <w:shd w:val="clear" w:color="auto" w:fill="auto"/>
          </w:tcPr>
          <w:p w14:paraId="3B40635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70,8</w:t>
            </w:r>
          </w:p>
          <w:p w14:paraId="3030148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79,4</w:t>
            </w:r>
          </w:p>
          <w:p w14:paraId="3F8FD4D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16,6</w:t>
            </w:r>
          </w:p>
          <w:p w14:paraId="0BE5CBA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22,2</w:t>
            </w:r>
          </w:p>
        </w:tc>
        <w:tc>
          <w:tcPr>
            <w:tcW w:w="1345" w:type="pct"/>
            <w:shd w:val="clear" w:color="auto" w:fill="auto"/>
          </w:tcPr>
          <w:p w14:paraId="09C25CF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72,5</w:t>
            </w:r>
          </w:p>
          <w:p w14:paraId="007582B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80,7</w:t>
            </w:r>
          </w:p>
          <w:p w14:paraId="3725750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18,2</w:t>
            </w:r>
          </w:p>
          <w:p w14:paraId="3307B51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23,4</w:t>
            </w:r>
          </w:p>
        </w:tc>
      </w:tr>
      <w:tr w:rsidR="00E25DA3" w:rsidRPr="00E25DA3" w14:paraId="51A21DAC"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F08CFA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feminizacji</w:t>
            </w:r>
          </w:p>
        </w:tc>
        <w:tc>
          <w:tcPr>
            <w:tcW w:w="1347" w:type="pct"/>
            <w:shd w:val="clear" w:color="auto" w:fill="auto"/>
          </w:tcPr>
          <w:p w14:paraId="3012FC0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105</w:t>
            </w:r>
          </w:p>
        </w:tc>
        <w:tc>
          <w:tcPr>
            <w:tcW w:w="1347" w:type="pct"/>
            <w:shd w:val="clear" w:color="auto" w:fill="auto"/>
          </w:tcPr>
          <w:p w14:paraId="635C7C6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105</w:t>
            </w:r>
          </w:p>
        </w:tc>
        <w:tc>
          <w:tcPr>
            <w:tcW w:w="1345" w:type="pct"/>
            <w:shd w:val="clear" w:color="auto" w:fill="auto"/>
          </w:tcPr>
          <w:p w14:paraId="6E1C602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105</w:t>
            </w:r>
          </w:p>
        </w:tc>
      </w:tr>
      <w:tr w:rsidR="00E25DA3" w:rsidRPr="00E25DA3" w14:paraId="05BD99D6"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5359376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obciążenia demograficznego osobami starszymi</w:t>
            </w:r>
          </w:p>
        </w:tc>
        <w:tc>
          <w:tcPr>
            <w:tcW w:w="1347" w:type="pct"/>
            <w:shd w:val="clear" w:color="auto" w:fill="auto"/>
          </w:tcPr>
          <w:p w14:paraId="20AF8E8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26,2</w:t>
            </w:r>
          </w:p>
        </w:tc>
        <w:tc>
          <w:tcPr>
            <w:tcW w:w="1347" w:type="pct"/>
            <w:shd w:val="clear" w:color="auto" w:fill="auto"/>
          </w:tcPr>
          <w:p w14:paraId="09FB097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27,2</w:t>
            </w:r>
          </w:p>
        </w:tc>
        <w:tc>
          <w:tcPr>
            <w:tcW w:w="1345" w:type="pct"/>
            <w:shd w:val="clear" w:color="auto" w:fill="auto"/>
          </w:tcPr>
          <w:p w14:paraId="7EA7C85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28,5</w:t>
            </w:r>
          </w:p>
        </w:tc>
      </w:tr>
      <w:tr w:rsidR="00E25DA3" w:rsidRPr="00E25DA3" w14:paraId="6D0CCAF2"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55C34D5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zgonów</w:t>
            </w:r>
          </w:p>
        </w:tc>
        <w:tc>
          <w:tcPr>
            <w:tcW w:w="1347" w:type="pct"/>
            <w:shd w:val="clear" w:color="auto" w:fill="auto"/>
          </w:tcPr>
          <w:p w14:paraId="407A7E4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12,1</w:t>
            </w:r>
          </w:p>
        </w:tc>
        <w:tc>
          <w:tcPr>
            <w:tcW w:w="1347" w:type="pct"/>
            <w:shd w:val="clear" w:color="auto" w:fill="auto"/>
          </w:tcPr>
          <w:p w14:paraId="364A95A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13,7</w:t>
            </w:r>
          </w:p>
        </w:tc>
        <w:tc>
          <w:tcPr>
            <w:tcW w:w="1345" w:type="pct"/>
            <w:shd w:val="clear" w:color="auto" w:fill="auto"/>
          </w:tcPr>
          <w:p w14:paraId="665BDBD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11,8</w:t>
            </w:r>
          </w:p>
        </w:tc>
      </w:tr>
      <w:tr w:rsidR="00E25DA3" w:rsidRPr="00E25DA3" w14:paraId="125B3D4D"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1ED2A6F1"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lang w:eastAsia="pl-PL"/>
              </w:rPr>
              <w:t>AKTYWNOŚĆ EKONOMICZNA OSÓB STARSZYCH – DANE ZA 2022 R.</w:t>
            </w:r>
            <w:r w:rsidRPr="00E25DA3">
              <w:rPr>
                <w:rFonts w:ascii="Lato" w:hAnsi="Lato" w:cs="Times New Roman"/>
                <w:color w:val="auto"/>
                <w:sz w:val="18"/>
                <w:szCs w:val="18"/>
                <w:vertAlign w:val="superscript"/>
                <w:lang w:eastAsia="pl-PL"/>
              </w:rPr>
              <w:t>1)</w:t>
            </w:r>
          </w:p>
        </w:tc>
      </w:tr>
      <w:tr w:rsidR="00E25DA3" w:rsidRPr="00E25DA3" w14:paraId="7D65E0A7"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2308" w:type="pct"/>
            <w:gridSpan w:val="2"/>
            <w:shd w:val="clear" w:color="auto" w:fill="auto"/>
          </w:tcPr>
          <w:p w14:paraId="514B6CF7"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Podział</w:t>
            </w:r>
          </w:p>
        </w:tc>
        <w:tc>
          <w:tcPr>
            <w:tcW w:w="2692" w:type="pct"/>
            <w:gridSpan w:val="2"/>
            <w:shd w:val="clear" w:color="auto" w:fill="auto"/>
          </w:tcPr>
          <w:p w14:paraId="55A03032"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Liczba</w:t>
            </w:r>
          </w:p>
        </w:tc>
      </w:tr>
      <w:tr w:rsidR="00E25DA3" w:rsidRPr="00E25DA3" w14:paraId="7F8030CD"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868557D"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aktywne zawodowo razem (w tys.)</w:t>
            </w:r>
          </w:p>
        </w:tc>
        <w:tc>
          <w:tcPr>
            <w:tcW w:w="1347" w:type="pct"/>
            <w:shd w:val="clear" w:color="auto" w:fill="auto"/>
          </w:tcPr>
          <w:p w14:paraId="65A468C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6F53DE3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593</w:t>
            </w:r>
          </w:p>
        </w:tc>
      </w:tr>
      <w:tr w:rsidR="00E25DA3" w:rsidRPr="00E25DA3" w14:paraId="0F3512A9"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73DD266D" w14:textId="77777777" w:rsidR="00E25DA3" w:rsidRPr="00E25DA3" w:rsidRDefault="00E25DA3" w:rsidP="00CA4EC0">
            <w:pPr>
              <w:rPr>
                <w:rFonts w:ascii="Lato" w:hAnsi="Lato" w:cs="Times New Roman"/>
                <w:b w:val="0"/>
                <w:color w:val="auto"/>
                <w:sz w:val="18"/>
                <w:szCs w:val="18"/>
                <w:lang w:eastAsia="pl-PL"/>
              </w:rPr>
            </w:pPr>
          </w:p>
        </w:tc>
        <w:tc>
          <w:tcPr>
            <w:tcW w:w="1347" w:type="pct"/>
            <w:shd w:val="clear" w:color="auto" w:fill="auto"/>
          </w:tcPr>
          <w:p w14:paraId="06180A7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2" w:type="pct"/>
            <w:gridSpan w:val="2"/>
            <w:shd w:val="clear" w:color="auto" w:fill="auto"/>
          </w:tcPr>
          <w:p w14:paraId="6356ACE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49</w:t>
            </w:r>
          </w:p>
        </w:tc>
      </w:tr>
      <w:tr w:rsidR="00E25DA3" w:rsidRPr="00E25DA3" w14:paraId="1DC6BCF8"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2199BF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 xml:space="preserve">Osoby aktywne zawodowo </w:t>
            </w:r>
            <w:r w:rsidRPr="00E25DA3">
              <w:rPr>
                <w:rFonts w:ascii="Lato" w:hAnsi="Lato" w:cs="Times New Roman"/>
                <w:color w:val="auto"/>
                <w:sz w:val="18"/>
                <w:szCs w:val="18"/>
                <w:lang w:eastAsia="pl-PL"/>
              </w:rPr>
              <w:br/>
              <w:t>– pracujący (w tys.)</w:t>
            </w:r>
          </w:p>
        </w:tc>
        <w:tc>
          <w:tcPr>
            <w:tcW w:w="1347" w:type="pct"/>
            <w:shd w:val="clear" w:color="auto" w:fill="auto"/>
          </w:tcPr>
          <w:p w14:paraId="2B80F98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0DF226C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573</w:t>
            </w:r>
          </w:p>
        </w:tc>
      </w:tr>
      <w:tr w:rsidR="00E25DA3" w:rsidRPr="00E25DA3" w14:paraId="6832FF78"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C4C48AA" w14:textId="77777777" w:rsidR="00E25DA3" w:rsidRPr="00E25DA3" w:rsidRDefault="00E25DA3" w:rsidP="00CA4EC0">
            <w:pPr>
              <w:rPr>
                <w:rFonts w:ascii="Lato" w:hAnsi="Lato" w:cs="Times New Roman"/>
                <w:b w:val="0"/>
                <w:color w:val="auto"/>
                <w:sz w:val="18"/>
                <w:szCs w:val="18"/>
                <w:lang w:eastAsia="pl-PL"/>
              </w:rPr>
            </w:pPr>
          </w:p>
        </w:tc>
        <w:tc>
          <w:tcPr>
            <w:tcW w:w="1347" w:type="pct"/>
            <w:shd w:val="clear" w:color="auto" w:fill="auto"/>
          </w:tcPr>
          <w:p w14:paraId="458C820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2" w:type="pct"/>
            <w:gridSpan w:val="2"/>
            <w:shd w:val="clear" w:color="auto" w:fill="auto"/>
          </w:tcPr>
          <w:p w14:paraId="3A65A33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48</w:t>
            </w:r>
          </w:p>
        </w:tc>
      </w:tr>
      <w:tr w:rsidR="00E25DA3" w:rsidRPr="00E25DA3" w14:paraId="5ED33A60"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77F88EC"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bierne zawodowo (w tys.)</w:t>
            </w:r>
          </w:p>
        </w:tc>
        <w:tc>
          <w:tcPr>
            <w:tcW w:w="1347" w:type="pct"/>
            <w:shd w:val="clear" w:color="auto" w:fill="auto"/>
          </w:tcPr>
          <w:p w14:paraId="42B46F8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1F280EF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479</w:t>
            </w:r>
          </w:p>
        </w:tc>
      </w:tr>
      <w:tr w:rsidR="00E25DA3" w:rsidRPr="00E25DA3" w14:paraId="4D87EA98"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8735F7F" w14:textId="77777777" w:rsidR="00E25DA3" w:rsidRPr="00E25DA3" w:rsidRDefault="00E25DA3" w:rsidP="00CA4EC0">
            <w:pPr>
              <w:rPr>
                <w:rFonts w:ascii="Lato" w:hAnsi="Lato" w:cs="Times New Roman"/>
                <w:b w:val="0"/>
                <w:color w:val="auto"/>
                <w:sz w:val="18"/>
                <w:szCs w:val="18"/>
                <w:lang w:eastAsia="pl-PL"/>
              </w:rPr>
            </w:pPr>
          </w:p>
        </w:tc>
        <w:tc>
          <w:tcPr>
            <w:tcW w:w="1347" w:type="pct"/>
            <w:shd w:val="clear" w:color="auto" w:fill="auto"/>
          </w:tcPr>
          <w:p w14:paraId="2D23772F"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2" w:type="pct"/>
            <w:gridSpan w:val="2"/>
            <w:shd w:val="clear" w:color="auto" w:fill="auto"/>
          </w:tcPr>
          <w:p w14:paraId="44A01D1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282</w:t>
            </w:r>
          </w:p>
        </w:tc>
      </w:tr>
      <w:tr w:rsidR="00E25DA3" w:rsidRPr="00E25DA3" w14:paraId="58ED29EF"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23FA5C1"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aktywności zawodowej %</w:t>
            </w:r>
          </w:p>
        </w:tc>
        <w:tc>
          <w:tcPr>
            <w:tcW w:w="1347" w:type="pct"/>
            <w:shd w:val="clear" w:color="auto" w:fill="auto"/>
          </w:tcPr>
          <w:p w14:paraId="0EC6C37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7A458AD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55,4</w:t>
            </w:r>
          </w:p>
        </w:tc>
      </w:tr>
      <w:tr w:rsidR="00E25DA3" w:rsidRPr="00E25DA3" w14:paraId="7093A615"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D6E9429" w14:textId="77777777" w:rsidR="00E25DA3" w:rsidRPr="00E25DA3" w:rsidRDefault="00E25DA3" w:rsidP="00CA4EC0">
            <w:pPr>
              <w:rPr>
                <w:rFonts w:ascii="Lato" w:hAnsi="Lato" w:cs="Times New Roman"/>
                <w:b w:val="0"/>
                <w:color w:val="auto"/>
                <w:sz w:val="18"/>
                <w:szCs w:val="18"/>
                <w:lang w:eastAsia="pl-PL"/>
              </w:rPr>
            </w:pPr>
          </w:p>
        </w:tc>
        <w:tc>
          <w:tcPr>
            <w:tcW w:w="1347" w:type="pct"/>
            <w:shd w:val="clear" w:color="auto" w:fill="auto"/>
          </w:tcPr>
          <w:p w14:paraId="3636B6A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2" w:type="pct"/>
            <w:gridSpan w:val="2"/>
            <w:shd w:val="clear" w:color="auto" w:fill="auto"/>
          </w:tcPr>
          <w:p w14:paraId="6C0AACC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14,8</w:t>
            </w:r>
          </w:p>
        </w:tc>
      </w:tr>
      <w:tr w:rsidR="00E25DA3" w:rsidRPr="00E25DA3" w14:paraId="774D3D7F" w14:textId="77777777" w:rsidTr="00E25DA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6B5778A0"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Wskaźnik zatrudnienia %</w:t>
            </w:r>
          </w:p>
        </w:tc>
        <w:tc>
          <w:tcPr>
            <w:tcW w:w="1347" w:type="pct"/>
            <w:shd w:val="clear" w:color="auto" w:fill="auto"/>
          </w:tcPr>
          <w:p w14:paraId="15BB7BD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548B190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53,5</w:t>
            </w:r>
          </w:p>
        </w:tc>
      </w:tr>
      <w:tr w:rsidR="00E25DA3" w:rsidRPr="00E25DA3" w14:paraId="220810E9"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93D244D" w14:textId="77777777" w:rsidR="00E25DA3" w:rsidRPr="00E25DA3" w:rsidRDefault="00E25DA3" w:rsidP="00CA4EC0">
            <w:pPr>
              <w:rPr>
                <w:rFonts w:ascii="Lato" w:hAnsi="Lato" w:cs="Times New Roman"/>
                <w:b w:val="0"/>
                <w:color w:val="auto"/>
                <w:sz w:val="18"/>
                <w:szCs w:val="18"/>
                <w:lang w:eastAsia="pl-PL"/>
              </w:rPr>
            </w:pPr>
          </w:p>
        </w:tc>
        <w:tc>
          <w:tcPr>
            <w:tcW w:w="1347" w:type="pct"/>
            <w:shd w:val="clear" w:color="auto" w:fill="auto"/>
          </w:tcPr>
          <w:p w14:paraId="69A67ED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2" w:type="pct"/>
            <w:gridSpan w:val="2"/>
            <w:shd w:val="clear" w:color="auto" w:fill="auto"/>
          </w:tcPr>
          <w:p w14:paraId="335D6C1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14,5</w:t>
            </w:r>
          </w:p>
        </w:tc>
      </w:tr>
      <w:tr w:rsidR="00E25DA3" w:rsidRPr="00E25DA3" w14:paraId="6F1C4A13" w14:textId="77777777" w:rsidTr="00E25DA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2A7D85B9" w14:textId="77777777" w:rsidR="00E25DA3" w:rsidRPr="00E25DA3" w:rsidRDefault="00E25DA3" w:rsidP="00CA4EC0">
            <w:pPr>
              <w:rPr>
                <w:rFonts w:ascii="Lato" w:hAnsi="Lato" w:cs="Times New Roman"/>
                <w:b w:val="0"/>
                <w:color w:val="auto"/>
                <w:sz w:val="18"/>
                <w:szCs w:val="18"/>
                <w:lang w:eastAsia="pl-PL"/>
              </w:rPr>
            </w:pPr>
            <w:r w:rsidRPr="00E25DA3">
              <w:rPr>
                <w:rFonts w:ascii="Lato" w:eastAsia="Times New Roman" w:hAnsi="Lato" w:cs="Times New Roman"/>
                <w:color w:val="auto"/>
                <w:sz w:val="18"/>
                <w:szCs w:val="18"/>
                <w:lang w:eastAsia="pl-PL"/>
              </w:rPr>
              <w:t xml:space="preserve">Osoby bierne zawodowo  w wieku 60-74 lata według wybranych przyczyn bierności </w:t>
            </w:r>
            <w:r w:rsidRPr="00E25DA3">
              <w:rPr>
                <w:rFonts w:ascii="Lato" w:eastAsia="Times New Roman" w:hAnsi="Lato" w:cs="Times New Roman"/>
                <w:color w:val="auto"/>
                <w:sz w:val="18"/>
                <w:szCs w:val="18"/>
                <w:lang w:eastAsia="pl-PL"/>
              </w:rPr>
              <w:br/>
              <w:t>(w tys.)</w:t>
            </w:r>
          </w:p>
        </w:tc>
        <w:tc>
          <w:tcPr>
            <w:tcW w:w="1347" w:type="pct"/>
            <w:shd w:val="clear" w:color="auto" w:fill="auto"/>
          </w:tcPr>
          <w:p w14:paraId="2C7FE43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416231C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207</w:t>
            </w:r>
          </w:p>
        </w:tc>
      </w:tr>
      <w:tr w:rsidR="00E25DA3" w:rsidRPr="00E25DA3" w14:paraId="183529AC"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B52B03E"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1E3FFF6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w:t>
            </w:r>
          </w:p>
        </w:tc>
      </w:tr>
      <w:tr w:rsidR="00E25DA3" w:rsidRPr="00E25DA3" w14:paraId="31FFED4D"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A8C618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068590A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E25DA3">
              <w:rPr>
                <w:rFonts w:ascii="Lato" w:eastAsia="Times New Roman" w:hAnsi="Lato" w:cs="Times New Roman"/>
                <w:color w:val="auto"/>
                <w:sz w:val="18"/>
                <w:szCs w:val="18"/>
                <w:lang w:eastAsia="pl-PL"/>
              </w:rPr>
              <w:t>osoby nieposzukujące pracy - razem</w:t>
            </w:r>
          </w:p>
        </w:tc>
        <w:tc>
          <w:tcPr>
            <w:tcW w:w="2692" w:type="pct"/>
            <w:gridSpan w:val="2"/>
            <w:shd w:val="clear" w:color="auto" w:fill="auto"/>
          </w:tcPr>
          <w:p w14:paraId="4D0ACA4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207</w:t>
            </w:r>
          </w:p>
        </w:tc>
      </w:tr>
      <w:tr w:rsidR="00E25DA3" w:rsidRPr="00E25DA3" w14:paraId="21D6D8F9"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23F6A14"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15D56992"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emerytura</w:t>
            </w:r>
          </w:p>
        </w:tc>
        <w:tc>
          <w:tcPr>
            <w:tcW w:w="2692" w:type="pct"/>
            <w:gridSpan w:val="2"/>
            <w:shd w:val="clear" w:color="auto" w:fill="auto"/>
          </w:tcPr>
          <w:p w14:paraId="373FB38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187</w:t>
            </w:r>
          </w:p>
        </w:tc>
      </w:tr>
      <w:tr w:rsidR="00E25DA3" w:rsidRPr="00E25DA3" w14:paraId="4B5ABBB1"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A4E9243"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434DEAF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choroba, niepełnosprawność</w:t>
            </w:r>
          </w:p>
        </w:tc>
        <w:tc>
          <w:tcPr>
            <w:tcW w:w="2692" w:type="pct"/>
            <w:gridSpan w:val="2"/>
            <w:shd w:val="clear" w:color="auto" w:fill="auto"/>
          </w:tcPr>
          <w:p w14:paraId="1F3B91F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14</w:t>
            </w:r>
          </w:p>
        </w:tc>
      </w:tr>
      <w:tr w:rsidR="00E25DA3" w:rsidRPr="00E25DA3" w14:paraId="495E642C" w14:textId="77777777" w:rsidTr="00E25DA3">
        <w:trPr>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2DF59C7"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Osoby bezrobotne zarejestrowane w urzędach pracy (w tys.)</w:t>
            </w:r>
            <w:r w:rsidRPr="00E25DA3">
              <w:rPr>
                <w:rFonts w:ascii="Lato" w:eastAsia="Times New Roman" w:hAnsi="Lato" w:cs="Times New Roman"/>
                <w:color w:val="auto"/>
                <w:sz w:val="18"/>
                <w:szCs w:val="18"/>
                <w:vertAlign w:val="superscript"/>
                <w:lang w:eastAsia="pl-PL"/>
              </w:rPr>
              <w:t>2)</w:t>
            </w:r>
          </w:p>
        </w:tc>
        <w:tc>
          <w:tcPr>
            <w:tcW w:w="1347" w:type="pct"/>
            <w:shd w:val="clear" w:color="auto" w:fill="auto"/>
          </w:tcPr>
          <w:p w14:paraId="7D841762"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2" w:type="pct"/>
            <w:gridSpan w:val="2"/>
            <w:shd w:val="clear" w:color="auto" w:fill="auto"/>
          </w:tcPr>
          <w:p w14:paraId="4F82009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41,1</w:t>
            </w:r>
          </w:p>
        </w:tc>
      </w:tr>
      <w:tr w:rsidR="00E25DA3" w:rsidRPr="00E25DA3" w14:paraId="2F0089CF"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535BD5B"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39AE2FF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60-64 lata</w:t>
            </w:r>
          </w:p>
        </w:tc>
        <w:tc>
          <w:tcPr>
            <w:tcW w:w="2692" w:type="pct"/>
            <w:gridSpan w:val="2"/>
            <w:shd w:val="clear" w:color="auto" w:fill="auto"/>
          </w:tcPr>
          <w:p w14:paraId="6A71E8E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w:t>
            </w:r>
          </w:p>
        </w:tc>
      </w:tr>
      <w:tr w:rsidR="00E25DA3" w:rsidRPr="00E25DA3" w14:paraId="3544F866" w14:textId="77777777" w:rsidTr="00E25DA3">
        <w:trPr>
          <w:trHeight w:val="191"/>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2B3A443"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 xml:space="preserve">Osoby pobierające renty </w:t>
            </w:r>
            <w:r w:rsidRPr="00E25DA3">
              <w:rPr>
                <w:rFonts w:ascii="Lato" w:eastAsia="Times New Roman" w:hAnsi="Lato" w:cs="Times New Roman"/>
                <w:color w:val="auto"/>
                <w:sz w:val="18"/>
                <w:szCs w:val="18"/>
                <w:lang w:eastAsia="pl-PL"/>
              </w:rPr>
              <w:br/>
              <w:t xml:space="preserve">i emerytury </w:t>
            </w:r>
          </w:p>
        </w:tc>
        <w:tc>
          <w:tcPr>
            <w:tcW w:w="4039" w:type="pct"/>
            <w:gridSpan w:val="3"/>
            <w:shd w:val="clear" w:color="auto" w:fill="auto"/>
          </w:tcPr>
          <w:p w14:paraId="00B184EC" w14:textId="77777777" w:rsidR="00E25DA3" w:rsidRPr="00E25DA3" w:rsidRDefault="00E25DA3"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ZUS</w:t>
            </w:r>
          </w:p>
        </w:tc>
      </w:tr>
      <w:tr w:rsidR="00E25DA3" w:rsidRPr="00E25DA3" w14:paraId="664EEBF0" w14:textId="77777777" w:rsidTr="00E25DA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1FA3068"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661FD278"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2" w:type="pct"/>
            <w:gridSpan w:val="2"/>
            <w:shd w:val="clear" w:color="auto" w:fill="auto"/>
          </w:tcPr>
          <w:p w14:paraId="6DDA2F21"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15711F80" w14:textId="77777777" w:rsidTr="00E25DA3">
        <w:trPr>
          <w:trHeight w:val="143"/>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7CBE4634"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2A9827F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2" w:type="pct"/>
            <w:gridSpan w:val="2"/>
            <w:shd w:val="clear" w:color="auto" w:fill="auto"/>
          </w:tcPr>
          <w:p w14:paraId="2A40DD2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209,5</w:t>
            </w:r>
          </w:p>
        </w:tc>
      </w:tr>
      <w:tr w:rsidR="00E25DA3" w:rsidRPr="00E25DA3" w14:paraId="43C8BE08" w14:textId="77777777" w:rsidTr="00E25DA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FD22E6B"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2D4B8C3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2" w:type="pct"/>
            <w:gridSpan w:val="2"/>
            <w:shd w:val="clear" w:color="auto" w:fill="auto"/>
          </w:tcPr>
          <w:p w14:paraId="464E456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23,2</w:t>
            </w:r>
          </w:p>
        </w:tc>
      </w:tr>
      <w:tr w:rsidR="00E25DA3" w:rsidRPr="00E25DA3" w14:paraId="184D783A"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072F154C"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3450B6A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2" w:type="pct"/>
            <w:gridSpan w:val="2"/>
            <w:shd w:val="clear" w:color="auto" w:fill="auto"/>
          </w:tcPr>
          <w:p w14:paraId="177C582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39,9</w:t>
            </w:r>
          </w:p>
        </w:tc>
      </w:tr>
      <w:tr w:rsidR="00E25DA3" w:rsidRPr="00E25DA3" w14:paraId="68A39226"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F0A102D"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701B76A5" w14:textId="77777777" w:rsidR="00E25DA3" w:rsidRPr="00E25DA3" w:rsidRDefault="00E25DA3"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KRUS</w:t>
            </w:r>
          </w:p>
        </w:tc>
      </w:tr>
      <w:tr w:rsidR="00E25DA3" w:rsidRPr="00E25DA3" w14:paraId="60436A96" w14:textId="77777777" w:rsidTr="00E25DA3">
        <w:trPr>
          <w:trHeight w:val="81"/>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62A9F88"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0C371B8C"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2" w:type="pct"/>
            <w:gridSpan w:val="2"/>
            <w:shd w:val="clear" w:color="auto" w:fill="auto"/>
          </w:tcPr>
          <w:p w14:paraId="392875FE"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533188CA"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55CEA1D"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288E2A6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2" w:type="pct"/>
            <w:gridSpan w:val="2"/>
            <w:shd w:val="clear" w:color="auto" w:fill="auto"/>
          </w:tcPr>
          <w:p w14:paraId="70FDC9B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27,5</w:t>
            </w:r>
          </w:p>
        </w:tc>
      </w:tr>
      <w:tr w:rsidR="00E25DA3" w:rsidRPr="00E25DA3" w14:paraId="705C5113" w14:textId="77777777" w:rsidTr="00E25DA3">
        <w:trPr>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E59968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3DEFCCFF"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2" w:type="pct"/>
            <w:gridSpan w:val="2"/>
            <w:shd w:val="clear" w:color="auto" w:fill="auto"/>
          </w:tcPr>
          <w:p w14:paraId="33982F5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7,0</w:t>
            </w:r>
          </w:p>
        </w:tc>
      </w:tr>
      <w:tr w:rsidR="00E25DA3" w:rsidRPr="00E25DA3" w14:paraId="44471249"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09F4283"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7" w:type="pct"/>
            <w:shd w:val="clear" w:color="auto" w:fill="auto"/>
          </w:tcPr>
          <w:p w14:paraId="18C751C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2" w:type="pct"/>
            <w:gridSpan w:val="2"/>
            <w:shd w:val="clear" w:color="auto" w:fill="auto"/>
          </w:tcPr>
          <w:p w14:paraId="31988C31" w14:textId="77777777" w:rsidR="00E25DA3" w:rsidRPr="00E25DA3" w:rsidRDefault="00E25DA3" w:rsidP="00CA4EC0">
            <w:pPr>
              <w:tabs>
                <w:tab w:val="left" w:pos="262"/>
              </w:tabs>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1,9</w:t>
            </w:r>
          </w:p>
        </w:tc>
      </w:tr>
      <w:tr w:rsidR="00E25DA3" w:rsidRPr="00E25DA3" w14:paraId="7D19FBDB"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595563B"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 xml:space="preserve">SYTUACJA DOCHODOWA, WARUNKI BYTU, W TYM WARUNKI MIESZKANIOWE – DANE ZA 2022 R. </w:t>
            </w:r>
          </w:p>
        </w:tc>
      </w:tr>
      <w:tr w:rsidR="00E25DA3" w:rsidRPr="00E25DA3" w14:paraId="18A5E115"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21AD83CC" w14:textId="538BCA07" w:rsidR="00E25DA3" w:rsidRPr="00E25DA3" w:rsidRDefault="00E25DA3" w:rsidP="00CA4EC0">
            <w:pPr>
              <w:jc w:val="both"/>
              <w:rPr>
                <w:rFonts w:ascii="Lato" w:hAnsi="Lato" w:cs="Times New Roman"/>
                <w:b w:val="0"/>
                <w:color w:val="auto"/>
                <w:sz w:val="18"/>
                <w:szCs w:val="18"/>
              </w:rPr>
            </w:pPr>
            <w:r w:rsidRPr="00E25DA3">
              <w:rPr>
                <w:rFonts w:ascii="Lato" w:hAnsi="Lato" w:cs="Times New Roman"/>
                <w:b w:val="0"/>
                <w:color w:val="auto"/>
                <w:sz w:val="18"/>
                <w:szCs w:val="18"/>
              </w:rPr>
              <w:t>W 2022 r. w województwie warmińsko-mazurskim przeciętny miesięczny dochód rozporządzalny przypadający na 1 osobę w gospodarstwach domowych wyniósł 2102,25 zł. Na dochód rozporządzalny gospodarstwa domowego składają się przede wszystkim dochody z pracy najemnej oraz dochody ze świadczeń społecznych. W 2022 r. ich udział w dochodzie rozporządzalnym wyniósł odpowiednio 46,9% i 34,3%. W 2022 r. przeciętne miesięczne wydatki na 1 osobę w gospodarstwach domowych wyniosły 1319,36 zł.  Na żywność i napoje bezalkoholowe gospodarstwa domowe przeznaczały przeciętnie 28,2% ogólnej kwoty wydatków, na opłaty z tytułu użytkowania mieszkania lub domu i za korzystanie z nośników energii - 19,9%, a na zdrowie – 4,7%.</w:t>
            </w:r>
            <w:r w:rsidR="0031646A">
              <w:rPr>
                <w:rFonts w:ascii="Lato" w:hAnsi="Lato" w:cs="Times New Roman"/>
                <w:b w:val="0"/>
                <w:color w:val="auto"/>
                <w:sz w:val="18"/>
                <w:szCs w:val="18"/>
              </w:rPr>
              <w:t xml:space="preserve"> </w:t>
            </w:r>
            <w:r w:rsidRPr="00E25DA3">
              <w:rPr>
                <w:rFonts w:ascii="Lato" w:hAnsi="Lato" w:cs="Times New Roman"/>
                <w:b w:val="0"/>
                <w:color w:val="auto"/>
                <w:sz w:val="18"/>
                <w:szCs w:val="18"/>
              </w:rPr>
              <w:t>W 2022 r. swoją sytuację materialną jako dobrą lub raczej dobrą oceniło 49,2% gospodarstw domowych. Udział gospodarstw określających swoją sytuację materialną jako przeciętną wyniósł 43,4%, a raczej złą lub złą ukształtował się na poziomie 7,4%.</w:t>
            </w:r>
            <w:r w:rsidR="0031646A">
              <w:rPr>
                <w:rFonts w:ascii="Lato" w:hAnsi="Lato" w:cs="Times New Roman"/>
                <w:b w:val="0"/>
                <w:color w:val="auto"/>
                <w:sz w:val="18"/>
                <w:szCs w:val="18"/>
              </w:rPr>
              <w:t xml:space="preserve"> </w:t>
            </w:r>
            <w:r w:rsidRPr="00E25DA3">
              <w:rPr>
                <w:rFonts w:ascii="Lato" w:hAnsi="Lato" w:cs="Times New Roman"/>
                <w:b w:val="0"/>
                <w:color w:val="auto"/>
                <w:sz w:val="18"/>
                <w:szCs w:val="18"/>
              </w:rPr>
              <w:t>W analizowanym roku przeciętna liczba osób w gospodarstwie domowym ukształtowała się na poziomie 2,41. Przeciętna powierzchnia użytkowa mieszkania zajmowana przez gospodarstwo domowe wyniosła 75,4 m</w:t>
            </w:r>
            <w:r w:rsidRPr="00E25DA3">
              <w:rPr>
                <w:rFonts w:ascii="Lato" w:hAnsi="Lato" w:cs="Times New Roman"/>
                <w:b w:val="0"/>
                <w:color w:val="auto"/>
                <w:sz w:val="18"/>
                <w:szCs w:val="18"/>
                <w:vertAlign w:val="superscript"/>
              </w:rPr>
              <w:t>2</w:t>
            </w:r>
            <w:r w:rsidRPr="00E25DA3">
              <w:rPr>
                <w:rFonts w:ascii="Lato" w:hAnsi="Lato" w:cs="Times New Roman"/>
                <w:b w:val="0"/>
                <w:color w:val="auto"/>
                <w:sz w:val="18"/>
                <w:szCs w:val="18"/>
              </w:rPr>
              <w:t>.</w:t>
            </w:r>
          </w:p>
        </w:tc>
      </w:tr>
    </w:tbl>
    <w:p w14:paraId="771E287E"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5B045332"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4FF894E2"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66410B5B" w14:textId="6D630D42" w:rsidR="00E25DA3" w:rsidRPr="00E25DA3" w:rsidRDefault="00E25DA3" w:rsidP="00E25DA3">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22D0CF4D" w14:textId="5BB796A0" w:rsidR="00BA7CBC" w:rsidRPr="002B0821" w:rsidRDefault="00586D97" w:rsidP="00B73AF7">
      <w:pPr>
        <w:pStyle w:val="Nagwek2"/>
        <w:numPr>
          <w:ilvl w:val="1"/>
          <w:numId w:val="44"/>
        </w:numPr>
        <w:rPr>
          <w:b/>
          <w:bCs/>
        </w:rPr>
      </w:pPr>
      <w:bookmarkStart w:id="180" w:name="_Toc142565962"/>
      <w:r w:rsidRPr="002B0821">
        <w:rPr>
          <w:b/>
          <w:bCs/>
        </w:rPr>
        <w:t>Województwo wielkopolskie</w:t>
      </w:r>
      <w:bookmarkEnd w:id="180"/>
    </w:p>
    <w:p w14:paraId="06449979" w14:textId="16746DDA"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Koordynacja regionalnej polityki wspierania osób starszych to zespół zadań realizowanych w 2022 r. w Regionalnym Ośrodku Polityki Społecznej w Poznaniu przez różne komórki organizacyjne,</w:t>
      </w:r>
      <w:r>
        <w:rPr>
          <w:rFonts w:ascii="Lato" w:hAnsi="Lato" w:cstheme="minorHAnsi"/>
          <w:sz w:val="20"/>
          <w:szCs w:val="20"/>
        </w:rPr>
        <w:t xml:space="preserve"> które bezpośrednio zaangażowane w realizację zadań Samorządu Województwa Wielkopolskiego w obszarze wsparcia osób starszych w oparciu o m. in. </w:t>
      </w:r>
      <w:r w:rsidRPr="008548E7">
        <w:rPr>
          <w:rFonts w:ascii="Lato" w:hAnsi="Lato" w:cstheme="minorHAnsi"/>
          <w:sz w:val="20"/>
          <w:szCs w:val="20"/>
        </w:rPr>
        <w:t>ustawę o pomocy społecznej, ustawę o osobach starszych, </w:t>
      </w:r>
      <w:r w:rsidRPr="008548E7">
        <w:rPr>
          <w:rFonts w:ascii="Lato" w:hAnsi="Lato" w:cstheme="minorHAnsi"/>
          <w:b/>
          <w:bCs/>
          <w:sz w:val="20"/>
          <w:szCs w:val="20"/>
        </w:rPr>
        <w:t>Strategię Polityki Społecznej Województwa Wielkopolskiego do roku 2030</w:t>
      </w:r>
      <w:r w:rsidRPr="008548E7">
        <w:rPr>
          <w:rFonts w:ascii="Lato" w:hAnsi="Lato" w:cstheme="minorHAnsi"/>
          <w:sz w:val="20"/>
          <w:szCs w:val="20"/>
        </w:rPr>
        <w:t> oraz </w:t>
      </w:r>
      <w:r w:rsidRPr="008548E7">
        <w:rPr>
          <w:rFonts w:ascii="Lato" w:hAnsi="Lato" w:cstheme="minorHAnsi"/>
          <w:b/>
          <w:bCs/>
          <w:sz w:val="20"/>
          <w:szCs w:val="20"/>
        </w:rPr>
        <w:t>Wielkopolski Program Wspierania Osób Starszych na lata 2021-2025</w:t>
      </w:r>
      <w:r w:rsidRPr="008548E7">
        <w:rPr>
          <w:rFonts w:ascii="Lato" w:hAnsi="Lato" w:cstheme="minorHAnsi"/>
          <w:sz w:val="20"/>
          <w:szCs w:val="20"/>
        </w:rPr>
        <w:t>.</w:t>
      </w:r>
    </w:p>
    <w:p w14:paraId="10C06E42" w14:textId="77777777" w:rsidR="008548E7" w:rsidRPr="008548E7" w:rsidRDefault="008548E7" w:rsidP="008548E7">
      <w:pPr>
        <w:spacing w:after="0" w:line="240" w:lineRule="auto"/>
        <w:ind w:firstLine="360"/>
        <w:jc w:val="both"/>
        <w:rPr>
          <w:rFonts w:ascii="Lato" w:hAnsi="Lato" w:cstheme="minorHAnsi"/>
          <w:sz w:val="20"/>
          <w:szCs w:val="20"/>
        </w:rPr>
      </w:pPr>
    </w:p>
    <w:p w14:paraId="12C7021D" w14:textId="6590D963"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Zakres działań był zgodny z wyznaczonymi kierunkami interwencji w ramach trzech priorytetów Wielkopolskiego Programu Wspierania Osób Starszych na lata 2021-2025:</w:t>
      </w:r>
    </w:p>
    <w:p w14:paraId="77A8C422" w14:textId="77777777"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I. Wzmocnienie aktywności osób starszych</w:t>
      </w:r>
    </w:p>
    <w:p w14:paraId="207955FF" w14:textId="77777777"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II. Poprawa funkcjonowania osób starszych wymagających intensywnego wsparcia</w:t>
      </w:r>
    </w:p>
    <w:p w14:paraId="69E4E509" w14:textId="77777777"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III. Przeciwdziałanie wypaleniu opiekuńczemu opiekunów osób starszych.</w:t>
      </w:r>
    </w:p>
    <w:p w14:paraId="605F4152" w14:textId="294B602B"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Realizacja założeń Programu pozwoli skuteczniej odpowiadać na potrzeby osób starszych- – mieszkańców Wielkopolski, wspierać ich w pokonywaniu trudności i stwarzać warunki do aktywności i rozwijania potencjałów, zarówno w wymiarze jednostkowym, jak i w wymiarze społeczności lokalnych.</w:t>
      </w:r>
      <w:r>
        <w:rPr>
          <w:rFonts w:ascii="Lato" w:hAnsi="Lato" w:cstheme="minorHAnsi"/>
          <w:sz w:val="20"/>
          <w:szCs w:val="20"/>
        </w:rPr>
        <w:t xml:space="preserve"> </w:t>
      </w:r>
      <w:r w:rsidRPr="008548E7">
        <w:rPr>
          <w:rFonts w:ascii="Lato" w:hAnsi="Lato" w:cstheme="minorHAnsi"/>
          <w:sz w:val="20"/>
          <w:szCs w:val="20"/>
        </w:rPr>
        <w:t>Realizowane zadania są finansowane ze środków własnych Samorządu Województwa Wielkopolskiego.</w:t>
      </w:r>
    </w:p>
    <w:p w14:paraId="1EA8B3DC" w14:textId="4908B0C0" w:rsidR="008548E7" w:rsidRDefault="008548E7" w:rsidP="008548E7">
      <w:pPr>
        <w:spacing w:after="0" w:line="240" w:lineRule="auto"/>
        <w:jc w:val="both"/>
        <w:rPr>
          <w:rFonts w:ascii="Lato" w:hAnsi="Lato" w:cstheme="minorHAnsi"/>
          <w:sz w:val="20"/>
          <w:szCs w:val="20"/>
        </w:rPr>
      </w:pPr>
    </w:p>
    <w:p w14:paraId="6D718792" w14:textId="45212103" w:rsidR="008548E7" w:rsidRPr="008548E7" w:rsidRDefault="008548E7" w:rsidP="008548E7">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t>INICJATYWY DEDYKOWANE OSOBOM STARSZYM</w:t>
      </w:r>
    </w:p>
    <w:p w14:paraId="3041B87B" w14:textId="43253FC0"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Regionalny Ośrodek Polityki Społecznej w Poznaniu realizował projekt pilotażowy pod</w:t>
      </w:r>
      <w:r>
        <w:rPr>
          <w:rFonts w:ascii="Lato" w:hAnsi="Lato" w:cstheme="minorHAnsi"/>
          <w:sz w:val="20"/>
          <w:szCs w:val="20"/>
        </w:rPr>
        <w:t xml:space="preserve"> </w:t>
      </w:r>
      <w:r w:rsidRPr="008548E7">
        <w:rPr>
          <w:rFonts w:ascii="Lato" w:hAnsi="Lato" w:cstheme="minorHAnsi"/>
          <w:sz w:val="20"/>
          <w:szCs w:val="20"/>
        </w:rPr>
        <w:t>nazwą </w:t>
      </w:r>
      <w:r w:rsidRPr="008548E7">
        <w:rPr>
          <w:rFonts w:ascii="Lato" w:hAnsi="Lato" w:cstheme="minorHAnsi"/>
          <w:b/>
          <w:bCs/>
          <w:sz w:val="20"/>
          <w:szCs w:val="20"/>
        </w:rPr>
        <w:t>„Wielkopolski System Opieki Seniora”</w:t>
      </w:r>
      <w:r w:rsidRPr="008548E7">
        <w:rPr>
          <w:rFonts w:ascii="Lato" w:hAnsi="Lato" w:cstheme="minorHAnsi"/>
          <w:sz w:val="20"/>
          <w:szCs w:val="20"/>
        </w:rPr>
        <w:t>, finansowany ze środków Samorządu Województwa Wielkopolskiego w latach 2021 – 2022, w partnerstwie z 29 gminami z województwa wielkopolskiego. Odbyły się dwie edycje pilotażu i łącznie objęto wsparciem ponad 400 osób.</w:t>
      </w:r>
    </w:p>
    <w:p w14:paraId="616997D5" w14:textId="77777777" w:rsidR="008548E7" w:rsidRDefault="008548E7" w:rsidP="008548E7">
      <w:pPr>
        <w:spacing w:after="0" w:line="240" w:lineRule="auto"/>
        <w:jc w:val="both"/>
        <w:rPr>
          <w:rFonts w:ascii="Lato" w:hAnsi="Lato" w:cstheme="minorHAnsi"/>
          <w:sz w:val="20"/>
          <w:szCs w:val="20"/>
        </w:rPr>
      </w:pPr>
    </w:p>
    <w:p w14:paraId="644F2385" w14:textId="070B8E95"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Realizacja i cele projektu:</w:t>
      </w:r>
    </w:p>
    <w:p w14:paraId="5E124727" w14:textId="7E40949B" w:rsidR="008548E7" w:rsidRPr="008548E7" w:rsidRDefault="008548E7" w:rsidP="0059185B">
      <w:pPr>
        <w:pStyle w:val="Akapitzlist"/>
        <w:numPr>
          <w:ilvl w:val="0"/>
          <w:numId w:val="130"/>
        </w:numPr>
        <w:spacing w:after="0" w:line="240" w:lineRule="auto"/>
        <w:jc w:val="both"/>
        <w:rPr>
          <w:rFonts w:ascii="Lato" w:hAnsi="Lato" w:cstheme="minorHAnsi"/>
          <w:sz w:val="20"/>
          <w:szCs w:val="20"/>
        </w:rPr>
      </w:pPr>
      <w:r w:rsidRPr="008548E7">
        <w:rPr>
          <w:rFonts w:ascii="Lato" w:hAnsi="Lato" w:cstheme="minorHAnsi"/>
          <w:sz w:val="20"/>
          <w:szCs w:val="20"/>
        </w:rPr>
        <w:t xml:space="preserve">Świadczenie usługi </w:t>
      </w:r>
      <w:proofErr w:type="spellStart"/>
      <w:r w:rsidRPr="008548E7">
        <w:rPr>
          <w:rFonts w:ascii="Lato" w:hAnsi="Lato" w:cstheme="minorHAnsi"/>
          <w:sz w:val="20"/>
          <w:szCs w:val="20"/>
        </w:rPr>
        <w:t>teleopieki</w:t>
      </w:r>
      <w:proofErr w:type="spellEnd"/>
      <w:r w:rsidRPr="008548E7">
        <w:rPr>
          <w:rFonts w:ascii="Lato" w:hAnsi="Lato" w:cstheme="minorHAnsi"/>
          <w:sz w:val="20"/>
          <w:szCs w:val="20"/>
        </w:rPr>
        <w:t xml:space="preserve"> w wybranych gminach w Wielkopolsce poprzez prowadzenie całodobowego telecentrum obsługiwanego przez ratowników medycznych i monitorowanie osób z terenu Wielkopolski z wykorzystaniem opasek do </w:t>
      </w:r>
      <w:proofErr w:type="spellStart"/>
      <w:r w:rsidRPr="008548E7">
        <w:rPr>
          <w:rFonts w:ascii="Lato" w:hAnsi="Lato" w:cstheme="minorHAnsi"/>
          <w:sz w:val="20"/>
          <w:szCs w:val="20"/>
        </w:rPr>
        <w:t>teleopieki</w:t>
      </w:r>
      <w:proofErr w:type="spellEnd"/>
      <w:r w:rsidRPr="008548E7">
        <w:rPr>
          <w:rFonts w:ascii="Lato" w:hAnsi="Lato" w:cstheme="minorHAnsi"/>
          <w:sz w:val="20"/>
          <w:szCs w:val="20"/>
        </w:rPr>
        <w:t xml:space="preserve"> przez okres 12 miesięcy (I edycja) i 5 miesięcy (II edycja).</w:t>
      </w:r>
    </w:p>
    <w:p w14:paraId="6C54C2E4" w14:textId="77777777" w:rsidR="008548E7" w:rsidRDefault="008548E7" w:rsidP="0059185B">
      <w:pPr>
        <w:pStyle w:val="Akapitzlist"/>
        <w:numPr>
          <w:ilvl w:val="0"/>
          <w:numId w:val="130"/>
        </w:numPr>
        <w:spacing w:after="0" w:line="240" w:lineRule="auto"/>
        <w:jc w:val="both"/>
        <w:rPr>
          <w:rFonts w:ascii="Lato" w:hAnsi="Lato" w:cstheme="minorHAnsi"/>
          <w:sz w:val="20"/>
          <w:szCs w:val="20"/>
        </w:rPr>
      </w:pPr>
      <w:r w:rsidRPr="008548E7">
        <w:rPr>
          <w:rFonts w:ascii="Lato" w:hAnsi="Lato" w:cstheme="minorHAnsi"/>
          <w:sz w:val="20"/>
          <w:szCs w:val="20"/>
        </w:rPr>
        <w:t>Wsparcie gmin w realizacji zadań związanych z rozwijaniem nowych form pomocy społecznej i samopomocy w ramach zidentyfikowanych potrzeb osób starszych.</w:t>
      </w:r>
    </w:p>
    <w:p w14:paraId="521C11E2" w14:textId="77777777" w:rsidR="008548E7" w:rsidRDefault="008548E7" w:rsidP="0059185B">
      <w:pPr>
        <w:pStyle w:val="Akapitzlist"/>
        <w:numPr>
          <w:ilvl w:val="0"/>
          <w:numId w:val="130"/>
        </w:numPr>
        <w:spacing w:after="0" w:line="240" w:lineRule="auto"/>
        <w:jc w:val="both"/>
        <w:rPr>
          <w:rFonts w:ascii="Lato" w:hAnsi="Lato" w:cstheme="minorHAnsi"/>
          <w:sz w:val="20"/>
          <w:szCs w:val="20"/>
        </w:rPr>
      </w:pPr>
      <w:r w:rsidRPr="008548E7">
        <w:rPr>
          <w:rFonts w:ascii="Lato" w:hAnsi="Lato" w:cstheme="minorHAnsi"/>
          <w:sz w:val="20"/>
          <w:szCs w:val="20"/>
        </w:rPr>
        <w:t>Utrzymanie osób starszych w naturalnym środowisku zamieszkania poprzez wprowadzenie zdalnych usług (</w:t>
      </w:r>
      <w:proofErr w:type="spellStart"/>
      <w:r w:rsidRPr="008548E7">
        <w:rPr>
          <w:rFonts w:ascii="Lato" w:hAnsi="Lato" w:cstheme="minorHAnsi"/>
          <w:sz w:val="20"/>
          <w:szCs w:val="20"/>
        </w:rPr>
        <w:t>deinstytucjonalizacja</w:t>
      </w:r>
      <w:proofErr w:type="spellEnd"/>
      <w:r w:rsidRPr="008548E7">
        <w:rPr>
          <w:rFonts w:ascii="Lato" w:hAnsi="Lato" w:cstheme="minorHAnsi"/>
          <w:sz w:val="20"/>
          <w:szCs w:val="20"/>
        </w:rPr>
        <w:t>).</w:t>
      </w:r>
    </w:p>
    <w:p w14:paraId="07C861F3" w14:textId="77777777" w:rsidR="008548E7" w:rsidRDefault="008548E7" w:rsidP="0059185B">
      <w:pPr>
        <w:pStyle w:val="Akapitzlist"/>
        <w:numPr>
          <w:ilvl w:val="0"/>
          <w:numId w:val="130"/>
        </w:numPr>
        <w:spacing w:after="0" w:line="240" w:lineRule="auto"/>
        <w:jc w:val="both"/>
        <w:rPr>
          <w:rFonts w:ascii="Lato" w:hAnsi="Lato" w:cstheme="minorHAnsi"/>
          <w:sz w:val="20"/>
          <w:szCs w:val="20"/>
        </w:rPr>
      </w:pPr>
      <w:proofErr w:type="spellStart"/>
      <w:r w:rsidRPr="008548E7">
        <w:rPr>
          <w:rFonts w:ascii="Lato" w:hAnsi="Lato" w:cstheme="minorHAnsi"/>
          <w:sz w:val="20"/>
          <w:szCs w:val="20"/>
        </w:rPr>
        <w:t>Teleopieka</w:t>
      </w:r>
      <w:proofErr w:type="spellEnd"/>
      <w:r w:rsidRPr="008548E7">
        <w:rPr>
          <w:rFonts w:ascii="Lato" w:hAnsi="Lato" w:cstheme="minorHAnsi"/>
          <w:sz w:val="20"/>
          <w:szCs w:val="20"/>
        </w:rPr>
        <w:t xml:space="preserve"> jako forma profilaktyki w celu utrzymania samodzielności seniora.</w:t>
      </w:r>
    </w:p>
    <w:p w14:paraId="478DED51" w14:textId="4653614B" w:rsidR="008548E7" w:rsidRPr="008548E7" w:rsidRDefault="008548E7" w:rsidP="0059185B">
      <w:pPr>
        <w:pStyle w:val="Akapitzlist"/>
        <w:numPr>
          <w:ilvl w:val="0"/>
          <w:numId w:val="130"/>
        </w:numPr>
        <w:spacing w:after="0" w:line="240" w:lineRule="auto"/>
        <w:jc w:val="both"/>
        <w:rPr>
          <w:rFonts w:ascii="Lato" w:hAnsi="Lato" w:cstheme="minorHAnsi"/>
          <w:sz w:val="20"/>
          <w:szCs w:val="20"/>
        </w:rPr>
      </w:pPr>
      <w:proofErr w:type="spellStart"/>
      <w:r w:rsidRPr="008548E7">
        <w:rPr>
          <w:rFonts w:ascii="Lato" w:hAnsi="Lato" w:cstheme="minorHAnsi"/>
          <w:sz w:val="20"/>
          <w:szCs w:val="20"/>
        </w:rPr>
        <w:t>Teleopieka</w:t>
      </w:r>
      <w:proofErr w:type="spellEnd"/>
      <w:r w:rsidRPr="008548E7">
        <w:rPr>
          <w:rFonts w:ascii="Lato" w:hAnsi="Lato" w:cstheme="minorHAnsi"/>
          <w:sz w:val="20"/>
          <w:szCs w:val="20"/>
        </w:rPr>
        <w:t xml:space="preserve"> jako usługa wzmacniająca samodzielność osoby starszej w naturalnym środowisku oraz wsparcie dla opiekunów nieformalnych.</w:t>
      </w:r>
    </w:p>
    <w:p w14:paraId="2AD61B83" w14:textId="77777777"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lastRenderedPageBreak/>
        <w:t>Całkowity czas realizacji pilotażu: 12.2021-12.2022.</w:t>
      </w:r>
    </w:p>
    <w:p w14:paraId="1E59309D" w14:textId="22FC44D6"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 </w:t>
      </w:r>
    </w:p>
    <w:p w14:paraId="5EAAB932" w14:textId="2D6269BD"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Zgodnie z Programem współpracy Samorządu Województwa Wielkopolskiego z organizacjami pozarządowymi oraz innymi podmiotami prowadzącymi działalności pożytku publicznego na rok 2022, organizacje pozarządowe miały możliwość ubiegania się o dotacje na realizację zadań zakresu pomocy społecznej.</w:t>
      </w:r>
    </w:p>
    <w:p w14:paraId="3710058B" w14:textId="77777777" w:rsidR="008548E7" w:rsidRDefault="008548E7" w:rsidP="008548E7">
      <w:pPr>
        <w:spacing w:after="0" w:line="240" w:lineRule="auto"/>
        <w:jc w:val="both"/>
        <w:rPr>
          <w:rFonts w:ascii="Lato" w:hAnsi="Lato" w:cstheme="minorHAnsi"/>
          <w:b/>
          <w:bCs/>
          <w:sz w:val="20"/>
          <w:szCs w:val="20"/>
        </w:rPr>
      </w:pPr>
    </w:p>
    <w:p w14:paraId="568F9BEA" w14:textId="337F55EC"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b/>
          <w:bCs/>
          <w:sz w:val="20"/>
          <w:szCs w:val="20"/>
        </w:rPr>
        <w:t>Otwarty konkurs ofert</w:t>
      </w:r>
      <w:r w:rsidRPr="008548E7">
        <w:rPr>
          <w:rFonts w:ascii="Lato" w:hAnsi="Lato" w:cstheme="minorHAnsi"/>
          <w:sz w:val="20"/>
          <w:szCs w:val="20"/>
        </w:rPr>
        <w:t> umożliwia wyłonienie innowacyjnych, modelowych lub systemowych projektów organizacji pozarządowych, których realizacja przyczyni się do rozwiązywania problemów m.in. osób starszych i ich opiekunów.</w:t>
      </w:r>
    </w:p>
    <w:p w14:paraId="5E5D374C" w14:textId="77777777"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 </w:t>
      </w:r>
    </w:p>
    <w:p w14:paraId="391F4FE7" w14:textId="7CB171EB"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Łącznie w 2022r. zrealizowano 11 projektów wspierających osoby starsze w ramach 4 zadań pn.:</w:t>
      </w:r>
    </w:p>
    <w:p w14:paraId="3BF83731" w14:textId="77777777" w:rsidR="008548E7" w:rsidRDefault="008548E7" w:rsidP="0059185B">
      <w:pPr>
        <w:pStyle w:val="Akapitzlist"/>
        <w:numPr>
          <w:ilvl w:val="0"/>
          <w:numId w:val="131"/>
        </w:numPr>
        <w:spacing w:after="0" w:line="240" w:lineRule="auto"/>
        <w:jc w:val="both"/>
        <w:rPr>
          <w:rFonts w:ascii="Lato" w:hAnsi="Lato" w:cstheme="minorHAnsi"/>
          <w:sz w:val="20"/>
          <w:szCs w:val="20"/>
        </w:rPr>
      </w:pPr>
      <w:r w:rsidRPr="008548E7">
        <w:rPr>
          <w:rFonts w:ascii="Lato" w:hAnsi="Lato" w:cstheme="minorHAnsi"/>
          <w:sz w:val="20"/>
          <w:szCs w:val="20"/>
        </w:rPr>
        <w:t>Pobudzanie aktywności osób starszych, z uwzględnieniem integracji międzypokoleniowej – 7 projektów,</w:t>
      </w:r>
    </w:p>
    <w:p w14:paraId="5A3979D7" w14:textId="77777777" w:rsidR="008548E7" w:rsidRDefault="008548E7" w:rsidP="0059185B">
      <w:pPr>
        <w:pStyle w:val="Akapitzlist"/>
        <w:numPr>
          <w:ilvl w:val="0"/>
          <w:numId w:val="131"/>
        </w:numPr>
        <w:spacing w:after="0" w:line="240" w:lineRule="auto"/>
        <w:jc w:val="both"/>
        <w:rPr>
          <w:rFonts w:ascii="Lato" w:hAnsi="Lato" w:cstheme="minorHAnsi"/>
          <w:sz w:val="20"/>
          <w:szCs w:val="20"/>
        </w:rPr>
      </w:pPr>
      <w:r w:rsidRPr="008548E7">
        <w:rPr>
          <w:rFonts w:ascii="Lato" w:hAnsi="Lato" w:cstheme="minorHAnsi"/>
          <w:sz w:val="20"/>
          <w:szCs w:val="20"/>
        </w:rPr>
        <w:t>Realizacja działań na rzecz osób starszych wymagających wsparcia – 2 projekty,</w:t>
      </w:r>
    </w:p>
    <w:p w14:paraId="47264800" w14:textId="77777777" w:rsidR="008548E7" w:rsidRDefault="008548E7" w:rsidP="0059185B">
      <w:pPr>
        <w:pStyle w:val="Akapitzlist"/>
        <w:numPr>
          <w:ilvl w:val="0"/>
          <w:numId w:val="131"/>
        </w:numPr>
        <w:spacing w:after="0" w:line="240" w:lineRule="auto"/>
        <w:jc w:val="both"/>
        <w:rPr>
          <w:rFonts w:ascii="Lato" w:hAnsi="Lato" w:cstheme="minorHAnsi"/>
          <w:sz w:val="20"/>
          <w:szCs w:val="20"/>
        </w:rPr>
      </w:pPr>
      <w:r w:rsidRPr="008548E7">
        <w:rPr>
          <w:rFonts w:ascii="Lato" w:hAnsi="Lato" w:cstheme="minorHAnsi"/>
          <w:sz w:val="20"/>
          <w:szCs w:val="20"/>
        </w:rPr>
        <w:t>Realizacja działań na rzecz przeciwdziałania wypaleniu opiekuńczemu opiekunów osób starszych – 1 projekt,</w:t>
      </w:r>
    </w:p>
    <w:p w14:paraId="7D0F07B1" w14:textId="5B9D933C" w:rsidR="008548E7" w:rsidRPr="008548E7" w:rsidRDefault="008548E7" w:rsidP="0059185B">
      <w:pPr>
        <w:pStyle w:val="Akapitzlist"/>
        <w:numPr>
          <w:ilvl w:val="0"/>
          <w:numId w:val="131"/>
        </w:numPr>
        <w:spacing w:after="0" w:line="240" w:lineRule="auto"/>
        <w:jc w:val="both"/>
        <w:rPr>
          <w:rFonts w:ascii="Lato" w:hAnsi="Lato" w:cstheme="minorHAnsi"/>
          <w:sz w:val="20"/>
          <w:szCs w:val="20"/>
        </w:rPr>
      </w:pPr>
      <w:r w:rsidRPr="008548E7">
        <w:rPr>
          <w:rFonts w:ascii="Lato" w:hAnsi="Lato" w:cstheme="minorHAnsi"/>
          <w:sz w:val="20"/>
          <w:szCs w:val="20"/>
        </w:rPr>
        <w:t>Wsparcie działań zwiększających autonomię osób starszych na podstawie innowacji „Senior to samodzielny i bezpieczny kierowca” – wypracowanej w ramach  projektu „Przepis na wielkopolską innowację społeczną – usługi opiekuńcze dla osób zależnych” – 1 projekt.</w:t>
      </w:r>
    </w:p>
    <w:p w14:paraId="442A2FE6" w14:textId="77777777" w:rsidR="008548E7" w:rsidRDefault="008548E7" w:rsidP="008548E7">
      <w:pPr>
        <w:spacing w:after="0" w:line="240" w:lineRule="auto"/>
        <w:jc w:val="both"/>
        <w:rPr>
          <w:rFonts w:ascii="Lato" w:hAnsi="Lato" w:cstheme="minorHAnsi"/>
          <w:sz w:val="20"/>
          <w:szCs w:val="20"/>
        </w:rPr>
      </w:pPr>
    </w:p>
    <w:p w14:paraId="567D0906" w14:textId="7B77F620"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Realizowane zadania były współfinansowane ze środków własnych Samorządu Województwa Wielkopolskiego.</w:t>
      </w:r>
    </w:p>
    <w:p w14:paraId="1243BE92" w14:textId="77777777" w:rsidR="008548E7" w:rsidRDefault="008548E7" w:rsidP="008548E7">
      <w:pPr>
        <w:spacing w:after="0" w:line="240" w:lineRule="auto"/>
        <w:jc w:val="both"/>
        <w:rPr>
          <w:rFonts w:ascii="Lato" w:hAnsi="Lato" w:cstheme="minorHAnsi"/>
          <w:sz w:val="20"/>
          <w:szCs w:val="20"/>
        </w:rPr>
      </w:pPr>
    </w:p>
    <w:p w14:paraId="68CD7D71" w14:textId="373253B3"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Kolejnym działaniem realizowanym i finansowanym przez Samorząd Województwa Wielkopolskiego jest </w:t>
      </w:r>
      <w:r w:rsidRPr="008548E7">
        <w:rPr>
          <w:rFonts w:ascii="Lato" w:hAnsi="Lato" w:cstheme="minorHAnsi"/>
          <w:b/>
          <w:bCs/>
          <w:sz w:val="20"/>
          <w:szCs w:val="20"/>
        </w:rPr>
        <w:t>Pakiet seniora</w:t>
      </w:r>
      <w:r w:rsidRPr="008548E7">
        <w:rPr>
          <w:rFonts w:ascii="Lato" w:hAnsi="Lato" w:cstheme="minorHAnsi"/>
          <w:sz w:val="20"/>
          <w:szCs w:val="20"/>
        </w:rPr>
        <w:t> – to zestaw materiałów edukacyjno-informacyjnych w formie publikacji (broszury, plakaty) oraz w formie multimedialnej (filmy, prezentacje) kierowany przede wszystkim do uniwersytetów trzeciego wieku (UTW) oraz Rad Seniorów w celu dalszego przekazywania seniorom.</w:t>
      </w:r>
    </w:p>
    <w:p w14:paraId="2E525089" w14:textId="77777777" w:rsidR="008548E7" w:rsidRPr="008548E7" w:rsidRDefault="008548E7" w:rsidP="008548E7">
      <w:pPr>
        <w:spacing w:after="0" w:line="240" w:lineRule="auto"/>
        <w:ind w:firstLine="360"/>
        <w:jc w:val="both"/>
        <w:rPr>
          <w:rFonts w:ascii="Lato" w:hAnsi="Lato" w:cstheme="minorHAnsi"/>
          <w:sz w:val="20"/>
          <w:szCs w:val="20"/>
        </w:rPr>
      </w:pPr>
    </w:p>
    <w:p w14:paraId="1CA23BCA" w14:textId="77777777" w:rsid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Wybór zagadnień został dostosowany do potrzeb osób starszych, które zostały zdiagnozowane na podstawie analizy potrzeb seniorów.</w:t>
      </w:r>
    </w:p>
    <w:p w14:paraId="2149CBEE" w14:textId="77777777" w:rsidR="008548E7" w:rsidRDefault="008548E7" w:rsidP="008548E7">
      <w:pPr>
        <w:spacing w:after="0" w:line="240" w:lineRule="auto"/>
        <w:jc w:val="both"/>
        <w:rPr>
          <w:rFonts w:ascii="Lato" w:hAnsi="Lato" w:cstheme="minorHAnsi"/>
          <w:sz w:val="20"/>
          <w:szCs w:val="20"/>
        </w:rPr>
      </w:pPr>
    </w:p>
    <w:p w14:paraId="6E13BE7E" w14:textId="77777777" w:rsidR="008548E7" w:rsidRDefault="008548E7" w:rsidP="008548E7">
      <w:pPr>
        <w:spacing w:after="0" w:line="240" w:lineRule="auto"/>
        <w:jc w:val="both"/>
        <w:rPr>
          <w:rFonts w:ascii="Lato" w:hAnsi="Lato" w:cstheme="minorHAnsi"/>
          <w:sz w:val="20"/>
          <w:szCs w:val="20"/>
        </w:rPr>
      </w:pPr>
      <w:r w:rsidRPr="008548E7">
        <w:rPr>
          <w:rFonts w:ascii="Lato" w:hAnsi="Lato" w:cstheme="minorHAnsi"/>
          <w:b/>
          <w:bCs/>
          <w:sz w:val="20"/>
          <w:szCs w:val="20"/>
        </w:rPr>
        <w:t xml:space="preserve">Targi </w:t>
      </w:r>
      <w:proofErr w:type="spellStart"/>
      <w:r w:rsidRPr="008548E7">
        <w:rPr>
          <w:rFonts w:ascii="Lato" w:hAnsi="Lato" w:cstheme="minorHAnsi"/>
          <w:b/>
          <w:bCs/>
          <w:sz w:val="20"/>
          <w:szCs w:val="20"/>
        </w:rPr>
        <w:t>Viva</w:t>
      </w:r>
      <w:proofErr w:type="spellEnd"/>
      <w:r w:rsidRPr="008548E7">
        <w:rPr>
          <w:rFonts w:ascii="Lato" w:hAnsi="Lato" w:cstheme="minorHAnsi"/>
          <w:b/>
          <w:bCs/>
          <w:sz w:val="20"/>
          <w:szCs w:val="20"/>
        </w:rPr>
        <w:t xml:space="preserve"> Seniorzy</w:t>
      </w:r>
      <w:r w:rsidRPr="008548E7">
        <w:rPr>
          <w:rFonts w:ascii="Lato" w:hAnsi="Lato" w:cstheme="minorHAnsi"/>
          <w:sz w:val="20"/>
          <w:szCs w:val="20"/>
        </w:rPr>
        <w:t> - w 2022 roku Targi odwiedziło ponad 3 000 osób zwiedzających, bezpłatnie udostępniono powierzchnię organizacjom pozarządowym, na której wystawiło się ponad 80 wystawców. Na stoisku ROPS/SWW można było skorzystać z</w:t>
      </w:r>
      <w:r>
        <w:rPr>
          <w:rFonts w:ascii="Lato" w:hAnsi="Lato" w:cstheme="minorHAnsi"/>
          <w:sz w:val="20"/>
          <w:szCs w:val="20"/>
        </w:rPr>
        <w:t xml:space="preserve"> </w:t>
      </w:r>
      <w:r w:rsidRPr="008548E7">
        <w:rPr>
          <w:rFonts w:ascii="Lato" w:hAnsi="Lato" w:cstheme="minorHAnsi"/>
          <w:sz w:val="20"/>
          <w:szCs w:val="20"/>
        </w:rPr>
        <w:t>porad dietetyka</w:t>
      </w:r>
      <w:r>
        <w:rPr>
          <w:rFonts w:ascii="Lato" w:hAnsi="Lato" w:cstheme="minorHAnsi"/>
          <w:sz w:val="20"/>
          <w:szCs w:val="20"/>
        </w:rPr>
        <w:t xml:space="preserve">, </w:t>
      </w:r>
      <w:r w:rsidRPr="008548E7">
        <w:rPr>
          <w:rFonts w:ascii="Lato" w:hAnsi="Lato" w:cstheme="minorHAnsi"/>
          <w:sz w:val="20"/>
          <w:szCs w:val="20"/>
        </w:rPr>
        <w:t>kursu udzielenia pierwszej pomocy</w:t>
      </w:r>
      <w:r>
        <w:rPr>
          <w:rFonts w:ascii="Lato" w:hAnsi="Lato" w:cstheme="minorHAnsi"/>
          <w:sz w:val="20"/>
          <w:szCs w:val="20"/>
        </w:rPr>
        <w:t xml:space="preserve">, </w:t>
      </w:r>
      <w:proofErr w:type="spellStart"/>
      <w:r w:rsidRPr="008548E7">
        <w:rPr>
          <w:rFonts w:ascii="Lato" w:hAnsi="Lato" w:cstheme="minorHAnsi"/>
          <w:sz w:val="20"/>
          <w:szCs w:val="20"/>
        </w:rPr>
        <w:t>fotobudki</w:t>
      </w:r>
      <w:proofErr w:type="spellEnd"/>
      <w:r w:rsidRPr="008548E7">
        <w:rPr>
          <w:rFonts w:ascii="Lato" w:hAnsi="Lato" w:cstheme="minorHAnsi"/>
          <w:sz w:val="20"/>
          <w:szCs w:val="20"/>
        </w:rPr>
        <w:t>, w której można wykonać sobie pamiątkowe zdjęcie</w:t>
      </w:r>
    </w:p>
    <w:p w14:paraId="746ECE14" w14:textId="77777777" w:rsidR="008548E7" w:rsidRDefault="008548E7" w:rsidP="008548E7">
      <w:pPr>
        <w:spacing w:after="0" w:line="240" w:lineRule="auto"/>
        <w:jc w:val="both"/>
        <w:rPr>
          <w:rFonts w:ascii="Lato" w:hAnsi="Lato" w:cstheme="minorHAnsi"/>
          <w:sz w:val="20"/>
          <w:szCs w:val="20"/>
        </w:rPr>
      </w:pPr>
    </w:p>
    <w:p w14:paraId="39FAADCA" w14:textId="77777777" w:rsid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W 2022 r. zrealizowano kolejną edycję </w:t>
      </w:r>
      <w:r w:rsidRPr="008548E7">
        <w:rPr>
          <w:rFonts w:ascii="Lato" w:hAnsi="Lato" w:cstheme="minorHAnsi"/>
          <w:b/>
          <w:bCs/>
          <w:sz w:val="20"/>
          <w:szCs w:val="20"/>
        </w:rPr>
        <w:t>konkursu</w:t>
      </w:r>
      <w:r w:rsidRPr="008548E7">
        <w:rPr>
          <w:rFonts w:ascii="Lato" w:hAnsi="Lato" w:cstheme="minorHAnsi"/>
          <w:sz w:val="20"/>
          <w:szCs w:val="20"/>
        </w:rPr>
        <w:t> </w:t>
      </w:r>
      <w:proofErr w:type="spellStart"/>
      <w:r w:rsidRPr="008548E7">
        <w:rPr>
          <w:rFonts w:ascii="Lato" w:hAnsi="Lato" w:cstheme="minorHAnsi"/>
          <w:b/>
          <w:bCs/>
          <w:sz w:val="20"/>
          <w:szCs w:val="20"/>
        </w:rPr>
        <w:t>Viva</w:t>
      </w:r>
      <w:proofErr w:type="spellEnd"/>
      <w:r w:rsidRPr="008548E7">
        <w:rPr>
          <w:rFonts w:ascii="Lato" w:hAnsi="Lato" w:cstheme="minorHAnsi"/>
          <w:b/>
          <w:bCs/>
          <w:sz w:val="20"/>
          <w:szCs w:val="20"/>
        </w:rPr>
        <w:t xml:space="preserve"> Wielkopolski Senior</w:t>
      </w:r>
      <w:r w:rsidRPr="008548E7">
        <w:rPr>
          <w:rFonts w:ascii="Lato" w:hAnsi="Lato" w:cstheme="minorHAnsi"/>
          <w:sz w:val="20"/>
          <w:szCs w:val="20"/>
        </w:rPr>
        <w:t>.</w:t>
      </w:r>
      <w:r>
        <w:rPr>
          <w:rFonts w:ascii="Lato" w:hAnsi="Lato" w:cstheme="minorHAnsi"/>
          <w:sz w:val="20"/>
          <w:szCs w:val="20"/>
        </w:rPr>
        <w:t xml:space="preserve"> </w:t>
      </w:r>
    </w:p>
    <w:p w14:paraId="12E8D97A" w14:textId="5CD3874E"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Konkurs ma na celu uhonorowanie i wyróżnienie ponadprzeciętnych postaw wielkopolskich seniorów, którzy swoją działalnością w różnych cenionych społecznie dziedzinach, ze szczególnym uwzględnieniem działań na rzecz środowiska senioralnego, wyróżnili się na tle innych. Odbyło się już 6 edycji tego konkursu.</w:t>
      </w:r>
      <w:r>
        <w:rPr>
          <w:rFonts w:ascii="Lato" w:hAnsi="Lato" w:cstheme="minorHAnsi"/>
          <w:sz w:val="20"/>
          <w:szCs w:val="20"/>
        </w:rPr>
        <w:t xml:space="preserve"> </w:t>
      </w:r>
      <w:r w:rsidRPr="008548E7">
        <w:rPr>
          <w:rFonts w:ascii="Lato" w:hAnsi="Lato" w:cstheme="minorHAnsi"/>
          <w:sz w:val="20"/>
          <w:szCs w:val="20"/>
        </w:rPr>
        <w:t>W konkursie nagrodzonych było 4 seniorów, którzy otrzymali statuetkę i tytuł: "</w:t>
      </w:r>
      <w:proofErr w:type="spellStart"/>
      <w:r w:rsidRPr="008548E7">
        <w:rPr>
          <w:rFonts w:ascii="Lato" w:hAnsi="Lato" w:cstheme="minorHAnsi"/>
          <w:sz w:val="20"/>
          <w:szCs w:val="20"/>
        </w:rPr>
        <w:t>Viva</w:t>
      </w:r>
      <w:proofErr w:type="spellEnd"/>
      <w:r w:rsidRPr="008548E7">
        <w:rPr>
          <w:rFonts w:ascii="Lato" w:hAnsi="Lato" w:cstheme="minorHAnsi"/>
          <w:sz w:val="20"/>
          <w:szCs w:val="20"/>
        </w:rPr>
        <w:t>! Wielkopolski Senior - Wielkopolska Otwarta na Osoby Starsze", nagrody, w tym nagrodę pieniężną oraz udział w indywidualnej sesji fotograficznej.</w:t>
      </w:r>
      <w:r>
        <w:rPr>
          <w:rFonts w:ascii="Lato" w:hAnsi="Lato" w:cstheme="minorHAnsi"/>
          <w:sz w:val="20"/>
          <w:szCs w:val="20"/>
        </w:rPr>
        <w:t xml:space="preserve"> </w:t>
      </w:r>
      <w:r w:rsidRPr="008548E7">
        <w:rPr>
          <w:rFonts w:ascii="Lato" w:hAnsi="Lato" w:cstheme="minorHAnsi"/>
          <w:sz w:val="20"/>
          <w:szCs w:val="20"/>
        </w:rPr>
        <w:t xml:space="preserve">Wręczenie nagród i dyplomów odbyło się podczas uroczystej gali w trakcie trwania targów </w:t>
      </w:r>
      <w:proofErr w:type="spellStart"/>
      <w:r w:rsidRPr="008548E7">
        <w:rPr>
          <w:rFonts w:ascii="Lato" w:hAnsi="Lato" w:cstheme="minorHAnsi"/>
          <w:sz w:val="20"/>
          <w:szCs w:val="20"/>
        </w:rPr>
        <w:t>Viva</w:t>
      </w:r>
      <w:proofErr w:type="spellEnd"/>
      <w:r w:rsidRPr="008548E7">
        <w:rPr>
          <w:rFonts w:ascii="Lato" w:hAnsi="Lato" w:cstheme="minorHAnsi"/>
          <w:sz w:val="20"/>
          <w:szCs w:val="20"/>
        </w:rPr>
        <w:t>! Seniorzy.</w:t>
      </w:r>
    </w:p>
    <w:p w14:paraId="09EBEAE0" w14:textId="77777777" w:rsidR="008548E7" w:rsidRPr="008548E7" w:rsidRDefault="008548E7" w:rsidP="008548E7">
      <w:pPr>
        <w:spacing w:after="0" w:line="240" w:lineRule="auto"/>
        <w:ind w:firstLine="360"/>
        <w:jc w:val="both"/>
        <w:rPr>
          <w:rFonts w:ascii="Lato" w:hAnsi="Lato" w:cstheme="minorHAnsi"/>
          <w:sz w:val="20"/>
          <w:szCs w:val="20"/>
        </w:rPr>
      </w:pPr>
      <w:r w:rsidRPr="008548E7">
        <w:rPr>
          <w:rFonts w:ascii="Lato" w:hAnsi="Lato" w:cstheme="minorHAnsi"/>
          <w:sz w:val="20"/>
          <w:szCs w:val="20"/>
        </w:rPr>
        <w:t> </w:t>
      </w:r>
    </w:p>
    <w:p w14:paraId="650E0AFF" w14:textId="08ED7B83" w:rsidR="008548E7" w:rsidRPr="008548E7" w:rsidRDefault="008548E7" w:rsidP="008548E7">
      <w:pPr>
        <w:spacing w:after="0" w:line="240" w:lineRule="auto"/>
        <w:contextualSpacing/>
        <w:jc w:val="both"/>
        <w:rPr>
          <w:rFonts w:ascii="Lato" w:hAnsi="Lato" w:cstheme="minorHAnsi"/>
          <w:b/>
          <w:color w:val="000000"/>
          <w:sz w:val="20"/>
          <w:szCs w:val="20"/>
        </w:rPr>
      </w:pPr>
      <w:r w:rsidRPr="008548E7">
        <w:rPr>
          <w:rFonts w:ascii="Lato" w:hAnsi="Lato" w:cstheme="minorHAnsi"/>
          <w:b/>
          <w:color w:val="000000"/>
          <w:sz w:val="20"/>
          <w:szCs w:val="20"/>
        </w:rPr>
        <w:t>Wolontariat informacyjny w Centrum Inicjatyw Senioralnych</w:t>
      </w:r>
    </w:p>
    <w:p w14:paraId="66C8B625" w14:textId="60E9F67F" w:rsidR="008548E7" w:rsidRPr="008548E7" w:rsidRDefault="008548E7" w:rsidP="008548E7">
      <w:pPr>
        <w:spacing w:after="0" w:line="240" w:lineRule="auto"/>
        <w:jc w:val="both"/>
        <w:rPr>
          <w:rFonts w:ascii="Lato" w:hAnsi="Lato" w:cstheme="minorHAnsi"/>
          <w:color w:val="000000"/>
          <w:sz w:val="20"/>
          <w:szCs w:val="20"/>
          <w:shd w:val="clear" w:color="auto" w:fill="FFF2CC"/>
        </w:rPr>
      </w:pPr>
      <w:r w:rsidRPr="008548E7">
        <w:rPr>
          <w:rFonts w:ascii="Lato" w:hAnsi="Lato" w:cstheme="minorHAnsi"/>
          <w:color w:val="000000"/>
          <w:sz w:val="20"/>
          <w:szCs w:val="20"/>
        </w:rPr>
        <w:t xml:space="preserve">W ramach projektu Poznański Wolontariat 60+ utworzono grupę </w:t>
      </w:r>
      <w:bookmarkStart w:id="181" w:name="_Hlk93593594"/>
      <w:r w:rsidRPr="008548E7">
        <w:rPr>
          <w:rFonts w:ascii="Lato" w:hAnsi="Lato" w:cstheme="minorHAnsi"/>
          <w:color w:val="000000"/>
          <w:sz w:val="20"/>
          <w:szCs w:val="20"/>
        </w:rPr>
        <w:t>wolontariusz</w:t>
      </w:r>
      <w:bookmarkEnd w:id="181"/>
      <w:r w:rsidRPr="008548E7">
        <w:rPr>
          <w:rFonts w:ascii="Lato" w:hAnsi="Lato" w:cstheme="minorHAnsi"/>
          <w:color w:val="000000"/>
          <w:sz w:val="20"/>
          <w:szCs w:val="20"/>
        </w:rPr>
        <w:t>y i wolontariuszek systematycznie wspierających Centrum Inicjatyw Senioralnych w dystrybucji informacji. Jednym z celów pracy wolontariatu informacyjnego jest znalezienie przynajmniej jednego miejsca (np. lokalny sklep, biuro parafialne, klub seniora itp.) w danej dzielnicy Poznania, które mogłoby się stać „punktem informacyjnym”. W roku 2022 podpisano  9 porozumień z wolontariuszami, natomiast   liczba miejsc, do których dotarli wolontariusze to 23.</w:t>
      </w:r>
    </w:p>
    <w:p w14:paraId="5BAD054E" w14:textId="77777777" w:rsidR="008548E7" w:rsidRPr="008548E7" w:rsidRDefault="008548E7" w:rsidP="008548E7">
      <w:pPr>
        <w:spacing w:after="0" w:line="240" w:lineRule="auto"/>
        <w:ind w:left="720"/>
        <w:contextualSpacing/>
        <w:jc w:val="both"/>
        <w:rPr>
          <w:rFonts w:ascii="Lato" w:eastAsia="Calibri" w:hAnsi="Lato" w:cstheme="minorHAnsi"/>
          <w:b/>
          <w:i/>
          <w:color w:val="FF0000"/>
          <w:sz w:val="20"/>
          <w:szCs w:val="20"/>
        </w:rPr>
      </w:pPr>
    </w:p>
    <w:p w14:paraId="0CB9965E" w14:textId="0AA2575B" w:rsidR="008548E7" w:rsidRPr="008548E7" w:rsidRDefault="008548E7" w:rsidP="008548E7">
      <w:pPr>
        <w:tabs>
          <w:tab w:val="left" w:pos="567"/>
        </w:tabs>
        <w:spacing w:after="0" w:line="240" w:lineRule="auto"/>
        <w:jc w:val="both"/>
        <w:rPr>
          <w:rFonts w:ascii="Lato" w:hAnsi="Lato" w:cstheme="minorHAnsi"/>
          <w:b/>
          <w:color w:val="000000"/>
          <w:sz w:val="20"/>
          <w:szCs w:val="20"/>
        </w:rPr>
      </w:pPr>
      <w:r w:rsidRPr="008548E7">
        <w:rPr>
          <w:rFonts w:ascii="Lato" w:hAnsi="Lato" w:cstheme="minorHAnsi"/>
          <w:b/>
          <w:color w:val="000000"/>
          <w:sz w:val="20"/>
          <w:szCs w:val="20"/>
        </w:rPr>
        <w:t>Poznański Przewodnik Seniorki i Seniora</w:t>
      </w:r>
    </w:p>
    <w:p w14:paraId="46CA5DBA" w14:textId="77777777"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color w:val="000000"/>
          <w:sz w:val="20"/>
          <w:szCs w:val="20"/>
        </w:rPr>
        <w:t xml:space="preserve"> </w:t>
      </w:r>
      <w:r w:rsidRPr="008548E7">
        <w:rPr>
          <w:rFonts w:ascii="Lato" w:hAnsi="Lato" w:cstheme="minorHAnsi"/>
          <w:sz w:val="20"/>
          <w:szCs w:val="20"/>
        </w:rPr>
        <w:t>„Poznański przewodnik seniorki i seniora” to 160-stronicowa publikacja, której zawartość wynika z wieloletniego doświadczenia w rozmowach z seniorami kontaktującymi się z Centrum</w:t>
      </w:r>
      <w:r w:rsidRPr="008548E7">
        <w:rPr>
          <w:rFonts w:ascii="Lato" w:hAnsi="Lato" w:cstheme="minorHAnsi"/>
          <w:color w:val="000000"/>
          <w:sz w:val="20"/>
          <w:szCs w:val="20"/>
        </w:rPr>
        <w:t xml:space="preserve"> Inicjatyw Senioralnych</w:t>
      </w:r>
      <w:r w:rsidRPr="008548E7">
        <w:rPr>
          <w:rFonts w:ascii="Lato" w:hAnsi="Lato" w:cstheme="minorHAnsi"/>
          <w:sz w:val="20"/>
          <w:szCs w:val="20"/>
        </w:rPr>
        <w:t xml:space="preserve"> osobiście, telefonicznie lub mailowo. Książka została podzielona na kategorie według </w:t>
      </w:r>
      <w:r w:rsidRPr="008548E7">
        <w:rPr>
          <w:rFonts w:ascii="Lato" w:hAnsi="Lato" w:cstheme="minorHAnsi"/>
          <w:sz w:val="20"/>
          <w:szCs w:val="20"/>
        </w:rPr>
        <w:lastRenderedPageBreak/>
        <w:t xml:space="preserve">najczęściej zadawanych przez seniorów pytań. Punktem wyjścia dla przygotowanych treści stały się duże kategorie, takie jak: zdrowie, edukacja, aktywność fizyczna, poradnictwo, wsparcie, bezpieczeństwo itp., które zespół opracował jak najrzetelniej i jak najprzystępniej tak, by czytelnicy i czytelniczki w łatwy sposób odnaleźli poszukiwane przez siebie treści. W okresie sprawozdawczym rozdystrybuowano ok. 2000 egzemplarzy przewodnika. </w:t>
      </w:r>
    </w:p>
    <w:p w14:paraId="02C420D5" w14:textId="77777777" w:rsidR="008548E7" w:rsidRDefault="008548E7" w:rsidP="008548E7">
      <w:pPr>
        <w:spacing w:after="0" w:line="240" w:lineRule="auto"/>
        <w:jc w:val="both"/>
        <w:rPr>
          <w:rFonts w:ascii="Lato" w:hAnsi="Lato" w:cstheme="minorHAnsi"/>
          <w:b/>
          <w:sz w:val="20"/>
          <w:szCs w:val="20"/>
        </w:rPr>
      </w:pPr>
    </w:p>
    <w:p w14:paraId="650BEF3E" w14:textId="3355EF25"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Poznański Przewodnik Liderki i Lidera</w:t>
      </w:r>
    </w:p>
    <w:p w14:paraId="15E60D8B" w14:textId="392C3C4F" w:rsidR="008548E7" w:rsidRPr="008548E7" w:rsidRDefault="008548E7" w:rsidP="008548E7">
      <w:pPr>
        <w:spacing w:after="0" w:line="240" w:lineRule="auto"/>
        <w:jc w:val="both"/>
        <w:rPr>
          <w:rFonts w:ascii="Lato" w:eastAsia="Calibri" w:hAnsi="Lato" w:cstheme="minorHAnsi"/>
          <w:sz w:val="20"/>
          <w:szCs w:val="20"/>
        </w:rPr>
      </w:pPr>
      <w:r w:rsidRPr="008548E7">
        <w:rPr>
          <w:rFonts w:ascii="Lato" w:eastAsia="Calibri" w:hAnsi="Lato" w:cstheme="minorHAnsi"/>
          <w:sz w:val="20"/>
          <w:szCs w:val="20"/>
        </w:rPr>
        <w:t>„Poznański Przewodnik Liderki i Lidera” to publikacja, która powstała jako podsumowanie Akademii Liderów i Liderek organizowanej w ramach projektu „Animator Senioralny”. Pozycja książkowa liczy 43 strony i zawiera informacje dedykowane osobom tworzącym miejsca aktywności senioralnej i kluby seniora. Zakres tematyczny Przewodnika dotyczy przede wszystkim współpracy ze społecznością lokalną, sposobów i źródeł pozyskiwania środków finansowych oraz myślenia projektowego. W okresie sprawozdawczym wydrukowano 40 egzemplarzy.</w:t>
      </w:r>
    </w:p>
    <w:p w14:paraId="35A2562D" w14:textId="77777777" w:rsidR="008548E7" w:rsidRPr="008548E7" w:rsidRDefault="008548E7" w:rsidP="008548E7">
      <w:pPr>
        <w:spacing w:after="0" w:line="240" w:lineRule="auto"/>
        <w:jc w:val="both"/>
        <w:rPr>
          <w:rFonts w:ascii="Lato" w:eastAsia="Calibri" w:hAnsi="Lato" w:cstheme="minorHAnsi"/>
          <w:color w:val="000000"/>
          <w:sz w:val="20"/>
          <w:szCs w:val="20"/>
        </w:rPr>
      </w:pPr>
    </w:p>
    <w:p w14:paraId="7ACF746F" w14:textId="50D3F8D5" w:rsidR="008548E7" w:rsidRPr="008548E7" w:rsidRDefault="008548E7" w:rsidP="008548E7">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69098650" w14:textId="6D7E6440" w:rsidR="008548E7" w:rsidRPr="008548E7" w:rsidRDefault="008548E7" w:rsidP="008548E7">
      <w:pPr>
        <w:spacing w:after="0" w:line="240" w:lineRule="auto"/>
        <w:jc w:val="both"/>
        <w:rPr>
          <w:rFonts w:ascii="Lato" w:hAnsi="Lato" w:cstheme="minorHAnsi"/>
          <w:b/>
          <w:bCs/>
          <w:sz w:val="20"/>
          <w:szCs w:val="20"/>
        </w:rPr>
      </w:pPr>
      <w:r w:rsidRPr="008548E7">
        <w:rPr>
          <w:rFonts w:ascii="Lato" w:hAnsi="Lato" w:cstheme="minorHAnsi"/>
          <w:b/>
          <w:bCs/>
          <w:sz w:val="20"/>
          <w:szCs w:val="20"/>
        </w:rPr>
        <w:t xml:space="preserve">Ostrowska Karta Seniora </w:t>
      </w:r>
    </w:p>
    <w:p w14:paraId="1E58D41D" w14:textId="2EF3484D"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 xml:space="preserve">Program Ostrowska Karta Seniora funkcjonuje od 2017 roku, jest skierowany do mieszkańców Ostrowa Wielkopolskiego, którzy ukończyli 60. rok życia. Program ma na celu wzmocnienie aktywności społecznej ostrowskich seniorów, rozwój ich pasji i zainteresowań. Projekt ma zachęcać do aktywnego spędzania czasu wolnego poprzez stworzenie i rozwijanie systemu ulg i preferencji, umożliwiających większy dostęp do różnorodnych produktów oraz usług, dóbr kultury i rozrywki. W związku z powyższym seniorzy, zamieszkujący Ostrów Wielkopolski, mogą korzystać ze zniżek w takich miejskich instytucjach jak: basen miejski – 40%, lodowisko – 30%, Muzeum Miasta – 50%, Ostrowskie Centrum Kultury – 30% oraz </w:t>
      </w:r>
      <w:r w:rsidRPr="008548E7">
        <w:rPr>
          <w:rFonts w:ascii="Lato" w:hAnsi="Lato" w:cstheme="minorHAnsi"/>
          <w:sz w:val="20"/>
          <w:szCs w:val="20"/>
        </w:rPr>
        <w:br/>
        <w:t xml:space="preserve">z oferty przygotowanej przez prywatnych przedsiębiorców  z różnych branż. Ogółem </w:t>
      </w:r>
      <w:r w:rsidRPr="008548E7">
        <w:rPr>
          <w:rFonts w:ascii="Lato" w:hAnsi="Lato" w:cstheme="minorHAnsi"/>
          <w:sz w:val="20"/>
          <w:szCs w:val="20"/>
        </w:rPr>
        <w:br/>
        <w:t xml:space="preserve">w programie na koniec roku 2022 uczestniczyło aż 180 partnerów. W roku 2022 wydano 695 Ostrowskich Kart Seniora. Od początku funkcjonowania programu do końca 2022 roku wydano 12 576 Ostrowskich Kart Seniora. Wnioskodawcy otrzymują powiadomienie poprzez wiadomość sms o terminie odbioru karty. Przy odbiorze dokumentu otrzymują także wykaz partnerów programu, w który znajdują się wszystkie punkty, w których można otrzymać zniżkę i jej wysokość oraz adres tego punktu. </w:t>
      </w:r>
    </w:p>
    <w:p w14:paraId="50CE1F98" w14:textId="77777777" w:rsidR="008548E7" w:rsidRPr="008548E7" w:rsidRDefault="008548E7" w:rsidP="008548E7">
      <w:pPr>
        <w:spacing w:after="0" w:line="240" w:lineRule="auto"/>
        <w:jc w:val="both"/>
        <w:rPr>
          <w:rFonts w:ascii="Lato" w:hAnsi="Lato" w:cstheme="minorHAnsi"/>
          <w:sz w:val="20"/>
          <w:szCs w:val="20"/>
        </w:rPr>
      </w:pPr>
    </w:p>
    <w:p w14:paraId="15331B61" w14:textId="77777777" w:rsidR="008548E7" w:rsidRPr="008548E7" w:rsidRDefault="008548E7" w:rsidP="008548E7">
      <w:pPr>
        <w:spacing w:after="0" w:line="240" w:lineRule="auto"/>
        <w:jc w:val="both"/>
        <w:rPr>
          <w:rFonts w:ascii="Lato" w:hAnsi="Lato" w:cstheme="minorHAnsi"/>
          <w:b/>
          <w:bCs/>
          <w:sz w:val="20"/>
          <w:szCs w:val="20"/>
        </w:rPr>
      </w:pPr>
      <w:r w:rsidRPr="008548E7">
        <w:rPr>
          <w:rFonts w:ascii="Lato" w:hAnsi="Lato" w:cstheme="minorHAnsi"/>
          <w:b/>
          <w:bCs/>
          <w:sz w:val="20"/>
          <w:szCs w:val="20"/>
        </w:rPr>
        <w:t xml:space="preserve">Rada Seniorów Ostrowa Wielkopolskiego </w:t>
      </w:r>
    </w:p>
    <w:p w14:paraId="6B300DD5" w14:textId="4CE55678"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Rada Miejska Ostrowa Wielkopolskiego 29 maja 2014 r. podjęła uchwałę dotyczącą utworzenia Gminnej Rady Seniorów. Liczy ona 18 członków. Kadencja Rady trwa 5 lat od dnia jej powołania, posiedzenia odbywają się w Urzędzie Miejskim przy al. Powstańców Wielkopolskich 18, nie rzadziej niż raz na kwartał.</w:t>
      </w:r>
    </w:p>
    <w:p w14:paraId="2D8F92E6" w14:textId="77777777"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Rada ma charakter konsultacyjny, doradczy i inicjatywny, a jej zadaniem jest reprezentowanie interesów i potrzeb starszych mieszkańców miasta Ostrowa Wielkopolskiego wobec władz samorządowych, formułowanie opinii dotyczących strategicznych i bieżących planów rozwoju środowiska lokalnego oraz tworzenie miejskiej polityki senioralnej.</w:t>
      </w:r>
    </w:p>
    <w:p w14:paraId="04409A71" w14:textId="77777777" w:rsidR="008548E7" w:rsidRDefault="008548E7" w:rsidP="008548E7">
      <w:pPr>
        <w:spacing w:after="0" w:line="240" w:lineRule="auto"/>
        <w:jc w:val="both"/>
        <w:rPr>
          <w:rFonts w:ascii="Lato" w:hAnsi="Lato" w:cstheme="minorHAnsi"/>
          <w:sz w:val="20"/>
          <w:szCs w:val="20"/>
        </w:rPr>
      </w:pPr>
    </w:p>
    <w:p w14:paraId="78035865" w14:textId="47D2026F"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Rada jest również współorganizatorem i organizatorem imprez środowiskowych, a jej przedstawiciele występują w imieniu środowiska senioralnego Ostrowa Wielkopolskiego w rejonowych konferencjach i spotkaniach szkoleniowych. Współdziała także z organizacjami pozarządowymi, instytucjami i organami samorządowymi w zakresie bieżących wydarzeń społecznych m.in. w cyklicznych spotkaniach w Klubach Senior+ i Dziennym Domu Senior+, w realizacji zadań związanych z Ostrowskim Budżetem Obywatelskim, w tworzeniu wolontariatu dla seniorów, w konferencjach, konsultacjach oraz uroczystościach środowiskowych i krajowych.</w:t>
      </w:r>
    </w:p>
    <w:p w14:paraId="3363088A" w14:textId="77777777" w:rsidR="008548E7" w:rsidRPr="008548E7" w:rsidRDefault="008548E7" w:rsidP="008548E7">
      <w:pPr>
        <w:spacing w:after="0" w:line="240" w:lineRule="auto"/>
        <w:jc w:val="both"/>
        <w:rPr>
          <w:rFonts w:ascii="Lato" w:hAnsi="Lato" w:cstheme="minorHAnsi"/>
          <w:sz w:val="20"/>
          <w:szCs w:val="20"/>
        </w:rPr>
      </w:pPr>
    </w:p>
    <w:p w14:paraId="794B54B2" w14:textId="77777777" w:rsidR="008548E7" w:rsidRPr="008548E7" w:rsidRDefault="008548E7" w:rsidP="008548E7">
      <w:pPr>
        <w:spacing w:after="0" w:line="240" w:lineRule="auto"/>
        <w:jc w:val="both"/>
        <w:rPr>
          <w:rFonts w:ascii="Lato" w:hAnsi="Lato" w:cstheme="minorHAnsi"/>
          <w:sz w:val="20"/>
          <w:szCs w:val="20"/>
        </w:rPr>
      </w:pPr>
    </w:p>
    <w:p w14:paraId="5F62BC53" w14:textId="4D96A266" w:rsidR="008548E7" w:rsidRPr="008548E7" w:rsidRDefault="008548E7" w:rsidP="008548E7">
      <w:pPr>
        <w:spacing w:after="0" w:line="240" w:lineRule="auto"/>
        <w:jc w:val="both"/>
        <w:rPr>
          <w:rFonts w:ascii="Lato" w:hAnsi="Lato" w:cstheme="minorHAnsi"/>
          <w:b/>
          <w:bCs/>
          <w:sz w:val="20"/>
          <w:szCs w:val="20"/>
        </w:rPr>
      </w:pPr>
      <w:r w:rsidRPr="008548E7">
        <w:rPr>
          <w:rFonts w:ascii="Lato" w:hAnsi="Lato" w:cstheme="minorHAnsi"/>
          <w:b/>
          <w:bCs/>
          <w:sz w:val="20"/>
          <w:szCs w:val="20"/>
        </w:rPr>
        <w:t>Zorganizowanie wolontariatu senioralnego w ramach pomocy dla uchodźców z Ukrainy</w:t>
      </w:r>
      <w:r w:rsidR="00501FC7">
        <w:rPr>
          <w:rFonts w:ascii="Lato" w:hAnsi="Lato" w:cstheme="minorHAnsi"/>
          <w:sz w:val="20"/>
          <w:szCs w:val="20"/>
        </w:rPr>
        <w:t xml:space="preserve">. </w:t>
      </w:r>
      <w:r w:rsidRPr="008548E7">
        <w:rPr>
          <w:rFonts w:ascii="Lato" w:hAnsi="Lato" w:cstheme="minorHAnsi"/>
          <w:sz w:val="20"/>
          <w:szCs w:val="20"/>
        </w:rPr>
        <w:t>Grupa 30 seniorek zrzeszonych w Uniwersytecie Trzeciego Wieku w Ostrowie Wielkopolskim zaangażowana była w pomoc dla uchodźców – seniorki pomagały w zorganizowaniu Domu Polsko-Ukraińskiego oraz w wydawaniu darów dla osób potrzebujących. Nieoceniona była tutaj znajomość języka rosyjskiego wśród przedstawicielek tej grupy wiekowej, które mogły w tym zakresie wesprzeć pomocą młodszych wolontariuszy. Działanie miało więc nie tylko walor aktywizacyjny dla seniorów, ale także element współpracy międzypokoleniowej.</w:t>
      </w:r>
    </w:p>
    <w:p w14:paraId="69DFA965" w14:textId="77777777" w:rsidR="008548E7" w:rsidRPr="008548E7" w:rsidRDefault="008548E7" w:rsidP="008548E7">
      <w:pPr>
        <w:spacing w:after="0" w:line="240" w:lineRule="auto"/>
        <w:jc w:val="both"/>
        <w:rPr>
          <w:rFonts w:ascii="Lato" w:hAnsi="Lato" w:cstheme="minorHAnsi"/>
          <w:sz w:val="20"/>
          <w:szCs w:val="20"/>
        </w:rPr>
      </w:pPr>
    </w:p>
    <w:p w14:paraId="77DCF8FB" w14:textId="36C83B96" w:rsidR="008548E7" w:rsidRPr="008548E7" w:rsidRDefault="008548E7" w:rsidP="008548E7">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7348BE13" w14:textId="77777777"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Telefon porad cyfrowych</w:t>
      </w:r>
    </w:p>
    <w:p w14:paraId="439CE9DE" w14:textId="77777777"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lastRenderedPageBreak/>
        <w:t xml:space="preserve">Centrum Inicjatyw Senioralnych  w Poznaniu uruchomiło w maju 2021 r. usługę telefonicznych porad cyfrowych. To propozycja dla seniorek i seniorów, którzy mogą przez telefon uzyskać wsparcie w  zakresie obsługi komputera, tabletu czy </w:t>
      </w:r>
      <w:proofErr w:type="spellStart"/>
      <w:r w:rsidRPr="008548E7">
        <w:rPr>
          <w:rFonts w:ascii="Lato" w:hAnsi="Lato" w:cstheme="minorHAnsi"/>
          <w:sz w:val="20"/>
          <w:szCs w:val="20"/>
        </w:rPr>
        <w:t>smartfona</w:t>
      </w:r>
      <w:proofErr w:type="spellEnd"/>
      <w:r w:rsidRPr="008548E7">
        <w:rPr>
          <w:rFonts w:ascii="Lato" w:hAnsi="Lato" w:cstheme="minorHAnsi"/>
          <w:sz w:val="20"/>
          <w:szCs w:val="20"/>
        </w:rPr>
        <w:t>. Porad i  wskazówek udzielają pracownicy Centrum od poniedziałku do środy w  godz. 10.00–14.00 pod numerem tel. 603 489 205. Telefon porad cyfrowych to reakcja na potrzeby poznańskich seniorek i  seniorów, którzy ze względu na pandemię koronawirusa częściej niż kiedyś korzystają z  nowych technologii, wykorzystując je do podtrzymania kontaktu z osobami bliskimi, rozwijania swoich zainteresowań czy spędzania wolnego czasu. Telefon został zawieszony we wrześniu ze względu na wznowienie indywidualnych konsultacji w siedzibie CIS. W okresie sprawozdawczym przeprowadzono 132 telefoniczne konsultacje cyfrowe.</w:t>
      </w:r>
    </w:p>
    <w:p w14:paraId="416E0E73" w14:textId="77777777" w:rsidR="008548E7" w:rsidRPr="008548E7" w:rsidRDefault="008548E7" w:rsidP="008548E7">
      <w:pPr>
        <w:spacing w:after="0" w:line="240" w:lineRule="auto"/>
        <w:jc w:val="both"/>
        <w:rPr>
          <w:rFonts w:ascii="Lato" w:hAnsi="Lato" w:cstheme="minorHAnsi"/>
          <w:sz w:val="20"/>
          <w:szCs w:val="20"/>
        </w:rPr>
      </w:pPr>
    </w:p>
    <w:p w14:paraId="362D3AFA" w14:textId="77777777"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b/>
          <w:sz w:val="20"/>
          <w:szCs w:val="20"/>
        </w:rPr>
        <w:t>Bezpłatne porady z zakresu nowych technologii realizowane przez wolontariuszy Centrum Inicjatyw Senioralnych</w:t>
      </w:r>
    </w:p>
    <w:p w14:paraId="2E78BF42" w14:textId="316077A4"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 xml:space="preserve">W ramach rozwoju działań </w:t>
      </w:r>
      <w:proofErr w:type="spellStart"/>
      <w:r w:rsidRPr="008548E7">
        <w:rPr>
          <w:rFonts w:ascii="Lato" w:hAnsi="Lato" w:cstheme="minorHAnsi"/>
          <w:sz w:val="20"/>
          <w:szCs w:val="20"/>
        </w:rPr>
        <w:t>wolontariackich</w:t>
      </w:r>
      <w:proofErr w:type="spellEnd"/>
      <w:r w:rsidRPr="008548E7">
        <w:rPr>
          <w:rFonts w:ascii="Lato" w:hAnsi="Lato" w:cstheme="minorHAnsi"/>
          <w:sz w:val="20"/>
          <w:szCs w:val="20"/>
        </w:rPr>
        <w:t xml:space="preserve"> oraz przeciwdziałania wykluczeniu cyfrowemu seniorów Centrum Inicjatyw Senioralnych wdrożyło usługę udzielania bezpłatnych porad z zakresu nowych technologii dla najstarszych mieszkańców miasta. Konsultacji cyfrowych udzielał zarówno pracownik Centrum, jak i trzy wolontariuszki. </w:t>
      </w:r>
      <w:r>
        <w:rPr>
          <w:rFonts w:ascii="Lato" w:hAnsi="Lato" w:cstheme="minorHAnsi"/>
          <w:sz w:val="20"/>
          <w:szCs w:val="20"/>
        </w:rPr>
        <w:t xml:space="preserve"> </w:t>
      </w:r>
      <w:r w:rsidRPr="008548E7">
        <w:rPr>
          <w:rFonts w:ascii="Lato" w:hAnsi="Lato" w:cstheme="minorHAnsi"/>
          <w:sz w:val="20"/>
          <w:szCs w:val="20"/>
        </w:rPr>
        <w:t>Liczba konsultacji indywidualnych w siedzibie CIS została częściowo ograniczona (do połowy kwietnia 2022 roku) ze względu na sytuację epidemiczną. W okresie sprawozdawczym zrealizowano 249 stacjonarnych konsultacji cyfrowych.</w:t>
      </w:r>
      <w:r w:rsidRPr="008548E7">
        <w:rPr>
          <w:rFonts w:ascii="Lato" w:hAnsi="Lato" w:cstheme="minorHAnsi"/>
          <w:b/>
          <w:sz w:val="20"/>
          <w:szCs w:val="20"/>
        </w:rPr>
        <w:t xml:space="preserve"> </w:t>
      </w:r>
      <w:r w:rsidRPr="008548E7">
        <w:rPr>
          <w:rFonts w:ascii="Lato" w:hAnsi="Lato" w:cstheme="minorHAnsi"/>
          <w:sz w:val="20"/>
          <w:szCs w:val="20"/>
        </w:rPr>
        <w:t>Zgodnie z regulaminem każdy senior może uczestniczyć w 5 spotkaniach, z których do czerwca 2022 roku każde trwało 45 minut, od lipca 2022 roku spotkanie trwało 1 godzinę. Podczas konsultacji pracownik oraz wolontariusze reagowali na doraźne potrzeby uczestnika, odpowiadając na problemy i wątpliwości. </w:t>
      </w:r>
    </w:p>
    <w:p w14:paraId="471AD4FB" w14:textId="77777777" w:rsidR="008548E7" w:rsidRDefault="008548E7" w:rsidP="008548E7">
      <w:pPr>
        <w:spacing w:after="0" w:line="240" w:lineRule="auto"/>
        <w:jc w:val="both"/>
        <w:rPr>
          <w:rFonts w:ascii="Lato" w:hAnsi="Lato" w:cstheme="minorHAnsi"/>
          <w:sz w:val="20"/>
          <w:szCs w:val="20"/>
        </w:rPr>
      </w:pPr>
    </w:p>
    <w:p w14:paraId="694E01B8" w14:textId="6B697686"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 xml:space="preserve">Odpowiadając na niegasnące zainteresowanie seniorów, Centrum uaktualniło informacje </w:t>
      </w:r>
      <w:r w:rsidRPr="008548E7">
        <w:rPr>
          <w:rFonts w:ascii="Lato" w:hAnsi="Lato" w:cstheme="minorHAnsi"/>
          <w:sz w:val="20"/>
          <w:szCs w:val="20"/>
        </w:rPr>
        <w:br/>
        <w:t xml:space="preserve">o innych miejscach w Poznaniu świadczących stacjonarne oraz zdalne usługi konsultacji indywidualnych i grupowych oraz  nauki obsługi urządzeń cyfrowych, a także korzystania z zasobów Internetu. Informacje wraz z odnośnikami do konkretnych materiałów zamieszczone zostały na stronie Centrum w zakładce „Nowe technologie”.  </w:t>
      </w:r>
    </w:p>
    <w:p w14:paraId="1A72C14C" w14:textId="77777777" w:rsidR="008548E7" w:rsidRDefault="008548E7" w:rsidP="008548E7">
      <w:pPr>
        <w:spacing w:after="0" w:line="240" w:lineRule="auto"/>
        <w:jc w:val="both"/>
        <w:rPr>
          <w:rFonts w:ascii="Lato" w:hAnsi="Lato" w:cstheme="minorHAnsi"/>
          <w:sz w:val="20"/>
          <w:szCs w:val="20"/>
        </w:rPr>
      </w:pPr>
    </w:p>
    <w:p w14:paraId="7F2FF558" w14:textId="77103393"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Dodatkowo w ramach Poznańskich Dni Rodziny</w:t>
      </w:r>
      <w:r w:rsidRPr="008548E7">
        <w:rPr>
          <w:rFonts w:ascii="Lato" w:hAnsi="Lato" w:cstheme="minorHAnsi"/>
          <w:b/>
          <w:sz w:val="20"/>
          <w:szCs w:val="20"/>
        </w:rPr>
        <w:t xml:space="preserve"> </w:t>
      </w:r>
      <w:r w:rsidRPr="008548E7">
        <w:rPr>
          <w:rFonts w:ascii="Lato" w:hAnsi="Lato" w:cstheme="minorHAnsi"/>
          <w:sz w:val="20"/>
          <w:szCs w:val="20"/>
        </w:rPr>
        <w:t>przeprowadzono spacery cyfrowe, które cieszyły się sporym zainteresowaniem.  Podczas około dwugodzinnego spaceru uczestnicy zapoznali się z urządzeniami cyfrowymi dostępnymi w przestrzeni miejskiej, takimi jak: biletomat, bankomat, paczkomat czy kasa samoobsługowa. Seniorzy dowiedzieli się także jak obsługiwać GPS w telefonie. W okresie sprawozdawczym opracowano i przygotowano do druku Poznański Przewodnik Cyfrowy dystrybuowany m.in. wśród osób korzystających z konsultacji cyfrowych.</w:t>
      </w:r>
    </w:p>
    <w:p w14:paraId="6DE423AE" w14:textId="77777777" w:rsidR="008548E7" w:rsidRPr="008548E7" w:rsidRDefault="008548E7" w:rsidP="008548E7">
      <w:pPr>
        <w:spacing w:after="0" w:line="240" w:lineRule="auto"/>
        <w:jc w:val="both"/>
        <w:rPr>
          <w:rFonts w:ascii="Lato" w:hAnsi="Lato" w:cstheme="minorHAnsi"/>
          <w:sz w:val="20"/>
          <w:szCs w:val="20"/>
        </w:rPr>
      </w:pPr>
    </w:p>
    <w:p w14:paraId="18A1100D" w14:textId="643AB1BA" w:rsidR="008548E7" w:rsidRPr="008548E7" w:rsidRDefault="008548E7" w:rsidP="008548E7">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75F176B8" w14:textId="77777777"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 xml:space="preserve">Poznańska Akademia Bezpieczeństwa </w:t>
      </w:r>
    </w:p>
    <w:p w14:paraId="5590A0CF" w14:textId="61B1398C"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Celem projektu, stworzonego razem z Komendą Miejską Policji, jest uczulenie najstarszych mieszkańców Poznania na sposoby oszustw, z jakimi mogą się spotkać (m.in. „na wnuczka”, „na legendę”), jak się przed nimi bronić i jak postępować, kiedy już dojdzie do przestępstwa.</w:t>
      </w:r>
      <w:r>
        <w:rPr>
          <w:rFonts w:ascii="Lato" w:hAnsi="Lato" w:cstheme="minorHAnsi"/>
          <w:sz w:val="20"/>
          <w:szCs w:val="20"/>
        </w:rPr>
        <w:t xml:space="preserve"> </w:t>
      </w:r>
      <w:r w:rsidRPr="008548E7">
        <w:rPr>
          <w:rFonts w:ascii="Lato" w:hAnsi="Lato" w:cstheme="minorHAnsi"/>
          <w:sz w:val="20"/>
          <w:szCs w:val="20"/>
        </w:rPr>
        <w:t xml:space="preserve">Do zrealizowania tych celów zaproszono Miejską Komendę Policji, Straż Miejską oraz Wydział Zarządzania Kryzysowego i Bezpieczeństwa. W trakcie przygotowań nawiązano współpracę  z Wielkopolską Stacją Pogotowia Ratunkowego oraz Wielkopolskim Oddziałem Wojewódzkiego Narodowego Funduszu Zdrowia. </w:t>
      </w:r>
      <w:r>
        <w:rPr>
          <w:rFonts w:ascii="Lato" w:hAnsi="Lato" w:cstheme="minorHAnsi"/>
          <w:sz w:val="20"/>
          <w:szCs w:val="20"/>
        </w:rPr>
        <w:t xml:space="preserve"> </w:t>
      </w:r>
      <w:r w:rsidRPr="008548E7">
        <w:rPr>
          <w:rFonts w:ascii="Lato" w:hAnsi="Lato" w:cstheme="minorHAnsi"/>
          <w:sz w:val="20"/>
          <w:szCs w:val="20"/>
        </w:rPr>
        <w:t xml:space="preserve">W roku 2022 odbyło się 5 spotkań z funkcjonariuszami Straży Miejskiej w Klubach Seniora oraz na festynach. </w:t>
      </w:r>
    </w:p>
    <w:p w14:paraId="248C99F6" w14:textId="77777777" w:rsidR="008548E7" w:rsidRPr="008548E7" w:rsidRDefault="008548E7" w:rsidP="008548E7">
      <w:pPr>
        <w:spacing w:after="0" w:line="240" w:lineRule="auto"/>
        <w:jc w:val="both"/>
        <w:rPr>
          <w:rFonts w:ascii="Lato" w:hAnsi="Lato" w:cstheme="minorHAnsi"/>
          <w:sz w:val="20"/>
          <w:szCs w:val="20"/>
        </w:rPr>
      </w:pPr>
    </w:p>
    <w:p w14:paraId="40FB2B3D" w14:textId="77777777"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Współpraca z Komendą Wojewódzką Policji</w:t>
      </w:r>
    </w:p>
    <w:p w14:paraId="7EB697D3" w14:textId="77777777" w:rsidR="008548E7" w:rsidRPr="008548E7" w:rsidRDefault="008548E7" w:rsidP="008548E7">
      <w:pPr>
        <w:spacing w:after="0" w:line="240" w:lineRule="auto"/>
        <w:jc w:val="both"/>
        <w:rPr>
          <w:rFonts w:ascii="Lato" w:hAnsi="Lato" w:cstheme="minorHAnsi"/>
          <w:sz w:val="20"/>
          <w:szCs w:val="20"/>
        </w:rPr>
      </w:pPr>
    </w:p>
    <w:p w14:paraId="0F24477F" w14:textId="15E90384"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 xml:space="preserve">Od początku 2021 roku, również w 2022 r., KWP we współpracy z Centrum i Wydawnictwem Miejskim publikuje na łamach Tytki Seniora artykuły dotyczące szeroko pojętego bezpieczeństwa. W okresie sprawozdawczym kontynuowano tę współpracę. Od stycznia do grudnia w Tytce znalazły się artykuły informujące o dyżurze telefonicznym oraz stacjonarnym w siedzibie CIS, o bezpieczeństwie na wakacjach, w podróży, </w:t>
      </w:r>
      <w:proofErr w:type="spellStart"/>
      <w:r w:rsidRPr="008548E7">
        <w:rPr>
          <w:rFonts w:ascii="Lato" w:hAnsi="Lato" w:cstheme="minorHAnsi"/>
          <w:sz w:val="20"/>
          <w:szCs w:val="20"/>
        </w:rPr>
        <w:t>cyberbezpieczeństwie</w:t>
      </w:r>
      <w:proofErr w:type="spellEnd"/>
      <w:r w:rsidRPr="008548E7">
        <w:rPr>
          <w:rFonts w:ascii="Lato" w:hAnsi="Lato" w:cstheme="minorHAnsi"/>
          <w:sz w:val="20"/>
          <w:szCs w:val="20"/>
        </w:rPr>
        <w:t>, o bezpiecznych wizytach na cmentarzach oraz o bezpieczeństwie podczas świąt Bożego Narodzenia. Dodatkowo od początku roku 2022 odbywają się dyżury stacjonarne funkcjonariuszy KWP w siedzibie CIS we wtorki w godz. 12.00-14.00.</w:t>
      </w:r>
    </w:p>
    <w:p w14:paraId="7DD78E7A" w14:textId="77777777" w:rsidR="008548E7" w:rsidRPr="008548E7" w:rsidRDefault="008548E7" w:rsidP="008548E7">
      <w:pPr>
        <w:spacing w:after="0" w:line="240" w:lineRule="auto"/>
        <w:jc w:val="both"/>
        <w:rPr>
          <w:rFonts w:ascii="Lato" w:hAnsi="Lato" w:cstheme="minorHAnsi"/>
          <w:sz w:val="20"/>
          <w:szCs w:val="20"/>
        </w:rPr>
      </w:pPr>
    </w:p>
    <w:p w14:paraId="7D7395BC" w14:textId="2738938E"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Informator Poznańskiej Akademii Bezpieczeństwa</w:t>
      </w:r>
    </w:p>
    <w:p w14:paraId="564449D4" w14:textId="418CEF9A"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 xml:space="preserve">W ramach Poznańskiej Akademii Bezpieczeństwa wydany został informator, przygotowany we współpracy z Komendą Wojewódzką Policji i innymi partnerami, dzięki któremu seniorzy i seniorki mogą </w:t>
      </w:r>
      <w:r w:rsidRPr="008548E7">
        <w:rPr>
          <w:rFonts w:ascii="Lato" w:hAnsi="Lato" w:cstheme="minorHAnsi"/>
          <w:sz w:val="20"/>
          <w:szCs w:val="20"/>
        </w:rPr>
        <w:lastRenderedPageBreak/>
        <w:t xml:space="preserve">zapoznać się ze swoimi prawami, możliwościami ochrony swojego mienia i dochodzenia swoich praw. Informator dystrybuowano na bieżąco. </w:t>
      </w:r>
    </w:p>
    <w:p w14:paraId="7D8038F1" w14:textId="77777777" w:rsidR="008548E7" w:rsidRPr="008548E7" w:rsidRDefault="008548E7" w:rsidP="008548E7">
      <w:pPr>
        <w:spacing w:after="0" w:line="240" w:lineRule="auto"/>
        <w:jc w:val="both"/>
        <w:rPr>
          <w:rFonts w:ascii="Lato" w:hAnsi="Lato" w:cstheme="minorHAnsi"/>
          <w:b/>
          <w:sz w:val="20"/>
          <w:szCs w:val="20"/>
        </w:rPr>
      </w:pPr>
    </w:p>
    <w:p w14:paraId="3B157B86" w14:textId="77777777" w:rsidR="008548E7" w:rsidRPr="008548E7" w:rsidRDefault="008548E7" w:rsidP="008548E7">
      <w:pPr>
        <w:spacing w:after="0" w:line="240" w:lineRule="auto"/>
        <w:jc w:val="both"/>
        <w:rPr>
          <w:rFonts w:ascii="Lato" w:hAnsi="Lato" w:cstheme="minorHAnsi"/>
          <w:b/>
          <w:sz w:val="20"/>
          <w:szCs w:val="20"/>
        </w:rPr>
      </w:pPr>
      <w:r w:rsidRPr="008548E7">
        <w:rPr>
          <w:rFonts w:ascii="Lato" w:hAnsi="Lato" w:cstheme="minorHAnsi"/>
          <w:b/>
          <w:sz w:val="20"/>
          <w:szCs w:val="20"/>
        </w:rPr>
        <w:t>Poradnia przy Centrum Inicjatyw Senioralnych</w:t>
      </w:r>
    </w:p>
    <w:p w14:paraId="5CCA57FD" w14:textId="0527FB20"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sz w:val="20"/>
          <w:szCs w:val="20"/>
        </w:rPr>
        <w:t>Centrum Inicjatyw Senioralnych prowadzi poradnictwo i rzecznictwo seniorów i ich rodzin. W związku z tym, przy Centrum działa poradnictwo psychologiczne i prawne oraz wsparcie informacyjne z zakresu zadań ZUS. W 2022 r. porady prawne w ramach porozumienia z Wielkopolską Izbą Adwokacką: liczba dyżurów – 19; liczba udzielonych porad –38; porady psychologiczne w ramach Umowy ze</w:t>
      </w:r>
      <w:r>
        <w:rPr>
          <w:rFonts w:ascii="Lato" w:hAnsi="Lato" w:cstheme="minorHAnsi"/>
          <w:sz w:val="20"/>
          <w:szCs w:val="20"/>
        </w:rPr>
        <w:t xml:space="preserve"> </w:t>
      </w:r>
      <w:r w:rsidRPr="008548E7">
        <w:rPr>
          <w:rFonts w:ascii="Lato" w:hAnsi="Lato" w:cstheme="minorHAnsi"/>
          <w:sz w:val="20"/>
          <w:szCs w:val="20"/>
        </w:rPr>
        <w:t>Stowarzyszeniem Zdrowi MY: - liczba dyżurów – 25; liczba udzielonych porad –50.</w:t>
      </w:r>
    </w:p>
    <w:p w14:paraId="23A3D47A" w14:textId="77777777" w:rsidR="008548E7" w:rsidRPr="008548E7" w:rsidRDefault="008548E7" w:rsidP="008548E7">
      <w:pPr>
        <w:spacing w:after="0" w:line="240" w:lineRule="auto"/>
        <w:jc w:val="both"/>
        <w:rPr>
          <w:rFonts w:ascii="Lato" w:hAnsi="Lato" w:cstheme="minorHAnsi"/>
          <w:sz w:val="20"/>
          <w:szCs w:val="20"/>
        </w:rPr>
      </w:pPr>
    </w:p>
    <w:p w14:paraId="2F406851" w14:textId="4D970EA4" w:rsidR="008548E7" w:rsidRPr="008548E7" w:rsidRDefault="008548E7" w:rsidP="008548E7">
      <w:pPr>
        <w:spacing w:after="0" w:line="240" w:lineRule="auto"/>
        <w:jc w:val="both"/>
        <w:rPr>
          <w:rFonts w:ascii="Lato" w:hAnsi="Lato" w:cstheme="minorHAnsi"/>
          <w:sz w:val="20"/>
          <w:szCs w:val="20"/>
        </w:rPr>
      </w:pPr>
      <w:r w:rsidRPr="008548E7">
        <w:rPr>
          <w:rFonts w:ascii="Lato" w:hAnsi="Lato" w:cstheme="minorHAnsi"/>
          <w:b/>
          <w:sz w:val="20"/>
          <w:szCs w:val="20"/>
        </w:rPr>
        <w:t>Poznański przewodnik cyfrowy dla seniorki i seniora</w:t>
      </w:r>
    </w:p>
    <w:p w14:paraId="002C1B43" w14:textId="27D6B524" w:rsidR="008548E7" w:rsidRPr="00E25DA3" w:rsidRDefault="008548E7" w:rsidP="008548E7">
      <w:pPr>
        <w:spacing w:after="0" w:line="240" w:lineRule="auto"/>
        <w:jc w:val="both"/>
        <w:rPr>
          <w:rFonts w:ascii="Lato" w:hAnsi="Lato" w:cstheme="minorHAnsi"/>
          <w:b/>
          <w:sz w:val="20"/>
          <w:szCs w:val="20"/>
        </w:rPr>
      </w:pPr>
      <w:r w:rsidRPr="008548E7">
        <w:rPr>
          <w:rFonts w:ascii="Lato" w:hAnsi="Lato" w:cstheme="minorHAnsi"/>
          <w:sz w:val="20"/>
          <w:szCs w:val="20"/>
        </w:rPr>
        <w:t xml:space="preserve">Przygotowany przez zespół Centrum Inicjatyw Senioralnych przewodnik poświęcony jest obsłudze </w:t>
      </w:r>
      <w:proofErr w:type="spellStart"/>
      <w:r w:rsidRPr="008548E7">
        <w:rPr>
          <w:rFonts w:ascii="Lato" w:hAnsi="Lato" w:cstheme="minorHAnsi"/>
          <w:sz w:val="20"/>
          <w:szCs w:val="20"/>
        </w:rPr>
        <w:t>smartfona</w:t>
      </w:r>
      <w:proofErr w:type="spellEnd"/>
      <w:r w:rsidRPr="008548E7">
        <w:rPr>
          <w:rFonts w:ascii="Lato" w:hAnsi="Lato" w:cstheme="minorHAnsi"/>
          <w:sz w:val="20"/>
          <w:szCs w:val="20"/>
        </w:rPr>
        <w:t xml:space="preserve"> i jest efektem wielu spotkań z seniorkami i seniorami, które miały miejsce w siedzibie Centrum Inicjatyw Senioralnych. Przewodnik przeznaczony jest dla wszystkich tych, którzy chcą włączyć się do cyfrowego świata i odkryć korzyści, jakie daje smartfon. Przewodnik dedykowany jest przede wszystkim osobom, które rozpoczynają swoją przygodę z obsługą tego typu telefonów. Przeprowadza przez wszelkie zawiłości i jednocześnie sprawia, że świat nowych technologii staje się bardziej dostępny, co z kolei zachęca do samodzielnych poszukiwań.</w:t>
      </w:r>
      <w:r>
        <w:rPr>
          <w:rFonts w:ascii="Lato" w:hAnsi="Lato" w:cstheme="minorHAnsi"/>
          <w:b/>
          <w:sz w:val="20"/>
          <w:szCs w:val="20"/>
        </w:rPr>
        <w:t xml:space="preserve"> </w:t>
      </w:r>
      <w:r w:rsidRPr="008548E7">
        <w:rPr>
          <w:rFonts w:ascii="Lato" w:hAnsi="Lato" w:cstheme="minorHAnsi"/>
          <w:sz w:val="20"/>
          <w:szCs w:val="20"/>
        </w:rPr>
        <w:t xml:space="preserve">W przewodniku omówione zostały, krok po kroku, wszystkie etapy obsługi </w:t>
      </w:r>
      <w:proofErr w:type="spellStart"/>
      <w:r w:rsidRPr="008548E7">
        <w:rPr>
          <w:rFonts w:ascii="Lato" w:hAnsi="Lato" w:cstheme="minorHAnsi"/>
          <w:sz w:val="20"/>
          <w:szCs w:val="20"/>
        </w:rPr>
        <w:t>smartfona</w:t>
      </w:r>
      <w:proofErr w:type="spellEnd"/>
      <w:r w:rsidRPr="008548E7">
        <w:rPr>
          <w:rFonts w:ascii="Lato" w:hAnsi="Lato" w:cstheme="minorHAnsi"/>
          <w:sz w:val="20"/>
          <w:szCs w:val="20"/>
        </w:rPr>
        <w:t xml:space="preserve"> m.in. wykonywanie połączeń telefonicznych, zapisywanie nowej osoby do listy kontaktów, obsługa Internetu w smartfonie, odtwarzanie muzyki czy pobieranie aplikacji ze sklepu.</w:t>
      </w:r>
      <w:r w:rsidR="00E25DA3">
        <w:rPr>
          <w:rFonts w:ascii="Lato" w:hAnsi="Lato" w:cstheme="minorHAnsi"/>
          <w:b/>
          <w:sz w:val="20"/>
          <w:szCs w:val="20"/>
        </w:rPr>
        <w:t xml:space="preserve"> </w:t>
      </w:r>
      <w:r w:rsidRPr="008548E7">
        <w:rPr>
          <w:rFonts w:ascii="Lato" w:hAnsi="Lato" w:cstheme="minorHAnsi"/>
          <w:sz w:val="20"/>
          <w:szCs w:val="20"/>
        </w:rPr>
        <w:t xml:space="preserve">Przewodnik liczy 150 stron, zawiera instrukcje obsługi </w:t>
      </w:r>
      <w:proofErr w:type="spellStart"/>
      <w:r w:rsidRPr="008548E7">
        <w:rPr>
          <w:rFonts w:ascii="Lato" w:hAnsi="Lato" w:cstheme="minorHAnsi"/>
          <w:sz w:val="20"/>
          <w:szCs w:val="20"/>
        </w:rPr>
        <w:t>smartfona</w:t>
      </w:r>
      <w:proofErr w:type="spellEnd"/>
      <w:r w:rsidRPr="008548E7">
        <w:rPr>
          <w:rFonts w:ascii="Lato" w:hAnsi="Lato" w:cstheme="minorHAnsi"/>
          <w:sz w:val="20"/>
          <w:szCs w:val="20"/>
        </w:rPr>
        <w:t xml:space="preserve"> oraz grafiki poglądowe stanowiące odsyłacz do poszczególnych funkcji. W grudniu wydrukowano 400 egzemplarzy przewodnika. </w:t>
      </w:r>
    </w:p>
    <w:p w14:paraId="635302F7" w14:textId="77777777" w:rsidR="00E25DA3" w:rsidRDefault="00E25DA3" w:rsidP="008548E7">
      <w:pPr>
        <w:spacing w:after="0" w:line="240" w:lineRule="auto"/>
        <w:jc w:val="both"/>
        <w:rPr>
          <w:rFonts w:ascii="Lato" w:hAnsi="Lato" w:cstheme="minorHAnsi"/>
          <w:sz w:val="20"/>
          <w:szCs w:val="20"/>
        </w:rPr>
      </w:pPr>
    </w:p>
    <w:p w14:paraId="124D9196" w14:textId="2B70328B" w:rsidR="00E25DA3" w:rsidRDefault="00E25DA3" w:rsidP="00E25DA3">
      <w:pPr>
        <w:pStyle w:val="Legenda"/>
        <w:keepNext/>
      </w:pPr>
      <w:bookmarkStart w:id="182" w:name="_Toc142566036"/>
      <w:r>
        <w:t xml:space="preserve">Tabela </w:t>
      </w:r>
      <w:fldSimple w:instr=" SEQ Tabela \* ARABIC ">
        <w:r w:rsidR="00AA385B">
          <w:rPr>
            <w:noProof/>
          </w:rPr>
          <w:t>73</w:t>
        </w:r>
      </w:fldSimple>
      <w:r>
        <w:t xml:space="preserve"> Karta województwa wielkopolskiego za 2022 r.</w:t>
      </w:r>
      <w:bookmarkEnd w:id="182"/>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439"/>
        <w:gridCol w:w="2439"/>
        <w:gridCol w:w="2439"/>
      </w:tblGrid>
      <w:tr w:rsidR="00E25DA3" w:rsidRPr="00E25DA3" w14:paraId="1B09BB0D"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2A5F09DA"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WOJEWÓDZTWO WIELKOPOLSKIE</w:t>
            </w:r>
          </w:p>
        </w:tc>
      </w:tr>
      <w:tr w:rsidR="00E25DA3" w:rsidRPr="00E25DA3" w14:paraId="13939D40" w14:textId="77777777" w:rsidTr="00E25DA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F59A6CE"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Informacja o regionie</w:t>
            </w:r>
          </w:p>
        </w:tc>
        <w:tc>
          <w:tcPr>
            <w:tcW w:w="1346" w:type="pct"/>
            <w:shd w:val="clear" w:color="auto" w:fill="auto"/>
          </w:tcPr>
          <w:p w14:paraId="0D6118D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gmin</w:t>
            </w:r>
          </w:p>
        </w:tc>
        <w:tc>
          <w:tcPr>
            <w:tcW w:w="2693" w:type="pct"/>
            <w:gridSpan w:val="2"/>
            <w:shd w:val="clear" w:color="auto" w:fill="auto"/>
          </w:tcPr>
          <w:p w14:paraId="61018D3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226</w:t>
            </w:r>
          </w:p>
        </w:tc>
      </w:tr>
      <w:tr w:rsidR="00E25DA3" w:rsidRPr="00E25DA3" w14:paraId="7D37E484" w14:textId="77777777" w:rsidTr="00E25DA3">
        <w:trPr>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104560D"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3E65F43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powiatów</w:t>
            </w:r>
          </w:p>
        </w:tc>
        <w:tc>
          <w:tcPr>
            <w:tcW w:w="2693" w:type="pct"/>
            <w:gridSpan w:val="2"/>
            <w:shd w:val="clear" w:color="auto" w:fill="auto"/>
          </w:tcPr>
          <w:p w14:paraId="68576E8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 powiatów i 4 miasta na prawach powiatu</w:t>
            </w:r>
          </w:p>
        </w:tc>
      </w:tr>
      <w:tr w:rsidR="00E25DA3" w:rsidRPr="00E25DA3" w14:paraId="7F94360F" w14:textId="77777777" w:rsidTr="00E25DA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44693FD"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02A82A7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Powierzchnia</w:t>
            </w:r>
          </w:p>
        </w:tc>
        <w:tc>
          <w:tcPr>
            <w:tcW w:w="2693" w:type="pct"/>
            <w:gridSpan w:val="2"/>
            <w:shd w:val="clear" w:color="auto" w:fill="auto"/>
          </w:tcPr>
          <w:p w14:paraId="087159F1"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29 827 km</w:t>
            </w:r>
            <w:r w:rsidRPr="00E25DA3">
              <w:rPr>
                <w:rFonts w:ascii="Lato" w:hAnsi="Lato" w:cs="Times New Roman"/>
                <w:color w:val="auto"/>
                <w:sz w:val="18"/>
                <w:szCs w:val="18"/>
                <w:vertAlign w:val="superscript"/>
              </w:rPr>
              <w:t>2</w:t>
            </w:r>
          </w:p>
        </w:tc>
      </w:tr>
      <w:tr w:rsidR="00E25DA3" w:rsidRPr="00E25DA3" w14:paraId="15C13456"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73EAE788" w14:textId="77777777" w:rsidR="00E25DA3" w:rsidRPr="00E25DA3" w:rsidRDefault="00E25DA3" w:rsidP="00CA4EC0">
            <w:pPr>
              <w:jc w:val="center"/>
              <w:rPr>
                <w:rFonts w:ascii="Lato" w:hAnsi="Lato" w:cs="Times New Roman"/>
                <w:b w:val="0"/>
                <w:color w:val="auto"/>
                <w:sz w:val="18"/>
                <w:szCs w:val="18"/>
              </w:rPr>
            </w:pPr>
            <w:r w:rsidRPr="00E25DA3">
              <w:rPr>
                <w:rFonts w:ascii="Lato" w:hAnsi="Lato" w:cs="Times New Roman"/>
                <w:color w:val="auto"/>
                <w:sz w:val="18"/>
                <w:szCs w:val="18"/>
              </w:rPr>
              <w:t>DEMOGRAFIA</w:t>
            </w:r>
          </w:p>
        </w:tc>
      </w:tr>
      <w:tr w:rsidR="00E25DA3" w:rsidRPr="00E25DA3" w14:paraId="08CE9B1D"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0017852" w14:textId="77777777" w:rsidR="00E25DA3" w:rsidRPr="00E25DA3" w:rsidRDefault="00E25DA3" w:rsidP="00CA4EC0">
            <w:pPr>
              <w:jc w:val="center"/>
              <w:rPr>
                <w:rFonts w:ascii="Lato" w:hAnsi="Lato" w:cs="Times New Roman"/>
                <w:b w:val="0"/>
                <w:color w:val="auto"/>
                <w:sz w:val="18"/>
                <w:szCs w:val="18"/>
                <w:lang w:eastAsia="pl-PL"/>
              </w:rPr>
            </w:pPr>
            <w:r w:rsidRPr="00E25DA3">
              <w:rPr>
                <w:rFonts w:ascii="Lato" w:hAnsi="Lato" w:cs="Times New Roman"/>
                <w:color w:val="auto"/>
                <w:sz w:val="18"/>
                <w:szCs w:val="18"/>
                <w:lang w:eastAsia="pl-PL"/>
              </w:rPr>
              <w:t>Treść</w:t>
            </w:r>
          </w:p>
        </w:tc>
        <w:tc>
          <w:tcPr>
            <w:tcW w:w="1346" w:type="pct"/>
            <w:shd w:val="clear" w:color="auto" w:fill="auto"/>
          </w:tcPr>
          <w:p w14:paraId="4371BAA7"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2020 r.</w:t>
            </w:r>
          </w:p>
        </w:tc>
        <w:tc>
          <w:tcPr>
            <w:tcW w:w="1346" w:type="pct"/>
            <w:shd w:val="clear" w:color="auto" w:fill="auto"/>
          </w:tcPr>
          <w:p w14:paraId="7D1282D7"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2021 r.</w:t>
            </w:r>
          </w:p>
        </w:tc>
        <w:tc>
          <w:tcPr>
            <w:tcW w:w="1347" w:type="pct"/>
            <w:shd w:val="clear" w:color="auto" w:fill="auto"/>
          </w:tcPr>
          <w:p w14:paraId="4A325AB4"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2022 r.</w:t>
            </w:r>
          </w:p>
        </w:tc>
      </w:tr>
      <w:tr w:rsidR="00E25DA3" w:rsidRPr="00E25DA3" w14:paraId="3A695B33"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921545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Populacja ogółem</w:t>
            </w:r>
          </w:p>
        </w:tc>
        <w:tc>
          <w:tcPr>
            <w:tcW w:w="1346" w:type="pct"/>
            <w:shd w:val="clear" w:color="auto" w:fill="auto"/>
          </w:tcPr>
          <w:p w14:paraId="0EAD7F4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3507042</w:t>
            </w:r>
          </w:p>
        </w:tc>
        <w:tc>
          <w:tcPr>
            <w:tcW w:w="1346" w:type="pct"/>
            <w:shd w:val="clear" w:color="auto" w:fill="auto"/>
          </w:tcPr>
          <w:p w14:paraId="30F8690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3500030</w:t>
            </w:r>
          </w:p>
        </w:tc>
        <w:tc>
          <w:tcPr>
            <w:tcW w:w="1347" w:type="pct"/>
            <w:shd w:val="clear" w:color="auto" w:fill="auto"/>
          </w:tcPr>
          <w:p w14:paraId="44E2587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3493577</w:t>
            </w:r>
          </w:p>
        </w:tc>
      </w:tr>
      <w:tr w:rsidR="00E25DA3" w:rsidRPr="00E25DA3" w14:paraId="0300652A"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6DC784F" w14:textId="77777777" w:rsidR="00E25DA3" w:rsidRPr="00E25DA3" w:rsidRDefault="00E25DA3" w:rsidP="00CA4EC0">
            <w:pPr>
              <w:rPr>
                <w:rFonts w:ascii="Lato" w:hAnsi="Lato" w:cs="Times New Roman"/>
                <w:b w:val="0"/>
                <w:color w:val="auto"/>
                <w:sz w:val="18"/>
                <w:szCs w:val="18"/>
              </w:rPr>
            </w:pPr>
          </w:p>
        </w:tc>
      </w:tr>
      <w:tr w:rsidR="00E25DA3" w:rsidRPr="00E25DA3" w14:paraId="7F5A1ED2"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4135B67A" w14:textId="77777777" w:rsidR="00E25DA3" w:rsidRPr="00E25DA3" w:rsidRDefault="00E25DA3" w:rsidP="00CA4EC0">
            <w:pPr>
              <w:rPr>
                <w:rFonts w:ascii="Lato" w:hAnsi="Lato" w:cs="Times New Roman"/>
                <w:b w:val="0"/>
                <w:color w:val="auto"/>
                <w:sz w:val="18"/>
                <w:szCs w:val="18"/>
              </w:rPr>
            </w:pPr>
            <w:r w:rsidRPr="00E25DA3">
              <w:rPr>
                <w:rFonts w:ascii="Lato" w:hAnsi="Lato" w:cs="Times New Roman"/>
                <w:color w:val="auto"/>
                <w:sz w:val="18"/>
                <w:szCs w:val="18"/>
                <w:lang w:eastAsia="pl-PL"/>
              </w:rPr>
              <w:t>w wieku 60 lat i więcej</w:t>
            </w:r>
          </w:p>
        </w:tc>
        <w:tc>
          <w:tcPr>
            <w:tcW w:w="1346" w:type="pct"/>
            <w:shd w:val="clear" w:color="auto" w:fill="auto"/>
          </w:tcPr>
          <w:p w14:paraId="44A6455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835483</w:t>
            </w:r>
          </w:p>
        </w:tc>
        <w:tc>
          <w:tcPr>
            <w:tcW w:w="1346" w:type="pct"/>
            <w:shd w:val="clear" w:color="auto" w:fill="auto"/>
          </w:tcPr>
          <w:p w14:paraId="39BEA4A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839902</w:t>
            </w:r>
          </w:p>
        </w:tc>
        <w:tc>
          <w:tcPr>
            <w:tcW w:w="1347" w:type="pct"/>
            <w:shd w:val="clear" w:color="auto" w:fill="auto"/>
          </w:tcPr>
          <w:p w14:paraId="61BF34D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847483</w:t>
            </w:r>
          </w:p>
        </w:tc>
      </w:tr>
      <w:tr w:rsidR="00E25DA3" w:rsidRPr="00E25DA3" w14:paraId="3E2515AC"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3F5D69E1"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60–64 lata</w:t>
            </w:r>
          </w:p>
        </w:tc>
        <w:tc>
          <w:tcPr>
            <w:tcW w:w="1346" w:type="pct"/>
            <w:shd w:val="clear" w:color="auto" w:fill="auto"/>
          </w:tcPr>
          <w:p w14:paraId="7DB3C5D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232413</w:t>
            </w:r>
          </w:p>
        </w:tc>
        <w:tc>
          <w:tcPr>
            <w:tcW w:w="1346" w:type="pct"/>
            <w:shd w:val="clear" w:color="auto" w:fill="auto"/>
          </w:tcPr>
          <w:p w14:paraId="74BA830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223682</w:t>
            </w:r>
          </w:p>
        </w:tc>
        <w:tc>
          <w:tcPr>
            <w:tcW w:w="1347" w:type="pct"/>
            <w:shd w:val="clear" w:color="auto" w:fill="auto"/>
          </w:tcPr>
          <w:p w14:paraId="32428CE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213396</w:t>
            </w:r>
          </w:p>
        </w:tc>
      </w:tr>
      <w:tr w:rsidR="00E25DA3" w:rsidRPr="00E25DA3" w14:paraId="2C28597A"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FBD3C7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65–69</w:t>
            </w:r>
          </w:p>
        </w:tc>
        <w:tc>
          <w:tcPr>
            <w:tcW w:w="1346" w:type="pct"/>
            <w:shd w:val="clear" w:color="auto" w:fill="auto"/>
          </w:tcPr>
          <w:p w14:paraId="09C5073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215773</w:t>
            </w:r>
          </w:p>
        </w:tc>
        <w:tc>
          <w:tcPr>
            <w:tcW w:w="1346" w:type="pct"/>
            <w:shd w:val="clear" w:color="auto" w:fill="auto"/>
          </w:tcPr>
          <w:p w14:paraId="66B33B2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217179</w:t>
            </w:r>
          </w:p>
        </w:tc>
        <w:tc>
          <w:tcPr>
            <w:tcW w:w="1347" w:type="pct"/>
            <w:shd w:val="clear" w:color="auto" w:fill="auto"/>
          </w:tcPr>
          <w:p w14:paraId="04F0FD0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219755</w:t>
            </w:r>
          </w:p>
        </w:tc>
      </w:tr>
      <w:tr w:rsidR="00E25DA3" w:rsidRPr="00E25DA3" w14:paraId="0955772D"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2FD65E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70–74</w:t>
            </w:r>
          </w:p>
        </w:tc>
        <w:tc>
          <w:tcPr>
            <w:tcW w:w="1346" w:type="pct"/>
            <w:shd w:val="clear" w:color="auto" w:fill="auto"/>
          </w:tcPr>
          <w:p w14:paraId="6E3C0F4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179235</w:t>
            </w:r>
          </w:p>
        </w:tc>
        <w:tc>
          <w:tcPr>
            <w:tcW w:w="1346" w:type="pct"/>
            <w:shd w:val="clear" w:color="auto" w:fill="auto"/>
          </w:tcPr>
          <w:p w14:paraId="11243E3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179504</w:t>
            </w:r>
          </w:p>
        </w:tc>
        <w:tc>
          <w:tcPr>
            <w:tcW w:w="1347" w:type="pct"/>
            <w:shd w:val="clear" w:color="auto" w:fill="auto"/>
          </w:tcPr>
          <w:p w14:paraId="367388D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183213</w:t>
            </w:r>
          </w:p>
        </w:tc>
      </w:tr>
      <w:tr w:rsidR="00E25DA3" w:rsidRPr="00E25DA3" w14:paraId="24BFE682"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EC9AF5F"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75–79</w:t>
            </w:r>
          </w:p>
        </w:tc>
        <w:tc>
          <w:tcPr>
            <w:tcW w:w="1346" w:type="pct"/>
            <w:shd w:val="clear" w:color="auto" w:fill="auto"/>
          </w:tcPr>
          <w:p w14:paraId="0A59A7E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78831</w:t>
            </w:r>
          </w:p>
        </w:tc>
        <w:tc>
          <w:tcPr>
            <w:tcW w:w="1346" w:type="pct"/>
            <w:shd w:val="clear" w:color="auto" w:fill="auto"/>
          </w:tcPr>
          <w:p w14:paraId="2C8C15D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93231</w:t>
            </w:r>
          </w:p>
        </w:tc>
        <w:tc>
          <w:tcPr>
            <w:tcW w:w="1347" w:type="pct"/>
            <w:shd w:val="clear" w:color="auto" w:fill="auto"/>
          </w:tcPr>
          <w:p w14:paraId="152E1A9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106309</w:t>
            </w:r>
          </w:p>
        </w:tc>
      </w:tr>
      <w:tr w:rsidR="00E25DA3" w:rsidRPr="00E25DA3" w14:paraId="7CFD91C1"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70FACB2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80–84</w:t>
            </w:r>
          </w:p>
        </w:tc>
        <w:tc>
          <w:tcPr>
            <w:tcW w:w="1346" w:type="pct"/>
            <w:shd w:val="clear" w:color="auto" w:fill="auto"/>
          </w:tcPr>
          <w:p w14:paraId="6050DE1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67523</w:t>
            </w:r>
          </w:p>
        </w:tc>
        <w:tc>
          <w:tcPr>
            <w:tcW w:w="1346" w:type="pct"/>
            <w:shd w:val="clear" w:color="auto" w:fill="auto"/>
          </w:tcPr>
          <w:p w14:paraId="19656F2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64955</w:t>
            </w:r>
          </w:p>
        </w:tc>
        <w:tc>
          <w:tcPr>
            <w:tcW w:w="1347" w:type="pct"/>
            <w:shd w:val="clear" w:color="auto" w:fill="auto"/>
          </w:tcPr>
          <w:p w14:paraId="6366E21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63132</w:t>
            </w:r>
          </w:p>
        </w:tc>
      </w:tr>
      <w:tr w:rsidR="00E25DA3" w:rsidRPr="00E25DA3" w14:paraId="43182D3E"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6CD98CB"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85 lat i więcej</w:t>
            </w:r>
          </w:p>
        </w:tc>
        <w:tc>
          <w:tcPr>
            <w:tcW w:w="1346" w:type="pct"/>
            <w:shd w:val="clear" w:color="auto" w:fill="auto"/>
          </w:tcPr>
          <w:p w14:paraId="386B6B0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61708</w:t>
            </w:r>
          </w:p>
        </w:tc>
        <w:tc>
          <w:tcPr>
            <w:tcW w:w="1346" w:type="pct"/>
            <w:shd w:val="clear" w:color="auto" w:fill="auto"/>
          </w:tcPr>
          <w:p w14:paraId="0BF4D53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61351</w:t>
            </w:r>
          </w:p>
        </w:tc>
        <w:tc>
          <w:tcPr>
            <w:tcW w:w="1347" w:type="pct"/>
            <w:shd w:val="clear" w:color="auto" w:fill="auto"/>
          </w:tcPr>
          <w:p w14:paraId="4AA550C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61678</w:t>
            </w:r>
          </w:p>
        </w:tc>
      </w:tr>
      <w:tr w:rsidR="00E25DA3" w:rsidRPr="00E25DA3" w14:paraId="267304DF"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18C8CA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Przeciętne dalsze trwanie życia</w:t>
            </w:r>
          </w:p>
        </w:tc>
        <w:tc>
          <w:tcPr>
            <w:tcW w:w="1346" w:type="pct"/>
            <w:shd w:val="clear" w:color="auto" w:fill="auto"/>
          </w:tcPr>
          <w:p w14:paraId="57FC901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72,8</w:t>
            </w:r>
          </w:p>
          <w:p w14:paraId="0F30059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80,5</w:t>
            </w:r>
          </w:p>
          <w:p w14:paraId="40533FC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17,8</w:t>
            </w:r>
          </w:p>
          <w:p w14:paraId="54C2B1E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22,9</w:t>
            </w:r>
          </w:p>
        </w:tc>
        <w:tc>
          <w:tcPr>
            <w:tcW w:w="1346" w:type="pct"/>
            <w:shd w:val="clear" w:color="auto" w:fill="auto"/>
          </w:tcPr>
          <w:p w14:paraId="4C2FA10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72,1</w:t>
            </w:r>
          </w:p>
          <w:p w14:paraId="5A40F5D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79,6</w:t>
            </w:r>
          </w:p>
          <w:p w14:paraId="0923F55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17,3</w:t>
            </w:r>
          </w:p>
          <w:p w14:paraId="438832A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22,2</w:t>
            </w:r>
          </w:p>
        </w:tc>
        <w:tc>
          <w:tcPr>
            <w:tcW w:w="1347" w:type="pct"/>
            <w:shd w:val="clear" w:color="auto" w:fill="auto"/>
          </w:tcPr>
          <w:p w14:paraId="5B0CB41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 xml:space="preserve">Noworodek płci męskiej – </w:t>
            </w:r>
            <w:r w:rsidRPr="00E25DA3">
              <w:rPr>
                <w:rFonts w:ascii="Lato" w:hAnsi="Lato"/>
                <w:sz w:val="18"/>
                <w:szCs w:val="18"/>
              </w:rPr>
              <w:t xml:space="preserve"> </w:t>
            </w:r>
            <w:r w:rsidRPr="00E25DA3">
              <w:rPr>
                <w:rFonts w:ascii="Lato" w:hAnsi="Lato" w:cs="Times New Roman"/>
                <w:color w:val="auto"/>
                <w:sz w:val="18"/>
                <w:szCs w:val="18"/>
              </w:rPr>
              <w:t>73,6</w:t>
            </w:r>
          </w:p>
          <w:p w14:paraId="1164EA3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 xml:space="preserve">Noworodek płci żeńskiej – </w:t>
            </w:r>
            <w:r w:rsidRPr="00E25DA3">
              <w:rPr>
                <w:rFonts w:ascii="Lato" w:hAnsi="Lato"/>
                <w:sz w:val="18"/>
                <w:szCs w:val="18"/>
              </w:rPr>
              <w:t xml:space="preserve"> </w:t>
            </w:r>
            <w:r w:rsidRPr="00E25DA3">
              <w:rPr>
                <w:rFonts w:ascii="Lato" w:hAnsi="Lato" w:cs="Times New Roman"/>
                <w:color w:val="auto"/>
                <w:sz w:val="18"/>
                <w:szCs w:val="18"/>
              </w:rPr>
              <w:t>81,0</w:t>
            </w:r>
          </w:p>
          <w:p w14:paraId="677AD58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 xml:space="preserve">Mężczyzna w wieku 60 lat – </w:t>
            </w:r>
            <w:r w:rsidRPr="00E25DA3">
              <w:rPr>
                <w:rFonts w:ascii="Lato" w:hAnsi="Lato"/>
                <w:sz w:val="18"/>
                <w:szCs w:val="18"/>
              </w:rPr>
              <w:t xml:space="preserve"> </w:t>
            </w:r>
            <w:r w:rsidRPr="00E25DA3">
              <w:rPr>
                <w:rFonts w:ascii="Lato" w:hAnsi="Lato" w:cs="Times New Roman"/>
                <w:color w:val="auto"/>
                <w:sz w:val="18"/>
                <w:szCs w:val="18"/>
              </w:rPr>
              <w:t>18,7</w:t>
            </w:r>
          </w:p>
          <w:p w14:paraId="6E5DFAF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23,4</w:t>
            </w:r>
          </w:p>
        </w:tc>
      </w:tr>
      <w:tr w:rsidR="00E25DA3" w:rsidRPr="00E25DA3" w14:paraId="1990DCC0"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258E98C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feminizacji</w:t>
            </w:r>
          </w:p>
        </w:tc>
        <w:tc>
          <w:tcPr>
            <w:tcW w:w="1346" w:type="pct"/>
            <w:shd w:val="clear" w:color="auto" w:fill="auto"/>
          </w:tcPr>
          <w:p w14:paraId="6A880C3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c>
          <w:tcPr>
            <w:tcW w:w="1346" w:type="pct"/>
            <w:shd w:val="clear" w:color="auto" w:fill="auto"/>
          </w:tcPr>
          <w:p w14:paraId="004998D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c>
          <w:tcPr>
            <w:tcW w:w="1347" w:type="pct"/>
            <w:shd w:val="clear" w:color="auto" w:fill="auto"/>
          </w:tcPr>
          <w:p w14:paraId="2279111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r>
      <w:tr w:rsidR="00E25DA3" w:rsidRPr="00E25DA3" w14:paraId="6695B27E"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65716141"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49ACDA9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26,0</w:t>
            </w:r>
          </w:p>
        </w:tc>
        <w:tc>
          <w:tcPr>
            <w:tcW w:w="1346" w:type="pct"/>
            <w:shd w:val="clear" w:color="auto" w:fill="auto"/>
          </w:tcPr>
          <w:p w14:paraId="074AED3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26,8</w:t>
            </w:r>
          </w:p>
        </w:tc>
        <w:tc>
          <w:tcPr>
            <w:tcW w:w="1347" w:type="pct"/>
            <w:shd w:val="clear" w:color="auto" w:fill="auto"/>
          </w:tcPr>
          <w:p w14:paraId="607AEAF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27,7</w:t>
            </w:r>
          </w:p>
        </w:tc>
      </w:tr>
      <w:tr w:rsidR="00E25DA3" w:rsidRPr="00E25DA3" w14:paraId="4D13DCCD" w14:textId="77777777" w:rsidTr="00E25DA3">
        <w:tc>
          <w:tcPr>
            <w:cnfStyle w:val="001000000000" w:firstRow="0" w:lastRow="0" w:firstColumn="1" w:lastColumn="0" w:oddVBand="0" w:evenVBand="0" w:oddHBand="0" w:evenHBand="0" w:firstRowFirstColumn="0" w:firstRowLastColumn="0" w:lastRowFirstColumn="0" w:lastRowLastColumn="0"/>
            <w:tcW w:w="962" w:type="pct"/>
            <w:shd w:val="clear" w:color="auto" w:fill="auto"/>
          </w:tcPr>
          <w:p w14:paraId="17ED69A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zgonów</w:t>
            </w:r>
          </w:p>
        </w:tc>
        <w:tc>
          <w:tcPr>
            <w:tcW w:w="1346" w:type="pct"/>
            <w:shd w:val="clear" w:color="auto" w:fill="auto"/>
          </w:tcPr>
          <w:p w14:paraId="09FB42B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11,4</w:t>
            </w:r>
          </w:p>
        </w:tc>
        <w:tc>
          <w:tcPr>
            <w:tcW w:w="1346" w:type="pct"/>
            <w:shd w:val="clear" w:color="auto" w:fill="auto"/>
          </w:tcPr>
          <w:p w14:paraId="073B943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12,3</w:t>
            </w:r>
          </w:p>
        </w:tc>
        <w:tc>
          <w:tcPr>
            <w:tcW w:w="1347" w:type="pct"/>
            <w:shd w:val="clear" w:color="auto" w:fill="auto"/>
          </w:tcPr>
          <w:p w14:paraId="13B2CA9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10,9</w:t>
            </w:r>
          </w:p>
        </w:tc>
      </w:tr>
      <w:tr w:rsidR="00E25DA3" w:rsidRPr="00E25DA3" w14:paraId="41830CEB"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E0A704E"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lang w:eastAsia="pl-PL"/>
              </w:rPr>
              <w:t>AKTYWNOŚĆ EKONOMICZNA OSÓB STARSZYCH – DANE ZA 2022 R.</w:t>
            </w:r>
            <w:r w:rsidRPr="00E25DA3">
              <w:rPr>
                <w:rFonts w:ascii="Lato" w:hAnsi="Lato" w:cs="Times New Roman"/>
                <w:color w:val="auto"/>
                <w:sz w:val="18"/>
                <w:szCs w:val="18"/>
                <w:vertAlign w:val="superscript"/>
                <w:lang w:eastAsia="pl-PL"/>
              </w:rPr>
              <w:t>1)</w:t>
            </w:r>
          </w:p>
        </w:tc>
      </w:tr>
      <w:tr w:rsidR="00E25DA3" w:rsidRPr="00E25DA3" w14:paraId="6A3A4C02"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2307" w:type="pct"/>
            <w:gridSpan w:val="2"/>
            <w:shd w:val="clear" w:color="auto" w:fill="auto"/>
          </w:tcPr>
          <w:p w14:paraId="5B937022"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Podział</w:t>
            </w:r>
          </w:p>
        </w:tc>
        <w:tc>
          <w:tcPr>
            <w:tcW w:w="2693" w:type="pct"/>
            <w:gridSpan w:val="2"/>
            <w:shd w:val="clear" w:color="auto" w:fill="auto"/>
          </w:tcPr>
          <w:p w14:paraId="42419D3F"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Liczba</w:t>
            </w:r>
          </w:p>
        </w:tc>
      </w:tr>
      <w:tr w:rsidR="00E25DA3" w:rsidRPr="00E25DA3" w14:paraId="6B2BD88A"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982C590"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aktywne zawodowo razem (w tys.)</w:t>
            </w:r>
          </w:p>
        </w:tc>
        <w:tc>
          <w:tcPr>
            <w:tcW w:w="1346" w:type="pct"/>
            <w:shd w:val="clear" w:color="auto" w:fill="auto"/>
          </w:tcPr>
          <w:p w14:paraId="08E2012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6153E95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1670</w:t>
            </w:r>
          </w:p>
        </w:tc>
      </w:tr>
      <w:tr w:rsidR="00E25DA3" w:rsidRPr="00E25DA3" w14:paraId="35EE511E"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C1F24D7"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21D5059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0443BE7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133</w:t>
            </w:r>
          </w:p>
        </w:tc>
      </w:tr>
      <w:tr w:rsidR="00E25DA3" w:rsidRPr="00E25DA3" w14:paraId="042E1A28"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2AAB1BC"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lastRenderedPageBreak/>
              <w:t xml:space="preserve">Osoby aktywne zawodowo </w:t>
            </w:r>
            <w:r w:rsidRPr="00E25DA3">
              <w:rPr>
                <w:rFonts w:ascii="Lato" w:hAnsi="Lato" w:cs="Times New Roman"/>
                <w:color w:val="auto"/>
                <w:sz w:val="18"/>
                <w:szCs w:val="18"/>
                <w:lang w:eastAsia="pl-PL"/>
              </w:rPr>
              <w:br/>
              <w:t>– pracujący (w tys.)</w:t>
            </w:r>
          </w:p>
        </w:tc>
        <w:tc>
          <w:tcPr>
            <w:tcW w:w="1346" w:type="pct"/>
            <w:shd w:val="clear" w:color="auto" w:fill="auto"/>
          </w:tcPr>
          <w:p w14:paraId="397137D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4778E67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1637</w:t>
            </w:r>
          </w:p>
        </w:tc>
      </w:tr>
      <w:tr w:rsidR="00E25DA3" w:rsidRPr="00E25DA3" w14:paraId="6F213E62"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7AE2979"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6F7A08F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37B67E8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132</w:t>
            </w:r>
          </w:p>
        </w:tc>
      </w:tr>
      <w:tr w:rsidR="00E25DA3" w:rsidRPr="00E25DA3" w14:paraId="4E61FD03"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963360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bierne zawodowo (w tys.)</w:t>
            </w:r>
          </w:p>
        </w:tc>
        <w:tc>
          <w:tcPr>
            <w:tcW w:w="1346" w:type="pct"/>
            <w:shd w:val="clear" w:color="auto" w:fill="auto"/>
          </w:tcPr>
          <w:p w14:paraId="1E1C914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48FDDF0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1101</w:t>
            </w:r>
          </w:p>
        </w:tc>
      </w:tr>
      <w:tr w:rsidR="00E25DA3" w:rsidRPr="00E25DA3" w14:paraId="5906B062"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344464"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1030842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304B6FA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689</w:t>
            </w:r>
          </w:p>
        </w:tc>
      </w:tr>
      <w:tr w:rsidR="00E25DA3" w:rsidRPr="00E25DA3" w14:paraId="46B149F5"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70A9763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aktywności zawodowej %</w:t>
            </w:r>
          </w:p>
        </w:tc>
        <w:tc>
          <w:tcPr>
            <w:tcW w:w="1346" w:type="pct"/>
            <w:shd w:val="clear" w:color="auto" w:fill="auto"/>
          </w:tcPr>
          <w:p w14:paraId="30291B4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34088A6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60,3</w:t>
            </w:r>
          </w:p>
        </w:tc>
      </w:tr>
      <w:tr w:rsidR="00E25DA3" w:rsidRPr="00E25DA3" w14:paraId="629539E3"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A6F27FA"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355D71D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5CE54502"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16,2</w:t>
            </w:r>
          </w:p>
        </w:tc>
      </w:tr>
      <w:tr w:rsidR="00E25DA3" w:rsidRPr="00E25DA3" w14:paraId="459C1784" w14:textId="77777777" w:rsidTr="00E25DA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1DAA35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Wskaźnik zatrudnienia %</w:t>
            </w:r>
          </w:p>
        </w:tc>
        <w:tc>
          <w:tcPr>
            <w:tcW w:w="1346" w:type="pct"/>
            <w:shd w:val="clear" w:color="auto" w:fill="auto"/>
          </w:tcPr>
          <w:p w14:paraId="0BB90D5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55414FB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59,1</w:t>
            </w:r>
          </w:p>
        </w:tc>
      </w:tr>
      <w:tr w:rsidR="00E25DA3" w:rsidRPr="00E25DA3" w14:paraId="286DE25A"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03EFC59"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5B638A3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3" w:type="pct"/>
            <w:gridSpan w:val="2"/>
            <w:shd w:val="clear" w:color="auto" w:fill="auto"/>
          </w:tcPr>
          <w:p w14:paraId="14B96BEB"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16,1</w:t>
            </w:r>
          </w:p>
        </w:tc>
      </w:tr>
      <w:tr w:rsidR="00E25DA3" w:rsidRPr="00E25DA3" w14:paraId="453F8185" w14:textId="77777777" w:rsidTr="00E25DA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1A915138" w14:textId="77777777" w:rsidR="00E25DA3" w:rsidRPr="00E25DA3" w:rsidRDefault="00E25DA3" w:rsidP="00CA4EC0">
            <w:pPr>
              <w:rPr>
                <w:rFonts w:ascii="Lato" w:hAnsi="Lato" w:cs="Times New Roman"/>
                <w:b w:val="0"/>
                <w:color w:val="auto"/>
                <w:sz w:val="18"/>
                <w:szCs w:val="18"/>
                <w:lang w:eastAsia="pl-PL"/>
              </w:rPr>
            </w:pPr>
            <w:r w:rsidRPr="00E25DA3">
              <w:rPr>
                <w:rFonts w:ascii="Lato" w:eastAsia="Times New Roman" w:hAnsi="Lato" w:cs="Times New Roman"/>
                <w:color w:val="auto"/>
                <w:sz w:val="18"/>
                <w:szCs w:val="18"/>
                <w:lang w:eastAsia="pl-PL"/>
              </w:rPr>
              <w:t xml:space="preserve">Osoby bierne zawodowo  w wieku 60-74 lata  według wybranych przyczyn bierności </w:t>
            </w:r>
            <w:r w:rsidRPr="00E25DA3">
              <w:rPr>
                <w:rFonts w:ascii="Lato" w:eastAsia="Times New Roman" w:hAnsi="Lato" w:cs="Times New Roman"/>
                <w:color w:val="auto"/>
                <w:sz w:val="18"/>
                <w:szCs w:val="18"/>
                <w:lang w:eastAsia="pl-PL"/>
              </w:rPr>
              <w:br/>
              <w:t>(w tys.)</w:t>
            </w:r>
          </w:p>
        </w:tc>
        <w:tc>
          <w:tcPr>
            <w:tcW w:w="1346" w:type="pct"/>
            <w:shd w:val="clear" w:color="auto" w:fill="auto"/>
          </w:tcPr>
          <w:p w14:paraId="53E57F8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2659272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483</w:t>
            </w:r>
          </w:p>
        </w:tc>
      </w:tr>
      <w:tr w:rsidR="00E25DA3" w:rsidRPr="00E25DA3" w14:paraId="1AC19510"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058A54E"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53CA80F2"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w:t>
            </w:r>
          </w:p>
        </w:tc>
      </w:tr>
      <w:tr w:rsidR="00E25DA3" w:rsidRPr="00E25DA3" w14:paraId="0E9D2977"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F8055CA"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967EB1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E25DA3">
              <w:rPr>
                <w:rFonts w:ascii="Lato" w:eastAsia="Times New Roman" w:hAnsi="Lato" w:cs="Times New Roman"/>
                <w:color w:val="auto"/>
                <w:sz w:val="18"/>
                <w:szCs w:val="18"/>
                <w:lang w:eastAsia="pl-PL"/>
              </w:rPr>
              <w:t>osoby nieposzukujące pracy - razem</w:t>
            </w:r>
          </w:p>
        </w:tc>
        <w:tc>
          <w:tcPr>
            <w:tcW w:w="2693" w:type="pct"/>
            <w:gridSpan w:val="2"/>
            <w:shd w:val="clear" w:color="auto" w:fill="auto"/>
          </w:tcPr>
          <w:p w14:paraId="32B2C0D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483</w:t>
            </w:r>
          </w:p>
        </w:tc>
      </w:tr>
      <w:tr w:rsidR="00E25DA3" w:rsidRPr="00E25DA3" w14:paraId="4BEAB241"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3E4C6B89"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4C62E2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emerytura</w:t>
            </w:r>
          </w:p>
        </w:tc>
        <w:tc>
          <w:tcPr>
            <w:tcW w:w="2693" w:type="pct"/>
            <w:gridSpan w:val="2"/>
            <w:shd w:val="clear" w:color="auto" w:fill="auto"/>
          </w:tcPr>
          <w:p w14:paraId="11E6522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425</w:t>
            </w:r>
          </w:p>
        </w:tc>
      </w:tr>
      <w:tr w:rsidR="00E25DA3" w:rsidRPr="00E25DA3" w14:paraId="62C9717B"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05C54CC5"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D1EDD48"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choroba, niepełnosprawność</w:t>
            </w:r>
          </w:p>
        </w:tc>
        <w:tc>
          <w:tcPr>
            <w:tcW w:w="2693" w:type="pct"/>
            <w:gridSpan w:val="2"/>
            <w:shd w:val="clear" w:color="auto" w:fill="auto"/>
          </w:tcPr>
          <w:p w14:paraId="241C0A7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42</w:t>
            </w:r>
          </w:p>
        </w:tc>
      </w:tr>
      <w:tr w:rsidR="00E25DA3" w:rsidRPr="00E25DA3" w14:paraId="4690574F" w14:textId="77777777" w:rsidTr="00E25DA3">
        <w:trPr>
          <w:trHeight w:val="285"/>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6513731E"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Osoby bezrobotne zarejestrowane w urzędach pracy (w tys.)</w:t>
            </w:r>
            <w:r w:rsidRPr="00E25DA3">
              <w:rPr>
                <w:rFonts w:ascii="Lato" w:eastAsia="Times New Roman" w:hAnsi="Lato" w:cs="Times New Roman"/>
                <w:color w:val="auto"/>
                <w:sz w:val="18"/>
                <w:szCs w:val="18"/>
                <w:vertAlign w:val="superscript"/>
                <w:lang w:eastAsia="pl-PL"/>
              </w:rPr>
              <w:t>2)</w:t>
            </w:r>
          </w:p>
        </w:tc>
        <w:tc>
          <w:tcPr>
            <w:tcW w:w="1346" w:type="pct"/>
            <w:shd w:val="clear" w:color="auto" w:fill="auto"/>
          </w:tcPr>
          <w:p w14:paraId="3634344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3" w:type="pct"/>
            <w:gridSpan w:val="2"/>
            <w:shd w:val="clear" w:color="auto" w:fill="auto"/>
          </w:tcPr>
          <w:p w14:paraId="0BC603E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46,3</w:t>
            </w:r>
          </w:p>
        </w:tc>
      </w:tr>
      <w:tr w:rsidR="00E25DA3" w:rsidRPr="00E25DA3" w14:paraId="261A5C07"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A7259DA"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FEDC61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60-64 lata</w:t>
            </w:r>
          </w:p>
        </w:tc>
        <w:tc>
          <w:tcPr>
            <w:tcW w:w="2693" w:type="pct"/>
            <w:gridSpan w:val="2"/>
            <w:shd w:val="clear" w:color="auto" w:fill="auto"/>
          </w:tcPr>
          <w:p w14:paraId="5FD5BF5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2,8</w:t>
            </w:r>
          </w:p>
        </w:tc>
      </w:tr>
      <w:tr w:rsidR="00E25DA3" w:rsidRPr="00E25DA3" w14:paraId="3989E639" w14:textId="77777777" w:rsidTr="00E25DA3">
        <w:trPr>
          <w:trHeight w:val="191"/>
        </w:trPr>
        <w:tc>
          <w:tcPr>
            <w:cnfStyle w:val="001000000000" w:firstRow="0" w:lastRow="0" w:firstColumn="1" w:lastColumn="0" w:oddVBand="0" w:evenVBand="0" w:oddHBand="0" w:evenHBand="0" w:firstRowFirstColumn="0" w:firstRowLastColumn="0" w:lastRowFirstColumn="0" w:lastRowLastColumn="0"/>
            <w:tcW w:w="962" w:type="pct"/>
            <w:vMerge w:val="restart"/>
            <w:shd w:val="clear" w:color="auto" w:fill="auto"/>
          </w:tcPr>
          <w:p w14:paraId="5C492FD7"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 xml:space="preserve">Osoby pobierające renty </w:t>
            </w:r>
            <w:r w:rsidRPr="00E25DA3">
              <w:rPr>
                <w:rFonts w:ascii="Lato" w:eastAsia="Times New Roman" w:hAnsi="Lato" w:cs="Times New Roman"/>
                <w:color w:val="auto"/>
                <w:sz w:val="18"/>
                <w:szCs w:val="18"/>
                <w:lang w:eastAsia="pl-PL"/>
              </w:rPr>
              <w:br/>
              <w:t xml:space="preserve">i emerytury </w:t>
            </w:r>
          </w:p>
        </w:tc>
        <w:tc>
          <w:tcPr>
            <w:tcW w:w="4038" w:type="pct"/>
            <w:gridSpan w:val="3"/>
            <w:shd w:val="clear" w:color="auto" w:fill="auto"/>
          </w:tcPr>
          <w:p w14:paraId="7EBD26E4" w14:textId="77777777" w:rsidR="00E25DA3" w:rsidRPr="00E25DA3" w:rsidRDefault="00E25DA3"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ZUS</w:t>
            </w:r>
          </w:p>
        </w:tc>
      </w:tr>
      <w:tr w:rsidR="00E25DA3" w:rsidRPr="00E25DA3" w14:paraId="027D6C5B" w14:textId="77777777" w:rsidTr="00E25DA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A51FA09"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5F22999"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3" w:type="pct"/>
            <w:gridSpan w:val="2"/>
            <w:shd w:val="clear" w:color="auto" w:fill="auto"/>
          </w:tcPr>
          <w:p w14:paraId="2632B604"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44E0D176" w14:textId="77777777" w:rsidTr="00E25DA3">
        <w:trPr>
          <w:trHeight w:val="143"/>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20B29BAE"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F0B13A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3" w:type="pct"/>
            <w:gridSpan w:val="2"/>
            <w:shd w:val="clear" w:color="auto" w:fill="auto"/>
          </w:tcPr>
          <w:p w14:paraId="66FE4D1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511,2</w:t>
            </w:r>
          </w:p>
        </w:tc>
      </w:tr>
      <w:tr w:rsidR="00E25DA3" w:rsidRPr="00E25DA3" w14:paraId="7EADAD38" w14:textId="77777777" w:rsidTr="00E25DA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FD06EBC"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A351E7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3" w:type="pct"/>
            <w:gridSpan w:val="2"/>
            <w:shd w:val="clear" w:color="auto" w:fill="auto"/>
          </w:tcPr>
          <w:p w14:paraId="62DE213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66,0</w:t>
            </w:r>
          </w:p>
        </w:tc>
      </w:tr>
      <w:tr w:rsidR="00E25DA3" w:rsidRPr="00E25DA3" w14:paraId="0C31F8AF"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67DB46E9"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23C455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3" w:type="pct"/>
            <w:gridSpan w:val="2"/>
            <w:shd w:val="clear" w:color="auto" w:fill="auto"/>
          </w:tcPr>
          <w:p w14:paraId="3D3DF02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112,1</w:t>
            </w:r>
          </w:p>
        </w:tc>
      </w:tr>
      <w:tr w:rsidR="00E25DA3" w:rsidRPr="00E25DA3" w14:paraId="151B9E4D"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741E0B1E"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8" w:type="pct"/>
            <w:gridSpan w:val="3"/>
            <w:shd w:val="clear" w:color="auto" w:fill="auto"/>
          </w:tcPr>
          <w:p w14:paraId="3F9D6AEB" w14:textId="77777777" w:rsidR="00E25DA3" w:rsidRPr="00E25DA3" w:rsidRDefault="00E25DA3"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KRUS</w:t>
            </w:r>
          </w:p>
        </w:tc>
      </w:tr>
      <w:tr w:rsidR="00E25DA3" w:rsidRPr="00E25DA3" w14:paraId="5ACEBA65" w14:textId="77777777" w:rsidTr="00E25DA3">
        <w:trPr>
          <w:trHeight w:val="81"/>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F94BD26"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8293817"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3" w:type="pct"/>
            <w:gridSpan w:val="2"/>
            <w:shd w:val="clear" w:color="auto" w:fill="auto"/>
          </w:tcPr>
          <w:p w14:paraId="1059A9AB"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4612C377"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47D19426"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E2D5F61"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3" w:type="pct"/>
            <w:gridSpan w:val="2"/>
            <w:shd w:val="clear" w:color="auto" w:fill="auto"/>
          </w:tcPr>
          <w:p w14:paraId="3DB0E37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80,7</w:t>
            </w:r>
          </w:p>
        </w:tc>
      </w:tr>
      <w:tr w:rsidR="00E25DA3" w:rsidRPr="00E25DA3" w14:paraId="72B47FCB" w14:textId="77777777" w:rsidTr="00E25DA3">
        <w:trPr>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58E17C67"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D6E62E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3" w:type="pct"/>
            <w:gridSpan w:val="2"/>
            <w:shd w:val="clear" w:color="auto" w:fill="auto"/>
          </w:tcPr>
          <w:p w14:paraId="6ED4BF1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20,2</w:t>
            </w:r>
          </w:p>
        </w:tc>
      </w:tr>
      <w:tr w:rsidR="00E25DA3" w:rsidRPr="00E25DA3" w14:paraId="467C520C"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2" w:type="pct"/>
            <w:vMerge/>
            <w:shd w:val="clear" w:color="auto" w:fill="auto"/>
          </w:tcPr>
          <w:p w14:paraId="11977ADF"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B5174A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3" w:type="pct"/>
            <w:gridSpan w:val="2"/>
            <w:shd w:val="clear" w:color="auto" w:fill="auto"/>
          </w:tcPr>
          <w:p w14:paraId="7EF635D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4,6</w:t>
            </w:r>
          </w:p>
        </w:tc>
      </w:tr>
      <w:tr w:rsidR="00E25DA3" w:rsidRPr="00E25DA3" w14:paraId="67F24010"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2A646137"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 xml:space="preserve">SYTUACJA DOCHODOWA, WARUNKI BYTU, W TYM WARUNKI MIESZKANIOWE – DANE ZA 2022 R. </w:t>
            </w:r>
          </w:p>
        </w:tc>
      </w:tr>
      <w:tr w:rsidR="00E25DA3" w:rsidRPr="00E25DA3" w14:paraId="04830303"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5FB02B89" w14:textId="2E1E3998" w:rsidR="00E25DA3" w:rsidRPr="00E25DA3" w:rsidRDefault="00E25DA3" w:rsidP="00CA4EC0">
            <w:pPr>
              <w:jc w:val="both"/>
              <w:rPr>
                <w:rFonts w:ascii="Lato" w:hAnsi="Lato" w:cs="Times New Roman"/>
                <w:b w:val="0"/>
                <w:color w:val="auto"/>
                <w:sz w:val="18"/>
                <w:szCs w:val="18"/>
              </w:rPr>
            </w:pPr>
            <w:r w:rsidRPr="00E25DA3">
              <w:rPr>
                <w:rFonts w:ascii="Lato" w:hAnsi="Lato" w:cs="Times New Roman"/>
                <w:b w:val="0"/>
                <w:color w:val="auto"/>
                <w:sz w:val="18"/>
                <w:szCs w:val="18"/>
              </w:rPr>
              <w:t>W 2022 r. w województwie wielkopolskim przeciętny miesięczny dochód rozporządzalny przypadający na 1 osobę w gospodarstwach domowych wyniósł 2074,11 zł. Na dochód rozporządzalny gospodarstwa domowego składają się przede wszystkim dochody z pracy najemnej oraz dochody ze świadczeń społecznych. W 2022 r. ich udział w dochodzie rozporządzalnym wyniósł odpowiednio 52,5% i 31,2%. W 2022 r. przeciętne miesięczne wydatki na 1 osobę w gospodarstwach domowych wyniosły 1444,41 zł.  Na żywność i napoje bezalkoholowe gospodarstwa domowe przeznaczały przeciętnie 26,7% ogólnej kwoty wydatków, na opłaty z tytułu użytkowania mieszkania lub domu i za korzystanie z nośników energii - 21,5%, a na zdrowie – 5,7%.</w:t>
            </w:r>
            <w:r w:rsidR="0031646A">
              <w:rPr>
                <w:rFonts w:ascii="Lato" w:hAnsi="Lato" w:cs="Times New Roman"/>
                <w:b w:val="0"/>
                <w:color w:val="auto"/>
                <w:sz w:val="18"/>
                <w:szCs w:val="18"/>
              </w:rPr>
              <w:t xml:space="preserve"> </w:t>
            </w:r>
            <w:r w:rsidRPr="00E25DA3">
              <w:rPr>
                <w:rFonts w:ascii="Lato" w:hAnsi="Lato" w:cs="Times New Roman"/>
                <w:b w:val="0"/>
                <w:color w:val="auto"/>
                <w:sz w:val="18"/>
                <w:szCs w:val="18"/>
              </w:rPr>
              <w:t>W 2022 r. swoją sytuację materialną jako dobrą lub raczej dobrą oceniło 43,4% gospodarstw domowych. Udział gospodarstw określających swoją sytuację materialną jako przeciętną wyniósł 49,4%, a raczej złą lub złą ukształtował się na poziomie 7,2%.</w:t>
            </w:r>
            <w:r w:rsidR="0031646A">
              <w:rPr>
                <w:rFonts w:ascii="Lato" w:hAnsi="Lato" w:cs="Times New Roman"/>
                <w:b w:val="0"/>
                <w:color w:val="auto"/>
                <w:sz w:val="18"/>
                <w:szCs w:val="18"/>
              </w:rPr>
              <w:t xml:space="preserve"> </w:t>
            </w:r>
            <w:r w:rsidRPr="00E25DA3">
              <w:rPr>
                <w:rFonts w:ascii="Lato" w:hAnsi="Lato" w:cs="Times New Roman"/>
                <w:b w:val="0"/>
                <w:color w:val="auto"/>
                <w:sz w:val="18"/>
                <w:szCs w:val="18"/>
              </w:rPr>
              <w:t>W analizowanym roku przeciętna liczba osób w gospodarstwie domowym ukształtowała się na poziomie 2,53. Przeciętna powierzchnia użytkowa mieszkania zajmowana przez gospodarstwo domowe wyniosła 87,9 m</w:t>
            </w:r>
            <w:r w:rsidRPr="00E25DA3">
              <w:rPr>
                <w:rFonts w:ascii="Lato" w:hAnsi="Lato" w:cs="Times New Roman"/>
                <w:b w:val="0"/>
                <w:color w:val="auto"/>
                <w:sz w:val="18"/>
                <w:szCs w:val="18"/>
                <w:vertAlign w:val="superscript"/>
              </w:rPr>
              <w:t>2</w:t>
            </w:r>
            <w:r w:rsidRPr="00E25DA3">
              <w:rPr>
                <w:rFonts w:ascii="Lato" w:hAnsi="Lato" w:cs="Times New Roman"/>
                <w:b w:val="0"/>
                <w:color w:val="auto"/>
                <w:sz w:val="18"/>
                <w:szCs w:val="18"/>
              </w:rPr>
              <w:t>.</w:t>
            </w:r>
          </w:p>
        </w:tc>
      </w:tr>
    </w:tbl>
    <w:p w14:paraId="4C338ADC"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Źródło: dane GUS</w:t>
      </w:r>
    </w:p>
    <w:p w14:paraId="70630225"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215638AF"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10FB1B68" w14:textId="18CFA2FA" w:rsidR="008548E7" w:rsidRPr="00E25DA3" w:rsidRDefault="00E25DA3" w:rsidP="00E25DA3">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4EC35BDB" w14:textId="08C904FB" w:rsidR="00586D97" w:rsidRPr="002B0821" w:rsidRDefault="00586D97" w:rsidP="00B73AF7">
      <w:pPr>
        <w:pStyle w:val="Nagwek2"/>
        <w:numPr>
          <w:ilvl w:val="1"/>
          <w:numId w:val="44"/>
        </w:numPr>
        <w:rPr>
          <w:b/>
          <w:bCs/>
        </w:rPr>
      </w:pPr>
      <w:bookmarkStart w:id="183" w:name="_Toc142565963"/>
      <w:r w:rsidRPr="002B0821">
        <w:rPr>
          <w:b/>
          <w:bCs/>
        </w:rPr>
        <w:t>Województwo zachodniopomorskie</w:t>
      </w:r>
      <w:bookmarkEnd w:id="183"/>
    </w:p>
    <w:p w14:paraId="7F070A61" w14:textId="77777777" w:rsidR="00EF4FE8" w:rsidRPr="00EF4FE8" w:rsidRDefault="00EF4FE8" w:rsidP="00EF4FE8">
      <w:pPr>
        <w:autoSpaceDE w:val="0"/>
        <w:autoSpaceDN w:val="0"/>
        <w:adjustRightInd w:val="0"/>
        <w:spacing w:after="0" w:line="240" w:lineRule="auto"/>
        <w:jc w:val="both"/>
        <w:rPr>
          <w:rFonts w:ascii="Lato" w:hAnsi="Lato" w:cs="MyriadPro-Regular"/>
          <w:b/>
          <w:bCs/>
          <w:color w:val="000000"/>
          <w:sz w:val="20"/>
          <w:szCs w:val="20"/>
        </w:rPr>
      </w:pPr>
      <w:r w:rsidRPr="00EF4FE8">
        <w:rPr>
          <w:rFonts w:ascii="Lato" w:hAnsi="Lato" w:cs="MyriadPro-Regular"/>
          <w:color w:val="000000"/>
          <w:sz w:val="20"/>
          <w:szCs w:val="20"/>
        </w:rPr>
        <w:t xml:space="preserve">Zgodnie z art. 183 pkt 2 ustawy z dnia 9 czerwca 2011r. (Dz.U. z 2022 r., poz. 447 ze zm.), o wspieraniu rodziny i systemie pieczy zastępczej realizowany jest </w:t>
      </w:r>
      <w:r w:rsidRPr="00EF4FE8">
        <w:rPr>
          <w:rFonts w:ascii="Lato" w:hAnsi="Lato" w:cs="MyriadPro-Regular"/>
          <w:b/>
          <w:bCs/>
          <w:color w:val="000000"/>
          <w:sz w:val="20"/>
          <w:szCs w:val="20"/>
        </w:rPr>
        <w:t xml:space="preserve">Wojewódzki Program Wspierania Rodziny i Systemu Pieczy Zastępczej „Region Przyjazny Rodzinie” na lata 2021-2027. </w:t>
      </w:r>
    </w:p>
    <w:p w14:paraId="35F0C1C7" w14:textId="77777777" w:rsidR="00EF4FE8" w:rsidRDefault="00EF4FE8" w:rsidP="00EF4FE8">
      <w:pPr>
        <w:spacing w:after="0" w:line="240" w:lineRule="auto"/>
        <w:jc w:val="both"/>
        <w:rPr>
          <w:rFonts w:ascii="Lato" w:hAnsi="Lato"/>
          <w:b/>
          <w:color w:val="2F5496" w:themeColor="accent1" w:themeShade="BF"/>
          <w:sz w:val="20"/>
          <w:szCs w:val="20"/>
        </w:rPr>
      </w:pPr>
    </w:p>
    <w:p w14:paraId="70AAD0CB" w14:textId="3D6A66A6" w:rsidR="00EF4FE8" w:rsidRPr="00EF4FE8" w:rsidRDefault="00EF4FE8" w:rsidP="00EF4FE8">
      <w:pPr>
        <w:spacing w:after="0" w:line="240" w:lineRule="auto"/>
        <w:jc w:val="both"/>
        <w:rPr>
          <w:rFonts w:ascii="Lato" w:hAnsi="Lato"/>
          <w:b/>
          <w:color w:val="2F5496" w:themeColor="accent1" w:themeShade="BF"/>
          <w:sz w:val="20"/>
          <w:szCs w:val="20"/>
        </w:rPr>
      </w:pPr>
      <w:r w:rsidRPr="00757CE7">
        <w:rPr>
          <w:rFonts w:ascii="Lato" w:hAnsi="Lato"/>
          <w:b/>
          <w:color w:val="2F5496" w:themeColor="accent1" w:themeShade="BF"/>
          <w:sz w:val="20"/>
          <w:szCs w:val="20"/>
        </w:rPr>
        <w:lastRenderedPageBreak/>
        <w:t>INICJATYWY DEDYKOWANE OSOBOM STARSZYM</w:t>
      </w:r>
    </w:p>
    <w:p w14:paraId="33232CDB" w14:textId="4C263422" w:rsidR="00EF4FE8" w:rsidRP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Jednym z zadań Programu jest wdrożenie </w:t>
      </w:r>
      <w:r w:rsidRPr="00EF4FE8">
        <w:rPr>
          <w:rFonts w:ascii="Lato" w:hAnsi="Lato" w:cs="MyriadPro-Bold"/>
          <w:b/>
          <w:bCs/>
          <w:color w:val="000000"/>
          <w:sz w:val="20"/>
          <w:szCs w:val="20"/>
        </w:rPr>
        <w:t>Zachodniopomorskiej Karty Seniora</w:t>
      </w:r>
      <w:r w:rsidRPr="00EF4FE8">
        <w:rPr>
          <w:rFonts w:ascii="Lato" w:hAnsi="Lato" w:cs="MyriadPro-Regular"/>
          <w:color w:val="000000"/>
          <w:sz w:val="20"/>
          <w:szCs w:val="20"/>
        </w:rPr>
        <w:t>, którą bezpłatnie otrzymują mieszkańcy w wieku 60+ z terenu 109 gmin województwa zachodniopomorskiego. W roku 2022 dla seniorów przekazano 3.135 kart, które umożliwiają korzystanie z ulg i zniżek oferowanych przez przedsiębiorców honorujących Karty.</w:t>
      </w:r>
    </w:p>
    <w:p w14:paraId="677CAB38" w14:textId="6627158A" w:rsidR="00EF4FE8" w:rsidRP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W zakresie rozwoju kompetencji kadry instytucji pomocy społecznej przeprowadzone zostały </w:t>
      </w:r>
      <w:r w:rsidRPr="00EF4FE8">
        <w:rPr>
          <w:rFonts w:ascii="Lato" w:hAnsi="Lato" w:cs="MyriadPro-Bold"/>
          <w:b/>
          <w:bCs/>
          <w:color w:val="000000"/>
          <w:sz w:val="20"/>
          <w:szCs w:val="20"/>
        </w:rPr>
        <w:t xml:space="preserve">doradztwa prawne oraz </w:t>
      </w:r>
      <w:proofErr w:type="spellStart"/>
      <w:r w:rsidRPr="00EF4FE8">
        <w:rPr>
          <w:rFonts w:ascii="Lato" w:hAnsi="Lato" w:cs="MyriadPro-Bold"/>
          <w:b/>
          <w:bCs/>
          <w:color w:val="000000"/>
          <w:sz w:val="20"/>
          <w:szCs w:val="20"/>
        </w:rPr>
        <w:t>superwizje</w:t>
      </w:r>
      <w:proofErr w:type="spellEnd"/>
      <w:r w:rsidRPr="00EF4FE8">
        <w:rPr>
          <w:rFonts w:ascii="Lato" w:hAnsi="Lato" w:cs="MyriadPro-Bold"/>
          <w:b/>
          <w:bCs/>
          <w:color w:val="000000"/>
          <w:sz w:val="20"/>
          <w:szCs w:val="20"/>
        </w:rPr>
        <w:t xml:space="preserve"> coachingu dla pracowników 19 ośrodków</w:t>
      </w:r>
      <w:r w:rsidRPr="00EF4FE8">
        <w:rPr>
          <w:rFonts w:ascii="Lato" w:hAnsi="Lato" w:cs="MyriadPro-Regular"/>
          <w:color w:val="000000"/>
          <w:sz w:val="20"/>
          <w:szCs w:val="20"/>
        </w:rPr>
        <w:t xml:space="preserve"> </w:t>
      </w:r>
      <w:r w:rsidRPr="00EF4FE8">
        <w:rPr>
          <w:rFonts w:ascii="Lato" w:hAnsi="Lato" w:cs="MyriadPro-Bold"/>
          <w:b/>
          <w:bCs/>
          <w:color w:val="000000"/>
          <w:sz w:val="20"/>
          <w:szCs w:val="20"/>
        </w:rPr>
        <w:t>pomocy społecznej oraz 2 centrów usług społecznych</w:t>
      </w:r>
      <w:r w:rsidRPr="00EF4FE8">
        <w:rPr>
          <w:rFonts w:ascii="Lato" w:hAnsi="Lato" w:cs="MyriadPro-Regular"/>
          <w:color w:val="000000"/>
          <w:sz w:val="20"/>
          <w:szCs w:val="20"/>
        </w:rPr>
        <w:t>. Spotkania były prowadzone w formule online – doradztwo prawne miało za cel zapoznanie OPS-ów z aspektami prawnymi tworzenia i funkcjonowania CUS-ów – od procedur przekształcenia jednostki, przez aspekty prawne Planu Usług Społecznych po zadania Centrów Usług Społecznych, z uwzględnieniem usług kierowanych do starszych mieszkańców regionu. Dodatkowo, w trakcie spotkań były omawiane bieżące problemy, wynikające ze zmiany przepisów prawa lub wprowadzania nowych świadczeń. Coaching dla kadry CUS oraz OPS zorganizowano w Regionalnym Ośrodku Polityki Społecznej (4 spotkania oraz 1 spotkanie w formule online).</w:t>
      </w:r>
    </w:p>
    <w:p w14:paraId="2C49D6BB" w14:textId="77777777" w:rsidR="00EF4FE8" w:rsidRDefault="00EF4FE8" w:rsidP="00EF4FE8">
      <w:pPr>
        <w:autoSpaceDE w:val="0"/>
        <w:autoSpaceDN w:val="0"/>
        <w:adjustRightInd w:val="0"/>
        <w:spacing w:after="0" w:line="240" w:lineRule="auto"/>
        <w:jc w:val="both"/>
        <w:rPr>
          <w:rFonts w:ascii="Lato" w:hAnsi="Lato" w:cs="MyriadPro-Regular"/>
          <w:color w:val="000000"/>
          <w:sz w:val="20"/>
          <w:szCs w:val="20"/>
        </w:rPr>
      </w:pPr>
    </w:p>
    <w:p w14:paraId="796B6261" w14:textId="4F4BF391" w:rsidR="00EF4FE8" w:rsidRP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W spotkaniach uczestniczyli łącznie przedstawiciele kadry zarządzającej 4 Centrów Usług Społecznych oraz 9 Ośrodków Pomocy Społecznej. </w:t>
      </w:r>
      <w:proofErr w:type="spellStart"/>
      <w:r w:rsidRPr="00EF4FE8">
        <w:rPr>
          <w:rFonts w:ascii="Lato" w:hAnsi="Lato" w:cs="MyriadPro-Regular"/>
          <w:color w:val="000000"/>
          <w:sz w:val="20"/>
          <w:szCs w:val="20"/>
        </w:rPr>
        <w:t>Superwizja</w:t>
      </w:r>
      <w:proofErr w:type="spellEnd"/>
      <w:r w:rsidRPr="00EF4FE8">
        <w:rPr>
          <w:rFonts w:ascii="Lato" w:hAnsi="Lato" w:cs="MyriadPro-Regular"/>
          <w:color w:val="000000"/>
          <w:sz w:val="20"/>
          <w:szCs w:val="20"/>
        </w:rPr>
        <w:t xml:space="preserve"> grupowa skierowana była dla</w:t>
      </w:r>
      <w:r>
        <w:rPr>
          <w:rFonts w:ascii="Lato" w:hAnsi="Lato" w:cs="MyriadPro-Regular"/>
          <w:color w:val="000000"/>
          <w:sz w:val="20"/>
          <w:szCs w:val="20"/>
        </w:rPr>
        <w:t xml:space="preserve"> </w:t>
      </w:r>
      <w:r w:rsidRPr="00EF4FE8">
        <w:rPr>
          <w:rFonts w:ascii="Lato" w:hAnsi="Lato" w:cs="MyriadPro-Regular"/>
          <w:color w:val="000000"/>
          <w:sz w:val="20"/>
          <w:szCs w:val="20"/>
        </w:rPr>
        <w:t>kadry ośrodków pomocy społecznej oraz kadry centrów usług społecznych. Również w ROPS odbyło się 6 spotkań</w:t>
      </w:r>
      <w:r w:rsidRPr="00EF4FE8">
        <w:rPr>
          <w:rFonts w:ascii="Lato" w:hAnsi="Lato" w:cs="MyriadPro-Bold"/>
          <w:b/>
          <w:bCs/>
          <w:color w:val="000000"/>
          <w:sz w:val="20"/>
          <w:szCs w:val="20"/>
        </w:rPr>
        <w:t xml:space="preserve">, </w:t>
      </w:r>
      <w:r w:rsidRPr="00EF4FE8">
        <w:rPr>
          <w:rFonts w:ascii="Lato" w:hAnsi="Lato" w:cs="MyriadPro-Regular"/>
          <w:color w:val="000000"/>
          <w:sz w:val="20"/>
          <w:szCs w:val="20"/>
        </w:rPr>
        <w:t>w których uczestniczyło łącznie 32 przedstawicieli 9 ośrodków oraz 15 przedstawicieli kadry z 3 CUS (</w:t>
      </w:r>
      <w:proofErr w:type="spellStart"/>
      <w:r w:rsidRPr="00EF4FE8">
        <w:rPr>
          <w:rFonts w:ascii="Lato" w:hAnsi="Lato" w:cs="MyriadPro-Regular"/>
          <w:color w:val="000000"/>
          <w:sz w:val="20"/>
          <w:szCs w:val="20"/>
        </w:rPr>
        <w:t>superwizją</w:t>
      </w:r>
      <w:proofErr w:type="spellEnd"/>
      <w:r w:rsidRPr="00EF4FE8">
        <w:rPr>
          <w:rFonts w:ascii="Lato" w:hAnsi="Lato" w:cs="MyriadPro-Regular"/>
          <w:color w:val="000000"/>
          <w:sz w:val="20"/>
          <w:szCs w:val="20"/>
        </w:rPr>
        <w:t xml:space="preserve"> indywidualną natomiast objęto 15 osób z 3 OPS-ów i z 2 CUS-ów).</w:t>
      </w:r>
    </w:p>
    <w:p w14:paraId="38E81D30" w14:textId="77777777" w:rsidR="00EF4FE8" w:rsidRDefault="00EF4FE8" w:rsidP="00EF4FE8">
      <w:pPr>
        <w:autoSpaceDE w:val="0"/>
        <w:autoSpaceDN w:val="0"/>
        <w:adjustRightInd w:val="0"/>
        <w:spacing w:after="0" w:line="240" w:lineRule="auto"/>
        <w:jc w:val="both"/>
        <w:rPr>
          <w:rFonts w:ascii="Lato" w:hAnsi="Lato" w:cs="MyriadPro-Regular"/>
          <w:color w:val="000000"/>
          <w:sz w:val="20"/>
          <w:szCs w:val="20"/>
        </w:rPr>
      </w:pPr>
    </w:p>
    <w:p w14:paraId="27AA2AEF" w14:textId="42C75F94" w:rsid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Samorząd Województwa w dniu 21 październiku 2022r. zorganizował obchody </w:t>
      </w:r>
      <w:r w:rsidRPr="00EF4FE8">
        <w:rPr>
          <w:rFonts w:ascii="Lato" w:hAnsi="Lato" w:cs="MyriadPro-Bold"/>
          <w:b/>
          <w:bCs/>
          <w:color w:val="000000"/>
          <w:sz w:val="20"/>
          <w:szCs w:val="20"/>
        </w:rPr>
        <w:t>Regionalnych Dni Seniora</w:t>
      </w:r>
      <w:r w:rsidRPr="00EF4FE8">
        <w:rPr>
          <w:rFonts w:ascii="Lato" w:hAnsi="Lato" w:cs="MyriadPro-Regular"/>
          <w:color w:val="000000"/>
          <w:sz w:val="20"/>
          <w:szCs w:val="20"/>
        </w:rPr>
        <w:t>, w których wzięło udział 300 seniorów z regionu województwa działających zarówno w szeregach organizacji pozarządowych realizujących zadania na rzecz seniorów oraz osoby starsze z lokalnych środowisk, na co dzień aktywnie włączające się w prace społeczne. Marszałek Województwa</w:t>
      </w:r>
      <w:r>
        <w:rPr>
          <w:rFonts w:ascii="Lato" w:hAnsi="Lato" w:cs="MyriadPro-Regular"/>
          <w:color w:val="000000"/>
          <w:sz w:val="20"/>
          <w:szCs w:val="20"/>
        </w:rPr>
        <w:t xml:space="preserve"> </w:t>
      </w:r>
      <w:r w:rsidRPr="00EF4FE8">
        <w:rPr>
          <w:rFonts w:ascii="Lato" w:hAnsi="Lato" w:cs="MyriadPro-Regular"/>
          <w:color w:val="000000"/>
          <w:sz w:val="20"/>
          <w:szCs w:val="20"/>
        </w:rPr>
        <w:t xml:space="preserve">Zachodniopomorskiego podczas uroczystości uhonorował </w:t>
      </w:r>
      <w:r w:rsidRPr="00EF4FE8">
        <w:rPr>
          <w:rFonts w:ascii="Lato" w:hAnsi="Lato" w:cs="MyriadPro-Regular"/>
          <w:i/>
          <w:iCs/>
          <w:color w:val="000000"/>
          <w:sz w:val="20"/>
          <w:szCs w:val="20"/>
        </w:rPr>
        <w:t>Odznaka Honorową Gryfa Zachodniopomorskiego</w:t>
      </w:r>
      <w:r w:rsidRPr="00EF4FE8">
        <w:rPr>
          <w:rFonts w:ascii="Lato" w:hAnsi="Lato" w:cs="MyriadPro-Regular"/>
          <w:color w:val="000000"/>
          <w:sz w:val="20"/>
          <w:szCs w:val="20"/>
        </w:rPr>
        <w:t xml:space="preserve"> seniorów szczególnie zaangażowanych w prace na rzecz swoich rodzimych organizacji, ale również i otoczenia, w którym mieszkają. Podczas spotkania z seniorami wystąpiła gościnnie Pani Beata Borucka, znana szerszej publiczności jako „Mądra Babcia”, która tworzy i prowadzi program telewizyjny SILVET TV skierowany przede wszystkim do grona osób starszych.</w:t>
      </w:r>
    </w:p>
    <w:p w14:paraId="3F26E48A" w14:textId="77777777" w:rsidR="00EF4FE8" w:rsidRDefault="00EF4FE8" w:rsidP="00EF4FE8">
      <w:pPr>
        <w:autoSpaceDE w:val="0"/>
        <w:autoSpaceDN w:val="0"/>
        <w:adjustRightInd w:val="0"/>
        <w:spacing w:after="0" w:line="240" w:lineRule="auto"/>
        <w:jc w:val="both"/>
        <w:rPr>
          <w:rFonts w:ascii="Lato" w:hAnsi="Lato" w:cs="MyriadPro-Regular"/>
          <w:color w:val="000000"/>
          <w:sz w:val="20"/>
          <w:szCs w:val="20"/>
        </w:rPr>
      </w:pPr>
    </w:p>
    <w:p w14:paraId="50680A88" w14:textId="57AED7FB" w:rsidR="00EF4FE8" w:rsidRP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ROPS realizuje projekt „</w:t>
      </w:r>
      <w:r w:rsidRPr="00EF4FE8">
        <w:rPr>
          <w:rFonts w:ascii="Lato" w:hAnsi="Lato" w:cs="MyriadPro-Bold"/>
          <w:b/>
          <w:bCs/>
          <w:color w:val="000000"/>
          <w:sz w:val="20"/>
          <w:szCs w:val="20"/>
        </w:rPr>
        <w:t>Region Dobrego Wsparcia</w:t>
      </w:r>
      <w:r w:rsidRPr="00EF4FE8">
        <w:rPr>
          <w:rFonts w:ascii="Lato" w:hAnsi="Lato" w:cs="MyriadPro-Regular"/>
          <w:color w:val="000000"/>
          <w:sz w:val="20"/>
          <w:szCs w:val="20"/>
        </w:rPr>
        <w:t>” mający na celu zwiększenie dostępności usług społecznych w szczególności usług środowiskowych, opiekuńczych oraz usług wsparcia dla osób starszych oraz osób zagrożonych ubóstwem i/lub wykluczeniem</w:t>
      </w:r>
      <w:r>
        <w:rPr>
          <w:rFonts w:ascii="Lato" w:hAnsi="Lato" w:cs="MyriadPro-Regular"/>
          <w:color w:val="000000"/>
          <w:sz w:val="20"/>
          <w:szCs w:val="20"/>
        </w:rPr>
        <w:t xml:space="preserve"> </w:t>
      </w:r>
      <w:r w:rsidRPr="00EF4FE8">
        <w:rPr>
          <w:rFonts w:ascii="Lato" w:hAnsi="Lato" w:cs="MyriadPro-Regular"/>
          <w:color w:val="000000"/>
          <w:sz w:val="20"/>
          <w:szCs w:val="20"/>
        </w:rPr>
        <w:t>społecznym. Osoby niesamodzielne mieszkające na terenie województwa zachodniopomorskiego mają możliwość otrzymania wsparcia w postaci sąsiedzkich usług opiekuńczych, bezpłatnej wypożyczalni sprzętu rehabilitacyjnego, usług specjalistycznych oraz doradztwa dla opiekunów osób zależnych z zakresu opieki i pielęgnacji medycznej, wsparcia psychologicznego oraz architektonicznego w zakresie zmiany aranżacji mieszkania celem dostosowania go do potrzeb osób niesamodzielnych lub niepełnosprawnych.</w:t>
      </w:r>
    </w:p>
    <w:p w14:paraId="53F9F4B7" w14:textId="77777777" w:rsidR="00EF4FE8" w:rsidRDefault="00EF4FE8" w:rsidP="00EF4FE8">
      <w:pPr>
        <w:autoSpaceDE w:val="0"/>
        <w:autoSpaceDN w:val="0"/>
        <w:adjustRightInd w:val="0"/>
        <w:spacing w:after="0" w:line="240" w:lineRule="auto"/>
        <w:jc w:val="both"/>
        <w:rPr>
          <w:rFonts w:ascii="Lato" w:hAnsi="Lato" w:cs="MyriadPro-Regular"/>
          <w:color w:val="000000"/>
          <w:sz w:val="20"/>
          <w:szCs w:val="20"/>
        </w:rPr>
      </w:pPr>
    </w:p>
    <w:p w14:paraId="4C245E7C" w14:textId="77777777" w:rsidR="00EF4FE8" w:rsidRDefault="00EF4FE8" w:rsidP="00EF4FE8">
      <w:p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W 2022 r. w ramach otwartych konkursów ofert skierowanych do podmiotów niepublicznych udzielono dofinansowania na realizację zdań publicznych skierowanych do osób starszych. Uchwałą Zarządu Województwa Zachodniopomorskiego nr 646/2022 z dnia 29 kwietnia 2022 r. przyznano dotację trzem organizacjom pozarządowym realizującym zadania na rzecz Seniorów, na łączną kwotę: </w:t>
      </w:r>
      <w:r w:rsidRPr="00EF4FE8">
        <w:rPr>
          <w:rFonts w:ascii="Lato" w:hAnsi="Lato" w:cs="MyriadPro-It"/>
          <w:i/>
          <w:iCs/>
          <w:color w:val="000000"/>
          <w:sz w:val="20"/>
          <w:szCs w:val="20"/>
        </w:rPr>
        <w:t>100.640,00 zł:</w:t>
      </w:r>
    </w:p>
    <w:p w14:paraId="4F3E260E" w14:textId="15719529" w:rsidR="00EF4FE8" w:rsidRPr="00EF4FE8" w:rsidRDefault="00EF4FE8" w:rsidP="0059185B">
      <w:pPr>
        <w:pStyle w:val="Akapitzlist"/>
        <w:numPr>
          <w:ilvl w:val="0"/>
          <w:numId w:val="133"/>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Bold"/>
          <w:b/>
          <w:bCs/>
          <w:color w:val="000000"/>
          <w:sz w:val="20"/>
          <w:szCs w:val="20"/>
        </w:rPr>
        <w:t>Uniwersytet Trzeciego Wieku w Golczewie</w:t>
      </w:r>
      <w:r w:rsidRPr="00EF4FE8">
        <w:rPr>
          <w:rFonts w:ascii="Lato" w:hAnsi="Lato" w:cs="MyriadPro-Regular"/>
          <w:color w:val="000000"/>
          <w:sz w:val="20"/>
          <w:szCs w:val="20"/>
        </w:rPr>
        <w:t xml:space="preserve">, dotacja w wysokości: </w:t>
      </w:r>
      <w:r w:rsidRPr="00EF4FE8">
        <w:rPr>
          <w:rFonts w:ascii="Lato" w:hAnsi="Lato" w:cs="MyriadPro-Bold"/>
          <w:b/>
          <w:bCs/>
          <w:color w:val="000000"/>
          <w:sz w:val="20"/>
          <w:szCs w:val="20"/>
        </w:rPr>
        <w:t xml:space="preserve">40.000 zł </w:t>
      </w:r>
      <w:r w:rsidRPr="00EF4FE8">
        <w:rPr>
          <w:rFonts w:ascii="Lato" w:hAnsi="Lato" w:cs="MyriadPro-Regular"/>
          <w:color w:val="000000"/>
          <w:sz w:val="20"/>
          <w:szCs w:val="20"/>
        </w:rPr>
        <w:t xml:space="preserve">Realizacja projektu pn. </w:t>
      </w:r>
      <w:r w:rsidRPr="00EF4FE8">
        <w:rPr>
          <w:rFonts w:ascii="Lato" w:hAnsi="Lato" w:cs="MyriadPro-Regular"/>
          <w:color w:val="000000"/>
          <w:sz w:val="20"/>
          <w:szCs w:val="20"/>
          <w:u w:val="single"/>
        </w:rPr>
        <w:t>„Senior z pasją i motywacją w Regionie”</w:t>
      </w:r>
      <w:r w:rsidRPr="00EF4FE8">
        <w:rPr>
          <w:rFonts w:ascii="Lato" w:hAnsi="Lato" w:cs="MyriadPro-Regular"/>
          <w:color w:val="000000"/>
          <w:sz w:val="20"/>
          <w:szCs w:val="20"/>
        </w:rPr>
        <w:t xml:space="preserve"> zaplanowana została w okresie 15.05-30.11.2022 r. Zasięg: 10 powiatów woj. zachodniopomorskiego, 100 osób - Seniorzy 60+ oraz dzieci i młodzież ze Środowiskowego Ogniska Wychowawczego TPD w Golczewie. Głównym celem zadania jest aktywizacja Seniorów, ale także przeprowadzenie działań w formach terapeutycznych, wspierających i pomocowych. Promowanie zdrowego trybu życia i efektywne gospodarowanie czasem wolnym, który pozwoli zachować równowagę pomiędzy codziennymi obowiązkami a czasem odpoczynku i samorealizacją. Stowarzyszenie w 2022 r. zaplanowało:</w:t>
      </w:r>
    </w:p>
    <w:p w14:paraId="3181B0EC"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uruchomienie poradni telefonicznej pn. „Dobra rada”- czas na pomaganie, doradzanie i wspieranie,</w:t>
      </w:r>
    </w:p>
    <w:p w14:paraId="5BCEE83B"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z psychologiem pn. „Senior w kryzysie”,</w:t>
      </w:r>
    </w:p>
    <w:p w14:paraId="5AB5C551"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organizacja punktu pomocy sąsiedzkiej,</w:t>
      </w:r>
    </w:p>
    <w:p w14:paraId="73749E37"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teatralne,</w:t>
      </w:r>
    </w:p>
    <w:p w14:paraId="06D0CA78"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 xml:space="preserve">warsztaty rękodzieła - m.in. papierowa wiklina, </w:t>
      </w:r>
      <w:proofErr w:type="spellStart"/>
      <w:r w:rsidRPr="00EF4FE8">
        <w:rPr>
          <w:rFonts w:ascii="Lato" w:hAnsi="Lato" w:cs="MyriadPro-Regular"/>
          <w:color w:val="000000"/>
          <w:sz w:val="20"/>
          <w:szCs w:val="20"/>
        </w:rPr>
        <w:t>makrama</w:t>
      </w:r>
      <w:proofErr w:type="spellEnd"/>
      <w:r w:rsidRPr="00EF4FE8">
        <w:rPr>
          <w:rFonts w:ascii="Lato" w:hAnsi="Lato" w:cs="MyriadPro-Regular"/>
          <w:color w:val="000000"/>
          <w:sz w:val="20"/>
          <w:szCs w:val="20"/>
        </w:rPr>
        <w:t>,</w:t>
      </w:r>
    </w:p>
    <w:p w14:paraId="786A2159"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lastRenderedPageBreak/>
        <w:t>warsztaty szycia,</w:t>
      </w:r>
    </w:p>
    <w:p w14:paraId="6E4224F3"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konferencje naukowe,</w:t>
      </w:r>
    </w:p>
    <w:p w14:paraId="3706C117"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VIII Letnia Szkoła Seniora w Dziwnówku,</w:t>
      </w:r>
    </w:p>
    <w:p w14:paraId="0D1F33E2"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plastyczne - plener malarsko-rysunkowy,</w:t>
      </w:r>
    </w:p>
    <w:p w14:paraId="30DAAA23" w14:textId="77777777" w:rsidR="00EF4FE8" w:rsidRDefault="00EF4FE8" w:rsidP="0059185B">
      <w:pPr>
        <w:pStyle w:val="Akapitzlist"/>
        <w:numPr>
          <w:ilvl w:val="0"/>
          <w:numId w:val="134"/>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usprawniające i relaksacyjne.</w:t>
      </w:r>
    </w:p>
    <w:p w14:paraId="4D20BDA8" w14:textId="58460ADE" w:rsidR="00EF4FE8" w:rsidRPr="00EF4FE8" w:rsidRDefault="00EF4FE8" w:rsidP="0059185B">
      <w:pPr>
        <w:pStyle w:val="Akapitzlist"/>
        <w:numPr>
          <w:ilvl w:val="0"/>
          <w:numId w:val="133"/>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Bold"/>
          <w:b/>
          <w:bCs/>
          <w:color w:val="000000"/>
          <w:sz w:val="20"/>
          <w:szCs w:val="20"/>
        </w:rPr>
        <w:t xml:space="preserve">Stowarzyszenie Centrum Inicjatyw Edukacyjno-Społecznych w Szczecinie, </w:t>
      </w:r>
      <w:r w:rsidRPr="00EF4FE8">
        <w:rPr>
          <w:rFonts w:ascii="Lato" w:hAnsi="Lato" w:cs="MyriadPro-Regular"/>
          <w:color w:val="000000"/>
          <w:sz w:val="20"/>
          <w:szCs w:val="20"/>
        </w:rPr>
        <w:t>dotacja</w:t>
      </w:r>
      <w:r>
        <w:rPr>
          <w:rFonts w:ascii="Lato" w:hAnsi="Lato" w:cs="MyriadPro-Regular"/>
          <w:color w:val="000000"/>
          <w:sz w:val="20"/>
          <w:szCs w:val="20"/>
        </w:rPr>
        <w:t xml:space="preserve"> </w:t>
      </w:r>
      <w:r w:rsidRPr="00EF4FE8">
        <w:rPr>
          <w:rFonts w:ascii="Lato" w:hAnsi="Lato" w:cs="MyriadPro-Regular"/>
          <w:color w:val="000000"/>
          <w:sz w:val="20"/>
          <w:szCs w:val="20"/>
        </w:rPr>
        <w:t xml:space="preserve">w wysokości </w:t>
      </w:r>
      <w:r w:rsidRPr="00EF4FE8">
        <w:rPr>
          <w:rFonts w:ascii="Lato" w:hAnsi="Lato" w:cs="MyriadPro-Bold"/>
          <w:b/>
          <w:bCs/>
          <w:color w:val="000000"/>
          <w:sz w:val="20"/>
          <w:szCs w:val="20"/>
        </w:rPr>
        <w:t xml:space="preserve">35.090,00 zł. </w:t>
      </w:r>
      <w:r w:rsidRPr="00EF4FE8">
        <w:rPr>
          <w:rFonts w:ascii="Lato" w:hAnsi="Lato" w:cs="MyriadPro-Regular"/>
          <w:color w:val="000000"/>
          <w:sz w:val="20"/>
          <w:szCs w:val="20"/>
        </w:rPr>
        <w:t>Realizacja zadania zaplanowana została w okresie 9.05-30.11.2022r. Zasięg: 6 powiatów woj. zachodniopomorskiego, planowana liczba adresatów 120 osób - Seniorzy 60+. W ramach realizacji projektu pn. „Seniorze – nie jesteś sam!” zaplanowano:</w:t>
      </w:r>
    </w:p>
    <w:p w14:paraId="4851F247" w14:textId="77777777" w:rsid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organizację Punktu Pomocy Sąsiedzkiej w 3 miejscowościach,</w:t>
      </w:r>
    </w:p>
    <w:p w14:paraId="0C4EDEA5" w14:textId="77777777" w:rsid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aktywny Senior o tematyce „Ochrona zdrowia i profilaktyka zdrowotna”,</w:t>
      </w:r>
    </w:p>
    <w:p w14:paraId="1E3B660A" w14:textId="77777777" w:rsid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edukację medialna,</w:t>
      </w:r>
    </w:p>
    <w:p w14:paraId="1F3F4E5E" w14:textId="77777777" w:rsid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warsztaty aktywizujące,</w:t>
      </w:r>
    </w:p>
    <w:p w14:paraId="055B8A47" w14:textId="77777777" w:rsid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color w:val="000000"/>
          <w:sz w:val="20"/>
          <w:szCs w:val="20"/>
        </w:rPr>
        <w:t>wolontariat Seniorów,</w:t>
      </w:r>
    </w:p>
    <w:p w14:paraId="2002CA40" w14:textId="77777777" w:rsidR="00EF4FE8" w:rsidRP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sz w:val="20"/>
          <w:szCs w:val="20"/>
        </w:rPr>
        <w:t>bezpieczeństwo Seniorów,</w:t>
      </w:r>
    </w:p>
    <w:p w14:paraId="15CC976D" w14:textId="2615C288" w:rsidR="00EF4FE8" w:rsidRPr="00EF4FE8" w:rsidRDefault="00EF4FE8" w:rsidP="0059185B">
      <w:pPr>
        <w:pStyle w:val="Akapitzlist"/>
        <w:numPr>
          <w:ilvl w:val="0"/>
          <w:numId w:val="135"/>
        </w:numPr>
        <w:autoSpaceDE w:val="0"/>
        <w:autoSpaceDN w:val="0"/>
        <w:adjustRightInd w:val="0"/>
        <w:spacing w:after="0" w:line="240" w:lineRule="auto"/>
        <w:jc w:val="both"/>
        <w:rPr>
          <w:rFonts w:ascii="Lato" w:hAnsi="Lato" w:cs="MyriadPro-Regular"/>
          <w:color w:val="000000"/>
          <w:sz w:val="20"/>
          <w:szCs w:val="20"/>
        </w:rPr>
      </w:pPr>
      <w:r w:rsidRPr="00EF4FE8">
        <w:rPr>
          <w:rFonts w:ascii="Lato" w:hAnsi="Lato" w:cs="MyriadPro-Regular"/>
          <w:sz w:val="20"/>
          <w:szCs w:val="20"/>
        </w:rPr>
        <w:t>spotkania z psychologiem w ramach przeciwdziałania izolacji i samotności ludzi starszych.</w:t>
      </w:r>
    </w:p>
    <w:p w14:paraId="2BD4A79C" w14:textId="77777777" w:rsidR="00EF4FE8" w:rsidRPr="00EF4FE8" w:rsidRDefault="00EF4FE8" w:rsidP="00EF4FE8">
      <w:pPr>
        <w:pStyle w:val="Akapitzlist"/>
        <w:autoSpaceDE w:val="0"/>
        <w:autoSpaceDN w:val="0"/>
        <w:adjustRightInd w:val="0"/>
        <w:spacing w:after="0" w:line="240" w:lineRule="auto"/>
        <w:jc w:val="both"/>
        <w:rPr>
          <w:rFonts w:ascii="Lato" w:hAnsi="Lato" w:cs="MyriadPro-Regular"/>
          <w:color w:val="000000"/>
          <w:sz w:val="20"/>
          <w:szCs w:val="20"/>
        </w:rPr>
      </w:pPr>
    </w:p>
    <w:p w14:paraId="64D9E425" w14:textId="76EF82F9" w:rsidR="00EF4FE8" w:rsidRPr="00EF4FE8" w:rsidRDefault="00EF4FE8" w:rsidP="0059185B">
      <w:pPr>
        <w:pStyle w:val="Akapitzlist"/>
        <w:numPr>
          <w:ilvl w:val="0"/>
          <w:numId w:val="133"/>
        </w:numPr>
        <w:tabs>
          <w:tab w:val="left" w:pos="284"/>
        </w:tabs>
        <w:autoSpaceDE w:val="0"/>
        <w:autoSpaceDN w:val="0"/>
        <w:adjustRightInd w:val="0"/>
        <w:spacing w:after="0" w:line="240" w:lineRule="auto"/>
        <w:jc w:val="both"/>
        <w:rPr>
          <w:rFonts w:ascii="Lato" w:hAnsi="Lato" w:cs="MyriadPro-Regular"/>
          <w:sz w:val="20"/>
          <w:szCs w:val="20"/>
        </w:rPr>
      </w:pPr>
      <w:r w:rsidRPr="00EF4FE8">
        <w:rPr>
          <w:rFonts w:ascii="Lato" w:hAnsi="Lato" w:cs="MyriadPro-Bold"/>
          <w:b/>
          <w:bCs/>
          <w:sz w:val="20"/>
          <w:szCs w:val="20"/>
        </w:rPr>
        <w:t xml:space="preserve">Krajowe Stowarzyszenie „Aramis” w Trzebiatowie </w:t>
      </w:r>
      <w:r w:rsidRPr="00EF4FE8">
        <w:rPr>
          <w:rFonts w:ascii="Lato" w:hAnsi="Lato" w:cs="MyriadPro-Regular"/>
          <w:sz w:val="20"/>
          <w:szCs w:val="20"/>
        </w:rPr>
        <w:t xml:space="preserve">dotacja w wysokości: </w:t>
      </w:r>
      <w:r w:rsidRPr="00EF4FE8">
        <w:rPr>
          <w:rFonts w:ascii="Lato" w:hAnsi="Lato" w:cs="MyriadPro-Bold"/>
          <w:b/>
          <w:bCs/>
          <w:sz w:val="20"/>
          <w:szCs w:val="20"/>
        </w:rPr>
        <w:t>25.550,00 zł</w:t>
      </w:r>
      <w:r w:rsidRPr="00EF4FE8">
        <w:rPr>
          <w:rFonts w:ascii="Lato" w:hAnsi="Lato" w:cs="MyriadPro-Regular"/>
          <w:sz w:val="20"/>
          <w:szCs w:val="20"/>
        </w:rPr>
        <w:t>. Realizacja zadania zaplanowana została w okresie 2.05-30.11.2022 r. Zadaniem objętych zostało 100 Seniorów, w tym osoby samotne, schorowane, niezamożne z terenu powiatu gryfickiego oraz 10 Seniorów przybyłych z Ukrainy. W ramach realizacji projektu pn. Senior 2022 zaplanowano:</w:t>
      </w:r>
    </w:p>
    <w:p w14:paraId="06E46CE2"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samopomocy sąsiedzkiej z elementami edukacji z zakresu bezpieczeństwa,</w:t>
      </w:r>
    </w:p>
    <w:p w14:paraId="2571399F"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wsparcia indywidualnego,</w:t>
      </w:r>
    </w:p>
    <w:p w14:paraId="5C95C5B2"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psychologiczne,</w:t>
      </w:r>
    </w:p>
    <w:p w14:paraId="7D6284E4"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wokalne,</w:t>
      </w:r>
    </w:p>
    <w:p w14:paraId="46DE3138"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kreatywności,</w:t>
      </w:r>
    </w:p>
    <w:p w14:paraId="544D163E"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krawieckie i kulinarne,</w:t>
      </w:r>
    </w:p>
    <w:p w14:paraId="583437E1" w14:textId="77777777"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multimedialne,</w:t>
      </w:r>
    </w:p>
    <w:p w14:paraId="51C18C10" w14:textId="6650909F" w:rsidR="00EF4FE8" w:rsidRDefault="00EF4FE8" w:rsidP="0059185B">
      <w:pPr>
        <w:pStyle w:val="Akapitzlist"/>
        <w:numPr>
          <w:ilvl w:val="0"/>
          <w:numId w:val="136"/>
        </w:numPr>
        <w:autoSpaceDE w:val="0"/>
        <w:autoSpaceDN w:val="0"/>
        <w:adjustRightInd w:val="0"/>
        <w:spacing w:after="0" w:line="240" w:lineRule="auto"/>
        <w:jc w:val="both"/>
        <w:rPr>
          <w:rFonts w:ascii="Lato" w:hAnsi="Lato" w:cs="MyriadPro-Regular"/>
          <w:sz w:val="20"/>
          <w:szCs w:val="20"/>
        </w:rPr>
      </w:pPr>
      <w:r w:rsidRPr="00EF4FE8">
        <w:rPr>
          <w:rFonts w:ascii="Lato" w:hAnsi="Lato" w:cs="MyriadPro-Regular"/>
          <w:sz w:val="20"/>
          <w:szCs w:val="20"/>
        </w:rPr>
        <w:t>warsztaty sprawności fizycznej, asystenturę osoby ze szczególnymi potrzebami.</w:t>
      </w:r>
    </w:p>
    <w:p w14:paraId="3BC91474" w14:textId="77777777" w:rsidR="00EF4FE8" w:rsidRPr="00EF4FE8" w:rsidRDefault="00EF4FE8" w:rsidP="00EF4FE8">
      <w:pPr>
        <w:pStyle w:val="Akapitzlist"/>
        <w:autoSpaceDE w:val="0"/>
        <w:autoSpaceDN w:val="0"/>
        <w:adjustRightInd w:val="0"/>
        <w:spacing w:after="0" w:line="240" w:lineRule="auto"/>
        <w:jc w:val="both"/>
        <w:rPr>
          <w:rFonts w:ascii="Lato" w:hAnsi="Lato" w:cs="MyriadPro-Regular"/>
          <w:sz w:val="20"/>
          <w:szCs w:val="20"/>
        </w:rPr>
      </w:pPr>
    </w:p>
    <w:p w14:paraId="092716A3" w14:textId="2C22872D" w:rsidR="00EF4FE8" w:rsidRDefault="00EF4FE8" w:rsidP="00EF4FE8">
      <w:pPr>
        <w:autoSpaceDE w:val="0"/>
        <w:autoSpaceDN w:val="0"/>
        <w:adjustRightInd w:val="0"/>
        <w:spacing w:after="0" w:line="240" w:lineRule="auto"/>
        <w:jc w:val="both"/>
        <w:rPr>
          <w:rFonts w:ascii="Lato" w:hAnsi="Lato" w:cs="MyriadPro-It"/>
          <w:i/>
          <w:iCs/>
          <w:sz w:val="20"/>
          <w:szCs w:val="20"/>
        </w:rPr>
      </w:pPr>
      <w:r w:rsidRPr="00EF4FE8">
        <w:rPr>
          <w:rFonts w:ascii="Lato" w:hAnsi="Lato" w:cs="MyriadPro-Regular"/>
          <w:sz w:val="20"/>
          <w:szCs w:val="20"/>
        </w:rPr>
        <w:t xml:space="preserve">W ramach procedury uproszczonej tzw. „Małego grantu” Uchwałą Zarządu Województwa Zachodniopomorskiego nr 1305/2022 oraz nr 1307/2022 z dnia 17 sierpnia 2022 r., przyznano dotację dwóm organizacjom pozarządowym realizującym zadania na rzecz Seniorów na łączną kwotę: </w:t>
      </w:r>
      <w:r w:rsidRPr="00EF4FE8">
        <w:rPr>
          <w:rFonts w:ascii="Lato" w:hAnsi="Lato" w:cs="MyriadPro-It"/>
          <w:i/>
          <w:iCs/>
          <w:sz w:val="20"/>
          <w:szCs w:val="20"/>
        </w:rPr>
        <w:t>15.000,00 zł:</w:t>
      </w:r>
    </w:p>
    <w:p w14:paraId="5328F097" w14:textId="77777777" w:rsidR="00EF4FE8" w:rsidRDefault="00EF4FE8" w:rsidP="0059185B">
      <w:pPr>
        <w:pStyle w:val="Akapitzlist"/>
        <w:numPr>
          <w:ilvl w:val="0"/>
          <w:numId w:val="137"/>
        </w:numPr>
        <w:tabs>
          <w:tab w:val="left" w:pos="284"/>
        </w:tabs>
        <w:autoSpaceDE w:val="0"/>
        <w:autoSpaceDN w:val="0"/>
        <w:adjustRightInd w:val="0"/>
        <w:spacing w:after="0" w:line="240" w:lineRule="auto"/>
        <w:jc w:val="both"/>
        <w:rPr>
          <w:rFonts w:ascii="Lato" w:hAnsi="Lato" w:cs="MyriadPro-Bold"/>
          <w:bCs/>
          <w:sz w:val="20"/>
          <w:szCs w:val="20"/>
        </w:rPr>
      </w:pPr>
      <w:r w:rsidRPr="00EF4FE8">
        <w:rPr>
          <w:rFonts w:ascii="Lato" w:hAnsi="Lato" w:cs="MyriadPro-Bold"/>
          <w:bCs/>
          <w:sz w:val="20"/>
          <w:szCs w:val="20"/>
        </w:rPr>
        <w:t>Stowarzyszenie Policki Uniwersytet Trzeciego Wieku, dotacja w wysokości 5.000 zł na     organizację zadania pn. „Aktywizacja społeczna seniorów”. W ramach zadania w dniu 16 września 2022 r. zrealizowano warsztaty mające na celu przygotowanie seniorów do pełnienia roli liderów w społeczności lokalnej. W trakcie warsztatów odbyły się również wykłady, terapia zajęciowa oraz zajęcia „</w:t>
      </w:r>
      <w:proofErr w:type="spellStart"/>
      <w:r w:rsidRPr="00EF4FE8">
        <w:rPr>
          <w:rFonts w:ascii="Lato" w:hAnsi="Lato" w:cs="MyriadPro-Bold"/>
          <w:bCs/>
          <w:sz w:val="20"/>
          <w:szCs w:val="20"/>
        </w:rPr>
        <w:t>nordic</w:t>
      </w:r>
      <w:proofErr w:type="spellEnd"/>
      <w:r w:rsidRPr="00EF4FE8">
        <w:rPr>
          <w:rFonts w:ascii="Lato" w:hAnsi="Lato" w:cs="MyriadPro-Bold"/>
          <w:bCs/>
          <w:sz w:val="20"/>
          <w:szCs w:val="20"/>
        </w:rPr>
        <w:t xml:space="preserve"> </w:t>
      </w:r>
      <w:proofErr w:type="spellStart"/>
      <w:r w:rsidRPr="00EF4FE8">
        <w:rPr>
          <w:rFonts w:ascii="Lato" w:hAnsi="Lato" w:cs="MyriadPro-Bold"/>
          <w:bCs/>
          <w:sz w:val="20"/>
          <w:szCs w:val="20"/>
        </w:rPr>
        <w:t>walking</w:t>
      </w:r>
      <w:proofErr w:type="spellEnd"/>
      <w:r w:rsidRPr="00EF4FE8">
        <w:rPr>
          <w:rFonts w:ascii="Lato" w:hAnsi="Lato" w:cs="MyriadPro-Bold"/>
          <w:bCs/>
          <w:sz w:val="20"/>
          <w:szCs w:val="20"/>
        </w:rPr>
        <w:t>”, w których łącznie udział wzięło    60 seniorów z terenu powiatu polickiego, stargardzkiego i kamieńskiego.</w:t>
      </w:r>
    </w:p>
    <w:p w14:paraId="6D1ED751" w14:textId="64A2A23A" w:rsidR="00EF4FE8" w:rsidRPr="00EF4FE8" w:rsidRDefault="00EF4FE8" w:rsidP="0059185B">
      <w:pPr>
        <w:pStyle w:val="Akapitzlist"/>
        <w:numPr>
          <w:ilvl w:val="0"/>
          <w:numId w:val="137"/>
        </w:numPr>
        <w:tabs>
          <w:tab w:val="left" w:pos="284"/>
        </w:tabs>
        <w:autoSpaceDE w:val="0"/>
        <w:autoSpaceDN w:val="0"/>
        <w:adjustRightInd w:val="0"/>
        <w:spacing w:after="0" w:line="240" w:lineRule="auto"/>
        <w:jc w:val="both"/>
        <w:rPr>
          <w:rFonts w:ascii="Lato" w:hAnsi="Lato" w:cs="MyriadPro-Bold"/>
          <w:bCs/>
          <w:sz w:val="20"/>
          <w:szCs w:val="20"/>
        </w:rPr>
      </w:pPr>
      <w:r w:rsidRPr="00EF4FE8">
        <w:rPr>
          <w:rFonts w:ascii="Lato" w:hAnsi="Lato" w:cs="MyriadPro-Bold"/>
          <w:bCs/>
          <w:sz w:val="20"/>
          <w:szCs w:val="20"/>
        </w:rPr>
        <w:t>Uniwersytet Trzeciego Wieku w Kołobrzegu, dotacja w wysokości 10.000 zł na     organizację corocznego wydarzenia w dniach 9-10.09.2022 r. pn. „</w:t>
      </w:r>
      <w:proofErr w:type="spellStart"/>
      <w:r w:rsidRPr="00EF4FE8">
        <w:rPr>
          <w:rFonts w:ascii="Lato" w:hAnsi="Lato" w:cs="MyriadPro-Bold"/>
          <w:bCs/>
          <w:sz w:val="20"/>
          <w:szCs w:val="20"/>
        </w:rPr>
        <w:t>Senioralia</w:t>
      </w:r>
      <w:proofErr w:type="spellEnd"/>
      <w:r w:rsidRPr="00EF4FE8">
        <w:rPr>
          <w:rFonts w:ascii="Lato" w:hAnsi="Lato" w:cs="MyriadPro-Bold"/>
          <w:bCs/>
          <w:sz w:val="20"/>
          <w:szCs w:val="20"/>
        </w:rPr>
        <w:t xml:space="preserve"> – Kołobrzeskie Dni Seniora IX Edycja”, w którym aktywnie udział wzięło ok. 400 osób, a wśród nich słuchacze z Uniwersytetów Trzeciego Wieku oraz przedstawiciele innych ugrupowań senioralnych działających na terenie województwa zachodniopomorskiego.</w:t>
      </w:r>
    </w:p>
    <w:p w14:paraId="4EA08FC0" w14:textId="77777777" w:rsidR="00EF4FE8" w:rsidRPr="00EF4FE8" w:rsidRDefault="00EF4FE8" w:rsidP="00EF4FE8">
      <w:pPr>
        <w:spacing w:after="0" w:line="240" w:lineRule="auto"/>
        <w:jc w:val="both"/>
        <w:rPr>
          <w:rFonts w:ascii="Lato" w:hAnsi="Lato"/>
          <w:b/>
          <w:sz w:val="20"/>
          <w:szCs w:val="20"/>
        </w:rPr>
      </w:pPr>
    </w:p>
    <w:p w14:paraId="1C600976" w14:textId="4E366EF3" w:rsidR="00EF4FE8" w:rsidRPr="00EF4FE8" w:rsidRDefault="00EF4FE8" w:rsidP="00EF4FE8">
      <w:pPr>
        <w:spacing w:after="0" w:line="240" w:lineRule="auto"/>
        <w:jc w:val="both"/>
        <w:rPr>
          <w:rFonts w:ascii="Lato" w:hAnsi="Lato"/>
          <w:sz w:val="20"/>
          <w:szCs w:val="20"/>
        </w:rPr>
      </w:pPr>
      <w:r w:rsidRPr="00EF4FE8">
        <w:rPr>
          <w:rFonts w:ascii="Lato" w:hAnsi="Lato"/>
          <w:b/>
          <w:sz w:val="20"/>
          <w:szCs w:val="20"/>
        </w:rPr>
        <w:t xml:space="preserve">Program </w:t>
      </w:r>
      <w:r w:rsidRPr="00EF4FE8">
        <w:rPr>
          <w:rFonts w:ascii="Lato" w:hAnsi="Lato"/>
          <w:b/>
          <w:i/>
          <w:sz w:val="20"/>
          <w:szCs w:val="20"/>
          <w:u w:val="single"/>
        </w:rPr>
        <w:t>Szczecin Przyjazny Rodzinie</w:t>
      </w:r>
      <w:r w:rsidRPr="00EF4FE8">
        <w:rPr>
          <w:rFonts w:ascii="Lato" w:hAnsi="Lato"/>
          <w:sz w:val="20"/>
          <w:szCs w:val="20"/>
        </w:rPr>
        <w:t xml:space="preserve"> funkcjonuje od sierpnia 2021 r., na mocy Uchwały Nr XXI/588/12 Rady Miasta Szczecin z dnia 16 lipca 2012 r. stanowi element Polityki społecznej realizowanej przez Miasto Szczecin. Program SPR składa się z dwóch Kart: Szczecińskiej Karty Rodzinnej, przeznaczonej dla rodzin z dziećmi oraz Szczecińskiej  Kart Seniora (SKS), o którą mogą  ubiegać się osoby 65+. Beneficjenci programu objęci są ulgami w lokalnym transporcie zbiorowym, w miejskich instytucjach kultury oraz basenach, jak również ulgami i zniżkami i ofertami bezpłatnymi sektora  prywatnego z zakresu zdrowia, transportu, kultury i rozrywki, urody, edukacji, gastronomii, sportu, turystyki, wypoczynku </w:t>
      </w:r>
      <w:r w:rsidRPr="00EF4FE8">
        <w:rPr>
          <w:rFonts w:ascii="Lato" w:hAnsi="Lato"/>
          <w:sz w:val="20"/>
          <w:szCs w:val="20"/>
        </w:rPr>
        <w:br/>
        <w:t xml:space="preserve">i innych. </w:t>
      </w:r>
    </w:p>
    <w:p w14:paraId="4372D839" w14:textId="77777777" w:rsidR="00EF4FE8" w:rsidRPr="00EF4FE8" w:rsidRDefault="00EF4FE8" w:rsidP="00EF4FE8">
      <w:pPr>
        <w:spacing w:after="0" w:line="240" w:lineRule="auto"/>
        <w:jc w:val="both"/>
        <w:rPr>
          <w:rFonts w:ascii="Lato" w:hAnsi="Lato"/>
          <w:sz w:val="20"/>
          <w:szCs w:val="20"/>
        </w:rPr>
      </w:pPr>
    </w:p>
    <w:p w14:paraId="0776809C" w14:textId="23D77F9F" w:rsidR="00EF4FE8" w:rsidRPr="00EF4FE8" w:rsidRDefault="00EF4FE8" w:rsidP="00EF4FE8">
      <w:pPr>
        <w:spacing w:after="0" w:line="240" w:lineRule="auto"/>
        <w:jc w:val="both"/>
        <w:rPr>
          <w:rFonts w:ascii="Lato" w:hAnsi="Lato"/>
          <w:sz w:val="20"/>
          <w:szCs w:val="20"/>
        </w:rPr>
      </w:pPr>
      <w:r w:rsidRPr="00EF4FE8">
        <w:rPr>
          <w:rFonts w:ascii="Lato" w:hAnsi="Lato"/>
          <w:sz w:val="20"/>
          <w:szCs w:val="20"/>
        </w:rPr>
        <w:t>W 2022 r</w:t>
      </w:r>
      <w:r>
        <w:rPr>
          <w:rFonts w:ascii="Lato" w:hAnsi="Lato"/>
          <w:sz w:val="20"/>
          <w:szCs w:val="20"/>
        </w:rPr>
        <w:t xml:space="preserve">. </w:t>
      </w:r>
      <w:r w:rsidRPr="00EF4FE8">
        <w:rPr>
          <w:rFonts w:ascii="Lato" w:hAnsi="Lato"/>
          <w:sz w:val="20"/>
          <w:szCs w:val="20"/>
        </w:rPr>
        <w:t xml:space="preserve">po raz kolejny zrealizowano </w:t>
      </w:r>
      <w:r w:rsidRPr="00EF4FE8">
        <w:rPr>
          <w:rFonts w:ascii="Lato" w:hAnsi="Lato"/>
          <w:b/>
          <w:bCs/>
          <w:iCs/>
          <w:sz w:val="20"/>
          <w:szCs w:val="20"/>
        </w:rPr>
        <w:t>P</w:t>
      </w:r>
      <w:r w:rsidRPr="00EF4FE8">
        <w:rPr>
          <w:rFonts w:ascii="Lato" w:hAnsi="Lato"/>
          <w:b/>
          <w:iCs/>
          <w:sz w:val="20"/>
          <w:szCs w:val="20"/>
        </w:rPr>
        <w:t>rogram „Bon Wyspiarza Seniora”.</w:t>
      </w:r>
      <w:r w:rsidRPr="00EF4FE8">
        <w:rPr>
          <w:rFonts w:ascii="Lato" w:hAnsi="Lato"/>
          <w:b/>
          <w:iCs/>
          <w:sz w:val="20"/>
          <w:szCs w:val="20"/>
          <w:u w:val="single"/>
        </w:rPr>
        <w:t xml:space="preserve"> </w:t>
      </w:r>
      <w:r w:rsidRPr="00EF4FE8">
        <w:rPr>
          <w:rFonts w:ascii="Lato" w:hAnsi="Lato"/>
          <w:b/>
          <w:i/>
          <w:color w:val="FF0000"/>
          <w:sz w:val="20"/>
          <w:szCs w:val="20"/>
        </w:rPr>
        <w:t xml:space="preserve"> </w:t>
      </w:r>
      <w:r w:rsidRPr="00EF4FE8">
        <w:rPr>
          <w:rFonts w:ascii="Lato" w:hAnsi="Lato"/>
          <w:sz w:val="20"/>
          <w:szCs w:val="20"/>
        </w:rPr>
        <w:t xml:space="preserve">Programem zostali objęci mieszkańcy Świnoujścia po 65 roku życia. Seniorzy otrzymali środki finansowe w wysokości po 300 zł z przeznaczeniem na cele kulturalne oraz zdrowotne, w tym zakup leków. Z programu skorzystało 8.313 </w:t>
      </w:r>
      <w:r w:rsidRPr="00EF4FE8">
        <w:rPr>
          <w:rFonts w:ascii="Lato" w:hAnsi="Lato"/>
          <w:sz w:val="20"/>
          <w:szCs w:val="20"/>
        </w:rPr>
        <w:lastRenderedPageBreak/>
        <w:t>osób. Łącznie na realizację zadania wydatkowano kwotę ok. 2.517.850 zł. Przyjmowanie wniosków zostało zorganizowane w sposób wygodny i bezpieczny dla seniorów. W 7 miejscach na terenie Miasta na prawobrzeżu i lewobrzeżu umieszczono specjalnie oznaczone pojemniki do których seniorzy mogli wrzucić wypełnione wnioski. Realizatorem zadania był MOPR w Świnoujściu.</w:t>
      </w:r>
    </w:p>
    <w:p w14:paraId="68309891" w14:textId="77777777" w:rsidR="00EF4FE8" w:rsidRPr="00EF4FE8" w:rsidRDefault="00EF4FE8" w:rsidP="00EF4FE8">
      <w:pPr>
        <w:spacing w:after="0" w:line="240" w:lineRule="auto"/>
        <w:jc w:val="both"/>
        <w:rPr>
          <w:rFonts w:ascii="Lato" w:hAnsi="Lato"/>
          <w:sz w:val="20"/>
          <w:szCs w:val="20"/>
        </w:rPr>
      </w:pPr>
    </w:p>
    <w:p w14:paraId="78C64C4D" w14:textId="1D47CA9C" w:rsidR="00EF4FE8" w:rsidRPr="00EF4FE8" w:rsidRDefault="00EF4FE8" w:rsidP="00EF4FE8">
      <w:pPr>
        <w:pStyle w:val="Standard"/>
        <w:jc w:val="both"/>
        <w:rPr>
          <w:rFonts w:ascii="Lato" w:hAnsi="Lato"/>
          <w:sz w:val="20"/>
          <w:szCs w:val="20"/>
        </w:rPr>
      </w:pPr>
      <w:proofErr w:type="spellStart"/>
      <w:r w:rsidRPr="00EF4FE8">
        <w:rPr>
          <w:rFonts w:ascii="Lato" w:hAnsi="Lato"/>
          <w:sz w:val="20"/>
          <w:szCs w:val="20"/>
        </w:rPr>
        <w:t>CKiR</w:t>
      </w:r>
      <w:proofErr w:type="spellEnd"/>
      <w:r w:rsidRPr="00EF4FE8">
        <w:rPr>
          <w:rFonts w:ascii="Lato" w:hAnsi="Lato"/>
          <w:sz w:val="20"/>
          <w:szCs w:val="20"/>
        </w:rPr>
        <w:t xml:space="preserve"> </w:t>
      </w:r>
      <w:proofErr w:type="spellStart"/>
      <w:r w:rsidRPr="00EF4FE8">
        <w:rPr>
          <w:rFonts w:ascii="Lato" w:hAnsi="Lato"/>
          <w:sz w:val="20"/>
          <w:szCs w:val="20"/>
        </w:rPr>
        <w:t>Kobylanka</w:t>
      </w:r>
      <w:proofErr w:type="spellEnd"/>
      <w:r w:rsidRPr="00EF4FE8">
        <w:rPr>
          <w:rFonts w:ascii="Lato" w:hAnsi="Lato"/>
          <w:sz w:val="20"/>
          <w:szCs w:val="20"/>
        </w:rPr>
        <w:t xml:space="preserve"> </w:t>
      </w:r>
      <w:proofErr w:type="spellStart"/>
      <w:r w:rsidRPr="00EF4FE8">
        <w:rPr>
          <w:rFonts w:ascii="Lato" w:hAnsi="Lato"/>
          <w:sz w:val="20"/>
          <w:szCs w:val="20"/>
        </w:rPr>
        <w:t>organizował</w:t>
      </w:r>
      <w:proofErr w:type="spellEnd"/>
      <w:r w:rsidRPr="00EF4FE8">
        <w:rPr>
          <w:rFonts w:ascii="Lato" w:hAnsi="Lato"/>
          <w:sz w:val="20"/>
          <w:szCs w:val="20"/>
        </w:rPr>
        <w:t xml:space="preserve"> w </w:t>
      </w:r>
      <w:proofErr w:type="spellStart"/>
      <w:r w:rsidRPr="00EF4FE8">
        <w:rPr>
          <w:rFonts w:ascii="Lato" w:hAnsi="Lato"/>
          <w:sz w:val="20"/>
          <w:szCs w:val="20"/>
        </w:rPr>
        <w:t>minionym</w:t>
      </w:r>
      <w:proofErr w:type="spellEnd"/>
      <w:r w:rsidRPr="00EF4FE8">
        <w:rPr>
          <w:rFonts w:ascii="Lato" w:hAnsi="Lato"/>
          <w:sz w:val="20"/>
          <w:szCs w:val="20"/>
        </w:rPr>
        <w:t xml:space="preserve"> </w:t>
      </w:r>
      <w:proofErr w:type="spellStart"/>
      <w:r w:rsidRPr="00EF4FE8">
        <w:rPr>
          <w:rFonts w:ascii="Lato" w:hAnsi="Lato"/>
          <w:sz w:val="20"/>
          <w:szCs w:val="20"/>
        </w:rPr>
        <w:t>roku</w:t>
      </w:r>
      <w:proofErr w:type="spellEnd"/>
      <w:r w:rsidRPr="00EF4FE8">
        <w:rPr>
          <w:rFonts w:ascii="Lato" w:hAnsi="Lato"/>
          <w:sz w:val="20"/>
          <w:szCs w:val="20"/>
        </w:rPr>
        <w:t xml:space="preserve"> </w:t>
      </w:r>
      <w:proofErr w:type="spellStart"/>
      <w:r w:rsidRPr="00EF4FE8">
        <w:rPr>
          <w:rFonts w:ascii="Lato" w:hAnsi="Lato"/>
          <w:sz w:val="20"/>
          <w:szCs w:val="20"/>
        </w:rPr>
        <w:t>cykl</w:t>
      </w:r>
      <w:proofErr w:type="spellEnd"/>
      <w:r w:rsidRPr="00EF4FE8">
        <w:rPr>
          <w:rFonts w:ascii="Lato" w:hAnsi="Lato"/>
          <w:sz w:val="20"/>
          <w:szCs w:val="20"/>
        </w:rPr>
        <w:t xml:space="preserve"> </w:t>
      </w:r>
      <w:proofErr w:type="spellStart"/>
      <w:r w:rsidRPr="00EF4FE8">
        <w:rPr>
          <w:rFonts w:ascii="Lato" w:hAnsi="Lato"/>
          <w:sz w:val="20"/>
          <w:szCs w:val="20"/>
        </w:rPr>
        <w:t>spotkań</w:t>
      </w:r>
      <w:proofErr w:type="spellEnd"/>
      <w:r w:rsidRPr="00EF4FE8">
        <w:rPr>
          <w:rFonts w:ascii="Lato" w:hAnsi="Lato"/>
          <w:sz w:val="20"/>
          <w:szCs w:val="20"/>
        </w:rPr>
        <w:t xml:space="preserve"> </w:t>
      </w:r>
      <w:r w:rsidRPr="00EF4FE8">
        <w:rPr>
          <w:rFonts w:ascii="Lato" w:hAnsi="Lato"/>
          <w:b/>
          <w:iCs/>
          <w:sz w:val="20"/>
          <w:szCs w:val="20"/>
        </w:rPr>
        <w:t xml:space="preserve">„Senior w </w:t>
      </w:r>
      <w:proofErr w:type="spellStart"/>
      <w:r w:rsidRPr="00EF4FE8">
        <w:rPr>
          <w:rFonts w:ascii="Lato" w:hAnsi="Lato"/>
          <w:b/>
          <w:iCs/>
          <w:sz w:val="20"/>
          <w:szCs w:val="20"/>
        </w:rPr>
        <w:t>teatrze</w:t>
      </w:r>
      <w:proofErr w:type="spellEnd"/>
      <w:r w:rsidRPr="00EF4FE8">
        <w:rPr>
          <w:rFonts w:ascii="Lato" w:hAnsi="Lato"/>
          <w:b/>
          <w:iCs/>
          <w:sz w:val="20"/>
          <w:szCs w:val="20"/>
        </w:rPr>
        <w:t>”</w:t>
      </w:r>
      <w:r w:rsidRPr="00EF4FE8">
        <w:rPr>
          <w:rFonts w:ascii="Lato" w:hAnsi="Lato"/>
          <w:sz w:val="20"/>
          <w:szCs w:val="20"/>
        </w:rPr>
        <w:t xml:space="preserve"> </w:t>
      </w:r>
      <w:proofErr w:type="spellStart"/>
      <w:r w:rsidRPr="00EF4FE8">
        <w:rPr>
          <w:rFonts w:ascii="Lato" w:hAnsi="Lato"/>
          <w:sz w:val="20"/>
          <w:szCs w:val="20"/>
        </w:rPr>
        <w:t>dla</w:t>
      </w:r>
      <w:proofErr w:type="spellEnd"/>
      <w:r w:rsidRPr="00EF4FE8">
        <w:rPr>
          <w:rFonts w:ascii="Lato" w:hAnsi="Lato"/>
          <w:sz w:val="20"/>
          <w:szCs w:val="20"/>
        </w:rPr>
        <w:t xml:space="preserve"> </w:t>
      </w:r>
      <w:proofErr w:type="spellStart"/>
      <w:r w:rsidRPr="00EF4FE8">
        <w:rPr>
          <w:rFonts w:ascii="Lato" w:hAnsi="Lato"/>
          <w:sz w:val="20"/>
          <w:szCs w:val="20"/>
        </w:rPr>
        <w:t>seniorów</w:t>
      </w:r>
      <w:proofErr w:type="spellEnd"/>
      <w:r w:rsidRPr="00EF4FE8">
        <w:rPr>
          <w:rFonts w:ascii="Lato" w:hAnsi="Lato"/>
          <w:sz w:val="20"/>
          <w:szCs w:val="20"/>
        </w:rPr>
        <w:t xml:space="preserve">  z </w:t>
      </w:r>
      <w:proofErr w:type="spellStart"/>
      <w:r w:rsidRPr="00EF4FE8">
        <w:rPr>
          <w:rFonts w:ascii="Lato" w:hAnsi="Lato"/>
          <w:sz w:val="20"/>
          <w:szCs w:val="20"/>
        </w:rPr>
        <w:t>terenu</w:t>
      </w:r>
      <w:proofErr w:type="spellEnd"/>
      <w:r w:rsidRPr="00EF4FE8">
        <w:rPr>
          <w:rFonts w:ascii="Lato" w:hAnsi="Lato"/>
          <w:sz w:val="20"/>
          <w:szCs w:val="20"/>
        </w:rPr>
        <w:t xml:space="preserve"> </w:t>
      </w:r>
      <w:proofErr w:type="spellStart"/>
      <w:r w:rsidRPr="00EF4FE8">
        <w:rPr>
          <w:rFonts w:ascii="Lato" w:hAnsi="Lato"/>
          <w:sz w:val="20"/>
          <w:szCs w:val="20"/>
        </w:rPr>
        <w:t>gminy</w:t>
      </w:r>
      <w:proofErr w:type="spellEnd"/>
      <w:r w:rsidRPr="00EF4FE8">
        <w:rPr>
          <w:rFonts w:ascii="Lato" w:hAnsi="Lato"/>
          <w:sz w:val="20"/>
          <w:szCs w:val="20"/>
        </w:rPr>
        <w:t xml:space="preserve">. </w:t>
      </w:r>
      <w:proofErr w:type="spellStart"/>
      <w:r w:rsidRPr="00EF4FE8">
        <w:rPr>
          <w:rFonts w:ascii="Lato" w:hAnsi="Lato"/>
          <w:sz w:val="20"/>
          <w:szCs w:val="20"/>
        </w:rPr>
        <w:t>Skorzystało</w:t>
      </w:r>
      <w:proofErr w:type="spellEnd"/>
      <w:r w:rsidRPr="00EF4FE8">
        <w:rPr>
          <w:rFonts w:ascii="Lato" w:hAnsi="Lato"/>
          <w:sz w:val="20"/>
          <w:szCs w:val="20"/>
        </w:rPr>
        <w:t xml:space="preserve"> </w:t>
      </w:r>
      <w:proofErr w:type="spellStart"/>
      <w:r w:rsidRPr="00EF4FE8">
        <w:rPr>
          <w:rFonts w:ascii="Lato" w:hAnsi="Lato"/>
          <w:sz w:val="20"/>
          <w:szCs w:val="20"/>
        </w:rPr>
        <w:t>około</w:t>
      </w:r>
      <w:proofErr w:type="spellEnd"/>
      <w:r w:rsidRPr="00EF4FE8">
        <w:rPr>
          <w:rFonts w:ascii="Lato" w:hAnsi="Lato"/>
          <w:sz w:val="20"/>
          <w:szCs w:val="20"/>
        </w:rPr>
        <w:t xml:space="preserve"> 50 </w:t>
      </w:r>
      <w:proofErr w:type="spellStart"/>
      <w:r w:rsidRPr="00EF4FE8">
        <w:rPr>
          <w:rFonts w:ascii="Lato" w:hAnsi="Lato"/>
          <w:sz w:val="20"/>
          <w:szCs w:val="20"/>
        </w:rPr>
        <w:t>osób</w:t>
      </w:r>
      <w:proofErr w:type="spellEnd"/>
      <w:r w:rsidRPr="00EF4FE8">
        <w:rPr>
          <w:rFonts w:ascii="Lato" w:hAnsi="Lato"/>
          <w:sz w:val="20"/>
          <w:szCs w:val="20"/>
        </w:rPr>
        <w:t xml:space="preserve">. W </w:t>
      </w:r>
      <w:proofErr w:type="spellStart"/>
      <w:r w:rsidRPr="00EF4FE8">
        <w:rPr>
          <w:rFonts w:ascii="Lato" w:hAnsi="Lato"/>
          <w:sz w:val="20"/>
          <w:szCs w:val="20"/>
        </w:rPr>
        <w:t>minionym</w:t>
      </w:r>
      <w:proofErr w:type="spellEnd"/>
      <w:r w:rsidRPr="00EF4FE8">
        <w:rPr>
          <w:rFonts w:ascii="Lato" w:hAnsi="Lato"/>
          <w:sz w:val="20"/>
          <w:szCs w:val="20"/>
        </w:rPr>
        <w:t xml:space="preserve"> </w:t>
      </w:r>
      <w:proofErr w:type="spellStart"/>
      <w:r w:rsidRPr="00EF4FE8">
        <w:rPr>
          <w:rFonts w:ascii="Lato" w:hAnsi="Lato"/>
          <w:sz w:val="20"/>
          <w:szCs w:val="20"/>
        </w:rPr>
        <w:t>roku</w:t>
      </w:r>
      <w:proofErr w:type="spellEnd"/>
      <w:r w:rsidRPr="00EF4FE8">
        <w:rPr>
          <w:rFonts w:ascii="Lato" w:hAnsi="Lato"/>
          <w:sz w:val="20"/>
          <w:szCs w:val="20"/>
        </w:rPr>
        <w:t xml:space="preserve"> </w:t>
      </w:r>
      <w:proofErr w:type="spellStart"/>
      <w:r w:rsidRPr="00EF4FE8">
        <w:rPr>
          <w:rFonts w:ascii="Lato" w:hAnsi="Lato"/>
          <w:sz w:val="20"/>
          <w:szCs w:val="20"/>
        </w:rPr>
        <w:t>odbywał</w:t>
      </w:r>
      <w:proofErr w:type="spellEnd"/>
      <w:r w:rsidRPr="00EF4FE8">
        <w:rPr>
          <w:rFonts w:ascii="Lato" w:hAnsi="Lato"/>
          <w:sz w:val="20"/>
          <w:szCs w:val="20"/>
        </w:rPr>
        <w:t xml:space="preserve"> </w:t>
      </w:r>
      <w:proofErr w:type="spellStart"/>
      <w:r w:rsidRPr="00EF4FE8">
        <w:rPr>
          <w:rFonts w:ascii="Lato" w:hAnsi="Lato"/>
          <w:sz w:val="20"/>
          <w:szCs w:val="20"/>
        </w:rPr>
        <w:t>się</w:t>
      </w:r>
      <w:proofErr w:type="spellEnd"/>
      <w:r w:rsidRPr="00EF4FE8">
        <w:rPr>
          <w:rFonts w:ascii="Lato" w:hAnsi="Lato"/>
          <w:sz w:val="20"/>
          <w:szCs w:val="20"/>
        </w:rPr>
        <w:t xml:space="preserve"> </w:t>
      </w:r>
      <w:proofErr w:type="spellStart"/>
      <w:r w:rsidRPr="00EF4FE8">
        <w:rPr>
          <w:rFonts w:ascii="Lato" w:hAnsi="Lato"/>
          <w:b/>
          <w:iCs/>
          <w:sz w:val="20"/>
          <w:szCs w:val="20"/>
        </w:rPr>
        <w:t>festiwal</w:t>
      </w:r>
      <w:proofErr w:type="spellEnd"/>
      <w:r w:rsidRPr="00EF4FE8">
        <w:rPr>
          <w:rFonts w:ascii="Lato" w:hAnsi="Lato"/>
          <w:b/>
          <w:iCs/>
          <w:sz w:val="20"/>
          <w:szCs w:val="20"/>
        </w:rPr>
        <w:t xml:space="preserve"> </w:t>
      </w:r>
      <w:proofErr w:type="spellStart"/>
      <w:r w:rsidRPr="00EF4FE8">
        <w:rPr>
          <w:rFonts w:ascii="Lato" w:hAnsi="Lato"/>
          <w:b/>
          <w:iCs/>
          <w:sz w:val="20"/>
          <w:szCs w:val="20"/>
        </w:rPr>
        <w:t>teatralny</w:t>
      </w:r>
      <w:proofErr w:type="spellEnd"/>
      <w:r w:rsidRPr="00EF4FE8">
        <w:rPr>
          <w:rFonts w:ascii="Lato" w:hAnsi="Lato"/>
          <w:b/>
          <w:iCs/>
          <w:sz w:val="20"/>
          <w:szCs w:val="20"/>
        </w:rPr>
        <w:t xml:space="preserve"> </w:t>
      </w:r>
      <w:proofErr w:type="spellStart"/>
      <w:r w:rsidRPr="00EF4FE8">
        <w:rPr>
          <w:rFonts w:ascii="Lato" w:hAnsi="Lato"/>
          <w:b/>
          <w:iCs/>
          <w:sz w:val="20"/>
          <w:szCs w:val="20"/>
        </w:rPr>
        <w:t>dla</w:t>
      </w:r>
      <w:proofErr w:type="spellEnd"/>
      <w:r w:rsidRPr="00EF4FE8">
        <w:rPr>
          <w:rFonts w:ascii="Lato" w:hAnsi="Lato"/>
          <w:b/>
          <w:iCs/>
          <w:sz w:val="20"/>
          <w:szCs w:val="20"/>
        </w:rPr>
        <w:t xml:space="preserve"> </w:t>
      </w:r>
      <w:proofErr w:type="spellStart"/>
      <w:r w:rsidRPr="00EF4FE8">
        <w:rPr>
          <w:rFonts w:ascii="Lato" w:hAnsi="Lato"/>
          <w:b/>
          <w:iCs/>
          <w:sz w:val="20"/>
          <w:szCs w:val="20"/>
        </w:rPr>
        <w:t>seniorów</w:t>
      </w:r>
      <w:proofErr w:type="spellEnd"/>
      <w:r w:rsidRPr="00EF4FE8">
        <w:rPr>
          <w:rFonts w:ascii="Lato" w:hAnsi="Lato"/>
          <w:b/>
          <w:iCs/>
          <w:sz w:val="20"/>
          <w:szCs w:val="20"/>
        </w:rPr>
        <w:t xml:space="preserve"> ”</w:t>
      </w:r>
      <w:proofErr w:type="spellStart"/>
      <w:r w:rsidRPr="00EF4FE8">
        <w:rPr>
          <w:rFonts w:ascii="Lato" w:hAnsi="Lato"/>
          <w:b/>
          <w:iCs/>
          <w:sz w:val="20"/>
          <w:szCs w:val="20"/>
        </w:rPr>
        <w:t>Teatr</w:t>
      </w:r>
      <w:proofErr w:type="spellEnd"/>
      <w:r w:rsidRPr="00EF4FE8">
        <w:rPr>
          <w:rFonts w:ascii="Lato" w:hAnsi="Lato"/>
          <w:b/>
          <w:iCs/>
          <w:sz w:val="20"/>
          <w:szCs w:val="20"/>
        </w:rPr>
        <w:t xml:space="preserve"> </w:t>
      </w:r>
      <w:proofErr w:type="spellStart"/>
      <w:r w:rsidRPr="00EF4FE8">
        <w:rPr>
          <w:rFonts w:ascii="Lato" w:hAnsi="Lato"/>
          <w:b/>
          <w:iCs/>
          <w:sz w:val="20"/>
          <w:szCs w:val="20"/>
        </w:rPr>
        <w:t>pod</w:t>
      </w:r>
      <w:proofErr w:type="spellEnd"/>
      <w:r w:rsidRPr="00EF4FE8">
        <w:rPr>
          <w:rFonts w:ascii="Lato" w:hAnsi="Lato"/>
          <w:b/>
          <w:iCs/>
          <w:sz w:val="20"/>
          <w:szCs w:val="20"/>
        </w:rPr>
        <w:t xml:space="preserve"> </w:t>
      </w:r>
      <w:proofErr w:type="spellStart"/>
      <w:r w:rsidRPr="00EF4FE8">
        <w:rPr>
          <w:rFonts w:ascii="Lato" w:hAnsi="Lato"/>
          <w:b/>
          <w:iCs/>
          <w:sz w:val="20"/>
          <w:szCs w:val="20"/>
        </w:rPr>
        <w:t>gwiazdami</w:t>
      </w:r>
      <w:proofErr w:type="spellEnd"/>
      <w:r w:rsidRPr="00EF4FE8">
        <w:rPr>
          <w:rFonts w:ascii="Lato" w:hAnsi="Lato"/>
          <w:bCs/>
          <w:iCs/>
          <w:sz w:val="20"/>
          <w:szCs w:val="20"/>
        </w:rPr>
        <w:t xml:space="preserve">”, z </w:t>
      </w:r>
      <w:proofErr w:type="spellStart"/>
      <w:r w:rsidRPr="00EF4FE8">
        <w:rPr>
          <w:rFonts w:ascii="Lato" w:hAnsi="Lato"/>
          <w:bCs/>
          <w:iCs/>
          <w:sz w:val="20"/>
          <w:szCs w:val="20"/>
        </w:rPr>
        <w:t>którego</w:t>
      </w:r>
      <w:proofErr w:type="spellEnd"/>
      <w:r w:rsidRPr="00EF4FE8">
        <w:rPr>
          <w:rFonts w:ascii="Lato" w:hAnsi="Lato"/>
          <w:sz w:val="20"/>
          <w:szCs w:val="20"/>
        </w:rPr>
        <w:t xml:space="preserve"> </w:t>
      </w:r>
      <w:proofErr w:type="spellStart"/>
      <w:r w:rsidRPr="00EF4FE8">
        <w:rPr>
          <w:rFonts w:ascii="Lato" w:hAnsi="Lato"/>
          <w:sz w:val="20"/>
          <w:szCs w:val="20"/>
        </w:rPr>
        <w:t>skorzystało</w:t>
      </w:r>
      <w:proofErr w:type="spellEnd"/>
      <w:r w:rsidRPr="00EF4FE8">
        <w:rPr>
          <w:rFonts w:ascii="Lato" w:hAnsi="Lato"/>
          <w:sz w:val="20"/>
          <w:szCs w:val="20"/>
        </w:rPr>
        <w:t xml:space="preserve"> </w:t>
      </w:r>
      <w:proofErr w:type="spellStart"/>
      <w:r w:rsidRPr="00EF4FE8">
        <w:rPr>
          <w:rFonts w:ascii="Lato" w:hAnsi="Lato"/>
          <w:sz w:val="20"/>
          <w:szCs w:val="20"/>
        </w:rPr>
        <w:t>około</w:t>
      </w:r>
      <w:proofErr w:type="spellEnd"/>
      <w:r w:rsidRPr="00EF4FE8">
        <w:rPr>
          <w:rFonts w:ascii="Lato" w:hAnsi="Lato"/>
          <w:sz w:val="20"/>
          <w:szCs w:val="20"/>
        </w:rPr>
        <w:t xml:space="preserve"> 45 </w:t>
      </w:r>
      <w:proofErr w:type="spellStart"/>
      <w:r w:rsidRPr="00EF4FE8">
        <w:rPr>
          <w:rFonts w:ascii="Lato" w:hAnsi="Lato"/>
          <w:sz w:val="20"/>
          <w:szCs w:val="20"/>
        </w:rPr>
        <w:t>seniorów</w:t>
      </w:r>
      <w:proofErr w:type="spellEnd"/>
      <w:r w:rsidRPr="00EF4FE8">
        <w:rPr>
          <w:rFonts w:ascii="Lato" w:hAnsi="Lato"/>
          <w:sz w:val="20"/>
          <w:szCs w:val="20"/>
        </w:rPr>
        <w:t xml:space="preserve">. </w:t>
      </w:r>
      <w:proofErr w:type="spellStart"/>
      <w:r w:rsidRPr="00EF4FE8">
        <w:rPr>
          <w:rFonts w:ascii="Lato" w:hAnsi="Lato"/>
          <w:sz w:val="20"/>
          <w:szCs w:val="20"/>
        </w:rPr>
        <w:t>Festiwal</w:t>
      </w:r>
      <w:proofErr w:type="spellEnd"/>
      <w:r w:rsidRPr="00EF4FE8">
        <w:rPr>
          <w:rFonts w:ascii="Lato" w:hAnsi="Lato"/>
          <w:sz w:val="20"/>
          <w:szCs w:val="20"/>
        </w:rPr>
        <w:t xml:space="preserve"> </w:t>
      </w:r>
      <w:proofErr w:type="spellStart"/>
      <w:r w:rsidRPr="00EF4FE8">
        <w:rPr>
          <w:rFonts w:ascii="Lato" w:hAnsi="Lato"/>
          <w:sz w:val="20"/>
          <w:szCs w:val="20"/>
        </w:rPr>
        <w:t>współorganizowany</w:t>
      </w:r>
      <w:proofErr w:type="spellEnd"/>
      <w:r w:rsidRPr="00EF4FE8">
        <w:rPr>
          <w:rFonts w:ascii="Lato" w:hAnsi="Lato"/>
          <w:sz w:val="20"/>
          <w:szCs w:val="20"/>
        </w:rPr>
        <w:t xml:space="preserve"> </w:t>
      </w:r>
      <w:proofErr w:type="spellStart"/>
      <w:r w:rsidRPr="00EF4FE8">
        <w:rPr>
          <w:rFonts w:ascii="Lato" w:hAnsi="Lato"/>
          <w:sz w:val="20"/>
          <w:szCs w:val="20"/>
        </w:rPr>
        <w:t>był</w:t>
      </w:r>
      <w:proofErr w:type="spellEnd"/>
      <w:r w:rsidRPr="00EF4FE8">
        <w:rPr>
          <w:rFonts w:ascii="Lato" w:hAnsi="Lato"/>
          <w:sz w:val="20"/>
          <w:szCs w:val="20"/>
        </w:rPr>
        <w:t xml:space="preserve"> </w:t>
      </w:r>
      <w:proofErr w:type="spellStart"/>
      <w:r w:rsidRPr="00EF4FE8">
        <w:rPr>
          <w:rFonts w:ascii="Lato" w:hAnsi="Lato"/>
          <w:sz w:val="20"/>
          <w:szCs w:val="20"/>
        </w:rPr>
        <w:t>przez</w:t>
      </w:r>
      <w:proofErr w:type="spellEnd"/>
      <w:r w:rsidRPr="00EF4FE8">
        <w:rPr>
          <w:rFonts w:ascii="Lato" w:hAnsi="Lato"/>
          <w:sz w:val="20"/>
          <w:szCs w:val="20"/>
        </w:rPr>
        <w:t xml:space="preserve"> </w:t>
      </w:r>
      <w:proofErr w:type="spellStart"/>
      <w:r w:rsidRPr="00EF4FE8">
        <w:rPr>
          <w:rFonts w:ascii="Lato" w:hAnsi="Lato"/>
          <w:sz w:val="20"/>
          <w:szCs w:val="20"/>
        </w:rPr>
        <w:t>CKiR</w:t>
      </w:r>
      <w:proofErr w:type="spellEnd"/>
      <w:r w:rsidRPr="00EF4FE8">
        <w:rPr>
          <w:rFonts w:ascii="Lato" w:hAnsi="Lato"/>
          <w:sz w:val="20"/>
          <w:szCs w:val="20"/>
        </w:rPr>
        <w:t xml:space="preserve"> na </w:t>
      </w:r>
      <w:proofErr w:type="spellStart"/>
      <w:r w:rsidRPr="00EF4FE8">
        <w:rPr>
          <w:rFonts w:ascii="Lato" w:hAnsi="Lato"/>
          <w:sz w:val="20"/>
          <w:szCs w:val="20"/>
        </w:rPr>
        <w:t>terenie</w:t>
      </w:r>
      <w:proofErr w:type="spellEnd"/>
      <w:r w:rsidRPr="00EF4FE8">
        <w:rPr>
          <w:rFonts w:ascii="Lato" w:hAnsi="Lato"/>
          <w:sz w:val="20"/>
          <w:szCs w:val="20"/>
        </w:rPr>
        <w:t xml:space="preserve"> </w:t>
      </w:r>
      <w:proofErr w:type="spellStart"/>
      <w:r w:rsidRPr="00EF4FE8">
        <w:rPr>
          <w:rFonts w:ascii="Lato" w:hAnsi="Lato"/>
          <w:sz w:val="20"/>
          <w:szCs w:val="20"/>
        </w:rPr>
        <w:t>kempingu</w:t>
      </w:r>
      <w:proofErr w:type="spellEnd"/>
      <w:r w:rsidRPr="00EF4FE8">
        <w:rPr>
          <w:rFonts w:ascii="Lato" w:hAnsi="Lato"/>
          <w:sz w:val="20"/>
          <w:szCs w:val="20"/>
        </w:rPr>
        <w:t xml:space="preserve"> </w:t>
      </w:r>
      <w:proofErr w:type="spellStart"/>
      <w:r w:rsidRPr="00EF4FE8">
        <w:rPr>
          <w:rFonts w:ascii="Lato" w:hAnsi="Lato"/>
          <w:sz w:val="20"/>
          <w:szCs w:val="20"/>
        </w:rPr>
        <w:t>Hania</w:t>
      </w:r>
      <w:proofErr w:type="spellEnd"/>
      <w:r w:rsidRPr="00EF4FE8">
        <w:rPr>
          <w:rFonts w:ascii="Lato" w:hAnsi="Lato"/>
          <w:sz w:val="20"/>
          <w:szCs w:val="20"/>
        </w:rPr>
        <w:t xml:space="preserve"> w </w:t>
      </w:r>
      <w:proofErr w:type="spellStart"/>
      <w:r w:rsidRPr="00EF4FE8">
        <w:rPr>
          <w:rFonts w:ascii="Lato" w:hAnsi="Lato"/>
          <w:sz w:val="20"/>
          <w:szCs w:val="20"/>
        </w:rPr>
        <w:t>Morzyczynie</w:t>
      </w:r>
      <w:proofErr w:type="spellEnd"/>
      <w:r w:rsidRPr="00EF4FE8">
        <w:rPr>
          <w:rFonts w:ascii="Lato" w:hAnsi="Lato"/>
          <w:sz w:val="20"/>
          <w:szCs w:val="20"/>
        </w:rPr>
        <w:t xml:space="preserve">. Na </w:t>
      </w:r>
      <w:proofErr w:type="spellStart"/>
      <w:r w:rsidRPr="00EF4FE8">
        <w:rPr>
          <w:rFonts w:ascii="Lato" w:hAnsi="Lato"/>
          <w:sz w:val="20"/>
          <w:szCs w:val="20"/>
        </w:rPr>
        <w:t>terenie</w:t>
      </w:r>
      <w:proofErr w:type="spellEnd"/>
      <w:r w:rsidRPr="00EF4FE8">
        <w:rPr>
          <w:rFonts w:ascii="Lato" w:hAnsi="Lato"/>
          <w:sz w:val="20"/>
          <w:szCs w:val="20"/>
        </w:rPr>
        <w:t xml:space="preserve"> </w:t>
      </w:r>
      <w:proofErr w:type="spellStart"/>
      <w:r w:rsidRPr="00EF4FE8">
        <w:rPr>
          <w:rFonts w:ascii="Lato" w:hAnsi="Lato"/>
          <w:sz w:val="20"/>
          <w:szCs w:val="20"/>
        </w:rPr>
        <w:t>sołectwa</w:t>
      </w:r>
      <w:proofErr w:type="spellEnd"/>
      <w:r w:rsidRPr="00EF4FE8">
        <w:rPr>
          <w:rFonts w:ascii="Lato" w:hAnsi="Lato"/>
          <w:sz w:val="20"/>
          <w:szCs w:val="20"/>
        </w:rPr>
        <w:t xml:space="preserve"> </w:t>
      </w:r>
      <w:proofErr w:type="spellStart"/>
      <w:r w:rsidRPr="00EF4FE8">
        <w:rPr>
          <w:rFonts w:ascii="Lato" w:hAnsi="Lato"/>
          <w:sz w:val="20"/>
          <w:szCs w:val="20"/>
        </w:rPr>
        <w:t>Morzyczyn</w:t>
      </w:r>
      <w:proofErr w:type="spellEnd"/>
      <w:r w:rsidRPr="00EF4FE8">
        <w:rPr>
          <w:rFonts w:ascii="Lato" w:hAnsi="Lato"/>
          <w:sz w:val="20"/>
          <w:szCs w:val="20"/>
        </w:rPr>
        <w:t xml:space="preserve"> </w:t>
      </w:r>
      <w:proofErr w:type="spellStart"/>
      <w:r w:rsidRPr="00EF4FE8">
        <w:rPr>
          <w:rFonts w:ascii="Lato" w:hAnsi="Lato"/>
          <w:sz w:val="20"/>
          <w:szCs w:val="20"/>
        </w:rPr>
        <w:t>funkcjonuje</w:t>
      </w:r>
      <w:proofErr w:type="spellEnd"/>
      <w:r w:rsidRPr="00EF4FE8">
        <w:rPr>
          <w:rFonts w:ascii="Lato" w:hAnsi="Lato"/>
          <w:sz w:val="20"/>
          <w:szCs w:val="20"/>
        </w:rPr>
        <w:t xml:space="preserve"> </w:t>
      </w:r>
      <w:proofErr w:type="spellStart"/>
      <w:r w:rsidRPr="00EF4FE8">
        <w:rPr>
          <w:rFonts w:ascii="Lato" w:hAnsi="Lato"/>
          <w:i/>
          <w:sz w:val="20"/>
          <w:szCs w:val="20"/>
        </w:rPr>
        <w:t>Stowarzyszenie</w:t>
      </w:r>
      <w:proofErr w:type="spellEnd"/>
      <w:r w:rsidRPr="00EF4FE8">
        <w:rPr>
          <w:rFonts w:ascii="Lato" w:hAnsi="Lato"/>
          <w:i/>
          <w:sz w:val="20"/>
          <w:szCs w:val="20"/>
        </w:rPr>
        <w:t xml:space="preserve"> Al.-Ma</w:t>
      </w:r>
      <w:r w:rsidRPr="00EF4FE8">
        <w:rPr>
          <w:rFonts w:ascii="Lato" w:hAnsi="Lato"/>
          <w:sz w:val="20"/>
          <w:szCs w:val="20"/>
        </w:rPr>
        <w:t xml:space="preserve">, </w:t>
      </w:r>
      <w:proofErr w:type="spellStart"/>
      <w:r w:rsidRPr="00EF4FE8">
        <w:rPr>
          <w:rFonts w:ascii="Lato" w:hAnsi="Lato"/>
          <w:sz w:val="20"/>
          <w:szCs w:val="20"/>
        </w:rPr>
        <w:t>które</w:t>
      </w:r>
      <w:proofErr w:type="spellEnd"/>
      <w:r w:rsidRPr="00EF4FE8">
        <w:rPr>
          <w:rFonts w:ascii="Lato" w:hAnsi="Lato"/>
          <w:sz w:val="20"/>
          <w:szCs w:val="20"/>
        </w:rPr>
        <w:t xml:space="preserve"> </w:t>
      </w:r>
      <w:proofErr w:type="spellStart"/>
      <w:r w:rsidRPr="00EF4FE8">
        <w:rPr>
          <w:rFonts w:ascii="Lato" w:hAnsi="Lato"/>
          <w:sz w:val="20"/>
          <w:szCs w:val="20"/>
        </w:rPr>
        <w:t>organizuje</w:t>
      </w:r>
      <w:proofErr w:type="spellEnd"/>
      <w:r w:rsidRPr="00EF4FE8">
        <w:rPr>
          <w:rFonts w:ascii="Lato" w:hAnsi="Lato"/>
          <w:sz w:val="20"/>
          <w:szCs w:val="20"/>
        </w:rPr>
        <w:t xml:space="preserve"> </w:t>
      </w:r>
      <w:proofErr w:type="spellStart"/>
      <w:r w:rsidRPr="00EF4FE8">
        <w:rPr>
          <w:rFonts w:ascii="Lato" w:hAnsi="Lato"/>
          <w:sz w:val="20"/>
          <w:szCs w:val="20"/>
        </w:rPr>
        <w:t>zajęcia</w:t>
      </w:r>
      <w:proofErr w:type="spellEnd"/>
      <w:r w:rsidRPr="00EF4FE8">
        <w:rPr>
          <w:rFonts w:ascii="Lato" w:hAnsi="Lato"/>
          <w:sz w:val="20"/>
          <w:szCs w:val="20"/>
        </w:rPr>
        <w:t xml:space="preserve"> </w:t>
      </w:r>
      <w:proofErr w:type="spellStart"/>
      <w:r w:rsidRPr="00EF4FE8">
        <w:rPr>
          <w:rFonts w:ascii="Lato" w:hAnsi="Lato"/>
          <w:sz w:val="20"/>
          <w:szCs w:val="20"/>
        </w:rPr>
        <w:t>plastyczne</w:t>
      </w:r>
      <w:proofErr w:type="spellEnd"/>
      <w:r w:rsidRPr="00EF4FE8">
        <w:rPr>
          <w:rFonts w:ascii="Lato" w:hAnsi="Lato"/>
          <w:sz w:val="20"/>
          <w:szCs w:val="20"/>
        </w:rPr>
        <w:t xml:space="preserve"> </w:t>
      </w:r>
      <w:proofErr w:type="spellStart"/>
      <w:r w:rsidRPr="00EF4FE8">
        <w:rPr>
          <w:rFonts w:ascii="Lato" w:hAnsi="Lato"/>
          <w:sz w:val="20"/>
          <w:szCs w:val="20"/>
        </w:rPr>
        <w:t>prowadzone</w:t>
      </w:r>
      <w:proofErr w:type="spellEnd"/>
      <w:r w:rsidRPr="00EF4FE8">
        <w:rPr>
          <w:rFonts w:ascii="Lato" w:hAnsi="Lato"/>
          <w:sz w:val="20"/>
          <w:szCs w:val="20"/>
        </w:rPr>
        <w:t xml:space="preserve"> </w:t>
      </w:r>
      <w:proofErr w:type="spellStart"/>
      <w:r w:rsidRPr="00EF4FE8">
        <w:rPr>
          <w:rFonts w:ascii="Lato" w:hAnsi="Lato"/>
          <w:sz w:val="20"/>
          <w:szCs w:val="20"/>
        </w:rPr>
        <w:t>przez</w:t>
      </w:r>
      <w:proofErr w:type="spellEnd"/>
      <w:r w:rsidRPr="00EF4FE8">
        <w:rPr>
          <w:rFonts w:ascii="Lato" w:hAnsi="Lato"/>
          <w:sz w:val="20"/>
          <w:szCs w:val="20"/>
        </w:rPr>
        <w:t xml:space="preserve"> </w:t>
      </w:r>
      <w:proofErr w:type="spellStart"/>
      <w:r w:rsidRPr="00EF4FE8">
        <w:rPr>
          <w:rFonts w:ascii="Lato" w:hAnsi="Lato"/>
          <w:sz w:val="20"/>
          <w:szCs w:val="20"/>
        </w:rPr>
        <w:t>seniorów</w:t>
      </w:r>
      <w:proofErr w:type="spellEnd"/>
      <w:r w:rsidRPr="00EF4FE8">
        <w:rPr>
          <w:rFonts w:ascii="Lato" w:hAnsi="Lato"/>
          <w:sz w:val="20"/>
          <w:szCs w:val="20"/>
        </w:rPr>
        <w:t>.</w:t>
      </w:r>
    </w:p>
    <w:p w14:paraId="78C0430E" w14:textId="77777777" w:rsidR="00EF4FE8" w:rsidRDefault="00EF4FE8" w:rsidP="00EF4FE8">
      <w:pPr>
        <w:pStyle w:val="Bezodstpw"/>
        <w:jc w:val="both"/>
        <w:rPr>
          <w:rFonts w:ascii="Lato" w:hAnsi="Lato" w:cs="Calibri"/>
          <w:b/>
          <w:bCs/>
          <w:iCs/>
          <w:sz w:val="20"/>
          <w:szCs w:val="20"/>
        </w:rPr>
      </w:pPr>
    </w:p>
    <w:p w14:paraId="35CDBCC5" w14:textId="49035291" w:rsidR="00EF4FE8" w:rsidRPr="00EF4FE8" w:rsidRDefault="00EF4FE8" w:rsidP="00EF4FE8">
      <w:pPr>
        <w:pStyle w:val="Bezodstpw"/>
        <w:jc w:val="both"/>
        <w:rPr>
          <w:rFonts w:ascii="Lato" w:hAnsi="Lato" w:cs="Calibri"/>
          <w:sz w:val="20"/>
          <w:szCs w:val="20"/>
        </w:rPr>
      </w:pPr>
      <w:r>
        <w:rPr>
          <w:rFonts w:ascii="Lato" w:hAnsi="Lato" w:cs="Calibri"/>
          <w:b/>
          <w:bCs/>
          <w:iCs/>
          <w:sz w:val="20"/>
          <w:szCs w:val="20"/>
        </w:rPr>
        <w:t>Pr</w:t>
      </w:r>
      <w:r w:rsidRPr="00EF4FE8">
        <w:rPr>
          <w:rFonts w:ascii="Lato" w:hAnsi="Lato" w:cs="Calibri"/>
          <w:b/>
          <w:bCs/>
          <w:iCs/>
          <w:sz w:val="20"/>
          <w:szCs w:val="20"/>
        </w:rPr>
        <w:t>ogram „Koperta Życia</w:t>
      </w:r>
      <w:r>
        <w:rPr>
          <w:rFonts w:ascii="Lato" w:hAnsi="Lato" w:cs="Calibri"/>
          <w:b/>
          <w:bCs/>
          <w:iCs/>
          <w:sz w:val="20"/>
          <w:szCs w:val="20"/>
        </w:rPr>
        <w:t xml:space="preserve"> </w:t>
      </w:r>
      <w:r w:rsidRPr="00EF4FE8">
        <w:rPr>
          <w:rFonts w:ascii="Lato" w:hAnsi="Lato" w:cs="Calibri"/>
          <w:sz w:val="20"/>
          <w:szCs w:val="20"/>
        </w:rPr>
        <w:t>realizowany przez Ośrodek Pomocy Społecznej w Pyrzycach. Program skierowany jest do osób przewlekle chorych, starszych, samotnych, mieszkańców gminy, którzy ukończyli  65 rok życia. Celem programu jest uświadomienie mieszkańców miasta znaczenie posiadania, w miejscu ogólnie dostępnym, szczegółowych informacji dotyczących ich stanu zdrowia oraz udzielenie sprawniejszej pomocy. „Koperta życia” zawiera kartę informacyjną, w której podane się informacje dotyczące jej właściciela m. in. dane osobowe, numer telefonu do bliskiej osoby, przebyte choroby, zażywane leki i uczulenia. Umieszczenie koperty w miejscu widocznym i dostępnym umożliwia służbom medycznym w razie wypadku lub zasłabnięcia, a także policji, straży pożarnej, straży miejskiej czy służbom socjalnym szybki dostęp do podstawowych informacji o seniorze. Bezpłatny pakiet „Koperty Życia” można otrzymać w Ośrodku Pomocy Społecznej w Pyrzycach.</w:t>
      </w:r>
      <w:r>
        <w:rPr>
          <w:rFonts w:ascii="Lato" w:hAnsi="Lato" w:cs="Calibri"/>
          <w:sz w:val="20"/>
          <w:szCs w:val="20"/>
        </w:rPr>
        <w:t xml:space="preserve"> </w:t>
      </w:r>
      <w:r w:rsidRPr="00EF4FE8">
        <w:rPr>
          <w:rFonts w:ascii="Lato" w:hAnsi="Lato" w:cs="Calibri"/>
          <w:sz w:val="20"/>
          <w:szCs w:val="20"/>
        </w:rPr>
        <w:t>W 2022 roku wydano 10 kopert. Łącznie na dzień 31 grudnia 2022 r. z „Koperty życia” łącznie skorzystały 133 osoby.</w:t>
      </w:r>
    </w:p>
    <w:p w14:paraId="26DBE9E4" w14:textId="77777777" w:rsidR="00EF4FE8" w:rsidRPr="00EF4FE8" w:rsidRDefault="00EF4FE8" w:rsidP="00EF4FE8">
      <w:pPr>
        <w:spacing w:after="0" w:line="240" w:lineRule="auto"/>
        <w:jc w:val="both"/>
        <w:rPr>
          <w:rFonts w:ascii="Lato" w:hAnsi="Lato"/>
          <w:sz w:val="20"/>
          <w:szCs w:val="20"/>
        </w:rPr>
      </w:pPr>
    </w:p>
    <w:p w14:paraId="272EFD13" w14:textId="77777777" w:rsidR="00EF4FE8" w:rsidRPr="00EF4FE8" w:rsidRDefault="00EF4FE8" w:rsidP="00EF4FE8">
      <w:pPr>
        <w:spacing w:after="0" w:line="240" w:lineRule="auto"/>
        <w:jc w:val="both"/>
        <w:rPr>
          <w:rFonts w:ascii="Lato" w:hAnsi="Lato"/>
          <w:sz w:val="20"/>
          <w:szCs w:val="20"/>
        </w:rPr>
      </w:pPr>
      <w:r w:rsidRPr="00EF4FE8">
        <w:rPr>
          <w:rFonts w:ascii="Lato" w:hAnsi="Lato"/>
          <w:sz w:val="20"/>
          <w:szCs w:val="20"/>
        </w:rPr>
        <w:t xml:space="preserve">Ze środków Unii Europejskiej realizowany był </w:t>
      </w:r>
      <w:r w:rsidRPr="00EF4FE8">
        <w:rPr>
          <w:rFonts w:ascii="Lato" w:hAnsi="Lato"/>
          <w:b/>
          <w:sz w:val="20"/>
          <w:szCs w:val="20"/>
        </w:rPr>
        <w:t>Projekt „Nowe kwalifikacje – nowe szanse”</w:t>
      </w:r>
      <w:r w:rsidRPr="00EF4FE8">
        <w:rPr>
          <w:rFonts w:ascii="Lato" w:hAnsi="Lato"/>
          <w:b/>
          <w:i/>
          <w:sz w:val="20"/>
          <w:szCs w:val="20"/>
        </w:rPr>
        <w:t xml:space="preserve"> </w:t>
      </w:r>
      <w:r w:rsidRPr="00EF4FE8">
        <w:rPr>
          <w:rFonts w:ascii="Lato" w:hAnsi="Lato"/>
          <w:sz w:val="20"/>
          <w:szCs w:val="20"/>
        </w:rPr>
        <w:t xml:space="preserve">dla osób starszych. W ramach tego projektu zorganizowano kurs języka angielskiego.  </w:t>
      </w:r>
    </w:p>
    <w:p w14:paraId="50AF9380" w14:textId="1F834DBC" w:rsidR="00EF4FE8" w:rsidRPr="00EF4FE8" w:rsidRDefault="00EF4FE8" w:rsidP="00EF4FE8">
      <w:pPr>
        <w:spacing w:after="0" w:line="240" w:lineRule="auto"/>
        <w:jc w:val="both"/>
        <w:rPr>
          <w:rFonts w:ascii="Lato" w:hAnsi="Lato"/>
          <w:b/>
          <w:sz w:val="20"/>
          <w:szCs w:val="20"/>
        </w:rPr>
      </w:pPr>
    </w:p>
    <w:p w14:paraId="75023C18" w14:textId="6BA0DA2A" w:rsidR="00EF4FE8" w:rsidRDefault="00EF4FE8" w:rsidP="00EF4FE8">
      <w:pPr>
        <w:spacing w:after="0" w:line="240" w:lineRule="auto"/>
        <w:jc w:val="both"/>
        <w:rPr>
          <w:rFonts w:ascii="Lato" w:hAnsi="Lato"/>
          <w:sz w:val="20"/>
          <w:szCs w:val="20"/>
        </w:rPr>
      </w:pPr>
      <w:r w:rsidRPr="009A5B5E">
        <w:rPr>
          <w:rFonts w:ascii="Lato" w:hAnsi="Lato"/>
          <w:b/>
          <w:iCs/>
          <w:sz w:val="20"/>
          <w:szCs w:val="20"/>
        </w:rPr>
        <w:t>Taksówka społeczna</w:t>
      </w:r>
      <w:r w:rsidRPr="00EF4FE8">
        <w:rPr>
          <w:rFonts w:ascii="Lato" w:hAnsi="Lato"/>
          <w:sz w:val="20"/>
          <w:szCs w:val="20"/>
        </w:rPr>
        <w:t xml:space="preserve"> – usługa oferowana przez Centrum Usług Społecznych w Resku dla osób w wieku senioralnym, samotnych i pozbawionych innego środka lokomocji. Samochód jest przystosowany do przewozu osób niepełnosprawnych. W 2022 r.  dla seniorów w gminy Resko było zrealizowanych 29 wyjazdów. </w:t>
      </w:r>
    </w:p>
    <w:p w14:paraId="14DE608A" w14:textId="77777777" w:rsidR="009A5B5E" w:rsidRPr="00EF4FE8" w:rsidRDefault="009A5B5E" w:rsidP="00EF4FE8">
      <w:pPr>
        <w:spacing w:after="0" w:line="240" w:lineRule="auto"/>
        <w:jc w:val="both"/>
        <w:rPr>
          <w:rFonts w:ascii="Lato" w:hAnsi="Lato"/>
          <w:sz w:val="20"/>
          <w:szCs w:val="20"/>
        </w:rPr>
      </w:pPr>
    </w:p>
    <w:p w14:paraId="71C8563B" w14:textId="77777777" w:rsidR="00EF4FE8" w:rsidRPr="00EF4FE8" w:rsidRDefault="00EF4FE8" w:rsidP="00EF4FE8">
      <w:pPr>
        <w:spacing w:after="0" w:line="240" w:lineRule="auto"/>
        <w:jc w:val="both"/>
        <w:rPr>
          <w:rFonts w:ascii="Lato" w:hAnsi="Lato"/>
          <w:sz w:val="20"/>
          <w:szCs w:val="20"/>
        </w:rPr>
      </w:pPr>
      <w:r w:rsidRPr="009A5B5E">
        <w:rPr>
          <w:rFonts w:ascii="Lato" w:hAnsi="Lato"/>
          <w:b/>
          <w:iCs/>
          <w:sz w:val="20"/>
          <w:szCs w:val="20"/>
        </w:rPr>
        <w:t>Fundusz Inicjatyw Senioralnych</w:t>
      </w:r>
      <w:r w:rsidRPr="00EF4FE8">
        <w:rPr>
          <w:rFonts w:ascii="Lato" w:hAnsi="Lato"/>
          <w:b/>
          <w:sz w:val="20"/>
          <w:szCs w:val="20"/>
        </w:rPr>
        <w:t xml:space="preserve"> –</w:t>
      </w:r>
      <w:r w:rsidRPr="00EF4FE8">
        <w:rPr>
          <w:rFonts w:ascii="Lato" w:hAnsi="Lato"/>
          <w:sz w:val="20"/>
          <w:szCs w:val="20"/>
        </w:rPr>
        <w:t xml:space="preserve"> 168 osób z terenu gminy Resko korzystało z działań zrealizowanych wspólnie przez Centrum Usług Społecznych i grupy inicjatywne senioralne. Działania obejmowały aktywizację społeczną, integrację społeczności senioralnej oraz promowanie zdrowego trybu życia. </w:t>
      </w:r>
    </w:p>
    <w:p w14:paraId="1E066299" w14:textId="77777777" w:rsidR="009A5B5E" w:rsidRDefault="009A5B5E" w:rsidP="00EF4FE8">
      <w:pPr>
        <w:spacing w:after="0" w:line="240" w:lineRule="auto"/>
        <w:jc w:val="both"/>
        <w:rPr>
          <w:rFonts w:ascii="Lato" w:hAnsi="Lato"/>
          <w:b/>
          <w:iCs/>
          <w:sz w:val="20"/>
          <w:szCs w:val="20"/>
        </w:rPr>
      </w:pPr>
    </w:p>
    <w:p w14:paraId="2DA11CD5" w14:textId="322A5B89" w:rsidR="00EF4FE8" w:rsidRPr="00EF4FE8" w:rsidRDefault="00EF4FE8" w:rsidP="00EF4FE8">
      <w:pPr>
        <w:spacing w:after="0" w:line="240" w:lineRule="auto"/>
        <w:jc w:val="both"/>
        <w:rPr>
          <w:rFonts w:ascii="Lato" w:hAnsi="Lato"/>
          <w:sz w:val="20"/>
          <w:szCs w:val="20"/>
        </w:rPr>
      </w:pPr>
      <w:r w:rsidRPr="009A5B5E">
        <w:rPr>
          <w:rFonts w:ascii="Lato" w:hAnsi="Lato"/>
          <w:b/>
          <w:iCs/>
          <w:sz w:val="20"/>
          <w:szCs w:val="20"/>
        </w:rPr>
        <w:t>Joga dla seniora</w:t>
      </w:r>
      <w:r w:rsidRPr="00EF4FE8">
        <w:rPr>
          <w:rFonts w:ascii="Lato" w:hAnsi="Lato"/>
          <w:sz w:val="20"/>
          <w:szCs w:val="20"/>
        </w:rPr>
        <w:t xml:space="preserve"> – bezpłatne zajęcia ruchowo – rekreacyjne przeznaczone dla osób starszych, mieszkańców gminy Resko. W 2022 r. z zajęć organizowanych przez CUS skorzystało 31 osób. </w:t>
      </w:r>
    </w:p>
    <w:p w14:paraId="2CFAC9CE" w14:textId="77777777" w:rsidR="009A5B5E" w:rsidRDefault="009A5B5E" w:rsidP="00EF4FE8">
      <w:pPr>
        <w:spacing w:after="0" w:line="240" w:lineRule="auto"/>
        <w:jc w:val="both"/>
        <w:rPr>
          <w:rFonts w:ascii="Lato" w:hAnsi="Lato"/>
          <w:b/>
          <w:i/>
          <w:sz w:val="20"/>
          <w:szCs w:val="20"/>
        </w:rPr>
      </w:pPr>
    </w:p>
    <w:p w14:paraId="18DBD38D" w14:textId="2C1CB8E2" w:rsidR="00EF4FE8" w:rsidRPr="00EF4FE8" w:rsidRDefault="00EF4FE8" w:rsidP="00EF4FE8">
      <w:pPr>
        <w:spacing w:after="0" w:line="240" w:lineRule="auto"/>
        <w:jc w:val="both"/>
        <w:rPr>
          <w:rFonts w:ascii="Lato" w:hAnsi="Lato"/>
          <w:sz w:val="20"/>
          <w:szCs w:val="20"/>
        </w:rPr>
      </w:pPr>
      <w:r w:rsidRPr="009A5B5E">
        <w:rPr>
          <w:rFonts w:ascii="Lato" w:hAnsi="Lato"/>
          <w:b/>
          <w:iCs/>
          <w:sz w:val="20"/>
          <w:szCs w:val="20"/>
        </w:rPr>
        <w:t>Złota Rączka</w:t>
      </w:r>
      <w:r w:rsidRPr="00EF4FE8">
        <w:rPr>
          <w:rFonts w:ascii="Lato" w:hAnsi="Lato"/>
          <w:sz w:val="20"/>
          <w:szCs w:val="20"/>
        </w:rPr>
        <w:t xml:space="preserve"> – usługa prowadzona przez CUS, która przeznaczona jest dla mieszkańców gminy, w szczególności dla osób starszych, samotnych i niepełnosprawnych. W 2022 r. z pomocy </w:t>
      </w:r>
      <w:r w:rsidRPr="00EF4FE8">
        <w:rPr>
          <w:rFonts w:ascii="Lato" w:hAnsi="Lato"/>
          <w:b/>
          <w:bCs/>
          <w:sz w:val="20"/>
          <w:szCs w:val="20"/>
        </w:rPr>
        <w:t>Złotej Rączki</w:t>
      </w:r>
      <w:r w:rsidRPr="00EF4FE8">
        <w:rPr>
          <w:rFonts w:ascii="Lato" w:hAnsi="Lato"/>
          <w:sz w:val="20"/>
          <w:szCs w:val="20"/>
        </w:rPr>
        <w:t xml:space="preserve"> w niewielkich naprawach domowych skorzystało 11 seniorów.</w:t>
      </w:r>
    </w:p>
    <w:p w14:paraId="444F763B" w14:textId="77777777" w:rsidR="00EF4FE8" w:rsidRPr="00EF4FE8" w:rsidRDefault="00EF4FE8" w:rsidP="00EF4FE8">
      <w:pPr>
        <w:spacing w:after="0" w:line="240" w:lineRule="auto"/>
        <w:jc w:val="both"/>
        <w:rPr>
          <w:rFonts w:ascii="Lato" w:hAnsi="Lato"/>
          <w:sz w:val="20"/>
          <w:szCs w:val="20"/>
        </w:rPr>
      </w:pPr>
    </w:p>
    <w:p w14:paraId="2C249F4C" w14:textId="037C177F" w:rsidR="00EF4FE8" w:rsidRPr="009A5B5E" w:rsidRDefault="00EF4FE8" w:rsidP="009A5B5E">
      <w:pPr>
        <w:tabs>
          <w:tab w:val="left" w:pos="284"/>
        </w:tabs>
        <w:spacing w:after="0" w:line="240" w:lineRule="auto"/>
        <w:jc w:val="both"/>
        <w:rPr>
          <w:rFonts w:ascii="Lato" w:hAnsi="Lato"/>
          <w:sz w:val="20"/>
          <w:szCs w:val="20"/>
          <w:u w:val="single"/>
        </w:rPr>
      </w:pPr>
      <w:r w:rsidRPr="009A5B5E">
        <w:rPr>
          <w:rFonts w:ascii="Lato" w:hAnsi="Lato" w:cs="Calibri"/>
          <w:b/>
          <w:bCs/>
          <w:sz w:val="20"/>
          <w:szCs w:val="20"/>
        </w:rPr>
        <w:t>Program Wsparcia, Aktywności Społecznej i Integracji Osób Starszych</w:t>
      </w:r>
      <w:r w:rsidRPr="009A5B5E">
        <w:rPr>
          <w:rFonts w:ascii="Lato" w:hAnsi="Lato" w:cs="Calibri"/>
          <w:sz w:val="20"/>
          <w:szCs w:val="20"/>
        </w:rPr>
        <w:t xml:space="preserve"> (Gmina Darłowo) na lata 2022-2024, przyjęty uchwałą Nr XLIV.452.2021 Rady Gminy Darłowo z dnia 20 grudnia 2021 r. </w:t>
      </w:r>
      <w:r w:rsidRPr="009A5B5E">
        <w:rPr>
          <w:rStyle w:val="markedcontent"/>
          <w:rFonts w:ascii="Lato" w:hAnsi="Lato" w:cs="Calibri"/>
          <w:sz w:val="20"/>
          <w:szCs w:val="20"/>
        </w:rPr>
        <w:t xml:space="preserve">Program jest kontynuacją działań w ramach gminnej polityki senioralnej. </w:t>
      </w:r>
      <w:r w:rsidRPr="009A5B5E">
        <w:rPr>
          <w:rFonts w:ascii="Lato" w:hAnsi="Lato"/>
          <w:sz w:val="20"/>
          <w:szCs w:val="20"/>
        </w:rPr>
        <w:t>Program ma na celu tworzenie warunków do działań promujących aktywność seniorów, zapewniających poczucie bezpieczeństwa, wsparcia, określa zadania mające na celu przystosowanie infrastruktury do potrzeb i możliwości osób starszych, a także integrację wewnątrz i międzypokoleniową. Program ma na celu zmianę sposobu postrzegania seniorów przez społeczeństwo, w szczególności dzieci i młodzież.</w:t>
      </w:r>
    </w:p>
    <w:p w14:paraId="6A043843" w14:textId="77777777" w:rsidR="009A5B5E" w:rsidRDefault="009A5B5E" w:rsidP="009A5B5E">
      <w:pPr>
        <w:tabs>
          <w:tab w:val="left" w:pos="284"/>
        </w:tabs>
        <w:spacing w:after="0" w:line="240" w:lineRule="auto"/>
        <w:jc w:val="both"/>
        <w:rPr>
          <w:rFonts w:ascii="Lato" w:hAnsi="Lato"/>
          <w:b/>
          <w:bCs/>
          <w:sz w:val="20"/>
          <w:szCs w:val="20"/>
        </w:rPr>
      </w:pPr>
    </w:p>
    <w:p w14:paraId="13FFE6FA" w14:textId="7C0C950F" w:rsidR="00EF4FE8" w:rsidRPr="009A5B5E" w:rsidRDefault="00EF4FE8" w:rsidP="009A5B5E">
      <w:pPr>
        <w:tabs>
          <w:tab w:val="left" w:pos="284"/>
        </w:tabs>
        <w:spacing w:after="0" w:line="240" w:lineRule="auto"/>
        <w:jc w:val="both"/>
        <w:rPr>
          <w:rFonts w:ascii="Lato" w:hAnsi="Lato"/>
          <w:sz w:val="20"/>
          <w:szCs w:val="20"/>
        </w:rPr>
      </w:pPr>
      <w:r w:rsidRPr="009A5B5E">
        <w:rPr>
          <w:rFonts w:ascii="Lato" w:hAnsi="Lato"/>
          <w:b/>
          <w:bCs/>
          <w:sz w:val="20"/>
          <w:szCs w:val="20"/>
        </w:rPr>
        <w:t xml:space="preserve">Uniwersytety Trzeciego Wieku </w:t>
      </w:r>
      <w:r w:rsidRPr="009A5B5E">
        <w:rPr>
          <w:rFonts w:ascii="Lato" w:hAnsi="Lato"/>
          <w:sz w:val="20"/>
          <w:szCs w:val="20"/>
        </w:rPr>
        <w:t xml:space="preserve">działające na terytorium województwa zachodniopomorskiego (np. Szczecin – 1600 uczestników), których działania zmierzają do wyzwolenia seniorów ze stereotypu osoby starszej poprzez ich edukację, propagowanie zdrowego stylu życia i poprawę kondycji fizycznej, poszerzenie kontaktów społecznych  i integrację w grupie rówieśniczej, rozrywkę i rekreację. Wspierają aktywność społeczną, kulturalna, edukacyjną i sportową, a także dostęp do wiedzy, możliwość poszerzania horyzontów i wymiany doświadczeń naukowych i ogólnoludzkich. UTW wykorzystują również potencjał naukowy wyższych uczelni, poprzez uczestnictwo w międzyuczelnianych </w:t>
      </w:r>
      <w:r w:rsidRPr="009A5B5E">
        <w:rPr>
          <w:rFonts w:ascii="Lato" w:hAnsi="Lato"/>
          <w:sz w:val="20"/>
          <w:szCs w:val="20"/>
        </w:rPr>
        <w:lastRenderedPageBreak/>
        <w:t>konferencjach naukowych, co przyczynia się do przeciwdziałania dyskryminacji w obrębie dostępu do nauki i wiedzy wśród słuchaczy UTW.</w:t>
      </w:r>
    </w:p>
    <w:p w14:paraId="28A4E288" w14:textId="77777777" w:rsidR="009A5B5E" w:rsidRDefault="009A5B5E" w:rsidP="009A5B5E">
      <w:pPr>
        <w:tabs>
          <w:tab w:val="left" w:pos="284"/>
        </w:tabs>
        <w:spacing w:after="0" w:line="240" w:lineRule="auto"/>
        <w:jc w:val="both"/>
        <w:rPr>
          <w:rFonts w:ascii="Lato" w:eastAsia="Calibri" w:hAnsi="Lato" w:cs="Arial"/>
          <w:b/>
          <w:bCs/>
          <w:sz w:val="20"/>
          <w:szCs w:val="20"/>
          <w:lang w:eastAsia="zh-CN"/>
        </w:rPr>
      </w:pPr>
    </w:p>
    <w:p w14:paraId="5B4CB96B" w14:textId="7F70E241" w:rsidR="00EF4FE8" w:rsidRPr="009A5B5E" w:rsidRDefault="00EF4FE8" w:rsidP="009A5B5E">
      <w:pPr>
        <w:tabs>
          <w:tab w:val="left" w:pos="284"/>
        </w:tabs>
        <w:spacing w:after="0" w:line="240" w:lineRule="auto"/>
        <w:jc w:val="both"/>
        <w:rPr>
          <w:rFonts w:ascii="Lato" w:hAnsi="Lato"/>
          <w:sz w:val="20"/>
          <w:szCs w:val="20"/>
        </w:rPr>
      </w:pPr>
      <w:r w:rsidRPr="009A5B5E">
        <w:rPr>
          <w:rFonts w:ascii="Lato" w:eastAsia="Calibri" w:hAnsi="Lato" w:cs="Arial"/>
          <w:b/>
          <w:bCs/>
          <w:sz w:val="20"/>
          <w:szCs w:val="20"/>
          <w:lang w:eastAsia="zh-CN"/>
        </w:rPr>
        <w:t>Udział w stworzonych od podstaw organizacjach senioralnych</w:t>
      </w:r>
      <w:r w:rsidRPr="009A5B5E">
        <w:rPr>
          <w:rFonts w:ascii="Lato" w:eastAsia="Calibri" w:hAnsi="Lato" w:cs="Arial"/>
          <w:sz w:val="20"/>
          <w:szCs w:val="20"/>
          <w:lang w:eastAsia="zh-CN"/>
        </w:rPr>
        <w:t xml:space="preserve"> (np. Gmina Sianów, Drawsko Pomorskie), których przykładem jest </w:t>
      </w:r>
      <w:r w:rsidRPr="009A5B5E">
        <w:rPr>
          <w:rFonts w:ascii="Lato" w:eastAsia="Calibri" w:hAnsi="Lato" w:cs="Arial"/>
          <w:i/>
          <w:iCs/>
          <w:sz w:val="20"/>
          <w:szCs w:val="20"/>
          <w:lang w:eastAsia="zh-CN"/>
        </w:rPr>
        <w:t>Stowarzyszenie Sianowska Akademia Seniora</w:t>
      </w:r>
      <w:r w:rsidRPr="009A5B5E">
        <w:rPr>
          <w:rFonts w:ascii="Lato" w:eastAsia="Calibri" w:hAnsi="Lato" w:cs="Arial"/>
          <w:sz w:val="20"/>
          <w:szCs w:val="20"/>
          <w:lang w:eastAsia="zh-CN"/>
        </w:rPr>
        <w:t xml:space="preserve">. Jednymi z głównych założeń jest inicjowanie i kierowanie działań społecznych, edukacyjnych i gospodarczych na rzecz rozwoju oświaty, kultury, nauki, sportu i rekreacji oraz aktywizacja ludzi starszych, integracja międzypokoleniowa, orzecznictwo na rzecz spraw  seniorów. W </w:t>
      </w:r>
      <w:r w:rsidRPr="009A5B5E">
        <w:rPr>
          <w:rFonts w:ascii="Lato" w:eastAsia="Calibri" w:hAnsi="Lato" w:cs="Arial"/>
          <w:b/>
          <w:bCs/>
          <w:sz w:val="20"/>
          <w:szCs w:val="20"/>
          <w:lang w:eastAsia="zh-CN"/>
        </w:rPr>
        <w:t>Akademii Seniora</w:t>
      </w:r>
      <w:r w:rsidRPr="009A5B5E">
        <w:rPr>
          <w:rFonts w:ascii="Lato" w:eastAsia="Calibri" w:hAnsi="Lato" w:cs="Arial"/>
          <w:sz w:val="20"/>
          <w:szCs w:val="20"/>
          <w:lang w:eastAsia="zh-CN"/>
        </w:rPr>
        <w:t xml:space="preserve"> odbywają się zajęcia rekreacyjne, sportowe, zajęcia rozwijające pasje (malarstwo, aktorstwo, rękodzielnictwo),organizowane są imprezy okolicznościowe, prowadzona jest działalność turystyczna i proekologiczna. Z oferty Akademii skorzystało 150 osób.</w:t>
      </w:r>
    </w:p>
    <w:p w14:paraId="537A78DD" w14:textId="77777777" w:rsidR="009A5B5E" w:rsidRDefault="009A5B5E" w:rsidP="009A5B5E">
      <w:pPr>
        <w:tabs>
          <w:tab w:val="left" w:pos="284"/>
        </w:tabs>
        <w:spacing w:after="0" w:line="240" w:lineRule="auto"/>
        <w:jc w:val="both"/>
        <w:rPr>
          <w:rFonts w:ascii="Lato" w:eastAsia="Calibri" w:hAnsi="Lato" w:cs="Arial"/>
          <w:b/>
          <w:bCs/>
          <w:sz w:val="20"/>
          <w:szCs w:val="20"/>
          <w:lang w:eastAsia="zh-CN"/>
        </w:rPr>
      </w:pPr>
    </w:p>
    <w:p w14:paraId="29722B58" w14:textId="103EC78F" w:rsidR="00EF4FE8" w:rsidRPr="009A5B5E" w:rsidRDefault="00EF4FE8" w:rsidP="009A5B5E">
      <w:pPr>
        <w:tabs>
          <w:tab w:val="left" w:pos="284"/>
        </w:tabs>
        <w:spacing w:after="0" w:line="240" w:lineRule="auto"/>
        <w:jc w:val="both"/>
        <w:rPr>
          <w:rFonts w:ascii="Lato" w:hAnsi="Lato"/>
          <w:sz w:val="20"/>
          <w:szCs w:val="20"/>
        </w:rPr>
      </w:pPr>
      <w:r w:rsidRPr="009A5B5E">
        <w:rPr>
          <w:rFonts w:ascii="Lato" w:eastAsia="Calibri" w:hAnsi="Lato" w:cs="Arial"/>
          <w:b/>
          <w:bCs/>
          <w:sz w:val="20"/>
          <w:szCs w:val="20"/>
          <w:lang w:eastAsia="zh-CN"/>
        </w:rPr>
        <w:t>Regionalne Dni Seniora (Samorząd Województwa Zachodniopomorskiego)</w:t>
      </w:r>
      <w:r w:rsidRPr="009A5B5E">
        <w:rPr>
          <w:rFonts w:ascii="Lato" w:eastAsia="Calibri" w:hAnsi="Lato" w:cs="Arial"/>
          <w:sz w:val="20"/>
          <w:szCs w:val="20"/>
          <w:lang w:eastAsia="zh-CN"/>
        </w:rPr>
        <w:t>, połączone z uhonorowaniem Odznaką Honorową Gryfa Zachodniopomorskiego seniorów szczególnie zaangażowanych w pracę na rzecz swoich rodzimych organizacji i otoczenia lokalnego, w którym mieszkają i działają.</w:t>
      </w:r>
    </w:p>
    <w:p w14:paraId="521AD695" w14:textId="77777777" w:rsidR="009A5B5E" w:rsidRDefault="009A5B5E" w:rsidP="009A5B5E">
      <w:pPr>
        <w:tabs>
          <w:tab w:val="left" w:pos="284"/>
        </w:tabs>
        <w:spacing w:after="0" w:line="240" w:lineRule="auto"/>
        <w:jc w:val="both"/>
        <w:rPr>
          <w:rFonts w:ascii="Lato" w:hAnsi="Lato"/>
          <w:b/>
          <w:bCs/>
          <w:sz w:val="20"/>
          <w:szCs w:val="20"/>
        </w:rPr>
      </w:pPr>
    </w:p>
    <w:p w14:paraId="1BF590E8" w14:textId="4AF5C888" w:rsidR="00EF4FE8" w:rsidRPr="009A5B5E" w:rsidRDefault="00EF4FE8" w:rsidP="009A5B5E">
      <w:pPr>
        <w:tabs>
          <w:tab w:val="left" w:pos="284"/>
        </w:tabs>
        <w:spacing w:after="0" w:line="240" w:lineRule="auto"/>
        <w:jc w:val="both"/>
        <w:rPr>
          <w:rFonts w:ascii="Lato" w:hAnsi="Lato"/>
          <w:sz w:val="20"/>
          <w:szCs w:val="20"/>
        </w:rPr>
      </w:pPr>
      <w:r w:rsidRPr="009A5B5E">
        <w:rPr>
          <w:rFonts w:ascii="Lato" w:hAnsi="Lato"/>
          <w:b/>
          <w:bCs/>
          <w:sz w:val="20"/>
          <w:szCs w:val="20"/>
        </w:rPr>
        <w:t>Wyposażenie DPS w sale komputerowe</w:t>
      </w:r>
      <w:r w:rsidRPr="009A5B5E">
        <w:rPr>
          <w:rFonts w:ascii="Lato" w:hAnsi="Lato"/>
          <w:sz w:val="20"/>
          <w:szCs w:val="20"/>
        </w:rPr>
        <w:t xml:space="preserve"> z dostępem do </w:t>
      </w:r>
      <w:proofErr w:type="spellStart"/>
      <w:r w:rsidRPr="009A5B5E">
        <w:rPr>
          <w:rFonts w:ascii="Lato" w:hAnsi="Lato"/>
          <w:sz w:val="20"/>
          <w:szCs w:val="20"/>
        </w:rPr>
        <w:t>internetu</w:t>
      </w:r>
      <w:proofErr w:type="spellEnd"/>
      <w:r w:rsidRPr="009A5B5E">
        <w:rPr>
          <w:rFonts w:ascii="Lato" w:hAnsi="Lato"/>
          <w:sz w:val="20"/>
          <w:szCs w:val="20"/>
        </w:rPr>
        <w:t xml:space="preserve"> (Powiat Gryficki, Powiat Policki), dzięki którym mieszkańcy mogą korzystać z nowoczesnej technologii kontaktu z bliskimi za pomocą komunikatorów (np. Skype) lub </w:t>
      </w:r>
      <w:r w:rsidRPr="009A5B5E">
        <w:rPr>
          <w:rFonts w:ascii="Lato" w:hAnsi="Lato"/>
          <w:sz w:val="20"/>
          <w:szCs w:val="20"/>
          <w:shd w:val="clear" w:color="auto" w:fill="FFFFFF"/>
        </w:rPr>
        <w:t>na bieżąco śledzą wiadomości z kraju i ze świata.</w:t>
      </w:r>
    </w:p>
    <w:p w14:paraId="0B6C1A93" w14:textId="77777777" w:rsidR="009A5B5E" w:rsidRDefault="009A5B5E" w:rsidP="009A5B5E">
      <w:pPr>
        <w:tabs>
          <w:tab w:val="left" w:pos="284"/>
        </w:tabs>
        <w:spacing w:after="0" w:line="240" w:lineRule="auto"/>
        <w:jc w:val="both"/>
        <w:rPr>
          <w:rFonts w:ascii="Lato" w:hAnsi="Lato"/>
          <w:b/>
          <w:bCs/>
          <w:sz w:val="20"/>
          <w:szCs w:val="20"/>
        </w:rPr>
      </w:pPr>
    </w:p>
    <w:p w14:paraId="36C4E820" w14:textId="4A07B618" w:rsidR="00EF4FE8" w:rsidRPr="009A5B5E" w:rsidRDefault="00EF4FE8" w:rsidP="009A5B5E">
      <w:pPr>
        <w:tabs>
          <w:tab w:val="left" w:pos="284"/>
        </w:tabs>
        <w:spacing w:after="0" w:line="240" w:lineRule="auto"/>
        <w:jc w:val="both"/>
        <w:rPr>
          <w:rFonts w:ascii="Lato" w:hAnsi="Lato"/>
          <w:sz w:val="20"/>
          <w:szCs w:val="20"/>
        </w:rPr>
      </w:pPr>
      <w:r w:rsidRPr="009A5B5E">
        <w:rPr>
          <w:rFonts w:ascii="Lato" w:hAnsi="Lato"/>
          <w:b/>
          <w:bCs/>
          <w:sz w:val="20"/>
          <w:szCs w:val="20"/>
        </w:rPr>
        <w:t>Szkolenia na temat prywatności i bezpieczeństwa w sieci, mediów społecznościowych</w:t>
      </w:r>
      <w:r w:rsidRPr="009A5B5E">
        <w:rPr>
          <w:rFonts w:ascii="Lato" w:hAnsi="Lato"/>
          <w:sz w:val="20"/>
          <w:szCs w:val="20"/>
        </w:rPr>
        <w:t xml:space="preserve"> </w:t>
      </w:r>
      <w:r w:rsidRPr="009A5B5E">
        <w:rPr>
          <w:rFonts w:ascii="Lato" w:hAnsi="Lato"/>
          <w:b/>
          <w:bCs/>
          <w:sz w:val="20"/>
          <w:szCs w:val="20"/>
        </w:rPr>
        <w:t>i podstaw fotografii cyfrowej</w:t>
      </w:r>
      <w:r w:rsidRPr="009A5B5E">
        <w:rPr>
          <w:rFonts w:ascii="Lato" w:hAnsi="Lato"/>
          <w:sz w:val="20"/>
          <w:szCs w:val="20"/>
        </w:rPr>
        <w:t xml:space="preserve"> (Gmina Dobra) – realizowane w 2022 r.  w ramach projektu </w:t>
      </w:r>
      <w:r w:rsidRPr="009A5B5E">
        <w:rPr>
          <w:rFonts w:ascii="Lato" w:hAnsi="Lato"/>
          <w:i/>
          <w:iCs/>
          <w:sz w:val="20"/>
          <w:szCs w:val="20"/>
        </w:rPr>
        <w:t>"Aktywni w sieci",</w:t>
      </w:r>
      <w:r w:rsidRPr="009A5B5E">
        <w:rPr>
          <w:rFonts w:ascii="Lato" w:hAnsi="Lato"/>
          <w:sz w:val="20"/>
          <w:szCs w:val="20"/>
        </w:rPr>
        <w:t xml:space="preserve"> skierowanego do seniorów z gminy Dobra i partnerskiej gminy </w:t>
      </w:r>
      <w:proofErr w:type="spellStart"/>
      <w:r w:rsidRPr="009A5B5E">
        <w:rPr>
          <w:rFonts w:ascii="Lato" w:hAnsi="Lato"/>
          <w:sz w:val="20"/>
          <w:szCs w:val="20"/>
        </w:rPr>
        <w:t>Blankensee</w:t>
      </w:r>
      <w:proofErr w:type="spellEnd"/>
      <w:r w:rsidRPr="009A5B5E">
        <w:rPr>
          <w:rFonts w:ascii="Lato" w:hAnsi="Lato"/>
          <w:sz w:val="20"/>
          <w:szCs w:val="20"/>
        </w:rPr>
        <w:t>. W szkoleniach wzięło udział blisko 40 seniorów, zarówno z Polski jak i Niemiec.</w:t>
      </w:r>
    </w:p>
    <w:p w14:paraId="26E4F684" w14:textId="77777777" w:rsidR="009A5B5E" w:rsidRDefault="009A5B5E" w:rsidP="009A5B5E">
      <w:pPr>
        <w:pStyle w:val="Textbody"/>
        <w:tabs>
          <w:tab w:val="left" w:pos="284"/>
        </w:tabs>
        <w:spacing w:after="0"/>
        <w:textAlignment w:val="auto"/>
        <w:rPr>
          <w:rFonts w:ascii="Lato" w:hAnsi="Lato" w:cs="Arial"/>
          <w:b/>
          <w:bCs/>
          <w:sz w:val="20"/>
          <w:szCs w:val="20"/>
        </w:rPr>
      </w:pPr>
    </w:p>
    <w:p w14:paraId="3B09F748" w14:textId="75285229" w:rsidR="00EF4FE8" w:rsidRPr="00EF4FE8" w:rsidRDefault="00EF4FE8" w:rsidP="009A5B5E">
      <w:pPr>
        <w:pStyle w:val="Textbody"/>
        <w:tabs>
          <w:tab w:val="left" w:pos="284"/>
        </w:tabs>
        <w:spacing w:after="0"/>
        <w:textAlignment w:val="auto"/>
        <w:rPr>
          <w:rFonts w:ascii="Lato" w:hAnsi="Lato" w:cs="Arial"/>
          <w:sz w:val="20"/>
          <w:szCs w:val="20"/>
        </w:rPr>
      </w:pPr>
      <w:r w:rsidRPr="00EF4FE8">
        <w:rPr>
          <w:rFonts w:ascii="Lato" w:hAnsi="Lato" w:cs="Arial"/>
          <w:b/>
          <w:bCs/>
          <w:sz w:val="20"/>
          <w:szCs w:val="20"/>
        </w:rPr>
        <w:t xml:space="preserve">„Cyfrowe </w:t>
      </w:r>
      <w:proofErr w:type="spellStart"/>
      <w:r w:rsidRPr="00EF4FE8">
        <w:rPr>
          <w:rFonts w:ascii="Lato" w:hAnsi="Lato" w:cs="Arial"/>
          <w:b/>
          <w:bCs/>
          <w:sz w:val="20"/>
          <w:szCs w:val="20"/>
        </w:rPr>
        <w:t>supermoce</w:t>
      </w:r>
      <w:proofErr w:type="spellEnd"/>
      <w:r w:rsidRPr="00EF4FE8">
        <w:rPr>
          <w:rFonts w:ascii="Lato" w:hAnsi="Lato" w:cs="Arial"/>
          <w:b/>
          <w:bCs/>
          <w:sz w:val="20"/>
          <w:szCs w:val="20"/>
        </w:rPr>
        <w:t xml:space="preserve">” </w:t>
      </w:r>
      <w:r w:rsidRPr="00EF4FE8">
        <w:rPr>
          <w:rFonts w:ascii="Lato" w:hAnsi="Lato" w:cs="Arial"/>
          <w:sz w:val="20"/>
          <w:szCs w:val="20"/>
        </w:rPr>
        <w:t>(Gmina Polanów)</w:t>
      </w:r>
      <w:r w:rsidRPr="00EF4FE8">
        <w:rPr>
          <w:rFonts w:ascii="Lato" w:hAnsi="Lato" w:cs="Arial"/>
          <w:b/>
          <w:bCs/>
          <w:sz w:val="20"/>
          <w:szCs w:val="20"/>
        </w:rPr>
        <w:t xml:space="preserve"> – </w:t>
      </w:r>
      <w:r w:rsidRPr="00EF4FE8">
        <w:rPr>
          <w:rFonts w:ascii="Lato" w:hAnsi="Lato" w:cs="Arial"/>
          <w:sz w:val="20"/>
          <w:szCs w:val="20"/>
        </w:rPr>
        <w:t>projekt skierowany</w:t>
      </w:r>
      <w:r w:rsidRPr="00EF4FE8">
        <w:rPr>
          <w:rFonts w:ascii="Lato" w:hAnsi="Lato" w:cs="Arial"/>
          <w:b/>
          <w:bCs/>
          <w:sz w:val="20"/>
          <w:szCs w:val="20"/>
        </w:rPr>
        <w:t xml:space="preserve"> </w:t>
      </w:r>
      <w:r w:rsidRPr="00EF4FE8">
        <w:rPr>
          <w:rFonts w:ascii="Lato" w:hAnsi="Lato" w:cs="Arial"/>
          <w:sz w:val="20"/>
          <w:szCs w:val="20"/>
        </w:rPr>
        <w:t>przeciw wykluczeniu cyfrowemu, w którym udział wzięło ok. 40 osób.</w:t>
      </w:r>
    </w:p>
    <w:p w14:paraId="0C4CEEA4" w14:textId="77777777" w:rsidR="009A5B5E" w:rsidRDefault="009A5B5E" w:rsidP="009A5B5E">
      <w:pPr>
        <w:tabs>
          <w:tab w:val="left" w:pos="284"/>
        </w:tabs>
        <w:spacing w:after="0" w:line="240" w:lineRule="auto"/>
        <w:jc w:val="both"/>
        <w:rPr>
          <w:rFonts w:ascii="Lato" w:hAnsi="Lato"/>
          <w:b/>
          <w:sz w:val="20"/>
          <w:szCs w:val="20"/>
        </w:rPr>
      </w:pPr>
    </w:p>
    <w:p w14:paraId="08604EF7" w14:textId="107C5170" w:rsidR="00EF4FE8" w:rsidRPr="009A5B5E" w:rsidRDefault="00EF4FE8" w:rsidP="009A5B5E">
      <w:pPr>
        <w:tabs>
          <w:tab w:val="left" w:pos="284"/>
        </w:tabs>
        <w:spacing w:after="0" w:line="240" w:lineRule="auto"/>
        <w:jc w:val="both"/>
        <w:rPr>
          <w:rFonts w:ascii="Lato" w:hAnsi="Lato"/>
          <w:sz w:val="20"/>
          <w:szCs w:val="20"/>
        </w:rPr>
      </w:pPr>
      <w:r w:rsidRPr="009A5B5E">
        <w:rPr>
          <w:rFonts w:ascii="Lato" w:hAnsi="Lato"/>
          <w:b/>
          <w:sz w:val="20"/>
          <w:szCs w:val="20"/>
        </w:rPr>
        <w:t>Akademia Każdego Wieku działająca przy Towarzystwie Oświatowo-Promocyjnym Business PRO</w:t>
      </w:r>
      <w:r w:rsidRPr="009A5B5E">
        <w:rPr>
          <w:rFonts w:ascii="Lato" w:hAnsi="Lato"/>
          <w:bCs/>
          <w:sz w:val="20"/>
          <w:szCs w:val="20"/>
        </w:rPr>
        <w:t xml:space="preserve"> (Miasto Świnoujście) – w której seniorzy aktywizują się na rzecz lokalnej społeczności, wymieniają doświadczeniami i praktykują nowoczesne technologie.</w:t>
      </w:r>
    </w:p>
    <w:p w14:paraId="71C209FB" w14:textId="77777777" w:rsidR="00EF4FE8" w:rsidRPr="00EF4FE8" w:rsidRDefault="00EF4FE8" w:rsidP="00EF4FE8">
      <w:pPr>
        <w:tabs>
          <w:tab w:val="left" w:pos="284"/>
        </w:tabs>
        <w:spacing w:after="0" w:line="240" w:lineRule="auto"/>
        <w:ind w:hanging="284"/>
        <w:jc w:val="both"/>
        <w:rPr>
          <w:rFonts w:ascii="Lato" w:hAnsi="Lato" w:cs="Calibri"/>
          <w:b/>
          <w:color w:val="FF0000"/>
          <w:sz w:val="20"/>
          <w:szCs w:val="20"/>
          <w:u w:val="single"/>
        </w:rPr>
      </w:pPr>
    </w:p>
    <w:p w14:paraId="48A84343" w14:textId="7E6BAF7D" w:rsidR="00EF4FE8" w:rsidRPr="00EF4FE8" w:rsidRDefault="00EF4FE8" w:rsidP="009A5B5E">
      <w:pPr>
        <w:spacing w:after="0" w:line="240" w:lineRule="auto"/>
        <w:jc w:val="both"/>
        <w:rPr>
          <w:rFonts w:ascii="Lato" w:eastAsia="Cambria" w:hAnsi="Lato" w:cs="Arial"/>
          <w:sz w:val="20"/>
          <w:szCs w:val="20"/>
        </w:rPr>
      </w:pPr>
      <w:r w:rsidRPr="00EF4FE8">
        <w:rPr>
          <w:rFonts w:ascii="Lato" w:hAnsi="Lato" w:cs="Arial"/>
          <w:b/>
          <w:sz w:val="20"/>
          <w:szCs w:val="20"/>
        </w:rPr>
        <w:t xml:space="preserve">Miejska Rada Seniorów w Szczecinie </w:t>
      </w:r>
      <w:r w:rsidRPr="00EF4FE8">
        <w:rPr>
          <w:rFonts w:ascii="Lato" w:hAnsi="Lato" w:cs="Arial"/>
          <w:sz w:val="20"/>
          <w:szCs w:val="20"/>
        </w:rPr>
        <w:t>powołana na podstawie uchwały nr XXIII/551/16 Rady Miasta Szczecin z dnia 18 października 2016 r. W dniu 6 czerwca 2022 r. odbyło się pierwsze posiedzenie Miejskiej Rady Seniorów, na którym Prezydent Miasta Szczecina wręczył akt nominacji każdemu z członków.</w:t>
      </w:r>
    </w:p>
    <w:p w14:paraId="7EA874BA" w14:textId="77777777" w:rsidR="009A5B5E" w:rsidRDefault="009A5B5E" w:rsidP="009A5B5E">
      <w:pPr>
        <w:pStyle w:val="Akapitzlist"/>
        <w:spacing w:after="0" w:line="240" w:lineRule="auto"/>
        <w:ind w:left="0"/>
        <w:jc w:val="both"/>
        <w:rPr>
          <w:rFonts w:ascii="Lato" w:hAnsi="Lato" w:cs="Arial"/>
          <w:b/>
          <w:color w:val="000000"/>
          <w:sz w:val="20"/>
          <w:szCs w:val="20"/>
        </w:rPr>
      </w:pPr>
    </w:p>
    <w:p w14:paraId="7A294CC9" w14:textId="04384B2B" w:rsidR="00EF4FE8" w:rsidRPr="00EF4FE8" w:rsidRDefault="00EF4FE8" w:rsidP="009A5B5E">
      <w:pPr>
        <w:pStyle w:val="Akapitzlist"/>
        <w:spacing w:after="0" w:line="240" w:lineRule="auto"/>
        <w:ind w:left="0"/>
        <w:jc w:val="both"/>
        <w:rPr>
          <w:rFonts w:ascii="Lato" w:hAnsi="Lato" w:cs="Arial"/>
          <w:color w:val="000000"/>
          <w:sz w:val="20"/>
          <w:szCs w:val="20"/>
        </w:rPr>
      </w:pPr>
      <w:r w:rsidRPr="00EF4FE8">
        <w:rPr>
          <w:rFonts w:ascii="Lato" w:hAnsi="Lato" w:cs="Arial"/>
          <w:b/>
          <w:color w:val="000000"/>
          <w:sz w:val="20"/>
          <w:szCs w:val="20"/>
        </w:rPr>
        <w:t xml:space="preserve">Tydzień Inicjatyw Senioralnych </w:t>
      </w:r>
      <w:r w:rsidRPr="00EF4FE8">
        <w:rPr>
          <w:rFonts w:ascii="Lato" w:hAnsi="Lato" w:cs="Arial"/>
          <w:color w:val="000000"/>
          <w:sz w:val="20"/>
          <w:szCs w:val="20"/>
        </w:rPr>
        <w:t>(Miasto Szczecin)</w:t>
      </w:r>
      <w:r w:rsidRPr="00EF4FE8">
        <w:rPr>
          <w:rFonts w:ascii="Lato" w:hAnsi="Lato" w:cs="Arial"/>
          <w:b/>
          <w:color w:val="000000"/>
          <w:sz w:val="20"/>
          <w:szCs w:val="20"/>
        </w:rPr>
        <w:t xml:space="preserve"> </w:t>
      </w:r>
      <w:r w:rsidRPr="00EF4FE8">
        <w:rPr>
          <w:rFonts w:ascii="Lato" w:hAnsi="Lato" w:cs="Arial"/>
          <w:color w:val="000000"/>
          <w:sz w:val="20"/>
          <w:szCs w:val="20"/>
        </w:rPr>
        <w:t xml:space="preserve">organizacja drugiej edycji </w:t>
      </w:r>
      <w:r w:rsidRPr="00EF4FE8">
        <w:rPr>
          <w:rFonts w:ascii="Lato" w:hAnsi="Lato" w:cs="Arial"/>
          <w:i/>
          <w:iCs/>
          <w:color w:val="000000"/>
          <w:sz w:val="20"/>
          <w:szCs w:val="20"/>
        </w:rPr>
        <w:t>Tygodnia Inicjatyw Senioralnych</w:t>
      </w:r>
      <w:r w:rsidRPr="00EF4FE8">
        <w:rPr>
          <w:rFonts w:ascii="Lato" w:hAnsi="Lato" w:cs="Arial"/>
          <w:color w:val="000000"/>
          <w:sz w:val="20"/>
          <w:szCs w:val="20"/>
        </w:rPr>
        <w:t xml:space="preserve">, to wydarzenie podczas którego seniorzy mieli możliwość skorzystania z różnych form aktywności, spotkań sportowych i kulturalnych.  Głównym celem wydarzenia jest integracja środowisk senioralnych, podmiotów działających na rzecz osób starszych oraz przedstawienie Szczecina jako </w:t>
      </w:r>
      <w:r w:rsidRPr="00EF4FE8">
        <w:rPr>
          <w:rFonts w:ascii="Lato" w:hAnsi="Lato" w:cs="Arial"/>
          <w:i/>
          <w:color w:val="000000"/>
          <w:sz w:val="20"/>
          <w:szCs w:val="20"/>
        </w:rPr>
        <w:t>Miasta Przyjaznego Seniorom</w:t>
      </w:r>
      <w:r w:rsidRPr="00EF4FE8">
        <w:rPr>
          <w:rFonts w:ascii="Lato" w:hAnsi="Lato" w:cs="Arial"/>
          <w:color w:val="000000"/>
          <w:sz w:val="20"/>
          <w:szCs w:val="20"/>
        </w:rPr>
        <w:t>.</w:t>
      </w:r>
    </w:p>
    <w:p w14:paraId="66A86D3A" w14:textId="77777777" w:rsidR="009A5B5E" w:rsidRDefault="009A5B5E" w:rsidP="009A5B5E">
      <w:pPr>
        <w:pStyle w:val="Akapitzlist"/>
        <w:spacing w:after="0" w:line="240" w:lineRule="auto"/>
        <w:ind w:left="0"/>
        <w:jc w:val="both"/>
        <w:rPr>
          <w:rFonts w:ascii="Lato" w:eastAsia="Cambria" w:hAnsi="Lato" w:cs="Cambria"/>
          <w:b/>
          <w:color w:val="000000"/>
          <w:sz w:val="20"/>
          <w:szCs w:val="20"/>
        </w:rPr>
      </w:pPr>
    </w:p>
    <w:p w14:paraId="1D73A6FE" w14:textId="6673451A" w:rsidR="00EF4FE8" w:rsidRPr="00EF4FE8" w:rsidRDefault="00EF4FE8" w:rsidP="009A5B5E">
      <w:pPr>
        <w:pStyle w:val="Akapitzlist"/>
        <w:spacing w:after="0" w:line="240" w:lineRule="auto"/>
        <w:ind w:left="0"/>
        <w:jc w:val="both"/>
        <w:rPr>
          <w:rFonts w:ascii="Lato" w:hAnsi="Lato" w:cs="Arial"/>
          <w:sz w:val="20"/>
          <w:szCs w:val="20"/>
        </w:rPr>
      </w:pPr>
      <w:r w:rsidRPr="00EF4FE8">
        <w:rPr>
          <w:rFonts w:ascii="Lato" w:eastAsia="Cambria" w:hAnsi="Lato" w:cs="Cambria"/>
          <w:b/>
          <w:color w:val="000000"/>
          <w:sz w:val="20"/>
          <w:szCs w:val="20"/>
        </w:rPr>
        <w:t xml:space="preserve">Program </w:t>
      </w:r>
      <w:r w:rsidRPr="00EF4FE8">
        <w:rPr>
          <w:rFonts w:ascii="Lato" w:hAnsi="Lato" w:cs="Arial"/>
          <w:b/>
          <w:sz w:val="20"/>
          <w:szCs w:val="20"/>
        </w:rPr>
        <w:t xml:space="preserve">„Korpus Wsparcia Seniora” </w:t>
      </w:r>
      <w:r w:rsidRPr="00EF4FE8">
        <w:rPr>
          <w:rFonts w:ascii="Lato" w:hAnsi="Lato" w:cs="Arial"/>
          <w:sz w:val="20"/>
          <w:szCs w:val="20"/>
        </w:rPr>
        <w:t>Moduł I (Miasto Szczecin), który zapewnia wsparcie społeczne szczecińskim seniorom poprzez pomoc w zakupach, wizytach lekarskich, załatwianiu podstawowych spraw w urzędach. Faktyczna liczba osób objętych wsparciem  w ramach Modułu I wyniosła 149 osób.</w:t>
      </w:r>
    </w:p>
    <w:p w14:paraId="736F0160" w14:textId="77777777" w:rsidR="009A5B5E" w:rsidRDefault="009A5B5E" w:rsidP="009A5B5E">
      <w:pPr>
        <w:pStyle w:val="Akapitzlist"/>
        <w:spacing w:after="0" w:line="240" w:lineRule="auto"/>
        <w:ind w:left="0"/>
        <w:jc w:val="both"/>
        <w:rPr>
          <w:rFonts w:ascii="Lato" w:hAnsi="Lato" w:cs="Arial"/>
          <w:b/>
          <w:sz w:val="20"/>
          <w:szCs w:val="20"/>
        </w:rPr>
      </w:pPr>
    </w:p>
    <w:p w14:paraId="78DA2E5E" w14:textId="6F2EDA06" w:rsidR="00EF4FE8" w:rsidRPr="00EF4FE8" w:rsidRDefault="00EF4FE8" w:rsidP="009A5B5E">
      <w:pPr>
        <w:pStyle w:val="Akapitzlist"/>
        <w:spacing w:after="0" w:line="240" w:lineRule="auto"/>
        <w:ind w:left="0"/>
        <w:jc w:val="both"/>
        <w:rPr>
          <w:rFonts w:ascii="Lato" w:hAnsi="Lato" w:cs="Arial"/>
          <w:sz w:val="20"/>
          <w:szCs w:val="20"/>
        </w:rPr>
      </w:pPr>
      <w:r w:rsidRPr="00EF4FE8">
        <w:rPr>
          <w:rFonts w:ascii="Lato" w:hAnsi="Lato" w:cs="Arial"/>
          <w:b/>
          <w:sz w:val="20"/>
          <w:szCs w:val="20"/>
        </w:rPr>
        <w:t>Program „Korpus Wsparcia Seniora”</w:t>
      </w:r>
      <w:r w:rsidRPr="00EF4FE8">
        <w:rPr>
          <w:rFonts w:ascii="Lato" w:hAnsi="Lato" w:cs="Arial"/>
          <w:sz w:val="20"/>
          <w:szCs w:val="20"/>
        </w:rPr>
        <w:t xml:space="preserve"> Moduł II (Miasto Szczecin), którego celem jest  poprawa bezpieczeństwa oraz samodzielnego funkcjonowania w miejscu zamieszkania. Faktyczna liczba osób objętych wsparciem  w ramach Modułu II wyniosła 216 osób.</w:t>
      </w:r>
    </w:p>
    <w:p w14:paraId="59BC0F76" w14:textId="77777777" w:rsidR="009A5B5E" w:rsidRDefault="009A5B5E" w:rsidP="009A5B5E">
      <w:pPr>
        <w:pStyle w:val="Akapitzlist"/>
        <w:spacing w:after="0" w:line="240" w:lineRule="auto"/>
        <w:ind w:left="0"/>
        <w:jc w:val="both"/>
        <w:rPr>
          <w:rFonts w:ascii="Lato" w:hAnsi="Lato"/>
          <w:sz w:val="20"/>
          <w:szCs w:val="20"/>
          <w:shd w:val="clear" w:color="auto" w:fill="FFFFFF"/>
        </w:rPr>
      </w:pPr>
    </w:p>
    <w:p w14:paraId="6531D304" w14:textId="1EA9F723" w:rsidR="00EF4FE8" w:rsidRPr="00EF4FE8" w:rsidRDefault="00EF4FE8" w:rsidP="009A5B5E">
      <w:pPr>
        <w:pStyle w:val="Akapitzlist"/>
        <w:spacing w:after="0" w:line="240" w:lineRule="auto"/>
        <w:ind w:left="0"/>
        <w:jc w:val="both"/>
        <w:rPr>
          <w:rFonts w:ascii="Lato" w:hAnsi="Lato"/>
          <w:sz w:val="20"/>
          <w:szCs w:val="20"/>
          <w:shd w:val="clear" w:color="auto" w:fill="FFFFFF"/>
        </w:rPr>
      </w:pPr>
      <w:r w:rsidRPr="00EF4FE8">
        <w:rPr>
          <w:rFonts w:ascii="Lato" w:hAnsi="Lato"/>
          <w:sz w:val="20"/>
          <w:szCs w:val="20"/>
          <w:shd w:val="clear" w:color="auto" w:fill="FFFFFF"/>
        </w:rPr>
        <w:t>Spotkanie pod nazwą</w:t>
      </w:r>
      <w:r w:rsidRPr="00EF4FE8">
        <w:rPr>
          <w:rFonts w:ascii="Lato" w:hAnsi="Lato"/>
          <w:b/>
          <w:sz w:val="20"/>
          <w:szCs w:val="20"/>
        </w:rPr>
        <w:t xml:space="preserve"> „Bezpieczny senior” </w:t>
      </w:r>
      <w:r w:rsidRPr="00EF4FE8">
        <w:rPr>
          <w:rFonts w:ascii="Lato" w:hAnsi="Lato"/>
          <w:sz w:val="20"/>
          <w:szCs w:val="20"/>
        </w:rPr>
        <w:t>(Powiat Choszczeński)</w:t>
      </w:r>
      <w:r w:rsidRPr="00EF4FE8">
        <w:rPr>
          <w:rFonts w:ascii="Lato" w:hAnsi="Lato"/>
          <w:sz w:val="20"/>
          <w:szCs w:val="20"/>
          <w:shd w:val="clear" w:color="auto" w:fill="FFFFFF"/>
        </w:rPr>
        <w:t xml:space="preserve">, które miało charakter edukacyjny i prewencyjny. Spotkanie prowadził funkcjonariusz z Wydziału Prewencji Komendy Powiatowej Policji w Choszcznie, który przedstawił sposoby działania oszustów i negatywne skutki z tym związane. Na podstawie wieloletniego doświadczenia zawodowego omówił zasady i wskazał metody, dzięki którym osoby starsze i samotne (wybierane często jako ofiary) mogą uchronić się przed oszustami. W dalszej części seniorzy wysłuchali prezentacji radcy prawnego, który przedstawił zagadnienia związane z </w:t>
      </w:r>
      <w:r w:rsidRPr="00EF4FE8">
        <w:rPr>
          <w:rFonts w:ascii="Lato" w:hAnsi="Lato"/>
          <w:sz w:val="20"/>
          <w:szCs w:val="20"/>
          <w:shd w:val="clear" w:color="auto" w:fill="FFFFFF"/>
        </w:rPr>
        <w:lastRenderedPageBreak/>
        <w:t>zasadami sporządzania testamentu, spadkiem i dziedziczeniem oraz najważniejsze tematy z dziedziny prawa spadkowego..</w:t>
      </w:r>
      <w:r w:rsidRPr="00EF4FE8">
        <w:rPr>
          <w:rFonts w:ascii="Lato" w:hAnsi="Lato"/>
          <w:sz w:val="20"/>
          <w:szCs w:val="20"/>
        </w:rPr>
        <w:t xml:space="preserve"> </w:t>
      </w:r>
      <w:r w:rsidRPr="00EF4FE8">
        <w:rPr>
          <w:rFonts w:ascii="Lato" w:hAnsi="Lato"/>
          <w:sz w:val="20"/>
          <w:szCs w:val="20"/>
          <w:shd w:val="clear" w:color="auto" w:fill="FFFFFF"/>
        </w:rPr>
        <w:t xml:space="preserve">W wydarzeniu wzięło udział 60 osób. </w:t>
      </w:r>
    </w:p>
    <w:p w14:paraId="766393A7" w14:textId="77777777" w:rsidR="009A5B5E" w:rsidRDefault="009A5B5E" w:rsidP="009A5B5E">
      <w:pPr>
        <w:spacing w:after="0" w:line="240" w:lineRule="auto"/>
        <w:ind w:left="23"/>
        <w:jc w:val="both"/>
        <w:rPr>
          <w:rFonts w:ascii="Lato" w:hAnsi="Lato"/>
          <w:sz w:val="20"/>
          <w:szCs w:val="20"/>
        </w:rPr>
      </w:pPr>
    </w:p>
    <w:p w14:paraId="1D6D41CF" w14:textId="797AC850" w:rsidR="00EF4FE8" w:rsidRPr="00EF4FE8" w:rsidRDefault="00EF4FE8" w:rsidP="009A5B5E">
      <w:pPr>
        <w:spacing w:after="0" w:line="240" w:lineRule="auto"/>
        <w:ind w:left="23"/>
        <w:jc w:val="both"/>
        <w:rPr>
          <w:rFonts w:ascii="Lato" w:hAnsi="Lato"/>
          <w:sz w:val="20"/>
          <w:szCs w:val="20"/>
        </w:rPr>
      </w:pPr>
      <w:r w:rsidRPr="00EF4FE8">
        <w:rPr>
          <w:rFonts w:ascii="Lato" w:hAnsi="Lato"/>
          <w:sz w:val="20"/>
          <w:szCs w:val="20"/>
        </w:rPr>
        <w:t>W ramach projektu „</w:t>
      </w:r>
      <w:r w:rsidRPr="00EF4FE8">
        <w:rPr>
          <w:rFonts w:ascii="Lato" w:hAnsi="Lato"/>
          <w:b/>
          <w:sz w:val="20"/>
          <w:szCs w:val="20"/>
        </w:rPr>
        <w:t>Rozwój usług transportu indywidualnego osób z ograniczoną mobilnością na terenie gminy Bierzwnik</w:t>
      </w:r>
      <w:r w:rsidRPr="00EF4FE8">
        <w:rPr>
          <w:rFonts w:ascii="Lato" w:hAnsi="Lato"/>
          <w:sz w:val="20"/>
          <w:szCs w:val="20"/>
        </w:rPr>
        <w:t xml:space="preserve">” (Gmina Bierzwnik) zakupiono samochód dostosowany do potrzeb osób starszych oraz </w:t>
      </w:r>
      <w:proofErr w:type="spellStart"/>
      <w:r w:rsidRPr="00EF4FE8">
        <w:rPr>
          <w:rFonts w:ascii="Lato" w:hAnsi="Lato"/>
          <w:sz w:val="20"/>
          <w:szCs w:val="20"/>
        </w:rPr>
        <w:t>schodołaz</w:t>
      </w:r>
      <w:proofErr w:type="spellEnd"/>
      <w:r w:rsidRPr="00EF4FE8">
        <w:rPr>
          <w:rFonts w:ascii="Lato" w:hAnsi="Lato"/>
          <w:sz w:val="20"/>
          <w:szCs w:val="20"/>
        </w:rPr>
        <w:t>, umożliwiający osobom niesprawnym wejście do instytucji publicznych.</w:t>
      </w:r>
    </w:p>
    <w:p w14:paraId="03826B68" w14:textId="77777777" w:rsidR="00EF4FE8" w:rsidRPr="00EF4FE8" w:rsidRDefault="00EF4FE8" w:rsidP="009A5B5E">
      <w:pPr>
        <w:spacing w:after="0" w:line="240" w:lineRule="auto"/>
        <w:jc w:val="both"/>
        <w:rPr>
          <w:rFonts w:ascii="Lato" w:hAnsi="Lato"/>
          <w:kern w:val="2"/>
          <w:sz w:val="20"/>
          <w:szCs w:val="20"/>
          <w:lang w:eastAsia="ar-SA"/>
        </w:rPr>
      </w:pPr>
      <w:r w:rsidRPr="00EF4FE8">
        <w:rPr>
          <w:rFonts w:ascii="Lato" w:hAnsi="Lato"/>
          <w:b/>
          <w:kern w:val="2"/>
          <w:sz w:val="20"/>
          <w:szCs w:val="20"/>
          <w:lang w:eastAsia="ar-SA"/>
        </w:rPr>
        <w:t>Książki z dużą czcionką, audiobooki i ebooki</w:t>
      </w:r>
      <w:r w:rsidRPr="00EF4FE8">
        <w:rPr>
          <w:rFonts w:ascii="Lato" w:hAnsi="Lato"/>
          <w:kern w:val="2"/>
          <w:sz w:val="20"/>
          <w:szCs w:val="20"/>
          <w:lang w:eastAsia="ar-SA"/>
        </w:rPr>
        <w:t xml:space="preserve"> (Miasto Koszalin). Z myślą o osobach starszych w Koszalińskiej Bibliotece Publicznej gromadzone są książki z powiększonym drukiem (1067 jednostek). W </w:t>
      </w:r>
      <w:proofErr w:type="spellStart"/>
      <w:r w:rsidRPr="00EF4FE8">
        <w:rPr>
          <w:rFonts w:ascii="Lato" w:hAnsi="Lato"/>
          <w:kern w:val="2"/>
          <w:sz w:val="20"/>
          <w:szCs w:val="20"/>
          <w:lang w:eastAsia="ar-SA"/>
        </w:rPr>
        <w:t>Mediatece</w:t>
      </w:r>
      <w:proofErr w:type="spellEnd"/>
      <w:r w:rsidRPr="00EF4FE8">
        <w:rPr>
          <w:rFonts w:ascii="Lato" w:hAnsi="Lato"/>
          <w:kern w:val="2"/>
          <w:sz w:val="20"/>
          <w:szCs w:val="20"/>
          <w:lang w:eastAsia="ar-SA"/>
        </w:rPr>
        <w:t xml:space="preserve"> oraz w kilku filiach bibliotecznych udostępniony jest duży zbiór audiobooków: 5417 tytułów książek nagranych w formacie mp3 i audio. Czytelnicy mają zapewniony dostęp do ponad 165 000 tytułów ebooków na platformie </w:t>
      </w:r>
      <w:proofErr w:type="spellStart"/>
      <w:r w:rsidRPr="00EF4FE8">
        <w:rPr>
          <w:rFonts w:ascii="Lato" w:hAnsi="Lato"/>
          <w:kern w:val="2"/>
          <w:sz w:val="20"/>
          <w:szCs w:val="20"/>
          <w:lang w:eastAsia="ar-SA"/>
        </w:rPr>
        <w:t>Legimi</w:t>
      </w:r>
      <w:proofErr w:type="spellEnd"/>
      <w:r w:rsidRPr="00EF4FE8">
        <w:rPr>
          <w:rFonts w:ascii="Lato" w:hAnsi="Lato"/>
          <w:kern w:val="2"/>
          <w:sz w:val="20"/>
          <w:szCs w:val="20"/>
          <w:lang w:eastAsia="ar-SA"/>
        </w:rPr>
        <w:t xml:space="preserve"> i </w:t>
      </w:r>
      <w:proofErr w:type="spellStart"/>
      <w:r w:rsidRPr="00EF4FE8">
        <w:rPr>
          <w:rFonts w:ascii="Lato" w:hAnsi="Lato"/>
          <w:kern w:val="2"/>
          <w:sz w:val="20"/>
          <w:szCs w:val="20"/>
          <w:lang w:eastAsia="ar-SA"/>
        </w:rPr>
        <w:t>Ibuk</w:t>
      </w:r>
      <w:proofErr w:type="spellEnd"/>
      <w:r w:rsidRPr="00EF4FE8">
        <w:rPr>
          <w:rFonts w:ascii="Lato" w:hAnsi="Lato"/>
          <w:kern w:val="2"/>
          <w:sz w:val="20"/>
          <w:szCs w:val="20"/>
          <w:lang w:eastAsia="ar-SA"/>
        </w:rPr>
        <w:t xml:space="preserve"> Libra, z możliwością powiększenia wielkości czcionki.</w:t>
      </w:r>
    </w:p>
    <w:p w14:paraId="422D4F09" w14:textId="77777777" w:rsidR="009A5B5E" w:rsidRDefault="009A5B5E" w:rsidP="009A5B5E">
      <w:pPr>
        <w:widowControl w:val="0"/>
        <w:suppressAutoHyphens/>
        <w:spacing w:after="0" w:line="240" w:lineRule="auto"/>
        <w:jc w:val="both"/>
        <w:textAlignment w:val="baseline"/>
        <w:rPr>
          <w:rFonts w:ascii="Lato" w:hAnsi="Lato"/>
          <w:b/>
          <w:sz w:val="20"/>
          <w:szCs w:val="20"/>
          <w:lang w:eastAsia="zh-CN"/>
        </w:rPr>
      </w:pPr>
    </w:p>
    <w:p w14:paraId="3D5F3A04" w14:textId="4A9ECA26" w:rsidR="00EF4FE8" w:rsidRPr="00EF4FE8" w:rsidRDefault="00EF4FE8" w:rsidP="009A5B5E">
      <w:pPr>
        <w:widowControl w:val="0"/>
        <w:suppressAutoHyphens/>
        <w:spacing w:after="0" w:line="240" w:lineRule="auto"/>
        <w:jc w:val="both"/>
        <w:textAlignment w:val="baseline"/>
        <w:rPr>
          <w:rFonts w:ascii="Lato" w:hAnsi="Lato"/>
          <w:kern w:val="2"/>
          <w:sz w:val="20"/>
          <w:szCs w:val="20"/>
          <w:lang w:eastAsia="ar-SA"/>
        </w:rPr>
      </w:pPr>
      <w:r w:rsidRPr="00EF4FE8">
        <w:rPr>
          <w:rFonts w:ascii="Lato" w:hAnsi="Lato"/>
          <w:b/>
          <w:sz w:val="20"/>
          <w:szCs w:val="20"/>
          <w:lang w:eastAsia="zh-CN"/>
        </w:rPr>
        <w:t>Bałtycki Teatr Dramatyczny w Koszalinie</w:t>
      </w:r>
      <w:r w:rsidRPr="00EF4FE8">
        <w:rPr>
          <w:rFonts w:ascii="Lato" w:hAnsi="Lato"/>
          <w:sz w:val="20"/>
          <w:szCs w:val="20"/>
          <w:lang w:eastAsia="zh-CN"/>
        </w:rPr>
        <w:t xml:space="preserve"> </w:t>
      </w:r>
      <w:r w:rsidRPr="00EF4FE8">
        <w:rPr>
          <w:rFonts w:ascii="Lato" w:hAnsi="Lato"/>
          <w:bCs/>
          <w:kern w:val="2"/>
          <w:sz w:val="20"/>
          <w:szCs w:val="20"/>
          <w:lang w:eastAsia="ar-SA"/>
        </w:rPr>
        <w:t>(Miasto Koszalin). Wzorem lat ubiegłych kontynuował sprzedaż biletów ze zniżką dla Seniorów. W 2022 r. 442 seniorów skorzystało z zakupu biletów na niedzielne spektakle w cenie 15 zł. Seniorzy obejrzeli 32 spektakle. W ramach imprez o charakterze międzypokoleniowym Teatr wystawił 22 spektakle familijne, w których uczestniczyły całe rodziny (dzieci, wnukowie oraz dziadkowie).</w:t>
      </w:r>
    </w:p>
    <w:p w14:paraId="09417F00" w14:textId="48BDDEF5" w:rsidR="00EF4FE8" w:rsidRDefault="00EF4FE8" w:rsidP="00EF4FE8">
      <w:pPr>
        <w:spacing w:after="0" w:line="240" w:lineRule="auto"/>
        <w:jc w:val="both"/>
        <w:rPr>
          <w:rFonts w:ascii="Lato" w:hAnsi="Lato" w:cs="Calibri"/>
          <w:b/>
          <w:color w:val="FF0000"/>
          <w:sz w:val="20"/>
          <w:szCs w:val="20"/>
        </w:rPr>
      </w:pPr>
    </w:p>
    <w:p w14:paraId="371F3DF6" w14:textId="4E4B2F16" w:rsidR="009A5B5E" w:rsidRPr="009A5B5E" w:rsidRDefault="009A5B5E" w:rsidP="00EF4FE8">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KILKU DOBRYCH PRAKTYK NA POZIOMIE POWIATU, GMINY</w:t>
      </w:r>
    </w:p>
    <w:p w14:paraId="3488D4F2" w14:textId="355A3204" w:rsidR="00EF4FE8" w:rsidRPr="00EF4FE8" w:rsidRDefault="00EF4FE8" w:rsidP="009A5B5E">
      <w:pPr>
        <w:spacing w:after="0" w:line="240" w:lineRule="auto"/>
        <w:jc w:val="both"/>
        <w:rPr>
          <w:rFonts w:ascii="Lato" w:eastAsia="Calibri" w:hAnsi="Lato"/>
          <w:sz w:val="20"/>
          <w:szCs w:val="20"/>
        </w:rPr>
      </w:pPr>
      <w:r w:rsidRPr="00EF4FE8">
        <w:rPr>
          <w:rFonts w:ascii="Lato" w:eastAsia="Calibri" w:hAnsi="Lato"/>
          <w:sz w:val="20"/>
          <w:szCs w:val="20"/>
        </w:rPr>
        <w:t xml:space="preserve">Głównymi problemami osób starszych są: samotność, izolacja, bezradność, pogarszający się stan zdrowia. Uczestnictwo w życiu społecznym, możliwość angażowania się w życie wspólnoty to jedne z ważniejszych potrzeb każdego człowieka. Budowanie nowych relacji z wiekiem jest coraz trudniejsze. Konsekwencją jest brak kontaktów ze znajomymi, bezczynność, tęsknota za pracą, poczucie bezużyteczności. Aby temu zapobiec gminy województwa zachodniopomorskiego wdrażają szereg dobrych praktyk. </w:t>
      </w:r>
    </w:p>
    <w:p w14:paraId="3283C910" w14:textId="77777777" w:rsidR="009A5B5E" w:rsidRDefault="009A5B5E" w:rsidP="009A5B5E">
      <w:pPr>
        <w:keepNext/>
        <w:tabs>
          <w:tab w:val="left" w:pos="142"/>
          <w:tab w:val="left" w:pos="709"/>
        </w:tabs>
        <w:spacing w:after="0" w:line="240" w:lineRule="auto"/>
        <w:jc w:val="both"/>
        <w:rPr>
          <w:rFonts w:ascii="Lato" w:hAnsi="Lato" w:cs="Arial"/>
          <w:sz w:val="20"/>
          <w:szCs w:val="20"/>
        </w:rPr>
      </w:pPr>
    </w:p>
    <w:p w14:paraId="005E1D09" w14:textId="1DCDD904" w:rsidR="00EF4FE8" w:rsidRPr="00EF4FE8" w:rsidRDefault="00EF4FE8" w:rsidP="009A5B5E">
      <w:pPr>
        <w:keepNext/>
        <w:tabs>
          <w:tab w:val="left" w:pos="142"/>
          <w:tab w:val="left" w:pos="709"/>
        </w:tabs>
        <w:spacing w:after="0" w:line="240" w:lineRule="auto"/>
        <w:jc w:val="both"/>
        <w:rPr>
          <w:rFonts w:ascii="Lato" w:hAnsi="Lato"/>
          <w:b/>
          <w:sz w:val="20"/>
          <w:szCs w:val="20"/>
        </w:rPr>
      </w:pPr>
      <w:r w:rsidRPr="00EF4FE8">
        <w:rPr>
          <w:rFonts w:ascii="Lato" w:hAnsi="Lato" w:cs="Arial"/>
          <w:sz w:val="20"/>
          <w:szCs w:val="20"/>
        </w:rPr>
        <w:t>Rozwój mieszkalnictwa chronionego i wspomaganego dla Seniorów, jako alternatywy dla domów pomocy społecznej realizowanego przez Gminę Miasto Szczecin.  N</w:t>
      </w:r>
      <w:r w:rsidRPr="00EF4FE8">
        <w:rPr>
          <w:rFonts w:ascii="Lato" w:hAnsi="Lato" w:cs="Arial"/>
          <w:color w:val="000000"/>
          <w:sz w:val="20"/>
          <w:szCs w:val="20"/>
        </w:rPr>
        <w:t>a terenie Gminy Miasto Szczecin uruchomiono 11 mieszkań chronionych wspieranych dla 74 osób zagrożonych wykluczeniem społecznym lub ubóstwem, niepełnosprawnych, niesamodzielnych, które z uwagi na wiek i stan zdrowia nie są w stanie samodzielnie funkcjonować w miejscu swojego zamieszkania oraz wymagają wsparcia w tym usług opiekuńczych oraz 3</w:t>
      </w:r>
      <w:r w:rsidRPr="00EF4FE8">
        <w:rPr>
          <w:rFonts w:ascii="Lato" w:hAnsi="Lato" w:cs="Arial"/>
          <w:sz w:val="20"/>
          <w:szCs w:val="20"/>
        </w:rPr>
        <w:t xml:space="preserve">8 mieszkań wspomaganych w ramach realizacji Programu „Dom dla Seniora”. Są to lokale mieszkalne dostosowane do potrzeb osób starszych, wraz z towarzyszącą infrastrukturą </w:t>
      </w:r>
      <w:proofErr w:type="spellStart"/>
      <w:r w:rsidRPr="00EF4FE8">
        <w:rPr>
          <w:rFonts w:ascii="Lato" w:hAnsi="Lato" w:cs="Arial"/>
          <w:sz w:val="20"/>
          <w:szCs w:val="20"/>
        </w:rPr>
        <w:t>organizacyjno</w:t>
      </w:r>
      <w:proofErr w:type="spellEnd"/>
      <w:r w:rsidRPr="00EF4FE8">
        <w:rPr>
          <w:rFonts w:ascii="Lato" w:hAnsi="Lato" w:cs="Arial"/>
          <w:sz w:val="20"/>
          <w:szCs w:val="20"/>
        </w:rPr>
        <w:t xml:space="preserve">–społeczną, która umożliwia samodzielne i bezpieczne funkcjonowanie seniorów w środowisku zamieszkania. </w:t>
      </w:r>
    </w:p>
    <w:p w14:paraId="321856FE" w14:textId="77777777" w:rsidR="009A5B5E" w:rsidRDefault="009A5B5E" w:rsidP="009A5B5E">
      <w:pPr>
        <w:tabs>
          <w:tab w:val="left" w:pos="709"/>
        </w:tabs>
        <w:spacing w:after="0" w:line="240" w:lineRule="auto"/>
        <w:jc w:val="both"/>
        <w:rPr>
          <w:rFonts w:ascii="Lato" w:hAnsi="Lato" w:cs="Calibri Light"/>
          <w:sz w:val="20"/>
          <w:szCs w:val="20"/>
        </w:rPr>
      </w:pPr>
    </w:p>
    <w:p w14:paraId="6F537B4C" w14:textId="7D0B35B5" w:rsidR="00EF4FE8" w:rsidRPr="00EF4FE8" w:rsidRDefault="00EF4FE8" w:rsidP="009A5B5E">
      <w:pPr>
        <w:tabs>
          <w:tab w:val="left" w:pos="709"/>
        </w:tabs>
        <w:spacing w:after="0" w:line="240" w:lineRule="auto"/>
        <w:jc w:val="both"/>
        <w:rPr>
          <w:rFonts w:ascii="Lato" w:hAnsi="Lato" w:cs="Calibri Light"/>
          <w:sz w:val="20"/>
          <w:szCs w:val="20"/>
        </w:rPr>
      </w:pPr>
      <w:r w:rsidRPr="00EF4FE8">
        <w:rPr>
          <w:rFonts w:ascii="Lato" w:hAnsi="Lato" w:cs="Calibri Light"/>
          <w:sz w:val="20"/>
          <w:szCs w:val="20"/>
        </w:rPr>
        <w:t>W 2022 r. po raz kolejny zrealizowano program świadczeń pieniężnych „</w:t>
      </w:r>
      <w:r w:rsidRPr="00EF4FE8">
        <w:rPr>
          <w:rFonts w:ascii="Lato" w:hAnsi="Lato" w:cs="Calibri Light"/>
          <w:b/>
          <w:bCs/>
          <w:sz w:val="20"/>
          <w:szCs w:val="20"/>
        </w:rPr>
        <w:t>Bon Wyspiarza Seniora”</w:t>
      </w:r>
      <w:r w:rsidRPr="00EF4FE8">
        <w:rPr>
          <w:rFonts w:ascii="Lato" w:hAnsi="Lato" w:cs="Calibri Light"/>
          <w:sz w:val="20"/>
          <w:szCs w:val="20"/>
        </w:rPr>
        <w:t xml:space="preserve"> realizowany przez Gminę Miasto Świnoujście. Programem zostali objęci mieszkańcy Świnoujścia po 65 roku życia. Seniorzy otrzymali środki finansowe w wysokości po 300,00 zł z przeznaczeniem na cele kulturalne oraz zdrowotne, w tym zakup leków. Z programu skorzystało 8 313 osób. Łącznie na realizację zadania wydatkowano kwotę ok. 2 517 850 zł. Przyjmowanie wniosków zostało zorganizowane w sposób wygodny i bezpieczny dla seniorów (w 7 miejscach na terenie Miasta, na prawobrzeżu i lewobrzeżu umieszczono specjalnie oznaczone pojemniki). </w:t>
      </w:r>
    </w:p>
    <w:p w14:paraId="7FC94A84" w14:textId="77777777" w:rsidR="009A5B5E" w:rsidRDefault="009A5B5E" w:rsidP="009A5B5E">
      <w:pPr>
        <w:tabs>
          <w:tab w:val="left" w:pos="709"/>
        </w:tabs>
        <w:spacing w:after="0" w:line="240" w:lineRule="auto"/>
        <w:jc w:val="both"/>
        <w:rPr>
          <w:rFonts w:ascii="Lato" w:hAnsi="Lato"/>
          <w:bCs/>
          <w:sz w:val="20"/>
          <w:szCs w:val="20"/>
        </w:rPr>
      </w:pPr>
    </w:p>
    <w:p w14:paraId="5DF56B43" w14:textId="683CB159" w:rsidR="00EF4FE8" w:rsidRPr="00EF4FE8" w:rsidRDefault="00EF4FE8" w:rsidP="009A5B5E">
      <w:pPr>
        <w:tabs>
          <w:tab w:val="left" w:pos="709"/>
        </w:tabs>
        <w:spacing w:after="0" w:line="240" w:lineRule="auto"/>
        <w:jc w:val="both"/>
        <w:rPr>
          <w:rFonts w:ascii="Lato" w:hAnsi="Lato"/>
          <w:bCs/>
          <w:sz w:val="20"/>
          <w:szCs w:val="20"/>
        </w:rPr>
      </w:pPr>
      <w:r w:rsidRPr="00EF4FE8">
        <w:rPr>
          <w:rFonts w:ascii="Lato" w:hAnsi="Lato"/>
          <w:bCs/>
          <w:sz w:val="20"/>
          <w:szCs w:val="20"/>
        </w:rPr>
        <w:t xml:space="preserve">Od lipca 2021 r. prowadzony jest w Świnoujściu program </w:t>
      </w:r>
      <w:r w:rsidRPr="00EF4FE8">
        <w:rPr>
          <w:rFonts w:ascii="Lato" w:hAnsi="Lato"/>
          <w:b/>
          <w:sz w:val="20"/>
          <w:szCs w:val="20"/>
        </w:rPr>
        <w:t>„Karta Wyspiarza Seniora</w:t>
      </w:r>
      <w:r w:rsidRPr="00EF4FE8">
        <w:rPr>
          <w:rFonts w:ascii="Lato" w:hAnsi="Lato"/>
          <w:bCs/>
          <w:sz w:val="20"/>
          <w:szCs w:val="20"/>
        </w:rPr>
        <w:t xml:space="preserve">”, w ramach którego różni lokalni przedsiębiorcy i jednostki funkcjonujące na terenie miasta oferują system zniżek na towary i usługi. </w:t>
      </w:r>
    </w:p>
    <w:p w14:paraId="0D5843A8" w14:textId="77777777" w:rsidR="009A5B5E" w:rsidRDefault="009A5B5E" w:rsidP="009A5B5E">
      <w:pPr>
        <w:tabs>
          <w:tab w:val="left" w:pos="709"/>
        </w:tabs>
        <w:spacing w:after="0" w:line="240" w:lineRule="auto"/>
        <w:jc w:val="both"/>
        <w:rPr>
          <w:rFonts w:ascii="Lato" w:hAnsi="Lato"/>
          <w:sz w:val="20"/>
          <w:szCs w:val="20"/>
        </w:rPr>
      </w:pPr>
    </w:p>
    <w:p w14:paraId="23204B0F" w14:textId="3AF424B9" w:rsidR="00EF4FE8" w:rsidRDefault="00EF4FE8" w:rsidP="009A5B5E">
      <w:pPr>
        <w:tabs>
          <w:tab w:val="left" w:pos="709"/>
        </w:tabs>
        <w:spacing w:after="0" w:line="240" w:lineRule="auto"/>
        <w:jc w:val="both"/>
        <w:rPr>
          <w:rFonts w:ascii="Lato" w:hAnsi="Lato" w:cs="Arial"/>
          <w:sz w:val="20"/>
          <w:szCs w:val="20"/>
        </w:rPr>
      </w:pPr>
      <w:r w:rsidRPr="00EF4FE8">
        <w:rPr>
          <w:rFonts w:ascii="Lato" w:hAnsi="Lato" w:cs="Arial"/>
          <w:sz w:val="20"/>
          <w:szCs w:val="20"/>
        </w:rPr>
        <w:t xml:space="preserve">Dobrą praktyką jest wsparcie opiekunów faktycznych dorosłych osób niesamodzielnych, w tym osób 60+, w ramach projektu pn. </w:t>
      </w:r>
      <w:r w:rsidRPr="00EF4FE8">
        <w:rPr>
          <w:rFonts w:ascii="Lato" w:hAnsi="Lato" w:cs="Arial"/>
          <w:b/>
          <w:bCs/>
          <w:sz w:val="20"/>
          <w:szCs w:val="20"/>
        </w:rPr>
        <w:t>,,Poszerzenie oferty usług opiekuńczych  i asystenckich w Gminie Miasto Kołobrzeg w latach 2020-2023”.</w:t>
      </w:r>
      <w:r w:rsidRPr="00EF4FE8">
        <w:rPr>
          <w:rFonts w:ascii="Lato" w:hAnsi="Lato" w:cs="Arial"/>
          <w:sz w:val="20"/>
          <w:szCs w:val="20"/>
        </w:rPr>
        <w:t xml:space="preserve"> </w:t>
      </w:r>
    </w:p>
    <w:p w14:paraId="43319E34" w14:textId="77777777" w:rsidR="009A5B5E" w:rsidRPr="00EF4FE8" w:rsidRDefault="009A5B5E" w:rsidP="009A5B5E">
      <w:pPr>
        <w:tabs>
          <w:tab w:val="left" w:pos="709"/>
        </w:tabs>
        <w:spacing w:after="0" w:line="240" w:lineRule="auto"/>
        <w:jc w:val="both"/>
        <w:rPr>
          <w:rFonts w:ascii="Lato" w:hAnsi="Lato" w:cs="Arial"/>
          <w:sz w:val="20"/>
          <w:szCs w:val="20"/>
        </w:rPr>
      </w:pPr>
    </w:p>
    <w:p w14:paraId="28EC3406" w14:textId="618F184A" w:rsidR="00EF4FE8" w:rsidRPr="00EF4FE8" w:rsidRDefault="00EF4FE8" w:rsidP="00EF4FE8">
      <w:pPr>
        <w:spacing w:after="0" w:line="240" w:lineRule="auto"/>
        <w:jc w:val="both"/>
        <w:rPr>
          <w:rFonts w:ascii="Lato" w:hAnsi="Lato" w:cs="Arial"/>
          <w:sz w:val="20"/>
          <w:szCs w:val="20"/>
        </w:rPr>
      </w:pPr>
      <w:r w:rsidRPr="00EF4FE8">
        <w:rPr>
          <w:rFonts w:ascii="Lato" w:hAnsi="Lato" w:cs="Arial"/>
          <w:sz w:val="20"/>
          <w:szCs w:val="20"/>
        </w:rPr>
        <w:t xml:space="preserve">Oferowane formy wsparcia to indywidualne wsparcie psychologiczne, doradztwo prawne, warsztaty w zakresie fachowej opieki nad osobą zależną, opieka </w:t>
      </w:r>
      <w:proofErr w:type="spellStart"/>
      <w:r w:rsidRPr="00EF4FE8">
        <w:rPr>
          <w:rFonts w:ascii="Lato" w:hAnsi="Lato" w:cs="Arial"/>
          <w:sz w:val="20"/>
          <w:szCs w:val="20"/>
        </w:rPr>
        <w:t>wytchnieniowa</w:t>
      </w:r>
      <w:proofErr w:type="spellEnd"/>
      <w:r w:rsidRPr="00EF4FE8">
        <w:rPr>
          <w:rFonts w:ascii="Lato" w:hAnsi="Lato" w:cs="Arial"/>
          <w:sz w:val="20"/>
          <w:szCs w:val="20"/>
        </w:rPr>
        <w:t xml:space="preserve"> realizowana zarówno w </w:t>
      </w:r>
      <w:r w:rsidRPr="00EF4FE8">
        <w:rPr>
          <w:rFonts w:ascii="Lato" w:hAnsi="Lato" w:cs="Arial"/>
          <w:bCs/>
          <w:sz w:val="20"/>
          <w:szCs w:val="20"/>
        </w:rPr>
        <w:t xml:space="preserve">miejscu zamieszkania osoby niesamodzielnej jak i w formie pobytu (dziennego i całodobowego). </w:t>
      </w:r>
      <w:r w:rsidRPr="00EF4FE8">
        <w:rPr>
          <w:rFonts w:ascii="Lato" w:hAnsi="Lato" w:cs="Arial"/>
          <w:sz w:val="20"/>
          <w:szCs w:val="20"/>
        </w:rPr>
        <w:t xml:space="preserve">Powyższym wsparciem w 2022 r. objęto łącznie 30 osób. Oferowana pomoc jest adekwatna do potrzeb zgłaszanych przez opiekunów oraz zapobiega kryzysom w opiece nad osobami niesamodzielnymi. </w:t>
      </w:r>
    </w:p>
    <w:p w14:paraId="40059428" w14:textId="77777777" w:rsidR="009A5B5E" w:rsidRDefault="009A5B5E" w:rsidP="009A5B5E">
      <w:pPr>
        <w:tabs>
          <w:tab w:val="left" w:pos="709"/>
        </w:tabs>
        <w:snapToGrid w:val="0"/>
        <w:spacing w:after="0" w:line="240" w:lineRule="auto"/>
        <w:jc w:val="both"/>
        <w:rPr>
          <w:rFonts w:ascii="Lato" w:hAnsi="Lato" w:cs="Arial"/>
          <w:sz w:val="20"/>
          <w:szCs w:val="20"/>
        </w:rPr>
      </w:pPr>
    </w:p>
    <w:p w14:paraId="48AA4DE5" w14:textId="6F703DF3" w:rsidR="00EF4FE8" w:rsidRPr="00EF4FE8" w:rsidRDefault="00EF4FE8" w:rsidP="009A5B5E">
      <w:pPr>
        <w:tabs>
          <w:tab w:val="left" w:pos="709"/>
        </w:tabs>
        <w:snapToGrid w:val="0"/>
        <w:spacing w:after="0" w:line="240" w:lineRule="auto"/>
        <w:jc w:val="both"/>
        <w:rPr>
          <w:rFonts w:ascii="Lato" w:hAnsi="Lato"/>
          <w:sz w:val="20"/>
          <w:szCs w:val="20"/>
        </w:rPr>
      </w:pPr>
      <w:r w:rsidRPr="00EF4FE8">
        <w:rPr>
          <w:rFonts w:ascii="Lato" w:hAnsi="Lato"/>
          <w:bCs/>
          <w:iCs/>
          <w:sz w:val="20"/>
          <w:szCs w:val="20"/>
        </w:rPr>
        <w:lastRenderedPageBreak/>
        <w:t xml:space="preserve">Przykładami innych ciekawych przedsięwzięć są programy realizowane przez Gminę Miasto Koszalin. </w:t>
      </w:r>
      <w:r w:rsidRPr="00EF4FE8">
        <w:rPr>
          <w:rFonts w:ascii="Lato" w:hAnsi="Lato"/>
          <w:b/>
          <w:iCs/>
          <w:sz w:val="20"/>
          <w:szCs w:val="20"/>
        </w:rPr>
        <w:t>Lek dla seniora</w:t>
      </w:r>
      <w:r w:rsidRPr="00EF4FE8">
        <w:rPr>
          <w:rFonts w:ascii="Lato" w:hAnsi="Lato"/>
          <w:sz w:val="20"/>
          <w:szCs w:val="20"/>
        </w:rPr>
        <w:t xml:space="preserve"> to program osłonowy z uproszczonym postępowaniem administracyjnym. Umożliwia szybkie, częściowe wsparcie dla osób starszych i jest alternatywą dla systemu wsparcia w postaci specjalnych zasiłków celowych.  W 2022 r. udzielono wsparcia 114 seniorom na kwotę 26 267 zł. </w:t>
      </w:r>
      <w:r w:rsidRPr="00EF4FE8">
        <w:rPr>
          <w:rFonts w:ascii="Lato" w:hAnsi="Lato"/>
          <w:b/>
          <w:sz w:val="20"/>
          <w:szCs w:val="20"/>
        </w:rPr>
        <w:t xml:space="preserve">Program osłonowy w zakresie zmniejszenia wydatków mieszkańców Miasta Koszalina z tytułu opłat za gospodarowanie odpadami komunalnymi. </w:t>
      </w:r>
      <w:r w:rsidRPr="00EF4FE8">
        <w:rPr>
          <w:rFonts w:ascii="Lato" w:hAnsi="Lato"/>
          <w:sz w:val="20"/>
          <w:szCs w:val="20"/>
        </w:rPr>
        <w:t xml:space="preserve">Osoby uprawnione otrzymały pomoc finansową na częściowe pokrycie opłat za gospodarowanie odpadami komunalnymi </w:t>
      </w:r>
      <w:r w:rsidRPr="00EF4FE8">
        <w:rPr>
          <w:rFonts w:ascii="Lato" w:hAnsi="Lato"/>
          <w:kern w:val="1"/>
          <w:sz w:val="20"/>
          <w:szCs w:val="20"/>
          <w:lang w:eastAsia="ar-SA"/>
        </w:rPr>
        <w:t xml:space="preserve">w wysokości 26,10 zł miesięcznie. W 2022 r. ze świadczenia skorzystały 1.362 osoby na ogólną kwotę </w:t>
      </w:r>
      <w:r w:rsidRPr="00EF4FE8">
        <w:rPr>
          <w:rFonts w:ascii="Lato" w:hAnsi="Lato"/>
          <w:sz w:val="20"/>
          <w:szCs w:val="20"/>
        </w:rPr>
        <w:t>383.670 zł.</w:t>
      </w:r>
    </w:p>
    <w:p w14:paraId="0855E078" w14:textId="77777777" w:rsidR="009A5B5E" w:rsidRDefault="009A5B5E" w:rsidP="009A5B5E">
      <w:pPr>
        <w:tabs>
          <w:tab w:val="left" w:pos="709"/>
        </w:tabs>
        <w:snapToGrid w:val="0"/>
        <w:spacing w:after="0" w:line="240" w:lineRule="auto"/>
        <w:jc w:val="both"/>
        <w:rPr>
          <w:rFonts w:ascii="Lato" w:hAnsi="Lato"/>
          <w:bCs/>
          <w:sz w:val="20"/>
          <w:szCs w:val="20"/>
          <w:lang w:eastAsia="zh-CN"/>
        </w:rPr>
      </w:pPr>
    </w:p>
    <w:p w14:paraId="36F6FA85" w14:textId="619106D3" w:rsidR="00EF4FE8" w:rsidRPr="00EF4FE8" w:rsidRDefault="00EF4FE8" w:rsidP="009A5B5E">
      <w:pPr>
        <w:tabs>
          <w:tab w:val="left" w:pos="709"/>
        </w:tabs>
        <w:snapToGrid w:val="0"/>
        <w:spacing w:after="0" w:line="240" w:lineRule="auto"/>
        <w:jc w:val="both"/>
        <w:rPr>
          <w:rFonts w:ascii="Lato" w:eastAsia="Calibri" w:hAnsi="Lato"/>
          <w:sz w:val="20"/>
          <w:szCs w:val="20"/>
        </w:rPr>
      </w:pPr>
      <w:r w:rsidRPr="00EF4FE8">
        <w:rPr>
          <w:rFonts w:ascii="Lato" w:hAnsi="Lato"/>
          <w:bCs/>
          <w:sz w:val="20"/>
          <w:szCs w:val="20"/>
          <w:lang w:eastAsia="zh-CN"/>
        </w:rPr>
        <w:t xml:space="preserve">Szczególnie istotne działania dotyczą zwiększenia dostępu seniorom do świadczeń rehabilitacyjnych. </w:t>
      </w:r>
      <w:r w:rsidRPr="00EF4FE8">
        <w:rPr>
          <w:rFonts w:ascii="Lato" w:hAnsi="Lato"/>
          <w:b/>
          <w:bCs/>
          <w:sz w:val="20"/>
          <w:szCs w:val="20"/>
        </w:rPr>
        <w:t xml:space="preserve">Program „Rehabilitacja seniorów – mieszkańców Miasta Szczecinek na lata 2021-2024” </w:t>
      </w:r>
      <w:r w:rsidRPr="00EF4FE8">
        <w:rPr>
          <w:rFonts w:ascii="Lato" w:hAnsi="Lato"/>
          <w:sz w:val="20"/>
          <w:szCs w:val="20"/>
        </w:rPr>
        <w:t xml:space="preserve">jest kontynuacją programu „Rehabilitacja seniorów – mieszkańców Miasta Szczecinek na lata 2017-2020”. Celem programu jest zapobieganie i przeciwdziałanie negatywnym skutkom chorób przewlekłych związanych z narządem ruchu poprzez stworzenie dodatkowych możliwości korzystania z nowoczesnych metod rehabilitacji leczniczej, poprawa dostępności do usług rehabilitacyjnych, zapobieganie długotrwałej niepełnosprawności i jej skutkom oraz zwiększenie komfortu życia osób po 65. roku życia z dysfunkcją narządu ruchu i zachęcenie do zwiększenia aktywności fizycznej. </w:t>
      </w:r>
      <w:r w:rsidRPr="00EF4FE8">
        <w:rPr>
          <w:rFonts w:ascii="Lato" w:hAnsi="Lato"/>
          <w:bCs/>
          <w:sz w:val="20"/>
          <w:szCs w:val="20"/>
        </w:rPr>
        <w:t>W 2022</w:t>
      </w:r>
      <w:r w:rsidRPr="00EF4FE8">
        <w:rPr>
          <w:rFonts w:ascii="Lato" w:hAnsi="Lato"/>
          <w:sz w:val="20"/>
          <w:szCs w:val="20"/>
        </w:rPr>
        <w:t xml:space="preserve"> r. do zabiegów zakwalifikowano 530 seniorów, wykonano 11.912 zabiegów na kwotę 119.120,00 </w:t>
      </w:r>
      <w:r w:rsidRPr="00EF4FE8">
        <w:rPr>
          <w:rFonts w:ascii="Lato" w:eastAsia="Calibri" w:hAnsi="Lato"/>
          <w:sz w:val="20"/>
          <w:szCs w:val="20"/>
        </w:rPr>
        <w:t>zł.</w:t>
      </w:r>
    </w:p>
    <w:p w14:paraId="3F062C09" w14:textId="77777777" w:rsidR="009A5B5E" w:rsidRDefault="009A5B5E" w:rsidP="00EF4FE8">
      <w:pPr>
        <w:spacing w:after="0" w:line="240" w:lineRule="auto"/>
        <w:jc w:val="both"/>
        <w:rPr>
          <w:rFonts w:ascii="Lato" w:eastAsia="Calibri" w:hAnsi="Lato"/>
          <w:sz w:val="20"/>
          <w:szCs w:val="20"/>
        </w:rPr>
      </w:pPr>
    </w:p>
    <w:p w14:paraId="55DA7CB7" w14:textId="66F54FCD" w:rsidR="00EF4FE8" w:rsidRPr="00EF4FE8" w:rsidRDefault="00EF4FE8" w:rsidP="00EF4FE8">
      <w:pPr>
        <w:spacing w:after="0" w:line="240" w:lineRule="auto"/>
        <w:jc w:val="both"/>
        <w:rPr>
          <w:rFonts w:ascii="Lato" w:hAnsi="Lato" w:cs="Calibri"/>
          <w:sz w:val="20"/>
          <w:szCs w:val="20"/>
        </w:rPr>
      </w:pPr>
      <w:r w:rsidRPr="00EF4FE8">
        <w:rPr>
          <w:rFonts w:ascii="Lato" w:hAnsi="Lato" w:cs="Calibri"/>
          <w:b/>
          <w:bCs/>
          <w:sz w:val="20"/>
          <w:szCs w:val="20"/>
        </w:rPr>
        <w:t xml:space="preserve">„Program dostępności do świadczeń gwarantowanych z zakresu rehabilitacji leczniczej dla mieszkańców miasta w wieku 60 +” </w:t>
      </w:r>
      <w:r w:rsidRPr="00EF4FE8">
        <w:rPr>
          <w:rFonts w:ascii="Lato" w:hAnsi="Lato" w:cs="Calibri"/>
          <w:sz w:val="20"/>
          <w:szCs w:val="20"/>
        </w:rPr>
        <w:t>realizowany jest przez Miasto Darłowo.</w:t>
      </w:r>
      <w:r w:rsidRPr="00EF4FE8">
        <w:rPr>
          <w:rFonts w:ascii="Lato" w:hAnsi="Lato" w:cs="Calibri"/>
          <w:b/>
          <w:bCs/>
          <w:sz w:val="20"/>
          <w:szCs w:val="20"/>
        </w:rPr>
        <w:t xml:space="preserve"> </w:t>
      </w:r>
      <w:r w:rsidRPr="00EF4FE8">
        <w:rPr>
          <w:rFonts w:ascii="Lato" w:hAnsi="Lato" w:cs="Calibri"/>
          <w:sz w:val="20"/>
          <w:szCs w:val="20"/>
        </w:rPr>
        <w:t xml:space="preserve">Celem głównym realizowanego programu jest poprawa stanu zdrowia mieszkańców miasta w wieku powyżej 60-tego roku życia, poprzez </w:t>
      </w:r>
      <w:r w:rsidRPr="00EF4FE8">
        <w:rPr>
          <w:rFonts w:ascii="Lato" w:hAnsi="Lato" w:cs="Calibri"/>
          <w:spacing w:val="-5"/>
          <w:sz w:val="20"/>
          <w:szCs w:val="20"/>
        </w:rPr>
        <w:t>podtrzymywanie og</w:t>
      </w:r>
      <w:r w:rsidRPr="00EF4FE8">
        <w:rPr>
          <w:rFonts w:ascii="Lato" w:hAnsi="Lato" w:cs="Calibri"/>
          <w:color w:val="000000"/>
          <w:spacing w:val="-5"/>
          <w:sz w:val="20"/>
          <w:szCs w:val="20"/>
        </w:rPr>
        <w:t xml:space="preserve">ólnej sprawności osób starszych z przewlekłymi lub pourazowymi </w:t>
      </w:r>
      <w:r w:rsidRPr="00EF4FE8">
        <w:rPr>
          <w:rFonts w:ascii="Lato" w:hAnsi="Lato" w:cs="Calibri"/>
          <w:color w:val="000000"/>
          <w:spacing w:val="-4"/>
          <w:sz w:val="20"/>
          <w:szCs w:val="20"/>
        </w:rPr>
        <w:t xml:space="preserve">schorzeniami narządu ruchu, układu kostnego i mięśniowego lub ośrodkowego/obwodowego układu nerwowego. Program opiera się na zapewnieniu profesjonalnej rehabilitacji nastawionej na osiągnięcie konkretnych, wymiernych rezultatów, </w:t>
      </w:r>
      <w:r w:rsidRPr="00EF4FE8">
        <w:rPr>
          <w:rFonts w:ascii="Lato" w:hAnsi="Lato" w:cs="Calibri"/>
          <w:color w:val="000000"/>
          <w:spacing w:val="-4"/>
          <w:sz w:val="20"/>
          <w:szCs w:val="20"/>
        </w:rPr>
        <w:br/>
        <w:t xml:space="preserve">w tym ograniczenia przyjmowania środków przeciwbólowych, usamodzielnienia się w czynnościach i funkcjach życiowych, przywrócenia możliwości sprawnego funkcjonowania osób starszych. </w:t>
      </w:r>
      <w:r w:rsidRPr="00EF4FE8">
        <w:rPr>
          <w:rFonts w:ascii="Lato" w:hAnsi="Lato" w:cs="Calibri"/>
          <w:sz w:val="20"/>
          <w:szCs w:val="20"/>
        </w:rPr>
        <w:t>Liczba uczestników: około 280 osób.</w:t>
      </w:r>
    </w:p>
    <w:p w14:paraId="58AE6FE2" w14:textId="77777777" w:rsidR="009A5B5E" w:rsidRDefault="009A5B5E" w:rsidP="009A5B5E">
      <w:pPr>
        <w:spacing w:after="0" w:line="240" w:lineRule="auto"/>
        <w:jc w:val="both"/>
        <w:rPr>
          <w:rFonts w:ascii="Lato" w:hAnsi="Lato"/>
          <w:sz w:val="20"/>
          <w:szCs w:val="20"/>
        </w:rPr>
      </w:pPr>
    </w:p>
    <w:p w14:paraId="2D4444D1" w14:textId="3707143C" w:rsidR="00EF4FE8" w:rsidRPr="00EF4FE8" w:rsidRDefault="00EF4FE8" w:rsidP="009A5B5E">
      <w:pPr>
        <w:spacing w:after="0" w:line="240" w:lineRule="auto"/>
        <w:jc w:val="both"/>
        <w:rPr>
          <w:rFonts w:ascii="Lato" w:hAnsi="Lato"/>
          <w:sz w:val="20"/>
          <w:szCs w:val="20"/>
        </w:rPr>
      </w:pPr>
      <w:r w:rsidRPr="00EF4FE8">
        <w:rPr>
          <w:rFonts w:ascii="Lato" w:hAnsi="Lato"/>
          <w:sz w:val="20"/>
          <w:szCs w:val="20"/>
        </w:rPr>
        <w:t>W roku 2022 Starostwo Powiatowe w Łobzie we współpracy z Komendą Powiatową Policji, Zakładem Ubezpieczeń Społecznych Oddział w Łobzie, Bankiem PKO BP Oddział w Łobzie zorganizowało 2 spotkania prewencyjne dla seniorów poświęcone zagrożeniom czyhającym na osoby starsze. Seniorzy mieli możliwość wzbogacić swoją wiedzę o cenne informacje, mogli zadawać pytania oraz otrzymać gadżety jak np. opaski odblaskowe.</w:t>
      </w:r>
    </w:p>
    <w:p w14:paraId="323D7837" w14:textId="77777777" w:rsidR="00EF4FE8" w:rsidRPr="00EF4FE8" w:rsidRDefault="00EF4FE8" w:rsidP="00EF4FE8">
      <w:pPr>
        <w:spacing w:after="0" w:line="240" w:lineRule="auto"/>
        <w:jc w:val="both"/>
        <w:rPr>
          <w:rFonts w:ascii="Lato" w:hAnsi="Lato"/>
          <w:sz w:val="20"/>
          <w:szCs w:val="20"/>
        </w:rPr>
      </w:pPr>
    </w:p>
    <w:p w14:paraId="065A5B8B" w14:textId="76FC34A3" w:rsidR="009A5B5E" w:rsidRPr="009A5B5E" w:rsidRDefault="009A5B5E" w:rsidP="009A5B5E">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PRZYKŁADY INNOWACYJNYCH ROZWIĄZAŃ</w:t>
      </w:r>
      <w:r w:rsidRPr="00757CE7">
        <w:rPr>
          <w:rFonts w:ascii="Lato" w:hAnsi="Lato"/>
          <w:color w:val="2F5496" w:themeColor="accent1" w:themeShade="BF"/>
          <w:sz w:val="20"/>
          <w:szCs w:val="20"/>
        </w:rPr>
        <w:t>.</w:t>
      </w:r>
    </w:p>
    <w:p w14:paraId="4B16731A" w14:textId="447C4CEC" w:rsidR="00EF4FE8" w:rsidRPr="00EF4FE8" w:rsidRDefault="00EF4FE8" w:rsidP="009A5B5E">
      <w:pPr>
        <w:spacing w:after="0" w:line="240" w:lineRule="auto"/>
        <w:contextualSpacing/>
        <w:jc w:val="both"/>
        <w:rPr>
          <w:rFonts w:ascii="Lato" w:eastAsia="Calibri" w:hAnsi="Lato" w:cs="Segoe UI"/>
          <w:kern w:val="3"/>
          <w:sz w:val="20"/>
          <w:szCs w:val="20"/>
          <w:lang w:eastAsia="zh-CN"/>
        </w:rPr>
      </w:pPr>
      <w:proofErr w:type="spellStart"/>
      <w:r w:rsidRPr="00EF4FE8">
        <w:rPr>
          <w:rFonts w:ascii="Lato" w:eastAsia="Calibri" w:hAnsi="Lato" w:cs="Segoe UI"/>
          <w:b/>
          <w:bCs/>
          <w:kern w:val="3"/>
          <w:sz w:val="20"/>
          <w:szCs w:val="20"/>
          <w:lang w:eastAsia="zh-CN"/>
        </w:rPr>
        <w:t>Teleopieka</w:t>
      </w:r>
      <w:proofErr w:type="spellEnd"/>
      <w:r w:rsidRPr="00EF4FE8">
        <w:rPr>
          <w:rFonts w:ascii="Lato" w:eastAsia="Calibri" w:hAnsi="Lato" w:cs="Segoe UI"/>
          <w:b/>
          <w:bCs/>
          <w:kern w:val="3"/>
          <w:sz w:val="20"/>
          <w:szCs w:val="20"/>
          <w:lang w:eastAsia="zh-CN"/>
        </w:rPr>
        <w:t xml:space="preserve"> i opaski życia</w:t>
      </w:r>
      <w:r w:rsidRPr="00EF4FE8">
        <w:rPr>
          <w:rFonts w:ascii="Lato" w:eastAsia="Calibri" w:hAnsi="Lato" w:cs="Segoe UI"/>
          <w:kern w:val="3"/>
          <w:sz w:val="20"/>
          <w:szCs w:val="20"/>
          <w:lang w:eastAsia="zh-CN"/>
        </w:rPr>
        <w:t xml:space="preserve"> – w województwie zachodniopomorskim wiele gmin wprowadziło różne formy </w:t>
      </w:r>
      <w:proofErr w:type="spellStart"/>
      <w:r w:rsidRPr="00EF4FE8">
        <w:rPr>
          <w:rFonts w:ascii="Lato" w:eastAsia="Calibri" w:hAnsi="Lato" w:cs="Segoe UI"/>
          <w:kern w:val="3"/>
          <w:sz w:val="20"/>
          <w:szCs w:val="20"/>
          <w:lang w:eastAsia="zh-CN"/>
        </w:rPr>
        <w:t>teleopieki</w:t>
      </w:r>
      <w:proofErr w:type="spellEnd"/>
      <w:r w:rsidRPr="00EF4FE8">
        <w:rPr>
          <w:rFonts w:ascii="Lato" w:eastAsia="Calibri" w:hAnsi="Lato" w:cs="Segoe UI"/>
          <w:kern w:val="3"/>
          <w:sz w:val="20"/>
          <w:szCs w:val="20"/>
          <w:lang w:eastAsia="zh-CN"/>
        </w:rPr>
        <w:t xml:space="preserve"> domowej, które pozwalają na szybkie udzielenie osobie potrzebującej pomocy medycznej czy wsparcia np. przez pracowników pomocy społecznej czy wolontariuszy. Rodzajem </w:t>
      </w:r>
      <w:proofErr w:type="spellStart"/>
      <w:r w:rsidRPr="00EF4FE8">
        <w:rPr>
          <w:rFonts w:ascii="Lato" w:eastAsia="Calibri" w:hAnsi="Lato" w:cs="Segoe UI"/>
          <w:kern w:val="3"/>
          <w:sz w:val="20"/>
          <w:szCs w:val="20"/>
          <w:lang w:eastAsia="zh-CN"/>
        </w:rPr>
        <w:t>teleopieki</w:t>
      </w:r>
      <w:proofErr w:type="spellEnd"/>
      <w:r w:rsidRPr="00EF4FE8">
        <w:rPr>
          <w:rFonts w:ascii="Lato" w:eastAsia="Calibri" w:hAnsi="Lato" w:cs="Segoe UI"/>
          <w:kern w:val="3"/>
          <w:sz w:val="20"/>
          <w:szCs w:val="20"/>
          <w:lang w:eastAsia="zh-CN"/>
        </w:rPr>
        <w:t xml:space="preserve"> są opaski noszone na przegubie ręki monitorujące lokalizację i funkcje życiowe seniora. Opaski wśród seniorów wprowadzono m. in. w Koszalinie, Szczecinku, Pyrzycach, Postominie, Dobrej,  Świnoujściu, Kołobrzegu.</w:t>
      </w:r>
    </w:p>
    <w:p w14:paraId="60E38751" w14:textId="77777777" w:rsidR="009A5B5E" w:rsidRDefault="009A5B5E" w:rsidP="009A5B5E">
      <w:pPr>
        <w:spacing w:after="0" w:line="240" w:lineRule="auto"/>
        <w:jc w:val="both"/>
        <w:rPr>
          <w:rFonts w:ascii="Lato" w:hAnsi="Lato"/>
          <w:sz w:val="20"/>
          <w:szCs w:val="20"/>
        </w:rPr>
      </w:pPr>
    </w:p>
    <w:p w14:paraId="3F9E80BF" w14:textId="6F9FCF60" w:rsidR="00EF4FE8" w:rsidRPr="00EF4FE8" w:rsidRDefault="00EF4FE8" w:rsidP="009A5B5E">
      <w:pPr>
        <w:spacing w:after="0" w:line="240" w:lineRule="auto"/>
        <w:jc w:val="both"/>
        <w:rPr>
          <w:rFonts w:ascii="Lato" w:eastAsia="Calibri" w:hAnsi="Lato" w:cs="Segoe UI"/>
          <w:kern w:val="3"/>
          <w:sz w:val="20"/>
          <w:szCs w:val="20"/>
          <w:lang w:eastAsia="zh-CN"/>
        </w:rPr>
      </w:pPr>
      <w:r w:rsidRPr="00EF4FE8">
        <w:rPr>
          <w:rFonts w:ascii="Lato" w:eastAsia="Calibri" w:hAnsi="Lato" w:cs="Segoe UI"/>
          <w:b/>
          <w:bCs/>
          <w:kern w:val="3"/>
          <w:sz w:val="20"/>
          <w:szCs w:val="20"/>
          <w:lang w:eastAsia="zh-CN"/>
        </w:rPr>
        <w:t>„Koperta życia”</w:t>
      </w:r>
      <w:r w:rsidRPr="00EF4FE8">
        <w:rPr>
          <w:rFonts w:ascii="Lato" w:eastAsia="Calibri" w:hAnsi="Lato" w:cs="Segoe UI"/>
          <w:kern w:val="3"/>
          <w:sz w:val="20"/>
          <w:szCs w:val="20"/>
          <w:lang w:eastAsia="zh-CN"/>
        </w:rPr>
        <w:t xml:space="preserve"> – akcja promująca wśród osób starszych, chorych i  niesamodzielnych specjalną kopertę, zawierającą formularz z krótkim opisem historii choroby, listą zażywanych leków, danymi chorego oraz kontaktem do lekarza prowadzącego i najbliższych członów rodziny. Kopertę przechowuje się w lodówce, uprzednio oznakowanej charakterystycznym magnesem lub naklejką. Koperta jest nieodzowna dla lekarzy i ratowników wezwanych na interwencję w podjęciu szybkiej akcji ratującej życie. Koperty wprowadzono m.in. w powiecie kołobrzeskim, </w:t>
      </w:r>
    </w:p>
    <w:p w14:paraId="6F1469DB" w14:textId="77777777" w:rsidR="009A5B5E" w:rsidRDefault="009A5B5E" w:rsidP="009A5B5E">
      <w:pPr>
        <w:spacing w:after="0" w:line="240" w:lineRule="auto"/>
        <w:jc w:val="both"/>
        <w:rPr>
          <w:rFonts w:ascii="Lato" w:eastAsia="Calibri" w:hAnsi="Lato" w:cs="Segoe UI"/>
          <w:b/>
          <w:bCs/>
          <w:kern w:val="3"/>
          <w:sz w:val="20"/>
          <w:szCs w:val="20"/>
          <w:lang w:eastAsia="zh-CN"/>
        </w:rPr>
      </w:pPr>
    </w:p>
    <w:p w14:paraId="3EBDEF30" w14:textId="13CB0891" w:rsidR="00EF4FE8" w:rsidRPr="00EF4FE8" w:rsidRDefault="00EF4FE8" w:rsidP="009A5B5E">
      <w:pPr>
        <w:spacing w:after="0" w:line="240" w:lineRule="auto"/>
        <w:jc w:val="both"/>
        <w:rPr>
          <w:rFonts w:ascii="Lato" w:eastAsia="Calibri" w:hAnsi="Lato" w:cs="Segoe UI"/>
          <w:kern w:val="3"/>
          <w:sz w:val="20"/>
          <w:szCs w:val="20"/>
          <w:lang w:eastAsia="zh-CN"/>
        </w:rPr>
      </w:pPr>
      <w:r w:rsidRPr="00EF4FE8">
        <w:rPr>
          <w:rFonts w:ascii="Lato" w:eastAsia="Calibri" w:hAnsi="Lato" w:cs="Segoe UI"/>
          <w:b/>
          <w:bCs/>
          <w:kern w:val="3"/>
          <w:sz w:val="20"/>
          <w:szCs w:val="20"/>
          <w:lang w:eastAsia="zh-CN"/>
        </w:rPr>
        <w:t>Bon seniora</w:t>
      </w:r>
      <w:r w:rsidRPr="00EF4FE8">
        <w:rPr>
          <w:rFonts w:ascii="Lato" w:eastAsia="Calibri" w:hAnsi="Lato" w:cs="Segoe UI"/>
          <w:kern w:val="3"/>
          <w:sz w:val="20"/>
          <w:szCs w:val="20"/>
          <w:lang w:eastAsia="zh-CN"/>
        </w:rPr>
        <w:t xml:space="preserve"> -  jednorazowe świadczenie finansowe (w różnej wysokości od 180 do </w:t>
      </w:r>
      <w:r w:rsidRPr="00EF4FE8">
        <w:rPr>
          <w:rFonts w:ascii="Lato" w:eastAsia="Calibri" w:hAnsi="Lato" w:cs="Segoe UI"/>
          <w:kern w:val="3"/>
          <w:sz w:val="20"/>
          <w:szCs w:val="20"/>
          <w:lang w:eastAsia="zh-CN"/>
        </w:rPr>
        <w:br/>
        <w:t>300 zł) z przeznaczeniem na cele zdrowotne (w tym zakup leków) lub kulturalne. Projekt realizuje m.in. Gmina Świnoujście (pn. Bon Wyspiarza Seniora) i Międzyzdroje.</w:t>
      </w:r>
    </w:p>
    <w:p w14:paraId="64D6C5D0" w14:textId="77777777" w:rsidR="009A5B5E" w:rsidRDefault="009A5B5E" w:rsidP="009A5B5E">
      <w:pPr>
        <w:pStyle w:val="Akapitzlist"/>
        <w:tabs>
          <w:tab w:val="left" w:pos="0"/>
          <w:tab w:val="left" w:pos="142"/>
        </w:tabs>
        <w:spacing w:after="0" w:line="240" w:lineRule="auto"/>
        <w:ind w:left="0"/>
        <w:jc w:val="both"/>
        <w:rPr>
          <w:rFonts w:ascii="Lato" w:eastAsia="Calibri" w:hAnsi="Lato" w:cs="Segoe UI"/>
          <w:b/>
          <w:bCs/>
          <w:kern w:val="3"/>
          <w:sz w:val="20"/>
          <w:szCs w:val="20"/>
          <w:lang w:eastAsia="zh-CN"/>
        </w:rPr>
      </w:pPr>
    </w:p>
    <w:p w14:paraId="178DC913" w14:textId="3C7EE158" w:rsidR="00EF4FE8" w:rsidRDefault="00EF4FE8" w:rsidP="009A5B5E">
      <w:pPr>
        <w:pStyle w:val="Akapitzlist"/>
        <w:tabs>
          <w:tab w:val="left" w:pos="0"/>
          <w:tab w:val="left" w:pos="142"/>
        </w:tabs>
        <w:spacing w:after="0" w:line="240" w:lineRule="auto"/>
        <w:ind w:left="0"/>
        <w:jc w:val="both"/>
        <w:rPr>
          <w:rStyle w:val="Hipercze"/>
          <w:rFonts w:ascii="Lato" w:hAnsi="Lato" w:cs="Arial"/>
          <w:sz w:val="20"/>
          <w:szCs w:val="20"/>
        </w:rPr>
      </w:pPr>
      <w:r w:rsidRPr="00EF4FE8">
        <w:rPr>
          <w:rFonts w:ascii="Lato" w:eastAsia="Calibri" w:hAnsi="Lato" w:cs="Segoe UI"/>
          <w:b/>
          <w:bCs/>
          <w:kern w:val="3"/>
          <w:sz w:val="20"/>
          <w:szCs w:val="20"/>
          <w:lang w:eastAsia="zh-CN"/>
        </w:rPr>
        <w:t>Bon opiekuńczy Alzheimer 75</w:t>
      </w:r>
      <w:r w:rsidRPr="00EF4FE8">
        <w:rPr>
          <w:rFonts w:ascii="Lato" w:eastAsia="Calibri" w:hAnsi="Lato" w:cs="Segoe UI"/>
          <w:kern w:val="3"/>
          <w:sz w:val="20"/>
          <w:szCs w:val="20"/>
          <w:lang w:eastAsia="zh-CN"/>
        </w:rPr>
        <w:t xml:space="preserve"> - program Gminy Miasta Szczecin - świadczenie pieniężne dla opiekuna udzielającego wsparcia osobie chorej na chorobę Alzheimera powyżej 75 roku życia. </w:t>
      </w:r>
    </w:p>
    <w:p w14:paraId="7BD308A7" w14:textId="77777777" w:rsidR="009A5B5E" w:rsidRDefault="009A5B5E" w:rsidP="009A5B5E">
      <w:pPr>
        <w:spacing w:after="0" w:line="240" w:lineRule="auto"/>
        <w:contextualSpacing/>
        <w:jc w:val="both"/>
        <w:rPr>
          <w:rFonts w:ascii="Lato" w:eastAsia="Calibri" w:hAnsi="Lato" w:cs="Segoe UI"/>
          <w:b/>
          <w:bCs/>
          <w:kern w:val="3"/>
          <w:sz w:val="20"/>
          <w:szCs w:val="20"/>
          <w:lang w:eastAsia="zh-CN"/>
        </w:rPr>
      </w:pPr>
    </w:p>
    <w:p w14:paraId="3567A011" w14:textId="5D50B23F" w:rsidR="00EF4FE8" w:rsidRPr="00EF4FE8" w:rsidRDefault="00EF4FE8" w:rsidP="009A5B5E">
      <w:pPr>
        <w:spacing w:after="0" w:line="240" w:lineRule="auto"/>
        <w:contextualSpacing/>
        <w:jc w:val="both"/>
        <w:rPr>
          <w:rFonts w:ascii="Lato" w:eastAsia="Calibri" w:hAnsi="Lato" w:cs="Segoe UI"/>
          <w:kern w:val="3"/>
          <w:sz w:val="20"/>
          <w:szCs w:val="20"/>
          <w:lang w:eastAsia="zh-CN"/>
        </w:rPr>
      </w:pPr>
      <w:r w:rsidRPr="00EF4FE8">
        <w:rPr>
          <w:rFonts w:ascii="Lato" w:eastAsia="Calibri" w:hAnsi="Lato" w:cs="Segoe UI"/>
          <w:b/>
          <w:bCs/>
          <w:kern w:val="3"/>
          <w:sz w:val="20"/>
          <w:szCs w:val="20"/>
          <w:lang w:eastAsia="zh-CN"/>
        </w:rPr>
        <w:t>Srebrny Telefon dla Seniora</w:t>
      </w:r>
      <w:r w:rsidRPr="00EF4FE8">
        <w:rPr>
          <w:rFonts w:ascii="Lato" w:eastAsia="Calibri" w:hAnsi="Lato" w:cs="Segoe UI"/>
          <w:kern w:val="3"/>
          <w:sz w:val="20"/>
          <w:szCs w:val="20"/>
          <w:lang w:eastAsia="zh-CN"/>
        </w:rPr>
        <w:t xml:space="preserve"> - infolinia czynna przez całą dobę, a senior, który dzwoni do MOPR w Szczecinie może również uzyskać informację od przedstawicieli innych instytucji.</w:t>
      </w:r>
    </w:p>
    <w:p w14:paraId="1B140BD5" w14:textId="77777777" w:rsidR="009A5B5E" w:rsidRDefault="009A5B5E" w:rsidP="009A5B5E">
      <w:pPr>
        <w:spacing w:after="0" w:line="240" w:lineRule="auto"/>
        <w:contextualSpacing/>
        <w:jc w:val="both"/>
        <w:rPr>
          <w:rFonts w:ascii="Lato" w:eastAsia="Calibri" w:hAnsi="Lato" w:cs="Segoe UI"/>
          <w:b/>
          <w:bCs/>
          <w:kern w:val="3"/>
          <w:sz w:val="20"/>
          <w:szCs w:val="20"/>
          <w:lang w:eastAsia="zh-CN"/>
        </w:rPr>
      </w:pPr>
    </w:p>
    <w:p w14:paraId="04C2619C" w14:textId="5F64B8B3" w:rsidR="00EF4FE8" w:rsidRPr="00EF4FE8" w:rsidRDefault="00EF4FE8" w:rsidP="009A5B5E">
      <w:pPr>
        <w:spacing w:after="0" w:line="240" w:lineRule="auto"/>
        <w:contextualSpacing/>
        <w:jc w:val="both"/>
        <w:rPr>
          <w:rFonts w:ascii="Lato" w:eastAsia="Calibri" w:hAnsi="Lato" w:cs="Segoe UI"/>
          <w:kern w:val="3"/>
          <w:sz w:val="20"/>
          <w:szCs w:val="20"/>
          <w:lang w:eastAsia="zh-CN"/>
        </w:rPr>
      </w:pPr>
      <w:r w:rsidRPr="00EF4FE8">
        <w:rPr>
          <w:rFonts w:ascii="Lato" w:eastAsia="Calibri" w:hAnsi="Lato" w:cs="Segoe UI"/>
          <w:b/>
          <w:bCs/>
          <w:kern w:val="3"/>
          <w:sz w:val="20"/>
          <w:szCs w:val="20"/>
          <w:lang w:eastAsia="zh-CN"/>
        </w:rPr>
        <w:t>Zachodniopomorska Karta Seniora</w:t>
      </w:r>
      <w:r w:rsidRPr="00EF4FE8">
        <w:rPr>
          <w:rFonts w:ascii="Lato" w:eastAsia="Calibri" w:hAnsi="Lato" w:cs="Segoe UI"/>
          <w:kern w:val="3"/>
          <w:sz w:val="20"/>
          <w:szCs w:val="20"/>
          <w:lang w:eastAsia="zh-CN"/>
        </w:rPr>
        <w:t xml:space="preserve"> - wsparciem tym objęte są osoby starsze zamieszkałe na terenie województwa zachodniopomorskiego. Karta umożliwia korzystanie, na preferencyjnych warunkach, z katalogu ofert: kultury, edukacji, rekreacji, transportu i innych usług oferowanych przez partnerów Programu. Karta wydawana jest bezpłatnie a o jej wydanie mogą ubiegać się osoby, które ukończyły 60 lat.</w:t>
      </w:r>
    </w:p>
    <w:p w14:paraId="6D24EA36" w14:textId="77777777" w:rsidR="00EF4FE8" w:rsidRPr="00EF4FE8" w:rsidRDefault="00EF4FE8" w:rsidP="00EF4FE8">
      <w:pPr>
        <w:spacing w:after="0" w:line="240" w:lineRule="auto"/>
        <w:jc w:val="both"/>
        <w:rPr>
          <w:rFonts w:ascii="Lato" w:hAnsi="Lato"/>
          <w:color w:val="FF0000"/>
          <w:sz w:val="20"/>
          <w:szCs w:val="20"/>
        </w:rPr>
      </w:pPr>
    </w:p>
    <w:p w14:paraId="62D22E08" w14:textId="70F73932" w:rsidR="00EF4FE8" w:rsidRPr="009A5B5E" w:rsidRDefault="009A5B5E" w:rsidP="00EF4FE8">
      <w:pPr>
        <w:spacing w:after="0" w:line="240" w:lineRule="auto"/>
        <w:jc w:val="both"/>
        <w:rPr>
          <w:rFonts w:ascii="Lato" w:hAnsi="Lato"/>
          <w:color w:val="2F5496" w:themeColor="accent1" w:themeShade="BF"/>
          <w:sz w:val="20"/>
          <w:szCs w:val="20"/>
        </w:rPr>
      </w:pPr>
      <w:r w:rsidRPr="00757CE7">
        <w:rPr>
          <w:rFonts w:ascii="Lato" w:hAnsi="Lato"/>
          <w:b/>
          <w:color w:val="2F5496" w:themeColor="accent1" w:themeShade="BF"/>
          <w:sz w:val="20"/>
          <w:szCs w:val="20"/>
        </w:rPr>
        <w:t xml:space="preserve">DZIAŁANIA </w:t>
      </w:r>
      <w:r>
        <w:rPr>
          <w:rFonts w:ascii="Lato" w:hAnsi="Lato"/>
          <w:b/>
          <w:color w:val="2F5496" w:themeColor="accent1" w:themeShade="BF"/>
          <w:sz w:val="20"/>
          <w:szCs w:val="20"/>
        </w:rPr>
        <w:t>WSPIERAJĄCE</w:t>
      </w:r>
    </w:p>
    <w:p w14:paraId="1BCE16A1" w14:textId="6523A083" w:rsidR="00EF4FE8" w:rsidRPr="00EF4FE8" w:rsidRDefault="00EF4FE8" w:rsidP="009A5B5E">
      <w:pPr>
        <w:suppressAutoHyphens/>
        <w:spacing w:after="0" w:line="240" w:lineRule="auto"/>
        <w:ind w:right="28"/>
        <w:jc w:val="both"/>
        <w:rPr>
          <w:rFonts w:ascii="Lato" w:hAnsi="Lato"/>
          <w:color w:val="000000"/>
          <w:sz w:val="20"/>
          <w:szCs w:val="20"/>
        </w:rPr>
      </w:pPr>
      <w:r w:rsidRPr="00EF4FE8">
        <w:rPr>
          <w:rFonts w:ascii="Lato" w:hAnsi="Lato"/>
          <w:sz w:val="20"/>
          <w:szCs w:val="20"/>
        </w:rPr>
        <w:t xml:space="preserve">Realizacja kolejnej edycji </w:t>
      </w:r>
      <w:r w:rsidRPr="00EF4FE8">
        <w:rPr>
          <w:rFonts w:ascii="Lato" w:hAnsi="Lato"/>
          <w:b/>
          <w:bCs/>
          <w:sz w:val="20"/>
          <w:szCs w:val="20"/>
          <w:u w:val="single"/>
        </w:rPr>
        <w:t>„Programu szczepień ochronnych przeciw grypie dla mieszkańców Miasta Świnoujście w wieku od 60 roku życia”.</w:t>
      </w:r>
      <w:r w:rsidR="009A5B5E">
        <w:rPr>
          <w:rFonts w:ascii="Lato" w:hAnsi="Lato"/>
          <w:color w:val="000000"/>
          <w:sz w:val="20"/>
          <w:szCs w:val="20"/>
        </w:rPr>
        <w:t xml:space="preserve"> </w:t>
      </w:r>
      <w:r w:rsidRPr="00EF4FE8">
        <w:rPr>
          <w:rFonts w:ascii="Lato" w:hAnsi="Lato"/>
          <w:color w:val="000000"/>
          <w:sz w:val="20"/>
          <w:szCs w:val="20"/>
        </w:rPr>
        <w:t xml:space="preserve">W ramach Programu zaszczepiono 1.733 osób. </w:t>
      </w:r>
      <w:r w:rsidRPr="00EF4FE8">
        <w:rPr>
          <w:rFonts w:ascii="Lato" w:hAnsi="Lato"/>
          <w:bCs/>
          <w:sz w:val="20"/>
          <w:szCs w:val="20"/>
        </w:rPr>
        <w:t xml:space="preserve"> Miejski Ośrodek Pomocy Rodzinie w Świnoujściu świadczył usługi opiekuńcze i specjalistyczne usługi opiekuńcze świadczone w miejscu zamieszkania klienta. W 2022r. usługi świadczone były na rzecz 234 osób wieku powyżej 65 roku życia. W zależności od stanu zdrowia osoby oraz jej możliwości samoobsługowych, przyznawana była pomoc, która obejmowała zaspokajanie codziennych potrzeb życiowych, m. in. podstawową opiekę higieniczną, zleconą przez lekarza pielęgnację oraz zapewnienie w miarę możliwości kontaktu z otoczeniem. </w:t>
      </w:r>
    </w:p>
    <w:p w14:paraId="62DC47BD" w14:textId="77777777" w:rsidR="009A5B5E" w:rsidRDefault="009A5B5E" w:rsidP="009A5B5E">
      <w:pPr>
        <w:suppressAutoHyphens/>
        <w:spacing w:after="0" w:line="240" w:lineRule="auto"/>
        <w:jc w:val="both"/>
        <w:rPr>
          <w:rFonts w:ascii="Lato" w:hAnsi="Lato"/>
          <w:sz w:val="20"/>
          <w:szCs w:val="20"/>
        </w:rPr>
      </w:pPr>
    </w:p>
    <w:p w14:paraId="4C46D290" w14:textId="22D1BA14" w:rsidR="00EF4FE8" w:rsidRPr="00EF4FE8" w:rsidRDefault="00EF4FE8" w:rsidP="009A5B5E">
      <w:pPr>
        <w:suppressAutoHyphens/>
        <w:spacing w:after="0" w:line="240" w:lineRule="auto"/>
        <w:jc w:val="both"/>
        <w:rPr>
          <w:rFonts w:ascii="Lato" w:hAnsi="Lato"/>
          <w:color w:val="000000"/>
          <w:sz w:val="20"/>
          <w:szCs w:val="20"/>
        </w:rPr>
      </w:pPr>
      <w:r w:rsidRPr="00EF4FE8">
        <w:rPr>
          <w:rFonts w:ascii="Lato" w:hAnsi="Lato"/>
          <w:sz w:val="20"/>
          <w:szCs w:val="20"/>
        </w:rPr>
        <w:t xml:space="preserve">Miejski Ośrodek Pomocy Rodzinie w Świnoujściu przystąpił do realizacji rządowego programu „Opieka 75+” w celu pozyskania dodatkowych środków finansowych na realizację usług opiekuńczych dla osób starszych (128 klientów), ponadto przystąpiono do programu </w:t>
      </w:r>
      <w:r w:rsidRPr="00EF4FE8">
        <w:rPr>
          <w:rFonts w:ascii="Lato" w:hAnsi="Lato"/>
          <w:b/>
          <w:bCs/>
          <w:sz w:val="20"/>
          <w:szCs w:val="20"/>
        </w:rPr>
        <w:t>„Korpus Wspierania Seniora”.</w:t>
      </w:r>
    </w:p>
    <w:p w14:paraId="4E4957AE" w14:textId="77777777" w:rsidR="009A5B5E" w:rsidRDefault="009A5B5E" w:rsidP="009A5B5E">
      <w:pPr>
        <w:widowControl w:val="0"/>
        <w:suppressAutoHyphens/>
        <w:spacing w:after="0" w:line="240" w:lineRule="auto"/>
        <w:jc w:val="both"/>
        <w:rPr>
          <w:rFonts w:ascii="Lato" w:hAnsi="Lato"/>
          <w:bCs/>
          <w:sz w:val="20"/>
          <w:szCs w:val="20"/>
          <w:lang w:eastAsia="ar-SA"/>
        </w:rPr>
      </w:pPr>
    </w:p>
    <w:p w14:paraId="5408C15E" w14:textId="37B8F986" w:rsidR="00EF4FE8" w:rsidRPr="00EF4FE8" w:rsidRDefault="00EF4FE8" w:rsidP="009A5B5E">
      <w:pPr>
        <w:widowControl w:val="0"/>
        <w:suppressAutoHyphens/>
        <w:spacing w:after="0" w:line="240" w:lineRule="auto"/>
        <w:jc w:val="both"/>
        <w:rPr>
          <w:rFonts w:ascii="Lato" w:hAnsi="Lato"/>
          <w:bCs/>
          <w:sz w:val="20"/>
          <w:szCs w:val="20"/>
          <w:lang w:eastAsia="ar-SA"/>
        </w:rPr>
      </w:pPr>
      <w:r w:rsidRPr="00EF4FE8">
        <w:rPr>
          <w:rFonts w:ascii="Lato" w:hAnsi="Lato"/>
          <w:bCs/>
          <w:sz w:val="20"/>
          <w:szCs w:val="20"/>
          <w:lang w:eastAsia="ar-SA"/>
        </w:rPr>
        <w:t>Polskiemu Związkowi Emerytów, Rencistów i Inwalidów zlecono realizację zadania publicznego pn. „</w:t>
      </w:r>
      <w:r w:rsidRPr="00EF4FE8">
        <w:rPr>
          <w:rFonts w:ascii="Lato" w:hAnsi="Lato"/>
          <w:bCs/>
          <w:i/>
          <w:iCs/>
          <w:sz w:val="20"/>
          <w:szCs w:val="20"/>
          <w:lang w:eastAsia="ar-SA"/>
        </w:rPr>
        <w:t>Wspieranie lokalnej społeczności na lewobrzeżu i prawobrzeżu Świnoujścia”</w:t>
      </w:r>
      <w:r w:rsidRPr="00EF4FE8">
        <w:rPr>
          <w:rFonts w:ascii="Lato" w:hAnsi="Lato"/>
          <w:bCs/>
          <w:sz w:val="20"/>
          <w:szCs w:val="20"/>
          <w:lang w:eastAsia="ar-SA"/>
        </w:rPr>
        <w:t xml:space="preserve"> ze szczególnym uwzględnieniem mieszkańców osiedli </w:t>
      </w:r>
      <w:proofErr w:type="spellStart"/>
      <w:r w:rsidRPr="00EF4FE8">
        <w:rPr>
          <w:rFonts w:ascii="Lato" w:hAnsi="Lato"/>
          <w:bCs/>
          <w:sz w:val="20"/>
          <w:szCs w:val="20"/>
          <w:lang w:eastAsia="ar-SA"/>
        </w:rPr>
        <w:t>Warszów</w:t>
      </w:r>
      <w:proofErr w:type="spellEnd"/>
      <w:r w:rsidRPr="00EF4FE8">
        <w:rPr>
          <w:rFonts w:ascii="Lato" w:hAnsi="Lato"/>
          <w:bCs/>
          <w:sz w:val="20"/>
          <w:szCs w:val="20"/>
          <w:lang w:eastAsia="ar-SA"/>
        </w:rPr>
        <w:t xml:space="preserve"> i Przytór. Celem programu było promowanie kontaktów międzyludzkich poprzez spotkania różnych grup wiekowych. </w:t>
      </w:r>
    </w:p>
    <w:p w14:paraId="45B28693" w14:textId="77777777" w:rsidR="009A5B5E" w:rsidRDefault="009A5B5E" w:rsidP="009A5B5E">
      <w:pPr>
        <w:spacing w:after="0" w:line="240" w:lineRule="auto"/>
        <w:jc w:val="both"/>
        <w:rPr>
          <w:rFonts w:ascii="Lato" w:hAnsi="Lato"/>
          <w:sz w:val="20"/>
          <w:szCs w:val="20"/>
        </w:rPr>
      </w:pPr>
    </w:p>
    <w:p w14:paraId="6EEF11EE" w14:textId="6EB58B6B" w:rsidR="00EF4FE8" w:rsidRPr="00EF4FE8" w:rsidRDefault="00EF4FE8" w:rsidP="009A5B5E">
      <w:pPr>
        <w:spacing w:after="0" w:line="240" w:lineRule="auto"/>
        <w:jc w:val="both"/>
        <w:rPr>
          <w:rFonts w:ascii="Lato" w:hAnsi="Lato"/>
          <w:sz w:val="20"/>
          <w:szCs w:val="20"/>
        </w:rPr>
      </w:pPr>
      <w:r w:rsidRPr="00EF4FE8">
        <w:rPr>
          <w:rFonts w:ascii="Lato" w:hAnsi="Lato"/>
          <w:sz w:val="20"/>
          <w:szCs w:val="20"/>
        </w:rPr>
        <w:t>Realizowano projekt pod nazwą: „Bon Wyspiarza Seniora”. Programem zostali objęci mieszkańcy Świnoujścia 65+. Zapewniono dostęp do świadczeń opieki zdrowotnej, w tym opieki podstawowej, specjalistycznej, świadczeń rehabilitacyjnych, w tym także w nowo wybudowanym, odpowiednio wyposażonym Zakładzie Opieki Długoterminowej „Fregata” Sp. z o.o., Funkcjonariusze Komendy Miejskiej Policji prowadzili debaty społeczne na temat bezpieczeństwa.</w:t>
      </w:r>
    </w:p>
    <w:p w14:paraId="252704DA" w14:textId="77777777" w:rsidR="009A5B5E" w:rsidRDefault="009A5B5E" w:rsidP="009A5B5E">
      <w:pPr>
        <w:spacing w:after="0" w:line="240" w:lineRule="auto"/>
        <w:jc w:val="both"/>
        <w:rPr>
          <w:rFonts w:ascii="Lato" w:hAnsi="Lato"/>
          <w:sz w:val="20"/>
          <w:szCs w:val="20"/>
        </w:rPr>
      </w:pPr>
    </w:p>
    <w:p w14:paraId="648FCF0B" w14:textId="6CE1953C" w:rsidR="00EF4FE8" w:rsidRPr="00EF4FE8" w:rsidRDefault="00EF4FE8" w:rsidP="009A5B5E">
      <w:pPr>
        <w:spacing w:after="0" w:line="240" w:lineRule="auto"/>
        <w:jc w:val="both"/>
        <w:rPr>
          <w:rFonts w:ascii="Lato" w:hAnsi="Lato"/>
          <w:sz w:val="20"/>
          <w:szCs w:val="20"/>
        </w:rPr>
      </w:pPr>
      <w:r w:rsidRPr="00EF4FE8">
        <w:rPr>
          <w:rFonts w:ascii="Lato" w:hAnsi="Lato"/>
          <w:sz w:val="20"/>
          <w:szCs w:val="20"/>
        </w:rPr>
        <w:t>Osoby w wieku powyżej 70 roku życia mają zapewnione korzystanie z bezpłatnych przejazdów komunikacją miejską.</w:t>
      </w:r>
    </w:p>
    <w:p w14:paraId="2E7647C6" w14:textId="77777777" w:rsidR="009A5B5E" w:rsidRDefault="009A5B5E" w:rsidP="009A5B5E">
      <w:pPr>
        <w:pStyle w:val="Bezodstpw"/>
        <w:jc w:val="both"/>
        <w:rPr>
          <w:rFonts w:ascii="Lato" w:eastAsia="Times New Roman" w:hAnsi="Lato" w:cs="Calibri"/>
          <w:bCs/>
          <w:sz w:val="20"/>
          <w:szCs w:val="20"/>
        </w:rPr>
      </w:pPr>
    </w:p>
    <w:p w14:paraId="7C06D54C" w14:textId="64F1E1F4" w:rsidR="00EF4FE8" w:rsidRPr="00EF4FE8" w:rsidRDefault="00EF4FE8" w:rsidP="009A5B5E">
      <w:pPr>
        <w:pStyle w:val="Bezodstpw"/>
        <w:jc w:val="both"/>
        <w:rPr>
          <w:rFonts w:ascii="Lato" w:eastAsia="Times New Roman" w:hAnsi="Lato" w:cs="Calibri"/>
          <w:kern w:val="2"/>
          <w:sz w:val="20"/>
          <w:szCs w:val="20"/>
        </w:rPr>
      </w:pPr>
      <w:r w:rsidRPr="00EF4FE8">
        <w:rPr>
          <w:rFonts w:ascii="Lato" w:eastAsia="Times New Roman" w:hAnsi="Lato" w:cs="Calibri"/>
          <w:bCs/>
          <w:sz w:val="20"/>
          <w:szCs w:val="20"/>
        </w:rPr>
        <w:t xml:space="preserve">Ośrodek Pomocy Społecznej </w:t>
      </w:r>
      <w:r w:rsidRPr="00EF4FE8">
        <w:rPr>
          <w:rFonts w:ascii="Lato" w:eastAsia="Times New Roman" w:hAnsi="Lato" w:cs="Calibri"/>
          <w:b/>
          <w:bCs/>
          <w:sz w:val="20"/>
          <w:szCs w:val="20"/>
        </w:rPr>
        <w:t>w Pyrzycach,</w:t>
      </w:r>
      <w:r w:rsidRPr="00EF4FE8">
        <w:rPr>
          <w:rFonts w:ascii="Lato" w:eastAsia="Times New Roman" w:hAnsi="Lato" w:cs="Calibri"/>
          <w:bCs/>
          <w:sz w:val="20"/>
          <w:szCs w:val="20"/>
        </w:rPr>
        <w:t xml:space="preserve"> oprócz uczestnictwa w programach, realizuje również usługi opiekuńcze i specjalistyczne usługi opiekuńcze. Pomoc </w:t>
      </w:r>
      <w:r w:rsidRPr="00EF4FE8">
        <w:rPr>
          <w:rFonts w:ascii="Lato" w:eastAsia="Times New Roman" w:hAnsi="Lato" w:cs="Calibri"/>
          <w:sz w:val="20"/>
          <w:szCs w:val="20"/>
        </w:rPr>
        <w:t xml:space="preserve">w formie usług opiekuńczych przysługuje osobie, która z powodu wieku, choroby, niepełnosprawności   wymaga pomocy innych osób. </w:t>
      </w:r>
      <w:r w:rsidRPr="00EF4FE8">
        <w:rPr>
          <w:rFonts w:ascii="Lato" w:eastAsia="Times New Roman" w:hAnsi="Lato" w:cs="Calibri"/>
          <w:kern w:val="2"/>
          <w:sz w:val="20"/>
          <w:szCs w:val="20"/>
        </w:rPr>
        <w:t xml:space="preserve">Z usług opiekuńczych korzystało w 2022 r. ogółem </w:t>
      </w:r>
      <w:r w:rsidRPr="00EF4FE8">
        <w:rPr>
          <w:rFonts w:ascii="Lato" w:eastAsia="Times New Roman" w:hAnsi="Lato" w:cs="Calibri"/>
          <w:b/>
          <w:kern w:val="2"/>
          <w:sz w:val="20"/>
          <w:szCs w:val="20"/>
        </w:rPr>
        <w:t>105</w:t>
      </w:r>
      <w:r w:rsidRPr="00EF4FE8">
        <w:rPr>
          <w:rFonts w:ascii="Lato" w:eastAsia="Times New Roman" w:hAnsi="Lato" w:cs="Calibri"/>
          <w:kern w:val="2"/>
          <w:sz w:val="20"/>
          <w:szCs w:val="20"/>
        </w:rPr>
        <w:t xml:space="preserve"> osób, na rzecz których świadczone były usługi w ilości </w:t>
      </w:r>
      <w:r w:rsidRPr="00EF4FE8">
        <w:rPr>
          <w:rFonts w:ascii="Lato" w:eastAsia="Times New Roman" w:hAnsi="Lato" w:cs="Calibri"/>
          <w:bCs/>
          <w:kern w:val="2"/>
          <w:sz w:val="20"/>
          <w:szCs w:val="20"/>
        </w:rPr>
        <w:t>17.227</w:t>
      </w:r>
      <w:r w:rsidRPr="00EF4FE8">
        <w:rPr>
          <w:rFonts w:ascii="Lato" w:eastAsia="Times New Roman" w:hAnsi="Lato" w:cs="Calibri"/>
          <w:b/>
          <w:kern w:val="2"/>
          <w:sz w:val="20"/>
          <w:szCs w:val="20"/>
        </w:rPr>
        <w:t xml:space="preserve"> </w:t>
      </w:r>
      <w:r w:rsidRPr="00EF4FE8">
        <w:rPr>
          <w:rFonts w:ascii="Lato" w:eastAsia="Times New Roman" w:hAnsi="Lato" w:cs="Calibri"/>
          <w:kern w:val="2"/>
          <w:sz w:val="20"/>
          <w:szCs w:val="20"/>
        </w:rPr>
        <w:t>godzin.</w:t>
      </w:r>
    </w:p>
    <w:p w14:paraId="1010A254" w14:textId="77777777" w:rsidR="009A5B5E" w:rsidRDefault="009A5B5E" w:rsidP="009A5B5E">
      <w:pPr>
        <w:pStyle w:val="Bezodstpw"/>
        <w:jc w:val="both"/>
        <w:rPr>
          <w:rFonts w:ascii="Lato" w:eastAsia="Times New Roman" w:hAnsi="Lato" w:cs="Calibri"/>
          <w:kern w:val="2"/>
          <w:sz w:val="20"/>
          <w:szCs w:val="20"/>
        </w:rPr>
      </w:pPr>
    </w:p>
    <w:p w14:paraId="2D31D1ED" w14:textId="69302065" w:rsidR="00EF4FE8" w:rsidRPr="00EF4FE8" w:rsidRDefault="00EF4FE8" w:rsidP="009A5B5E">
      <w:pPr>
        <w:pStyle w:val="Bezodstpw"/>
        <w:jc w:val="both"/>
        <w:rPr>
          <w:rFonts w:ascii="Lato" w:eastAsia="Times New Roman" w:hAnsi="Lato" w:cs="Calibri"/>
          <w:b/>
          <w:sz w:val="20"/>
          <w:szCs w:val="20"/>
          <w:u w:val="single"/>
        </w:rPr>
      </w:pPr>
      <w:r w:rsidRPr="00EF4FE8">
        <w:rPr>
          <w:rFonts w:ascii="Lato" w:eastAsia="Times New Roman" w:hAnsi="Lato" w:cs="Calibri"/>
          <w:kern w:val="2"/>
          <w:sz w:val="20"/>
          <w:szCs w:val="20"/>
        </w:rPr>
        <w:t xml:space="preserve">Usługi opiekuńcze obejmują pomoc w zaspokajaniu codziennych potrzeb życiowych, opiekę higieniczną, zleconą przez lekarza pielęgnację oraz w miarę możliwości, zapewnienie kontaktów z otoczeniem. Ponadto w Gminie realizowany jest </w:t>
      </w:r>
      <w:r w:rsidRPr="00EF4FE8">
        <w:rPr>
          <w:rFonts w:ascii="Lato" w:eastAsia="Times New Roman" w:hAnsi="Lato" w:cs="Calibri"/>
          <w:sz w:val="20"/>
          <w:szCs w:val="20"/>
        </w:rPr>
        <w:t xml:space="preserve">Program „Opieka 75+”, którego celem jest poprawa dostępności do usług opiekuńczych oraz specjalistycznych usług opiekuńczych dla osób samotnych, starszych w wieku 75 lat i więcej. </w:t>
      </w:r>
      <w:r w:rsidRPr="00EF4FE8">
        <w:rPr>
          <w:rFonts w:ascii="Lato" w:eastAsia="Times New Roman" w:hAnsi="Lato" w:cs="Calibri"/>
          <w:bCs/>
          <w:sz w:val="20"/>
          <w:szCs w:val="20"/>
        </w:rPr>
        <w:t>W 2022 roku z programu skorzystało 68 osób.</w:t>
      </w:r>
      <w:r w:rsidRPr="00EF4FE8">
        <w:rPr>
          <w:rFonts w:ascii="Lato" w:eastAsia="Times New Roman" w:hAnsi="Lato" w:cs="Calibri"/>
          <w:b/>
          <w:sz w:val="20"/>
          <w:szCs w:val="20"/>
          <w:u w:val="single"/>
        </w:rPr>
        <w:t xml:space="preserve"> </w:t>
      </w:r>
    </w:p>
    <w:p w14:paraId="1A817A8E" w14:textId="77777777" w:rsidR="009A5B5E" w:rsidRDefault="009A5B5E" w:rsidP="009A5B5E">
      <w:pPr>
        <w:pStyle w:val="Standard"/>
        <w:jc w:val="both"/>
        <w:rPr>
          <w:rFonts w:ascii="Lato" w:hAnsi="Lato"/>
          <w:color w:val="000000"/>
          <w:sz w:val="20"/>
          <w:szCs w:val="20"/>
        </w:rPr>
      </w:pPr>
    </w:p>
    <w:p w14:paraId="6B4F3AC0" w14:textId="76579F26" w:rsidR="00EF4FE8" w:rsidRPr="00EF4FE8" w:rsidRDefault="00EF4FE8" w:rsidP="009A5B5E">
      <w:pPr>
        <w:pStyle w:val="Standard"/>
        <w:jc w:val="both"/>
        <w:rPr>
          <w:rFonts w:ascii="Lato" w:hAnsi="Lato"/>
          <w:color w:val="000000"/>
          <w:sz w:val="20"/>
          <w:szCs w:val="20"/>
        </w:rPr>
      </w:pPr>
      <w:r w:rsidRPr="00EF4FE8">
        <w:rPr>
          <w:rFonts w:ascii="Lato" w:hAnsi="Lato"/>
          <w:color w:val="000000"/>
          <w:sz w:val="20"/>
          <w:szCs w:val="20"/>
        </w:rPr>
        <w:t xml:space="preserve">W </w:t>
      </w:r>
      <w:proofErr w:type="spellStart"/>
      <w:r w:rsidRPr="00EF4FE8">
        <w:rPr>
          <w:rFonts w:ascii="Lato" w:hAnsi="Lato"/>
          <w:color w:val="000000"/>
          <w:sz w:val="20"/>
          <w:szCs w:val="20"/>
        </w:rPr>
        <w:t>ramach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działalności</w:t>
      </w:r>
      <w:proofErr w:type="spellEnd"/>
      <w:r w:rsidRPr="00EF4FE8">
        <w:rPr>
          <w:rFonts w:ascii="Lato" w:hAnsi="Lato"/>
          <w:color w:val="000000"/>
          <w:sz w:val="20"/>
          <w:szCs w:val="20"/>
        </w:rPr>
        <w:t xml:space="preserve"> MOPS </w:t>
      </w:r>
      <w:r w:rsidRPr="00EF4FE8">
        <w:rPr>
          <w:rFonts w:ascii="Lato" w:hAnsi="Lato"/>
          <w:b/>
          <w:bCs/>
          <w:color w:val="000000"/>
          <w:sz w:val="20"/>
          <w:szCs w:val="20"/>
        </w:rPr>
        <w:t xml:space="preserve">w </w:t>
      </w:r>
      <w:proofErr w:type="spellStart"/>
      <w:r w:rsidRPr="00EF4FE8">
        <w:rPr>
          <w:rFonts w:ascii="Lato" w:hAnsi="Lato"/>
          <w:b/>
          <w:bCs/>
          <w:color w:val="000000"/>
          <w:sz w:val="20"/>
          <w:szCs w:val="20"/>
        </w:rPr>
        <w:t>Wałczu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osobom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starszym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chorym</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niepełnosprawnym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świadczone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usługi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opiekuńcze</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miejscu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zamieszkania</w:t>
      </w:r>
      <w:proofErr w:type="spellEnd"/>
      <w:r w:rsidRPr="00EF4FE8">
        <w:rPr>
          <w:rFonts w:ascii="Lato" w:hAnsi="Lato"/>
          <w:color w:val="000000"/>
          <w:sz w:val="20"/>
          <w:szCs w:val="20"/>
        </w:rPr>
        <w:t xml:space="preserve">. W 2022 r. z </w:t>
      </w:r>
      <w:proofErr w:type="spellStart"/>
      <w:r w:rsidRPr="00EF4FE8">
        <w:rPr>
          <w:rFonts w:ascii="Lato" w:hAnsi="Lato"/>
          <w:color w:val="000000"/>
          <w:sz w:val="20"/>
          <w:szCs w:val="20"/>
        </w:rPr>
        <w:t>tej</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formy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pomocy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korzystało</w:t>
      </w:r>
      <w:proofErr w:type="spellEnd"/>
      <w:r w:rsidRPr="00EF4FE8">
        <w:rPr>
          <w:rFonts w:ascii="Lato" w:hAnsi="Lato"/>
          <w:color w:val="C9211E"/>
          <w:sz w:val="20"/>
          <w:szCs w:val="20"/>
        </w:rPr>
        <w:t xml:space="preserve"> </w:t>
      </w:r>
      <w:r w:rsidRPr="00EF4FE8">
        <w:rPr>
          <w:rFonts w:ascii="Lato" w:hAnsi="Lato"/>
          <w:color w:val="000000"/>
          <w:sz w:val="20"/>
          <w:szCs w:val="20"/>
        </w:rPr>
        <w:t xml:space="preserve">65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powyżej</w:t>
      </w:r>
      <w:proofErr w:type="spellEnd"/>
      <w:r w:rsidRPr="00EF4FE8">
        <w:rPr>
          <w:rFonts w:ascii="Lato" w:hAnsi="Lato"/>
          <w:color w:val="000000"/>
          <w:sz w:val="20"/>
          <w:szCs w:val="20"/>
        </w:rPr>
        <w:t xml:space="preserve"> 60-tego </w:t>
      </w:r>
      <w:proofErr w:type="spellStart"/>
      <w:r w:rsidRPr="00EF4FE8">
        <w:rPr>
          <w:rFonts w:ascii="Lato" w:hAnsi="Lato"/>
          <w:color w:val="000000"/>
          <w:sz w:val="20"/>
          <w:szCs w:val="20"/>
        </w:rPr>
        <w:t>roku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życia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Ogólny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koszt</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świadczonych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usług</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wyniósł</w:t>
      </w:r>
      <w:proofErr w:type="spellEnd"/>
      <w:r w:rsidRPr="00EF4FE8">
        <w:rPr>
          <w:rFonts w:ascii="Lato" w:hAnsi="Lato"/>
          <w:color w:val="000000"/>
          <w:sz w:val="20"/>
          <w:szCs w:val="20"/>
        </w:rPr>
        <w:t xml:space="preserve"> 376.527 </w:t>
      </w:r>
      <w:proofErr w:type="spellStart"/>
      <w:r w:rsidRPr="00EF4FE8">
        <w:rPr>
          <w:rFonts w:ascii="Lato" w:hAnsi="Lato"/>
          <w:color w:val="000000"/>
          <w:sz w:val="20"/>
          <w:szCs w:val="20"/>
        </w:rPr>
        <w:t>zł</w:t>
      </w:r>
      <w:proofErr w:type="spellEnd"/>
      <w:r w:rsidRPr="00EF4FE8">
        <w:rPr>
          <w:rFonts w:ascii="Lato" w:hAnsi="Lato"/>
          <w:color w:val="000000"/>
          <w:sz w:val="20"/>
          <w:szCs w:val="20"/>
        </w:rPr>
        <w:t>.</w:t>
      </w:r>
      <w:r w:rsidRPr="00EF4FE8">
        <w:rPr>
          <w:rFonts w:ascii="Lato" w:hAnsi="Lato"/>
          <w:color w:val="C9211E"/>
          <w:sz w:val="20"/>
          <w:szCs w:val="20"/>
        </w:rPr>
        <w:t xml:space="preserve"> </w:t>
      </w:r>
      <w:proofErr w:type="spellStart"/>
      <w:r w:rsidRPr="00EF4FE8">
        <w:rPr>
          <w:rFonts w:ascii="Lato" w:eastAsia="Lucida Sans Unicode" w:hAnsi="Lato"/>
          <w:color w:val="000000"/>
          <w:sz w:val="20"/>
          <w:szCs w:val="20"/>
        </w:rPr>
        <w:t>Ośrodek</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corocznie</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wybiera</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realizatora</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usług</w:t>
      </w:r>
      <w:proofErr w:type="spellEnd"/>
      <w:r w:rsidRPr="00EF4FE8">
        <w:rPr>
          <w:rFonts w:ascii="Lato" w:eastAsia="Lucida Sans Unicode" w:hAnsi="Lato"/>
          <w:color w:val="000000"/>
          <w:sz w:val="20"/>
          <w:szCs w:val="20"/>
        </w:rPr>
        <w:t xml:space="preserve"> w </w:t>
      </w:r>
      <w:proofErr w:type="spellStart"/>
      <w:r w:rsidRPr="00EF4FE8">
        <w:rPr>
          <w:rFonts w:ascii="Lato" w:eastAsia="Lucida Sans Unicode" w:hAnsi="Lato"/>
          <w:color w:val="000000"/>
          <w:sz w:val="20"/>
          <w:szCs w:val="20"/>
        </w:rPr>
        <w:t>drodze</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przetargu</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Usługi</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realizował</w:t>
      </w:r>
      <w:proofErr w:type="spellEnd"/>
      <w:r w:rsidRPr="00EF4FE8">
        <w:rPr>
          <w:rFonts w:ascii="Lato" w:eastAsia="Lucida Sans Unicode" w:hAnsi="Lato"/>
          <w:color w:val="000000"/>
          <w:sz w:val="20"/>
          <w:szCs w:val="20"/>
        </w:rPr>
        <w:t xml:space="preserve"> PRM - </w:t>
      </w:r>
      <w:proofErr w:type="spellStart"/>
      <w:r w:rsidRPr="00EF4FE8">
        <w:rPr>
          <w:rFonts w:ascii="Lato" w:eastAsia="Lucida Sans Unicode" w:hAnsi="Lato"/>
          <w:color w:val="000000"/>
          <w:sz w:val="20"/>
          <w:szCs w:val="20"/>
        </w:rPr>
        <w:t>Stowarzyszenie</w:t>
      </w:r>
      <w:proofErr w:type="spellEnd"/>
      <w:r w:rsidRPr="00EF4FE8">
        <w:rPr>
          <w:rFonts w:ascii="Lato" w:eastAsia="Lucida Sans Unicode" w:hAnsi="Lato"/>
          <w:color w:val="000000"/>
          <w:sz w:val="20"/>
          <w:szCs w:val="20"/>
        </w:rPr>
        <w:t xml:space="preserve"> z </w:t>
      </w:r>
      <w:proofErr w:type="spellStart"/>
      <w:r w:rsidRPr="00EF4FE8">
        <w:rPr>
          <w:rFonts w:ascii="Lato" w:eastAsia="Lucida Sans Unicode" w:hAnsi="Lato"/>
          <w:color w:val="000000"/>
          <w:sz w:val="20"/>
          <w:szCs w:val="20"/>
        </w:rPr>
        <w:t>Warszawy</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oraz</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przez</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Spółdzielnię</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Socjalną</w:t>
      </w:r>
      <w:proofErr w:type="spellEnd"/>
      <w:r w:rsidRPr="00EF4FE8">
        <w:rPr>
          <w:rFonts w:ascii="Lato" w:eastAsia="Lucida Sans Unicode" w:hAnsi="Lato"/>
          <w:color w:val="000000"/>
          <w:sz w:val="20"/>
          <w:szCs w:val="20"/>
        </w:rPr>
        <w:t xml:space="preserve"> </w:t>
      </w:r>
      <w:proofErr w:type="spellStart"/>
      <w:r w:rsidRPr="00EF4FE8">
        <w:rPr>
          <w:rFonts w:ascii="Lato" w:eastAsia="Lucida Sans Unicode" w:hAnsi="Lato"/>
          <w:color w:val="000000"/>
          <w:sz w:val="20"/>
          <w:szCs w:val="20"/>
        </w:rPr>
        <w:t>Ważka</w:t>
      </w:r>
      <w:proofErr w:type="spellEnd"/>
      <w:r w:rsidRPr="00EF4FE8">
        <w:rPr>
          <w:rFonts w:ascii="Lato" w:eastAsia="Lucida Sans Unicode" w:hAnsi="Lato"/>
          <w:color w:val="000000"/>
          <w:sz w:val="20"/>
          <w:szCs w:val="20"/>
        </w:rPr>
        <w:t xml:space="preserve"> z </w:t>
      </w:r>
      <w:proofErr w:type="spellStart"/>
      <w:r w:rsidRPr="00EF4FE8">
        <w:rPr>
          <w:rFonts w:ascii="Lato" w:eastAsia="Lucida Sans Unicode" w:hAnsi="Lato"/>
          <w:color w:val="000000"/>
          <w:sz w:val="20"/>
          <w:szCs w:val="20"/>
        </w:rPr>
        <w:t>Wałcza</w:t>
      </w:r>
      <w:proofErr w:type="spellEnd"/>
      <w:r w:rsidRPr="00EF4FE8">
        <w:rPr>
          <w:rFonts w:ascii="Lato" w:eastAsia="Lucida Sans Unicode" w:hAnsi="Lato"/>
          <w:color w:val="000000"/>
          <w:sz w:val="20"/>
          <w:szCs w:val="20"/>
        </w:rPr>
        <w:t>.</w:t>
      </w:r>
      <w:r w:rsidRPr="00EF4FE8">
        <w:rPr>
          <w:rFonts w:ascii="Lato" w:hAnsi="Lato"/>
          <w:color w:val="000000"/>
          <w:sz w:val="20"/>
          <w:szCs w:val="20"/>
        </w:rPr>
        <w:t xml:space="preserve"> </w:t>
      </w:r>
      <w:proofErr w:type="spellStart"/>
      <w:r w:rsidRPr="00EF4FE8">
        <w:rPr>
          <w:rFonts w:ascii="Lato" w:hAnsi="Lato"/>
          <w:color w:val="000000"/>
          <w:sz w:val="20"/>
          <w:szCs w:val="20"/>
        </w:rPr>
        <w:t>Usługi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zapewniono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wszystkim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osobom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potrzebującym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zgodnie</w:t>
      </w:r>
      <w:proofErr w:type="spellEnd"/>
      <w:r w:rsidRPr="00EF4FE8">
        <w:rPr>
          <w:rFonts w:ascii="Lato" w:hAnsi="Lato"/>
          <w:color w:val="000000"/>
          <w:sz w:val="20"/>
          <w:szCs w:val="20"/>
        </w:rPr>
        <w:t xml:space="preserve"> z ich </w:t>
      </w:r>
      <w:proofErr w:type="spellStart"/>
      <w:r w:rsidRPr="00EF4FE8">
        <w:rPr>
          <w:rFonts w:ascii="Lato" w:hAnsi="Lato"/>
          <w:color w:val="000000"/>
          <w:sz w:val="20"/>
          <w:szCs w:val="20"/>
        </w:rPr>
        <w:t>potrzebami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Ponadto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mieszkańcom</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wieku</w:t>
      </w:r>
      <w:proofErr w:type="spellEnd"/>
      <w:r w:rsidRPr="00EF4FE8">
        <w:rPr>
          <w:rFonts w:ascii="Lato" w:hAnsi="Lato"/>
          <w:color w:val="000000"/>
          <w:sz w:val="20"/>
          <w:szCs w:val="20"/>
        </w:rPr>
        <w:t xml:space="preserve"> 60+ </w:t>
      </w:r>
      <w:proofErr w:type="spellStart"/>
      <w:r w:rsidRPr="00EF4FE8">
        <w:rPr>
          <w:rFonts w:ascii="Lato" w:hAnsi="Lato"/>
          <w:color w:val="000000"/>
          <w:sz w:val="20"/>
          <w:szCs w:val="20"/>
        </w:rPr>
        <w:t>świadczone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były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usługi</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formie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pobytu</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posiłku</w:t>
      </w:r>
      <w:proofErr w:type="spellEnd"/>
      <w:r w:rsidRPr="00EF4FE8">
        <w:rPr>
          <w:rFonts w:ascii="Lato" w:hAnsi="Lato"/>
          <w:color w:val="000000"/>
          <w:sz w:val="20"/>
          <w:szCs w:val="20"/>
        </w:rPr>
        <w:t xml:space="preserve"> </w:t>
      </w:r>
      <w:r w:rsidRPr="00EF4FE8">
        <w:rPr>
          <w:rFonts w:ascii="Lato" w:hAnsi="Lato"/>
          <w:color w:val="000000"/>
          <w:sz w:val="20"/>
          <w:szCs w:val="20"/>
        </w:rPr>
        <w:br/>
        <w:t xml:space="preserve">w </w:t>
      </w:r>
      <w:proofErr w:type="spellStart"/>
      <w:r w:rsidRPr="00EF4FE8">
        <w:rPr>
          <w:rFonts w:ascii="Lato" w:hAnsi="Lato"/>
          <w:color w:val="000000"/>
          <w:sz w:val="20"/>
          <w:szCs w:val="20"/>
        </w:rPr>
        <w:t>Dziennym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Domu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Pomocy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funkcjonującym</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strukturach</w:t>
      </w:r>
      <w:proofErr w:type="spellEnd"/>
      <w:r w:rsidRPr="00EF4FE8">
        <w:rPr>
          <w:rFonts w:ascii="Lato" w:hAnsi="Lato"/>
          <w:color w:val="000000"/>
          <w:sz w:val="20"/>
          <w:szCs w:val="20"/>
        </w:rPr>
        <w:t xml:space="preserve"> MOPS w </w:t>
      </w:r>
      <w:proofErr w:type="spellStart"/>
      <w:r w:rsidRPr="00EF4FE8">
        <w:rPr>
          <w:rFonts w:ascii="Lato" w:hAnsi="Lato"/>
          <w:color w:val="000000"/>
          <w:sz w:val="20"/>
          <w:szCs w:val="20"/>
        </w:rPr>
        <w:t>Wałczu</w:t>
      </w:r>
      <w:proofErr w:type="spellEnd"/>
      <w:r w:rsidRPr="00EF4FE8">
        <w:rPr>
          <w:rFonts w:ascii="Lato" w:hAnsi="Lato"/>
          <w:color w:val="000000"/>
          <w:sz w:val="20"/>
          <w:szCs w:val="20"/>
        </w:rPr>
        <w:t>.</w:t>
      </w:r>
    </w:p>
    <w:p w14:paraId="6FB76139" w14:textId="77777777" w:rsidR="009A5B5E" w:rsidRDefault="009A5B5E" w:rsidP="009A5B5E">
      <w:pPr>
        <w:pStyle w:val="Standard"/>
        <w:jc w:val="both"/>
        <w:rPr>
          <w:rFonts w:ascii="Lato" w:hAnsi="Lato"/>
          <w:color w:val="000000"/>
          <w:sz w:val="20"/>
          <w:szCs w:val="20"/>
        </w:rPr>
      </w:pPr>
    </w:p>
    <w:p w14:paraId="598DC6CB" w14:textId="744755E6" w:rsidR="00EF4FE8" w:rsidRPr="00EF4FE8" w:rsidRDefault="00EF4FE8" w:rsidP="009A5B5E">
      <w:pPr>
        <w:pStyle w:val="Standard"/>
        <w:jc w:val="both"/>
        <w:rPr>
          <w:rFonts w:ascii="Lato" w:hAnsi="Lato"/>
          <w:color w:val="000000"/>
          <w:sz w:val="20"/>
          <w:szCs w:val="20"/>
        </w:rPr>
      </w:pPr>
      <w:proofErr w:type="spellStart"/>
      <w:r w:rsidRPr="00EF4FE8">
        <w:rPr>
          <w:rFonts w:ascii="Lato" w:hAnsi="Lato"/>
          <w:color w:val="000000"/>
          <w:sz w:val="20"/>
          <w:szCs w:val="20"/>
        </w:rPr>
        <w:t>Osoby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znajdujące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się</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trudnej</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sytuacji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materialno</w:t>
      </w:r>
      <w:proofErr w:type="spellEnd"/>
      <w:r w:rsidRPr="00EF4FE8">
        <w:rPr>
          <w:rFonts w:ascii="Lato" w:hAnsi="Lato"/>
          <w:color w:val="000000"/>
          <w:sz w:val="20"/>
          <w:szCs w:val="20"/>
        </w:rPr>
        <w:t xml:space="preserve"> - </w:t>
      </w:r>
      <w:proofErr w:type="spellStart"/>
      <w:r w:rsidRPr="00EF4FE8">
        <w:rPr>
          <w:rFonts w:ascii="Lato" w:hAnsi="Lato"/>
          <w:color w:val="000000"/>
          <w:sz w:val="20"/>
          <w:szCs w:val="20"/>
        </w:rPr>
        <w:t>bytowej</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korzystały</w:t>
      </w:r>
      <w:proofErr w:type="spellEnd"/>
      <w:r w:rsidRPr="00EF4FE8">
        <w:rPr>
          <w:rFonts w:ascii="Lato" w:hAnsi="Lato"/>
          <w:color w:val="000000"/>
          <w:sz w:val="20"/>
          <w:szCs w:val="20"/>
        </w:rPr>
        <w:t xml:space="preserve"> m.in.  </w:t>
      </w:r>
      <w:proofErr w:type="spellStart"/>
      <w:r w:rsidRPr="00EF4FE8">
        <w:rPr>
          <w:rFonts w:ascii="Lato" w:hAnsi="Lato"/>
          <w:color w:val="000000"/>
          <w:sz w:val="20"/>
          <w:szCs w:val="20"/>
        </w:rPr>
        <w:t>ze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świadczeń</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pieniężnych</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formie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zasiłku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stałego</w:t>
      </w:r>
      <w:proofErr w:type="spellEnd"/>
      <w:r w:rsidRPr="00EF4FE8">
        <w:rPr>
          <w:rFonts w:ascii="Lato" w:hAnsi="Lato"/>
          <w:color w:val="000000"/>
          <w:sz w:val="20"/>
          <w:szCs w:val="20"/>
        </w:rPr>
        <w:t xml:space="preserve"> (46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kwotę</w:t>
      </w:r>
      <w:proofErr w:type="spellEnd"/>
      <w:r w:rsidRPr="00EF4FE8">
        <w:rPr>
          <w:rFonts w:ascii="Lato" w:hAnsi="Lato"/>
          <w:color w:val="000000"/>
          <w:sz w:val="20"/>
          <w:szCs w:val="20"/>
        </w:rPr>
        <w:t xml:space="preserve"> 306.804zł), </w:t>
      </w:r>
      <w:proofErr w:type="spellStart"/>
      <w:r w:rsidRPr="00EF4FE8">
        <w:rPr>
          <w:rFonts w:ascii="Lato" w:hAnsi="Lato"/>
          <w:color w:val="000000"/>
          <w:sz w:val="20"/>
          <w:szCs w:val="20"/>
        </w:rPr>
        <w:t>zasiłku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okresowego</w:t>
      </w:r>
      <w:proofErr w:type="spellEnd"/>
      <w:r w:rsidRPr="00EF4FE8">
        <w:rPr>
          <w:rFonts w:ascii="Lato" w:hAnsi="Lato"/>
          <w:color w:val="000000"/>
          <w:sz w:val="20"/>
          <w:szCs w:val="20"/>
        </w:rPr>
        <w:t xml:space="preserve"> (19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kwotę</w:t>
      </w:r>
      <w:proofErr w:type="spellEnd"/>
      <w:r w:rsidRPr="00EF4FE8">
        <w:rPr>
          <w:rFonts w:ascii="Lato" w:hAnsi="Lato"/>
          <w:color w:val="000000"/>
          <w:sz w:val="20"/>
          <w:szCs w:val="20"/>
        </w:rPr>
        <w:t xml:space="preserve"> 52.129zł), </w:t>
      </w:r>
      <w:proofErr w:type="spellStart"/>
      <w:r w:rsidRPr="00EF4FE8">
        <w:rPr>
          <w:rFonts w:ascii="Lato" w:hAnsi="Lato"/>
          <w:color w:val="000000"/>
          <w:sz w:val="20"/>
          <w:szCs w:val="20"/>
        </w:rPr>
        <w:t>zasiłku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celowego</w:t>
      </w:r>
      <w:proofErr w:type="spellEnd"/>
      <w:r w:rsidRPr="00EF4FE8">
        <w:rPr>
          <w:rFonts w:ascii="Lato" w:hAnsi="Lato"/>
          <w:color w:val="000000"/>
          <w:sz w:val="20"/>
          <w:szCs w:val="20"/>
        </w:rPr>
        <w:t xml:space="preserve"> (27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kwotę</w:t>
      </w:r>
      <w:proofErr w:type="spellEnd"/>
      <w:r w:rsidRPr="00EF4FE8">
        <w:rPr>
          <w:rFonts w:ascii="Lato" w:hAnsi="Lato"/>
          <w:color w:val="000000"/>
          <w:sz w:val="20"/>
          <w:szCs w:val="20"/>
        </w:rPr>
        <w:t xml:space="preserve"> 31.412zł), </w:t>
      </w:r>
      <w:proofErr w:type="spellStart"/>
      <w:r w:rsidRPr="00EF4FE8">
        <w:rPr>
          <w:rFonts w:ascii="Lato" w:hAnsi="Lato"/>
          <w:color w:val="000000"/>
          <w:sz w:val="20"/>
          <w:szCs w:val="20"/>
        </w:rPr>
        <w:t>specjalnego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zasiłku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celowego</w:t>
      </w:r>
      <w:proofErr w:type="spellEnd"/>
      <w:r w:rsidRPr="00EF4FE8">
        <w:rPr>
          <w:rFonts w:ascii="Lato" w:hAnsi="Lato"/>
          <w:color w:val="000000"/>
          <w:sz w:val="20"/>
          <w:szCs w:val="20"/>
        </w:rPr>
        <w:t xml:space="preserve"> (15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kwotę</w:t>
      </w:r>
      <w:proofErr w:type="spellEnd"/>
      <w:r w:rsidRPr="00EF4FE8">
        <w:rPr>
          <w:rFonts w:ascii="Lato" w:hAnsi="Lato"/>
          <w:color w:val="000000"/>
          <w:sz w:val="20"/>
          <w:szCs w:val="20"/>
        </w:rPr>
        <w:t xml:space="preserve"> 9.481zł).</w:t>
      </w:r>
    </w:p>
    <w:p w14:paraId="192334EB" w14:textId="77777777" w:rsidR="009A5B5E" w:rsidRDefault="009A5B5E" w:rsidP="009A5B5E">
      <w:pPr>
        <w:pStyle w:val="Standard"/>
        <w:jc w:val="both"/>
        <w:rPr>
          <w:rFonts w:ascii="Lato" w:hAnsi="Lato"/>
          <w:color w:val="000000"/>
          <w:sz w:val="20"/>
          <w:szCs w:val="20"/>
        </w:rPr>
      </w:pPr>
    </w:p>
    <w:p w14:paraId="2F103B14" w14:textId="6919AD88" w:rsidR="00EF4FE8" w:rsidRPr="00EF4FE8" w:rsidRDefault="00EF4FE8" w:rsidP="009A5B5E">
      <w:pPr>
        <w:pStyle w:val="Standard"/>
        <w:jc w:val="both"/>
        <w:rPr>
          <w:rFonts w:ascii="Lato" w:hAnsi="Lato"/>
          <w:color w:val="000000"/>
          <w:sz w:val="20"/>
          <w:szCs w:val="20"/>
        </w:rPr>
      </w:pPr>
      <w:proofErr w:type="spellStart"/>
      <w:r w:rsidRPr="00EF4FE8">
        <w:rPr>
          <w:rFonts w:ascii="Lato" w:hAnsi="Lato"/>
          <w:color w:val="000000"/>
          <w:sz w:val="20"/>
          <w:szCs w:val="20"/>
        </w:rPr>
        <w:lastRenderedPageBreak/>
        <w:t>Osoby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korzystały</w:t>
      </w:r>
      <w:proofErr w:type="spellEnd"/>
      <w:r w:rsidRPr="00EF4FE8">
        <w:rPr>
          <w:rFonts w:ascii="Lato" w:hAnsi="Lato"/>
          <w:color w:val="000000"/>
          <w:sz w:val="20"/>
          <w:szCs w:val="20"/>
        </w:rPr>
        <w:t xml:space="preserve"> w 2022 r. </w:t>
      </w:r>
      <w:proofErr w:type="spellStart"/>
      <w:r w:rsidRPr="00EF4FE8">
        <w:rPr>
          <w:rFonts w:ascii="Lato" w:hAnsi="Lato"/>
          <w:color w:val="000000"/>
          <w:sz w:val="20"/>
          <w:szCs w:val="20"/>
        </w:rPr>
        <w:t>także</w:t>
      </w:r>
      <w:proofErr w:type="spellEnd"/>
      <w:r w:rsidRPr="00EF4FE8">
        <w:rPr>
          <w:rFonts w:ascii="Lato" w:hAnsi="Lato"/>
          <w:color w:val="000000"/>
          <w:sz w:val="20"/>
          <w:szCs w:val="20"/>
        </w:rPr>
        <w:t xml:space="preserve"> z </w:t>
      </w:r>
      <w:proofErr w:type="spellStart"/>
      <w:r w:rsidRPr="00EF4FE8">
        <w:rPr>
          <w:rFonts w:ascii="Lato" w:hAnsi="Lato"/>
          <w:color w:val="000000"/>
          <w:sz w:val="20"/>
          <w:szCs w:val="20"/>
        </w:rPr>
        <w:t>pomocy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żywnościowej</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ramach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Programu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Operacyjnego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Pomoc</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Żywnościowa</w:t>
      </w:r>
      <w:proofErr w:type="spellEnd"/>
      <w:r w:rsidRPr="00EF4FE8">
        <w:rPr>
          <w:rFonts w:ascii="Lato" w:hAnsi="Lato"/>
          <w:color w:val="000000"/>
          <w:sz w:val="20"/>
          <w:szCs w:val="20"/>
        </w:rPr>
        <w:t xml:space="preserve"> 2014-2020 </w:t>
      </w:r>
      <w:proofErr w:type="spellStart"/>
      <w:r w:rsidRPr="00EF4FE8">
        <w:rPr>
          <w:rFonts w:ascii="Lato" w:hAnsi="Lato"/>
          <w:color w:val="000000"/>
          <w:sz w:val="20"/>
          <w:szCs w:val="20"/>
        </w:rPr>
        <w:t>współfinansowanego</w:t>
      </w:r>
      <w:proofErr w:type="spellEnd"/>
      <w:r w:rsidRPr="00EF4FE8">
        <w:rPr>
          <w:rFonts w:ascii="Lato" w:hAnsi="Lato"/>
          <w:color w:val="000000"/>
          <w:sz w:val="20"/>
          <w:szCs w:val="20"/>
        </w:rPr>
        <w:t xml:space="preserve"> z </w:t>
      </w:r>
      <w:proofErr w:type="spellStart"/>
      <w:r w:rsidRPr="00EF4FE8">
        <w:rPr>
          <w:rFonts w:ascii="Lato" w:hAnsi="Lato"/>
          <w:color w:val="000000"/>
          <w:sz w:val="20"/>
          <w:szCs w:val="20"/>
        </w:rPr>
        <w:t>Europejskiego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Funduszu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Pomocy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Najbardziej</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Potrzebującym</w:t>
      </w:r>
      <w:proofErr w:type="spellEnd"/>
      <w:r w:rsidRPr="00EF4FE8">
        <w:rPr>
          <w:rFonts w:ascii="Lato" w:hAnsi="Lato"/>
          <w:color w:val="000000"/>
          <w:sz w:val="20"/>
          <w:szCs w:val="20"/>
        </w:rPr>
        <w:t>.</w:t>
      </w:r>
    </w:p>
    <w:p w14:paraId="1E3F4DAC" w14:textId="77777777" w:rsidR="009A5B5E" w:rsidRDefault="009A5B5E" w:rsidP="009A5B5E">
      <w:pPr>
        <w:pStyle w:val="Standard"/>
        <w:jc w:val="both"/>
        <w:rPr>
          <w:rFonts w:ascii="Lato" w:hAnsi="Lato"/>
          <w:color w:val="000000"/>
          <w:sz w:val="20"/>
          <w:szCs w:val="20"/>
        </w:rPr>
      </w:pPr>
    </w:p>
    <w:p w14:paraId="1CB7463C" w14:textId="50E3A16A" w:rsidR="00EF4FE8" w:rsidRPr="00EF4FE8" w:rsidRDefault="00EF4FE8" w:rsidP="009A5B5E">
      <w:pPr>
        <w:pStyle w:val="Standard"/>
        <w:jc w:val="both"/>
        <w:rPr>
          <w:rFonts w:ascii="Lato" w:hAnsi="Lato"/>
          <w:sz w:val="20"/>
          <w:szCs w:val="20"/>
        </w:rPr>
      </w:pPr>
      <w:r w:rsidRPr="00EF4FE8">
        <w:rPr>
          <w:rFonts w:ascii="Lato" w:hAnsi="Lato"/>
          <w:color w:val="000000"/>
          <w:sz w:val="20"/>
          <w:szCs w:val="20"/>
        </w:rPr>
        <w:t xml:space="preserve">W </w:t>
      </w:r>
      <w:proofErr w:type="spellStart"/>
      <w:r w:rsidRPr="00EF4FE8">
        <w:rPr>
          <w:rFonts w:ascii="Lato" w:hAnsi="Lato"/>
          <w:color w:val="000000"/>
          <w:sz w:val="20"/>
          <w:szCs w:val="20"/>
        </w:rPr>
        <w:t>grudniu</w:t>
      </w:r>
      <w:proofErr w:type="spellEnd"/>
      <w:r w:rsidRPr="00EF4FE8">
        <w:rPr>
          <w:rFonts w:ascii="Lato" w:hAnsi="Lato"/>
          <w:color w:val="000000"/>
          <w:sz w:val="20"/>
          <w:szCs w:val="20"/>
        </w:rPr>
        <w:t xml:space="preserve"> 2019 r</w:t>
      </w:r>
      <w:r w:rsidR="009A5B5E">
        <w:rPr>
          <w:rFonts w:ascii="Lato" w:hAnsi="Lato"/>
          <w:color w:val="000000"/>
          <w:sz w:val="20"/>
          <w:szCs w:val="20"/>
        </w:rPr>
        <w:t>.</w:t>
      </w:r>
      <w:r w:rsidRPr="00EF4FE8">
        <w:rPr>
          <w:rFonts w:ascii="Lato" w:hAnsi="Lato"/>
          <w:color w:val="000000"/>
          <w:sz w:val="20"/>
          <w:szCs w:val="20"/>
        </w:rPr>
        <w:t xml:space="preserve"> w </w:t>
      </w:r>
      <w:proofErr w:type="spellStart"/>
      <w:r w:rsidRPr="00EF4FE8">
        <w:rPr>
          <w:rFonts w:ascii="Lato" w:hAnsi="Lato"/>
          <w:color w:val="000000"/>
          <w:sz w:val="20"/>
          <w:szCs w:val="20"/>
        </w:rPr>
        <w:t>mieście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Wałcz</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został</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utworzony</w:t>
      </w:r>
      <w:proofErr w:type="spellEnd"/>
      <w:r w:rsidRPr="00EF4FE8">
        <w:rPr>
          <w:rFonts w:ascii="Lato" w:hAnsi="Lato"/>
          <w:color w:val="000000"/>
          <w:sz w:val="20"/>
          <w:szCs w:val="20"/>
        </w:rPr>
        <w:t xml:space="preserve"> </w:t>
      </w:r>
      <w:r w:rsidRPr="00EF4FE8">
        <w:rPr>
          <w:rFonts w:ascii="Lato" w:hAnsi="Lato"/>
          <w:i/>
          <w:iCs/>
          <w:color w:val="000000"/>
          <w:sz w:val="20"/>
          <w:szCs w:val="20"/>
        </w:rPr>
        <w:t>Klub Senior+</w:t>
      </w:r>
      <w:r w:rsidRPr="00EF4FE8">
        <w:rPr>
          <w:rFonts w:ascii="Lato" w:hAnsi="Lato"/>
          <w:color w:val="000000"/>
          <w:sz w:val="20"/>
          <w:szCs w:val="20"/>
        </w:rPr>
        <w:t xml:space="preserve">, </w:t>
      </w:r>
      <w:proofErr w:type="spellStart"/>
      <w:r w:rsidRPr="00EF4FE8">
        <w:rPr>
          <w:rFonts w:ascii="Lato" w:hAnsi="Lato"/>
          <w:color w:val="000000"/>
          <w:sz w:val="20"/>
          <w:szCs w:val="20"/>
        </w:rPr>
        <w:t>działający</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strukturach</w:t>
      </w:r>
      <w:proofErr w:type="spellEnd"/>
      <w:r w:rsidRPr="00EF4FE8">
        <w:rPr>
          <w:rFonts w:ascii="Lato" w:hAnsi="Lato"/>
          <w:color w:val="000000"/>
          <w:sz w:val="20"/>
          <w:szCs w:val="20"/>
        </w:rPr>
        <w:t xml:space="preserve"> MOPS w </w:t>
      </w:r>
      <w:proofErr w:type="spellStart"/>
      <w:r w:rsidRPr="00EF4FE8">
        <w:rPr>
          <w:rFonts w:ascii="Lato" w:hAnsi="Lato"/>
          <w:color w:val="000000"/>
          <w:sz w:val="20"/>
          <w:szCs w:val="20"/>
        </w:rPr>
        <w:t>Wałczu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Celem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Klubu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było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w:t>
      </w:r>
      <w:r w:rsidRPr="00EF4FE8">
        <w:rPr>
          <w:rFonts w:ascii="Lato" w:hAnsi="Lato" w:cs="Times New Roman"/>
          <w:color w:val="000000"/>
          <w:sz w:val="20"/>
          <w:szCs w:val="20"/>
        </w:rPr>
        <w:t>ozpoznanie</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potrzeb</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uczestników</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oraz</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rozwijanie</w:t>
      </w:r>
      <w:proofErr w:type="spellEnd"/>
      <w:r w:rsidRPr="00EF4FE8">
        <w:rPr>
          <w:rFonts w:ascii="Lato" w:hAnsi="Lato" w:cs="Times New Roman"/>
          <w:color w:val="000000"/>
          <w:sz w:val="20"/>
          <w:szCs w:val="20"/>
        </w:rPr>
        <w:t xml:space="preserve"> ich </w:t>
      </w:r>
      <w:proofErr w:type="spellStart"/>
      <w:r w:rsidRPr="00EF4FE8">
        <w:rPr>
          <w:rFonts w:ascii="Lato" w:hAnsi="Lato" w:cs="Times New Roman"/>
          <w:color w:val="000000"/>
          <w:sz w:val="20"/>
          <w:szCs w:val="20"/>
        </w:rPr>
        <w:t>zainteresowań</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talentów</w:t>
      </w:r>
      <w:proofErr w:type="spellEnd"/>
      <w:r w:rsidRPr="00EF4FE8">
        <w:rPr>
          <w:rFonts w:ascii="Lato" w:hAnsi="Lato" w:cs="Times New Roman"/>
          <w:color w:val="000000"/>
          <w:sz w:val="20"/>
          <w:szCs w:val="20"/>
        </w:rPr>
        <w:t xml:space="preserve"> i </w:t>
      </w:r>
      <w:proofErr w:type="spellStart"/>
      <w:r w:rsidRPr="00EF4FE8">
        <w:rPr>
          <w:rFonts w:ascii="Lato" w:hAnsi="Lato" w:cs="Times New Roman"/>
          <w:color w:val="000000"/>
          <w:sz w:val="20"/>
          <w:szCs w:val="20"/>
        </w:rPr>
        <w:t>pasji</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organizacja</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spotkań</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tematycznych</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tworząc</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przy</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tym</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bezpieczną</w:t>
      </w:r>
      <w:proofErr w:type="spellEnd"/>
      <w:r w:rsidRPr="00EF4FE8">
        <w:rPr>
          <w:rFonts w:ascii="Lato" w:hAnsi="Lato" w:cs="Times New Roman"/>
          <w:color w:val="000000"/>
          <w:sz w:val="20"/>
          <w:szCs w:val="20"/>
        </w:rPr>
        <w:t xml:space="preserve"> i </w:t>
      </w:r>
      <w:proofErr w:type="spellStart"/>
      <w:r w:rsidRPr="00EF4FE8">
        <w:rPr>
          <w:rFonts w:ascii="Lato" w:hAnsi="Lato" w:cs="Times New Roman"/>
          <w:color w:val="000000"/>
          <w:sz w:val="20"/>
          <w:szCs w:val="20"/>
        </w:rPr>
        <w:t>przyjazną</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przestrzeń</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aktywny</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udział</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seniorów</w:t>
      </w:r>
      <w:proofErr w:type="spellEnd"/>
      <w:r w:rsidRPr="00EF4FE8">
        <w:rPr>
          <w:rFonts w:ascii="Lato" w:hAnsi="Lato" w:cs="Times New Roman"/>
          <w:color w:val="000000"/>
          <w:sz w:val="20"/>
          <w:szCs w:val="20"/>
        </w:rPr>
        <w:t xml:space="preserve"> w </w:t>
      </w:r>
      <w:proofErr w:type="spellStart"/>
      <w:r w:rsidRPr="00EF4FE8">
        <w:rPr>
          <w:rFonts w:ascii="Lato" w:hAnsi="Lato" w:cs="Times New Roman"/>
          <w:color w:val="000000"/>
          <w:sz w:val="20"/>
          <w:szCs w:val="20"/>
        </w:rPr>
        <w:t>życiu</w:t>
      </w:r>
      <w:proofErr w:type="spellEnd"/>
      <w:r w:rsidRPr="00EF4FE8">
        <w:rPr>
          <w:rFonts w:ascii="Lato" w:hAnsi="Lato" w:cs="Times New Roman"/>
          <w:color w:val="000000"/>
          <w:sz w:val="20"/>
          <w:szCs w:val="20"/>
        </w:rPr>
        <w:t xml:space="preserve"> ich </w:t>
      </w:r>
      <w:proofErr w:type="spellStart"/>
      <w:r w:rsidRPr="00EF4FE8">
        <w:rPr>
          <w:rFonts w:ascii="Lato" w:hAnsi="Lato" w:cs="Times New Roman"/>
          <w:color w:val="000000"/>
          <w:sz w:val="20"/>
          <w:szCs w:val="20"/>
        </w:rPr>
        <w:t>otoczeniu</w:t>
      </w:r>
      <w:proofErr w:type="spellEnd"/>
      <w:r w:rsidRPr="00EF4FE8">
        <w:rPr>
          <w:rFonts w:ascii="Lato" w:hAnsi="Lato" w:cs="Times New Roman"/>
          <w:color w:val="000000"/>
          <w:sz w:val="20"/>
          <w:szCs w:val="20"/>
        </w:rPr>
        <w:t xml:space="preserve">. Klub </w:t>
      </w:r>
      <w:proofErr w:type="spellStart"/>
      <w:r w:rsidRPr="00EF4FE8">
        <w:rPr>
          <w:rFonts w:ascii="Lato" w:hAnsi="Lato" w:cs="Times New Roman"/>
          <w:color w:val="000000"/>
          <w:sz w:val="20"/>
          <w:szCs w:val="20"/>
        </w:rPr>
        <w:t>starał</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się</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zaspokajać</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potrzeby</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towarzyskie</w:t>
      </w:r>
      <w:proofErr w:type="spellEnd"/>
      <w:r w:rsidRPr="00EF4FE8">
        <w:rPr>
          <w:rFonts w:ascii="Lato" w:hAnsi="Lato" w:cs="Times New Roman"/>
          <w:color w:val="000000"/>
          <w:sz w:val="20"/>
          <w:szCs w:val="20"/>
        </w:rPr>
        <w:t xml:space="preserve"> i </w:t>
      </w:r>
      <w:proofErr w:type="spellStart"/>
      <w:r w:rsidRPr="00EF4FE8">
        <w:rPr>
          <w:rFonts w:ascii="Lato" w:hAnsi="Lato" w:cs="Times New Roman"/>
          <w:color w:val="000000"/>
          <w:sz w:val="20"/>
          <w:szCs w:val="20"/>
        </w:rPr>
        <w:t>kulturalne</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poprzez</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organizowanie</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uroczystości</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spotkań</w:t>
      </w:r>
      <w:proofErr w:type="spellEnd"/>
      <w:r w:rsidRPr="00EF4FE8">
        <w:rPr>
          <w:rFonts w:ascii="Lato" w:hAnsi="Lato" w:cs="Times New Roman"/>
          <w:color w:val="000000"/>
          <w:sz w:val="20"/>
          <w:szCs w:val="20"/>
        </w:rPr>
        <w:t xml:space="preserve"> i </w:t>
      </w:r>
      <w:proofErr w:type="spellStart"/>
      <w:r w:rsidRPr="00EF4FE8">
        <w:rPr>
          <w:rFonts w:ascii="Lato" w:hAnsi="Lato" w:cs="Times New Roman"/>
          <w:color w:val="000000"/>
          <w:sz w:val="20"/>
          <w:szCs w:val="20"/>
        </w:rPr>
        <w:t>pogadanek</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Ponadto</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uczestnicy</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Klubu</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mieli</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możliwość</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udziału</w:t>
      </w:r>
      <w:proofErr w:type="spellEnd"/>
      <w:r w:rsidRPr="00EF4FE8">
        <w:rPr>
          <w:rFonts w:ascii="Lato" w:hAnsi="Lato" w:cs="Times New Roman"/>
          <w:color w:val="000000"/>
          <w:sz w:val="20"/>
          <w:szCs w:val="20"/>
        </w:rPr>
        <w:t xml:space="preserve"> w </w:t>
      </w:r>
      <w:proofErr w:type="spellStart"/>
      <w:r w:rsidRPr="00EF4FE8">
        <w:rPr>
          <w:rFonts w:ascii="Lato" w:hAnsi="Lato" w:cs="Times New Roman"/>
          <w:color w:val="000000"/>
          <w:sz w:val="20"/>
          <w:szCs w:val="20"/>
        </w:rPr>
        <w:t>imprezach</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kulturalnych</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oraz</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wycieczkach</w:t>
      </w:r>
      <w:proofErr w:type="spellEnd"/>
      <w:r w:rsidRPr="00EF4FE8">
        <w:rPr>
          <w:rFonts w:ascii="Lato" w:hAnsi="Lato" w:cs="Times New Roman"/>
          <w:color w:val="000000"/>
          <w:sz w:val="20"/>
          <w:szCs w:val="20"/>
        </w:rPr>
        <w:t xml:space="preserve"> </w:t>
      </w:r>
      <w:proofErr w:type="spellStart"/>
      <w:r w:rsidRPr="00EF4FE8">
        <w:rPr>
          <w:rFonts w:ascii="Lato" w:hAnsi="Lato" w:cs="Times New Roman"/>
          <w:color w:val="000000"/>
          <w:sz w:val="20"/>
          <w:szCs w:val="20"/>
        </w:rPr>
        <w:t>krajoznawczych</w:t>
      </w:r>
      <w:proofErr w:type="spellEnd"/>
      <w:r w:rsidRPr="00EF4FE8">
        <w:rPr>
          <w:rFonts w:ascii="Lato" w:hAnsi="Lato" w:cs="Times New Roman"/>
          <w:color w:val="000000"/>
          <w:sz w:val="20"/>
          <w:szCs w:val="20"/>
        </w:rPr>
        <w:t xml:space="preserve"> i </w:t>
      </w:r>
      <w:proofErr w:type="spellStart"/>
      <w:r w:rsidRPr="00EF4FE8">
        <w:rPr>
          <w:rFonts w:ascii="Lato" w:hAnsi="Lato" w:cs="Times New Roman"/>
          <w:color w:val="000000"/>
          <w:sz w:val="20"/>
          <w:szCs w:val="20"/>
        </w:rPr>
        <w:t>kulturoznawczych</w:t>
      </w:r>
      <w:proofErr w:type="spellEnd"/>
      <w:r w:rsidRPr="00EF4FE8">
        <w:rPr>
          <w:rFonts w:ascii="Lato" w:hAnsi="Lato" w:cs="Times New Roman"/>
          <w:color w:val="000000"/>
          <w:sz w:val="20"/>
          <w:szCs w:val="20"/>
        </w:rPr>
        <w:t>.</w:t>
      </w:r>
    </w:p>
    <w:p w14:paraId="6AA97EBD" w14:textId="77777777" w:rsidR="009A5B5E" w:rsidRDefault="009A5B5E" w:rsidP="009A5B5E">
      <w:pPr>
        <w:pStyle w:val="Standard"/>
        <w:jc w:val="both"/>
        <w:rPr>
          <w:rFonts w:ascii="Lato" w:hAnsi="Lato"/>
          <w:color w:val="000000"/>
          <w:sz w:val="20"/>
          <w:szCs w:val="20"/>
        </w:rPr>
      </w:pPr>
    </w:p>
    <w:p w14:paraId="3E0E28B7" w14:textId="47B44AE1" w:rsidR="00EF4FE8" w:rsidRPr="00EF4FE8" w:rsidRDefault="00EF4FE8" w:rsidP="009A5B5E">
      <w:pPr>
        <w:pStyle w:val="Standard"/>
        <w:jc w:val="both"/>
        <w:rPr>
          <w:rFonts w:ascii="Lato" w:hAnsi="Lato"/>
          <w:color w:val="000000"/>
          <w:sz w:val="20"/>
          <w:szCs w:val="20"/>
        </w:rPr>
      </w:pPr>
      <w:r w:rsidRPr="00EF4FE8">
        <w:rPr>
          <w:rFonts w:ascii="Lato" w:hAnsi="Lato"/>
          <w:color w:val="000000"/>
          <w:sz w:val="20"/>
          <w:szCs w:val="20"/>
        </w:rPr>
        <w:t xml:space="preserve">Na </w:t>
      </w:r>
      <w:proofErr w:type="spellStart"/>
      <w:r w:rsidRPr="00EF4FE8">
        <w:rPr>
          <w:rFonts w:ascii="Lato" w:hAnsi="Lato"/>
          <w:color w:val="000000"/>
          <w:sz w:val="20"/>
          <w:szCs w:val="20"/>
        </w:rPr>
        <w:t>terenie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miasta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Wałcz</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funkcjonują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organizacje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społeczne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działające</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rzecz</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osób</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Stowarzyszenie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Kobiet</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Aktywnych</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Twórczych</w:t>
      </w:r>
      <w:proofErr w:type="spellEnd"/>
      <w:r w:rsidRPr="00EF4FE8">
        <w:rPr>
          <w:rFonts w:ascii="Lato" w:hAnsi="Lato"/>
          <w:color w:val="000000"/>
          <w:sz w:val="20"/>
          <w:szCs w:val="20"/>
        </w:rPr>
        <w:t xml:space="preserve"> „EWA”, </w:t>
      </w:r>
      <w:proofErr w:type="spellStart"/>
      <w:r w:rsidRPr="00EF4FE8">
        <w:rPr>
          <w:rFonts w:ascii="Lato" w:hAnsi="Lato"/>
          <w:color w:val="000000"/>
          <w:sz w:val="20"/>
          <w:szCs w:val="20"/>
        </w:rPr>
        <w:t>Stowarzyszenie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Wałecki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Uniwersytet</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Trzeciego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Wieku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Polski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Związek</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Emerytów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Rencistów</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Inwalidów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Polskie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Stowarzyszenie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Diabetyków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Polski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Związek</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Niewidomych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Polski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Związek</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Głuchych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Stowarzyszenie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Kobiet</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Ziemi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Wałeckiej</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Amazonka</w:t>
      </w:r>
      <w:proofErr w:type="spellEnd"/>
      <w:r w:rsidRPr="00EF4FE8">
        <w:rPr>
          <w:rFonts w:ascii="Lato" w:hAnsi="Lato"/>
          <w:color w:val="000000"/>
          <w:sz w:val="20"/>
          <w:szCs w:val="20"/>
        </w:rPr>
        <w:t xml:space="preserve">”, Caritas </w:t>
      </w:r>
      <w:proofErr w:type="spellStart"/>
      <w:r w:rsidRPr="00EF4FE8">
        <w:rPr>
          <w:rFonts w:ascii="Lato" w:hAnsi="Lato"/>
          <w:color w:val="000000"/>
          <w:sz w:val="20"/>
          <w:szCs w:val="20"/>
        </w:rPr>
        <w:t>pw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Antoniego</w:t>
      </w:r>
      <w:proofErr w:type="spellEnd"/>
      <w:r w:rsidRPr="00EF4FE8">
        <w:rPr>
          <w:rFonts w:ascii="Lato" w:hAnsi="Lato"/>
          <w:color w:val="000000"/>
          <w:sz w:val="20"/>
          <w:szCs w:val="20"/>
        </w:rPr>
        <w:t xml:space="preserve">, Caritas </w:t>
      </w:r>
      <w:proofErr w:type="spellStart"/>
      <w:r w:rsidRPr="00EF4FE8">
        <w:rPr>
          <w:rFonts w:ascii="Lato" w:hAnsi="Lato"/>
          <w:color w:val="000000"/>
          <w:sz w:val="20"/>
          <w:szCs w:val="20"/>
        </w:rPr>
        <w:t>pw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Mikołaja</w:t>
      </w:r>
      <w:proofErr w:type="spellEnd"/>
      <w:r w:rsidRPr="00EF4FE8">
        <w:rPr>
          <w:rFonts w:ascii="Lato" w:hAnsi="Lato"/>
          <w:color w:val="000000"/>
          <w:sz w:val="20"/>
          <w:szCs w:val="20"/>
        </w:rPr>
        <w:t>.</w:t>
      </w:r>
    </w:p>
    <w:p w14:paraId="7D9C31C8" w14:textId="77777777" w:rsidR="009A5B5E" w:rsidRDefault="009A5B5E" w:rsidP="009A5B5E">
      <w:pPr>
        <w:pStyle w:val="Standard"/>
        <w:jc w:val="both"/>
        <w:rPr>
          <w:rFonts w:ascii="Lato" w:hAnsi="Lato"/>
          <w:color w:val="000000"/>
          <w:sz w:val="20"/>
          <w:szCs w:val="20"/>
        </w:rPr>
      </w:pPr>
    </w:p>
    <w:p w14:paraId="403CC1CF" w14:textId="0370132C" w:rsidR="00EF4FE8" w:rsidRPr="00EF4FE8" w:rsidRDefault="00EF4FE8" w:rsidP="009A5B5E">
      <w:pPr>
        <w:pStyle w:val="Standard"/>
        <w:jc w:val="both"/>
        <w:rPr>
          <w:rFonts w:ascii="Lato" w:hAnsi="Lato"/>
          <w:color w:val="000000"/>
          <w:sz w:val="20"/>
          <w:szCs w:val="20"/>
        </w:rPr>
      </w:pPr>
      <w:r w:rsidRPr="00EF4FE8">
        <w:rPr>
          <w:rFonts w:ascii="Lato" w:hAnsi="Lato"/>
          <w:color w:val="000000"/>
          <w:sz w:val="20"/>
          <w:szCs w:val="20"/>
        </w:rPr>
        <w:t xml:space="preserve">W </w:t>
      </w:r>
      <w:proofErr w:type="spellStart"/>
      <w:r w:rsidRPr="00EF4FE8">
        <w:rPr>
          <w:rFonts w:ascii="Lato" w:hAnsi="Lato"/>
          <w:color w:val="000000"/>
          <w:sz w:val="20"/>
          <w:szCs w:val="20"/>
        </w:rPr>
        <w:t>gminie</w:t>
      </w:r>
      <w:proofErr w:type="spellEnd"/>
      <w:r w:rsidRPr="00EF4FE8">
        <w:rPr>
          <w:rFonts w:ascii="Lato" w:hAnsi="Lato"/>
          <w:color w:val="000000"/>
          <w:sz w:val="20"/>
          <w:szCs w:val="20"/>
        </w:rPr>
        <w:t xml:space="preserve"> </w:t>
      </w:r>
      <w:proofErr w:type="spellStart"/>
      <w:r w:rsidRPr="00EF4FE8">
        <w:rPr>
          <w:rFonts w:ascii="Lato" w:hAnsi="Lato"/>
          <w:b/>
          <w:color w:val="000000"/>
          <w:sz w:val="20"/>
          <w:szCs w:val="20"/>
        </w:rPr>
        <w:t>Stargard</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osoby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korzystają</w:t>
      </w:r>
      <w:proofErr w:type="spellEnd"/>
      <w:r w:rsidRPr="00EF4FE8">
        <w:rPr>
          <w:rFonts w:ascii="Lato" w:hAnsi="Lato"/>
          <w:color w:val="000000"/>
          <w:sz w:val="20"/>
          <w:szCs w:val="20"/>
        </w:rPr>
        <w:t xml:space="preserve"> z </w:t>
      </w:r>
      <w:proofErr w:type="spellStart"/>
      <w:r w:rsidRPr="00EF4FE8">
        <w:rPr>
          <w:rFonts w:ascii="Lato" w:hAnsi="Lato"/>
          <w:color w:val="000000"/>
          <w:sz w:val="20"/>
          <w:szCs w:val="20"/>
        </w:rPr>
        <w:t>rozwiązań</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ogólnych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zasadach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mają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uprawnienia</w:t>
      </w:r>
      <w:proofErr w:type="spellEnd"/>
      <w:r w:rsidRPr="00EF4FE8">
        <w:rPr>
          <w:rFonts w:ascii="Lato" w:hAnsi="Lato"/>
          <w:color w:val="000000"/>
          <w:sz w:val="20"/>
          <w:szCs w:val="20"/>
        </w:rPr>
        <w:t xml:space="preserve"> do </w:t>
      </w:r>
      <w:proofErr w:type="spellStart"/>
      <w:r w:rsidRPr="00EF4FE8">
        <w:rPr>
          <w:rFonts w:ascii="Lato" w:hAnsi="Lato"/>
          <w:color w:val="000000"/>
          <w:sz w:val="20"/>
          <w:szCs w:val="20"/>
        </w:rPr>
        <w:t>korzystania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świadczeń</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takie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jak</w:t>
      </w:r>
      <w:proofErr w:type="spellEnd"/>
      <w:r w:rsidRPr="00EF4FE8">
        <w:rPr>
          <w:rFonts w:ascii="Lato" w:hAnsi="Lato"/>
          <w:color w:val="000000"/>
          <w:sz w:val="20"/>
          <w:szCs w:val="20"/>
        </w:rPr>
        <w:t xml:space="preserve"> inne </w:t>
      </w:r>
      <w:proofErr w:type="spellStart"/>
      <w:r w:rsidRPr="00EF4FE8">
        <w:rPr>
          <w:rFonts w:ascii="Lato" w:hAnsi="Lato"/>
          <w:color w:val="000000"/>
          <w:sz w:val="20"/>
          <w:szCs w:val="20"/>
        </w:rPr>
        <w:t>grupy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społeczne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Wszystkie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działania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organizowane</w:t>
      </w:r>
      <w:proofErr w:type="spellEnd"/>
      <w:r w:rsidRPr="00EF4FE8">
        <w:rPr>
          <w:rFonts w:ascii="Lato" w:hAnsi="Lato"/>
          <w:color w:val="000000"/>
          <w:sz w:val="20"/>
          <w:szCs w:val="20"/>
        </w:rPr>
        <w:t xml:space="preserve"> na </w:t>
      </w:r>
      <w:proofErr w:type="spellStart"/>
      <w:r w:rsidRPr="00EF4FE8">
        <w:rPr>
          <w:rFonts w:ascii="Lato" w:hAnsi="Lato"/>
          <w:color w:val="000000"/>
          <w:sz w:val="20"/>
          <w:szCs w:val="20"/>
        </w:rPr>
        <w:t>terenie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gminy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zapewniają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równy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dostęp</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wszystkim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mieszkańcom</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gminy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Organizuje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się</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między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innymi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różnego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rodzaju</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festyny</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spotkania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okolicznościowe</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których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uczestniczą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również</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osoby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starsze</w:t>
      </w:r>
      <w:proofErr w:type="spellEnd"/>
      <w:r w:rsidRPr="00EF4FE8">
        <w:rPr>
          <w:rFonts w:ascii="Lato" w:hAnsi="Lato"/>
          <w:color w:val="000000"/>
          <w:sz w:val="20"/>
          <w:szCs w:val="20"/>
        </w:rPr>
        <w:t xml:space="preserve">. </w:t>
      </w:r>
    </w:p>
    <w:p w14:paraId="5A499094" w14:textId="77777777" w:rsidR="009A5B5E" w:rsidRDefault="009A5B5E" w:rsidP="009A5B5E">
      <w:pPr>
        <w:pStyle w:val="Standard"/>
        <w:jc w:val="both"/>
        <w:rPr>
          <w:rFonts w:ascii="Lato" w:hAnsi="Lato"/>
          <w:color w:val="000000"/>
          <w:sz w:val="20"/>
          <w:szCs w:val="20"/>
        </w:rPr>
      </w:pPr>
    </w:p>
    <w:p w14:paraId="75E3E70E" w14:textId="533C7606" w:rsidR="00EF4FE8" w:rsidRPr="00EF4FE8" w:rsidRDefault="00EF4FE8" w:rsidP="009A5B5E">
      <w:pPr>
        <w:pStyle w:val="Standard"/>
        <w:jc w:val="both"/>
        <w:rPr>
          <w:rFonts w:ascii="Lato" w:hAnsi="Lato"/>
          <w:color w:val="000000"/>
          <w:sz w:val="20"/>
          <w:szCs w:val="20"/>
        </w:rPr>
      </w:pPr>
      <w:r w:rsidRPr="00EF4FE8">
        <w:rPr>
          <w:rFonts w:ascii="Lato" w:hAnsi="Lato"/>
          <w:color w:val="000000"/>
          <w:sz w:val="20"/>
          <w:szCs w:val="20"/>
        </w:rPr>
        <w:t xml:space="preserve">W 2022 r. </w:t>
      </w:r>
      <w:proofErr w:type="spellStart"/>
      <w:r w:rsidRPr="00EF4FE8">
        <w:rPr>
          <w:rFonts w:ascii="Lato" w:hAnsi="Lato"/>
          <w:color w:val="000000"/>
          <w:sz w:val="20"/>
          <w:szCs w:val="20"/>
        </w:rPr>
        <w:t>odbyły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się</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warsztaty</w:t>
      </w:r>
      <w:proofErr w:type="spellEnd"/>
      <w:r w:rsidRPr="00EF4FE8">
        <w:rPr>
          <w:rFonts w:ascii="Lato" w:hAnsi="Lato"/>
          <w:color w:val="000000"/>
          <w:sz w:val="20"/>
          <w:szCs w:val="20"/>
        </w:rPr>
        <w:t xml:space="preserve"> </w:t>
      </w:r>
      <w:r w:rsidRPr="00EF4FE8">
        <w:rPr>
          <w:rFonts w:ascii="Lato" w:hAnsi="Lato"/>
          <w:i/>
          <w:iCs/>
          <w:color w:val="000000"/>
          <w:sz w:val="20"/>
          <w:szCs w:val="20"/>
        </w:rPr>
        <w:t>„</w:t>
      </w:r>
      <w:proofErr w:type="spellStart"/>
      <w:r w:rsidRPr="00EF4FE8">
        <w:rPr>
          <w:rFonts w:ascii="Lato" w:hAnsi="Lato"/>
          <w:i/>
          <w:iCs/>
          <w:color w:val="000000"/>
          <w:sz w:val="20"/>
          <w:szCs w:val="20"/>
        </w:rPr>
        <w:t>Dynia</w:t>
      </w:r>
      <w:proofErr w:type="spellEnd"/>
      <w:r w:rsidRPr="00EF4FE8">
        <w:rPr>
          <w:rFonts w:ascii="Lato" w:hAnsi="Lato"/>
          <w:i/>
          <w:iCs/>
          <w:color w:val="000000"/>
          <w:sz w:val="20"/>
          <w:szCs w:val="20"/>
        </w:rPr>
        <w:t xml:space="preserve"> z </w:t>
      </w:r>
      <w:proofErr w:type="spellStart"/>
      <w:r w:rsidRPr="00EF4FE8">
        <w:rPr>
          <w:rFonts w:ascii="Lato" w:hAnsi="Lato"/>
          <w:i/>
          <w:iCs/>
          <w:color w:val="000000"/>
          <w:sz w:val="20"/>
          <w:szCs w:val="20"/>
        </w:rPr>
        <w:t>recyklingu</w:t>
      </w:r>
      <w:proofErr w:type="spellEnd"/>
      <w:r w:rsidRPr="00EF4FE8">
        <w:rPr>
          <w:rFonts w:ascii="Lato" w:hAnsi="Lato"/>
          <w:i/>
          <w:iCs/>
          <w:color w:val="000000"/>
          <w:sz w:val="20"/>
          <w:szCs w:val="20"/>
        </w:rPr>
        <w:t>”.</w:t>
      </w:r>
      <w:r w:rsidRPr="00EF4FE8">
        <w:rPr>
          <w:rFonts w:ascii="Lato" w:hAnsi="Lato"/>
          <w:color w:val="000000"/>
          <w:sz w:val="20"/>
          <w:szCs w:val="20"/>
        </w:rPr>
        <w:t xml:space="preserve"> </w:t>
      </w:r>
      <w:proofErr w:type="spellStart"/>
      <w:r w:rsidRPr="00EF4FE8">
        <w:rPr>
          <w:rFonts w:ascii="Lato" w:hAnsi="Lato"/>
          <w:color w:val="000000"/>
          <w:sz w:val="20"/>
          <w:szCs w:val="20"/>
        </w:rPr>
        <w:t>Mieszkańcy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Gminy</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Stargard</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szczególności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sołectwa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Grzędzice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Żarowo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Ulikowo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Tychowo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uczestniczyli</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projekcie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którego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wnioskodawcą</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było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Stowarzyszenie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Grzędzice</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Jutra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pn</w:t>
      </w:r>
      <w:proofErr w:type="spellEnd"/>
      <w:r w:rsidRPr="00EF4FE8">
        <w:rPr>
          <w:rFonts w:ascii="Lato" w:hAnsi="Lato"/>
          <w:color w:val="000000"/>
          <w:sz w:val="20"/>
          <w:szCs w:val="20"/>
        </w:rPr>
        <w:t xml:space="preserve">. „ </w:t>
      </w:r>
      <w:proofErr w:type="spellStart"/>
      <w:r w:rsidRPr="00EF4FE8">
        <w:rPr>
          <w:rFonts w:ascii="Lato" w:hAnsi="Lato"/>
          <w:color w:val="000000"/>
          <w:sz w:val="20"/>
          <w:szCs w:val="20"/>
        </w:rPr>
        <w:t>Aktywni</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Grzędzicach</w:t>
      </w:r>
      <w:proofErr w:type="spellEnd"/>
      <w:r w:rsidRPr="00EF4FE8">
        <w:rPr>
          <w:rFonts w:ascii="Lato" w:hAnsi="Lato"/>
          <w:color w:val="000000"/>
          <w:sz w:val="20"/>
          <w:szCs w:val="20"/>
        </w:rPr>
        <w:t xml:space="preserve">”. Projekt </w:t>
      </w:r>
      <w:proofErr w:type="spellStart"/>
      <w:r w:rsidRPr="00EF4FE8">
        <w:rPr>
          <w:rFonts w:ascii="Lato" w:hAnsi="Lato"/>
          <w:color w:val="000000"/>
          <w:sz w:val="20"/>
          <w:szCs w:val="20"/>
        </w:rPr>
        <w:t>obejmował</w:t>
      </w:r>
      <w:proofErr w:type="spellEnd"/>
      <w:r w:rsidRPr="00EF4FE8">
        <w:rPr>
          <w:rFonts w:ascii="Lato" w:hAnsi="Lato"/>
          <w:color w:val="000000"/>
          <w:sz w:val="20"/>
          <w:szCs w:val="20"/>
        </w:rPr>
        <w:t xml:space="preserve"> 100 </w:t>
      </w:r>
      <w:proofErr w:type="spellStart"/>
      <w:r w:rsidRPr="00EF4FE8">
        <w:rPr>
          <w:rFonts w:ascii="Lato" w:hAnsi="Lato"/>
          <w:color w:val="000000"/>
          <w:sz w:val="20"/>
          <w:szCs w:val="20"/>
        </w:rPr>
        <w:t>uczestników</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wieku</w:t>
      </w:r>
      <w:proofErr w:type="spellEnd"/>
      <w:r w:rsidRPr="00EF4FE8">
        <w:rPr>
          <w:rFonts w:ascii="Lato" w:hAnsi="Lato"/>
          <w:color w:val="000000"/>
          <w:sz w:val="20"/>
          <w:szCs w:val="20"/>
        </w:rPr>
        <w:t xml:space="preserve"> 60+ z </w:t>
      </w:r>
      <w:proofErr w:type="spellStart"/>
      <w:r w:rsidRPr="00EF4FE8">
        <w:rPr>
          <w:rFonts w:ascii="Lato" w:hAnsi="Lato"/>
          <w:color w:val="000000"/>
          <w:sz w:val="20"/>
          <w:szCs w:val="20"/>
        </w:rPr>
        <w:t>trzech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gmin</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Stargard</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Chociwel</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Ińsko</w:t>
      </w:r>
      <w:proofErr w:type="spellEnd"/>
      <w:r w:rsidRPr="00EF4FE8">
        <w:rPr>
          <w:rFonts w:ascii="Lato" w:hAnsi="Lato"/>
          <w:color w:val="000000"/>
          <w:sz w:val="20"/>
          <w:szCs w:val="20"/>
        </w:rPr>
        <w:t xml:space="preserve">.  Projekt </w:t>
      </w:r>
      <w:proofErr w:type="spellStart"/>
      <w:r w:rsidRPr="00EF4FE8">
        <w:rPr>
          <w:rFonts w:ascii="Lato" w:hAnsi="Lato"/>
          <w:color w:val="000000"/>
          <w:sz w:val="20"/>
          <w:szCs w:val="20"/>
        </w:rPr>
        <w:t>otrzymał</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dofinansowanie</w:t>
      </w:r>
      <w:proofErr w:type="spellEnd"/>
      <w:r w:rsidRPr="00EF4FE8">
        <w:rPr>
          <w:rFonts w:ascii="Lato" w:hAnsi="Lato"/>
          <w:color w:val="000000"/>
          <w:sz w:val="20"/>
          <w:szCs w:val="20"/>
        </w:rPr>
        <w:t xml:space="preserve"> z </w:t>
      </w:r>
      <w:proofErr w:type="spellStart"/>
      <w:r w:rsidRPr="00EF4FE8">
        <w:rPr>
          <w:rFonts w:ascii="Lato" w:hAnsi="Lato"/>
          <w:color w:val="000000"/>
          <w:sz w:val="20"/>
          <w:szCs w:val="20"/>
        </w:rPr>
        <w:t>Ministerstwa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Rodziny</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Polityki</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Społecznej</w:t>
      </w:r>
      <w:proofErr w:type="spellEnd"/>
      <w:r w:rsidRPr="00EF4FE8">
        <w:rPr>
          <w:rFonts w:ascii="Lato" w:hAnsi="Lato"/>
          <w:color w:val="000000"/>
          <w:sz w:val="20"/>
          <w:szCs w:val="20"/>
        </w:rPr>
        <w:t xml:space="preserve"> w </w:t>
      </w:r>
      <w:proofErr w:type="spellStart"/>
      <w:r w:rsidRPr="00EF4FE8">
        <w:rPr>
          <w:rFonts w:ascii="Lato" w:hAnsi="Lato"/>
          <w:color w:val="000000"/>
          <w:sz w:val="20"/>
          <w:szCs w:val="20"/>
        </w:rPr>
        <w:t>ramach</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zadania</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publicznego</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Priorytet</w:t>
      </w:r>
      <w:proofErr w:type="spellEnd"/>
      <w:r w:rsidRPr="00EF4FE8">
        <w:rPr>
          <w:rFonts w:ascii="Lato" w:hAnsi="Lato"/>
          <w:color w:val="000000"/>
          <w:sz w:val="20"/>
          <w:szCs w:val="20"/>
        </w:rPr>
        <w:t xml:space="preserve"> i </w:t>
      </w:r>
      <w:proofErr w:type="spellStart"/>
      <w:r w:rsidRPr="00EF4FE8">
        <w:rPr>
          <w:rFonts w:ascii="Lato" w:hAnsi="Lato"/>
          <w:color w:val="000000"/>
          <w:sz w:val="20"/>
          <w:szCs w:val="20"/>
        </w:rPr>
        <w:t>Aktywność</w:t>
      </w:r>
      <w:proofErr w:type="spellEnd"/>
      <w:r w:rsidRPr="00EF4FE8">
        <w:rPr>
          <w:rFonts w:ascii="Lato" w:hAnsi="Lato"/>
          <w:color w:val="000000"/>
          <w:sz w:val="20"/>
          <w:szCs w:val="20"/>
        </w:rPr>
        <w:t xml:space="preserve"> </w:t>
      </w:r>
      <w:proofErr w:type="spellStart"/>
      <w:r w:rsidRPr="00EF4FE8">
        <w:rPr>
          <w:rFonts w:ascii="Lato" w:hAnsi="Lato"/>
          <w:color w:val="000000"/>
          <w:sz w:val="20"/>
          <w:szCs w:val="20"/>
        </w:rPr>
        <w:t>społeczna</w:t>
      </w:r>
      <w:proofErr w:type="spellEnd"/>
      <w:r w:rsidRPr="00EF4FE8">
        <w:rPr>
          <w:rFonts w:ascii="Lato" w:hAnsi="Lato"/>
          <w:color w:val="000000"/>
          <w:sz w:val="20"/>
          <w:szCs w:val="20"/>
        </w:rPr>
        <w:t>.</w:t>
      </w:r>
    </w:p>
    <w:p w14:paraId="0433B430" w14:textId="77777777" w:rsidR="009A5B5E" w:rsidRDefault="009A5B5E" w:rsidP="009A5B5E">
      <w:pPr>
        <w:spacing w:after="0" w:line="240" w:lineRule="auto"/>
        <w:jc w:val="both"/>
        <w:rPr>
          <w:rFonts w:ascii="Lato" w:hAnsi="Lato"/>
          <w:color w:val="000000"/>
          <w:sz w:val="20"/>
          <w:szCs w:val="20"/>
        </w:rPr>
      </w:pPr>
    </w:p>
    <w:p w14:paraId="43240184" w14:textId="5188B279" w:rsidR="00EF4FE8" w:rsidRPr="00EF4FE8" w:rsidRDefault="00EF4FE8" w:rsidP="009A5B5E">
      <w:pPr>
        <w:spacing w:after="0" w:line="240" w:lineRule="auto"/>
        <w:jc w:val="both"/>
        <w:rPr>
          <w:rFonts w:ascii="Lato" w:hAnsi="Lato"/>
          <w:color w:val="000000"/>
          <w:sz w:val="20"/>
          <w:szCs w:val="20"/>
        </w:rPr>
      </w:pPr>
      <w:r w:rsidRPr="00EF4FE8">
        <w:rPr>
          <w:rFonts w:ascii="Lato" w:hAnsi="Lato"/>
          <w:color w:val="000000"/>
          <w:sz w:val="20"/>
          <w:szCs w:val="20"/>
        </w:rPr>
        <w:t>W dniu 11 października 2022 r. odbyło się spotkanie Bezpieczny SENIOR. Pracownicy banku, ZUS-u oraz Policji poinformowały  o niebezpieczeństwach, jakie czyhają w dzisiejszych czasach.</w:t>
      </w:r>
    </w:p>
    <w:p w14:paraId="27CCC10E" w14:textId="77777777" w:rsidR="009A5B5E" w:rsidRDefault="009A5B5E" w:rsidP="00EF4FE8">
      <w:pPr>
        <w:spacing w:after="0" w:line="240" w:lineRule="auto"/>
        <w:jc w:val="both"/>
        <w:rPr>
          <w:rFonts w:ascii="Lato" w:hAnsi="Lato"/>
          <w:sz w:val="20"/>
          <w:szCs w:val="20"/>
        </w:rPr>
      </w:pPr>
    </w:p>
    <w:p w14:paraId="575B017D" w14:textId="4E943BF3" w:rsidR="00EF4FE8" w:rsidRPr="00EF4FE8" w:rsidRDefault="00EF4FE8" w:rsidP="00EF4FE8">
      <w:pPr>
        <w:spacing w:after="0" w:line="240" w:lineRule="auto"/>
        <w:jc w:val="both"/>
        <w:rPr>
          <w:rFonts w:ascii="Lato" w:hAnsi="Lato"/>
          <w:b/>
          <w:sz w:val="20"/>
          <w:szCs w:val="20"/>
        </w:rPr>
      </w:pPr>
      <w:r w:rsidRPr="00EF4FE8">
        <w:rPr>
          <w:rFonts w:ascii="Lato" w:hAnsi="Lato"/>
          <w:sz w:val="20"/>
          <w:szCs w:val="20"/>
        </w:rPr>
        <w:t>Działania Dziennego Domu SENIOR +</w:t>
      </w:r>
      <w:r w:rsidRPr="00EF4FE8">
        <w:rPr>
          <w:rFonts w:ascii="Lato" w:hAnsi="Lato"/>
          <w:b/>
          <w:sz w:val="20"/>
          <w:szCs w:val="20"/>
        </w:rPr>
        <w:t xml:space="preserve"> w Gryfinie:</w:t>
      </w:r>
    </w:p>
    <w:p w14:paraId="790314E0" w14:textId="77777777" w:rsidR="009A5B5E" w:rsidRDefault="00EF4FE8" w:rsidP="0059185B">
      <w:pPr>
        <w:numPr>
          <w:ilvl w:val="0"/>
          <w:numId w:val="132"/>
        </w:numPr>
        <w:tabs>
          <w:tab w:val="left" w:pos="284"/>
        </w:tabs>
        <w:spacing w:after="0" w:line="240" w:lineRule="auto"/>
        <w:ind w:left="363" w:firstLine="0"/>
        <w:jc w:val="both"/>
        <w:rPr>
          <w:rFonts w:ascii="Lato" w:hAnsi="Lato"/>
          <w:sz w:val="20"/>
          <w:szCs w:val="20"/>
        </w:rPr>
      </w:pPr>
      <w:r w:rsidRPr="00EF4FE8">
        <w:rPr>
          <w:rFonts w:ascii="Lato" w:hAnsi="Lato"/>
          <w:sz w:val="20"/>
          <w:szCs w:val="20"/>
        </w:rPr>
        <w:t>spotkania prewencyjne: „Bezpiecznie, Zdrowo, Bezgotówkowo” przy współprac</w:t>
      </w:r>
      <w:r w:rsidR="009A5B5E">
        <w:rPr>
          <w:rFonts w:ascii="Lato" w:hAnsi="Lato"/>
          <w:sz w:val="20"/>
          <w:szCs w:val="20"/>
        </w:rPr>
        <w:t xml:space="preserve">y </w:t>
      </w:r>
      <w:r w:rsidRPr="00EF4FE8">
        <w:rPr>
          <w:rFonts w:ascii="Lato" w:hAnsi="Lato"/>
          <w:sz w:val="20"/>
          <w:szCs w:val="20"/>
        </w:rPr>
        <w:t>Gryfińskim Oddziałem Zakładu Ubezpieczeń Społecznych oraz Komendą Powiatową Policji</w:t>
      </w:r>
      <w:r w:rsidR="009A5B5E">
        <w:rPr>
          <w:rFonts w:ascii="Lato" w:hAnsi="Lato"/>
          <w:sz w:val="20"/>
          <w:szCs w:val="20"/>
        </w:rPr>
        <w:t xml:space="preserve"> </w:t>
      </w:r>
      <w:r w:rsidRPr="00EF4FE8">
        <w:rPr>
          <w:rFonts w:ascii="Lato" w:hAnsi="Lato"/>
          <w:sz w:val="20"/>
          <w:szCs w:val="20"/>
        </w:rPr>
        <w:t>w Gryfinie, „Bezpieczny Senior” - spotkanie w Gryfińskim Domu Kultury – gospodarz</w:t>
      </w:r>
      <w:r w:rsidR="009A5B5E">
        <w:rPr>
          <w:rFonts w:ascii="Lato" w:hAnsi="Lato"/>
          <w:sz w:val="20"/>
          <w:szCs w:val="20"/>
        </w:rPr>
        <w:t xml:space="preserve"> </w:t>
      </w:r>
      <w:r w:rsidRPr="00EF4FE8">
        <w:rPr>
          <w:rFonts w:ascii="Lato" w:hAnsi="Lato"/>
          <w:sz w:val="20"/>
          <w:szCs w:val="20"/>
        </w:rPr>
        <w:t>wydarzenia: Gryfiński Uniwersytet Trzeciego Wieku,</w:t>
      </w:r>
    </w:p>
    <w:p w14:paraId="1712D848" w14:textId="77777777" w:rsidR="009A5B5E" w:rsidRDefault="00EF4FE8" w:rsidP="0059185B">
      <w:pPr>
        <w:numPr>
          <w:ilvl w:val="0"/>
          <w:numId w:val="132"/>
        </w:numPr>
        <w:tabs>
          <w:tab w:val="left" w:pos="284"/>
        </w:tabs>
        <w:spacing w:after="0" w:line="240" w:lineRule="auto"/>
        <w:ind w:left="363" w:firstLine="0"/>
        <w:jc w:val="both"/>
        <w:rPr>
          <w:rFonts w:ascii="Lato" w:hAnsi="Lato"/>
          <w:sz w:val="20"/>
          <w:szCs w:val="20"/>
        </w:rPr>
      </w:pPr>
      <w:r w:rsidRPr="009A5B5E">
        <w:rPr>
          <w:rFonts w:ascii="Lato" w:hAnsi="Lato"/>
          <w:sz w:val="20"/>
          <w:szCs w:val="20"/>
        </w:rPr>
        <w:t xml:space="preserve">spotkania tematyczne z zakresu prewencji i profilaktyki zdrowotnej we współpracy </w:t>
      </w:r>
      <w:r w:rsidRPr="009A5B5E">
        <w:rPr>
          <w:rFonts w:ascii="Lato" w:hAnsi="Lato"/>
          <w:sz w:val="20"/>
          <w:szCs w:val="20"/>
        </w:rPr>
        <w:br/>
        <w:t xml:space="preserve">     z Gryfińskim Stowarzyszeniem Ratowniczym,</w:t>
      </w:r>
    </w:p>
    <w:p w14:paraId="00CA97C3" w14:textId="2FF0EA8F" w:rsidR="00E25DA3" w:rsidRDefault="00EF4FE8" w:rsidP="008548E7">
      <w:pPr>
        <w:numPr>
          <w:ilvl w:val="0"/>
          <w:numId w:val="132"/>
        </w:numPr>
        <w:tabs>
          <w:tab w:val="left" w:pos="284"/>
        </w:tabs>
        <w:spacing w:after="0" w:line="240" w:lineRule="auto"/>
        <w:ind w:left="363" w:firstLine="0"/>
        <w:jc w:val="both"/>
        <w:rPr>
          <w:rFonts w:ascii="Lato" w:hAnsi="Lato"/>
          <w:sz w:val="20"/>
          <w:szCs w:val="20"/>
        </w:rPr>
      </w:pPr>
      <w:r w:rsidRPr="009A5B5E">
        <w:rPr>
          <w:rFonts w:ascii="Lato" w:hAnsi="Lato"/>
          <w:sz w:val="20"/>
          <w:szCs w:val="20"/>
        </w:rPr>
        <w:t>bezpłatne badania słuchu przy współpracy z firmą Audiofon.</w:t>
      </w:r>
    </w:p>
    <w:p w14:paraId="48633BA0" w14:textId="77777777" w:rsidR="00E25DA3" w:rsidRPr="00E25DA3" w:rsidRDefault="00E25DA3" w:rsidP="00E25DA3">
      <w:pPr>
        <w:tabs>
          <w:tab w:val="left" w:pos="284"/>
        </w:tabs>
        <w:spacing w:after="0" w:line="240" w:lineRule="auto"/>
        <w:ind w:left="363"/>
        <w:jc w:val="both"/>
        <w:rPr>
          <w:rFonts w:ascii="Lato" w:hAnsi="Lato"/>
          <w:sz w:val="20"/>
          <w:szCs w:val="20"/>
        </w:rPr>
      </w:pPr>
    </w:p>
    <w:p w14:paraId="4F538CAB" w14:textId="45B9660E" w:rsidR="00E25DA3" w:rsidRDefault="00E25DA3" w:rsidP="00E25DA3">
      <w:pPr>
        <w:pStyle w:val="Legenda"/>
        <w:keepNext/>
      </w:pPr>
      <w:bookmarkStart w:id="184" w:name="_Toc142566037"/>
      <w:r>
        <w:t xml:space="preserve">Tabela </w:t>
      </w:r>
      <w:fldSimple w:instr=" SEQ Tabela \* ARABIC ">
        <w:r w:rsidR="00AA385B">
          <w:rPr>
            <w:noProof/>
          </w:rPr>
          <w:t>74</w:t>
        </w:r>
      </w:fldSimple>
      <w:r>
        <w:t xml:space="preserve"> Karta województwa zachodniopomorskiego za 2022 r.</w:t>
      </w:r>
      <w:bookmarkEnd w:id="184"/>
    </w:p>
    <w:tbl>
      <w:tblPr>
        <w:tblStyle w:val="Tabelasiatki6kolorowaakcent2"/>
        <w:tblpPr w:leftFromText="141" w:rightFromText="141"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2439"/>
        <w:gridCol w:w="2439"/>
        <w:gridCol w:w="2441"/>
      </w:tblGrid>
      <w:tr w:rsidR="00E25DA3" w:rsidRPr="00E25DA3" w14:paraId="73B88FFB" w14:textId="77777777" w:rsidTr="0031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8EAADB" w:themeFill="accent1" w:themeFillTint="99"/>
          </w:tcPr>
          <w:p w14:paraId="67C4608B" w14:textId="06B2CF52"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WOJEWÓDZTWO ZACHODNIOPOMORSKI</w:t>
            </w:r>
            <w:r>
              <w:rPr>
                <w:rFonts w:ascii="Lato" w:hAnsi="Lato" w:cs="Times New Roman"/>
                <w:color w:val="auto"/>
                <w:sz w:val="18"/>
                <w:szCs w:val="18"/>
              </w:rPr>
              <w:t>E</w:t>
            </w:r>
          </w:p>
        </w:tc>
      </w:tr>
      <w:tr w:rsidR="00E25DA3" w:rsidRPr="00E25DA3" w14:paraId="72D79F06" w14:textId="77777777" w:rsidTr="00E25DA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0A788813"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Informacja o regionie</w:t>
            </w:r>
          </w:p>
        </w:tc>
        <w:tc>
          <w:tcPr>
            <w:tcW w:w="1346" w:type="pct"/>
            <w:shd w:val="clear" w:color="auto" w:fill="auto"/>
          </w:tcPr>
          <w:p w14:paraId="4D08E5F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gmin</w:t>
            </w:r>
          </w:p>
        </w:tc>
        <w:tc>
          <w:tcPr>
            <w:tcW w:w="2694" w:type="pct"/>
            <w:gridSpan w:val="2"/>
            <w:shd w:val="clear" w:color="auto" w:fill="auto"/>
          </w:tcPr>
          <w:p w14:paraId="696C17B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113</w:t>
            </w:r>
          </w:p>
        </w:tc>
      </w:tr>
      <w:tr w:rsidR="00E25DA3" w:rsidRPr="00E25DA3" w14:paraId="6B169836" w14:textId="77777777" w:rsidTr="00E25DA3">
        <w:trPr>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4FCA290"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7AF5520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Liczba powiatów</w:t>
            </w:r>
          </w:p>
        </w:tc>
        <w:tc>
          <w:tcPr>
            <w:tcW w:w="2694" w:type="pct"/>
            <w:gridSpan w:val="2"/>
            <w:shd w:val="clear" w:color="auto" w:fill="auto"/>
          </w:tcPr>
          <w:p w14:paraId="305940C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18 powiatów i 3 miasta na prawach powiatu</w:t>
            </w:r>
          </w:p>
        </w:tc>
      </w:tr>
      <w:tr w:rsidR="00E25DA3" w:rsidRPr="00E25DA3" w14:paraId="692B5AF6" w14:textId="77777777" w:rsidTr="00E25DA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CDA36DE" w14:textId="77777777" w:rsidR="00E25DA3" w:rsidRPr="00E25DA3" w:rsidRDefault="00E25DA3" w:rsidP="00CA4EC0">
            <w:pPr>
              <w:rPr>
                <w:rFonts w:ascii="Lato" w:hAnsi="Lato" w:cs="Times New Roman"/>
                <w:color w:val="auto"/>
                <w:sz w:val="18"/>
                <w:szCs w:val="18"/>
              </w:rPr>
            </w:pPr>
          </w:p>
        </w:tc>
        <w:tc>
          <w:tcPr>
            <w:tcW w:w="1346" w:type="pct"/>
            <w:shd w:val="clear" w:color="auto" w:fill="auto"/>
          </w:tcPr>
          <w:p w14:paraId="3A77C82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Powierzchnia</w:t>
            </w:r>
          </w:p>
        </w:tc>
        <w:tc>
          <w:tcPr>
            <w:tcW w:w="2694" w:type="pct"/>
            <w:gridSpan w:val="2"/>
            <w:shd w:val="clear" w:color="auto" w:fill="auto"/>
          </w:tcPr>
          <w:p w14:paraId="204744E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22 907 km</w:t>
            </w:r>
            <w:r w:rsidRPr="00E25DA3">
              <w:rPr>
                <w:rFonts w:ascii="Lato" w:hAnsi="Lato" w:cs="Times New Roman"/>
                <w:color w:val="auto"/>
                <w:sz w:val="18"/>
                <w:szCs w:val="18"/>
                <w:vertAlign w:val="superscript"/>
              </w:rPr>
              <w:t>2</w:t>
            </w:r>
          </w:p>
        </w:tc>
      </w:tr>
      <w:tr w:rsidR="00E25DA3" w:rsidRPr="00E25DA3" w14:paraId="190EB951" w14:textId="77777777" w:rsidTr="0031646A">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3F4D71AC" w14:textId="77777777" w:rsidR="00E25DA3" w:rsidRPr="00E25DA3" w:rsidRDefault="00E25DA3" w:rsidP="00CA4EC0">
            <w:pPr>
              <w:jc w:val="center"/>
              <w:rPr>
                <w:rFonts w:ascii="Lato" w:hAnsi="Lato" w:cs="Times New Roman"/>
                <w:b w:val="0"/>
                <w:color w:val="auto"/>
                <w:sz w:val="18"/>
                <w:szCs w:val="18"/>
              </w:rPr>
            </w:pPr>
            <w:r w:rsidRPr="00E25DA3">
              <w:rPr>
                <w:rFonts w:ascii="Lato" w:hAnsi="Lato" w:cs="Times New Roman"/>
                <w:color w:val="auto"/>
                <w:sz w:val="18"/>
                <w:szCs w:val="18"/>
              </w:rPr>
              <w:t>DEMOGRAFIA</w:t>
            </w:r>
          </w:p>
        </w:tc>
      </w:tr>
      <w:tr w:rsidR="00E25DA3" w:rsidRPr="00E25DA3" w14:paraId="788F2FDF"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4E80621" w14:textId="77777777" w:rsidR="00E25DA3" w:rsidRPr="00E25DA3" w:rsidRDefault="00E25DA3" w:rsidP="00CA4EC0">
            <w:pPr>
              <w:jc w:val="center"/>
              <w:rPr>
                <w:rFonts w:ascii="Lato" w:hAnsi="Lato" w:cs="Times New Roman"/>
                <w:b w:val="0"/>
                <w:color w:val="auto"/>
                <w:sz w:val="18"/>
                <w:szCs w:val="18"/>
                <w:lang w:eastAsia="pl-PL"/>
              </w:rPr>
            </w:pPr>
            <w:r w:rsidRPr="00E25DA3">
              <w:rPr>
                <w:rFonts w:ascii="Lato" w:hAnsi="Lato" w:cs="Times New Roman"/>
                <w:color w:val="auto"/>
                <w:sz w:val="18"/>
                <w:szCs w:val="18"/>
                <w:lang w:eastAsia="pl-PL"/>
              </w:rPr>
              <w:t>Treść</w:t>
            </w:r>
          </w:p>
        </w:tc>
        <w:tc>
          <w:tcPr>
            <w:tcW w:w="1346" w:type="pct"/>
            <w:shd w:val="clear" w:color="auto" w:fill="auto"/>
          </w:tcPr>
          <w:p w14:paraId="3440188D"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2020 r.</w:t>
            </w:r>
          </w:p>
        </w:tc>
        <w:tc>
          <w:tcPr>
            <w:tcW w:w="1346" w:type="pct"/>
            <w:shd w:val="clear" w:color="auto" w:fill="auto"/>
          </w:tcPr>
          <w:p w14:paraId="19FA96AB"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2021 r.</w:t>
            </w:r>
          </w:p>
        </w:tc>
        <w:tc>
          <w:tcPr>
            <w:tcW w:w="1348" w:type="pct"/>
            <w:shd w:val="clear" w:color="auto" w:fill="auto"/>
          </w:tcPr>
          <w:p w14:paraId="3D72CF80"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2022 r.</w:t>
            </w:r>
          </w:p>
        </w:tc>
      </w:tr>
      <w:tr w:rsidR="00E25DA3" w:rsidRPr="00E25DA3" w14:paraId="53DA1C10"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82C7E11"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Populacja ogółem</w:t>
            </w:r>
          </w:p>
        </w:tc>
        <w:tc>
          <w:tcPr>
            <w:tcW w:w="1346" w:type="pct"/>
            <w:shd w:val="clear" w:color="auto" w:fill="auto"/>
          </w:tcPr>
          <w:p w14:paraId="4DED15F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1661073</w:t>
            </w:r>
          </w:p>
        </w:tc>
        <w:tc>
          <w:tcPr>
            <w:tcW w:w="1346" w:type="pct"/>
            <w:shd w:val="clear" w:color="auto" w:fill="auto"/>
          </w:tcPr>
          <w:p w14:paraId="1B714D2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1650021</w:t>
            </w:r>
          </w:p>
        </w:tc>
        <w:tc>
          <w:tcPr>
            <w:tcW w:w="1348" w:type="pct"/>
            <w:shd w:val="clear" w:color="auto" w:fill="auto"/>
          </w:tcPr>
          <w:p w14:paraId="64A9742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1640622</w:t>
            </w:r>
          </w:p>
        </w:tc>
      </w:tr>
      <w:tr w:rsidR="00E25DA3" w:rsidRPr="00E25DA3" w14:paraId="7787CE36"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173837A" w14:textId="77777777" w:rsidR="00E25DA3" w:rsidRPr="00E25DA3" w:rsidRDefault="00E25DA3" w:rsidP="00CA4EC0">
            <w:pPr>
              <w:rPr>
                <w:rFonts w:ascii="Lato" w:hAnsi="Lato" w:cs="Times New Roman"/>
                <w:b w:val="0"/>
                <w:color w:val="auto"/>
                <w:sz w:val="18"/>
                <w:szCs w:val="18"/>
              </w:rPr>
            </w:pPr>
          </w:p>
        </w:tc>
      </w:tr>
      <w:tr w:rsidR="00E25DA3" w:rsidRPr="00E25DA3" w14:paraId="70663CDF"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2FFEE73A" w14:textId="77777777" w:rsidR="00E25DA3" w:rsidRPr="00E25DA3" w:rsidRDefault="00E25DA3" w:rsidP="00CA4EC0">
            <w:pPr>
              <w:rPr>
                <w:rFonts w:ascii="Lato" w:hAnsi="Lato" w:cs="Times New Roman"/>
                <w:b w:val="0"/>
                <w:color w:val="auto"/>
                <w:sz w:val="18"/>
                <w:szCs w:val="18"/>
              </w:rPr>
            </w:pPr>
            <w:r w:rsidRPr="00E25DA3">
              <w:rPr>
                <w:rFonts w:ascii="Lato" w:hAnsi="Lato" w:cs="Times New Roman"/>
                <w:color w:val="auto"/>
                <w:sz w:val="18"/>
                <w:szCs w:val="18"/>
                <w:lang w:eastAsia="pl-PL"/>
              </w:rPr>
              <w:t>w wieku 60 lat i więcej</w:t>
            </w:r>
          </w:p>
        </w:tc>
        <w:tc>
          <w:tcPr>
            <w:tcW w:w="1346" w:type="pct"/>
            <w:shd w:val="clear" w:color="auto" w:fill="auto"/>
          </w:tcPr>
          <w:p w14:paraId="60F96E6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447656</w:t>
            </w:r>
          </w:p>
        </w:tc>
        <w:tc>
          <w:tcPr>
            <w:tcW w:w="1346" w:type="pct"/>
            <w:shd w:val="clear" w:color="auto" w:fill="auto"/>
          </w:tcPr>
          <w:p w14:paraId="5C0DCA3F"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449209</w:t>
            </w:r>
          </w:p>
        </w:tc>
        <w:tc>
          <w:tcPr>
            <w:tcW w:w="1348" w:type="pct"/>
            <w:shd w:val="clear" w:color="auto" w:fill="auto"/>
          </w:tcPr>
          <w:p w14:paraId="1814C8C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451567</w:t>
            </w:r>
          </w:p>
        </w:tc>
      </w:tr>
      <w:tr w:rsidR="00E25DA3" w:rsidRPr="00E25DA3" w14:paraId="1A6E1062"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D3A3006"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60–64 lata</w:t>
            </w:r>
          </w:p>
        </w:tc>
        <w:tc>
          <w:tcPr>
            <w:tcW w:w="1346" w:type="pct"/>
            <w:shd w:val="clear" w:color="auto" w:fill="auto"/>
          </w:tcPr>
          <w:p w14:paraId="5C51172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127392</w:t>
            </w:r>
          </w:p>
        </w:tc>
        <w:tc>
          <w:tcPr>
            <w:tcW w:w="1346" w:type="pct"/>
            <w:shd w:val="clear" w:color="auto" w:fill="auto"/>
          </w:tcPr>
          <w:p w14:paraId="2DF1AC6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120697</w:t>
            </w:r>
          </w:p>
        </w:tc>
        <w:tc>
          <w:tcPr>
            <w:tcW w:w="1348" w:type="pct"/>
            <w:shd w:val="clear" w:color="auto" w:fill="auto"/>
          </w:tcPr>
          <w:p w14:paraId="2B709E1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113277</w:t>
            </w:r>
          </w:p>
        </w:tc>
      </w:tr>
      <w:tr w:rsidR="00E25DA3" w:rsidRPr="00E25DA3" w14:paraId="31E40AA3"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B773747"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65–69</w:t>
            </w:r>
          </w:p>
        </w:tc>
        <w:tc>
          <w:tcPr>
            <w:tcW w:w="1346" w:type="pct"/>
            <w:shd w:val="clear" w:color="auto" w:fill="auto"/>
          </w:tcPr>
          <w:p w14:paraId="779050B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120966</w:t>
            </w:r>
          </w:p>
        </w:tc>
        <w:tc>
          <w:tcPr>
            <w:tcW w:w="1346" w:type="pct"/>
            <w:shd w:val="clear" w:color="auto" w:fill="auto"/>
          </w:tcPr>
          <w:p w14:paraId="7674957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121449</w:t>
            </w:r>
          </w:p>
        </w:tc>
        <w:tc>
          <w:tcPr>
            <w:tcW w:w="1348" w:type="pct"/>
            <w:shd w:val="clear" w:color="auto" w:fill="auto"/>
          </w:tcPr>
          <w:p w14:paraId="7196666B"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121975</w:t>
            </w:r>
          </w:p>
        </w:tc>
      </w:tr>
      <w:tr w:rsidR="00E25DA3" w:rsidRPr="00E25DA3" w14:paraId="24B59A5E"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1478DB1F"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70–74</w:t>
            </w:r>
          </w:p>
        </w:tc>
        <w:tc>
          <w:tcPr>
            <w:tcW w:w="1346" w:type="pct"/>
            <w:shd w:val="clear" w:color="auto" w:fill="auto"/>
          </w:tcPr>
          <w:p w14:paraId="7B7AE7C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91148</w:t>
            </w:r>
          </w:p>
        </w:tc>
        <w:tc>
          <w:tcPr>
            <w:tcW w:w="1346" w:type="pct"/>
            <w:shd w:val="clear" w:color="auto" w:fill="auto"/>
          </w:tcPr>
          <w:p w14:paraId="351BEF3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96362</w:t>
            </w:r>
          </w:p>
        </w:tc>
        <w:tc>
          <w:tcPr>
            <w:tcW w:w="1348" w:type="pct"/>
            <w:shd w:val="clear" w:color="auto" w:fill="auto"/>
          </w:tcPr>
          <w:p w14:paraId="0BB4733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100351</w:t>
            </w:r>
          </w:p>
        </w:tc>
      </w:tr>
      <w:tr w:rsidR="00E25DA3" w:rsidRPr="00E25DA3" w14:paraId="5104A03D"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65EFCC42"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75–79</w:t>
            </w:r>
          </w:p>
        </w:tc>
        <w:tc>
          <w:tcPr>
            <w:tcW w:w="1346" w:type="pct"/>
            <w:shd w:val="clear" w:color="auto" w:fill="auto"/>
          </w:tcPr>
          <w:p w14:paraId="3B7BDE16"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40324</w:t>
            </w:r>
          </w:p>
        </w:tc>
        <w:tc>
          <w:tcPr>
            <w:tcW w:w="1346" w:type="pct"/>
            <w:shd w:val="clear" w:color="auto" w:fill="auto"/>
          </w:tcPr>
          <w:p w14:paraId="1A03D13B"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44491</w:t>
            </w:r>
          </w:p>
        </w:tc>
        <w:tc>
          <w:tcPr>
            <w:tcW w:w="1348" w:type="pct"/>
            <w:shd w:val="clear" w:color="auto" w:fill="auto"/>
          </w:tcPr>
          <w:p w14:paraId="1F7E72B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50771</w:t>
            </w:r>
          </w:p>
        </w:tc>
      </w:tr>
      <w:tr w:rsidR="00E25DA3" w:rsidRPr="00E25DA3" w14:paraId="4C0F4357"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39842D5C"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80–84</w:t>
            </w:r>
          </w:p>
        </w:tc>
        <w:tc>
          <w:tcPr>
            <w:tcW w:w="1346" w:type="pct"/>
            <w:shd w:val="clear" w:color="auto" w:fill="auto"/>
          </w:tcPr>
          <w:p w14:paraId="1ECCFD2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34582</w:t>
            </w:r>
          </w:p>
        </w:tc>
        <w:tc>
          <w:tcPr>
            <w:tcW w:w="1346" w:type="pct"/>
            <w:shd w:val="clear" w:color="auto" w:fill="auto"/>
          </w:tcPr>
          <w:p w14:paraId="3918E676"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33072</w:t>
            </w:r>
          </w:p>
        </w:tc>
        <w:tc>
          <w:tcPr>
            <w:tcW w:w="1348" w:type="pct"/>
            <w:shd w:val="clear" w:color="auto" w:fill="auto"/>
          </w:tcPr>
          <w:p w14:paraId="0B4E0B2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31968</w:t>
            </w:r>
          </w:p>
        </w:tc>
      </w:tr>
      <w:tr w:rsidR="00E25DA3" w:rsidRPr="00E25DA3" w14:paraId="382B846C"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00974ED4"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85 lat i więcej</w:t>
            </w:r>
          </w:p>
        </w:tc>
        <w:tc>
          <w:tcPr>
            <w:tcW w:w="1346" w:type="pct"/>
            <w:shd w:val="clear" w:color="auto" w:fill="auto"/>
          </w:tcPr>
          <w:p w14:paraId="47B7D5E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33244</w:t>
            </w:r>
          </w:p>
        </w:tc>
        <w:tc>
          <w:tcPr>
            <w:tcW w:w="1346" w:type="pct"/>
            <w:shd w:val="clear" w:color="auto" w:fill="auto"/>
          </w:tcPr>
          <w:p w14:paraId="72961CA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33138</w:t>
            </w:r>
          </w:p>
        </w:tc>
        <w:tc>
          <w:tcPr>
            <w:tcW w:w="1348" w:type="pct"/>
            <w:shd w:val="clear" w:color="auto" w:fill="auto"/>
          </w:tcPr>
          <w:p w14:paraId="03D5B272"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33225</w:t>
            </w:r>
          </w:p>
        </w:tc>
      </w:tr>
      <w:tr w:rsidR="00E25DA3" w:rsidRPr="00E25DA3" w14:paraId="4881AE1F"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7884083C"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lastRenderedPageBreak/>
              <w:t>Przeciętne dalsze trwanie życia</w:t>
            </w:r>
          </w:p>
        </w:tc>
        <w:tc>
          <w:tcPr>
            <w:tcW w:w="1346" w:type="pct"/>
            <w:shd w:val="clear" w:color="auto" w:fill="auto"/>
          </w:tcPr>
          <w:p w14:paraId="7C3CE04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72,1</w:t>
            </w:r>
          </w:p>
          <w:p w14:paraId="4675E99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80,6</w:t>
            </w:r>
          </w:p>
          <w:p w14:paraId="348E9321"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17,7</w:t>
            </w:r>
          </w:p>
          <w:p w14:paraId="5CAF33F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23,3</w:t>
            </w:r>
          </w:p>
        </w:tc>
        <w:tc>
          <w:tcPr>
            <w:tcW w:w="1346" w:type="pct"/>
            <w:shd w:val="clear" w:color="auto" w:fill="auto"/>
          </w:tcPr>
          <w:p w14:paraId="4868DEB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71,5</w:t>
            </w:r>
          </w:p>
          <w:p w14:paraId="7A362DA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79,2</w:t>
            </w:r>
          </w:p>
          <w:p w14:paraId="0B838CC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17,2</w:t>
            </w:r>
          </w:p>
          <w:p w14:paraId="50BCB86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22,2</w:t>
            </w:r>
          </w:p>
        </w:tc>
        <w:tc>
          <w:tcPr>
            <w:tcW w:w="1348" w:type="pct"/>
            <w:shd w:val="clear" w:color="auto" w:fill="auto"/>
          </w:tcPr>
          <w:p w14:paraId="72FA7EB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męskiej – 72,8</w:t>
            </w:r>
          </w:p>
          <w:p w14:paraId="0EDCEB2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Noworodek płci żeńskiej – 80,7</w:t>
            </w:r>
          </w:p>
          <w:p w14:paraId="4C3636E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Mężczyzna w wieku 60 lat – 18,2</w:t>
            </w:r>
          </w:p>
          <w:p w14:paraId="56E5C9F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Kobieta w wieku 60 – 23,4</w:t>
            </w:r>
          </w:p>
        </w:tc>
      </w:tr>
      <w:tr w:rsidR="00E25DA3" w:rsidRPr="00E25DA3" w14:paraId="799AFBA8"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3201A73D"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feminizacji</w:t>
            </w:r>
          </w:p>
        </w:tc>
        <w:tc>
          <w:tcPr>
            <w:tcW w:w="1346" w:type="pct"/>
            <w:shd w:val="clear" w:color="auto" w:fill="auto"/>
          </w:tcPr>
          <w:p w14:paraId="0479B00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c>
          <w:tcPr>
            <w:tcW w:w="1346" w:type="pct"/>
            <w:shd w:val="clear" w:color="auto" w:fill="auto"/>
          </w:tcPr>
          <w:p w14:paraId="4B636A8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c>
          <w:tcPr>
            <w:tcW w:w="1348" w:type="pct"/>
            <w:shd w:val="clear" w:color="auto" w:fill="auto"/>
          </w:tcPr>
          <w:p w14:paraId="3FFA1F9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106</w:t>
            </w:r>
          </w:p>
        </w:tc>
      </w:tr>
      <w:tr w:rsidR="00E25DA3" w:rsidRPr="00E25DA3" w14:paraId="1B8EBEB3" w14:textId="77777777" w:rsidTr="00E2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9B55C62"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obciążenia demograficznego osobami starszymi</w:t>
            </w:r>
          </w:p>
        </w:tc>
        <w:tc>
          <w:tcPr>
            <w:tcW w:w="1346" w:type="pct"/>
            <w:shd w:val="clear" w:color="auto" w:fill="auto"/>
          </w:tcPr>
          <w:p w14:paraId="4DA5FB4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29,2</w:t>
            </w:r>
          </w:p>
        </w:tc>
        <w:tc>
          <w:tcPr>
            <w:tcW w:w="1346" w:type="pct"/>
            <w:shd w:val="clear" w:color="auto" w:fill="auto"/>
          </w:tcPr>
          <w:p w14:paraId="73A5F7A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30,4</w:t>
            </w:r>
          </w:p>
        </w:tc>
        <w:tc>
          <w:tcPr>
            <w:tcW w:w="1348" w:type="pct"/>
            <w:shd w:val="clear" w:color="auto" w:fill="auto"/>
          </w:tcPr>
          <w:p w14:paraId="4119F31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31,7</w:t>
            </w:r>
          </w:p>
        </w:tc>
      </w:tr>
      <w:tr w:rsidR="00E25DA3" w:rsidRPr="00E25DA3" w14:paraId="027EBFA2" w14:textId="77777777" w:rsidTr="00E25DA3">
        <w:tc>
          <w:tcPr>
            <w:cnfStyle w:val="001000000000" w:firstRow="0" w:lastRow="0" w:firstColumn="1" w:lastColumn="0" w:oddVBand="0" w:evenVBand="0" w:oddHBand="0" w:evenHBand="0" w:firstRowFirstColumn="0" w:firstRowLastColumn="0" w:lastRowFirstColumn="0" w:lastRowLastColumn="0"/>
            <w:tcW w:w="961" w:type="pct"/>
            <w:shd w:val="clear" w:color="auto" w:fill="auto"/>
          </w:tcPr>
          <w:p w14:paraId="4E36A59B"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zgonów</w:t>
            </w:r>
          </w:p>
        </w:tc>
        <w:tc>
          <w:tcPr>
            <w:tcW w:w="1346" w:type="pct"/>
            <w:shd w:val="clear" w:color="auto" w:fill="auto"/>
          </w:tcPr>
          <w:p w14:paraId="217BF73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12,6</w:t>
            </w:r>
          </w:p>
        </w:tc>
        <w:tc>
          <w:tcPr>
            <w:tcW w:w="1346" w:type="pct"/>
            <w:shd w:val="clear" w:color="auto" w:fill="auto"/>
          </w:tcPr>
          <w:p w14:paraId="2BC7AC8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14,0</w:t>
            </w:r>
          </w:p>
        </w:tc>
        <w:tc>
          <w:tcPr>
            <w:tcW w:w="1348" w:type="pct"/>
            <w:shd w:val="clear" w:color="auto" w:fill="auto"/>
          </w:tcPr>
          <w:p w14:paraId="2632B60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12,4</w:t>
            </w:r>
          </w:p>
        </w:tc>
      </w:tr>
      <w:tr w:rsidR="00E25DA3" w:rsidRPr="00E25DA3" w14:paraId="7C7C0496" w14:textId="77777777" w:rsidTr="0031646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538A5216"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lang w:eastAsia="pl-PL"/>
              </w:rPr>
              <w:t>AKTYWNOŚĆ EKONOMICZNA OSÓB STARSZYCH – DANE ZA 2022 R.</w:t>
            </w:r>
            <w:r w:rsidRPr="00E25DA3">
              <w:rPr>
                <w:rFonts w:ascii="Lato" w:hAnsi="Lato" w:cs="Times New Roman"/>
                <w:color w:val="auto"/>
                <w:sz w:val="18"/>
                <w:szCs w:val="18"/>
                <w:vertAlign w:val="superscript"/>
                <w:lang w:eastAsia="pl-PL"/>
              </w:rPr>
              <w:t>1)</w:t>
            </w:r>
          </w:p>
        </w:tc>
      </w:tr>
      <w:tr w:rsidR="00E25DA3" w:rsidRPr="00E25DA3" w14:paraId="108FD71B"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2306" w:type="pct"/>
            <w:gridSpan w:val="2"/>
            <w:shd w:val="clear" w:color="auto" w:fill="auto"/>
          </w:tcPr>
          <w:p w14:paraId="3CC8E33B" w14:textId="77777777" w:rsidR="00E25DA3" w:rsidRPr="00E25DA3" w:rsidRDefault="00E25DA3" w:rsidP="00CA4EC0">
            <w:pPr>
              <w:rPr>
                <w:rFonts w:ascii="Lato" w:hAnsi="Lato" w:cs="Times New Roman"/>
                <w:color w:val="auto"/>
                <w:sz w:val="18"/>
                <w:szCs w:val="18"/>
              </w:rPr>
            </w:pPr>
            <w:r w:rsidRPr="00E25DA3">
              <w:rPr>
                <w:rFonts w:ascii="Lato" w:hAnsi="Lato" w:cs="Times New Roman"/>
                <w:color w:val="auto"/>
                <w:sz w:val="18"/>
                <w:szCs w:val="18"/>
              </w:rPr>
              <w:t>Podział</w:t>
            </w:r>
          </w:p>
        </w:tc>
        <w:tc>
          <w:tcPr>
            <w:tcW w:w="2694" w:type="pct"/>
            <w:gridSpan w:val="2"/>
            <w:shd w:val="clear" w:color="auto" w:fill="auto"/>
          </w:tcPr>
          <w:p w14:paraId="01C22847"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Liczba</w:t>
            </w:r>
          </w:p>
        </w:tc>
      </w:tr>
      <w:tr w:rsidR="00E25DA3" w:rsidRPr="00E25DA3" w14:paraId="77B6821C"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93BD9D5"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aktywne zawodowo razem (w tys.)</w:t>
            </w:r>
          </w:p>
        </w:tc>
        <w:tc>
          <w:tcPr>
            <w:tcW w:w="1346" w:type="pct"/>
            <w:shd w:val="clear" w:color="auto" w:fill="auto"/>
          </w:tcPr>
          <w:p w14:paraId="0820CBF9"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6D3DD23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733</w:t>
            </w:r>
          </w:p>
        </w:tc>
      </w:tr>
      <w:tr w:rsidR="00E25DA3" w:rsidRPr="00E25DA3" w14:paraId="2E7F4B7A"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FAA6F5F"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387F6B7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4" w:type="pct"/>
            <w:gridSpan w:val="2"/>
            <w:shd w:val="clear" w:color="auto" w:fill="auto"/>
          </w:tcPr>
          <w:p w14:paraId="0B49EFC0"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74</w:t>
            </w:r>
          </w:p>
        </w:tc>
      </w:tr>
      <w:tr w:rsidR="00E25DA3" w:rsidRPr="00E25DA3" w14:paraId="1FE4765D"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647F6009"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 xml:space="preserve">Osoby aktywne zawodowo </w:t>
            </w:r>
            <w:r w:rsidRPr="00E25DA3">
              <w:rPr>
                <w:rFonts w:ascii="Lato" w:hAnsi="Lato" w:cs="Times New Roman"/>
                <w:color w:val="auto"/>
                <w:sz w:val="18"/>
                <w:szCs w:val="18"/>
                <w:lang w:eastAsia="pl-PL"/>
              </w:rPr>
              <w:br/>
              <w:t>– pracujący (w tys.)</w:t>
            </w:r>
          </w:p>
        </w:tc>
        <w:tc>
          <w:tcPr>
            <w:tcW w:w="1346" w:type="pct"/>
            <w:shd w:val="clear" w:color="auto" w:fill="auto"/>
          </w:tcPr>
          <w:p w14:paraId="05941583"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1D09E6B5"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716</w:t>
            </w:r>
          </w:p>
        </w:tc>
      </w:tr>
      <w:tr w:rsidR="00E25DA3" w:rsidRPr="00E25DA3" w14:paraId="26F3AAED"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A9D81A3"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2783185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4" w:type="pct"/>
            <w:gridSpan w:val="2"/>
            <w:shd w:val="clear" w:color="auto" w:fill="auto"/>
          </w:tcPr>
          <w:p w14:paraId="6B4A92EE"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74</w:t>
            </w:r>
          </w:p>
        </w:tc>
      </w:tr>
      <w:tr w:rsidR="00E25DA3" w:rsidRPr="00E25DA3" w14:paraId="7ADA25CB" w14:textId="77777777" w:rsidTr="00E25DA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6CF10051"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Osoby bierne zawodowo (w tys.)</w:t>
            </w:r>
          </w:p>
        </w:tc>
        <w:tc>
          <w:tcPr>
            <w:tcW w:w="1346" w:type="pct"/>
            <w:shd w:val="clear" w:color="auto" w:fill="auto"/>
          </w:tcPr>
          <w:p w14:paraId="74A6026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1FB8427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573</w:t>
            </w:r>
          </w:p>
        </w:tc>
      </w:tr>
      <w:tr w:rsidR="00E25DA3" w:rsidRPr="00E25DA3" w14:paraId="41E979B2" w14:textId="77777777" w:rsidTr="00E25DA3">
        <w:trPr>
          <w:trHeight w:val="22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DE8CBCB"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06DEE5B8"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4" w:type="pct"/>
            <w:gridSpan w:val="2"/>
            <w:shd w:val="clear" w:color="auto" w:fill="auto"/>
          </w:tcPr>
          <w:p w14:paraId="301F757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356</w:t>
            </w:r>
          </w:p>
        </w:tc>
      </w:tr>
      <w:tr w:rsidR="00E25DA3" w:rsidRPr="00E25DA3" w14:paraId="5FDD1B42" w14:textId="77777777" w:rsidTr="00E25DA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34EE6EFE"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Współczynnik aktywności zawodowej %</w:t>
            </w:r>
          </w:p>
        </w:tc>
        <w:tc>
          <w:tcPr>
            <w:tcW w:w="1346" w:type="pct"/>
            <w:shd w:val="clear" w:color="auto" w:fill="auto"/>
          </w:tcPr>
          <w:p w14:paraId="3A24CB2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3091AE6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56,2</w:t>
            </w:r>
          </w:p>
        </w:tc>
      </w:tr>
      <w:tr w:rsidR="00E25DA3" w:rsidRPr="00E25DA3" w14:paraId="3BE34FFB" w14:textId="77777777" w:rsidTr="00E25DA3">
        <w:trPr>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06B8B64"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78CF620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4" w:type="pct"/>
            <w:gridSpan w:val="2"/>
            <w:shd w:val="clear" w:color="auto" w:fill="auto"/>
          </w:tcPr>
          <w:p w14:paraId="46F18E0C"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17,2</w:t>
            </w:r>
          </w:p>
        </w:tc>
      </w:tr>
      <w:tr w:rsidR="00E25DA3" w:rsidRPr="00E25DA3" w14:paraId="2FCF12C0" w14:textId="77777777" w:rsidTr="00E25DA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1A80200F" w14:textId="77777777" w:rsidR="00E25DA3" w:rsidRPr="00E25DA3" w:rsidRDefault="00E25DA3" w:rsidP="00CA4EC0">
            <w:pPr>
              <w:rPr>
                <w:rFonts w:ascii="Lato" w:hAnsi="Lato" w:cs="Times New Roman"/>
                <w:b w:val="0"/>
                <w:color w:val="auto"/>
                <w:sz w:val="18"/>
                <w:szCs w:val="18"/>
                <w:lang w:eastAsia="pl-PL"/>
              </w:rPr>
            </w:pPr>
            <w:r w:rsidRPr="00E25DA3">
              <w:rPr>
                <w:rFonts w:ascii="Lato" w:hAnsi="Lato" w:cs="Times New Roman"/>
                <w:color w:val="auto"/>
                <w:sz w:val="18"/>
                <w:szCs w:val="18"/>
                <w:lang w:eastAsia="pl-PL"/>
              </w:rPr>
              <w:t>Wskaźnik zatrudnienia %</w:t>
            </w:r>
          </w:p>
        </w:tc>
        <w:tc>
          <w:tcPr>
            <w:tcW w:w="1346" w:type="pct"/>
            <w:shd w:val="clear" w:color="auto" w:fill="auto"/>
          </w:tcPr>
          <w:p w14:paraId="405AAB0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7160F62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54,9</w:t>
            </w:r>
          </w:p>
        </w:tc>
      </w:tr>
      <w:tr w:rsidR="00E25DA3" w:rsidRPr="00E25DA3" w14:paraId="1092F368"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60F2398" w14:textId="77777777" w:rsidR="00E25DA3" w:rsidRPr="00E25DA3" w:rsidRDefault="00E25DA3" w:rsidP="00CA4EC0">
            <w:pPr>
              <w:rPr>
                <w:rFonts w:ascii="Lato" w:hAnsi="Lato" w:cs="Times New Roman"/>
                <w:b w:val="0"/>
                <w:color w:val="auto"/>
                <w:sz w:val="18"/>
                <w:szCs w:val="18"/>
                <w:lang w:eastAsia="pl-PL"/>
              </w:rPr>
            </w:pPr>
          </w:p>
        </w:tc>
        <w:tc>
          <w:tcPr>
            <w:tcW w:w="1346" w:type="pct"/>
            <w:shd w:val="clear" w:color="auto" w:fill="auto"/>
          </w:tcPr>
          <w:p w14:paraId="7DD561DF"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60-89 lat</w:t>
            </w:r>
          </w:p>
        </w:tc>
        <w:tc>
          <w:tcPr>
            <w:tcW w:w="2694" w:type="pct"/>
            <w:gridSpan w:val="2"/>
            <w:shd w:val="clear" w:color="auto" w:fill="auto"/>
          </w:tcPr>
          <w:p w14:paraId="7E18982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17,2</w:t>
            </w:r>
          </w:p>
        </w:tc>
      </w:tr>
      <w:tr w:rsidR="00E25DA3" w:rsidRPr="00E25DA3" w14:paraId="068B4D98" w14:textId="77777777" w:rsidTr="00E25DA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70909666" w14:textId="77777777" w:rsidR="00E25DA3" w:rsidRPr="00E25DA3" w:rsidRDefault="00E25DA3" w:rsidP="00CA4EC0">
            <w:pPr>
              <w:rPr>
                <w:rFonts w:ascii="Lato" w:hAnsi="Lato" w:cs="Times New Roman"/>
                <w:b w:val="0"/>
                <w:color w:val="auto"/>
                <w:sz w:val="18"/>
                <w:szCs w:val="18"/>
                <w:lang w:eastAsia="pl-PL"/>
              </w:rPr>
            </w:pPr>
            <w:r w:rsidRPr="00E25DA3">
              <w:rPr>
                <w:rFonts w:ascii="Lato" w:eastAsia="Times New Roman" w:hAnsi="Lato" w:cs="Times New Roman"/>
                <w:color w:val="auto"/>
                <w:sz w:val="18"/>
                <w:szCs w:val="18"/>
                <w:lang w:eastAsia="pl-PL"/>
              </w:rPr>
              <w:t xml:space="preserve">Osoby bierne zawodowo  w wieku 60-74 lata według wybranych przyczyn bierności </w:t>
            </w:r>
            <w:r w:rsidRPr="00E25DA3">
              <w:rPr>
                <w:rFonts w:ascii="Lato" w:eastAsia="Times New Roman" w:hAnsi="Lato" w:cs="Times New Roman"/>
                <w:color w:val="auto"/>
                <w:sz w:val="18"/>
                <w:szCs w:val="18"/>
                <w:lang w:eastAsia="pl-PL"/>
              </w:rPr>
              <w:br/>
              <w:t>(w tys.)</w:t>
            </w:r>
          </w:p>
        </w:tc>
        <w:tc>
          <w:tcPr>
            <w:tcW w:w="1346" w:type="pct"/>
            <w:shd w:val="clear" w:color="auto" w:fill="auto"/>
          </w:tcPr>
          <w:p w14:paraId="75E6BB0A"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2FA275B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264</w:t>
            </w:r>
          </w:p>
        </w:tc>
      </w:tr>
      <w:tr w:rsidR="00E25DA3" w:rsidRPr="00E25DA3" w14:paraId="19629B90"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92C7EB6"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2B05D254"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w:t>
            </w:r>
          </w:p>
        </w:tc>
      </w:tr>
      <w:tr w:rsidR="00E25DA3" w:rsidRPr="00E25DA3" w14:paraId="6F950B26"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76F69BE1"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DC70C4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auto"/>
                <w:sz w:val="18"/>
                <w:szCs w:val="18"/>
                <w:lang w:eastAsia="pl-PL"/>
              </w:rPr>
            </w:pPr>
            <w:r w:rsidRPr="00E25DA3">
              <w:rPr>
                <w:rFonts w:ascii="Lato" w:eastAsia="Times New Roman" w:hAnsi="Lato" w:cs="Times New Roman"/>
                <w:color w:val="auto"/>
                <w:sz w:val="18"/>
                <w:szCs w:val="18"/>
                <w:lang w:eastAsia="pl-PL"/>
              </w:rPr>
              <w:t>osoby nieposzukujące pracy - razem</w:t>
            </w:r>
          </w:p>
        </w:tc>
        <w:tc>
          <w:tcPr>
            <w:tcW w:w="2694" w:type="pct"/>
            <w:gridSpan w:val="2"/>
            <w:shd w:val="clear" w:color="auto" w:fill="auto"/>
          </w:tcPr>
          <w:p w14:paraId="082E3432"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264</w:t>
            </w:r>
          </w:p>
        </w:tc>
      </w:tr>
      <w:tr w:rsidR="00E25DA3" w:rsidRPr="00E25DA3" w14:paraId="57D701B6" w14:textId="77777777" w:rsidTr="00E25DA3">
        <w:trPr>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43D9985B"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DB6B61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emerytura</w:t>
            </w:r>
          </w:p>
        </w:tc>
        <w:tc>
          <w:tcPr>
            <w:tcW w:w="2694" w:type="pct"/>
            <w:gridSpan w:val="2"/>
            <w:shd w:val="clear" w:color="auto" w:fill="auto"/>
          </w:tcPr>
          <w:p w14:paraId="3574AB29"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239</w:t>
            </w:r>
          </w:p>
        </w:tc>
      </w:tr>
      <w:tr w:rsidR="00E25DA3" w:rsidRPr="00E25DA3" w14:paraId="6A72750C" w14:textId="77777777" w:rsidTr="00E25D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E697756"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F13FE60"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eastAsia="Times New Roman" w:hAnsi="Lato" w:cs="Times New Roman"/>
                <w:color w:val="auto"/>
                <w:sz w:val="18"/>
                <w:szCs w:val="18"/>
                <w:lang w:eastAsia="pl-PL"/>
              </w:rPr>
              <w:t>osoby nieposzukujące pracy - choroba, niepełnosprawność</w:t>
            </w:r>
          </w:p>
        </w:tc>
        <w:tc>
          <w:tcPr>
            <w:tcW w:w="2694" w:type="pct"/>
            <w:gridSpan w:val="2"/>
            <w:shd w:val="clear" w:color="auto" w:fill="auto"/>
          </w:tcPr>
          <w:p w14:paraId="1D12848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w:t>
            </w:r>
          </w:p>
        </w:tc>
      </w:tr>
      <w:tr w:rsidR="00E25DA3" w:rsidRPr="00E25DA3" w14:paraId="7875A240" w14:textId="77777777" w:rsidTr="00E25DA3">
        <w:trPr>
          <w:trHeight w:val="285"/>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40136EF"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Osoby bezrobotne zarejestrowane w urzędach pracy (w tys.)</w:t>
            </w:r>
            <w:r w:rsidRPr="00E25DA3">
              <w:rPr>
                <w:rFonts w:ascii="Lato" w:eastAsia="Times New Roman" w:hAnsi="Lato" w:cs="Times New Roman"/>
                <w:color w:val="auto"/>
                <w:sz w:val="18"/>
                <w:szCs w:val="18"/>
                <w:vertAlign w:val="superscript"/>
                <w:lang w:eastAsia="pl-PL"/>
              </w:rPr>
              <w:t>2)</w:t>
            </w:r>
          </w:p>
        </w:tc>
        <w:tc>
          <w:tcPr>
            <w:tcW w:w="1346" w:type="pct"/>
            <w:shd w:val="clear" w:color="auto" w:fill="auto"/>
          </w:tcPr>
          <w:p w14:paraId="7DA5460A"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Ogółem</w:t>
            </w:r>
          </w:p>
        </w:tc>
        <w:tc>
          <w:tcPr>
            <w:tcW w:w="2694" w:type="pct"/>
            <w:gridSpan w:val="2"/>
            <w:shd w:val="clear" w:color="auto" w:fill="auto"/>
          </w:tcPr>
          <w:p w14:paraId="487CD7F5"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40,1</w:t>
            </w:r>
          </w:p>
        </w:tc>
      </w:tr>
      <w:tr w:rsidR="00E25DA3" w:rsidRPr="00E25DA3" w14:paraId="03AAA698"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3DE5FB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1509FF9E"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w tym w wieku 60-64 lata</w:t>
            </w:r>
          </w:p>
        </w:tc>
        <w:tc>
          <w:tcPr>
            <w:tcW w:w="2694" w:type="pct"/>
            <w:gridSpan w:val="2"/>
            <w:shd w:val="clear" w:color="auto" w:fill="auto"/>
          </w:tcPr>
          <w:p w14:paraId="3B9FFC9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3,2</w:t>
            </w:r>
          </w:p>
        </w:tc>
      </w:tr>
      <w:tr w:rsidR="00E25DA3" w:rsidRPr="00E25DA3" w14:paraId="1894FDC8" w14:textId="77777777" w:rsidTr="00E25DA3">
        <w:trPr>
          <w:trHeight w:val="191"/>
        </w:trPr>
        <w:tc>
          <w:tcPr>
            <w:cnfStyle w:val="001000000000" w:firstRow="0" w:lastRow="0" w:firstColumn="1" w:lastColumn="0" w:oddVBand="0" w:evenVBand="0" w:oddHBand="0" w:evenHBand="0" w:firstRowFirstColumn="0" w:firstRowLastColumn="0" w:lastRowFirstColumn="0" w:lastRowLastColumn="0"/>
            <w:tcW w:w="961" w:type="pct"/>
            <w:vMerge w:val="restart"/>
            <w:shd w:val="clear" w:color="auto" w:fill="auto"/>
          </w:tcPr>
          <w:p w14:paraId="44C5D85B" w14:textId="77777777" w:rsidR="00E25DA3" w:rsidRPr="00E25DA3" w:rsidRDefault="00E25DA3" w:rsidP="00CA4EC0">
            <w:pPr>
              <w:rPr>
                <w:rFonts w:ascii="Lato" w:eastAsia="Times New Roman" w:hAnsi="Lato" w:cs="Times New Roman"/>
                <w:b w:val="0"/>
                <w:bCs w:val="0"/>
                <w:color w:val="auto"/>
                <w:sz w:val="18"/>
                <w:szCs w:val="18"/>
                <w:lang w:eastAsia="pl-PL"/>
              </w:rPr>
            </w:pPr>
            <w:r w:rsidRPr="00E25DA3">
              <w:rPr>
                <w:rFonts w:ascii="Lato" w:eastAsia="Times New Roman" w:hAnsi="Lato" w:cs="Times New Roman"/>
                <w:color w:val="auto"/>
                <w:sz w:val="18"/>
                <w:szCs w:val="18"/>
                <w:lang w:eastAsia="pl-PL"/>
              </w:rPr>
              <w:t xml:space="preserve">Osoby pobierające renty </w:t>
            </w:r>
            <w:r w:rsidRPr="00E25DA3">
              <w:rPr>
                <w:rFonts w:ascii="Lato" w:eastAsia="Times New Roman" w:hAnsi="Lato" w:cs="Times New Roman"/>
                <w:color w:val="auto"/>
                <w:sz w:val="18"/>
                <w:szCs w:val="18"/>
                <w:lang w:eastAsia="pl-PL"/>
              </w:rPr>
              <w:br/>
              <w:t xml:space="preserve">i emerytury </w:t>
            </w:r>
          </w:p>
        </w:tc>
        <w:tc>
          <w:tcPr>
            <w:tcW w:w="4039" w:type="pct"/>
            <w:gridSpan w:val="3"/>
            <w:shd w:val="clear" w:color="auto" w:fill="auto"/>
          </w:tcPr>
          <w:p w14:paraId="7509EB4E" w14:textId="77777777" w:rsidR="00E25DA3" w:rsidRPr="00E25DA3" w:rsidRDefault="00E25DA3" w:rsidP="00CA4EC0">
            <w:pPr>
              <w:tabs>
                <w:tab w:val="left" w:pos="1725"/>
                <w:tab w:val="center" w:pos="2363"/>
              </w:tabs>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ZUS</w:t>
            </w:r>
          </w:p>
        </w:tc>
      </w:tr>
      <w:tr w:rsidR="00E25DA3" w:rsidRPr="00E25DA3" w14:paraId="3537C251" w14:textId="77777777" w:rsidTr="00E25DA3">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6D8B19B"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622259E1"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4" w:type="pct"/>
            <w:gridSpan w:val="2"/>
            <w:shd w:val="clear" w:color="auto" w:fill="auto"/>
          </w:tcPr>
          <w:p w14:paraId="5ADEED05" w14:textId="77777777" w:rsidR="00E25DA3" w:rsidRPr="00E25DA3" w:rsidRDefault="00E25DA3" w:rsidP="00CA4EC0">
            <w:pPr>
              <w:jc w:val="center"/>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4DFE95F9" w14:textId="77777777" w:rsidTr="00E25DA3">
        <w:trPr>
          <w:trHeight w:val="143"/>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7266DAD"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84A4DED"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4" w:type="pct"/>
            <w:gridSpan w:val="2"/>
            <w:shd w:val="clear" w:color="auto" w:fill="auto"/>
          </w:tcPr>
          <w:p w14:paraId="359C7343"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282,8</w:t>
            </w:r>
          </w:p>
        </w:tc>
      </w:tr>
      <w:tr w:rsidR="00E25DA3" w:rsidRPr="00E25DA3" w14:paraId="3D0F7BD4" w14:textId="77777777" w:rsidTr="00E25DA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ACC59FC"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4CA4DAEF"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4" w:type="pct"/>
            <w:gridSpan w:val="2"/>
            <w:shd w:val="clear" w:color="auto" w:fill="auto"/>
          </w:tcPr>
          <w:p w14:paraId="6B6FDA1D"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25,4</w:t>
            </w:r>
          </w:p>
        </w:tc>
      </w:tr>
      <w:tr w:rsidR="00E25DA3" w:rsidRPr="00E25DA3" w14:paraId="01EF3393" w14:textId="77777777" w:rsidTr="00E25DA3">
        <w:trPr>
          <w:trHeight w:val="142"/>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160E401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BBCB40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4" w:type="pct"/>
            <w:gridSpan w:val="2"/>
            <w:shd w:val="clear" w:color="auto" w:fill="auto"/>
          </w:tcPr>
          <w:p w14:paraId="515340F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51,6</w:t>
            </w:r>
          </w:p>
        </w:tc>
      </w:tr>
      <w:tr w:rsidR="00E25DA3" w:rsidRPr="00E25DA3" w14:paraId="72578D36" w14:textId="77777777" w:rsidTr="00E25DA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09A2F98"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4039" w:type="pct"/>
            <w:gridSpan w:val="3"/>
            <w:shd w:val="clear" w:color="auto" w:fill="auto"/>
          </w:tcPr>
          <w:p w14:paraId="4620C5F8" w14:textId="77777777" w:rsidR="00E25DA3" w:rsidRPr="00E25DA3" w:rsidRDefault="00E25DA3" w:rsidP="00CA4EC0">
            <w:pPr>
              <w:tabs>
                <w:tab w:val="left" w:pos="1507"/>
                <w:tab w:val="center" w:pos="2363"/>
              </w:tabs>
              <w:cnfStyle w:val="000000100000" w:firstRow="0" w:lastRow="0" w:firstColumn="0" w:lastColumn="0" w:oddVBand="0" w:evenVBand="0" w:oddHBand="1"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KRUS</w:t>
            </w:r>
          </w:p>
        </w:tc>
      </w:tr>
      <w:tr w:rsidR="00E25DA3" w:rsidRPr="00E25DA3" w14:paraId="77B0D1B3" w14:textId="77777777" w:rsidTr="00E25DA3">
        <w:trPr>
          <w:trHeight w:val="81"/>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23D153D2"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308954DD"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Rodzaj świadczenia</w:t>
            </w:r>
          </w:p>
        </w:tc>
        <w:tc>
          <w:tcPr>
            <w:tcW w:w="2694" w:type="pct"/>
            <w:gridSpan w:val="2"/>
            <w:shd w:val="clear" w:color="auto" w:fill="auto"/>
          </w:tcPr>
          <w:p w14:paraId="1F897742" w14:textId="77777777" w:rsidR="00E25DA3" w:rsidRPr="00E25DA3" w:rsidRDefault="00E25DA3" w:rsidP="00CA4EC0">
            <w:pPr>
              <w:jc w:val="center"/>
              <w:cnfStyle w:val="000000000000" w:firstRow="0" w:lastRow="0" w:firstColumn="0" w:lastColumn="0" w:oddVBand="0" w:evenVBand="0" w:oddHBand="0" w:evenHBand="0" w:firstRowFirstColumn="0" w:firstRowLastColumn="0" w:lastRowFirstColumn="0" w:lastRowLastColumn="0"/>
              <w:rPr>
                <w:rFonts w:ascii="Lato" w:hAnsi="Lato" w:cs="Times New Roman"/>
                <w:b/>
                <w:color w:val="auto"/>
                <w:sz w:val="18"/>
                <w:szCs w:val="18"/>
              </w:rPr>
            </w:pPr>
            <w:r w:rsidRPr="00E25DA3">
              <w:rPr>
                <w:rFonts w:ascii="Lato" w:hAnsi="Lato" w:cs="Times New Roman"/>
                <w:b/>
                <w:color w:val="auto"/>
                <w:sz w:val="18"/>
                <w:szCs w:val="18"/>
              </w:rPr>
              <w:t>Przeciętna miesięczna liczba emerytów i rencistów (w tys.)</w:t>
            </w:r>
          </w:p>
        </w:tc>
      </w:tr>
      <w:tr w:rsidR="00E25DA3" w:rsidRPr="00E25DA3" w14:paraId="229461B7"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5569BF1B"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54D54B0B"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Emerytury</w:t>
            </w:r>
          </w:p>
        </w:tc>
        <w:tc>
          <w:tcPr>
            <w:tcW w:w="2694" w:type="pct"/>
            <w:gridSpan w:val="2"/>
            <w:shd w:val="clear" w:color="auto" w:fill="auto"/>
          </w:tcPr>
          <w:p w14:paraId="15ACD5D7"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16,6</w:t>
            </w:r>
          </w:p>
        </w:tc>
      </w:tr>
      <w:tr w:rsidR="00E25DA3" w:rsidRPr="00E25DA3" w14:paraId="2884058D" w14:textId="77777777" w:rsidTr="00E25DA3">
        <w:trPr>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31755D55"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7E8A5407"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z tytułu niezdolności do pracy</w:t>
            </w:r>
          </w:p>
        </w:tc>
        <w:tc>
          <w:tcPr>
            <w:tcW w:w="2694" w:type="pct"/>
            <w:gridSpan w:val="2"/>
            <w:shd w:val="clear" w:color="auto" w:fill="auto"/>
          </w:tcPr>
          <w:p w14:paraId="1BC67BB1" w14:textId="77777777" w:rsidR="00E25DA3" w:rsidRPr="00E25DA3" w:rsidRDefault="00E25DA3" w:rsidP="00CA4EC0">
            <w:pPr>
              <w:cnfStyle w:val="000000000000" w:firstRow="0" w:lastRow="0" w:firstColumn="0" w:lastColumn="0" w:oddVBand="0" w:evenVBand="0" w:oddHBand="0"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3,8</w:t>
            </w:r>
          </w:p>
        </w:tc>
      </w:tr>
      <w:tr w:rsidR="00E25DA3" w:rsidRPr="00E25DA3" w14:paraId="5C5357BA"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61" w:type="pct"/>
            <w:vMerge/>
            <w:shd w:val="clear" w:color="auto" w:fill="auto"/>
          </w:tcPr>
          <w:p w14:paraId="6BD5BA4D" w14:textId="77777777" w:rsidR="00E25DA3" w:rsidRPr="00E25DA3" w:rsidRDefault="00E25DA3" w:rsidP="00CA4EC0">
            <w:pPr>
              <w:rPr>
                <w:rFonts w:ascii="Lato" w:eastAsia="Times New Roman" w:hAnsi="Lato" w:cs="Times New Roman"/>
                <w:b w:val="0"/>
                <w:bCs w:val="0"/>
                <w:color w:val="auto"/>
                <w:sz w:val="18"/>
                <w:szCs w:val="18"/>
                <w:lang w:eastAsia="pl-PL"/>
              </w:rPr>
            </w:pPr>
          </w:p>
        </w:tc>
        <w:tc>
          <w:tcPr>
            <w:tcW w:w="1346" w:type="pct"/>
            <w:shd w:val="clear" w:color="auto" w:fill="auto"/>
          </w:tcPr>
          <w:p w14:paraId="01591224"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Renty rodzinne</w:t>
            </w:r>
          </w:p>
        </w:tc>
        <w:tc>
          <w:tcPr>
            <w:tcW w:w="2694" w:type="pct"/>
            <w:gridSpan w:val="2"/>
            <w:shd w:val="clear" w:color="auto" w:fill="auto"/>
          </w:tcPr>
          <w:p w14:paraId="51198D6C" w14:textId="77777777" w:rsidR="00E25DA3" w:rsidRPr="00E25DA3" w:rsidRDefault="00E25DA3" w:rsidP="00CA4EC0">
            <w:pPr>
              <w:cnfStyle w:val="000000100000" w:firstRow="0" w:lastRow="0" w:firstColumn="0" w:lastColumn="0" w:oddVBand="0" w:evenVBand="0" w:oddHBand="1" w:evenHBand="0" w:firstRowFirstColumn="0" w:firstRowLastColumn="0" w:lastRowFirstColumn="0" w:lastRowLastColumn="0"/>
              <w:rPr>
                <w:rFonts w:ascii="Lato" w:hAnsi="Lato" w:cs="Times New Roman"/>
                <w:color w:val="auto"/>
                <w:sz w:val="18"/>
                <w:szCs w:val="18"/>
              </w:rPr>
            </w:pPr>
            <w:r w:rsidRPr="00E25DA3">
              <w:rPr>
                <w:rFonts w:ascii="Lato" w:hAnsi="Lato" w:cs="Times New Roman"/>
                <w:color w:val="auto"/>
                <w:sz w:val="18"/>
                <w:szCs w:val="18"/>
              </w:rPr>
              <w:t>0,9</w:t>
            </w:r>
          </w:p>
        </w:tc>
      </w:tr>
      <w:tr w:rsidR="00E25DA3" w:rsidRPr="00E25DA3" w14:paraId="755DCB67" w14:textId="77777777" w:rsidTr="0031646A">
        <w:trPr>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EAADB" w:themeFill="accent1" w:themeFillTint="99"/>
          </w:tcPr>
          <w:p w14:paraId="04596AAB" w14:textId="77777777" w:rsidR="00E25DA3" w:rsidRPr="00E25DA3" w:rsidRDefault="00E25DA3" w:rsidP="00CA4EC0">
            <w:pPr>
              <w:jc w:val="center"/>
              <w:rPr>
                <w:rFonts w:ascii="Lato" w:hAnsi="Lato" w:cs="Times New Roman"/>
                <w:color w:val="auto"/>
                <w:sz w:val="18"/>
                <w:szCs w:val="18"/>
              </w:rPr>
            </w:pPr>
            <w:r w:rsidRPr="00E25DA3">
              <w:rPr>
                <w:rFonts w:ascii="Lato" w:hAnsi="Lato" w:cs="Times New Roman"/>
                <w:color w:val="auto"/>
                <w:sz w:val="18"/>
                <w:szCs w:val="18"/>
              </w:rPr>
              <w:t xml:space="preserve">SYTUACJA DOCHODOWA, WARUNKI BYTU, W TYM WARUNKI MIESZKANIOWE – DANE ZA 2022 R. </w:t>
            </w:r>
          </w:p>
        </w:tc>
      </w:tr>
      <w:tr w:rsidR="00E25DA3" w:rsidRPr="00E25DA3" w14:paraId="619AA934" w14:textId="77777777" w:rsidTr="00E25DA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687813C0" w14:textId="3ABFD29E" w:rsidR="00E25DA3" w:rsidRPr="0031646A" w:rsidRDefault="00E25DA3" w:rsidP="0031646A">
            <w:pPr>
              <w:jc w:val="both"/>
              <w:rPr>
                <w:rFonts w:ascii="Lato" w:hAnsi="Lato" w:cs="Times New Roman"/>
                <w:b w:val="0"/>
                <w:bCs w:val="0"/>
                <w:color w:val="auto"/>
                <w:sz w:val="18"/>
                <w:szCs w:val="18"/>
              </w:rPr>
            </w:pPr>
            <w:r w:rsidRPr="00E25DA3">
              <w:rPr>
                <w:rFonts w:ascii="Lato" w:hAnsi="Lato" w:cs="Times New Roman"/>
                <w:b w:val="0"/>
                <w:bCs w:val="0"/>
                <w:color w:val="auto"/>
                <w:sz w:val="18"/>
                <w:szCs w:val="18"/>
              </w:rPr>
              <w:t xml:space="preserve">W 2022 r. w województwie zachodniopomorskim przeciętny miesięczny dochód rozporządzalny przypadający na 1 osobę w gospodarstwach domowych wyniósł 2342,39 zł. Na dochód rozporządzalny gospodarstwa domowego składają się przede wszystkim dochody z pracy najemnej oraz dochody ze świadczeń społecznych. W 2022 r. ich udział w dochodzie rozporządzalnym wyniósł odpowiednio 53,6% i 35,5%. W 2022 r. przeciętne miesięczne wydatki na 1 osobę w gospodarstwach domowych wyniosły 1498,65 zł.  Na żywność i napoje bezalkoholowe gospodarstwa domowe przeznaczały przeciętnie 27,9% ogólnej kwoty wydatków, na opłaty z tytułu użytkowania </w:t>
            </w:r>
            <w:r w:rsidRPr="00E25DA3">
              <w:rPr>
                <w:rFonts w:ascii="Lato" w:hAnsi="Lato" w:cs="Times New Roman"/>
                <w:b w:val="0"/>
                <w:bCs w:val="0"/>
                <w:color w:val="auto"/>
                <w:sz w:val="18"/>
                <w:szCs w:val="18"/>
              </w:rPr>
              <w:lastRenderedPageBreak/>
              <w:t>mieszkania lub domu i za korzystanie z nośników energii - 21,7%, a na zdrowie – 4,4%.</w:t>
            </w:r>
            <w:r w:rsidR="0031646A">
              <w:rPr>
                <w:rFonts w:ascii="Lato" w:hAnsi="Lato" w:cs="Times New Roman"/>
                <w:b w:val="0"/>
                <w:bCs w:val="0"/>
                <w:color w:val="auto"/>
                <w:sz w:val="18"/>
                <w:szCs w:val="18"/>
              </w:rPr>
              <w:t xml:space="preserve"> </w:t>
            </w:r>
            <w:r w:rsidRPr="00E25DA3">
              <w:rPr>
                <w:rFonts w:ascii="Lato" w:hAnsi="Lato" w:cs="Times New Roman"/>
                <w:b w:val="0"/>
                <w:bCs w:val="0"/>
                <w:color w:val="auto"/>
                <w:sz w:val="18"/>
                <w:szCs w:val="18"/>
              </w:rPr>
              <w:t>W 2022 r. swoją sytuację materialną jako dobrą lub raczej dobrą oceniło 45,0% gospodarstw domowych. Udział gospodarstw określających swoją sytuację materialną jako przeciętną wyniósł 47,1%, a raczej złą lub złą ukształtował się na poziomie 7,9%.</w:t>
            </w:r>
            <w:r w:rsidR="0031646A">
              <w:rPr>
                <w:rFonts w:ascii="Lato" w:hAnsi="Lato" w:cs="Times New Roman"/>
                <w:b w:val="0"/>
                <w:bCs w:val="0"/>
                <w:color w:val="auto"/>
                <w:sz w:val="18"/>
                <w:szCs w:val="18"/>
              </w:rPr>
              <w:t xml:space="preserve"> </w:t>
            </w:r>
            <w:r w:rsidRPr="00E25DA3">
              <w:rPr>
                <w:rFonts w:ascii="Lato" w:hAnsi="Lato" w:cs="Times New Roman"/>
                <w:b w:val="0"/>
                <w:bCs w:val="0"/>
                <w:color w:val="auto"/>
                <w:sz w:val="18"/>
                <w:szCs w:val="18"/>
              </w:rPr>
              <w:t>W analizowanym roku przeciętna liczba osób w gospodarstwie domowym ukształtowała się na poziomie 2,27. Przeciętna powierzchnia użytkowa mieszkania zajmowana przez gospodarstwo domowe wyniosła 72,0 m</w:t>
            </w:r>
            <w:r w:rsidRPr="00E25DA3">
              <w:rPr>
                <w:rFonts w:ascii="Lato" w:hAnsi="Lato" w:cs="Times New Roman"/>
                <w:b w:val="0"/>
                <w:bCs w:val="0"/>
                <w:color w:val="auto"/>
                <w:sz w:val="18"/>
                <w:szCs w:val="18"/>
                <w:vertAlign w:val="superscript"/>
              </w:rPr>
              <w:t>2</w:t>
            </w:r>
            <w:r w:rsidRPr="00E25DA3">
              <w:rPr>
                <w:rFonts w:ascii="Lato" w:hAnsi="Lato" w:cs="Times New Roman"/>
                <w:b w:val="0"/>
                <w:bCs w:val="0"/>
                <w:color w:val="auto"/>
                <w:sz w:val="18"/>
                <w:szCs w:val="18"/>
              </w:rPr>
              <w:t>.</w:t>
            </w:r>
          </w:p>
        </w:tc>
      </w:tr>
    </w:tbl>
    <w:p w14:paraId="7E515674" w14:textId="3401DCAE"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lastRenderedPageBreak/>
        <w:t>Źródło: dane GUS</w:t>
      </w:r>
    </w:p>
    <w:p w14:paraId="116E9688"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 xml:space="preserve">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 związku z wdrożeniem w Badaniu Aktywności Ekonomicznej Ludności zmian metodologicznych, dane BAEL od 2021 r. nie mogą być porównywane z poprzednimi okresami. </w:t>
      </w:r>
    </w:p>
    <w:p w14:paraId="5A919295" w14:textId="77777777" w:rsidR="00E25DA3" w:rsidRPr="002A7F1A" w:rsidRDefault="00E25DA3" w:rsidP="00E25DA3">
      <w:pPr>
        <w:spacing w:after="0" w:line="240" w:lineRule="auto"/>
        <w:jc w:val="both"/>
        <w:rPr>
          <w:rFonts w:ascii="Lato" w:hAnsi="Lato" w:cs="Times New Roman"/>
          <w:sz w:val="16"/>
          <w:szCs w:val="16"/>
        </w:rPr>
      </w:pPr>
      <w:r w:rsidRPr="002A7F1A">
        <w:rPr>
          <w:rFonts w:ascii="Lato" w:hAnsi="Lato" w:cs="Times New Roman"/>
          <w:sz w:val="16"/>
          <w:szCs w:val="16"/>
        </w:rPr>
        <w:t>2) Według ustawy o promocji zatrudnienia i instytucjach rynku pracy, jako bezrobotne mogą być zarejestrowane osoby w wieku: kobiety 18-59 lat, mężczyźni 18-64 lata.</w:t>
      </w:r>
    </w:p>
    <w:p w14:paraId="1DB13A4B" w14:textId="77777777" w:rsidR="00E25DA3" w:rsidRPr="002A7F1A" w:rsidRDefault="00E25DA3" w:rsidP="00E25DA3">
      <w:pPr>
        <w:rPr>
          <w:rFonts w:ascii="Lato" w:hAnsi="Lato"/>
          <w:sz w:val="16"/>
          <w:szCs w:val="16"/>
        </w:rPr>
      </w:pPr>
      <w:r w:rsidRPr="002A7F1A">
        <w:rPr>
          <w:rFonts w:ascii="Lato" w:hAnsi="Lato" w:cs="Times New Roman"/>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59197FC7" w14:textId="331612C2" w:rsidR="00E25DA3" w:rsidRDefault="00E25DA3" w:rsidP="00E25DA3">
      <w:pPr>
        <w:tabs>
          <w:tab w:val="left" w:pos="6600"/>
        </w:tabs>
      </w:pPr>
    </w:p>
    <w:p w14:paraId="79E6189F" w14:textId="4247E683" w:rsidR="00E25DA3" w:rsidRPr="00E25DA3" w:rsidRDefault="00E25DA3" w:rsidP="00E25DA3">
      <w:pPr>
        <w:tabs>
          <w:tab w:val="left" w:pos="6600"/>
        </w:tabs>
        <w:sectPr w:rsidR="00E25DA3" w:rsidRPr="00E25DA3" w:rsidSect="00A96D8C">
          <w:pgSz w:w="11906" w:h="16838"/>
          <w:pgMar w:top="1417" w:right="1417" w:bottom="1417" w:left="1417" w:header="708" w:footer="708" w:gutter="0"/>
          <w:cols w:space="708"/>
          <w:docGrid w:linePitch="360"/>
        </w:sectPr>
      </w:pPr>
      <w:r>
        <w:tab/>
      </w:r>
    </w:p>
    <w:p w14:paraId="090FA868" w14:textId="7ABC5237" w:rsidR="00586D97" w:rsidRDefault="00586D97" w:rsidP="00B73AF7">
      <w:pPr>
        <w:pStyle w:val="Nagwek1"/>
        <w:numPr>
          <w:ilvl w:val="0"/>
          <w:numId w:val="44"/>
        </w:numPr>
      </w:pPr>
      <w:bookmarkStart w:id="185" w:name="_Toc142565964"/>
      <w:r>
        <w:lastRenderedPageBreak/>
        <w:t>Sprawozdanie z realizacji działań zaplanowanych w dokumencie Polityka społeczna wobec osób starszych 2030. Bezpieczeństwo-Uczestnictwo-Solidarność</w:t>
      </w:r>
      <w:bookmarkEnd w:id="185"/>
    </w:p>
    <w:p w14:paraId="4C29F22D" w14:textId="77777777" w:rsidR="00EC35A7" w:rsidRDefault="00EC35A7" w:rsidP="00EC35A7">
      <w:pPr>
        <w:spacing w:after="0" w:line="240" w:lineRule="auto"/>
        <w:rPr>
          <w:rFonts w:ascii="Lato" w:hAnsi="Lato" w:cs="Times New Roman"/>
          <w:color w:val="000000"/>
          <w:sz w:val="20"/>
          <w:szCs w:val="20"/>
        </w:rPr>
      </w:pPr>
    </w:p>
    <w:p w14:paraId="76EC4DC0" w14:textId="579A0E78" w:rsidR="00EC35A7" w:rsidRPr="00EC35A7" w:rsidRDefault="00EC35A7" w:rsidP="008C67C9">
      <w:pPr>
        <w:spacing w:after="0" w:line="240" w:lineRule="auto"/>
        <w:jc w:val="both"/>
        <w:rPr>
          <w:rFonts w:ascii="Lato" w:hAnsi="Lato" w:cs="Times New Roman"/>
          <w:bCs/>
          <w:sz w:val="20"/>
          <w:szCs w:val="20"/>
        </w:rPr>
      </w:pPr>
      <w:r w:rsidRPr="00EC35A7">
        <w:rPr>
          <w:rFonts w:ascii="Lato" w:hAnsi="Lato" w:cs="Times New Roman"/>
          <w:color w:val="000000"/>
          <w:sz w:val="20"/>
          <w:szCs w:val="20"/>
        </w:rPr>
        <w:t xml:space="preserve">W dniu </w:t>
      </w:r>
      <w:r w:rsidRPr="00EC35A7">
        <w:rPr>
          <w:rFonts w:ascii="Lato" w:eastAsia="MS Mincho" w:hAnsi="Lato" w:cs="Times New Roman"/>
          <w:sz w:val="20"/>
          <w:szCs w:val="20"/>
          <w:lang w:eastAsia="ja-JP"/>
        </w:rPr>
        <w:t xml:space="preserve">26 października 2018 r. </w:t>
      </w:r>
      <w:r w:rsidRPr="00EC35A7">
        <w:rPr>
          <w:rFonts w:ascii="Lato" w:hAnsi="Lato" w:cs="Times New Roman"/>
          <w:color w:val="000000"/>
          <w:sz w:val="20"/>
          <w:szCs w:val="20"/>
        </w:rPr>
        <w:t>Rada Ministrów przyjęła dokument, który powstał by określić</w:t>
      </w:r>
      <w:r w:rsidRPr="00EC35A7">
        <w:rPr>
          <w:rFonts w:ascii="Lato" w:hAnsi="Lato" w:cs="Times New Roman"/>
          <w:bCs/>
          <w:sz w:val="20"/>
          <w:szCs w:val="20"/>
        </w:rPr>
        <w:t xml:space="preserve"> najważniejsze kierunki polityki senioralnej w nadchodzących latach oraz uporządkować działania instytucji publicznych w Polsce. </w:t>
      </w:r>
    </w:p>
    <w:p w14:paraId="37E71D71" w14:textId="77777777" w:rsidR="00EC35A7" w:rsidRDefault="00EC35A7" w:rsidP="008C67C9">
      <w:pPr>
        <w:spacing w:after="0" w:line="240" w:lineRule="auto"/>
        <w:jc w:val="both"/>
        <w:rPr>
          <w:rFonts w:ascii="Lato" w:hAnsi="Lato" w:cs="Times New Roman"/>
          <w:sz w:val="20"/>
          <w:szCs w:val="20"/>
        </w:rPr>
      </w:pPr>
    </w:p>
    <w:p w14:paraId="626FC8B1" w14:textId="374A4934" w:rsidR="00EC35A7" w:rsidRPr="00EC35A7" w:rsidRDefault="00EC35A7" w:rsidP="008C67C9">
      <w:pPr>
        <w:spacing w:after="0" w:line="240" w:lineRule="auto"/>
        <w:jc w:val="both"/>
        <w:rPr>
          <w:rFonts w:ascii="Lato" w:hAnsi="Lato" w:cs="Times New Roman"/>
          <w:sz w:val="20"/>
          <w:szCs w:val="20"/>
        </w:rPr>
      </w:pPr>
      <w:r w:rsidRPr="00EC35A7">
        <w:rPr>
          <w:rFonts w:ascii="Lato" w:hAnsi="Lato" w:cs="Times New Roman"/>
          <w:sz w:val="20"/>
          <w:szCs w:val="20"/>
        </w:rPr>
        <w:t xml:space="preserve">Dokument uwzględnia wdrożenie szeregu rozwiązań między innymi w zakresie bezpieczeństwa, zdrowia, przeciwdziałania samotności, aktywnego uczestnictwa w życiu społecznym, a także potrzeby dostosowania infrastruktury do potrzeb i możliwości osób starszych. </w:t>
      </w:r>
    </w:p>
    <w:p w14:paraId="088C89A2" w14:textId="77777777" w:rsidR="00EC35A7" w:rsidRDefault="00EC35A7" w:rsidP="008C67C9">
      <w:pPr>
        <w:spacing w:after="0" w:line="240" w:lineRule="auto"/>
        <w:jc w:val="both"/>
        <w:rPr>
          <w:rFonts w:ascii="Lato" w:hAnsi="Lato" w:cs="Times New Roman"/>
          <w:sz w:val="20"/>
          <w:szCs w:val="20"/>
        </w:rPr>
      </w:pPr>
    </w:p>
    <w:p w14:paraId="75731792" w14:textId="386151D1" w:rsidR="00EC35A7" w:rsidRPr="00EC35A7" w:rsidRDefault="00EC35A7" w:rsidP="008C67C9">
      <w:pPr>
        <w:spacing w:after="0" w:line="240" w:lineRule="auto"/>
        <w:jc w:val="both"/>
        <w:rPr>
          <w:rFonts w:ascii="Lato" w:hAnsi="Lato" w:cs="Times New Roman"/>
          <w:sz w:val="20"/>
          <w:szCs w:val="20"/>
        </w:rPr>
      </w:pPr>
      <w:r w:rsidRPr="00EC35A7">
        <w:rPr>
          <w:rFonts w:ascii="Lato" w:hAnsi="Lato" w:cs="Times New Roman"/>
          <w:sz w:val="20"/>
          <w:szCs w:val="20"/>
        </w:rPr>
        <w:t xml:space="preserve">Planowane działania zostały ujęte w 7 obszarach </w:t>
      </w:r>
      <w:r w:rsidRPr="00EC35A7">
        <w:rPr>
          <w:rFonts w:ascii="Lato" w:hAnsi="Lato" w:cs="Times New Roman"/>
          <w:bCs/>
          <w:sz w:val="20"/>
          <w:szCs w:val="20"/>
        </w:rPr>
        <w:t xml:space="preserve">polityki społecznej dotyczących ogółu osób starszych oraz 4 obszarach działań skierowanych bezpośrednio do niesamodzielnych osób starszych i ich opiekunów. </w:t>
      </w:r>
    </w:p>
    <w:p w14:paraId="23ADA4DA" w14:textId="77777777" w:rsidR="00EC35A7" w:rsidRDefault="00EC35A7" w:rsidP="008C67C9">
      <w:pPr>
        <w:spacing w:after="0" w:line="240" w:lineRule="auto"/>
        <w:jc w:val="both"/>
        <w:rPr>
          <w:rFonts w:ascii="Lato" w:hAnsi="Lato" w:cs="Times New Roman"/>
          <w:sz w:val="20"/>
          <w:szCs w:val="20"/>
        </w:rPr>
      </w:pPr>
    </w:p>
    <w:p w14:paraId="6E01C29E" w14:textId="693AF129" w:rsidR="00D90DAC" w:rsidRDefault="00EC35A7" w:rsidP="008C67C9">
      <w:pPr>
        <w:spacing w:after="0" w:line="240" w:lineRule="auto"/>
        <w:jc w:val="both"/>
        <w:rPr>
          <w:rFonts w:ascii="Lato" w:hAnsi="Lato" w:cs="Times New Roman"/>
          <w:sz w:val="20"/>
          <w:szCs w:val="20"/>
        </w:rPr>
      </w:pPr>
      <w:r w:rsidRPr="00EC35A7">
        <w:rPr>
          <w:rFonts w:ascii="Lato" w:hAnsi="Lato" w:cs="Times New Roman"/>
          <w:sz w:val="20"/>
          <w:szCs w:val="20"/>
        </w:rPr>
        <w:t xml:space="preserve">Efekty z realizacji działań zawartych w przedmiotowym dokumencie podlegają ocenie w ramach kolejnych edycji dokumentu pt. </w:t>
      </w:r>
      <w:r w:rsidRPr="00EC35A7">
        <w:rPr>
          <w:rFonts w:ascii="Lato" w:hAnsi="Lato" w:cs="Times New Roman"/>
          <w:i/>
          <w:sz w:val="20"/>
          <w:szCs w:val="20"/>
        </w:rPr>
        <w:t xml:space="preserve">Informacja o sytuacji osób starszych w Polsce </w:t>
      </w:r>
      <w:r w:rsidRPr="00EC35A7">
        <w:rPr>
          <w:rFonts w:ascii="Lato" w:hAnsi="Lato" w:cs="Times New Roman"/>
          <w:sz w:val="20"/>
          <w:szCs w:val="20"/>
        </w:rPr>
        <w:t>za rok ubiegły</w:t>
      </w:r>
      <w:r w:rsidRPr="00EC35A7">
        <w:rPr>
          <w:rFonts w:ascii="Lato" w:hAnsi="Lato" w:cs="Times New Roman"/>
          <w:i/>
          <w:sz w:val="20"/>
          <w:szCs w:val="20"/>
        </w:rPr>
        <w:t xml:space="preserve">, </w:t>
      </w:r>
      <w:r w:rsidRPr="00EC35A7">
        <w:rPr>
          <w:rFonts w:ascii="Lato" w:hAnsi="Lato" w:cs="Times New Roman"/>
          <w:sz w:val="20"/>
          <w:szCs w:val="20"/>
        </w:rPr>
        <w:t>opracowywanej przez Departament Polityki Senioralnej.</w:t>
      </w:r>
      <w:r w:rsidRPr="00EC35A7">
        <w:rPr>
          <w:rFonts w:ascii="Lato" w:hAnsi="Lato" w:cs="Times New Roman"/>
          <w:i/>
          <w:sz w:val="20"/>
          <w:szCs w:val="20"/>
        </w:rPr>
        <w:t xml:space="preserve"> </w:t>
      </w:r>
      <w:r w:rsidRPr="00EC35A7">
        <w:rPr>
          <w:rFonts w:ascii="Lato" w:hAnsi="Lato" w:cs="Times New Roman"/>
          <w:sz w:val="20"/>
          <w:szCs w:val="20"/>
        </w:rPr>
        <w:t>W związku z powyższym, podmioty odpowiedzialne za realizację poszczególnych działań zobowiązane są do zebrania oraz przedstawienia informacji w tym zakresie.</w:t>
      </w:r>
    </w:p>
    <w:p w14:paraId="15429B79" w14:textId="77777777" w:rsidR="00D90DAC" w:rsidRDefault="00D90DAC" w:rsidP="008C67C9">
      <w:pPr>
        <w:spacing w:after="0" w:line="240" w:lineRule="auto"/>
        <w:jc w:val="both"/>
        <w:rPr>
          <w:rFonts w:ascii="Lato" w:hAnsi="Lato" w:cs="Times New Roman"/>
          <w:sz w:val="20"/>
          <w:szCs w:val="20"/>
        </w:rPr>
      </w:pPr>
    </w:p>
    <w:p w14:paraId="6A235830" w14:textId="77777777" w:rsidR="00D90DAC" w:rsidRPr="00D90DAC" w:rsidRDefault="00D90DAC" w:rsidP="008C67C9">
      <w:pPr>
        <w:spacing w:after="0" w:line="240" w:lineRule="auto"/>
        <w:jc w:val="both"/>
        <w:rPr>
          <w:rFonts w:ascii="Lato" w:hAnsi="Lato" w:cs="Times New Roman"/>
          <w:b/>
          <w:bCs/>
          <w:sz w:val="20"/>
          <w:szCs w:val="20"/>
        </w:rPr>
      </w:pPr>
      <w:r w:rsidRPr="00D90DAC">
        <w:rPr>
          <w:rFonts w:ascii="Lato" w:hAnsi="Lato" w:cs="Times New Roman"/>
          <w:b/>
          <w:bCs/>
          <w:sz w:val="20"/>
          <w:szCs w:val="20"/>
        </w:rPr>
        <w:t>Obszary uwzględniające działania wobec ogółu osób starszych:</w:t>
      </w:r>
    </w:p>
    <w:p w14:paraId="6548D2AB" w14:textId="682D0127"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Kształtowanie pozytywnego postrzegania starości w społeczeństwie;</w:t>
      </w:r>
    </w:p>
    <w:p w14:paraId="5FDA6509" w14:textId="6BC00B0C"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Uczestnictwo w życiu społecznym oraz wspieranie wszelkich form aktywności obywatelskiej, społecznej, kulturalnej, artystycznej, sportowej i religijnej;</w:t>
      </w:r>
    </w:p>
    <w:p w14:paraId="0707B872" w14:textId="79FB89A7"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Tworzenie warunków umożliwiających wykorzystanie potencjału osób starszych jako aktywnych uczestników życia gospodarczego i rynku pracy, dostosowanych do ich możliwości psychofizycznych oraz sytuacji rodzinnej;</w:t>
      </w:r>
    </w:p>
    <w:p w14:paraId="57C2A0BC" w14:textId="271EF3E1"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Promocja zdrowia, profilaktyka chorób, dostęp do diagnostyki, leczenia i rehabilitacji</w:t>
      </w:r>
      <w:r>
        <w:rPr>
          <w:rFonts w:ascii="Lato" w:hAnsi="Lato" w:cs="Times New Roman"/>
          <w:sz w:val="20"/>
          <w:szCs w:val="20"/>
        </w:rPr>
        <w:t>;</w:t>
      </w:r>
    </w:p>
    <w:p w14:paraId="55E80A76" w14:textId="40885E3E"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Zwiększanie bezpieczeństwa fizycznego – przeciwdziałanie przemocy i zaniedbaniom wobec osób starszych;</w:t>
      </w:r>
    </w:p>
    <w:p w14:paraId="4DBCF2FF" w14:textId="2707CB44"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Pr>
          <w:rFonts w:ascii="Lato" w:hAnsi="Lato" w:cs="Times New Roman"/>
          <w:sz w:val="20"/>
          <w:szCs w:val="20"/>
        </w:rPr>
        <w:t>Tworzenie warunków do solidarności i integracji międzypokoleniowej;</w:t>
      </w:r>
    </w:p>
    <w:p w14:paraId="52986CF4" w14:textId="77777777" w:rsidR="00D90DAC" w:rsidRPr="00D90DAC" w:rsidRDefault="00D90DAC" w:rsidP="008C67C9">
      <w:pPr>
        <w:pStyle w:val="Akapitzlist"/>
        <w:numPr>
          <w:ilvl w:val="0"/>
          <w:numId w:val="3"/>
        </w:numPr>
        <w:spacing w:after="0" w:line="240" w:lineRule="auto"/>
        <w:jc w:val="both"/>
        <w:rPr>
          <w:rFonts w:ascii="Lato" w:hAnsi="Lato" w:cs="Times New Roman"/>
          <w:sz w:val="20"/>
          <w:szCs w:val="20"/>
        </w:rPr>
      </w:pPr>
      <w:r w:rsidRPr="00D90DAC">
        <w:rPr>
          <w:rFonts w:ascii="Lato" w:hAnsi="Lato" w:cs="Times New Roman"/>
          <w:sz w:val="20"/>
          <w:szCs w:val="20"/>
        </w:rPr>
        <w:t>Działania na rzecz edukacji dla starości (kadry opiekuńcze i medyczne), do starości (całe społeczeństwo), przez starość (od najmłodszego pokolenia) oraz edukacja w starości (osoby starsze).</w:t>
      </w:r>
    </w:p>
    <w:p w14:paraId="19148CBB" w14:textId="77777777" w:rsidR="00D90DAC" w:rsidRPr="00D90DAC" w:rsidRDefault="00D90DAC" w:rsidP="008C67C9">
      <w:pPr>
        <w:spacing w:after="0" w:line="240" w:lineRule="auto"/>
        <w:jc w:val="both"/>
        <w:rPr>
          <w:rFonts w:ascii="Lato" w:hAnsi="Lato" w:cs="Times New Roman"/>
          <w:sz w:val="20"/>
          <w:szCs w:val="20"/>
        </w:rPr>
      </w:pPr>
    </w:p>
    <w:p w14:paraId="446799D5" w14:textId="77777777" w:rsidR="00D90DAC" w:rsidRPr="00D90DAC" w:rsidRDefault="00D90DAC" w:rsidP="008C67C9">
      <w:pPr>
        <w:spacing w:after="0" w:line="240" w:lineRule="auto"/>
        <w:jc w:val="both"/>
        <w:rPr>
          <w:rFonts w:ascii="Lato" w:hAnsi="Lato" w:cs="Times New Roman"/>
          <w:b/>
          <w:bCs/>
          <w:sz w:val="20"/>
          <w:szCs w:val="20"/>
        </w:rPr>
      </w:pPr>
      <w:r w:rsidRPr="00D90DAC">
        <w:rPr>
          <w:rFonts w:ascii="Lato" w:hAnsi="Lato" w:cs="Times New Roman"/>
          <w:b/>
          <w:bCs/>
          <w:sz w:val="20"/>
          <w:szCs w:val="20"/>
        </w:rPr>
        <w:t>Obszary uwzględniające działania wobec niesamodzielnych osób starszych:</w:t>
      </w:r>
    </w:p>
    <w:p w14:paraId="3AEA6A07" w14:textId="50527747" w:rsidR="00D90DAC" w:rsidRPr="00D90DAC" w:rsidRDefault="00D90DAC" w:rsidP="008C67C9">
      <w:pPr>
        <w:pStyle w:val="Akapitzlist"/>
        <w:numPr>
          <w:ilvl w:val="0"/>
          <w:numId w:val="4"/>
        </w:numPr>
        <w:spacing w:after="0" w:line="240" w:lineRule="auto"/>
        <w:jc w:val="both"/>
        <w:rPr>
          <w:rFonts w:ascii="Lato" w:hAnsi="Lato" w:cs="Times New Roman"/>
          <w:sz w:val="20"/>
          <w:szCs w:val="20"/>
        </w:rPr>
      </w:pPr>
      <w:r w:rsidRPr="00D90DAC">
        <w:rPr>
          <w:rFonts w:ascii="Lato" w:hAnsi="Lato" w:cs="Times New Roman"/>
          <w:sz w:val="20"/>
          <w:szCs w:val="20"/>
        </w:rPr>
        <w:t>Zmniejszanie skali zależności od innych poprzez ułatwienie dostępu do usług wzmacniających samodzielność oraz dostosowanie środowiska zamieszkania do możliwości funkcjonalnych niesamodzielnych osób starszych;</w:t>
      </w:r>
    </w:p>
    <w:p w14:paraId="7C1DCA5E" w14:textId="252D9053" w:rsidR="00D90DAC" w:rsidRPr="00D90DAC" w:rsidRDefault="00D90DAC" w:rsidP="008C67C9">
      <w:pPr>
        <w:pStyle w:val="Akapitzlist"/>
        <w:numPr>
          <w:ilvl w:val="0"/>
          <w:numId w:val="4"/>
        </w:numPr>
        <w:spacing w:after="0" w:line="240" w:lineRule="auto"/>
        <w:jc w:val="both"/>
        <w:rPr>
          <w:rFonts w:ascii="Lato" w:hAnsi="Lato" w:cs="Times New Roman"/>
          <w:sz w:val="20"/>
          <w:szCs w:val="20"/>
        </w:rPr>
      </w:pPr>
      <w:r w:rsidRPr="00D90DAC">
        <w:rPr>
          <w:rFonts w:ascii="Lato" w:hAnsi="Lato" w:cs="Times New Roman"/>
          <w:sz w:val="20"/>
          <w:szCs w:val="20"/>
        </w:rPr>
        <w:t>Zapewnienie optymalnego dostępu do usług zdrowotnych, rehabilitacyjnych i opiekuńczo–pielęgnacyjnych dostosowanych do potrzeb niesamodzielnych osób starszych;</w:t>
      </w:r>
    </w:p>
    <w:p w14:paraId="60EC52D5" w14:textId="2F7243D9" w:rsidR="00D90DAC" w:rsidRPr="00D90DAC" w:rsidRDefault="00D90DAC" w:rsidP="008C67C9">
      <w:pPr>
        <w:pStyle w:val="Akapitzlist"/>
        <w:numPr>
          <w:ilvl w:val="0"/>
          <w:numId w:val="4"/>
        </w:numPr>
        <w:spacing w:after="0" w:line="240" w:lineRule="auto"/>
        <w:jc w:val="both"/>
        <w:rPr>
          <w:rFonts w:ascii="Lato" w:hAnsi="Lato" w:cs="Times New Roman"/>
          <w:sz w:val="20"/>
          <w:szCs w:val="20"/>
        </w:rPr>
      </w:pPr>
      <w:r w:rsidRPr="00D90DAC">
        <w:rPr>
          <w:rFonts w:ascii="Lato" w:hAnsi="Lato" w:cs="Times New Roman"/>
          <w:sz w:val="20"/>
          <w:szCs w:val="20"/>
        </w:rPr>
        <w:t xml:space="preserve">Sieć usług środowiskowych i instytucjonalnych udzielanych niesamodzielnym osobom starszym; </w:t>
      </w:r>
    </w:p>
    <w:p w14:paraId="042A1447" w14:textId="77777777" w:rsidR="00D90DAC" w:rsidRDefault="00D90DAC" w:rsidP="008C67C9">
      <w:pPr>
        <w:pStyle w:val="Akapitzlist"/>
        <w:numPr>
          <w:ilvl w:val="0"/>
          <w:numId w:val="4"/>
        </w:numPr>
        <w:spacing w:after="0" w:line="240" w:lineRule="auto"/>
        <w:jc w:val="both"/>
        <w:rPr>
          <w:rFonts w:ascii="Lato" w:hAnsi="Lato" w:cs="Times New Roman"/>
          <w:sz w:val="20"/>
          <w:szCs w:val="20"/>
        </w:rPr>
      </w:pPr>
      <w:r w:rsidRPr="00D90DAC">
        <w:rPr>
          <w:rFonts w:ascii="Lato" w:hAnsi="Lato" w:cs="Times New Roman"/>
          <w:sz w:val="20"/>
          <w:szCs w:val="20"/>
        </w:rPr>
        <w:t>System wsparcia nieformalnych opiekunów niesamodzielnych osób starszych przez instytucje publiczne.</w:t>
      </w:r>
    </w:p>
    <w:p w14:paraId="2A973FC2" w14:textId="77777777" w:rsidR="003C25C5" w:rsidRDefault="003C25C5" w:rsidP="00B73AF7">
      <w:pPr>
        <w:pStyle w:val="Akapitzlist"/>
        <w:numPr>
          <w:ilvl w:val="0"/>
          <w:numId w:val="4"/>
        </w:numPr>
        <w:spacing w:after="0" w:line="240" w:lineRule="auto"/>
        <w:rPr>
          <w:rFonts w:ascii="Lato" w:hAnsi="Lato" w:cs="Times New Roman"/>
          <w:sz w:val="20"/>
          <w:szCs w:val="20"/>
        </w:rPr>
        <w:sectPr w:rsidR="003C25C5" w:rsidSect="00A96D8C">
          <w:pgSz w:w="11906" w:h="16838"/>
          <w:pgMar w:top="1417" w:right="1417" w:bottom="1417" w:left="1417" w:header="708" w:footer="708" w:gutter="0"/>
          <w:cols w:space="708"/>
          <w:docGrid w:linePitch="360"/>
        </w:sectPr>
      </w:pPr>
    </w:p>
    <w:tbl>
      <w:tblPr>
        <w:tblpPr w:leftFromText="142" w:rightFromText="142" w:vertAnchor="text" w:tblpXSpec="center" w:tblpY="1"/>
        <w:tblW w:w="13996" w:type="dxa"/>
        <w:tblBorders>
          <w:top w:val="single" w:sz="12" w:space="0" w:color="8496B0" w:themeColor="text2" w:themeTint="99"/>
          <w:left w:val="single" w:sz="12" w:space="0" w:color="8496B0" w:themeColor="text2" w:themeTint="99"/>
          <w:bottom w:val="single" w:sz="12" w:space="0" w:color="8496B0" w:themeColor="text2" w:themeTint="99"/>
          <w:right w:val="single" w:sz="12" w:space="0" w:color="8496B0" w:themeColor="text2" w:themeTint="99"/>
          <w:insideH w:val="single" w:sz="12" w:space="0" w:color="8496B0" w:themeColor="text2" w:themeTint="99"/>
          <w:insideV w:val="single" w:sz="12" w:space="0" w:color="8496B0" w:themeColor="text2" w:themeTint="99"/>
        </w:tblBorders>
        <w:shd w:val="clear" w:color="auto" w:fill="FFFFFF" w:themeFill="background1"/>
        <w:tblLayout w:type="fixed"/>
        <w:tblLook w:val="04A0" w:firstRow="1" w:lastRow="0" w:firstColumn="1" w:lastColumn="0" w:noHBand="0" w:noVBand="1"/>
      </w:tblPr>
      <w:tblGrid>
        <w:gridCol w:w="1232"/>
        <w:gridCol w:w="3594"/>
        <w:gridCol w:w="2032"/>
        <w:gridCol w:w="1500"/>
        <w:gridCol w:w="5638"/>
      </w:tblGrid>
      <w:tr w:rsidR="00C97BE2" w:rsidRPr="005911C6" w14:paraId="41013C0F" w14:textId="77777777" w:rsidTr="008C67C9">
        <w:trPr>
          <w:trHeight w:val="416"/>
        </w:trPr>
        <w:tc>
          <w:tcPr>
            <w:tcW w:w="13996" w:type="dxa"/>
            <w:gridSpan w:val="5"/>
            <w:shd w:val="clear" w:color="auto" w:fill="8EAADB" w:themeFill="accent1" w:themeFillTint="99"/>
          </w:tcPr>
          <w:p w14:paraId="2C4FB71D" w14:textId="77777777" w:rsidR="00AD5F16" w:rsidRPr="005911C6" w:rsidRDefault="00AD5F16" w:rsidP="005911C6">
            <w:pPr>
              <w:spacing w:after="0" w:line="240" w:lineRule="auto"/>
              <w:jc w:val="center"/>
              <w:rPr>
                <w:rFonts w:ascii="Lato" w:hAnsi="Lato" w:cs="Times New Roman"/>
                <w:b/>
                <w:bCs/>
                <w:sz w:val="18"/>
                <w:szCs w:val="18"/>
              </w:rPr>
            </w:pPr>
          </w:p>
          <w:p w14:paraId="5F685F62" w14:textId="5C9DC9B3" w:rsidR="003C25C5" w:rsidRPr="005911C6" w:rsidRDefault="00CC07E6" w:rsidP="005911C6">
            <w:pPr>
              <w:spacing w:after="0" w:line="240" w:lineRule="auto"/>
              <w:jc w:val="center"/>
              <w:rPr>
                <w:rFonts w:ascii="Lato" w:hAnsi="Lato" w:cs="Times New Roman"/>
                <w:b/>
                <w:bCs/>
                <w:sz w:val="18"/>
                <w:szCs w:val="18"/>
              </w:rPr>
            </w:pPr>
            <w:r w:rsidRPr="005911C6">
              <w:rPr>
                <w:rFonts w:ascii="Lato" w:hAnsi="Lato" w:cs="Times New Roman"/>
                <w:b/>
                <w:bCs/>
                <w:sz w:val="18"/>
                <w:szCs w:val="18"/>
              </w:rPr>
              <w:t>POLITYKA SPOŁECZNA WOBEC OSÓB STARSZYCH 2030. BEZPIECZEŃŚTWO-UCZESTNICTWO-SOLIDARNOŚĆ</w:t>
            </w:r>
          </w:p>
          <w:p w14:paraId="496BA0B6" w14:textId="55AE7933" w:rsidR="00AD5F16" w:rsidRPr="005911C6" w:rsidRDefault="003C25C5" w:rsidP="005911C6">
            <w:pPr>
              <w:spacing w:after="0" w:line="240" w:lineRule="auto"/>
              <w:jc w:val="center"/>
              <w:rPr>
                <w:rFonts w:ascii="Lato" w:hAnsi="Lato" w:cs="Times New Roman"/>
                <w:b/>
                <w:bCs/>
                <w:sz w:val="18"/>
                <w:szCs w:val="18"/>
              </w:rPr>
            </w:pPr>
            <w:r w:rsidRPr="005911C6">
              <w:rPr>
                <w:rFonts w:ascii="Lato" w:hAnsi="Lato" w:cs="Times New Roman"/>
                <w:b/>
                <w:bCs/>
                <w:sz w:val="18"/>
                <w:szCs w:val="18"/>
              </w:rPr>
              <w:t>SPRAWOZDANIE Z REALIZACJI DZIAŁAŃ W 2022 R.</w:t>
            </w:r>
          </w:p>
        </w:tc>
      </w:tr>
      <w:tr w:rsidR="003C25C5" w:rsidRPr="005911C6" w14:paraId="7EFB4F23" w14:textId="77777777" w:rsidTr="008C67C9">
        <w:tc>
          <w:tcPr>
            <w:tcW w:w="1232" w:type="dxa"/>
            <w:shd w:val="clear" w:color="auto" w:fill="8EAADB" w:themeFill="accent1" w:themeFillTint="99"/>
          </w:tcPr>
          <w:p w14:paraId="6769F266" w14:textId="77777777" w:rsidR="003C25C5" w:rsidRPr="005911C6" w:rsidRDefault="003C25C5" w:rsidP="005911C6">
            <w:pPr>
              <w:spacing w:after="0" w:line="240" w:lineRule="auto"/>
              <w:jc w:val="center"/>
              <w:rPr>
                <w:rFonts w:ascii="Lato" w:hAnsi="Lato" w:cs="Times New Roman"/>
                <w:sz w:val="18"/>
                <w:szCs w:val="18"/>
              </w:rPr>
            </w:pPr>
            <w:r w:rsidRPr="005911C6">
              <w:rPr>
                <w:rFonts w:ascii="Lato" w:hAnsi="Lato" w:cs="Times New Roman"/>
                <w:sz w:val="18"/>
                <w:szCs w:val="18"/>
              </w:rPr>
              <w:t>Obszar działań</w:t>
            </w:r>
          </w:p>
        </w:tc>
        <w:tc>
          <w:tcPr>
            <w:tcW w:w="3594" w:type="dxa"/>
            <w:shd w:val="clear" w:color="auto" w:fill="8EAADB" w:themeFill="accent1" w:themeFillTint="99"/>
          </w:tcPr>
          <w:p w14:paraId="668522EC" w14:textId="77777777" w:rsidR="003C25C5" w:rsidRPr="005911C6" w:rsidRDefault="003C25C5" w:rsidP="005911C6">
            <w:pPr>
              <w:spacing w:after="0" w:line="240" w:lineRule="auto"/>
              <w:jc w:val="center"/>
              <w:rPr>
                <w:rFonts w:ascii="Lato" w:hAnsi="Lato" w:cs="Times New Roman"/>
                <w:b/>
                <w:sz w:val="18"/>
                <w:szCs w:val="18"/>
              </w:rPr>
            </w:pPr>
            <w:r w:rsidRPr="005911C6">
              <w:rPr>
                <w:rFonts w:ascii="Lato" w:hAnsi="Lato" w:cs="Times New Roman"/>
                <w:b/>
                <w:sz w:val="18"/>
                <w:szCs w:val="18"/>
              </w:rPr>
              <w:t>Działanie szczegółowe</w:t>
            </w:r>
          </w:p>
        </w:tc>
        <w:tc>
          <w:tcPr>
            <w:tcW w:w="2032" w:type="dxa"/>
            <w:shd w:val="clear" w:color="auto" w:fill="8EAADB" w:themeFill="accent1" w:themeFillTint="99"/>
          </w:tcPr>
          <w:p w14:paraId="1C9998D8" w14:textId="77777777" w:rsidR="003C25C5" w:rsidRPr="005911C6" w:rsidRDefault="003C25C5" w:rsidP="005911C6">
            <w:pPr>
              <w:spacing w:after="0" w:line="240" w:lineRule="auto"/>
              <w:jc w:val="center"/>
              <w:rPr>
                <w:rFonts w:ascii="Lato" w:hAnsi="Lato" w:cs="Times New Roman"/>
                <w:b/>
                <w:sz w:val="18"/>
                <w:szCs w:val="18"/>
              </w:rPr>
            </w:pPr>
            <w:r w:rsidRPr="005911C6">
              <w:rPr>
                <w:rFonts w:ascii="Lato" w:hAnsi="Lato" w:cs="Times New Roman"/>
                <w:b/>
                <w:sz w:val="18"/>
                <w:szCs w:val="18"/>
              </w:rPr>
              <w:t xml:space="preserve">Podmiot Koordynujący </w:t>
            </w:r>
            <w:r w:rsidRPr="005911C6">
              <w:rPr>
                <w:rFonts w:ascii="Lato" w:hAnsi="Lato" w:cs="Times New Roman"/>
                <w:b/>
                <w:sz w:val="18"/>
                <w:szCs w:val="18"/>
              </w:rPr>
              <w:br/>
              <w:t>(w porozumieniu</w:t>
            </w:r>
            <w:r w:rsidRPr="005911C6">
              <w:rPr>
                <w:rFonts w:ascii="Lato" w:hAnsi="Lato" w:cs="Times New Roman"/>
                <w:b/>
                <w:sz w:val="18"/>
                <w:szCs w:val="18"/>
              </w:rPr>
              <w:br/>
              <w:t xml:space="preserve"> z podmiotami współpracującymi)</w:t>
            </w:r>
          </w:p>
        </w:tc>
        <w:tc>
          <w:tcPr>
            <w:tcW w:w="1500" w:type="dxa"/>
            <w:shd w:val="clear" w:color="auto" w:fill="8EAADB" w:themeFill="accent1" w:themeFillTint="99"/>
          </w:tcPr>
          <w:p w14:paraId="4B895987" w14:textId="77777777" w:rsidR="003C25C5" w:rsidRPr="005911C6" w:rsidRDefault="003C25C5" w:rsidP="005911C6">
            <w:pPr>
              <w:spacing w:after="0" w:line="240" w:lineRule="auto"/>
              <w:jc w:val="center"/>
              <w:rPr>
                <w:rFonts w:ascii="Lato" w:hAnsi="Lato" w:cs="Times New Roman"/>
                <w:b/>
                <w:sz w:val="18"/>
                <w:szCs w:val="18"/>
              </w:rPr>
            </w:pPr>
            <w:r w:rsidRPr="005911C6">
              <w:rPr>
                <w:rFonts w:ascii="Lato" w:hAnsi="Lato" w:cs="Times New Roman"/>
                <w:b/>
                <w:sz w:val="18"/>
                <w:szCs w:val="18"/>
              </w:rPr>
              <w:t>Zaplanowany termin realizacji</w:t>
            </w:r>
          </w:p>
        </w:tc>
        <w:tc>
          <w:tcPr>
            <w:tcW w:w="5638" w:type="dxa"/>
            <w:shd w:val="clear" w:color="auto" w:fill="8EAADB" w:themeFill="accent1" w:themeFillTint="99"/>
          </w:tcPr>
          <w:p w14:paraId="6F3C7FAF" w14:textId="77777777" w:rsidR="003C25C5" w:rsidRPr="005911C6" w:rsidRDefault="003C25C5" w:rsidP="005911C6">
            <w:pPr>
              <w:spacing w:after="0" w:line="240" w:lineRule="auto"/>
              <w:jc w:val="center"/>
              <w:rPr>
                <w:rFonts w:ascii="Lato" w:hAnsi="Lato" w:cs="Times New Roman"/>
                <w:b/>
                <w:sz w:val="18"/>
                <w:szCs w:val="18"/>
              </w:rPr>
            </w:pPr>
            <w:r w:rsidRPr="005911C6">
              <w:rPr>
                <w:rFonts w:ascii="Lato" w:hAnsi="Lato" w:cs="Times New Roman"/>
                <w:b/>
                <w:sz w:val="18"/>
                <w:szCs w:val="18"/>
              </w:rPr>
              <w:t xml:space="preserve">Efekt  działań w odniesieniu </w:t>
            </w:r>
            <w:r w:rsidRPr="005911C6">
              <w:rPr>
                <w:rFonts w:ascii="Lato" w:hAnsi="Lato" w:cs="Times New Roman"/>
                <w:b/>
                <w:sz w:val="18"/>
                <w:szCs w:val="18"/>
              </w:rPr>
              <w:br/>
              <w:t>do sposobu monitorowania</w:t>
            </w:r>
          </w:p>
        </w:tc>
      </w:tr>
      <w:tr w:rsidR="00C97BE2" w:rsidRPr="005911C6" w14:paraId="521BE7F7" w14:textId="77777777" w:rsidTr="008C67C9">
        <w:tc>
          <w:tcPr>
            <w:tcW w:w="13996" w:type="dxa"/>
            <w:gridSpan w:val="5"/>
            <w:shd w:val="clear" w:color="auto" w:fill="8EAADB" w:themeFill="accent1" w:themeFillTint="99"/>
          </w:tcPr>
          <w:p w14:paraId="6CDF563F" w14:textId="77777777" w:rsidR="00AD5F16" w:rsidRPr="005911C6" w:rsidRDefault="00AD5F16" w:rsidP="005911C6">
            <w:pPr>
              <w:spacing w:after="0" w:line="240" w:lineRule="auto"/>
              <w:jc w:val="center"/>
              <w:rPr>
                <w:rFonts w:ascii="Lato" w:hAnsi="Lato" w:cs="Times New Roman"/>
                <w:b/>
                <w:bCs/>
                <w:sz w:val="18"/>
                <w:szCs w:val="18"/>
              </w:rPr>
            </w:pPr>
          </w:p>
          <w:p w14:paraId="3427C70D" w14:textId="750C1DC7" w:rsidR="003C25C5" w:rsidRPr="005911C6" w:rsidRDefault="003C25C5" w:rsidP="005911C6">
            <w:pPr>
              <w:shd w:val="clear" w:color="auto" w:fill="8EAADB" w:themeFill="accent1" w:themeFillTint="99"/>
              <w:spacing w:after="0" w:line="240" w:lineRule="auto"/>
              <w:jc w:val="center"/>
              <w:rPr>
                <w:rFonts w:ascii="Lato" w:hAnsi="Lato" w:cs="Times New Roman"/>
                <w:b/>
                <w:bCs/>
                <w:sz w:val="18"/>
                <w:szCs w:val="18"/>
              </w:rPr>
            </w:pPr>
            <w:r w:rsidRPr="005911C6">
              <w:rPr>
                <w:rFonts w:ascii="Lato" w:hAnsi="Lato" w:cs="Times New Roman"/>
                <w:b/>
                <w:bCs/>
                <w:sz w:val="18"/>
                <w:szCs w:val="18"/>
              </w:rPr>
              <w:t>OBSZARY SKIEROWANE DO OGÓŁU OSÓB STARSZYCH</w:t>
            </w:r>
          </w:p>
          <w:p w14:paraId="0A17E795" w14:textId="237755EA" w:rsidR="00AD5F16" w:rsidRPr="005911C6" w:rsidRDefault="00AD5F16" w:rsidP="005911C6">
            <w:pPr>
              <w:spacing w:after="0" w:line="240" w:lineRule="auto"/>
              <w:jc w:val="center"/>
              <w:rPr>
                <w:rFonts w:ascii="Lato" w:hAnsi="Lato" w:cs="Times New Roman"/>
                <w:b/>
                <w:bCs/>
                <w:sz w:val="18"/>
                <w:szCs w:val="18"/>
              </w:rPr>
            </w:pPr>
          </w:p>
        </w:tc>
      </w:tr>
      <w:tr w:rsidR="003C25C5" w:rsidRPr="005911C6" w14:paraId="2EB01373" w14:textId="77777777" w:rsidTr="008C67C9">
        <w:trPr>
          <w:trHeight w:val="289"/>
        </w:trPr>
        <w:tc>
          <w:tcPr>
            <w:tcW w:w="1232" w:type="dxa"/>
            <w:vMerge w:val="restart"/>
            <w:shd w:val="clear" w:color="auto" w:fill="FFFFFF" w:themeFill="background1"/>
            <w:textDirection w:val="btLr"/>
          </w:tcPr>
          <w:p w14:paraId="139EC859" w14:textId="77777777" w:rsidR="003C25C5" w:rsidRPr="005911C6" w:rsidRDefault="003C25C5" w:rsidP="005911C6">
            <w:pPr>
              <w:spacing w:after="0" w:line="240" w:lineRule="auto"/>
              <w:ind w:left="113" w:right="113"/>
              <w:rPr>
                <w:rFonts w:ascii="Lato" w:hAnsi="Lato" w:cs="Times New Roman"/>
                <w:sz w:val="18"/>
                <w:szCs w:val="18"/>
              </w:rPr>
            </w:pPr>
            <w:r w:rsidRPr="005911C6">
              <w:rPr>
                <w:rFonts w:ascii="Lato" w:hAnsi="Lato" w:cs="Times New Roman"/>
                <w:sz w:val="18"/>
                <w:szCs w:val="18"/>
              </w:rPr>
              <w:t>Obszar I</w:t>
            </w:r>
          </w:p>
        </w:tc>
        <w:tc>
          <w:tcPr>
            <w:tcW w:w="3594" w:type="dxa"/>
            <w:vMerge w:val="restart"/>
            <w:shd w:val="clear" w:color="auto" w:fill="FFFFFF" w:themeFill="background1"/>
          </w:tcPr>
          <w:p w14:paraId="4D78BB19"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Realizacja antydyskryminacyjnych projektów i kampanii społecznych</w:t>
            </w:r>
          </w:p>
        </w:tc>
        <w:tc>
          <w:tcPr>
            <w:tcW w:w="2032" w:type="dxa"/>
            <w:vMerge w:val="restart"/>
            <w:shd w:val="clear" w:color="auto" w:fill="FFFFFF" w:themeFill="background1"/>
          </w:tcPr>
          <w:p w14:paraId="2BAE93D6"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 xml:space="preserve">Pełnomocnik Rządu </w:t>
            </w:r>
            <w:r w:rsidRPr="005911C6">
              <w:rPr>
                <w:rFonts w:ascii="Lato" w:eastAsia="MS Mincho" w:hAnsi="Lato" w:cs="Times New Roman"/>
                <w:sz w:val="18"/>
                <w:szCs w:val="18"/>
              </w:rPr>
              <w:br/>
              <w:t>do spraw Równego Traktowania</w:t>
            </w:r>
          </w:p>
        </w:tc>
        <w:tc>
          <w:tcPr>
            <w:tcW w:w="1500" w:type="dxa"/>
            <w:vMerge w:val="restart"/>
            <w:shd w:val="clear" w:color="auto" w:fill="FFFFFF" w:themeFill="background1"/>
          </w:tcPr>
          <w:p w14:paraId="636A45D7"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7F0645C8" w14:textId="77777777" w:rsidR="003C25C5" w:rsidRPr="005911C6" w:rsidRDefault="003C25C5" w:rsidP="005911C6">
            <w:pPr>
              <w:spacing w:after="0" w:line="240" w:lineRule="auto"/>
              <w:rPr>
                <w:rFonts w:ascii="Lato" w:eastAsia="MS Mincho" w:hAnsi="Lato" w:cs="Times New Roman"/>
                <w:i/>
                <w:sz w:val="18"/>
                <w:szCs w:val="18"/>
              </w:rPr>
            </w:pPr>
            <w:r w:rsidRPr="005911C6">
              <w:rPr>
                <w:rFonts w:ascii="Lato" w:eastAsia="MS Mincho" w:hAnsi="Lato" w:cs="Times New Roman"/>
                <w:i/>
                <w:sz w:val="18"/>
                <w:szCs w:val="18"/>
              </w:rPr>
              <w:t xml:space="preserve">Liczba zrealizowanych kampanii i projektów społecznych </w:t>
            </w:r>
            <w:r w:rsidRPr="005911C6">
              <w:rPr>
                <w:rFonts w:ascii="Lato" w:eastAsia="MS Mincho" w:hAnsi="Lato" w:cs="Times New Roman"/>
                <w:i/>
                <w:sz w:val="18"/>
                <w:szCs w:val="18"/>
              </w:rPr>
              <w:br/>
              <w:t>w danym roku</w:t>
            </w:r>
          </w:p>
        </w:tc>
      </w:tr>
      <w:tr w:rsidR="003C25C5" w:rsidRPr="005911C6" w14:paraId="5E112AD4" w14:textId="77777777" w:rsidTr="008C67C9">
        <w:trPr>
          <w:trHeight w:val="562"/>
        </w:trPr>
        <w:tc>
          <w:tcPr>
            <w:tcW w:w="1232" w:type="dxa"/>
            <w:vMerge/>
            <w:shd w:val="clear" w:color="auto" w:fill="FFFFFF" w:themeFill="background1"/>
            <w:textDirection w:val="btLr"/>
          </w:tcPr>
          <w:p w14:paraId="33E6FE1E" w14:textId="77777777" w:rsidR="003C25C5" w:rsidRPr="005911C6" w:rsidRDefault="003C25C5" w:rsidP="005911C6">
            <w:pPr>
              <w:spacing w:after="0" w:line="240" w:lineRule="auto"/>
              <w:ind w:left="113" w:right="113"/>
              <w:rPr>
                <w:rFonts w:ascii="Lato" w:hAnsi="Lato" w:cs="Times New Roman"/>
                <w:sz w:val="18"/>
                <w:szCs w:val="18"/>
              </w:rPr>
            </w:pPr>
          </w:p>
        </w:tc>
        <w:tc>
          <w:tcPr>
            <w:tcW w:w="3594" w:type="dxa"/>
            <w:vMerge/>
            <w:shd w:val="clear" w:color="auto" w:fill="FFFFFF" w:themeFill="background1"/>
          </w:tcPr>
          <w:p w14:paraId="3FAF887C" w14:textId="77777777" w:rsidR="003C25C5" w:rsidRPr="005911C6" w:rsidRDefault="003C25C5" w:rsidP="005911C6">
            <w:pPr>
              <w:spacing w:after="0" w:line="240" w:lineRule="auto"/>
              <w:rPr>
                <w:rFonts w:ascii="Lato" w:hAnsi="Lato" w:cs="Times New Roman"/>
                <w:sz w:val="18"/>
                <w:szCs w:val="18"/>
              </w:rPr>
            </w:pPr>
          </w:p>
        </w:tc>
        <w:tc>
          <w:tcPr>
            <w:tcW w:w="2032" w:type="dxa"/>
            <w:vMerge/>
            <w:shd w:val="clear" w:color="auto" w:fill="FFFFFF" w:themeFill="background1"/>
          </w:tcPr>
          <w:p w14:paraId="4C13D0BE"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F3BDEBE"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26DCF11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5191569" w14:textId="77777777" w:rsidR="003C25C5" w:rsidRPr="005911C6" w:rsidRDefault="003C25C5" w:rsidP="005911C6">
            <w:pPr>
              <w:spacing w:after="0" w:line="240" w:lineRule="auto"/>
              <w:rPr>
                <w:rFonts w:ascii="Lato" w:eastAsia="MS Mincho" w:hAnsi="Lato" w:cs="Times New Roman"/>
                <w:b/>
                <w:sz w:val="18"/>
                <w:szCs w:val="18"/>
              </w:rPr>
            </w:pPr>
          </w:p>
          <w:p w14:paraId="2E5716C4" w14:textId="77777777" w:rsidR="003C25C5" w:rsidRPr="005911C6" w:rsidRDefault="003C25C5"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w:t>
            </w:r>
          </w:p>
        </w:tc>
      </w:tr>
      <w:tr w:rsidR="003C25C5" w:rsidRPr="005911C6" w14:paraId="45016909" w14:textId="77777777" w:rsidTr="008C67C9">
        <w:trPr>
          <w:trHeight w:val="571"/>
        </w:trPr>
        <w:tc>
          <w:tcPr>
            <w:tcW w:w="1232" w:type="dxa"/>
            <w:vMerge/>
            <w:shd w:val="clear" w:color="auto" w:fill="FFFFFF" w:themeFill="background1"/>
          </w:tcPr>
          <w:p w14:paraId="53A4E7BF"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85B7754"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 xml:space="preserve">Wpisanie do </w:t>
            </w:r>
            <w:r w:rsidRPr="005911C6">
              <w:rPr>
                <w:rFonts w:ascii="Lato" w:hAnsi="Lato" w:cs="Times New Roman"/>
                <w:i/>
                <w:sz w:val="18"/>
                <w:szCs w:val="18"/>
              </w:rPr>
              <w:t>Krajowego Programu Działań na Rzecz Równego Traktowania</w:t>
            </w:r>
            <w:r w:rsidRPr="005911C6">
              <w:rPr>
                <w:rFonts w:ascii="Lato" w:hAnsi="Lato" w:cs="Times New Roman"/>
                <w:sz w:val="18"/>
                <w:szCs w:val="18"/>
              </w:rPr>
              <w:t xml:space="preserve"> kwestii związanych z przeciwdziałaniem dyskryminacji ze względu na wiek</w:t>
            </w:r>
          </w:p>
        </w:tc>
        <w:tc>
          <w:tcPr>
            <w:tcW w:w="2032" w:type="dxa"/>
            <w:vMerge w:val="restart"/>
            <w:shd w:val="clear" w:color="auto" w:fill="FFFFFF" w:themeFill="background1"/>
          </w:tcPr>
          <w:p w14:paraId="67FDD5C3"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 xml:space="preserve">Pełnomocnik Rządu </w:t>
            </w:r>
            <w:r w:rsidRPr="005911C6">
              <w:rPr>
                <w:rFonts w:ascii="Lato" w:eastAsia="MS Mincho" w:hAnsi="Lato" w:cs="Times New Roman"/>
                <w:sz w:val="18"/>
                <w:szCs w:val="18"/>
              </w:rPr>
              <w:br/>
              <w:t>do spraw Równego Traktowania</w:t>
            </w:r>
          </w:p>
        </w:tc>
        <w:tc>
          <w:tcPr>
            <w:tcW w:w="1500" w:type="dxa"/>
            <w:vMerge w:val="restart"/>
            <w:shd w:val="clear" w:color="auto" w:fill="FFFFFF" w:themeFill="background1"/>
          </w:tcPr>
          <w:p w14:paraId="0FFE8A9C"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2019</w:t>
            </w:r>
          </w:p>
        </w:tc>
        <w:tc>
          <w:tcPr>
            <w:tcW w:w="5638" w:type="dxa"/>
            <w:shd w:val="clear" w:color="auto" w:fill="FFFFFF" w:themeFill="background1"/>
          </w:tcPr>
          <w:p w14:paraId="3318444F" w14:textId="77777777" w:rsidR="003C25C5" w:rsidRPr="005911C6" w:rsidRDefault="003C25C5" w:rsidP="005911C6">
            <w:pPr>
              <w:spacing w:after="0" w:line="240" w:lineRule="auto"/>
              <w:rPr>
                <w:rFonts w:ascii="Lato" w:hAnsi="Lato" w:cs="Times New Roman"/>
                <w:i/>
                <w:sz w:val="18"/>
                <w:szCs w:val="18"/>
              </w:rPr>
            </w:pPr>
            <w:r w:rsidRPr="005911C6">
              <w:rPr>
                <w:rFonts w:ascii="Lato" w:eastAsia="MS Mincho" w:hAnsi="Lato" w:cs="Times New Roman"/>
                <w:i/>
                <w:sz w:val="18"/>
                <w:szCs w:val="18"/>
              </w:rPr>
              <w:t>Opracowanie nowej edycji</w:t>
            </w:r>
            <w:r w:rsidRPr="005911C6">
              <w:rPr>
                <w:rFonts w:ascii="Lato" w:eastAsia="MS Mincho" w:hAnsi="Lato" w:cs="Times New Roman"/>
                <w:bCs/>
                <w:i/>
                <w:sz w:val="18"/>
                <w:szCs w:val="18"/>
              </w:rPr>
              <w:t xml:space="preserve"> Krajowego Programu Działań </w:t>
            </w:r>
            <w:r w:rsidRPr="005911C6">
              <w:rPr>
                <w:rFonts w:ascii="Lato" w:eastAsia="MS Mincho" w:hAnsi="Lato" w:cs="Times New Roman"/>
                <w:bCs/>
                <w:i/>
                <w:sz w:val="18"/>
                <w:szCs w:val="18"/>
              </w:rPr>
              <w:br/>
              <w:t>na Rzecz Równego Traktowania na kolejne lata</w:t>
            </w:r>
          </w:p>
        </w:tc>
      </w:tr>
      <w:tr w:rsidR="003C25C5" w:rsidRPr="005911C6" w14:paraId="607F4B15" w14:textId="77777777" w:rsidTr="008C67C9">
        <w:trPr>
          <w:trHeight w:val="570"/>
        </w:trPr>
        <w:tc>
          <w:tcPr>
            <w:tcW w:w="1232" w:type="dxa"/>
            <w:vMerge/>
            <w:shd w:val="clear" w:color="auto" w:fill="FFFFFF" w:themeFill="background1"/>
          </w:tcPr>
          <w:p w14:paraId="62274C0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89D30AB"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6160CE76"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59DD638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D3F0F2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73502FE" w14:textId="77777777" w:rsidR="003C25C5" w:rsidRPr="005911C6" w:rsidRDefault="003C25C5" w:rsidP="005911C6">
            <w:pPr>
              <w:spacing w:after="0" w:line="240" w:lineRule="auto"/>
              <w:rPr>
                <w:rFonts w:ascii="Lato" w:eastAsia="MS Mincho" w:hAnsi="Lato" w:cs="Times New Roman"/>
                <w:b/>
                <w:sz w:val="18"/>
                <w:szCs w:val="18"/>
              </w:rPr>
            </w:pPr>
          </w:p>
          <w:p w14:paraId="67C08A1C"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b/>
                <w:sz w:val="18"/>
                <w:szCs w:val="18"/>
              </w:rPr>
              <w:t>…</w:t>
            </w:r>
          </w:p>
        </w:tc>
      </w:tr>
      <w:tr w:rsidR="003C25C5" w:rsidRPr="005911C6" w14:paraId="500C7C99" w14:textId="77777777" w:rsidTr="008C67C9">
        <w:trPr>
          <w:trHeight w:val="646"/>
        </w:trPr>
        <w:tc>
          <w:tcPr>
            <w:tcW w:w="1232" w:type="dxa"/>
            <w:vMerge/>
            <w:shd w:val="clear" w:color="auto" w:fill="FFFFFF" w:themeFill="background1"/>
          </w:tcPr>
          <w:p w14:paraId="0E70489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49D61D0"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Realizacja kampanii społecznych skierowanych do:</w:t>
            </w:r>
          </w:p>
          <w:p w14:paraId="24BE0856" w14:textId="77777777" w:rsidR="003C25C5" w:rsidRPr="005911C6" w:rsidRDefault="003C25C5" w:rsidP="005911C6">
            <w:pPr>
              <w:pStyle w:val="Kolorowalistaakcent11"/>
              <w:numPr>
                <w:ilvl w:val="0"/>
                <w:numId w:val="5"/>
              </w:numPr>
              <w:spacing w:after="0" w:line="240" w:lineRule="auto"/>
              <w:ind w:left="303"/>
              <w:rPr>
                <w:rFonts w:ascii="Lato" w:hAnsi="Lato"/>
                <w:sz w:val="18"/>
                <w:szCs w:val="18"/>
              </w:rPr>
            </w:pPr>
            <w:r w:rsidRPr="005911C6">
              <w:rPr>
                <w:rFonts w:ascii="Lato" w:hAnsi="Lato"/>
                <w:sz w:val="18"/>
                <w:szCs w:val="18"/>
              </w:rPr>
              <w:t xml:space="preserve">pracodawców i pracowników </w:t>
            </w:r>
            <w:r w:rsidRPr="005911C6">
              <w:rPr>
                <w:rFonts w:ascii="Lato" w:hAnsi="Lato"/>
                <w:sz w:val="18"/>
                <w:szCs w:val="18"/>
              </w:rPr>
              <w:br/>
              <w:t xml:space="preserve">w zakresie kształtowania opinii </w:t>
            </w:r>
            <w:r w:rsidRPr="005911C6">
              <w:rPr>
                <w:rFonts w:ascii="Lato" w:hAnsi="Lato"/>
                <w:sz w:val="18"/>
                <w:szCs w:val="18"/>
              </w:rPr>
              <w:br/>
              <w:t>na temat starszych pracowników;</w:t>
            </w:r>
          </w:p>
          <w:p w14:paraId="29527F52" w14:textId="77777777" w:rsidR="003C25C5" w:rsidRPr="005911C6" w:rsidRDefault="003C25C5" w:rsidP="005911C6">
            <w:pPr>
              <w:pStyle w:val="Kolorowalistaakcent11"/>
              <w:numPr>
                <w:ilvl w:val="0"/>
                <w:numId w:val="5"/>
              </w:numPr>
              <w:spacing w:after="0" w:line="240" w:lineRule="auto"/>
              <w:ind w:left="303"/>
              <w:rPr>
                <w:rFonts w:ascii="Lato" w:hAnsi="Lato"/>
                <w:sz w:val="18"/>
                <w:szCs w:val="18"/>
              </w:rPr>
            </w:pPr>
            <w:r w:rsidRPr="005911C6">
              <w:rPr>
                <w:rFonts w:ascii="Lato" w:hAnsi="Lato"/>
                <w:sz w:val="18"/>
                <w:szCs w:val="18"/>
              </w:rPr>
              <w:t>przedsiębiorców w zakresie znaczenia osób starszych jako pracowników i konsumentów; ogółu społeczeństwa</w:t>
            </w:r>
          </w:p>
        </w:tc>
        <w:tc>
          <w:tcPr>
            <w:tcW w:w="2032" w:type="dxa"/>
            <w:vMerge w:val="restart"/>
            <w:shd w:val="clear" w:color="auto" w:fill="FFFFFF" w:themeFill="background1"/>
          </w:tcPr>
          <w:p w14:paraId="5CEB297B"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Rodziny i Polityki Społecznej,</w:t>
            </w:r>
          </w:p>
          <w:p w14:paraId="44A33278"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Ministerstwo Rozwoju i Technologii</w:t>
            </w:r>
          </w:p>
        </w:tc>
        <w:tc>
          <w:tcPr>
            <w:tcW w:w="1500" w:type="dxa"/>
            <w:vMerge w:val="restart"/>
            <w:shd w:val="clear" w:color="auto" w:fill="FFFFFF" w:themeFill="background1"/>
          </w:tcPr>
          <w:p w14:paraId="43D3F6D1"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35B085DF" w14:textId="77777777" w:rsidR="003C25C5" w:rsidRPr="005911C6" w:rsidRDefault="003C25C5" w:rsidP="005911C6">
            <w:pPr>
              <w:spacing w:after="0" w:line="240" w:lineRule="auto"/>
              <w:rPr>
                <w:rFonts w:ascii="Lato" w:hAnsi="Lato" w:cs="Times New Roman"/>
                <w:i/>
                <w:sz w:val="18"/>
                <w:szCs w:val="18"/>
              </w:rPr>
            </w:pPr>
            <w:r w:rsidRPr="005911C6">
              <w:rPr>
                <w:rFonts w:ascii="Lato" w:eastAsia="MS Mincho" w:hAnsi="Lato" w:cs="Times New Roman"/>
                <w:i/>
                <w:sz w:val="18"/>
                <w:szCs w:val="18"/>
              </w:rPr>
              <w:t>Liczba zrealizowanych kampanii społecznych o tematyce podnoszenia poziomu świadomości społecznej znaczenia uczestnictwa osób starszych w życiu społecznym i gospodarczym</w:t>
            </w:r>
          </w:p>
        </w:tc>
      </w:tr>
      <w:tr w:rsidR="003C25C5" w:rsidRPr="005911C6" w14:paraId="50E470A8" w14:textId="77777777" w:rsidTr="008C67C9">
        <w:trPr>
          <w:trHeight w:val="1400"/>
        </w:trPr>
        <w:tc>
          <w:tcPr>
            <w:tcW w:w="1232" w:type="dxa"/>
            <w:vMerge/>
            <w:shd w:val="clear" w:color="auto" w:fill="FFFFFF" w:themeFill="background1"/>
          </w:tcPr>
          <w:p w14:paraId="0A14E974"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F4CC1E2"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1EB6E487" w14:textId="77777777" w:rsidR="003C25C5" w:rsidRPr="005911C6" w:rsidRDefault="003C25C5" w:rsidP="005911C6">
            <w:pPr>
              <w:spacing w:after="0" w:line="240" w:lineRule="auto"/>
              <w:rPr>
                <w:rFonts w:ascii="Lato" w:hAnsi="Lato" w:cs="Times New Roman"/>
                <w:sz w:val="18"/>
                <w:szCs w:val="18"/>
              </w:rPr>
            </w:pPr>
          </w:p>
        </w:tc>
        <w:tc>
          <w:tcPr>
            <w:tcW w:w="1500" w:type="dxa"/>
            <w:vMerge/>
            <w:shd w:val="clear" w:color="auto" w:fill="FFFFFF" w:themeFill="background1"/>
          </w:tcPr>
          <w:p w14:paraId="6969D852"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1C9CB45B"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2BFD67C" w14:textId="77777777" w:rsidR="003C25C5" w:rsidRPr="005911C6" w:rsidRDefault="003C25C5" w:rsidP="005911C6">
            <w:pPr>
              <w:spacing w:after="0" w:line="240" w:lineRule="auto"/>
              <w:rPr>
                <w:rFonts w:ascii="Lato" w:hAnsi="Lato" w:cs="Times New Roman"/>
                <w:sz w:val="18"/>
                <w:szCs w:val="18"/>
              </w:rPr>
            </w:pPr>
          </w:p>
          <w:p w14:paraId="54941B34"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b/>
                <w:sz w:val="18"/>
                <w:szCs w:val="18"/>
              </w:rPr>
              <w:t>…</w:t>
            </w:r>
          </w:p>
        </w:tc>
      </w:tr>
      <w:tr w:rsidR="003C25C5" w:rsidRPr="005911C6" w14:paraId="1DFE7F2D" w14:textId="77777777" w:rsidTr="008C67C9">
        <w:trPr>
          <w:trHeight w:val="950"/>
        </w:trPr>
        <w:tc>
          <w:tcPr>
            <w:tcW w:w="1232" w:type="dxa"/>
            <w:vMerge/>
            <w:shd w:val="clear" w:color="auto" w:fill="FFFFFF" w:themeFill="background1"/>
          </w:tcPr>
          <w:p w14:paraId="66C2C3E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8E2842E" w14:textId="77777777" w:rsidR="003C25C5" w:rsidRPr="005911C6" w:rsidRDefault="003C25C5" w:rsidP="005911C6">
            <w:pPr>
              <w:pStyle w:val="Akapitzlist"/>
              <w:spacing w:after="0" w:line="240" w:lineRule="auto"/>
              <w:ind w:left="0"/>
              <w:rPr>
                <w:rFonts w:ascii="Lato" w:hAnsi="Lato" w:cs="Times New Roman"/>
                <w:iCs/>
                <w:sz w:val="18"/>
                <w:szCs w:val="18"/>
                <w:shd w:val="clear" w:color="auto" w:fill="FFFFFF"/>
              </w:rPr>
            </w:pPr>
            <w:r w:rsidRPr="005911C6">
              <w:rPr>
                <w:rFonts w:ascii="Lato" w:eastAsia="MS Mincho" w:hAnsi="Lato" w:cs="Times New Roman"/>
                <w:sz w:val="18"/>
                <w:szCs w:val="18"/>
              </w:rPr>
              <w:t>Realizacja w podstawie programowej kwestii związanych z przygotowaniem do starości i integracją międzypokoleniową</w:t>
            </w:r>
          </w:p>
        </w:tc>
        <w:tc>
          <w:tcPr>
            <w:tcW w:w="2032" w:type="dxa"/>
            <w:vMerge w:val="restart"/>
            <w:shd w:val="clear" w:color="auto" w:fill="FFFFFF" w:themeFill="background1"/>
          </w:tcPr>
          <w:p w14:paraId="04F5BDF1"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Ministerstwo Edukacji i Nauki</w:t>
            </w:r>
          </w:p>
        </w:tc>
        <w:tc>
          <w:tcPr>
            <w:tcW w:w="1500" w:type="dxa"/>
            <w:vMerge w:val="restart"/>
            <w:shd w:val="clear" w:color="auto" w:fill="FFFFFF" w:themeFill="background1"/>
          </w:tcPr>
          <w:p w14:paraId="6284893C"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1191B5F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hAnsi="Lato" w:cs="Times New Roman"/>
                <w:i/>
                <w:sz w:val="18"/>
                <w:szCs w:val="18"/>
              </w:rPr>
              <w:t>Realizacja podstawy programowej poszczególnych przedmiotów</w:t>
            </w:r>
          </w:p>
        </w:tc>
      </w:tr>
      <w:tr w:rsidR="003C25C5" w:rsidRPr="005911C6" w14:paraId="11683D0B" w14:textId="77777777" w:rsidTr="008C67C9">
        <w:trPr>
          <w:trHeight w:val="701"/>
        </w:trPr>
        <w:tc>
          <w:tcPr>
            <w:tcW w:w="1232" w:type="dxa"/>
            <w:vMerge/>
            <w:shd w:val="clear" w:color="auto" w:fill="FFFFFF" w:themeFill="background1"/>
          </w:tcPr>
          <w:p w14:paraId="4761AEE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97F8753" w14:textId="77777777" w:rsidR="003C25C5" w:rsidRPr="005911C6" w:rsidRDefault="003C25C5" w:rsidP="005911C6">
            <w:pPr>
              <w:pStyle w:val="Akapitzlist"/>
              <w:spacing w:after="0" w:line="240" w:lineRule="auto"/>
              <w:ind w:left="0"/>
              <w:rPr>
                <w:rStyle w:val="Teksttreci5"/>
                <w:rFonts w:ascii="Lato" w:hAnsi="Lato" w:cs="Times New Roman"/>
                <w:sz w:val="18"/>
                <w:szCs w:val="18"/>
              </w:rPr>
            </w:pPr>
          </w:p>
        </w:tc>
        <w:tc>
          <w:tcPr>
            <w:tcW w:w="2032" w:type="dxa"/>
            <w:vMerge/>
            <w:shd w:val="clear" w:color="auto" w:fill="FFFFFF" w:themeFill="background1"/>
          </w:tcPr>
          <w:p w14:paraId="7C771F7D"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0100024A"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072CAF00" w14:textId="1E273D37" w:rsidR="00380295" w:rsidRPr="005911C6" w:rsidRDefault="00380295"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488009C9"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Obowiązkowe cele kształcenia i treści nauczania odnoszące się do kwestii związanych z przygotowaniem do starości i integracji </w:t>
            </w:r>
            <w:r w:rsidRPr="005911C6">
              <w:rPr>
                <w:rFonts w:ascii="Lato" w:eastAsia="MS Mincho" w:hAnsi="Lato" w:cs="Times New Roman"/>
                <w:sz w:val="18"/>
                <w:szCs w:val="18"/>
              </w:rPr>
              <w:lastRenderedPageBreak/>
              <w:t>międzypokoleniowej realizowane w szkołach definiuje podstawa programowa.</w:t>
            </w:r>
          </w:p>
          <w:p w14:paraId="73044978"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roku 2022 dzieci objęte wychowaniem przedszkolnym oraz uczniowie szkoły podstawowej realizowali podstawę programową określoną w rozporządzeniu Ministra Edukacji Narodowej z dnia 14 lutego 2017 r. w sprawie podstawy programowej wychowania przedszkolnego oraz podstawy programowej kształcenia ogólnego dla szkoły podstawowej, kształcenia ogólnego dla branżowej szkoły I stopnia, kształcenia ogólnego dla szkoły specjalnej przysposabiającej do pracy oraz kształcenia ogólnego dla szkoły policealnej. Uczniowie szkół ponadpodstawowych (liceum ogólnokształcącego i technikum) realizowali podstawę programową uregulowaną w rozporządzeniu Ministra Edukacji Narodowej z dnia 30 stycznia 2018 r. w sprawie podstawy programowej kształcenia ogólnego dla liceum ogólnokształcącego, technikum oraz branżowej szkoły II stopnia.</w:t>
            </w:r>
          </w:p>
          <w:p w14:paraId="06837E8D"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Obowiązkowe cele kształcenia i treści nauczania dotyczące osób starszych i starości ustalone w podstawie programowej są realizowane na każdym etapie edukacyjnym. Zakres wymagań określono odpowiednio do wieku i potrzeb edukacyjno-społecznych uczniów. </w:t>
            </w:r>
          </w:p>
          <w:p w14:paraId="7D9AA7BC"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Przykłady zapisów jak poniżej.</w:t>
            </w:r>
          </w:p>
          <w:p w14:paraId="3121C033"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b/>
                <w:sz w:val="18"/>
                <w:szCs w:val="18"/>
              </w:rPr>
              <w:t>Przedszkole</w:t>
            </w:r>
            <w:r w:rsidRPr="005911C6">
              <w:rPr>
                <w:rFonts w:ascii="Lato" w:eastAsia="MS Mincho" w:hAnsi="Lato" w:cs="Times New Roman"/>
                <w:sz w:val="18"/>
                <w:szCs w:val="18"/>
              </w:rPr>
              <w:t xml:space="preserve"> ma za zadanie kreowanie sytuacji prowadzących do poznania przez dziecko wartości i norm społecznych, których</w:t>
            </w:r>
            <w:r w:rsidRPr="005911C6">
              <w:rPr>
                <w:rFonts w:ascii="Lato" w:hAnsi="Lato"/>
                <w:sz w:val="18"/>
                <w:szCs w:val="18"/>
              </w:rPr>
              <w:t xml:space="preserve"> </w:t>
            </w:r>
            <w:r w:rsidRPr="005911C6">
              <w:rPr>
                <w:rFonts w:ascii="Lato" w:eastAsia="MS Mincho" w:hAnsi="Lato" w:cs="Times New Roman"/>
                <w:sz w:val="18"/>
                <w:szCs w:val="18"/>
              </w:rPr>
              <w:t xml:space="preserve">źródłem jest rodzina, grupa w przedszkolu, inne dorosłe osoby, w tym osoby starsze. Dziecko przygotowane do podjęcia nauki w szkole wczuwa się w emocje i uczucia osób z najbliższego otoczenia, nazywa i rozpoznaje wartości związane z umiejętnościami i </w:t>
            </w:r>
            <w:proofErr w:type="spellStart"/>
            <w:r w:rsidRPr="005911C6">
              <w:rPr>
                <w:rFonts w:ascii="Lato" w:eastAsia="MS Mincho" w:hAnsi="Lato" w:cs="Times New Roman"/>
                <w:sz w:val="18"/>
                <w:szCs w:val="18"/>
              </w:rPr>
              <w:t>zachowaniami</w:t>
            </w:r>
            <w:proofErr w:type="spellEnd"/>
            <w:r w:rsidRPr="005911C6">
              <w:rPr>
                <w:rFonts w:ascii="Lato" w:eastAsia="MS Mincho" w:hAnsi="Lato" w:cs="Times New Roman"/>
                <w:sz w:val="18"/>
                <w:szCs w:val="18"/>
              </w:rPr>
              <w:t xml:space="preserve"> społecznymi, np. obdarza uwagą i szacunkiem inne dzieci i osoby dorosłe, wykonuje lub rozpoznaje melodie, piosenki i pieśni potrzebne do organizacji uroczystości, np. Dnia Babci i Dnia Dziadka.</w:t>
            </w:r>
          </w:p>
          <w:p w14:paraId="76D72364"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Kształcenie ogólne w </w:t>
            </w:r>
            <w:r w:rsidRPr="005911C6">
              <w:rPr>
                <w:rFonts w:ascii="Lato" w:eastAsia="MS Mincho" w:hAnsi="Lato" w:cs="Times New Roman"/>
                <w:b/>
                <w:sz w:val="18"/>
                <w:szCs w:val="18"/>
              </w:rPr>
              <w:t>szkole podstawowej</w:t>
            </w:r>
            <w:r w:rsidRPr="005911C6">
              <w:rPr>
                <w:rFonts w:ascii="Lato" w:eastAsia="MS Mincho" w:hAnsi="Lato" w:cs="Times New Roman"/>
                <w:sz w:val="18"/>
                <w:szCs w:val="18"/>
              </w:rPr>
              <w:t xml:space="preserve"> ma na celu wprowadzenie uczniów w świat wartości, jak np. ofiarności, altruizmu oraz przygotowanie do budowania relacji społecznych sprzyjających bezpiecznemu rozwojowi ucznia (rodzina, przyjaciele), ponadto formowanie postawy szacunku dla innych osób. Na koniec I etapu edukacyjnego (klasy I-III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 </w:t>
            </w:r>
          </w:p>
          <w:p w14:paraId="36759C61"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 xml:space="preserve">Na </w:t>
            </w:r>
            <w:r w:rsidRPr="005911C6">
              <w:rPr>
                <w:rFonts w:ascii="Lato" w:eastAsia="MS Mincho" w:hAnsi="Lato" w:cs="Times New Roman"/>
                <w:b/>
                <w:sz w:val="18"/>
                <w:szCs w:val="18"/>
              </w:rPr>
              <w:t>wyższych etapach edukacyjnych</w:t>
            </w:r>
            <w:r w:rsidRPr="005911C6">
              <w:rPr>
                <w:rFonts w:ascii="Lato" w:eastAsia="MS Mincho" w:hAnsi="Lato" w:cs="Times New Roman"/>
                <w:sz w:val="18"/>
                <w:szCs w:val="18"/>
              </w:rPr>
              <w:t xml:space="preserve"> (klasy IV-VIII szkoły podstawowej i szkoły ponadpodstawowe) zagadnienia dotyczące osób starszych, przygotowania do starości i komunikacji międzypokoleniowej są uwzględnione w różnych przedmiotach, co zapewnia kompleksowe ujęcie tej tematyki. Należą do nich: przyroda, biologia, edukacja dla bezpieczeństwa, wychowanie fizyczne, wychowanie do życia w rodzinie, język polski, geografia, wiedza o społeczeństwie, filozofia, etyka. Umiejętności określone dla klas IV-VIII szkoły podstawowej, uczeń m.in.: opisuje dawny obraz najbliższej okolicy, np. na podstawie opowiadań rodzinnych, starych fotografii; opisuje tradycje rodzinne; opisuje, jakie znaczenie ma aktywność fizyczna dla zdrowia; motywuje innych 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w:t>
            </w:r>
            <w:r w:rsidRPr="005911C6">
              <w:rPr>
                <w:rFonts w:ascii="Lato" w:hAnsi="Lato"/>
                <w:sz w:val="18"/>
                <w:szCs w:val="18"/>
              </w:rPr>
              <w:t xml:space="preserve"> </w:t>
            </w:r>
            <w:r w:rsidRPr="005911C6">
              <w:rPr>
                <w:rFonts w:ascii="Lato" w:eastAsia="MS Mincho" w:hAnsi="Lato" w:cs="Times New Roman"/>
                <w:sz w:val="18"/>
                <w:szCs w:val="18"/>
              </w:rPr>
              <w:t xml:space="preserve">docenić ich wkład w życie rodzinne; wyraża pamięć z okazji Dni Matki, Ojca, Babci, Dziadka; uczestniczy w podziale obowiązków; wyraża postawę szacunku i troski wobec życia i zdrowia  człowieka od poczęcia do naturalnej śmierci;  wyraża troskę o osoby chore i umierające; zachowuje pamięć o zmarłych; współtowarzyszy bliskim w przeżywaniu  żałoby. </w:t>
            </w:r>
          </w:p>
          <w:p w14:paraId="62643A73" w14:textId="58FD0230" w:rsidR="00380295" w:rsidRPr="005911C6" w:rsidRDefault="00380295"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Zgodnie z podstawą programową dla </w:t>
            </w:r>
            <w:r w:rsidRPr="005911C6">
              <w:rPr>
                <w:rFonts w:ascii="Lato" w:eastAsia="MS Mincho" w:hAnsi="Lato" w:cs="Times New Roman"/>
                <w:b/>
                <w:sz w:val="18"/>
                <w:szCs w:val="18"/>
              </w:rPr>
              <w:t>szkół ponadpodstawowych</w:t>
            </w:r>
            <w:r w:rsidRPr="005911C6">
              <w:rPr>
                <w:rFonts w:ascii="Lato" w:eastAsia="MS Mincho" w:hAnsi="Lato" w:cs="Times New Roman"/>
                <w:sz w:val="18"/>
                <w:szCs w:val="18"/>
              </w:rPr>
              <w:t xml:space="preserve"> (liceum ogólnokształcące, technikum) uczeń m.in.: wyjaśnia, czym są potrzeby człowieka; charakteryzuje współczesne typy rodziny; rozpoznaje sprawy regulowane przez prawo cywilne i rodzinne; poznaje instytucje prawne prawa rzeczowego i spadkowego (własność, spadek, dziedziczenie ustawowe i testamentowe, zachowek); poznaje instytucje prawne prawa rodzinnego (wspólnota majątkowa, prawa i obowiązki rodziców oraz dziecka, w tym pełnoletniego, obowiązek alimentacyjny); rozróżnia ubezpieczenia: emerytalne, rentowe, chorobowe; analizuje strukturę demograficzną ludności Polski na podstawie danych liczbowych oraz piramidy wieku i płci; rozpoznaje motywy aktywności zawodowej człowieka, dostrzegając rolę procesu uczenia się przez całe życie; przedstawia etapy ontogenezy, uwzględniając skutki wydłużającego się okresu starości; analizuje rodowody i na ich podstawie ustala sposób dziedziczenia danej cechy; opisuje zasady asekuracji i pomocy w różnych sytuacjach życiowych osobom młodszym, seniorom, osobom z niepełnosprawnością; wyjaśnia, dlaczego zdrowie jest wartością dla </w:t>
            </w:r>
            <w:r w:rsidRPr="005911C6">
              <w:rPr>
                <w:rFonts w:ascii="Lato" w:eastAsia="MS Mincho" w:hAnsi="Lato" w:cs="Times New Roman"/>
                <w:sz w:val="18"/>
                <w:szCs w:val="18"/>
              </w:rPr>
              <w:lastRenderedPageBreak/>
              <w:t>człowieka i zasobem dla społeczeństwa oraz na czym polega dbałość o zdrowie w różnych okresach życia; wyjaśnia, na czym polega samobadanie i samokontrola zdrowia oraz dlaczego należy poddawać się badaniom profilaktycznym w okresie całego życia; analizuje fenomen śmierci; rozpoznaje biologiczne, psychiczne, społeczno-kulturowe aspekty śmierci i umierania; identyfikuje i rozważa problemy moralne związane z końcem ludzkiego życia (np. uporczywa terapia, opieka paliatywna).</w:t>
            </w:r>
          </w:p>
          <w:p w14:paraId="331A4224" w14:textId="2AD001D4"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54CBCFB0" w14:textId="77777777" w:rsidTr="008C67C9">
        <w:trPr>
          <w:trHeight w:val="528"/>
        </w:trPr>
        <w:tc>
          <w:tcPr>
            <w:tcW w:w="1232" w:type="dxa"/>
            <w:vMerge/>
            <w:shd w:val="clear" w:color="auto" w:fill="FFFFFF" w:themeFill="background1"/>
          </w:tcPr>
          <w:p w14:paraId="66FA79E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2247C60"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Współpraca przedszkoli i szkół z organizacjami senioralnymi</w:t>
            </w:r>
          </w:p>
        </w:tc>
        <w:tc>
          <w:tcPr>
            <w:tcW w:w="2032" w:type="dxa"/>
            <w:vMerge w:val="restart"/>
            <w:shd w:val="clear" w:color="auto" w:fill="FFFFFF" w:themeFill="background1"/>
          </w:tcPr>
          <w:p w14:paraId="3CC42B58"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Ministerstwo Edukacji i Nauki</w:t>
            </w:r>
          </w:p>
        </w:tc>
        <w:tc>
          <w:tcPr>
            <w:tcW w:w="1500" w:type="dxa"/>
            <w:vMerge w:val="restart"/>
            <w:shd w:val="clear" w:color="auto" w:fill="FFFFFF" w:themeFill="background1"/>
          </w:tcPr>
          <w:p w14:paraId="4CBF98D9"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6D579A6A" w14:textId="77777777" w:rsidR="003C25C5" w:rsidRPr="005911C6" w:rsidRDefault="003C25C5" w:rsidP="005911C6">
            <w:pPr>
              <w:spacing w:after="0" w:line="240" w:lineRule="auto"/>
              <w:rPr>
                <w:rFonts w:ascii="Lato" w:hAnsi="Lato" w:cs="Times New Roman"/>
                <w:i/>
                <w:sz w:val="18"/>
                <w:szCs w:val="18"/>
              </w:rPr>
            </w:pPr>
            <w:r w:rsidRPr="005911C6">
              <w:rPr>
                <w:rFonts w:ascii="Lato" w:eastAsia="MS Mincho" w:hAnsi="Lato" w:cs="Times New Roman"/>
                <w:i/>
                <w:sz w:val="18"/>
                <w:szCs w:val="18"/>
              </w:rPr>
              <w:t xml:space="preserve">Liczba działań, inicjatyw zrealizowanych w partnerstwie przez </w:t>
            </w:r>
            <w:r w:rsidRPr="005911C6">
              <w:rPr>
                <w:rFonts w:ascii="Lato" w:hAnsi="Lato" w:cs="Times New Roman"/>
                <w:i/>
                <w:sz w:val="18"/>
                <w:szCs w:val="18"/>
              </w:rPr>
              <w:t>szkoły i organizacje senioralne</w:t>
            </w:r>
          </w:p>
        </w:tc>
      </w:tr>
      <w:tr w:rsidR="003C25C5" w:rsidRPr="005911C6" w14:paraId="5AAAF66E" w14:textId="77777777" w:rsidTr="008C67C9">
        <w:trPr>
          <w:trHeight w:val="813"/>
        </w:trPr>
        <w:tc>
          <w:tcPr>
            <w:tcW w:w="1232" w:type="dxa"/>
            <w:vMerge/>
            <w:shd w:val="clear" w:color="auto" w:fill="FFFFFF" w:themeFill="background1"/>
          </w:tcPr>
          <w:p w14:paraId="29EB847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B453719"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395F9592"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2F9D390"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7C292D74" w14:textId="77777777" w:rsidR="00380295" w:rsidRPr="005911C6" w:rsidRDefault="00380295"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214324E2"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Współpraca z organizacjami pozarządowymi, w tym senioralnymi odbywa się na podstawie art. 86 ustawy Prawo oświatowe. Dyrektor szkoły/ placówki wyraża zgodę na współpracę z organizacją pozarządową po uzgodnieniu warunków i po uprzednim uzyskaniu pozytywnej opinii rady szkoły i rady rodziców.</w:t>
            </w:r>
          </w:p>
          <w:p w14:paraId="27EABD5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Ponadto, </w:t>
            </w:r>
            <w:r w:rsidRPr="005911C6">
              <w:rPr>
                <w:rFonts w:ascii="Lato" w:hAnsi="Lato" w:cs="Times New Roman"/>
                <w:sz w:val="18"/>
                <w:szCs w:val="18"/>
              </w:rPr>
              <w:t>pr</w:t>
            </w:r>
            <w:r w:rsidRPr="005911C6">
              <w:rPr>
                <w:rFonts w:ascii="Lato" w:eastAsia="MS Mincho" w:hAnsi="Lato" w:cs="Times New Roman"/>
                <w:sz w:val="18"/>
                <w:szCs w:val="18"/>
              </w:rPr>
              <w:t>oponujemy wykorzystać informacje przekazane w roku 2021 do Sejmowej Komisji Polityki Senioralnej w podanym zakresie, gdyż nadal zachowują one ważność. Podsumowanie tych informacji można przedstawić następująco.</w:t>
            </w:r>
          </w:p>
          <w:p w14:paraId="736E2770"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Na podstawie informacji kuratorów oświaty przekazanych w roku 2021 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 międzypokoleniową oraz rozwijają u młodych ludzi empatię i szacunek dla ludzi starszych, jednocześnie wpływają na aktywizację społeczną osób starszych oraz sprawiają, że seniorzy czują się ważni, potrzebni, doceniani i szanowani. </w:t>
            </w:r>
          </w:p>
          <w:p w14:paraId="63EBF16A" w14:textId="77777777" w:rsidR="00380295" w:rsidRPr="005911C6" w:rsidRDefault="00380295" w:rsidP="005911C6">
            <w:pPr>
              <w:spacing w:after="0" w:line="240" w:lineRule="auto"/>
              <w:rPr>
                <w:rFonts w:ascii="Lato" w:eastAsia="MS Mincho" w:hAnsi="Lato" w:cs="Times New Roman"/>
                <w:sz w:val="18"/>
                <w:szCs w:val="18"/>
              </w:rPr>
            </w:pP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dysponuje opisem współpracy w tym zakresie ze wszystkich województw. Jest to jednak opis zbyt obszerny, by mógł być wykorzystany w zespolonej informacji o sytuacji osób starszych dla Sejmu (obejmuje ponad 40 stron).</w:t>
            </w:r>
          </w:p>
          <w:p w14:paraId="1132887E" w14:textId="1D79C4D0" w:rsidR="003C25C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Informujemy także, że nie jest możliwe przedstawienie danych liczbowych w powyższym zakresie. Powyższe działania wynikają z bieżącej pracy przedszkoli i szkół i dotyczą jednostkowych planów </w:t>
            </w:r>
            <w:r w:rsidRPr="005911C6">
              <w:rPr>
                <w:rFonts w:ascii="Lato" w:eastAsia="MS Mincho" w:hAnsi="Lato" w:cs="Times New Roman"/>
                <w:sz w:val="18"/>
                <w:szCs w:val="18"/>
              </w:rPr>
              <w:lastRenderedPageBreak/>
              <w:t>pracy przedszkoli i szkół. Proponujemy zrezygnować ze wskaźnika liczbowego dla tego działania.</w:t>
            </w:r>
          </w:p>
        </w:tc>
      </w:tr>
      <w:tr w:rsidR="003C25C5" w:rsidRPr="005911C6" w14:paraId="4CC215D8" w14:textId="77777777" w:rsidTr="008C67C9">
        <w:trPr>
          <w:trHeight w:val="720"/>
        </w:trPr>
        <w:tc>
          <w:tcPr>
            <w:tcW w:w="1232" w:type="dxa"/>
            <w:vMerge/>
            <w:shd w:val="clear" w:color="auto" w:fill="FFFFFF" w:themeFill="background1"/>
          </w:tcPr>
          <w:p w14:paraId="6BBCBDB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2C60013"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Promowanie w realizowanych przez podmioty publiczne otwartych konkursów ofert, dotyczących rozwoju społeczeństwa obywatelskiego, tematyki senioralnej i wspierania projektów międzypokoleniowych</w:t>
            </w:r>
          </w:p>
        </w:tc>
        <w:tc>
          <w:tcPr>
            <w:tcW w:w="2032" w:type="dxa"/>
            <w:vMerge w:val="restart"/>
            <w:shd w:val="clear" w:color="auto" w:fill="FFFFFF" w:themeFill="background1"/>
          </w:tcPr>
          <w:p w14:paraId="40FDAB8C"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Komitet do spraw Pożytku Publicznego</w:t>
            </w:r>
          </w:p>
        </w:tc>
        <w:tc>
          <w:tcPr>
            <w:tcW w:w="1500" w:type="dxa"/>
            <w:vMerge w:val="restart"/>
            <w:shd w:val="clear" w:color="auto" w:fill="FFFFFF" w:themeFill="background1"/>
          </w:tcPr>
          <w:p w14:paraId="5EAB011C"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6156748C" w14:textId="77777777" w:rsidR="003C25C5" w:rsidRPr="005911C6" w:rsidRDefault="003C25C5" w:rsidP="005911C6">
            <w:pPr>
              <w:pStyle w:val="Kolorowalistaakcent11"/>
              <w:spacing w:after="0" w:line="240" w:lineRule="auto"/>
              <w:ind w:left="0"/>
              <w:rPr>
                <w:rFonts w:ascii="Lato" w:hAnsi="Lato"/>
                <w:i/>
                <w:sz w:val="18"/>
                <w:szCs w:val="18"/>
              </w:rPr>
            </w:pPr>
            <w:r w:rsidRPr="005911C6">
              <w:rPr>
                <w:rFonts w:ascii="Lato" w:eastAsia="MS Mincho" w:hAnsi="Lato"/>
                <w:i/>
                <w:sz w:val="18"/>
                <w:szCs w:val="18"/>
              </w:rPr>
              <w:t xml:space="preserve">Liczba </w:t>
            </w:r>
            <w:r w:rsidRPr="005911C6">
              <w:rPr>
                <w:rFonts w:ascii="Lato" w:hAnsi="Lato"/>
                <w:i/>
                <w:sz w:val="18"/>
                <w:szCs w:val="18"/>
              </w:rPr>
              <w:t>realizowanych przez podmioty publiczne otwartych konkursów ofert w obszarze rozwoju społeczeństwa obywatelskiego uwzględniających tematykę senioralną oraz wspieranie projektów międzypokoleniowych</w:t>
            </w:r>
          </w:p>
        </w:tc>
      </w:tr>
      <w:tr w:rsidR="003C25C5" w:rsidRPr="005911C6" w14:paraId="0CE43BBA" w14:textId="77777777" w:rsidTr="008C67C9">
        <w:trPr>
          <w:trHeight w:val="720"/>
        </w:trPr>
        <w:tc>
          <w:tcPr>
            <w:tcW w:w="1232" w:type="dxa"/>
            <w:vMerge/>
            <w:shd w:val="clear" w:color="auto" w:fill="FFFFFF" w:themeFill="background1"/>
          </w:tcPr>
          <w:p w14:paraId="4CCCEA64"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C48DFE2"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42C1CDF9"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007A073"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5FA3313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2A327B4" w14:textId="77777777" w:rsidR="003C25C5" w:rsidRPr="005911C6" w:rsidRDefault="003C25C5" w:rsidP="005911C6">
            <w:pPr>
              <w:spacing w:after="0" w:line="240" w:lineRule="auto"/>
              <w:rPr>
                <w:rFonts w:ascii="Lato" w:hAnsi="Lato" w:cs="Times New Roman"/>
                <w:sz w:val="18"/>
                <w:szCs w:val="18"/>
              </w:rPr>
            </w:pPr>
          </w:p>
          <w:p w14:paraId="1836E462"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b/>
                <w:sz w:val="18"/>
                <w:szCs w:val="18"/>
              </w:rPr>
              <w:t>…</w:t>
            </w:r>
          </w:p>
        </w:tc>
      </w:tr>
      <w:tr w:rsidR="003C25C5" w:rsidRPr="005911C6" w14:paraId="374732C7" w14:textId="77777777" w:rsidTr="008C67C9">
        <w:trPr>
          <w:trHeight w:val="571"/>
        </w:trPr>
        <w:tc>
          <w:tcPr>
            <w:tcW w:w="1232" w:type="dxa"/>
            <w:vMerge/>
            <w:shd w:val="clear" w:color="auto" w:fill="FFFFFF" w:themeFill="background1"/>
          </w:tcPr>
          <w:p w14:paraId="2AD403E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2A734CD"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 xml:space="preserve">Prowadzenie współpracy z mediami </w:t>
            </w:r>
            <w:r w:rsidRPr="005911C6">
              <w:rPr>
                <w:rFonts w:ascii="Lato" w:hAnsi="Lato" w:cs="Times New Roman"/>
                <w:sz w:val="18"/>
                <w:szCs w:val="18"/>
              </w:rPr>
              <w:br/>
              <w:t>w celu udostępniania informacji o osobach starszych i propagowania wzorców aktywnej starości</w:t>
            </w:r>
          </w:p>
        </w:tc>
        <w:tc>
          <w:tcPr>
            <w:tcW w:w="2032" w:type="dxa"/>
            <w:vMerge w:val="restart"/>
            <w:shd w:val="clear" w:color="auto" w:fill="FFFFFF" w:themeFill="background1"/>
          </w:tcPr>
          <w:p w14:paraId="03A15B9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Rodziny i Polityki Społecznej</w:t>
            </w:r>
          </w:p>
        </w:tc>
        <w:tc>
          <w:tcPr>
            <w:tcW w:w="1500" w:type="dxa"/>
            <w:vMerge w:val="restart"/>
            <w:shd w:val="clear" w:color="auto" w:fill="FFFFFF" w:themeFill="background1"/>
          </w:tcPr>
          <w:p w14:paraId="60427AE7"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7171D6B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w:t>
            </w:r>
            <w:r w:rsidRPr="005911C6">
              <w:rPr>
                <w:rFonts w:ascii="Lato" w:hAnsi="Lato" w:cs="Times New Roman"/>
                <w:i/>
                <w:sz w:val="18"/>
                <w:szCs w:val="18"/>
              </w:rPr>
              <w:t>inicjatyw prowadzonych we współpracy z mediami publicznymi w obszarze udostępniania informacji o osobach starszych i propagowania wzorców aktywnej starości</w:t>
            </w:r>
          </w:p>
        </w:tc>
      </w:tr>
      <w:tr w:rsidR="003C25C5" w:rsidRPr="005911C6" w14:paraId="57E7E392" w14:textId="77777777" w:rsidTr="008C67C9">
        <w:trPr>
          <w:trHeight w:val="570"/>
        </w:trPr>
        <w:tc>
          <w:tcPr>
            <w:tcW w:w="1232" w:type="dxa"/>
            <w:vMerge/>
            <w:shd w:val="clear" w:color="auto" w:fill="FFFFFF" w:themeFill="background1"/>
          </w:tcPr>
          <w:p w14:paraId="4173BF5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080CF57"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389F08CF"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4821BC9F"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514E0E4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A86B6ED" w14:textId="77777777" w:rsidR="003C25C5" w:rsidRPr="005911C6" w:rsidRDefault="003C25C5" w:rsidP="005911C6">
            <w:pPr>
              <w:spacing w:after="0" w:line="240" w:lineRule="auto"/>
              <w:rPr>
                <w:rFonts w:ascii="Lato" w:hAnsi="Lato" w:cs="Times New Roman"/>
                <w:sz w:val="18"/>
                <w:szCs w:val="18"/>
              </w:rPr>
            </w:pPr>
          </w:p>
          <w:p w14:paraId="5D24629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413B891" w14:textId="77777777" w:rsidTr="008C67C9">
        <w:trPr>
          <w:trHeight w:val="803"/>
        </w:trPr>
        <w:tc>
          <w:tcPr>
            <w:tcW w:w="1232" w:type="dxa"/>
            <w:vMerge/>
            <w:shd w:val="clear" w:color="auto" w:fill="FFFFFF" w:themeFill="background1"/>
          </w:tcPr>
          <w:p w14:paraId="76123D44" w14:textId="77777777" w:rsidR="003C25C5" w:rsidRPr="005911C6" w:rsidRDefault="003C25C5" w:rsidP="005911C6">
            <w:pPr>
              <w:spacing w:after="0" w:line="240" w:lineRule="auto"/>
              <w:rPr>
                <w:rFonts w:ascii="Lato" w:eastAsia="MS Mincho" w:hAnsi="Lato" w:cs="Times New Roman"/>
                <w:b/>
                <w:sz w:val="18"/>
                <w:szCs w:val="18"/>
                <w:u w:val="single"/>
              </w:rPr>
            </w:pPr>
          </w:p>
        </w:tc>
        <w:tc>
          <w:tcPr>
            <w:tcW w:w="3594" w:type="dxa"/>
            <w:vMerge w:val="restart"/>
            <w:shd w:val="clear" w:color="auto" w:fill="FFFFFF" w:themeFill="background1"/>
          </w:tcPr>
          <w:p w14:paraId="34C542C1"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eastAsia="MS Mincho" w:hAnsi="Lato" w:cs="Times New Roman"/>
                <w:sz w:val="18"/>
                <w:szCs w:val="18"/>
              </w:rPr>
              <w:t>Realizacja kampanii społecznych zachęcających do świadomego decydowania o przejściu na emeryturę oraz promowanie w przedsiębiorstwach zasad zarządzania wiekiem</w:t>
            </w:r>
          </w:p>
        </w:tc>
        <w:tc>
          <w:tcPr>
            <w:tcW w:w="2032" w:type="dxa"/>
            <w:vMerge w:val="restart"/>
            <w:shd w:val="clear" w:color="auto" w:fill="FFFFFF" w:themeFill="background1"/>
          </w:tcPr>
          <w:p w14:paraId="0E9EB31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Rodziny i Polityki Społecznej, Ministerstwo Rozwoju i Technologii</w:t>
            </w:r>
          </w:p>
        </w:tc>
        <w:tc>
          <w:tcPr>
            <w:tcW w:w="1500" w:type="dxa"/>
            <w:vMerge w:val="restart"/>
            <w:shd w:val="clear" w:color="auto" w:fill="FFFFFF" w:themeFill="background1"/>
          </w:tcPr>
          <w:p w14:paraId="79485B8E"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67ED424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kampanii społecznych zachęcających do świadomego decydowania o przejściu na emeryturę oraz promujących w przedsiębiorstwach zasady zarządzania wiekiem</w:t>
            </w:r>
          </w:p>
        </w:tc>
      </w:tr>
      <w:tr w:rsidR="003C25C5" w:rsidRPr="005911C6" w14:paraId="656481C8" w14:textId="77777777" w:rsidTr="008C67C9">
        <w:trPr>
          <w:trHeight w:val="1551"/>
        </w:trPr>
        <w:tc>
          <w:tcPr>
            <w:tcW w:w="1232" w:type="dxa"/>
            <w:vMerge/>
            <w:shd w:val="clear" w:color="auto" w:fill="FFFFFF" w:themeFill="background1"/>
          </w:tcPr>
          <w:p w14:paraId="539C5D4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0B44FE1" w14:textId="77777777" w:rsidR="003C25C5" w:rsidRPr="005911C6" w:rsidRDefault="003C25C5" w:rsidP="005911C6">
            <w:pPr>
              <w:pStyle w:val="Akapitzlist"/>
              <w:spacing w:after="0" w:line="240" w:lineRule="auto"/>
              <w:ind w:left="0"/>
              <w:rPr>
                <w:rFonts w:ascii="Lato" w:eastAsia="MS Mincho" w:hAnsi="Lato" w:cs="Times New Roman"/>
                <w:sz w:val="18"/>
                <w:szCs w:val="18"/>
              </w:rPr>
            </w:pPr>
          </w:p>
        </w:tc>
        <w:tc>
          <w:tcPr>
            <w:tcW w:w="2032" w:type="dxa"/>
            <w:vMerge/>
            <w:shd w:val="clear" w:color="auto" w:fill="FFFFFF" w:themeFill="background1"/>
          </w:tcPr>
          <w:p w14:paraId="10693CB7"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304AE105"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43A73A8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17E4D3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9DA1D59" w14:textId="77777777" w:rsidTr="008C67C9">
        <w:trPr>
          <w:trHeight w:val="575"/>
        </w:trPr>
        <w:tc>
          <w:tcPr>
            <w:tcW w:w="1232" w:type="dxa"/>
            <w:vMerge/>
            <w:shd w:val="clear" w:color="auto" w:fill="FFFFFF" w:themeFill="background1"/>
          </w:tcPr>
          <w:p w14:paraId="5BD3B0D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33435F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Dofinansowywanie działań skierowanych na utrzymanie zdolności do pracy przez cały okres aktywności zawodowej, prowadzonych przez pracodawców (ze szczególnym uwzględnieniem sektora małych i średnich przedsiębiorstw oraz przedsiębiorstw społecznych i spółdzielni socjalnych)</w:t>
            </w:r>
          </w:p>
        </w:tc>
        <w:tc>
          <w:tcPr>
            <w:tcW w:w="2032" w:type="dxa"/>
            <w:vMerge w:val="restart"/>
            <w:shd w:val="clear" w:color="auto" w:fill="FFFFFF" w:themeFill="background1"/>
          </w:tcPr>
          <w:p w14:paraId="650658D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Rodziny i Polityki Społecznej</w:t>
            </w:r>
          </w:p>
        </w:tc>
        <w:tc>
          <w:tcPr>
            <w:tcW w:w="1500" w:type="dxa"/>
            <w:vMerge w:val="restart"/>
            <w:shd w:val="clear" w:color="auto" w:fill="FFFFFF" w:themeFill="background1"/>
          </w:tcPr>
          <w:p w14:paraId="3F8ACE01"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4B0DC20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dofinansowanych działań skierowanych na utrzymanie zdolności do pracy przez cały okres aktywności zawodowej, prowadzonych przez pracodawców</w:t>
            </w:r>
          </w:p>
        </w:tc>
      </w:tr>
      <w:tr w:rsidR="003C25C5" w:rsidRPr="005911C6" w14:paraId="14BB3317" w14:textId="77777777" w:rsidTr="008C67C9">
        <w:trPr>
          <w:trHeight w:val="449"/>
        </w:trPr>
        <w:tc>
          <w:tcPr>
            <w:tcW w:w="1232" w:type="dxa"/>
            <w:vMerge/>
            <w:shd w:val="clear" w:color="auto" w:fill="FFFFFF" w:themeFill="background1"/>
          </w:tcPr>
          <w:p w14:paraId="6FA4DB1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276C413" w14:textId="77777777" w:rsidR="003C25C5" w:rsidRPr="005911C6" w:rsidRDefault="003C25C5" w:rsidP="005911C6">
            <w:pPr>
              <w:pStyle w:val="Akapitzlist"/>
              <w:spacing w:after="0" w:line="240" w:lineRule="auto"/>
              <w:ind w:left="0"/>
              <w:rPr>
                <w:rFonts w:ascii="Lato" w:eastAsia="MS Mincho" w:hAnsi="Lato" w:cs="Times New Roman"/>
                <w:sz w:val="18"/>
                <w:szCs w:val="18"/>
              </w:rPr>
            </w:pPr>
          </w:p>
        </w:tc>
        <w:tc>
          <w:tcPr>
            <w:tcW w:w="2032" w:type="dxa"/>
            <w:vMerge/>
            <w:shd w:val="clear" w:color="auto" w:fill="FFFFFF" w:themeFill="background1"/>
          </w:tcPr>
          <w:p w14:paraId="414CCCF7"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3A60052F"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10B3B3AB"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900678F" w14:textId="77777777" w:rsidR="003C25C5" w:rsidRPr="005911C6" w:rsidRDefault="003C25C5" w:rsidP="005911C6">
            <w:pPr>
              <w:spacing w:after="0" w:line="240" w:lineRule="auto"/>
              <w:rPr>
                <w:rFonts w:ascii="Lato" w:hAnsi="Lato" w:cs="Times New Roman"/>
                <w:sz w:val="18"/>
                <w:szCs w:val="18"/>
              </w:rPr>
            </w:pPr>
          </w:p>
          <w:p w14:paraId="7F91BAE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81247E4" w14:textId="77777777" w:rsidTr="008C67C9">
        <w:trPr>
          <w:trHeight w:val="281"/>
        </w:trPr>
        <w:tc>
          <w:tcPr>
            <w:tcW w:w="1232" w:type="dxa"/>
            <w:vMerge/>
            <w:shd w:val="clear" w:color="auto" w:fill="FFFFFF" w:themeFill="background1"/>
          </w:tcPr>
          <w:p w14:paraId="6CA3BBD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0691F2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sz w:val="18"/>
                <w:szCs w:val="18"/>
              </w:rPr>
              <w:t>Prowadzenie portalu kalkulatora emerytalnego, pozwalającego na symulację wysokości własnej emerytury w różnych wariantach</w:t>
            </w:r>
          </w:p>
        </w:tc>
        <w:tc>
          <w:tcPr>
            <w:tcW w:w="2032" w:type="dxa"/>
            <w:vMerge w:val="restart"/>
            <w:shd w:val="clear" w:color="auto" w:fill="FFFFFF" w:themeFill="background1"/>
          </w:tcPr>
          <w:p w14:paraId="3BDE3B6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Zakład Ubezpieczeń Społecznych</w:t>
            </w:r>
          </w:p>
        </w:tc>
        <w:tc>
          <w:tcPr>
            <w:tcW w:w="1500" w:type="dxa"/>
            <w:vMerge w:val="restart"/>
            <w:shd w:val="clear" w:color="auto" w:fill="FFFFFF" w:themeFill="background1"/>
          </w:tcPr>
          <w:p w14:paraId="57996C0E"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33D3312D"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Funkcjonowanie aktualnego portalu kalkulatora emerytalnego</w:t>
            </w:r>
          </w:p>
        </w:tc>
      </w:tr>
      <w:tr w:rsidR="003C25C5" w:rsidRPr="005911C6" w14:paraId="40D96C22" w14:textId="77777777" w:rsidTr="008C67C9">
        <w:trPr>
          <w:trHeight w:val="280"/>
        </w:trPr>
        <w:tc>
          <w:tcPr>
            <w:tcW w:w="1232" w:type="dxa"/>
            <w:vMerge/>
            <w:shd w:val="clear" w:color="auto" w:fill="FFFFFF" w:themeFill="background1"/>
          </w:tcPr>
          <w:p w14:paraId="005CC6A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23EB451" w14:textId="77777777" w:rsidR="003C25C5" w:rsidRPr="005911C6" w:rsidRDefault="003C25C5" w:rsidP="005911C6">
            <w:pPr>
              <w:pStyle w:val="Akapitzlist"/>
              <w:spacing w:after="0" w:line="240" w:lineRule="auto"/>
              <w:ind w:left="0"/>
              <w:rPr>
                <w:rFonts w:ascii="Lato" w:eastAsia="MS Mincho" w:hAnsi="Lato" w:cs="Times New Roman"/>
                <w:sz w:val="18"/>
                <w:szCs w:val="18"/>
              </w:rPr>
            </w:pPr>
          </w:p>
        </w:tc>
        <w:tc>
          <w:tcPr>
            <w:tcW w:w="2032" w:type="dxa"/>
            <w:vMerge/>
            <w:shd w:val="clear" w:color="auto" w:fill="FFFFFF" w:themeFill="background1"/>
          </w:tcPr>
          <w:p w14:paraId="3A983642"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7C6657FB"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4F0165B1" w14:textId="48B98B37" w:rsidR="009F2B02" w:rsidRPr="005911C6" w:rsidRDefault="009F2B02" w:rsidP="005911C6">
            <w:pPr>
              <w:spacing w:after="0" w:line="240" w:lineRule="auto"/>
              <w:rPr>
                <w:rFonts w:ascii="Lato" w:hAnsi="Lato" w:cs="Times New Roman"/>
                <w:sz w:val="18"/>
                <w:szCs w:val="18"/>
              </w:rPr>
            </w:pPr>
            <w:r w:rsidRPr="005911C6">
              <w:rPr>
                <w:rFonts w:ascii="Lato" w:hAnsi="Lato" w:cs="Times New Roman"/>
                <w:sz w:val="18"/>
                <w:szCs w:val="18"/>
              </w:rPr>
              <w:t xml:space="preserve">W 2022 r.( jak co roku) po ogłoszeniu danych przez GUS i przekazaniu założeń przez Ministerstwo Finansów zostały zaktualizowane parametry makroekonomiczne w kalkulatorach emerytalnych – emerytura na nowych zasadach, NSK i emerytura pomostowa.  </w:t>
            </w:r>
          </w:p>
          <w:p w14:paraId="54C2663F" w14:textId="01634BE5" w:rsidR="003C25C5" w:rsidRPr="005911C6" w:rsidRDefault="009F2B02" w:rsidP="005911C6">
            <w:pPr>
              <w:spacing w:after="0" w:line="240" w:lineRule="auto"/>
              <w:rPr>
                <w:rFonts w:ascii="Lato" w:hAnsi="Lato" w:cs="Times New Roman"/>
                <w:sz w:val="18"/>
                <w:szCs w:val="18"/>
              </w:rPr>
            </w:pPr>
            <w:r w:rsidRPr="005911C6">
              <w:rPr>
                <w:rFonts w:ascii="Lato" w:hAnsi="Lato" w:cs="Times New Roman"/>
                <w:sz w:val="18"/>
                <w:szCs w:val="18"/>
              </w:rPr>
              <w:t xml:space="preserve">W 2022 r. na portalu PUE ZUS i stronie </w:t>
            </w:r>
            <w:hyperlink r:id="rId39" w:history="1">
              <w:r w:rsidR="00C55821" w:rsidRPr="005911C6">
                <w:rPr>
                  <w:rStyle w:val="Hipercze"/>
                  <w:rFonts w:ascii="Lato" w:hAnsi="Lato" w:cs="Times New Roman"/>
                  <w:sz w:val="18"/>
                  <w:szCs w:val="18"/>
                </w:rPr>
                <w:t>www.zus.pl</w:t>
              </w:r>
            </w:hyperlink>
            <w:r w:rsidRPr="005911C6">
              <w:rPr>
                <w:rFonts w:ascii="Lato" w:hAnsi="Lato" w:cs="Times New Roman"/>
                <w:sz w:val="18"/>
                <w:szCs w:val="18"/>
              </w:rPr>
              <w:t xml:space="preserve"> klienci dokonali samodzielnie 2 339 880 obliczeń prognozowanej emerytury w kalkulatorze emerytalnym. Doradcy emerytalni obliczyli prognozowaną emeryturę dla 663 046 klientów.</w:t>
            </w:r>
          </w:p>
        </w:tc>
      </w:tr>
      <w:tr w:rsidR="003C25C5" w:rsidRPr="005911C6" w14:paraId="6FC43A69" w14:textId="77777777" w:rsidTr="008C67C9">
        <w:trPr>
          <w:trHeight w:val="178"/>
        </w:trPr>
        <w:tc>
          <w:tcPr>
            <w:tcW w:w="1232" w:type="dxa"/>
            <w:vMerge w:val="restart"/>
            <w:shd w:val="clear" w:color="auto" w:fill="FFFFFF" w:themeFill="background1"/>
            <w:textDirection w:val="btLr"/>
          </w:tcPr>
          <w:p w14:paraId="701627BF" w14:textId="77777777" w:rsidR="003C25C5" w:rsidRPr="005911C6" w:rsidRDefault="003C25C5" w:rsidP="005911C6">
            <w:pPr>
              <w:spacing w:after="0" w:line="240" w:lineRule="auto"/>
              <w:ind w:left="113" w:right="113"/>
              <w:jc w:val="center"/>
              <w:rPr>
                <w:rFonts w:ascii="Lato" w:hAnsi="Lato" w:cs="Times New Roman"/>
                <w:sz w:val="18"/>
                <w:szCs w:val="18"/>
              </w:rPr>
            </w:pPr>
            <w:r w:rsidRPr="005911C6">
              <w:rPr>
                <w:rFonts w:ascii="Lato" w:hAnsi="Lato" w:cs="Times New Roman"/>
                <w:sz w:val="18"/>
                <w:szCs w:val="18"/>
              </w:rPr>
              <w:t>Obszar II</w:t>
            </w:r>
          </w:p>
        </w:tc>
        <w:tc>
          <w:tcPr>
            <w:tcW w:w="3594" w:type="dxa"/>
            <w:vMerge w:val="restart"/>
            <w:shd w:val="clear" w:color="auto" w:fill="FFFFFF" w:themeFill="background1"/>
          </w:tcPr>
          <w:p w14:paraId="1CFFAA99" w14:textId="77777777" w:rsidR="003C25C5" w:rsidRPr="005911C6" w:rsidRDefault="003C25C5" w:rsidP="005911C6">
            <w:pPr>
              <w:pStyle w:val="Akapitzlist"/>
              <w:spacing w:after="0" w:line="240" w:lineRule="auto"/>
              <w:ind w:left="0"/>
              <w:rPr>
                <w:rFonts w:ascii="Lato" w:eastAsia="MS Mincho" w:hAnsi="Lato" w:cs="Times New Roman"/>
                <w:sz w:val="18"/>
                <w:szCs w:val="18"/>
              </w:rPr>
            </w:pPr>
            <w:r w:rsidRPr="005911C6">
              <w:rPr>
                <w:rFonts w:ascii="Lato" w:hAnsi="Lato" w:cs="Times New Roman"/>
                <w:sz w:val="18"/>
                <w:szCs w:val="18"/>
              </w:rPr>
              <w:t>Reforma procesu inwestycyjno – budowlanego oraz systemu planowania i zagospodarowania przestrzennego</w:t>
            </w:r>
          </w:p>
        </w:tc>
        <w:tc>
          <w:tcPr>
            <w:tcW w:w="2032" w:type="dxa"/>
            <w:vMerge w:val="restart"/>
            <w:shd w:val="clear" w:color="auto" w:fill="FFFFFF" w:themeFill="background1"/>
          </w:tcPr>
          <w:p w14:paraId="17406BC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Rozwoju i Technologii</w:t>
            </w:r>
            <w:r w:rsidRPr="005911C6">
              <w:rPr>
                <w:rFonts w:ascii="Lato" w:eastAsia="MS Mincho" w:hAnsi="Lato" w:cs="Times New Roman"/>
                <w:sz w:val="18"/>
                <w:szCs w:val="18"/>
              </w:rPr>
              <w:tab/>
            </w:r>
          </w:p>
        </w:tc>
        <w:tc>
          <w:tcPr>
            <w:tcW w:w="1500" w:type="dxa"/>
            <w:vMerge w:val="restart"/>
            <w:shd w:val="clear" w:color="auto" w:fill="FFFFFF" w:themeFill="background1"/>
          </w:tcPr>
          <w:p w14:paraId="1D72791F"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2018-2020</w:t>
            </w:r>
          </w:p>
        </w:tc>
        <w:tc>
          <w:tcPr>
            <w:tcW w:w="5638" w:type="dxa"/>
            <w:shd w:val="clear" w:color="auto" w:fill="FFFFFF" w:themeFill="background1"/>
          </w:tcPr>
          <w:p w14:paraId="4B9D61F8"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Opracowanie projektu przepisów regulujących proces inwestycyjno – budowlany oraz system planowania i zagospodarowania przestrzennego</w:t>
            </w:r>
          </w:p>
        </w:tc>
      </w:tr>
      <w:tr w:rsidR="003C25C5" w:rsidRPr="005911C6" w14:paraId="0BE076F2" w14:textId="77777777" w:rsidTr="008C67C9">
        <w:trPr>
          <w:trHeight w:val="177"/>
        </w:trPr>
        <w:tc>
          <w:tcPr>
            <w:tcW w:w="1232" w:type="dxa"/>
            <w:vMerge/>
            <w:shd w:val="clear" w:color="auto" w:fill="FFFFFF" w:themeFill="background1"/>
          </w:tcPr>
          <w:p w14:paraId="5601CDB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E3EFF1E" w14:textId="77777777" w:rsidR="003C25C5" w:rsidRPr="005911C6" w:rsidRDefault="003C25C5" w:rsidP="005911C6">
            <w:pPr>
              <w:pStyle w:val="Akapitzlist"/>
              <w:spacing w:after="0" w:line="240" w:lineRule="auto"/>
              <w:ind w:left="0"/>
              <w:rPr>
                <w:rFonts w:ascii="Lato" w:eastAsia="MS Mincho" w:hAnsi="Lato" w:cs="Times New Roman"/>
                <w:sz w:val="18"/>
                <w:szCs w:val="18"/>
              </w:rPr>
            </w:pPr>
          </w:p>
        </w:tc>
        <w:tc>
          <w:tcPr>
            <w:tcW w:w="2032" w:type="dxa"/>
            <w:vMerge/>
            <w:shd w:val="clear" w:color="auto" w:fill="FFFFFF" w:themeFill="background1"/>
          </w:tcPr>
          <w:p w14:paraId="71CDD67F"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00AAB39C"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584228C9" w14:textId="4A59DFF7" w:rsidR="003C25C5" w:rsidRPr="005911C6" w:rsidRDefault="0087749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Rozwoju i Technologii</w:t>
            </w:r>
          </w:p>
          <w:p w14:paraId="2FDA61D0"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Reforma procesu inwestycyjno</w:t>
            </w:r>
            <w:r w:rsidRPr="005911C6">
              <w:rPr>
                <w:rFonts w:ascii="Lato" w:eastAsia="MS Mincho" w:hAnsi="Lato" w:cs="Times New Roman"/>
                <w:bCs/>
                <w:sz w:val="18"/>
                <w:szCs w:val="18"/>
              </w:rPr>
              <w:noBreakHyphen/>
              <w:t>budowlanego w zakresie procesu budowlanego została zrealizowana poprzez ustawę z dnia 13 lutego 2020 r. o zmianie ustawy – Prawo budowlane oraz niektórych innych ustaw (Dz. U. z 2020 r. poz. 471).  Kontynuacją reformy procesu inwestycyjno</w:t>
            </w:r>
            <w:r w:rsidRPr="005911C6">
              <w:rPr>
                <w:rFonts w:ascii="Lato" w:eastAsia="MS Mincho" w:hAnsi="Lato" w:cs="Times New Roman"/>
                <w:bCs/>
                <w:sz w:val="18"/>
                <w:szCs w:val="18"/>
              </w:rPr>
              <w:noBreakHyphen/>
              <w:t>budowlanego w zakresie planowania i zagospodarowania przestrzennego były prace nad projektem ustawy o zmianie ustawy o planowaniu i zagospodarowaniu przestrzennym oraz niektórych innych ustaw, których efektem było uchwalenie ustawy przez Sejm RP w dniu 26 maja 2023 r. Nowe przepisy umożliwią gminom racjonalną gospodarkę przestrzenną poprzez usprawnienie i skrócenie procedur planistycznych, ułatwią udział społeczeństwa w planowaniu przestrzennym poprzez konsultacje społeczne oraz udostępnienie informacji o zmianach w przestrzeni w wiarygodnym informatycznym Rejestrze Urbanistycznym.  Planowane wejście w życie przepisów ustawy to sierpień 2023 r. Obecnie trwają prace nad projektami rozporządzeń wykonawczych do ustawy.</w:t>
            </w:r>
          </w:p>
          <w:p w14:paraId="67E724BA" w14:textId="77777777" w:rsidR="00877496" w:rsidRPr="005911C6" w:rsidRDefault="00877496" w:rsidP="005911C6">
            <w:pPr>
              <w:spacing w:after="0" w:line="240" w:lineRule="auto"/>
              <w:rPr>
                <w:rFonts w:ascii="Lato" w:eastAsia="MS Mincho" w:hAnsi="Lato" w:cs="Times New Roman"/>
                <w:b/>
                <w:sz w:val="18"/>
                <w:szCs w:val="18"/>
              </w:rPr>
            </w:pPr>
          </w:p>
          <w:p w14:paraId="2978EE4E"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W 2022 r. kontynuowane były również prace nad opracowaniem nowych warunków techniczno-budowlanych dla budynków. Nowe przepisy techniczno-budowlane będą miały na celu m.in.  ułatwienie dostępu do budynków i urządzeń z nimi związanych osobom z różnym rodzajem niepełnosprawności, co z pewnością będzie miało pozytywny wpływ również na inne grupy społeczne, takie jak osoby starsze, opiekunowie z małymi dziećmi czy osoby z czasowymi dysfunkcjami ruchowymi.</w:t>
            </w:r>
          </w:p>
          <w:p w14:paraId="1F5AEE0B"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Projekt nowego rozporządzenia był przedmiotem konsultacji publicznych, opiniowania i uzgodnień międzyresortowych. Niemniej </w:t>
            </w:r>
            <w:r w:rsidRPr="005911C6">
              <w:rPr>
                <w:rFonts w:ascii="Lato" w:eastAsia="MS Mincho" w:hAnsi="Lato" w:cs="Times New Roman"/>
                <w:bCs/>
                <w:sz w:val="18"/>
                <w:szCs w:val="18"/>
              </w:rPr>
              <w:lastRenderedPageBreak/>
              <w:t xml:space="preserve">ze względu na złożoność materii, jaką jest wydanie nowej, kompleksowej regulacji zawierającej wymagania techniczne dla budynków, a także liczby zgłoszonych uwag, obecnie nadal trwa analiza uwag, które wpłynęły do resortu. Podkreślić przy tym należy, że w przypadku poszczególnych obszarów tematycznych zawartych w przedmiotowym projekcie rozporządzenia zachodzi konieczność bardziej szczegółowej analizy jak również konieczność zasięgania dodatkowych opinii poszczególnych podmiotów specjalizujących się w danej dziedzinie. </w:t>
            </w:r>
          </w:p>
          <w:p w14:paraId="74F1D2DB" w14:textId="7E6AEF50" w:rsidR="00877496" w:rsidRPr="005911C6" w:rsidRDefault="00877496" w:rsidP="005911C6">
            <w:pPr>
              <w:spacing w:after="0" w:line="240" w:lineRule="auto"/>
              <w:rPr>
                <w:rFonts w:ascii="Lato" w:eastAsia="MS Mincho" w:hAnsi="Lato" w:cs="Times New Roman"/>
                <w:b/>
                <w:sz w:val="18"/>
                <w:szCs w:val="18"/>
              </w:rPr>
            </w:pPr>
            <w:r w:rsidRPr="005911C6">
              <w:rPr>
                <w:rFonts w:ascii="Lato" w:eastAsia="MS Mincho" w:hAnsi="Lato" w:cs="Times New Roman"/>
                <w:bCs/>
                <w:sz w:val="18"/>
                <w:szCs w:val="18"/>
              </w:rPr>
              <w:t xml:space="preserve">Dodatkowe informacje dot. projektu rozporządzenia Ministra Rozwoju i Technologii w sprawie warunków technicznych, jakim powinny odpowiadać budynki i ich usytuowanie: </w:t>
            </w:r>
            <w:hyperlink r:id="rId40" w:history="1">
              <w:r w:rsidRPr="005911C6">
                <w:rPr>
                  <w:rStyle w:val="Hipercze"/>
                  <w:rFonts w:ascii="Lato" w:eastAsia="MS Mincho" w:hAnsi="Lato" w:cs="Times New Roman"/>
                  <w:bCs/>
                  <w:color w:val="auto"/>
                  <w:sz w:val="18"/>
                  <w:szCs w:val="18"/>
                </w:rPr>
                <w:t>https://legislacja.rcl.gov.pl/projekt/12353350</w:t>
              </w:r>
            </w:hyperlink>
            <w:r w:rsidRPr="005911C6">
              <w:rPr>
                <w:rFonts w:ascii="Lato" w:eastAsia="MS Mincho" w:hAnsi="Lato" w:cs="Times New Roman"/>
                <w:bCs/>
                <w:sz w:val="18"/>
                <w:szCs w:val="18"/>
              </w:rPr>
              <w:t>.</w:t>
            </w:r>
          </w:p>
          <w:p w14:paraId="07EC3601" w14:textId="1D40C13E" w:rsidR="00877496" w:rsidRPr="005911C6" w:rsidRDefault="00877496" w:rsidP="005911C6">
            <w:pPr>
              <w:spacing w:after="0" w:line="240" w:lineRule="auto"/>
              <w:rPr>
                <w:rFonts w:ascii="Lato" w:eastAsia="MS Mincho" w:hAnsi="Lato" w:cs="Times New Roman"/>
                <w:b/>
                <w:sz w:val="18"/>
                <w:szCs w:val="18"/>
                <w:u w:val="single"/>
              </w:rPr>
            </w:pPr>
          </w:p>
        </w:tc>
      </w:tr>
      <w:tr w:rsidR="003C25C5" w:rsidRPr="005911C6" w14:paraId="07D76A64" w14:textId="77777777" w:rsidTr="008C67C9">
        <w:trPr>
          <w:trHeight w:val="159"/>
        </w:trPr>
        <w:tc>
          <w:tcPr>
            <w:tcW w:w="1232" w:type="dxa"/>
            <w:vMerge/>
            <w:shd w:val="clear" w:color="auto" w:fill="FFFFFF" w:themeFill="background1"/>
          </w:tcPr>
          <w:p w14:paraId="3D3FC65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2A868FE" w14:textId="77777777" w:rsidR="003C25C5" w:rsidRPr="005911C6" w:rsidRDefault="003C25C5" w:rsidP="005911C6">
            <w:pPr>
              <w:pStyle w:val="Akapitzlist"/>
              <w:spacing w:after="0" w:line="240" w:lineRule="auto"/>
              <w:ind w:left="0"/>
              <w:rPr>
                <w:rFonts w:ascii="Lato" w:eastAsia="MS Mincho" w:hAnsi="Lato" w:cs="Times New Roman"/>
                <w:sz w:val="18"/>
                <w:szCs w:val="18"/>
              </w:rPr>
            </w:pPr>
            <w:r w:rsidRPr="005911C6">
              <w:rPr>
                <w:rFonts w:ascii="Lato" w:hAnsi="Lato" w:cs="Times New Roman"/>
                <w:sz w:val="18"/>
                <w:szCs w:val="18"/>
              </w:rPr>
              <w:t>Realizacja kampanii społecznych lub akcji informacyjno-edukacyjnych skierowanych do osób starszych, zachęcających do przypomnienia i utrwalenia wiedzy z zakresu bezpieczeństwa ruchu drogowego</w:t>
            </w:r>
          </w:p>
        </w:tc>
        <w:tc>
          <w:tcPr>
            <w:tcW w:w="2032" w:type="dxa"/>
            <w:vMerge w:val="restart"/>
            <w:shd w:val="clear" w:color="auto" w:fill="FFFFFF" w:themeFill="background1"/>
          </w:tcPr>
          <w:p w14:paraId="21D0C85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Infrastruktury</w:t>
            </w:r>
          </w:p>
        </w:tc>
        <w:tc>
          <w:tcPr>
            <w:tcW w:w="1500" w:type="dxa"/>
            <w:vMerge w:val="restart"/>
            <w:shd w:val="clear" w:color="auto" w:fill="FFFFFF" w:themeFill="background1"/>
          </w:tcPr>
          <w:p w14:paraId="61A38DCC"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2018-2020</w:t>
            </w:r>
          </w:p>
        </w:tc>
        <w:tc>
          <w:tcPr>
            <w:tcW w:w="5638" w:type="dxa"/>
            <w:shd w:val="clear" w:color="auto" w:fill="FFFFFF" w:themeFill="background1"/>
          </w:tcPr>
          <w:p w14:paraId="5A83A82B"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kampanii społecznych, akcji informacyjno-edukacyjnych skierowanych do osób starszych, zachęcających do przypomnienia i utrwalenia wiedzy z zakresu bezpieczeństwa ruchu drogowego</w:t>
            </w:r>
          </w:p>
        </w:tc>
      </w:tr>
      <w:tr w:rsidR="003C25C5" w:rsidRPr="005911C6" w14:paraId="46F16315" w14:textId="77777777" w:rsidTr="008C67C9">
        <w:trPr>
          <w:trHeight w:val="159"/>
        </w:trPr>
        <w:tc>
          <w:tcPr>
            <w:tcW w:w="1232" w:type="dxa"/>
            <w:vMerge/>
            <w:shd w:val="clear" w:color="auto" w:fill="FFFFFF" w:themeFill="background1"/>
          </w:tcPr>
          <w:p w14:paraId="6E193FF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9B7C510" w14:textId="77777777" w:rsidR="003C25C5" w:rsidRPr="005911C6" w:rsidRDefault="003C25C5" w:rsidP="005911C6">
            <w:pPr>
              <w:pStyle w:val="Akapitzlist"/>
              <w:spacing w:after="0" w:line="240" w:lineRule="auto"/>
              <w:ind w:left="0"/>
              <w:rPr>
                <w:rFonts w:ascii="Lato" w:eastAsia="MS Mincho" w:hAnsi="Lato" w:cs="Times New Roman"/>
                <w:sz w:val="18"/>
                <w:szCs w:val="18"/>
              </w:rPr>
            </w:pPr>
          </w:p>
        </w:tc>
        <w:tc>
          <w:tcPr>
            <w:tcW w:w="2032" w:type="dxa"/>
            <w:vMerge/>
            <w:shd w:val="clear" w:color="auto" w:fill="FFFFFF" w:themeFill="background1"/>
          </w:tcPr>
          <w:p w14:paraId="7A0FEB06"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4FB83AD1"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69B544A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A17CDFA" w14:textId="77777777" w:rsidR="003C25C5" w:rsidRPr="005911C6" w:rsidRDefault="003C25C5" w:rsidP="005911C6">
            <w:pPr>
              <w:spacing w:after="0" w:line="240" w:lineRule="auto"/>
              <w:rPr>
                <w:rFonts w:ascii="Lato" w:hAnsi="Lato" w:cs="Times New Roman"/>
                <w:sz w:val="18"/>
                <w:szCs w:val="18"/>
              </w:rPr>
            </w:pPr>
          </w:p>
          <w:p w14:paraId="2E45CDB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4825928" w14:textId="77777777" w:rsidTr="008C67C9">
        <w:trPr>
          <w:trHeight w:val="1123"/>
        </w:trPr>
        <w:tc>
          <w:tcPr>
            <w:tcW w:w="1232" w:type="dxa"/>
            <w:vMerge/>
            <w:shd w:val="clear" w:color="auto" w:fill="FFFFFF" w:themeFill="background1"/>
          </w:tcPr>
          <w:p w14:paraId="3572FDA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77A1EDA"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Minimalizowanie istniejących barier architektonicznych uniemożliwiających aktywność osobom starszym poprzez:</w:t>
            </w:r>
          </w:p>
          <w:p w14:paraId="42FE5E99" w14:textId="77777777" w:rsidR="003C25C5" w:rsidRPr="005911C6" w:rsidRDefault="003C25C5" w:rsidP="005911C6">
            <w:pPr>
              <w:pStyle w:val="Kolorowalistaakcent11"/>
              <w:numPr>
                <w:ilvl w:val="0"/>
                <w:numId w:val="5"/>
              </w:numPr>
              <w:spacing w:after="0" w:line="240" w:lineRule="auto"/>
              <w:ind w:left="360"/>
              <w:rPr>
                <w:rFonts w:ascii="Lato" w:hAnsi="Lato"/>
                <w:sz w:val="18"/>
                <w:szCs w:val="18"/>
              </w:rPr>
            </w:pPr>
            <w:r w:rsidRPr="005911C6">
              <w:rPr>
                <w:rFonts w:ascii="Lato" w:hAnsi="Lato"/>
                <w:sz w:val="18"/>
                <w:szCs w:val="18"/>
              </w:rPr>
              <w:t xml:space="preserve">dostosowywanie przestrzeni publicznej i infrastruktury </w:t>
            </w:r>
            <w:r w:rsidRPr="005911C6">
              <w:rPr>
                <w:rFonts w:ascii="Lato" w:hAnsi="Lato"/>
                <w:sz w:val="18"/>
                <w:szCs w:val="18"/>
              </w:rPr>
              <w:br/>
              <w:t>do potrzeb osób z różnymi rodzajami niepełnosprawności;</w:t>
            </w:r>
          </w:p>
          <w:p w14:paraId="337FDF69" w14:textId="77777777" w:rsidR="003C25C5" w:rsidRPr="005911C6" w:rsidRDefault="003C25C5" w:rsidP="005911C6">
            <w:pPr>
              <w:pStyle w:val="Kolorowalistaakcent11"/>
              <w:numPr>
                <w:ilvl w:val="0"/>
                <w:numId w:val="5"/>
              </w:numPr>
              <w:spacing w:after="0" w:line="240" w:lineRule="auto"/>
              <w:ind w:left="360"/>
              <w:rPr>
                <w:rFonts w:ascii="Lato" w:hAnsi="Lato"/>
                <w:sz w:val="18"/>
                <w:szCs w:val="18"/>
              </w:rPr>
            </w:pPr>
            <w:r w:rsidRPr="005911C6">
              <w:rPr>
                <w:rFonts w:ascii="Lato" w:hAnsi="Lato"/>
                <w:sz w:val="18"/>
                <w:szCs w:val="18"/>
              </w:rPr>
              <w:t>zwiększanie świadomości mieszkańców i inwestorów działających w przestrzeni publicznej;</w:t>
            </w:r>
          </w:p>
          <w:p w14:paraId="4BAA9217" w14:textId="77777777" w:rsidR="003C25C5" w:rsidRPr="005911C6" w:rsidRDefault="003C25C5" w:rsidP="005911C6">
            <w:pPr>
              <w:pStyle w:val="Kolorowalistaakcent11"/>
              <w:numPr>
                <w:ilvl w:val="0"/>
                <w:numId w:val="5"/>
              </w:numPr>
              <w:spacing w:after="0" w:line="240" w:lineRule="auto"/>
              <w:ind w:left="360"/>
              <w:rPr>
                <w:rFonts w:ascii="Lato" w:hAnsi="Lato"/>
                <w:sz w:val="18"/>
                <w:szCs w:val="18"/>
              </w:rPr>
            </w:pPr>
            <w:r w:rsidRPr="005911C6">
              <w:rPr>
                <w:rFonts w:ascii="Lato" w:hAnsi="Lato"/>
                <w:sz w:val="18"/>
                <w:szCs w:val="18"/>
              </w:rPr>
              <w:t>prowadzenie sukcesywnej oceny dostępności przestrzeni publicznych przez jednostki samorządu terytorialnego;</w:t>
            </w:r>
          </w:p>
          <w:p w14:paraId="69B3591D" w14:textId="77777777" w:rsidR="003C25C5" w:rsidRPr="005911C6" w:rsidRDefault="003C25C5" w:rsidP="005911C6">
            <w:pPr>
              <w:pStyle w:val="Kolorowalistaakcent11"/>
              <w:numPr>
                <w:ilvl w:val="0"/>
                <w:numId w:val="5"/>
              </w:numPr>
              <w:spacing w:after="0" w:line="240" w:lineRule="auto"/>
              <w:ind w:left="360"/>
              <w:rPr>
                <w:rFonts w:ascii="Lato" w:hAnsi="Lato"/>
                <w:sz w:val="18"/>
                <w:szCs w:val="18"/>
              </w:rPr>
            </w:pPr>
            <w:r w:rsidRPr="005911C6">
              <w:rPr>
                <w:rFonts w:ascii="Lato" w:hAnsi="Lato"/>
                <w:sz w:val="18"/>
                <w:szCs w:val="18"/>
              </w:rPr>
              <w:t xml:space="preserve">włączanie osób starszych </w:t>
            </w:r>
            <w:r w:rsidRPr="005911C6">
              <w:rPr>
                <w:rFonts w:ascii="Lato" w:hAnsi="Lato"/>
                <w:sz w:val="18"/>
                <w:szCs w:val="18"/>
              </w:rPr>
              <w:br/>
              <w:t xml:space="preserve">oraz organizacji senioralnych </w:t>
            </w:r>
            <w:r w:rsidRPr="005911C6">
              <w:rPr>
                <w:rFonts w:ascii="Lato" w:hAnsi="Lato"/>
                <w:sz w:val="18"/>
                <w:szCs w:val="18"/>
              </w:rPr>
              <w:br/>
              <w:t>w procesy decyzyjne mające w celu diagnozowanie istniejących ograniczeń i ich rozwiązywanie;</w:t>
            </w:r>
          </w:p>
          <w:p w14:paraId="206EA8CB" w14:textId="77777777" w:rsidR="003C25C5" w:rsidRPr="005911C6" w:rsidRDefault="003C25C5" w:rsidP="005911C6">
            <w:pPr>
              <w:pStyle w:val="Kolorowalistaakcent11"/>
              <w:numPr>
                <w:ilvl w:val="0"/>
                <w:numId w:val="5"/>
              </w:numPr>
              <w:spacing w:after="0" w:line="240" w:lineRule="auto"/>
              <w:ind w:left="360"/>
              <w:rPr>
                <w:rFonts w:ascii="Lato" w:hAnsi="Lato"/>
                <w:sz w:val="18"/>
                <w:szCs w:val="18"/>
              </w:rPr>
            </w:pPr>
            <w:r w:rsidRPr="005911C6">
              <w:rPr>
                <w:rFonts w:ascii="Lato" w:hAnsi="Lato"/>
                <w:sz w:val="18"/>
                <w:szCs w:val="18"/>
              </w:rPr>
              <w:lastRenderedPageBreak/>
              <w:t xml:space="preserve">likwidację barier architektonicznych </w:t>
            </w:r>
            <w:r w:rsidRPr="005911C6">
              <w:rPr>
                <w:rFonts w:ascii="Lato" w:hAnsi="Lato"/>
                <w:sz w:val="18"/>
                <w:szCs w:val="18"/>
              </w:rPr>
              <w:br/>
              <w:t>w instytucjach publicznych</w:t>
            </w:r>
          </w:p>
        </w:tc>
        <w:tc>
          <w:tcPr>
            <w:tcW w:w="2032" w:type="dxa"/>
            <w:vMerge w:val="restart"/>
            <w:shd w:val="clear" w:color="auto" w:fill="FFFFFF" w:themeFill="background1"/>
          </w:tcPr>
          <w:p w14:paraId="504E45D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Ministerstwo Rozwoju i Technologii, Ministerstwo Infrastruktury</w:t>
            </w:r>
          </w:p>
          <w:p w14:paraId="65DB327C"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val="restart"/>
            <w:shd w:val="clear" w:color="auto" w:fill="FFFFFF" w:themeFill="background1"/>
          </w:tcPr>
          <w:p w14:paraId="252C9AE9" w14:textId="77777777" w:rsidR="003C25C5" w:rsidRPr="005911C6" w:rsidRDefault="003C25C5" w:rsidP="005911C6">
            <w:pPr>
              <w:spacing w:after="0" w:line="240" w:lineRule="auto"/>
              <w:rPr>
                <w:rFonts w:ascii="Lato" w:hAnsi="Lato" w:cs="Times New Roman"/>
                <w:sz w:val="18"/>
                <w:szCs w:val="18"/>
              </w:rPr>
            </w:pPr>
            <w:r w:rsidRPr="005911C6">
              <w:rPr>
                <w:rFonts w:ascii="Lato" w:hAnsi="Lato" w:cs="Times New Roman"/>
                <w:sz w:val="18"/>
                <w:szCs w:val="18"/>
              </w:rPr>
              <w:t>Działanie ciągłe*</w:t>
            </w:r>
          </w:p>
        </w:tc>
        <w:tc>
          <w:tcPr>
            <w:tcW w:w="5638" w:type="dxa"/>
            <w:shd w:val="clear" w:color="auto" w:fill="FFFFFF" w:themeFill="background1"/>
          </w:tcPr>
          <w:p w14:paraId="3B3FAAA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działań podjętych przez jednostki samorządu terytorialnego</w:t>
            </w:r>
            <w:r w:rsidRPr="005911C6">
              <w:rPr>
                <w:rFonts w:ascii="Lato" w:hAnsi="Lato" w:cs="Times New Roman"/>
                <w:i/>
                <w:sz w:val="18"/>
                <w:szCs w:val="18"/>
              </w:rPr>
              <w:t xml:space="preserve"> w obszarze minimalizowania istniejących barier architektonicznych uniemożliwiających aktywność osobom starszym</w:t>
            </w:r>
          </w:p>
        </w:tc>
      </w:tr>
      <w:tr w:rsidR="003C25C5" w:rsidRPr="005911C6" w14:paraId="25E0B37B" w14:textId="77777777" w:rsidTr="008C67C9">
        <w:trPr>
          <w:trHeight w:val="1399"/>
        </w:trPr>
        <w:tc>
          <w:tcPr>
            <w:tcW w:w="1232" w:type="dxa"/>
            <w:vMerge/>
            <w:shd w:val="clear" w:color="auto" w:fill="FFFFFF" w:themeFill="background1"/>
          </w:tcPr>
          <w:p w14:paraId="67A3058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4172BFB" w14:textId="77777777" w:rsidR="003C25C5" w:rsidRPr="005911C6" w:rsidRDefault="003C25C5" w:rsidP="005911C6">
            <w:pPr>
              <w:pStyle w:val="Kolorowalistaakcent11"/>
              <w:spacing w:after="0" w:line="240" w:lineRule="auto"/>
              <w:ind w:left="0"/>
              <w:rPr>
                <w:rFonts w:ascii="Lato" w:hAnsi="Lato"/>
                <w:sz w:val="18"/>
                <w:szCs w:val="18"/>
              </w:rPr>
            </w:pPr>
          </w:p>
        </w:tc>
        <w:tc>
          <w:tcPr>
            <w:tcW w:w="2032" w:type="dxa"/>
            <w:vMerge/>
            <w:shd w:val="clear" w:color="auto" w:fill="FFFFFF" w:themeFill="background1"/>
          </w:tcPr>
          <w:p w14:paraId="37FF41A2"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5685AAA8" w14:textId="77777777" w:rsidR="003C25C5" w:rsidRPr="005911C6" w:rsidRDefault="003C25C5" w:rsidP="005911C6">
            <w:pPr>
              <w:spacing w:after="0" w:line="240" w:lineRule="auto"/>
              <w:rPr>
                <w:rFonts w:ascii="Lato" w:hAnsi="Lato" w:cs="Times New Roman"/>
                <w:sz w:val="18"/>
                <w:szCs w:val="18"/>
              </w:rPr>
            </w:pPr>
          </w:p>
        </w:tc>
        <w:tc>
          <w:tcPr>
            <w:tcW w:w="5638" w:type="dxa"/>
            <w:shd w:val="clear" w:color="auto" w:fill="FFFFFF" w:themeFill="background1"/>
          </w:tcPr>
          <w:p w14:paraId="7C667B09" w14:textId="77777777" w:rsidR="00C96403" w:rsidRPr="005911C6" w:rsidRDefault="00C96403"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Funduszy i Polityki Regionalnej</w:t>
            </w:r>
          </w:p>
          <w:p w14:paraId="6B15CC1A" w14:textId="77777777" w:rsidR="00C96403" w:rsidRPr="005911C6" w:rsidRDefault="00C96403" w:rsidP="005911C6">
            <w:pPr>
              <w:pStyle w:val="Akapitzlist"/>
              <w:numPr>
                <w:ilvl w:val="0"/>
                <w:numId w:val="11"/>
              </w:numPr>
              <w:spacing w:after="0" w:line="240" w:lineRule="auto"/>
              <w:ind w:left="360"/>
              <w:rPr>
                <w:rFonts w:ascii="Lato" w:hAnsi="Lato" w:cs="Times New Roman"/>
                <w:b/>
                <w:bCs/>
                <w:color w:val="2F5496" w:themeColor="accent1" w:themeShade="BF"/>
                <w:sz w:val="18"/>
                <w:szCs w:val="18"/>
              </w:rPr>
            </w:pPr>
            <w:r w:rsidRPr="005911C6">
              <w:rPr>
                <w:rFonts w:ascii="Lato" w:eastAsia="MS Mincho" w:hAnsi="Lato" w:cs="Times New Roman"/>
                <w:sz w:val="18"/>
                <w:szCs w:val="18"/>
              </w:rPr>
              <w:t>Fundusz Dostępności (FD) - w 2022 r. Bank Gospodarstwa Krajowego udzielił 189 pożyczek na likwidację barier architektonicznych w budynkach mieszkalnictwa wielorodzinnego i użyteczności publicznej na łączną kwotę 120,6 mln zł (73 umowy na kwotę 58,6 mln zł dotyczyły wymiany lub modernizacji wind). Do końca 2022 r. złożono 209 wniosków o udzielenie pożyczki z FD na łączną kwotę 207,9 mln zł. Ponadto przy wsparciu środków z FD zakończono realizację 92 inwestycji na łączną kwotę 22,9 mln zł;</w:t>
            </w:r>
          </w:p>
          <w:p w14:paraId="09A47876" w14:textId="77777777" w:rsidR="00C96403" w:rsidRPr="005911C6" w:rsidRDefault="00C96403" w:rsidP="005911C6">
            <w:pPr>
              <w:pStyle w:val="Akapitzlist"/>
              <w:numPr>
                <w:ilvl w:val="0"/>
                <w:numId w:val="11"/>
              </w:numPr>
              <w:spacing w:after="0" w:line="240" w:lineRule="auto"/>
              <w:ind w:left="360"/>
              <w:rPr>
                <w:rFonts w:ascii="Lato" w:hAnsi="Lato" w:cs="Times New Roman"/>
                <w:b/>
                <w:bCs/>
                <w:color w:val="2F5496" w:themeColor="accent1" w:themeShade="BF"/>
                <w:sz w:val="18"/>
                <w:szCs w:val="18"/>
              </w:rPr>
            </w:pPr>
            <w:r w:rsidRPr="005911C6">
              <w:rPr>
                <w:rFonts w:ascii="Lato" w:eastAsia="MS Mincho" w:hAnsi="Lato" w:cs="Times New Roman"/>
                <w:sz w:val="18"/>
                <w:szCs w:val="18"/>
              </w:rPr>
              <w:t xml:space="preserve">w ramach Programu Rady Nadzorczej PFRON </w:t>
            </w:r>
            <w:r w:rsidRPr="005911C6">
              <w:rPr>
                <w:rFonts w:ascii="Lato" w:hAnsi="Lato"/>
                <w:sz w:val="18"/>
                <w:szCs w:val="18"/>
              </w:rPr>
              <w:br/>
            </w:r>
            <w:r w:rsidRPr="005911C6">
              <w:rPr>
                <w:rFonts w:ascii="Lato" w:eastAsia="MS Mincho" w:hAnsi="Lato" w:cs="Times New Roman"/>
                <w:sz w:val="18"/>
                <w:szCs w:val="18"/>
              </w:rPr>
              <w:t xml:space="preserve">pn. “Program wyrównywania różnic między regionami III” </w:t>
            </w:r>
            <w:r w:rsidRPr="005911C6">
              <w:rPr>
                <w:rFonts w:ascii="Lato" w:hAnsi="Lato"/>
                <w:sz w:val="18"/>
                <w:szCs w:val="18"/>
              </w:rPr>
              <w:br/>
            </w:r>
            <w:r w:rsidRPr="005911C6">
              <w:rPr>
                <w:rFonts w:ascii="Lato" w:eastAsia="MS Mincho" w:hAnsi="Lato" w:cs="Times New Roman"/>
                <w:sz w:val="18"/>
                <w:szCs w:val="18"/>
              </w:rPr>
              <w:t xml:space="preserve">w 2022 r. wypłacone zostały środki finansowe </w:t>
            </w:r>
            <w:r w:rsidRPr="005911C6">
              <w:rPr>
                <w:rFonts w:ascii="Lato" w:hAnsi="Lato"/>
                <w:sz w:val="18"/>
                <w:szCs w:val="18"/>
              </w:rPr>
              <w:br/>
            </w:r>
            <w:r w:rsidRPr="005911C6">
              <w:rPr>
                <w:rFonts w:ascii="Lato" w:eastAsia="MS Mincho" w:hAnsi="Lato" w:cs="Times New Roman"/>
                <w:sz w:val="18"/>
                <w:szCs w:val="18"/>
              </w:rPr>
              <w:t xml:space="preserve">w wysokości 1,65 mln zł, dotyczące wniosków obejmujących </w:t>
            </w:r>
            <w:r w:rsidRPr="005911C6">
              <w:rPr>
                <w:rFonts w:ascii="Lato" w:eastAsia="MS Mincho" w:hAnsi="Lato" w:cs="Times New Roman"/>
                <w:sz w:val="18"/>
                <w:szCs w:val="18"/>
              </w:rPr>
              <w:lastRenderedPageBreak/>
              <w:t xml:space="preserve">dostępność architektonicznej 22 wielorodzinnych budynków zamieszkiwanych przez </w:t>
            </w:r>
            <w:r w:rsidRPr="005911C6">
              <w:rPr>
                <w:rFonts w:ascii="Lato" w:hAnsi="Lato"/>
                <w:sz w:val="18"/>
                <w:szCs w:val="18"/>
              </w:rPr>
              <w:br/>
            </w:r>
            <w:r w:rsidRPr="005911C6">
              <w:rPr>
                <w:rFonts w:ascii="Lato" w:eastAsia="MS Mincho" w:hAnsi="Lato" w:cs="Times New Roman"/>
                <w:sz w:val="18"/>
                <w:szCs w:val="18"/>
              </w:rPr>
              <w:t>93 osoby niepełnosprawne;</w:t>
            </w:r>
          </w:p>
          <w:p w14:paraId="783BA2EF" w14:textId="77777777" w:rsidR="00C96403" w:rsidRPr="005911C6" w:rsidRDefault="00C96403" w:rsidP="005911C6">
            <w:pPr>
              <w:pStyle w:val="Akapitzlist"/>
              <w:numPr>
                <w:ilvl w:val="0"/>
                <w:numId w:val="11"/>
              </w:numPr>
              <w:spacing w:after="0" w:line="240" w:lineRule="auto"/>
              <w:ind w:left="360"/>
              <w:rPr>
                <w:rFonts w:ascii="Lato" w:hAnsi="Lato" w:cs="Times New Roman"/>
                <w:b/>
                <w:bCs/>
                <w:color w:val="2F5496" w:themeColor="accent1" w:themeShade="BF"/>
                <w:sz w:val="18"/>
                <w:szCs w:val="18"/>
              </w:rPr>
            </w:pPr>
            <w:r w:rsidRPr="005911C6">
              <w:rPr>
                <w:rFonts w:ascii="Lato" w:eastAsia="MS Mincho" w:hAnsi="Lato" w:cs="Times New Roman"/>
                <w:sz w:val="18"/>
                <w:szCs w:val="18"/>
              </w:rPr>
              <w:t xml:space="preserve">w projekcie PFRON pn. “Usługi indywidualnego transportu </w:t>
            </w:r>
            <w:proofErr w:type="spellStart"/>
            <w:r w:rsidRPr="005911C6">
              <w:rPr>
                <w:rFonts w:ascii="Lato" w:eastAsia="MS Mincho" w:hAnsi="Lato" w:cs="Times New Roman"/>
                <w:sz w:val="18"/>
                <w:szCs w:val="18"/>
              </w:rPr>
              <w:t>door</w:t>
            </w:r>
            <w:proofErr w:type="spellEnd"/>
            <w:r w:rsidRPr="005911C6">
              <w:rPr>
                <w:rFonts w:ascii="Lato" w:eastAsia="MS Mincho" w:hAnsi="Lato" w:cs="Times New Roman"/>
                <w:sz w:val="18"/>
                <w:szCs w:val="18"/>
              </w:rPr>
              <w:t>-to-</w:t>
            </w:r>
            <w:proofErr w:type="spellStart"/>
            <w:r w:rsidRPr="005911C6">
              <w:rPr>
                <w:rFonts w:ascii="Lato" w:eastAsia="MS Mincho" w:hAnsi="Lato" w:cs="Times New Roman"/>
                <w:sz w:val="18"/>
                <w:szCs w:val="18"/>
              </w:rPr>
              <w:t>door</w:t>
            </w:r>
            <w:proofErr w:type="spellEnd"/>
            <w:r w:rsidRPr="005911C6">
              <w:rPr>
                <w:rFonts w:ascii="Lato" w:eastAsia="MS Mincho" w:hAnsi="Lato" w:cs="Times New Roman"/>
                <w:sz w:val="18"/>
                <w:szCs w:val="18"/>
              </w:rPr>
              <w:t xml:space="preserve"> oraz poprawa dostępności architektonicznej wielorodzinnych budynków mieszkalnych”, w 2022 r. wypłacono środki w łącznej wysokości 12,87 mln zł i dzięki nim wprowadzono </w:t>
            </w:r>
            <w:r w:rsidRPr="005911C6">
              <w:rPr>
                <w:rFonts w:ascii="Lato" w:hAnsi="Lato"/>
                <w:sz w:val="18"/>
                <w:szCs w:val="18"/>
              </w:rPr>
              <w:br/>
            </w:r>
            <w:r w:rsidRPr="005911C6">
              <w:rPr>
                <w:rFonts w:ascii="Lato" w:eastAsia="MS Mincho" w:hAnsi="Lato" w:cs="Times New Roman"/>
                <w:sz w:val="18"/>
                <w:szCs w:val="18"/>
              </w:rPr>
              <w:t>58 usprawnień architektonicznych w budynkach wielorodzinnych, z których korzysta 249 mieszkańców.</w:t>
            </w:r>
          </w:p>
          <w:p w14:paraId="376FF7FB" w14:textId="77777777" w:rsidR="00290A85" w:rsidRPr="005911C6" w:rsidRDefault="00290A85" w:rsidP="005911C6">
            <w:pPr>
              <w:spacing w:after="0" w:line="240" w:lineRule="auto"/>
              <w:rPr>
                <w:rFonts w:ascii="Lato" w:hAnsi="Lato" w:cs="Times New Roman"/>
                <w:b/>
                <w:bCs/>
                <w:color w:val="2F5496" w:themeColor="accent1" w:themeShade="BF"/>
                <w:sz w:val="18"/>
                <w:szCs w:val="18"/>
              </w:rPr>
            </w:pPr>
          </w:p>
          <w:p w14:paraId="39853E9B" w14:textId="77777777" w:rsidR="00290A85" w:rsidRPr="005911C6" w:rsidRDefault="00290A85"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Infrastruktury</w:t>
            </w:r>
          </w:p>
          <w:p w14:paraId="515D945C"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1. Przygotowanie i modernizacja (remont, budowa i przebudowa) dworców kolejowych w ramach Programu Inwestycji Dworcowych:</w:t>
            </w:r>
          </w:p>
          <w:p w14:paraId="0E11768D"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a. Liczba inwestycji zakończonych w 2022 r. (oddanie do użytkowania) – 26;</w:t>
            </w:r>
          </w:p>
          <w:p w14:paraId="4EFDACA1"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b. Liczba inwestycji rozpoczętych w 2022 r. (rozpoczęcie robót budowlanych) – 37; </w:t>
            </w:r>
          </w:p>
          <w:p w14:paraId="74D4792C"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2. Remont i przebudowa stacji pasażerskich:</w:t>
            </w:r>
          </w:p>
          <w:p w14:paraId="16398147"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a. Liczba przebudowanych i wyremontowanych stacji pasażerskich: 71;</w:t>
            </w:r>
          </w:p>
          <w:p w14:paraId="372130AC"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b. Liczba peronów dostosowanych do potrzeb osób niepełnosprawnych: 1001;</w:t>
            </w:r>
          </w:p>
          <w:p w14:paraId="0F5512F3"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3.  Dostępny transport kolejowy sprawny tabor przystosowany do przewozu osób z niepełnosprawnościami – przewoźnik – PKP Intercity S.A. :</w:t>
            </w:r>
          </w:p>
          <w:p w14:paraId="4DC4AD4C"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a. Naprawa główna i modernizacja 14 szt. </w:t>
            </w:r>
            <w:proofErr w:type="spellStart"/>
            <w:r w:rsidRPr="005911C6">
              <w:rPr>
                <w:rFonts w:ascii="Lato" w:eastAsia="MS Mincho" w:hAnsi="Lato" w:cs="Times New Roman"/>
                <w:sz w:val="18"/>
                <w:szCs w:val="18"/>
              </w:rPr>
              <w:t>ezt</w:t>
            </w:r>
            <w:proofErr w:type="spellEnd"/>
            <w:r w:rsidRPr="005911C6">
              <w:rPr>
                <w:rFonts w:ascii="Lato" w:eastAsia="MS Mincho" w:hAnsi="Lato" w:cs="Times New Roman"/>
                <w:sz w:val="18"/>
                <w:szCs w:val="18"/>
              </w:rPr>
              <w:t xml:space="preserve"> ED74 - Odebrano 12 z 14 zmodernizowanych pojazdów serii ED74;</w:t>
            </w:r>
          </w:p>
          <w:p w14:paraId="0D391F38" w14:textId="77777777" w:rsidR="00290A85" w:rsidRPr="005911C6" w:rsidRDefault="00290A85" w:rsidP="005911C6">
            <w:pPr>
              <w:shd w:val="clear" w:color="auto" w:fill="FFFFFF" w:themeFill="background1"/>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b. Dostawa 12 szt. </w:t>
            </w:r>
            <w:proofErr w:type="spellStart"/>
            <w:r w:rsidRPr="005911C6">
              <w:rPr>
                <w:rFonts w:ascii="Lato" w:eastAsia="MS Mincho" w:hAnsi="Lato" w:cs="Times New Roman"/>
                <w:sz w:val="18"/>
                <w:szCs w:val="18"/>
              </w:rPr>
              <w:t>ezt</w:t>
            </w:r>
            <w:proofErr w:type="spellEnd"/>
            <w:r w:rsidRPr="005911C6">
              <w:rPr>
                <w:rFonts w:ascii="Lato" w:eastAsia="MS Mincho" w:hAnsi="Lato" w:cs="Times New Roman"/>
                <w:sz w:val="18"/>
                <w:szCs w:val="18"/>
              </w:rPr>
              <w:t xml:space="preserve"> do prędkości 160 km/h - odebrano 2 pojazdy z 12, zgodnie z przyjętym harmonogramem;</w:t>
            </w:r>
          </w:p>
          <w:p w14:paraId="41926632" w14:textId="77777777" w:rsidR="00290A85" w:rsidRPr="005911C6" w:rsidRDefault="00290A8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c. Dostawa 10 szt. wagonów - odebrano wszystkie 10 wagonów;</w:t>
            </w:r>
          </w:p>
          <w:p w14:paraId="22BDFAA8" w14:textId="77777777" w:rsidR="00877496" w:rsidRPr="005911C6" w:rsidRDefault="00877496" w:rsidP="005911C6">
            <w:pPr>
              <w:spacing w:after="0" w:line="240" w:lineRule="auto"/>
              <w:rPr>
                <w:rFonts w:ascii="Lato" w:eastAsia="MS Mincho" w:hAnsi="Lato" w:cs="Times New Roman"/>
                <w:sz w:val="18"/>
                <w:szCs w:val="18"/>
              </w:rPr>
            </w:pPr>
          </w:p>
          <w:p w14:paraId="54059D6A" w14:textId="77777777" w:rsidR="00877496" w:rsidRPr="005911C6" w:rsidRDefault="00877496" w:rsidP="005911C6">
            <w:pPr>
              <w:spacing w:after="0" w:line="240" w:lineRule="auto"/>
              <w:rPr>
                <w:rFonts w:ascii="Lato" w:eastAsia="MS Mincho" w:hAnsi="Lato" w:cs="Times New Roman"/>
                <w:b/>
                <w:bCs/>
                <w:color w:val="2F5496" w:themeColor="accent1" w:themeShade="BF"/>
                <w:sz w:val="18"/>
                <w:szCs w:val="18"/>
              </w:rPr>
            </w:pPr>
            <w:r w:rsidRPr="005911C6">
              <w:rPr>
                <w:rFonts w:ascii="Lato" w:eastAsia="MS Mincho" w:hAnsi="Lato" w:cs="Times New Roman"/>
                <w:b/>
                <w:bCs/>
                <w:color w:val="2F5496" w:themeColor="accent1" w:themeShade="BF"/>
                <w:sz w:val="18"/>
                <w:szCs w:val="18"/>
              </w:rPr>
              <w:t>Ministerstwo Rozwoju i Technologii</w:t>
            </w:r>
          </w:p>
          <w:p w14:paraId="5B15894E"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W 2022 r. kontynuowano realizację zintegrowanego programu wsparcia społecznego budownictwa czynszowego, stanowiącego jedno z działań Narodowego Programu Mieszkaniowego, w wyniku którego powstają lokale mieszkalne na wynajem o umiarkowanym czynszu, z uwzględnieniem potrzeb osób starszych w ramach:</w:t>
            </w:r>
          </w:p>
          <w:p w14:paraId="7D24702F" w14:textId="77777777" w:rsidR="00877496" w:rsidRPr="005911C6" w:rsidRDefault="00877496" w:rsidP="005911C6">
            <w:pPr>
              <w:pStyle w:val="Akapitzlist"/>
              <w:numPr>
                <w:ilvl w:val="0"/>
                <w:numId w:val="19"/>
              </w:numPr>
              <w:spacing w:after="0" w:line="240" w:lineRule="auto"/>
              <w:ind w:left="360"/>
              <w:rPr>
                <w:rFonts w:ascii="Lato" w:eastAsia="MS Mincho" w:hAnsi="Lato" w:cs="Times New Roman"/>
                <w:bCs/>
                <w:sz w:val="18"/>
                <w:szCs w:val="18"/>
              </w:rPr>
            </w:pPr>
            <w:r w:rsidRPr="005911C6">
              <w:rPr>
                <w:rFonts w:ascii="Lato" w:eastAsia="MS Mincho" w:hAnsi="Lato" w:cs="Times New Roman"/>
                <w:bCs/>
                <w:sz w:val="18"/>
                <w:szCs w:val="18"/>
              </w:rPr>
              <w:t xml:space="preserve">programu preferencyjnego finansowania zwrotnego skierowanego do społecznych inicjatyw mieszkaniowych, </w:t>
            </w:r>
            <w:r w:rsidRPr="005911C6">
              <w:rPr>
                <w:rFonts w:ascii="Lato" w:eastAsia="MS Mincho" w:hAnsi="Lato" w:cs="Times New Roman"/>
                <w:bCs/>
                <w:sz w:val="18"/>
                <w:szCs w:val="18"/>
              </w:rPr>
              <w:lastRenderedPageBreak/>
              <w:t>spółdzielni mieszkaniowych i spółek gminnych realizujących mieszkania dla osób o średnich dochodach;</w:t>
            </w:r>
          </w:p>
          <w:p w14:paraId="391CBC4C" w14:textId="6F1E6C0F" w:rsidR="00877496" w:rsidRPr="005911C6" w:rsidRDefault="00877496" w:rsidP="005911C6">
            <w:pPr>
              <w:pStyle w:val="Akapitzlist"/>
              <w:numPr>
                <w:ilvl w:val="0"/>
                <w:numId w:val="19"/>
              </w:numPr>
              <w:spacing w:after="0" w:line="240" w:lineRule="auto"/>
              <w:ind w:left="360"/>
              <w:rPr>
                <w:rFonts w:ascii="Lato" w:eastAsia="MS Mincho" w:hAnsi="Lato" w:cs="Times New Roman"/>
                <w:bCs/>
                <w:sz w:val="18"/>
                <w:szCs w:val="18"/>
              </w:rPr>
            </w:pPr>
            <w:r w:rsidRPr="005911C6">
              <w:rPr>
                <w:rFonts w:ascii="Lato" w:eastAsia="MS Mincho" w:hAnsi="Lato" w:cs="Times New Roman"/>
                <w:bCs/>
                <w:sz w:val="18"/>
                <w:szCs w:val="18"/>
              </w:rPr>
              <w:t>programu bezzwrotnego dofinansowania budownictwa socjalnego i komunalnego skierowanego do samorządów gminnych.</w:t>
            </w:r>
          </w:p>
          <w:p w14:paraId="1E707286" w14:textId="2FD1326F" w:rsidR="0087749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W ramach rządowego programu popierania</w:t>
            </w:r>
            <w:r w:rsidRPr="005911C6">
              <w:rPr>
                <w:rFonts w:ascii="Lato" w:eastAsia="MS Mincho" w:hAnsi="Lato" w:cs="Times New Roman"/>
                <w:b/>
                <w:bCs/>
                <w:sz w:val="18"/>
                <w:szCs w:val="18"/>
              </w:rPr>
              <w:t xml:space="preserve"> </w:t>
            </w:r>
            <w:r w:rsidRPr="005911C6">
              <w:rPr>
                <w:rFonts w:ascii="Lato" w:eastAsia="MS Mincho" w:hAnsi="Lato" w:cs="Times New Roman"/>
                <w:bCs/>
                <w:sz w:val="18"/>
                <w:szCs w:val="18"/>
              </w:rPr>
              <w:t>budownictwa mieszkaniowego realizowanego na podstawie przepisów ustawy z dnia 26 października 1995 r. o niektórych formach popierania budownictwa mieszkaniowego (Dz. U. z 2023 r. poz. 790) dofinansowywana jest budowa mieszkań na wynajem wraz z dodatkowymi powierzchniami użytkowym (np. pomieszczenia ambulatoryjne/rekreacyjnie), służącymi zaspokajaniu potrzeb osób starszych. Jednym z kryteriów punktowych w akcie wykonawczym do ww. ustawy jest: „Adresowanie nowych mieszkań do osób starszych”,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 przypadku wniosków o finansowanie o równej ogólnej liczbie punktów, dzięki kryterium punktowemu: „Adresowanie nowych mieszkań do osób starszych”,  premiowane mogą być przedsięwzięcia dedykowane osobom starszym. W ramach 12 i 13 edycji programu, które odbyły się w 2022 r., zakwalifikowano wnioski w ramach których zaplanowano budowę 395 lokali mieszkalnych dla osób starszych.</w:t>
            </w:r>
          </w:p>
          <w:p w14:paraId="0788A44B" w14:textId="77777777" w:rsidR="005911C6" w:rsidRPr="005911C6" w:rsidRDefault="005911C6" w:rsidP="005911C6">
            <w:pPr>
              <w:spacing w:after="0" w:line="240" w:lineRule="auto"/>
              <w:rPr>
                <w:rFonts w:ascii="Lato" w:eastAsia="MS Mincho" w:hAnsi="Lato" w:cs="Times New Roman"/>
                <w:bCs/>
                <w:sz w:val="18"/>
                <w:szCs w:val="18"/>
              </w:rPr>
            </w:pPr>
          </w:p>
          <w:p w14:paraId="6227A48E" w14:textId="5AE63A06" w:rsidR="00877496" w:rsidRPr="005911C6" w:rsidRDefault="00877496" w:rsidP="005911C6">
            <w:pPr>
              <w:spacing w:after="0" w:line="240" w:lineRule="auto"/>
              <w:rPr>
                <w:rFonts w:ascii="Lato" w:hAnsi="Lato" w:cs="Times New Roman"/>
                <w:b/>
                <w:bCs/>
                <w:color w:val="2F5496" w:themeColor="accent1" w:themeShade="BF"/>
                <w:sz w:val="18"/>
                <w:szCs w:val="18"/>
              </w:rPr>
            </w:pPr>
            <w:r w:rsidRPr="005911C6">
              <w:rPr>
                <w:rFonts w:ascii="Lato" w:eastAsia="MS Mincho" w:hAnsi="Lato" w:cs="Times New Roman"/>
                <w:bCs/>
                <w:sz w:val="18"/>
                <w:szCs w:val="18"/>
              </w:rPr>
              <w:t>Natomiast w ramach programu bezzwrotnego dofinansowania budownictwa socjalnego i komunalnego realizowanego na podstawie ustawy z dnia 8 grudnia 2006 r. o finansowym wsparciu niektórych przedsięwzięć od 2021 r. dofinansowywana jest budowa mieszkań na wynajem, w tym komunalnych, wraz z dodatkowymi powierzchniami użytkowymi (np. pomieszczenia ambulatoryjne/rekreacyjnie, świetlice), służącymi zaspokajaniu potrzeb osób starszych. Okres obowiązywania przepisów jest stosunkowo krótki, niemniej w 2022 r. na utworzenie ww. lokali wraz z dodatkowymi pomieszczeniami użytkowymi złożono 18 wniosków, w wyniku których powstać ma 170 lokali mieszkalnych dedykowanych seniorom.</w:t>
            </w:r>
          </w:p>
        </w:tc>
      </w:tr>
      <w:tr w:rsidR="003C25C5" w:rsidRPr="005911C6" w14:paraId="0FB5ABC0" w14:textId="77777777" w:rsidTr="008C67C9">
        <w:trPr>
          <w:trHeight w:val="754"/>
        </w:trPr>
        <w:tc>
          <w:tcPr>
            <w:tcW w:w="1232" w:type="dxa"/>
            <w:vMerge/>
            <w:shd w:val="clear" w:color="auto" w:fill="FFFFFF" w:themeFill="background1"/>
          </w:tcPr>
          <w:p w14:paraId="38522BA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360B74C"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 xml:space="preserve">Poszerzenie zestawu działań </w:t>
            </w:r>
            <w:r w:rsidRPr="005911C6">
              <w:rPr>
                <w:rFonts w:ascii="Lato" w:hAnsi="Lato"/>
                <w:sz w:val="18"/>
                <w:szCs w:val="18"/>
              </w:rPr>
              <w:br/>
              <w:t xml:space="preserve">i instrumentów wsparcia w ramach polityki mieszkaniowej o nowe rozwiązania uwzględniające </w:t>
            </w:r>
            <w:r w:rsidRPr="005911C6">
              <w:rPr>
                <w:rFonts w:ascii="Lato" w:hAnsi="Lato"/>
                <w:sz w:val="18"/>
                <w:szCs w:val="18"/>
              </w:rPr>
              <w:br/>
              <w:t xml:space="preserve">w większym, niż obecnie zakresie specyfikę potrzeb i problemów mieszkaniowych osób starszych, </w:t>
            </w:r>
            <w:r w:rsidRPr="005911C6">
              <w:rPr>
                <w:rFonts w:ascii="Lato" w:hAnsi="Lato"/>
                <w:sz w:val="18"/>
                <w:szCs w:val="18"/>
              </w:rPr>
              <w:br/>
              <w:t>zgodnie z Narodowym Programem Mieszkaniowym</w:t>
            </w:r>
          </w:p>
        </w:tc>
        <w:tc>
          <w:tcPr>
            <w:tcW w:w="2032" w:type="dxa"/>
            <w:vMerge w:val="restart"/>
            <w:shd w:val="clear" w:color="auto" w:fill="FFFFFF" w:themeFill="background1"/>
          </w:tcPr>
          <w:p w14:paraId="7064C974"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Rozwoju i Technologii</w:t>
            </w:r>
          </w:p>
        </w:tc>
        <w:tc>
          <w:tcPr>
            <w:tcW w:w="1500" w:type="dxa"/>
            <w:vMerge w:val="restart"/>
            <w:shd w:val="clear" w:color="auto" w:fill="FFFFFF" w:themeFill="background1"/>
          </w:tcPr>
          <w:p w14:paraId="65916817" w14:textId="77777777" w:rsidR="003C25C5" w:rsidRPr="005911C6" w:rsidRDefault="003C25C5" w:rsidP="005911C6">
            <w:pPr>
              <w:spacing w:after="0" w:line="240" w:lineRule="auto"/>
              <w:rPr>
                <w:rFonts w:ascii="Lato" w:hAnsi="Lato" w:cs="Times New Roman"/>
                <w:sz w:val="18"/>
                <w:szCs w:val="18"/>
              </w:rPr>
            </w:pPr>
            <w:r w:rsidRPr="005911C6">
              <w:rPr>
                <w:rFonts w:ascii="Lato" w:eastAsia="MS Mincho" w:hAnsi="Lato" w:cs="Times New Roman"/>
                <w:sz w:val="18"/>
                <w:szCs w:val="18"/>
              </w:rPr>
              <w:t>2018-2019</w:t>
            </w:r>
          </w:p>
        </w:tc>
        <w:tc>
          <w:tcPr>
            <w:tcW w:w="5638" w:type="dxa"/>
            <w:shd w:val="clear" w:color="auto" w:fill="FFFFFF" w:themeFill="background1"/>
          </w:tcPr>
          <w:p w14:paraId="16532B6D"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i/>
                <w:sz w:val="18"/>
                <w:szCs w:val="18"/>
              </w:rPr>
              <w:t xml:space="preserve">Sformułowanie </w:t>
            </w:r>
            <w:r w:rsidRPr="005911C6">
              <w:rPr>
                <w:rFonts w:ascii="Lato" w:eastAsia="MS Mincho" w:hAnsi="Lato" w:cs="Times New Roman"/>
                <w:i/>
                <w:sz w:val="18"/>
                <w:szCs w:val="18"/>
              </w:rPr>
              <w:t>propozycji nowych działań i instrumentów dotyczących mieszkalnictwa w powiązaniu z polityką państwa wobec osób starszych</w:t>
            </w:r>
          </w:p>
        </w:tc>
      </w:tr>
      <w:tr w:rsidR="003C25C5" w:rsidRPr="005911C6" w14:paraId="7A7C7C77" w14:textId="77777777" w:rsidTr="008C67C9">
        <w:trPr>
          <w:trHeight w:val="1447"/>
        </w:trPr>
        <w:tc>
          <w:tcPr>
            <w:tcW w:w="1232" w:type="dxa"/>
            <w:vMerge/>
            <w:shd w:val="clear" w:color="auto" w:fill="FFFFFF" w:themeFill="background1"/>
          </w:tcPr>
          <w:p w14:paraId="478A8C3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932CF70" w14:textId="77777777" w:rsidR="003C25C5" w:rsidRPr="005911C6" w:rsidRDefault="003C25C5" w:rsidP="005911C6">
            <w:pPr>
              <w:pStyle w:val="Kolorowalistaakcent11"/>
              <w:spacing w:after="0" w:line="240" w:lineRule="auto"/>
              <w:ind w:left="0"/>
              <w:rPr>
                <w:rFonts w:ascii="Lato" w:hAnsi="Lato"/>
                <w:sz w:val="18"/>
                <w:szCs w:val="18"/>
              </w:rPr>
            </w:pPr>
          </w:p>
        </w:tc>
        <w:tc>
          <w:tcPr>
            <w:tcW w:w="2032" w:type="dxa"/>
            <w:vMerge/>
            <w:shd w:val="clear" w:color="auto" w:fill="FFFFFF" w:themeFill="background1"/>
          </w:tcPr>
          <w:p w14:paraId="1D4CB5E9"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2EB644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B73510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1F7A9AB" w14:textId="77777777" w:rsidR="003C25C5" w:rsidRPr="005911C6" w:rsidRDefault="003C25C5" w:rsidP="005911C6">
            <w:pPr>
              <w:spacing w:after="0" w:line="240" w:lineRule="auto"/>
              <w:rPr>
                <w:rFonts w:ascii="Lato" w:hAnsi="Lato" w:cs="Times New Roman"/>
                <w:sz w:val="18"/>
                <w:szCs w:val="18"/>
              </w:rPr>
            </w:pPr>
          </w:p>
          <w:p w14:paraId="2534ED3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89CA525" w14:textId="77777777" w:rsidTr="008C67C9">
        <w:trPr>
          <w:trHeight w:val="985"/>
        </w:trPr>
        <w:tc>
          <w:tcPr>
            <w:tcW w:w="1232" w:type="dxa"/>
            <w:vMerge/>
            <w:shd w:val="clear" w:color="auto" w:fill="FFFFFF" w:themeFill="background1"/>
          </w:tcPr>
          <w:p w14:paraId="14BFD14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DCB4D02" w14:textId="77777777" w:rsidR="003C25C5" w:rsidRPr="005911C6" w:rsidRDefault="003C25C5" w:rsidP="005911C6">
            <w:pPr>
              <w:pStyle w:val="Kolorowalistaakcent11"/>
              <w:spacing w:after="0" w:line="240" w:lineRule="auto"/>
              <w:ind w:left="-57"/>
              <w:rPr>
                <w:rFonts w:ascii="Lato" w:eastAsia="MS Mincho" w:hAnsi="Lato"/>
                <w:sz w:val="18"/>
                <w:szCs w:val="18"/>
              </w:rPr>
            </w:pPr>
            <w:r w:rsidRPr="005911C6">
              <w:rPr>
                <w:rFonts w:ascii="Lato" w:eastAsia="MS Mincho" w:hAnsi="Lato"/>
                <w:sz w:val="18"/>
                <w:szCs w:val="18"/>
              </w:rPr>
              <w:t>Poprawa komunikacji z osobami starszymi w instytucjach publicznych, poprzez:</w:t>
            </w:r>
          </w:p>
          <w:p w14:paraId="1B560784" w14:textId="021C9764"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 xml:space="preserve">stosowanie tzw. prostego modelu komunikacji, w którym jasno określone jest, kto jest nadawcą, </w:t>
            </w:r>
            <w:r w:rsidRPr="005911C6">
              <w:rPr>
                <w:rFonts w:ascii="Lato" w:eastAsia="MS Mincho" w:hAnsi="Lato"/>
                <w:sz w:val="18"/>
                <w:szCs w:val="18"/>
              </w:rPr>
              <w:br/>
              <w:t>a kto odbiorcą, natomiast wiadomość przekazywana jest w sposób prosty, bezpośredni, jasny i zrozumiały;</w:t>
            </w:r>
          </w:p>
          <w:p w14:paraId="4E6B18DC" w14:textId="4700BB41"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opracowanie dokumentu wyznaczającego zasady profesjonalnej komunikacji</w:t>
            </w:r>
            <w:r w:rsidR="0044603E" w:rsidRPr="005911C6">
              <w:rPr>
                <w:rFonts w:ascii="Lato" w:eastAsia="MS Mincho" w:hAnsi="Lato"/>
                <w:sz w:val="18"/>
                <w:szCs w:val="18"/>
              </w:rPr>
              <w:t xml:space="preserve"> </w:t>
            </w:r>
            <w:r w:rsidRPr="005911C6">
              <w:rPr>
                <w:rFonts w:ascii="Lato" w:eastAsia="MS Mincho" w:hAnsi="Lato"/>
                <w:sz w:val="18"/>
                <w:szCs w:val="18"/>
              </w:rPr>
              <w:t>z osobą starszą</w:t>
            </w:r>
          </w:p>
        </w:tc>
        <w:tc>
          <w:tcPr>
            <w:tcW w:w="2032" w:type="dxa"/>
            <w:vMerge w:val="restart"/>
            <w:shd w:val="clear" w:color="auto" w:fill="FFFFFF" w:themeFill="background1"/>
          </w:tcPr>
          <w:p w14:paraId="7DA59BD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Ministerstwo Kultury i Dziedzictwa Narodowego, Ministerstwo Rodziny i Polityki Społecznej</w:t>
            </w:r>
            <w:r w:rsidRPr="005911C6">
              <w:rPr>
                <w:rFonts w:ascii="Lato" w:eastAsia="MS Mincho" w:hAnsi="Lato" w:cs="Times New Roman"/>
                <w:sz w:val="18"/>
                <w:szCs w:val="18"/>
              </w:rPr>
              <w:br/>
            </w:r>
          </w:p>
        </w:tc>
        <w:tc>
          <w:tcPr>
            <w:tcW w:w="1500" w:type="dxa"/>
            <w:vMerge w:val="restart"/>
            <w:shd w:val="clear" w:color="auto" w:fill="FFFFFF" w:themeFill="background1"/>
          </w:tcPr>
          <w:p w14:paraId="5557905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1B495DB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Publikacja  dokumentu wyznaczającego zasady profesjonalnej komunikacji z osobą starszą</w:t>
            </w:r>
          </w:p>
        </w:tc>
      </w:tr>
      <w:tr w:rsidR="003C25C5" w:rsidRPr="005911C6" w14:paraId="250C9F79" w14:textId="77777777" w:rsidTr="008C67C9">
        <w:trPr>
          <w:trHeight w:val="1128"/>
        </w:trPr>
        <w:tc>
          <w:tcPr>
            <w:tcW w:w="1232" w:type="dxa"/>
            <w:vMerge/>
            <w:shd w:val="clear" w:color="auto" w:fill="FFFFFF" w:themeFill="background1"/>
          </w:tcPr>
          <w:p w14:paraId="5C7865B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1E2FF31" w14:textId="77777777" w:rsidR="003C25C5" w:rsidRPr="005911C6" w:rsidRDefault="003C25C5" w:rsidP="005911C6">
            <w:pPr>
              <w:pStyle w:val="Kolorowalistaakcent11"/>
              <w:spacing w:after="0" w:line="240" w:lineRule="auto"/>
              <w:ind w:left="-57"/>
              <w:rPr>
                <w:rFonts w:ascii="Lato" w:eastAsia="MS Mincho" w:hAnsi="Lato"/>
                <w:sz w:val="18"/>
                <w:szCs w:val="18"/>
              </w:rPr>
            </w:pPr>
          </w:p>
        </w:tc>
        <w:tc>
          <w:tcPr>
            <w:tcW w:w="2032" w:type="dxa"/>
            <w:vMerge/>
            <w:shd w:val="clear" w:color="auto" w:fill="FFFFFF" w:themeFill="background1"/>
          </w:tcPr>
          <w:p w14:paraId="4C64A8E2"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4CAFB4C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55F24BA" w14:textId="69E4D305" w:rsidR="003C25C5" w:rsidRPr="005911C6" w:rsidRDefault="00A41B7E" w:rsidP="005911C6">
            <w:pPr>
              <w:spacing w:after="0" w:line="240" w:lineRule="auto"/>
              <w:rPr>
                <w:rFonts w:ascii="Lato" w:eastAsia="MS Mincho" w:hAnsi="Lato" w:cs="Times New Roman"/>
                <w:b/>
                <w:color w:val="2F5496" w:themeColor="accent1" w:themeShade="BF"/>
                <w:sz w:val="18"/>
                <w:szCs w:val="18"/>
              </w:rPr>
            </w:pPr>
            <w:bookmarkStart w:id="186" w:name="_Hlk138074985"/>
            <w:r w:rsidRPr="005911C6">
              <w:rPr>
                <w:rFonts w:ascii="Lato" w:eastAsia="MS Mincho" w:hAnsi="Lato" w:cs="Times New Roman"/>
                <w:b/>
                <w:color w:val="2F5496" w:themeColor="accent1" w:themeShade="BF"/>
                <w:sz w:val="18"/>
                <w:szCs w:val="18"/>
              </w:rPr>
              <w:t>Ministerstwo Kultury i Dziedzictwa Narodowego</w:t>
            </w:r>
          </w:p>
          <w:p w14:paraId="7A7022D2" w14:textId="77777777" w:rsidR="00A41B7E" w:rsidRPr="005911C6" w:rsidRDefault="00A41B7E" w:rsidP="005911C6">
            <w:pPr>
              <w:spacing w:after="0" w:line="240" w:lineRule="auto"/>
              <w:rPr>
                <w:rFonts w:ascii="Lato" w:eastAsia="MS Mincho" w:hAnsi="Lato" w:cs="Times New Roman"/>
                <w:b/>
                <w:sz w:val="18"/>
                <w:szCs w:val="18"/>
                <w:u w:val="single"/>
              </w:rPr>
            </w:pPr>
            <w:r w:rsidRPr="005911C6">
              <w:rPr>
                <w:rFonts w:ascii="Lato" w:hAnsi="Lato" w:cs="Times New Roman"/>
                <w:bCs/>
                <w:sz w:val="18"/>
                <w:szCs w:val="18"/>
              </w:rPr>
              <w:t>Dokumenty zawierające standardy, wytyczne i rekomendacje dla instytucji kultury w zakresie obsługi osób starszych, wspierania uczestnictwa seniorów w kulturze i odpowiadania na ich potrzeby kulturalne:</w:t>
            </w:r>
          </w:p>
          <w:p w14:paraId="3AF4DC28" w14:textId="77777777" w:rsidR="00A41B7E" w:rsidRPr="005911C6" w:rsidRDefault="00A41B7E" w:rsidP="005911C6">
            <w:pPr>
              <w:spacing w:after="0" w:line="240" w:lineRule="auto"/>
              <w:rPr>
                <w:rFonts w:ascii="Lato" w:hAnsi="Lato" w:cs="Times New Roman"/>
                <w:sz w:val="18"/>
                <w:szCs w:val="18"/>
              </w:rPr>
            </w:pPr>
          </w:p>
          <w:p w14:paraId="5EAECCC3" w14:textId="463E747E" w:rsidR="00A41B7E" w:rsidRPr="005911C6" w:rsidRDefault="00A41B7E" w:rsidP="005911C6">
            <w:pPr>
              <w:spacing w:after="0" w:line="240" w:lineRule="auto"/>
              <w:rPr>
                <w:rFonts w:ascii="Lato" w:eastAsia="MS Mincho" w:hAnsi="Lato" w:cs="Times New Roman"/>
                <w:sz w:val="18"/>
                <w:szCs w:val="18"/>
                <w:u w:val="single"/>
              </w:rPr>
            </w:pPr>
            <w:proofErr w:type="spellStart"/>
            <w:r w:rsidRPr="005911C6">
              <w:rPr>
                <w:rFonts w:ascii="Lato" w:hAnsi="Lato" w:cs="Times New Roman"/>
                <w:sz w:val="18"/>
                <w:szCs w:val="18"/>
              </w:rPr>
              <w:t>MKiDN</w:t>
            </w:r>
            <w:proofErr w:type="spellEnd"/>
            <w:r w:rsidRPr="005911C6">
              <w:rPr>
                <w:rFonts w:ascii="Lato" w:hAnsi="Lato" w:cs="Times New Roman"/>
                <w:sz w:val="18"/>
                <w:szCs w:val="18"/>
              </w:rPr>
              <w:t xml:space="preserve"> wraz z Państwowym Funduszem Rehabilitacji Osób Niepełnosprawnych oraz partnerami projektu „Kultura bez barier” (finansowanego ze środków EFS PO WER) wypracowało </w:t>
            </w:r>
            <w:r w:rsidRPr="005911C6">
              <w:rPr>
                <w:rFonts w:ascii="Lato" w:hAnsi="Lato" w:cs="Times New Roman"/>
                <w:i/>
                <w:sz w:val="18"/>
                <w:szCs w:val="18"/>
              </w:rPr>
              <w:t>Model zapewniania dostępności oferty i zasobów instytucji kultury dla osób ze szczególnymi potrzebami, w tym osób z niepełnosprawnościami</w:t>
            </w:r>
            <w:r w:rsidRPr="005911C6">
              <w:rPr>
                <w:rFonts w:ascii="Lato" w:hAnsi="Lato" w:cs="Times New Roman"/>
                <w:sz w:val="18"/>
                <w:szCs w:val="18"/>
              </w:rPr>
              <w:t>. W roku  w 2022 roku przeprowadzony został nabór wniosków grantowych na przedsięwzięcia testowo wdrażające model do realizacji w 2023 roku</w:t>
            </w:r>
            <w:r w:rsidRPr="005911C6" w:rsidDel="00444AC7">
              <w:rPr>
                <w:rFonts w:ascii="Lato" w:hAnsi="Lato" w:cs="Times New Roman"/>
                <w:sz w:val="18"/>
                <w:szCs w:val="18"/>
              </w:rPr>
              <w:t xml:space="preserve"> </w:t>
            </w:r>
            <w:r w:rsidRPr="005911C6">
              <w:rPr>
                <w:rFonts w:ascii="Lato" w:hAnsi="Lato" w:cs="Times New Roman"/>
                <w:sz w:val="18"/>
                <w:szCs w:val="18"/>
              </w:rPr>
              <w:t xml:space="preserve">. </w:t>
            </w:r>
          </w:p>
          <w:p w14:paraId="72F233B2" w14:textId="77777777" w:rsidR="00A41B7E" w:rsidRPr="005911C6" w:rsidRDefault="00A41B7E" w:rsidP="005911C6">
            <w:pPr>
              <w:spacing w:after="0" w:line="240" w:lineRule="auto"/>
              <w:rPr>
                <w:rFonts w:ascii="Lato" w:eastAsia="MS Mincho" w:hAnsi="Lato" w:cs="Times New Roman"/>
                <w:b/>
                <w:sz w:val="18"/>
                <w:szCs w:val="18"/>
                <w:u w:val="single"/>
              </w:rPr>
            </w:pPr>
          </w:p>
          <w:p w14:paraId="50B63238" w14:textId="77777777" w:rsidR="00A41B7E" w:rsidRPr="005911C6" w:rsidRDefault="00A41B7E" w:rsidP="005911C6">
            <w:pPr>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t xml:space="preserve">Dokumenty zawierające standardy, wytyczne i rekomendacje dla instytucji kultury w zakresie obsługi osób starszych, wspierania uczestnictwa seniorów w kulturze i odpowiadania na ich potrzeby kulturalne, </w:t>
            </w:r>
            <w:r w:rsidRPr="005911C6">
              <w:rPr>
                <w:rFonts w:ascii="Lato" w:hAnsi="Lato" w:cs="Times New Roman"/>
                <w:sz w:val="18"/>
                <w:szCs w:val="18"/>
              </w:rPr>
              <w:t xml:space="preserve"> </w:t>
            </w:r>
            <w:r w:rsidRPr="005911C6">
              <w:rPr>
                <w:rFonts w:ascii="Lato" w:eastAsia="MS Mincho" w:hAnsi="Lato" w:cs="Times New Roman"/>
                <w:sz w:val="18"/>
                <w:szCs w:val="18"/>
              </w:rPr>
              <w:t>których stosowanie w instytucjach kultury było powszechnie promowane w 2022r.:</w:t>
            </w:r>
          </w:p>
          <w:p w14:paraId="78B1603D" w14:textId="4555EBE1" w:rsidR="00A41B7E" w:rsidRPr="005911C6" w:rsidRDefault="00A41B7E" w:rsidP="005911C6">
            <w:pPr>
              <w:pStyle w:val="Akapitzlist"/>
              <w:numPr>
                <w:ilvl w:val="0"/>
                <w:numId w:val="161"/>
              </w:numPr>
              <w:spacing w:after="0" w:line="240" w:lineRule="auto"/>
              <w:rPr>
                <w:rFonts w:ascii="Lato" w:eastAsia="MS Mincho" w:hAnsi="Lato" w:cs="Times New Roman"/>
                <w:sz w:val="18"/>
                <w:szCs w:val="18"/>
              </w:rPr>
            </w:pPr>
            <w:r w:rsidRPr="005911C6">
              <w:rPr>
                <w:rFonts w:ascii="Lato" w:eastAsia="MS Mincho" w:hAnsi="Lato" w:cs="Times New Roman"/>
                <w:i/>
                <w:sz w:val="18"/>
                <w:szCs w:val="18"/>
              </w:rPr>
              <w:t>Poradnik dla sektora kultury w zakresie zapewniania dostępności</w:t>
            </w:r>
            <w:r w:rsidRPr="005911C6">
              <w:rPr>
                <w:rFonts w:ascii="Lato" w:eastAsia="MS Mincho" w:hAnsi="Lato" w:cs="Times New Roman"/>
                <w:sz w:val="18"/>
                <w:szCs w:val="18"/>
              </w:rPr>
              <w:t>, uwzględniający również dostępność dla osób starszych (przygotowany w 2021 r. we współpracy z Ministerstwem Funduszy i Polityki Rozwoju).</w:t>
            </w:r>
          </w:p>
          <w:p w14:paraId="47C5F274" w14:textId="19D2C091" w:rsidR="00A41B7E" w:rsidRPr="005911C6" w:rsidRDefault="00A41B7E" w:rsidP="005911C6">
            <w:pPr>
              <w:pStyle w:val="Akapitzlist"/>
              <w:numPr>
                <w:ilvl w:val="0"/>
                <w:numId w:val="161"/>
              </w:numPr>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lastRenderedPageBreak/>
              <w:t xml:space="preserve">Podręcznik oraz cykliczne szkolenia Narodowego Instytutu Muzealnictwa i Ochrony Zbiorów pn. </w:t>
            </w:r>
            <w:r w:rsidRPr="005911C6">
              <w:rPr>
                <w:rFonts w:ascii="Lato" w:eastAsia="MS Mincho" w:hAnsi="Lato" w:cs="Times New Roman"/>
                <w:i/>
                <w:sz w:val="18"/>
                <w:szCs w:val="18"/>
              </w:rPr>
              <w:t xml:space="preserve">ABC Muzeum dla seniorów </w:t>
            </w:r>
            <w:r w:rsidRPr="005911C6">
              <w:rPr>
                <w:rFonts w:ascii="Lato" w:eastAsia="MS Mincho" w:hAnsi="Lato" w:cs="Times New Roman"/>
                <w:sz w:val="18"/>
                <w:szCs w:val="18"/>
              </w:rPr>
              <w:t xml:space="preserve">(red. dr Beata </w:t>
            </w:r>
            <w:proofErr w:type="spellStart"/>
            <w:r w:rsidRPr="005911C6">
              <w:rPr>
                <w:rFonts w:ascii="Lato" w:eastAsia="MS Mincho" w:hAnsi="Lato" w:cs="Times New Roman"/>
                <w:sz w:val="18"/>
                <w:szCs w:val="18"/>
              </w:rPr>
              <w:t>Nessel</w:t>
            </w:r>
            <w:proofErr w:type="spellEnd"/>
            <w:r w:rsidRPr="005911C6">
              <w:rPr>
                <w:rFonts w:ascii="Lato" w:eastAsia="MS Mincho" w:hAnsi="Lato" w:cs="Times New Roman"/>
                <w:sz w:val="18"/>
                <w:szCs w:val="18"/>
              </w:rPr>
              <w:t xml:space="preserve">-Łukasik). </w:t>
            </w:r>
          </w:p>
          <w:p w14:paraId="0FF3345E" w14:textId="77777777" w:rsidR="00A41B7E" w:rsidRPr="005911C6" w:rsidRDefault="00A41B7E" w:rsidP="005911C6">
            <w:pPr>
              <w:pStyle w:val="Akapitzlist"/>
              <w:numPr>
                <w:ilvl w:val="0"/>
                <w:numId w:val="161"/>
              </w:numPr>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t>Na beneficjentów (biblioteki) Narodowego Programu Rozwoju Czytelnictwa 2.0 nałożono obowiązki zapewnienia dostępności dla osób ze szczególnymi potrzebami, w tym seniorów, w zakresie:</w:t>
            </w:r>
          </w:p>
          <w:p w14:paraId="4A05F02F" w14:textId="77777777" w:rsidR="00A41B7E" w:rsidRPr="005911C6" w:rsidRDefault="00A41B7E" w:rsidP="005911C6">
            <w:pPr>
              <w:pStyle w:val="Akapitzlist"/>
              <w:numPr>
                <w:ilvl w:val="0"/>
                <w:numId w:val="162"/>
              </w:numPr>
              <w:spacing w:after="0" w:line="240" w:lineRule="auto"/>
              <w:ind w:left="1097"/>
              <w:jc w:val="both"/>
              <w:rPr>
                <w:rFonts w:ascii="Lato" w:eastAsia="MS Mincho" w:hAnsi="Lato" w:cs="Times New Roman"/>
                <w:sz w:val="18"/>
                <w:szCs w:val="18"/>
              </w:rPr>
            </w:pPr>
            <w:r w:rsidRPr="005911C6">
              <w:rPr>
                <w:rFonts w:ascii="Lato" w:eastAsia="MS Mincho" w:hAnsi="Lato" w:cs="Times New Roman"/>
                <w:sz w:val="18"/>
                <w:szCs w:val="18"/>
              </w:rPr>
              <w:t xml:space="preserve">spełnienia wymogów określonych w ustawie z dnia 19 lipca 2019 r. </w:t>
            </w:r>
            <w:r w:rsidRPr="005911C6">
              <w:rPr>
                <w:rFonts w:ascii="Lato" w:eastAsia="MS Mincho" w:hAnsi="Lato" w:cs="Times New Roman"/>
                <w:i/>
                <w:sz w:val="18"/>
                <w:szCs w:val="18"/>
              </w:rPr>
              <w:t>o zapewnianiu dostępności osobom ze szczególnymi potrzebami</w:t>
            </w:r>
            <w:r w:rsidRPr="005911C6">
              <w:rPr>
                <w:rFonts w:ascii="Lato" w:eastAsia="MS Mincho" w:hAnsi="Lato" w:cs="Times New Roman"/>
                <w:sz w:val="18"/>
                <w:szCs w:val="18"/>
              </w:rPr>
              <w:t>,</w:t>
            </w:r>
          </w:p>
          <w:p w14:paraId="50DC18F4" w14:textId="68601B58" w:rsidR="00A41B7E" w:rsidRPr="005911C6" w:rsidRDefault="00A41B7E" w:rsidP="005911C6">
            <w:pPr>
              <w:pStyle w:val="Akapitzlist"/>
              <w:numPr>
                <w:ilvl w:val="0"/>
                <w:numId w:val="162"/>
              </w:numPr>
              <w:spacing w:after="0" w:line="240" w:lineRule="auto"/>
              <w:ind w:left="1097"/>
              <w:jc w:val="both"/>
              <w:rPr>
                <w:rFonts w:ascii="Lato" w:eastAsia="MS Mincho" w:hAnsi="Lato" w:cs="Times New Roman"/>
                <w:sz w:val="18"/>
                <w:szCs w:val="18"/>
              </w:rPr>
            </w:pPr>
            <w:r w:rsidRPr="005911C6">
              <w:rPr>
                <w:rFonts w:ascii="Lato" w:eastAsia="MS Mincho" w:hAnsi="Lato" w:cs="Times New Roman"/>
                <w:sz w:val="18"/>
                <w:szCs w:val="18"/>
              </w:rPr>
              <w:t xml:space="preserve">spełnienia wymogów określonych w ustawie z dnia 4 kwietnia 2019 r. </w:t>
            </w:r>
            <w:r w:rsidRPr="005911C6">
              <w:rPr>
                <w:rFonts w:ascii="Lato" w:eastAsia="MS Mincho" w:hAnsi="Lato" w:cs="Times New Roman"/>
                <w:i/>
                <w:sz w:val="18"/>
                <w:szCs w:val="18"/>
              </w:rPr>
              <w:t>o dostępności cyfrowej stron internetowych i aplikacji mobilnych podmiotów publicznych</w:t>
            </w:r>
            <w:r w:rsidRPr="005911C6">
              <w:rPr>
                <w:rFonts w:ascii="Lato" w:eastAsia="MS Mincho" w:hAnsi="Lato" w:cs="Times New Roman"/>
                <w:sz w:val="18"/>
                <w:szCs w:val="18"/>
              </w:rPr>
              <w:t>.</w:t>
            </w:r>
          </w:p>
          <w:p w14:paraId="0CD5D789" w14:textId="77777777" w:rsidR="00A41B7E" w:rsidRPr="005911C6" w:rsidRDefault="00A41B7E" w:rsidP="005911C6">
            <w:pPr>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t>Dodatkowo w programie zastosowano następujące standardy preferowane:</w:t>
            </w:r>
          </w:p>
          <w:p w14:paraId="37C89519" w14:textId="03B2F09A" w:rsidR="00A41B7E" w:rsidRPr="005911C6" w:rsidRDefault="00A41B7E" w:rsidP="005911C6">
            <w:pPr>
              <w:pStyle w:val="Akapitzlist"/>
              <w:numPr>
                <w:ilvl w:val="0"/>
                <w:numId w:val="163"/>
              </w:numPr>
              <w:spacing w:after="0" w:line="240" w:lineRule="auto"/>
              <w:ind w:left="1097"/>
              <w:jc w:val="both"/>
              <w:rPr>
                <w:rFonts w:ascii="Lato" w:eastAsia="MS Mincho" w:hAnsi="Lato" w:cs="Times New Roman"/>
                <w:sz w:val="18"/>
                <w:szCs w:val="18"/>
              </w:rPr>
            </w:pPr>
            <w:r w:rsidRPr="005911C6">
              <w:rPr>
                <w:rFonts w:ascii="Lato" w:eastAsia="MS Mincho" w:hAnsi="Lato" w:cs="Times New Roman"/>
                <w:sz w:val="18"/>
                <w:szCs w:val="18"/>
              </w:rPr>
              <w:t xml:space="preserve">na dzień zakończenia zadania biblioteka uruchomi wyraźnie oznakowane pomieszczenie przeznaczone do aktywnej pracy z seniorami, z wyposażeniem dostosowanym do tej grupy wiekowej; na dzień zakończenia zadania biblioteka będzie spełniała standardy dostępności budynków dla osób z niepełnosprawnościami wskazane w poradniku Ministerstwa Infrastruktury i Budownictwa z 2017 r. pn. </w:t>
            </w:r>
            <w:r w:rsidRPr="005911C6">
              <w:rPr>
                <w:rFonts w:ascii="Lato" w:eastAsia="MS Mincho" w:hAnsi="Lato" w:cs="Times New Roman"/>
                <w:i/>
                <w:sz w:val="18"/>
                <w:szCs w:val="18"/>
              </w:rPr>
              <w:t>Standardy dostępności budynków dla osób z niepełnosprawnościami</w:t>
            </w:r>
            <w:r w:rsidRPr="005911C6">
              <w:rPr>
                <w:rFonts w:ascii="Lato" w:eastAsia="MS Mincho" w:hAnsi="Lato" w:cs="Times New Roman"/>
                <w:sz w:val="18"/>
                <w:szCs w:val="18"/>
              </w:rPr>
              <w:t>.</w:t>
            </w:r>
            <w:bookmarkEnd w:id="186"/>
          </w:p>
        </w:tc>
      </w:tr>
      <w:tr w:rsidR="003C25C5" w:rsidRPr="005911C6" w14:paraId="111FF9C6" w14:textId="77777777" w:rsidTr="008C67C9">
        <w:trPr>
          <w:trHeight w:val="426"/>
        </w:trPr>
        <w:tc>
          <w:tcPr>
            <w:tcW w:w="1232" w:type="dxa"/>
            <w:vMerge/>
            <w:shd w:val="clear" w:color="auto" w:fill="FFFFFF" w:themeFill="background1"/>
          </w:tcPr>
          <w:p w14:paraId="704EB20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611BFC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Osiągnięcie dostępności publicznych </w:t>
            </w:r>
            <w:r w:rsidRPr="005911C6">
              <w:rPr>
                <w:rFonts w:ascii="Lato" w:eastAsia="MS Mincho" w:hAnsi="Lato"/>
                <w:sz w:val="18"/>
                <w:szCs w:val="18"/>
              </w:rPr>
              <w:br/>
              <w:t xml:space="preserve">stron internetowych administracji publicznej i usług elektronicznych </w:t>
            </w:r>
            <w:r w:rsidRPr="005911C6">
              <w:rPr>
                <w:rFonts w:ascii="Lato" w:eastAsia="MS Mincho" w:hAnsi="Lato"/>
                <w:sz w:val="18"/>
                <w:szCs w:val="18"/>
              </w:rPr>
              <w:br/>
              <w:t>oraz propagowanie projektowania zorientowanego na użytkownika</w:t>
            </w:r>
          </w:p>
        </w:tc>
        <w:tc>
          <w:tcPr>
            <w:tcW w:w="2032" w:type="dxa"/>
            <w:vMerge w:val="restart"/>
            <w:shd w:val="clear" w:color="auto" w:fill="FFFFFF" w:themeFill="background1"/>
          </w:tcPr>
          <w:p w14:paraId="41F6A5A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Minister Cyfryzacji, Główny Urząd Statystyczny</w:t>
            </w:r>
          </w:p>
        </w:tc>
        <w:tc>
          <w:tcPr>
            <w:tcW w:w="1500" w:type="dxa"/>
            <w:vMerge w:val="restart"/>
            <w:shd w:val="clear" w:color="auto" w:fill="FFFFFF" w:themeFill="background1"/>
          </w:tcPr>
          <w:p w14:paraId="2E3D131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2018-2022</w:t>
            </w:r>
          </w:p>
        </w:tc>
        <w:tc>
          <w:tcPr>
            <w:tcW w:w="5638" w:type="dxa"/>
            <w:shd w:val="clear" w:color="auto" w:fill="FFFFFF" w:themeFill="background1"/>
          </w:tcPr>
          <w:p w14:paraId="78132283"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Odsetek urzędów, których strona internetowa spełnia rekomendacje WCAG 2.0. na poziomie AA</w:t>
            </w:r>
          </w:p>
        </w:tc>
      </w:tr>
      <w:tr w:rsidR="003C25C5" w:rsidRPr="005911C6" w14:paraId="3C622AA0" w14:textId="77777777" w:rsidTr="008C67C9">
        <w:trPr>
          <w:trHeight w:val="702"/>
        </w:trPr>
        <w:tc>
          <w:tcPr>
            <w:tcW w:w="1232" w:type="dxa"/>
            <w:vMerge/>
            <w:shd w:val="clear" w:color="auto" w:fill="FFFFFF" w:themeFill="background1"/>
          </w:tcPr>
          <w:p w14:paraId="12BDCFE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6DDF33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BC84917"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DA8D57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112157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DCE4AE6" w14:textId="77777777" w:rsidR="003C25C5" w:rsidRPr="005911C6" w:rsidRDefault="003C25C5" w:rsidP="005911C6">
            <w:pPr>
              <w:spacing w:after="0" w:line="240" w:lineRule="auto"/>
              <w:rPr>
                <w:rFonts w:ascii="Lato" w:hAnsi="Lato" w:cs="Times New Roman"/>
                <w:sz w:val="18"/>
                <w:szCs w:val="18"/>
              </w:rPr>
            </w:pPr>
          </w:p>
          <w:p w14:paraId="1E1C3D2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C2D8760" w14:textId="77777777" w:rsidTr="008C67C9">
        <w:trPr>
          <w:trHeight w:val="9057"/>
        </w:trPr>
        <w:tc>
          <w:tcPr>
            <w:tcW w:w="1232" w:type="dxa"/>
            <w:vMerge/>
            <w:shd w:val="clear" w:color="auto" w:fill="FFFFFF" w:themeFill="background1"/>
          </w:tcPr>
          <w:p w14:paraId="1D0A1DD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82748D3"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 xml:space="preserve">Podnoszenie poziomu aktywności społecznej osób starszych </w:t>
            </w:r>
            <w:r w:rsidRPr="005911C6">
              <w:rPr>
                <w:rFonts w:ascii="Lato" w:hAnsi="Lato"/>
                <w:sz w:val="18"/>
                <w:szCs w:val="18"/>
              </w:rPr>
              <w:br/>
              <w:t xml:space="preserve">oraz wspierania funkcjonowania </w:t>
            </w:r>
            <w:r w:rsidRPr="005911C6">
              <w:rPr>
                <w:rFonts w:ascii="Lato" w:hAnsi="Lato"/>
                <w:sz w:val="18"/>
                <w:szCs w:val="18"/>
              </w:rPr>
              <w:br/>
              <w:t xml:space="preserve">i rozwoju organizacji </w:t>
            </w:r>
            <w:r w:rsidRPr="005911C6">
              <w:rPr>
                <w:rFonts w:ascii="Lato" w:eastAsia="MS Mincho" w:hAnsi="Lato"/>
                <w:sz w:val="18"/>
                <w:szCs w:val="18"/>
              </w:rPr>
              <w:t>zrzeszających</w:t>
            </w:r>
            <w:r w:rsidRPr="005911C6">
              <w:rPr>
                <w:rFonts w:ascii="Lato" w:hAnsi="Lato"/>
                <w:sz w:val="18"/>
                <w:szCs w:val="18"/>
              </w:rPr>
              <w:t xml:space="preserve"> osoby starsze poprzez:</w:t>
            </w:r>
          </w:p>
          <w:p w14:paraId="06219555" w14:textId="77777777"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 xml:space="preserve">wspieranie działań na rzecz aktywizacji osób starszych dzięki realizacji otwartych konkursów ofert skierowanych do podmiotów sektora organizacji pozarządowych i podmiotów, o których mowa </w:t>
            </w:r>
            <w:r w:rsidRPr="005911C6">
              <w:rPr>
                <w:rFonts w:ascii="Lato" w:hAnsi="Lato"/>
                <w:sz w:val="18"/>
                <w:szCs w:val="18"/>
              </w:rPr>
              <w:t>w art. 3 ust. 3 ustawy o działalności pożytku publicznego i o wolontariacie,</w:t>
            </w:r>
            <w:r w:rsidRPr="005911C6">
              <w:rPr>
                <w:rFonts w:ascii="Lato" w:eastAsia="MS Mincho" w:hAnsi="Lato"/>
                <w:sz w:val="18"/>
                <w:szCs w:val="18"/>
              </w:rPr>
              <w:t xml:space="preserve"> oraz poprzez promowanie partnerstwa międzysektorowego wobec osób starszych;</w:t>
            </w:r>
          </w:p>
          <w:p w14:paraId="516A86B7" w14:textId="77777777"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 xml:space="preserve">wspieranie istniejących </w:t>
            </w:r>
            <w:r w:rsidRPr="005911C6">
              <w:rPr>
                <w:rFonts w:ascii="Lato" w:eastAsia="MS Mincho" w:hAnsi="Lato"/>
                <w:sz w:val="18"/>
                <w:szCs w:val="18"/>
              </w:rPr>
              <w:br/>
              <w:t xml:space="preserve">i nowopowstających organizacji sektora organizacji pozarządowych  i podmiotów, o których mowa </w:t>
            </w:r>
            <w:r w:rsidRPr="005911C6">
              <w:rPr>
                <w:rFonts w:ascii="Lato" w:hAnsi="Lato"/>
                <w:sz w:val="18"/>
                <w:szCs w:val="18"/>
              </w:rPr>
              <w:t>w art. 3 ust. 3 ustawy o działalności pożytku publicznego i o wolontariacie</w:t>
            </w:r>
            <w:r w:rsidRPr="005911C6">
              <w:rPr>
                <w:rFonts w:ascii="Lato" w:eastAsia="MS Mincho" w:hAnsi="Lato"/>
                <w:sz w:val="18"/>
                <w:szCs w:val="18"/>
              </w:rPr>
              <w:t>, zrzeszających osoby starsze, reprezentujących ich interesy lub działających na rzecz zwiększenia ich aktywności;</w:t>
            </w:r>
          </w:p>
          <w:p w14:paraId="7EBEF417" w14:textId="77777777"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promowanie wymiany dobrych praktyk działań podejmowanych</w:t>
            </w:r>
            <w:r w:rsidRPr="005911C6">
              <w:rPr>
                <w:rFonts w:ascii="Lato" w:eastAsia="MS Mincho" w:hAnsi="Lato"/>
                <w:sz w:val="18"/>
                <w:szCs w:val="18"/>
              </w:rPr>
              <w:br/>
              <w:t xml:space="preserve"> na rzecz aktywności społecznej osób starszych</w:t>
            </w:r>
          </w:p>
        </w:tc>
        <w:tc>
          <w:tcPr>
            <w:tcW w:w="2032" w:type="dxa"/>
            <w:vMerge w:val="restart"/>
            <w:shd w:val="clear" w:color="auto" w:fill="FFFFFF" w:themeFill="background1"/>
          </w:tcPr>
          <w:p w14:paraId="7EA71FD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Komitet do spraw Pożytku Publicznego, </w:t>
            </w:r>
            <w:r w:rsidRPr="005911C6">
              <w:rPr>
                <w:rFonts w:ascii="Lato" w:hAnsi="Lato"/>
                <w:sz w:val="18"/>
                <w:szCs w:val="18"/>
              </w:rPr>
              <w:t xml:space="preserve"> </w:t>
            </w:r>
            <w:r w:rsidRPr="005911C6">
              <w:rPr>
                <w:rFonts w:ascii="Lato" w:eastAsia="MS Mincho" w:hAnsi="Lato" w:cs="Times New Roman"/>
                <w:sz w:val="18"/>
                <w:szCs w:val="18"/>
              </w:rPr>
              <w:t xml:space="preserve">Ministerstwo Rodziny i Polityki Społecznej, Ministerstwo Kultury i Dziedzictwa Narodowego, Ministerstwo Sportu i Turystyki, Ministerstwo Edukacji i Nauki </w:t>
            </w:r>
            <w:r w:rsidRPr="005911C6">
              <w:rPr>
                <w:rFonts w:ascii="Lato" w:hAnsi="Lato"/>
                <w:sz w:val="18"/>
                <w:szCs w:val="18"/>
              </w:rPr>
              <w:t xml:space="preserve"> </w:t>
            </w:r>
          </w:p>
        </w:tc>
        <w:tc>
          <w:tcPr>
            <w:tcW w:w="1500" w:type="dxa"/>
            <w:vMerge w:val="restart"/>
            <w:shd w:val="clear" w:color="auto" w:fill="FFFFFF" w:themeFill="background1"/>
          </w:tcPr>
          <w:p w14:paraId="6C7DADA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2C7C008A"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inicjatyw mających na celu  </w:t>
            </w:r>
            <w:r w:rsidRPr="005911C6">
              <w:rPr>
                <w:rFonts w:ascii="Lato" w:hAnsi="Lato" w:cs="Times New Roman"/>
                <w:i/>
                <w:sz w:val="18"/>
                <w:szCs w:val="18"/>
              </w:rPr>
              <w:t xml:space="preserve">podnoszenie poziomu aktywności społecznej osób starszych oraz wspieranie funkcjonowania i rozwoju organizacji </w:t>
            </w:r>
            <w:r w:rsidRPr="005911C6">
              <w:rPr>
                <w:rFonts w:ascii="Lato" w:eastAsia="MS Mincho" w:hAnsi="Lato" w:cs="Times New Roman"/>
                <w:i/>
                <w:sz w:val="18"/>
                <w:szCs w:val="18"/>
              </w:rPr>
              <w:t>zrzeszających</w:t>
            </w:r>
            <w:r w:rsidRPr="005911C6">
              <w:rPr>
                <w:rFonts w:ascii="Lato" w:hAnsi="Lato" w:cs="Times New Roman"/>
                <w:i/>
                <w:sz w:val="18"/>
                <w:szCs w:val="18"/>
              </w:rPr>
              <w:t xml:space="preserve"> osoby starsze, w tym: liczba organizacji pozarządowych i podmiotów, o których mowa w art. 3 ust. 3 ustawy o działalności pożytku publicznego i o wolontariacie, wspartych przez podmioty publiczne</w:t>
            </w:r>
          </w:p>
        </w:tc>
      </w:tr>
      <w:tr w:rsidR="003C25C5" w:rsidRPr="005911C6" w14:paraId="43AD20AA" w14:textId="77777777" w:rsidTr="008C67C9">
        <w:trPr>
          <w:trHeight w:val="1119"/>
        </w:trPr>
        <w:tc>
          <w:tcPr>
            <w:tcW w:w="1232" w:type="dxa"/>
            <w:vMerge/>
            <w:shd w:val="clear" w:color="auto" w:fill="FFFFFF" w:themeFill="background1"/>
          </w:tcPr>
          <w:p w14:paraId="69AF2E2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08AD542" w14:textId="77777777" w:rsidR="003C25C5" w:rsidRPr="005911C6" w:rsidRDefault="003C25C5" w:rsidP="005911C6">
            <w:pPr>
              <w:pStyle w:val="Kolorowalistaakcent11"/>
              <w:spacing w:after="0" w:line="240" w:lineRule="auto"/>
              <w:ind w:left="0"/>
              <w:rPr>
                <w:rFonts w:ascii="Lato" w:hAnsi="Lato"/>
                <w:sz w:val="18"/>
                <w:szCs w:val="18"/>
              </w:rPr>
            </w:pPr>
          </w:p>
        </w:tc>
        <w:tc>
          <w:tcPr>
            <w:tcW w:w="2032" w:type="dxa"/>
            <w:vMerge/>
            <w:shd w:val="clear" w:color="auto" w:fill="FFFFFF" w:themeFill="background1"/>
          </w:tcPr>
          <w:p w14:paraId="6923E9D7"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shd w:val="clear" w:color="auto" w:fill="FFFFFF" w:themeFill="background1"/>
          </w:tcPr>
          <w:p w14:paraId="21CEC50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33AA49E" w14:textId="71FC3E44" w:rsidR="0044603E" w:rsidRPr="005911C6" w:rsidRDefault="0044603E"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Rodziny i Polityki Społecznej</w:t>
            </w:r>
          </w:p>
          <w:p w14:paraId="74EDA140" w14:textId="5AF84976" w:rsidR="0044603E" w:rsidRPr="005911C6" w:rsidRDefault="0044603E" w:rsidP="005911C6">
            <w:pPr>
              <w:spacing w:after="0" w:line="240" w:lineRule="auto"/>
              <w:rPr>
                <w:rFonts w:ascii="Lato" w:eastAsia="MS Mincho" w:hAnsi="Lato" w:cs="Times New Roman"/>
                <w:bCs/>
                <w:color w:val="000000" w:themeColor="text1"/>
                <w:sz w:val="18"/>
                <w:szCs w:val="18"/>
              </w:rPr>
            </w:pPr>
            <w:r w:rsidRPr="005911C6">
              <w:rPr>
                <w:rFonts w:ascii="Lato" w:eastAsia="MS Mincho" w:hAnsi="Lato" w:cs="Times New Roman"/>
                <w:bCs/>
                <w:color w:val="000000" w:themeColor="text1"/>
                <w:sz w:val="18"/>
                <w:szCs w:val="18"/>
              </w:rPr>
              <w:t xml:space="preserve">Resort realizował programy: </w:t>
            </w:r>
            <w:proofErr w:type="spellStart"/>
            <w:r w:rsidRPr="005911C6">
              <w:rPr>
                <w:rFonts w:ascii="Lato" w:eastAsia="MS Mincho" w:hAnsi="Lato" w:cs="Times New Roman"/>
                <w:bCs/>
                <w:color w:val="000000" w:themeColor="text1"/>
                <w:sz w:val="18"/>
                <w:szCs w:val="18"/>
              </w:rPr>
              <w:t>Semior</w:t>
            </w:r>
            <w:proofErr w:type="spellEnd"/>
            <w:r w:rsidRPr="005911C6">
              <w:rPr>
                <w:rFonts w:ascii="Lato" w:eastAsia="MS Mincho" w:hAnsi="Lato" w:cs="Times New Roman"/>
                <w:bCs/>
                <w:color w:val="000000" w:themeColor="text1"/>
                <w:sz w:val="18"/>
                <w:szCs w:val="18"/>
              </w:rPr>
              <w:t xml:space="preserve">+ i Aktywni+ edycja 2022. Szczegółowe informacje zawarte są w rozdziale dot. Działań realizowanych przez </w:t>
            </w:r>
            <w:proofErr w:type="spellStart"/>
            <w:r w:rsidRPr="005911C6">
              <w:rPr>
                <w:rFonts w:ascii="Lato" w:eastAsia="MS Mincho" w:hAnsi="Lato" w:cs="Times New Roman"/>
                <w:bCs/>
                <w:color w:val="000000" w:themeColor="text1"/>
                <w:sz w:val="18"/>
                <w:szCs w:val="18"/>
              </w:rPr>
              <w:t>MRiPS</w:t>
            </w:r>
            <w:proofErr w:type="spellEnd"/>
            <w:r w:rsidRPr="005911C6">
              <w:rPr>
                <w:rFonts w:ascii="Lato" w:eastAsia="MS Mincho" w:hAnsi="Lato" w:cs="Times New Roman"/>
                <w:bCs/>
                <w:color w:val="000000" w:themeColor="text1"/>
                <w:sz w:val="18"/>
                <w:szCs w:val="18"/>
              </w:rPr>
              <w:t xml:space="preserve">. </w:t>
            </w:r>
          </w:p>
          <w:p w14:paraId="02270FCF" w14:textId="77777777" w:rsidR="0044603E" w:rsidRPr="005911C6" w:rsidRDefault="0044603E" w:rsidP="005911C6">
            <w:pPr>
              <w:spacing w:after="0" w:line="240" w:lineRule="auto"/>
              <w:rPr>
                <w:rFonts w:ascii="Lato" w:eastAsia="MS Mincho" w:hAnsi="Lato" w:cs="Times New Roman"/>
                <w:b/>
                <w:color w:val="2F5496" w:themeColor="accent1" w:themeShade="BF"/>
                <w:sz w:val="18"/>
                <w:szCs w:val="18"/>
              </w:rPr>
            </w:pPr>
          </w:p>
          <w:p w14:paraId="327EF175" w14:textId="44148B8E" w:rsidR="00A41B7E" w:rsidRPr="005911C6" w:rsidRDefault="00A41B7E"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Kultury i Dziedzictwa Narodowego</w:t>
            </w:r>
          </w:p>
          <w:p w14:paraId="75FCD256" w14:textId="75900E3B" w:rsidR="00A41B7E" w:rsidRPr="005911C6" w:rsidRDefault="00A41B7E"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u w:val="single"/>
              </w:rPr>
              <w:t>Liczba programów</w:t>
            </w:r>
            <w:r w:rsidRPr="005911C6">
              <w:rPr>
                <w:rFonts w:ascii="Lato" w:eastAsia="MS Mincho" w:hAnsi="Lato" w:cs="Times New Roman"/>
                <w:sz w:val="18"/>
                <w:szCs w:val="18"/>
              </w:rPr>
              <w:t xml:space="preserve"> dotacyjnych Ministra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 xml:space="preserve">, w których udzielono dofinansowań na projekty dostępne dla szerokiego grona odbiorców, bez względu na wiek lub projekty dedykowane osobom starszym: </w:t>
            </w:r>
            <w:r w:rsidRPr="005911C6">
              <w:rPr>
                <w:rFonts w:ascii="Lato" w:eastAsia="MS Mincho" w:hAnsi="Lato" w:cs="Times New Roman"/>
                <w:sz w:val="18"/>
                <w:szCs w:val="18"/>
                <w:u w:val="single"/>
              </w:rPr>
              <w:t>34</w:t>
            </w:r>
            <w:r w:rsidRPr="005911C6">
              <w:rPr>
                <w:rFonts w:ascii="Lato" w:eastAsia="MS Mincho" w:hAnsi="Lato" w:cs="Times New Roman"/>
                <w:sz w:val="18"/>
                <w:szCs w:val="18"/>
              </w:rPr>
              <w:t>.</w:t>
            </w:r>
          </w:p>
          <w:p w14:paraId="42A60B91" w14:textId="77777777" w:rsidR="003C25C5" w:rsidRPr="005911C6" w:rsidRDefault="00A41B7E" w:rsidP="005911C6">
            <w:pPr>
              <w:spacing w:after="0" w:line="240" w:lineRule="auto"/>
              <w:rPr>
                <w:rFonts w:ascii="Lato" w:eastAsia="MS Mincho" w:hAnsi="Lato" w:cs="Times New Roman"/>
                <w:sz w:val="18"/>
                <w:szCs w:val="18"/>
                <w:u w:val="single"/>
              </w:rPr>
            </w:pPr>
            <w:r w:rsidRPr="005911C6">
              <w:rPr>
                <w:rFonts w:ascii="Lato" w:eastAsia="MS Mincho" w:hAnsi="Lato" w:cs="Times New Roman"/>
                <w:sz w:val="18"/>
                <w:szCs w:val="18"/>
                <w:u w:val="single"/>
              </w:rPr>
              <w:t>Liczba dofinansowań</w:t>
            </w:r>
            <w:r w:rsidRPr="005911C6">
              <w:rPr>
                <w:rFonts w:ascii="Lato" w:eastAsia="MS Mincho" w:hAnsi="Lato" w:cs="Times New Roman"/>
                <w:sz w:val="18"/>
                <w:szCs w:val="18"/>
              </w:rPr>
              <w:t xml:space="preserve"> udzielonych w 2022 roku (organizacjom pozarządowym, instytucjom kultury i innym podmiotom) przez Ministra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 xml:space="preserve"> w programach dotacyjnych, w tym na wydarzenia artystyczne i kulturalne kierowane do osób starszych lub dostępnych dla szerokiej publiczności, z uwzględnieniem seniorów: </w:t>
            </w:r>
            <w:r w:rsidRPr="005911C6">
              <w:rPr>
                <w:rFonts w:ascii="Lato" w:eastAsia="MS Mincho" w:hAnsi="Lato" w:cs="Times New Roman"/>
                <w:sz w:val="18"/>
                <w:szCs w:val="18"/>
                <w:u w:val="single"/>
              </w:rPr>
              <w:t>4140</w:t>
            </w:r>
          </w:p>
          <w:p w14:paraId="487BF737" w14:textId="77777777" w:rsidR="0093425B" w:rsidRPr="005911C6" w:rsidRDefault="0093425B" w:rsidP="005911C6">
            <w:pPr>
              <w:spacing w:after="0" w:line="240" w:lineRule="auto"/>
              <w:rPr>
                <w:rFonts w:ascii="Lato" w:eastAsia="MS Mincho" w:hAnsi="Lato" w:cs="Times New Roman"/>
                <w:sz w:val="18"/>
                <w:szCs w:val="18"/>
              </w:rPr>
            </w:pPr>
          </w:p>
          <w:p w14:paraId="77169E60" w14:textId="25019348" w:rsidR="0093425B" w:rsidRPr="005911C6" w:rsidRDefault="0093425B"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Programy dotacyjne Ministra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 w których w 2022 r. zostały dofinansowane wydarzenia artystyczne i kulturalne dostępne dla szerokiej publiczności, w tym seniorów, lub wydarzenia kierowane wprost do osób starszych:</w:t>
            </w:r>
          </w:p>
          <w:p w14:paraId="39C6CDE0"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Badanie polskich strat wojennych,</w:t>
            </w:r>
          </w:p>
          <w:p w14:paraId="1AD4CDBD"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Czasopisma,</w:t>
            </w:r>
          </w:p>
          <w:p w14:paraId="70E58A73"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Edukacja artystyczna,</w:t>
            </w:r>
          </w:p>
          <w:p w14:paraId="30FD3FDC"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Edukacja kulturalna,</w:t>
            </w:r>
          </w:p>
          <w:p w14:paraId="7E87ABEA"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Film,</w:t>
            </w:r>
          </w:p>
          <w:p w14:paraId="35DB3DC6"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Groby i cmentarze wojenne w kraju,</w:t>
            </w:r>
          </w:p>
          <w:p w14:paraId="36DDA1E2"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Infrastruktura domów kultury,</w:t>
            </w:r>
          </w:p>
          <w:p w14:paraId="6F98237B"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Infrastruktura kultury,</w:t>
            </w:r>
          </w:p>
          <w:p w14:paraId="3A96115B"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Infrastruktura szkolnictwa artystycznego,</w:t>
            </w:r>
          </w:p>
          <w:p w14:paraId="2A24AAA6"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Kultura cyfrowa,</w:t>
            </w:r>
          </w:p>
          <w:p w14:paraId="5BB36CEF"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Kultura Dostępna,</w:t>
            </w:r>
          </w:p>
          <w:p w14:paraId="0D66E35F"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Kultura ludowa i tradycyjna,</w:t>
            </w:r>
          </w:p>
          <w:p w14:paraId="3F2D5F1F"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Literatura,</w:t>
            </w:r>
          </w:p>
          <w:p w14:paraId="4AA6F729"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Miejsca pamięci i trwałe upamiętnienia w kraju,</w:t>
            </w:r>
          </w:p>
          <w:p w14:paraId="0264C401"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Miejsca Pamięci Narodowej za Granicą,</w:t>
            </w:r>
          </w:p>
          <w:p w14:paraId="6EC00140"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Muzyczny ślad,</w:t>
            </w:r>
          </w:p>
          <w:p w14:paraId="56FCD881"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Muzyka,</w:t>
            </w:r>
          </w:p>
          <w:p w14:paraId="3D0ABF21"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Narodowa Kolekcja Sztuki Współczesnej,</w:t>
            </w:r>
          </w:p>
          <w:p w14:paraId="60532EE7"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Ochrona dziedzictwa kulturowego za granicą,</w:t>
            </w:r>
          </w:p>
          <w:p w14:paraId="723B2C8E"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Ochrona zabytków,</w:t>
            </w:r>
          </w:p>
          <w:p w14:paraId="63293F37"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Ochrona zabytków archeologicznych,</w:t>
            </w:r>
          </w:p>
          <w:p w14:paraId="406B1618"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Partnerstwo dla książki,</w:t>
            </w:r>
          </w:p>
          <w:p w14:paraId="673B6CE2"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Promocja czytelnictwa,</w:t>
            </w:r>
          </w:p>
          <w:p w14:paraId="6DCD15F5"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Promocja kultury polskiej za granicą,</w:t>
            </w:r>
          </w:p>
          <w:p w14:paraId="6FD03B82"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Rozwój sektorów kreatywnych,</w:t>
            </w:r>
          </w:p>
          <w:p w14:paraId="2287CC76"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Sztuki wizualne,</w:t>
            </w:r>
          </w:p>
          <w:p w14:paraId="4EBB8370"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Taniec,</w:t>
            </w:r>
          </w:p>
          <w:p w14:paraId="0AAE3EDA"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Teatr,</w:t>
            </w:r>
          </w:p>
          <w:p w14:paraId="59ADD888"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Wspieranie archiwów, bibliotek i muzeów poza krajem,</w:t>
            </w:r>
          </w:p>
          <w:p w14:paraId="7D58C11B"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Wspieranie działań muzealnych,</w:t>
            </w:r>
          </w:p>
          <w:p w14:paraId="50F511A2"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Wydarzenia artystyczne dla dzieci i młodzieży,</w:t>
            </w:r>
          </w:p>
          <w:p w14:paraId="64B2522F"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Wspieranie archiwów, bibliotek i muzeów poza krajem,</w:t>
            </w:r>
          </w:p>
          <w:p w14:paraId="2807C937"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Ballady i Romanse,</w:t>
            </w:r>
          </w:p>
          <w:p w14:paraId="4DBF0B49" w14:textId="77777777" w:rsidR="0093425B" w:rsidRPr="005911C6" w:rsidRDefault="0093425B" w:rsidP="005911C6">
            <w:pPr>
              <w:pStyle w:val="Akapitzlist"/>
              <w:numPr>
                <w:ilvl w:val="0"/>
                <w:numId w:val="166"/>
              </w:numPr>
              <w:spacing w:after="0" w:line="240" w:lineRule="auto"/>
              <w:rPr>
                <w:rFonts w:ascii="Lato" w:eastAsia="MS Mincho" w:hAnsi="Lato" w:cs="Times New Roman"/>
                <w:sz w:val="18"/>
                <w:szCs w:val="18"/>
              </w:rPr>
            </w:pPr>
            <w:r w:rsidRPr="005911C6">
              <w:rPr>
                <w:rFonts w:ascii="Lato" w:eastAsia="MS Mincho" w:hAnsi="Lato" w:cs="Times New Roman"/>
                <w:sz w:val="18"/>
                <w:szCs w:val="18"/>
              </w:rPr>
              <w:t>Zamówienia kompozytorskie.</w:t>
            </w:r>
          </w:p>
          <w:p w14:paraId="3520D439" w14:textId="77777777" w:rsidR="0093425B" w:rsidRPr="005911C6" w:rsidRDefault="0093425B" w:rsidP="005911C6">
            <w:pPr>
              <w:spacing w:after="0" w:line="240" w:lineRule="auto"/>
              <w:rPr>
                <w:rFonts w:ascii="Lato" w:eastAsia="MS Mincho" w:hAnsi="Lato" w:cs="Times New Roman"/>
                <w:sz w:val="18"/>
                <w:szCs w:val="18"/>
              </w:rPr>
            </w:pPr>
          </w:p>
          <w:p w14:paraId="477A6D57" w14:textId="77777777" w:rsidR="0093425B" w:rsidRPr="005911C6" w:rsidRDefault="0093425B"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 ramach stałej oferty systemowej </w:t>
            </w:r>
            <w:r w:rsidRPr="005911C6">
              <w:rPr>
                <w:rFonts w:ascii="Lato" w:eastAsia="MS Mincho" w:hAnsi="Lato" w:cs="Times New Roman"/>
                <w:sz w:val="18"/>
                <w:szCs w:val="18"/>
                <w:u w:val="single"/>
              </w:rPr>
              <w:t>70 instytucji kultury</w:t>
            </w:r>
            <w:r w:rsidRPr="005911C6">
              <w:rPr>
                <w:rFonts w:ascii="Lato" w:eastAsia="MS Mincho" w:hAnsi="Lato" w:cs="Times New Roman"/>
                <w:sz w:val="18"/>
                <w:szCs w:val="18"/>
              </w:rPr>
              <w:t xml:space="preserve"> prowadzonych lub współprowadzonych przez Ministra Kultury i Dziedzictwa Narodowego organizowało następujące działania adresowane do osób starszych:</w:t>
            </w:r>
          </w:p>
          <w:p w14:paraId="3EC18C41"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wykłady, spacery tematyczne, </w:t>
            </w:r>
          </w:p>
          <w:p w14:paraId="222E77CD"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wydarzenia artystyczne, spektakle teatralne, seanse filmowe, koncerty,</w:t>
            </w:r>
          </w:p>
          <w:p w14:paraId="6BB6B34F"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spotkania i dyskusje,</w:t>
            </w:r>
          </w:p>
          <w:p w14:paraId="5B09D49C"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działania edukacyjne i warsztaty,</w:t>
            </w:r>
          </w:p>
          <w:p w14:paraId="232E48B4"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wspieranie amatorskiej działalności artystycznej osób starszych,</w:t>
            </w:r>
          </w:p>
          <w:p w14:paraId="41A7E7AC"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prowadzenie działań informacyjno-promocyjnych nakierowanych na osoby starsze (np. adresowanie do nich mediów społecznościowych)</w:t>
            </w:r>
          </w:p>
          <w:p w14:paraId="616F99DC"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systemy zniżek lub ulg w cenach biletów dla seniorów (osób indywidualnym, grup oraz grup zorganizowanych, np. Klubów Seniora),</w:t>
            </w:r>
          </w:p>
          <w:p w14:paraId="116E67BD"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dostosowywanie wyposażenia i obiektów do potrzeb osób starszych (m.in. do potrzeb osób słabowidzących, słabosłyszących i o obniżonej sprawności motorycznej),</w:t>
            </w:r>
          </w:p>
          <w:p w14:paraId="538E76D4"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dostosowanie stron www do potrzeb osób z ograniczeniami wzroku i słuchu,</w:t>
            </w:r>
          </w:p>
          <w:p w14:paraId="1B71938F" w14:textId="77777777" w:rsidR="0093425B" w:rsidRPr="005911C6" w:rsidRDefault="0093425B" w:rsidP="005911C6">
            <w:pPr>
              <w:pStyle w:val="Akapitzlist"/>
              <w:numPr>
                <w:ilvl w:val="0"/>
                <w:numId w:val="165"/>
              </w:numPr>
              <w:spacing w:after="0" w:line="240" w:lineRule="auto"/>
              <w:rPr>
                <w:rFonts w:ascii="Lato" w:eastAsia="MS Mincho" w:hAnsi="Lato" w:cs="Times New Roman"/>
                <w:sz w:val="18"/>
                <w:szCs w:val="18"/>
              </w:rPr>
            </w:pPr>
            <w:r w:rsidRPr="005911C6">
              <w:rPr>
                <w:rFonts w:ascii="Lato" w:eastAsia="MS Mincho" w:hAnsi="Lato" w:cs="Times New Roman"/>
                <w:sz w:val="18"/>
                <w:szCs w:val="18"/>
              </w:rPr>
              <w:t>wsparcie organizacji pozarządowym zrzeszającym osoby starsze lub realizującym działania skierowane do osób starszych.</w:t>
            </w:r>
          </w:p>
          <w:p w14:paraId="6F36A80B" w14:textId="77777777" w:rsidR="0093425B" w:rsidRPr="005911C6" w:rsidRDefault="0093425B" w:rsidP="005911C6">
            <w:pPr>
              <w:spacing w:after="0" w:line="240" w:lineRule="auto"/>
              <w:rPr>
                <w:rFonts w:ascii="Lato" w:eastAsia="MS Mincho" w:hAnsi="Lato" w:cs="Times New Roman"/>
                <w:sz w:val="18"/>
                <w:szCs w:val="18"/>
              </w:rPr>
            </w:pPr>
          </w:p>
          <w:p w14:paraId="1ED998B2" w14:textId="77777777" w:rsidR="0093425B" w:rsidRPr="005911C6" w:rsidRDefault="0093425B"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Przykłady ogólnopolskich programów instytucji kultury:</w:t>
            </w:r>
          </w:p>
          <w:p w14:paraId="1CC3B151" w14:textId="77777777" w:rsidR="0093425B" w:rsidRPr="005911C6" w:rsidRDefault="0093425B" w:rsidP="005911C6">
            <w:pPr>
              <w:pStyle w:val="Akapitzlist"/>
              <w:numPr>
                <w:ilvl w:val="0"/>
                <w:numId w:val="164"/>
              </w:num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Instytut Książki – Program Dyskusyjne Kluby Książki adresowany jest przede wszystkim do czytelników korzystających z bibliotek publicznych. Spotkania i dyskusje o książkach mają charakter nieformalny. Obecnie w Polsce działa 1216 klubów dla dorosłych. Wśród Dyskusyjnych Klubów Książki dla dorosłych funkcjonują takie skierowane także wyłącznie do seniorów (np. DKK „Senior” na terenie woj. śląskiego). Warto zauważyć, że DKK działają także np. przy Domach Seniora (np. na terenie woj. lubuskiego). Odnotować jednocześnie należy, że znacząca liczba klubowiczów (ogółem) to seniorzy. Stanowią oni także dominującą grupę uczestników spotkań czy wydarzeń realizowanych w ramach programu dotacyjnego dot. DKK. Seniorzy udzielają się także w konkursach na recenzje książkowe, a więc działaniach organizowanych w ramach inicjatyw podejmowanych w IK dotyczących aktywizacji klubowiczów. Wśród dodatkowych inicjatyw czy akcji podejmowanych przez DKK w całym kraju (wg sprawozdawczości beneficjentów) znalazły się między innymi: udział w obchodach Dnia Seniora (woj. lubuskie) czy akcja „Klubowicze seniorzy czytają dzieciom w Tygodniu Bibliotek” (woj. małopolskie).</w:t>
            </w:r>
          </w:p>
          <w:p w14:paraId="1A76434D" w14:textId="77777777" w:rsidR="0093425B" w:rsidRPr="005911C6" w:rsidRDefault="0093425B" w:rsidP="005911C6">
            <w:pPr>
              <w:pStyle w:val="Akapitzlist"/>
              <w:numPr>
                <w:ilvl w:val="0"/>
                <w:numId w:val="164"/>
              </w:numPr>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t>Polski Instytut Sztuki Filmowej w 2022 roku wsparł projekt „Kino Dostępne”, który ma na celu stworzenie aplikacji umożliwiającej odbiór filmów podczas seansów w kinie dostosowany do potrzeb widowni ze specjalnymi potrzebami, w tym osób starszych.</w:t>
            </w:r>
            <w:r w:rsidRPr="005911C6" w:rsidDel="00CD0AFC">
              <w:rPr>
                <w:rFonts w:ascii="Lato" w:eastAsia="MS Mincho" w:hAnsi="Lato" w:cs="Times New Roman"/>
                <w:sz w:val="18"/>
                <w:szCs w:val="18"/>
              </w:rPr>
              <w:t xml:space="preserve"> </w:t>
            </w:r>
            <w:r w:rsidRPr="005911C6">
              <w:rPr>
                <w:rFonts w:ascii="Lato" w:eastAsia="MS Mincho" w:hAnsi="Lato" w:cs="Times New Roman"/>
                <w:sz w:val="18"/>
                <w:szCs w:val="18"/>
              </w:rPr>
              <w:t>W 2022 roku w ramach programu operacyjnego „Rozwój kin” wsparto 89 projektów z zakresu modernizacji i 23 w zakresie cyfryzacji.</w:t>
            </w:r>
          </w:p>
          <w:p w14:paraId="46009067" w14:textId="56C7CC73" w:rsidR="0093425B" w:rsidRPr="005911C6" w:rsidRDefault="0093425B" w:rsidP="005911C6">
            <w:pPr>
              <w:pStyle w:val="Akapitzlist"/>
              <w:spacing w:after="0" w:line="240" w:lineRule="auto"/>
              <w:jc w:val="both"/>
              <w:rPr>
                <w:rFonts w:ascii="Lato" w:eastAsia="MS Mincho" w:hAnsi="Lato" w:cs="Times New Roman"/>
                <w:sz w:val="18"/>
                <w:szCs w:val="18"/>
              </w:rPr>
            </w:pPr>
            <w:r w:rsidRPr="005911C6">
              <w:rPr>
                <w:rFonts w:ascii="Lato" w:eastAsia="MS Mincho" w:hAnsi="Lato" w:cs="Times New Roman"/>
                <w:sz w:val="18"/>
                <w:szCs w:val="18"/>
              </w:rPr>
              <w:t>PISF wsparł także działalność Dyskusyjnych Klubów Filmowych. Dofinansowanie przyznano 79 klubom na łączną kwotę 628 045 zł. DKF-y organizują kulturalne rozwiązania głównie dla lokalnych społeczności, z których, obok młodzieży, osoby starsze również chętnie korzystają.</w:t>
            </w:r>
          </w:p>
          <w:p w14:paraId="49FB3EF4" w14:textId="77777777" w:rsidR="0093425B" w:rsidRPr="005911C6" w:rsidRDefault="0093425B" w:rsidP="005911C6">
            <w:pPr>
              <w:pStyle w:val="Akapitzlist"/>
              <w:spacing w:after="0" w:line="240" w:lineRule="auto"/>
              <w:jc w:val="both"/>
              <w:rPr>
                <w:rFonts w:ascii="Lato" w:eastAsia="MS Mincho" w:hAnsi="Lato" w:cs="Times New Roman"/>
                <w:sz w:val="18"/>
                <w:szCs w:val="18"/>
              </w:rPr>
            </w:pPr>
          </w:p>
          <w:p w14:paraId="73BA0DB7" w14:textId="1EB0986F" w:rsidR="0093425B" w:rsidRPr="005911C6" w:rsidRDefault="0093425B"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Wytwórnia Filmów Dokumentalnych i Fabularnych  w Warszawie</w:t>
            </w:r>
            <w:r w:rsidRPr="005911C6">
              <w:rPr>
                <w:rFonts w:ascii="Lato" w:eastAsia="MS Mincho" w:hAnsi="Lato" w:cs="Times New Roman"/>
                <w:sz w:val="18"/>
                <w:szCs w:val="18"/>
              </w:rPr>
              <w:t xml:space="preserve">  we wskazanym okresie udostępniała nieodpłatną platformę VOD 35mm.online, na której znajdują się unikalne </w:t>
            </w:r>
            <w:proofErr w:type="spellStart"/>
            <w:r w:rsidRPr="005911C6">
              <w:rPr>
                <w:rFonts w:ascii="Lato" w:eastAsia="MS Mincho" w:hAnsi="Lato" w:cs="Times New Roman"/>
                <w:sz w:val="18"/>
                <w:szCs w:val="18"/>
              </w:rPr>
              <w:t>scyfryzowane</w:t>
            </w:r>
            <w:proofErr w:type="spellEnd"/>
            <w:r w:rsidRPr="005911C6">
              <w:rPr>
                <w:rFonts w:ascii="Lato" w:eastAsia="MS Mincho" w:hAnsi="Lato" w:cs="Times New Roman"/>
                <w:sz w:val="18"/>
                <w:szCs w:val="18"/>
              </w:rPr>
              <w:t xml:space="preserve"> materiały filmowe oraz dźwiękowe pochodzące z archiwalnych zasobów </w:t>
            </w:r>
            <w:proofErr w:type="spellStart"/>
            <w:r w:rsidRPr="005911C6">
              <w:rPr>
                <w:rFonts w:ascii="Lato" w:eastAsia="MS Mincho" w:hAnsi="Lato" w:cs="Times New Roman"/>
                <w:sz w:val="18"/>
                <w:szCs w:val="18"/>
              </w:rPr>
              <w:t>WFDiF</w:t>
            </w:r>
            <w:proofErr w:type="spellEnd"/>
            <w:r w:rsidRPr="005911C6">
              <w:rPr>
                <w:rFonts w:ascii="Lato" w:eastAsia="MS Mincho" w:hAnsi="Lato" w:cs="Times New Roman"/>
                <w:sz w:val="18"/>
                <w:szCs w:val="18"/>
              </w:rPr>
              <w:t xml:space="preserve"> oraz studiów filmowych, tj.: KADR, TOR, ZEBRA, KRONIKA, SMF oraz SFR. Dostęp online do stale zwiększającej się bazy </w:t>
            </w:r>
            <w:r w:rsidRPr="005911C6">
              <w:rPr>
                <w:rFonts w:ascii="Lato" w:eastAsia="MS Mincho" w:hAnsi="Lato" w:cs="Times New Roman"/>
                <w:sz w:val="18"/>
                <w:szCs w:val="18"/>
              </w:rPr>
              <w:lastRenderedPageBreak/>
              <w:t>cyfrowych zasobów przyczynia się do zwiększenia dostępności do kultury i profesjonalnej wiedzy filmowej, oraz do urozmaiconych form aktywności kulturalnej, edukacyjnej i rozrywkowej w nowoczesnym wydaniu, dla wszystkich odbiorców, w tym dla osób starszych.</w:t>
            </w:r>
          </w:p>
        </w:tc>
      </w:tr>
      <w:tr w:rsidR="003C25C5" w:rsidRPr="005911C6" w14:paraId="1277541F" w14:textId="77777777" w:rsidTr="008C67C9">
        <w:trPr>
          <w:trHeight w:val="325"/>
        </w:trPr>
        <w:tc>
          <w:tcPr>
            <w:tcW w:w="1232" w:type="dxa"/>
            <w:vMerge/>
            <w:shd w:val="clear" w:color="auto" w:fill="FFFFFF" w:themeFill="background1"/>
          </w:tcPr>
          <w:p w14:paraId="63CAE4E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9BC9F99"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eastAsia="MS Mincho" w:hAnsi="Lato"/>
                <w:sz w:val="18"/>
                <w:szCs w:val="18"/>
              </w:rPr>
              <w:t xml:space="preserve">Niwelowanie istniejących barier </w:t>
            </w:r>
            <w:r w:rsidRPr="005911C6">
              <w:rPr>
                <w:rFonts w:ascii="Lato" w:eastAsia="MS Mincho" w:hAnsi="Lato"/>
                <w:sz w:val="18"/>
                <w:szCs w:val="18"/>
              </w:rPr>
              <w:br/>
              <w:t xml:space="preserve">w funkcjonowaniu rad seniorów </w:t>
            </w:r>
            <w:r w:rsidRPr="005911C6">
              <w:rPr>
                <w:rFonts w:ascii="Lato" w:eastAsia="MS Mincho" w:hAnsi="Lato"/>
                <w:sz w:val="18"/>
                <w:szCs w:val="18"/>
              </w:rPr>
              <w:br/>
              <w:t xml:space="preserve">oraz wspieranie ich poprzez </w:t>
            </w:r>
            <w:r w:rsidRPr="005911C6">
              <w:rPr>
                <w:rFonts w:ascii="Lato" w:hAnsi="Lato"/>
                <w:sz w:val="18"/>
                <w:szCs w:val="18"/>
              </w:rPr>
              <w:t>promowanie tworzenia gminnych rad seniorów przez jednostki samorządu terytorialnego</w:t>
            </w:r>
          </w:p>
        </w:tc>
        <w:tc>
          <w:tcPr>
            <w:tcW w:w="2032" w:type="dxa"/>
            <w:vMerge w:val="restart"/>
            <w:shd w:val="clear" w:color="auto" w:fill="FFFFFF" w:themeFill="background1"/>
          </w:tcPr>
          <w:p w14:paraId="5443B26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 Wewnętrznych i Administracji,</w:t>
            </w:r>
          </w:p>
          <w:p w14:paraId="44211DE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4585B92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361D05E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funkcjonujących w gminach rad seniorów</w:t>
            </w:r>
          </w:p>
        </w:tc>
      </w:tr>
      <w:tr w:rsidR="003C25C5" w:rsidRPr="005911C6" w14:paraId="19B76486" w14:textId="77777777" w:rsidTr="008C67C9">
        <w:trPr>
          <w:trHeight w:val="729"/>
        </w:trPr>
        <w:tc>
          <w:tcPr>
            <w:tcW w:w="1232" w:type="dxa"/>
            <w:vMerge/>
            <w:shd w:val="clear" w:color="auto" w:fill="FFFFFF" w:themeFill="background1"/>
          </w:tcPr>
          <w:p w14:paraId="06E2D26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6AE622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AF9515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9B2F74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C559164" w14:textId="4722D740" w:rsidR="003C25C5" w:rsidRPr="005911C6" w:rsidRDefault="0044603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Zgodnie z danymi przekazanymi przez MSWiA do końca 2022 r. w Polsce funkcjonowało 456 gminnych rad seniorów.</w:t>
            </w:r>
          </w:p>
        </w:tc>
      </w:tr>
      <w:tr w:rsidR="003C25C5" w:rsidRPr="005911C6" w14:paraId="53A86728" w14:textId="77777777" w:rsidTr="008C67C9">
        <w:trPr>
          <w:trHeight w:val="1118"/>
        </w:trPr>
        <w:tc>
          <w:tcPr>
            <w:tcW w:w="1232" w:type="dxa"/>
            <w:vMerge/>
            <w:shd w:val="clear" w:color="auto" w:fill="FFFFFF" w:themeFill="background1"/>
          </w:tcPr>
          <w:p w14:paraId="2B982F3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8571B5C" w14:textId="77777777" w:rsidR="003C25C5" w:rsidRPr="005911C6" w:rsidRDefault="003C25C5" w:rsidP="005911C6">
            <w:pPr>
              <w:suppressAutoHyphens/>
              <w:spacing w:after="0" w:line="240" w:lineRule="auto"/>
              <w:contextualSpacing/>
              <w:rPr>
                <w:rFonts w:ascii="Lato" w:hAnsi="Lato" w:cs="Times New Roman"/>
                <w:sz w:val="18"/>
                <w:szCs w:val="18"/>
              </w:rPr>
            </w:pPr>
            <w:r w:rsidRPr="005911C6">
              <w:rPr>
                <w:rFonts w:ascii="Lato" w:hAnsi="Lato" w:cs="Times New Roman"/>
                <w:sz w:val="18"/>
                <w:szCs w:val="18"/>
              </w:rPr>
              <w:t>Wprowadzenie obowiązku uwzględniania w gminnych i powiatowych strategiach rozwiązywania problemów społecznych, wojewódzkich strategiach w zakresie polityki społecznej lub odrębnych dokumentach na temat polityki społecznej wobec osób starszych kwestii związanych z osobami starszymi oraz konsultowania ww. dokumentów z istniejącymi gminnymi radami seniorów</w:t>
            </w:r>
          </w:p>
        </w:tc>
        <w:tc>
          <w:tcPr>
            <w:tcW w:w="2032" w:type="dxa"/>
            <w:vMerge w:val="restart"/>
            <w:shd w:val="clear" w:color="auto" w:fill="FFFFFF" w:themeFill="background1"/>
          </w:tcPr>
          <w:p w14:paraId="10C1408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Spraw Wewnętrznych i Administracji</w:t>
            </w:r>
          </w:p>
        </w:tc>
        <w:tc>
          <w:tcPr>
            <w:tcW w:w="1500" w:type="dxa"/>
            <w:vMerge w:val="restart"/>
            <w:shd w:val="clear" w:color="auto" w:fill="FFFFFF" w:themeFill="background1"/>
          </w:tcPr>
          <w:p w14:paraId="60D49BE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576D1314"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Ustawowy obowiązek uwzględniania w dokumentach strategicznych kwestii związanych z osobami starszymi</w:t>
            </w:r>
          </w:p>
          <w:p w14:paraId="0E81C846" w14:textId="77777777" w:rsidR="003C25C5" w:rsidRPr="005911C6" w:rsidRDefault="003C25C5" w:rsidP="005911C6">
            <w:pPr>
              <w:pStyle w:val="Kolorowalistaakcent11"/>
              <w:spacing w:after="0" w:line="240" w:lineRule="auto"/>
              <w:ind w:left="0"/>
              <w:rPr>
                <w:rFonts w:ascii="Lato" w:eastAsia="MS Mincho" w:hAnsi="Lato"/>
                <w:b/>
                <w:sz w:val="18"/>
                <w:szCs w:val="18"/>
              </w:rPr>
            </w:pPr>
            <w:r w:rsidRPr="005911C6">
              <w:rPr>
                <w:rFonts w:ascii="Lato" w:eastAsia="MS Mincho" w:hAnsi="Lato"/>
                <w:b/>
                <w:sz w:val="18"/>
                <w:szCs w:val="18"/>
              </w:rPr>
              <w:t>oraz</w:t>
            </w:r>
          </w:p>
          <w:p w14:paraId="23ECEF63"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gmin, w których w dokumentach strategicznych uwzględnione zostały kwestie związane z osobami starszymi</w:t>
            </w:r>
          </w:p>
        </w:tc>
      </w:tr>
      <w:tr w:rsidR="003C25C5" w:rsidRPr="005911C6" w14:paraId="07199CA9" w14:textId="77777777" w:rsidTr="008C67C9">
        <w:trPr>
          <w:trHeight w:val="1580"/>
        </w:trPr>
        <w:tc>
          <w:tcPr>
            <w:tcW w:w="1232" w:type="dxa"/>
            <w:vMerge/>
            <w:shd w:val="clear" w:color="auto" w:fill="FFFFFF" w:themeFill="background1"/>
          </w:tcPr>
          <w:p w14:paraId="7E8A3A3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7E8B4F7" w14:textId="77777777" w:rsidR="003C25C5" w:rsidRPr="005911C6" w:rsidRDefault="003C25C5" w:rsidP="005911C6">
            <w:pPr>
              <w:suppressAutoHyphens/>
              <w:spacing w:after="0" w:line="240" w:lineRule="auto"/>
              <w:contextualSpacing/>
              <w:rPr>
                <w:rFonts w:ascii="Lato" w:hAnsi="Lato" w:cs="Times New Roman"/>
                <w:sz w:val="18"/>
                <w:szCs w:val="18"/>
              </w:rPr>
            </w:pPr>
          </w:p>
        </w:tc>
        <w:tc>
          <w:tcPr>
            <w:tcW w:w="2032" w:type="dxa"/>
            <w:vMerge/>
            <w:shd w:val="clear" w:color="auto" w:fill="FFFFFF" w:themeFill="background1"/>
          </w:tcPr>
          <w:p w14:paraId="55731EC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C718BB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E367A4D" w14:textId="77777777" w:rsidR="003C25C5" w:rsidRPr="005911C6" w:rsidRDefault="00830305"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Sportu i Turystyki</w:t>
            </w:r>
          </w:p>
          <w:p w14:paraId="6A8839AD" w14:textId="1B4276C7" w:rsidR="00830305" w:rsidRPr="005911C6" w:rsidRDefault="00830305" w:rsidP="005911C6">
            <w:pPr>
              <w:spacing w:after="0" w:line="240" w:lineRule="auto"/>
              <w:rPr>
                <w:rFonts w:ascii="Lato" w:eastAsia="MS Mincho" w:hAnsi="Lato" w:cs="Times New Roman"/>
                <w:bCs/>
                <w:sz w:val="18"/>
                <w:szCs w:val="18"/>
                <w:u w:val="single"/>
              </w:rPr>
            </w:pPr>
            <w:r w:rsidRPr="005911C6">
              <w:rPr>
                <w:rFonts w:ascii="Lato" w:eastAsia="MS Mincho" w:hAnsi="Lato" w:cs="Times New Roman"/>
                <w:bCs/>
                <w:sz w:val="18"/>
                <w:szCs w:val="18"/>
              </w:rPr>
              <w:t>W 2022 roku zrealizowano 1 projekt (</w:t>
            </w:r>
            <w:r w:rsidRPr="005911C6">
              <w:rPr>
                <w:rFonts w:ascii="Lato" w:hAnsi="Lato"/>
                <w:bCs/>
                <w:sz w:val="18"/>
                <w:szCs w:val="18"/>
              </w:rPr>
              <w:t xml:space="preserve"> </w:t>
            </w:r>
            <w:r w:rsidRPr="005911C6">
              <w:rPr>
                <w:rFonts w:ascii="Lato" w:eastAsia="MS Mincho" w:hAnsi="Lato" w:cs="Times New Roman"/>
                <w:bCs/>
                <w:sz w:val="18"/>
                <w:szCs w:val="18"/>
              </w:rPr>
              <w:t>Europejskie Stowarzyszenie Promocji Aktywności Ruchowej 50+), adresowany do osób starszych w wieku 50+, dofinansowany ze środków budżetu państwa, który polegał na wyszkoleniu 15 wolontariuszek z terenu 6 lokalizacji Polski do działań w terenie i organizacji spacerów sąsiedzkich.</w:t>
            </w:r>
          </w:p>
        </w:tc>
      </w:tr>
      <w:tr w:rsidR="003C25C5" w:rsidRPr="005911C6" w14:paraId="61110094" w14:textId="77777777" w:rsidTr="008C67C9">
        <w:trPr>
          <w:trHeight w:val="1150"/>
        </w:trPr>
        <w:tc>
          <w:tcPr>
            <w:tcW w:w="1232" w:type="dxa"/>
            <w:vMerge/>
            <w:shd w:val="clear" w:color="auto" w:fill="FFFFFF" w:themeFill="background1"/>
          </w:tcPr>
          <w:p w14:paraId="7C9BA7B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A7D99F3" w14:textId="77777777" w:rsidR="003C25C5" w:rsidRPr="005911C6" w:rsidRDefault="003C25C5" w:rsidP="005911C6">
            <w:pPr>
              <w:pStyle w:val="Akapitzlist"/>
              <w:spacing w:after="0" w:line="240" w:lineRule="auto"/>
              <w:ind w:left="0"/>
              <w:rPr>
                <w:rFonts w:ascii="Lato" w:hAnsi="Lato" w:cs="Times New Roman"/>
                <w:sz w:val="18"/>
                <w:szCs w:val="18"/>
              </w:rPr>
            </w:pPr>
            <w:r w:rsidRPr="005911C6">
              <w:rPr>
                <w:rFonts w:ascii="Lato" w:hAnsi="Lato" w:cs="Times New Roman"/>
                <w:sz w:val="18"/>
                <w:szCs w:val="18"/>
              </w:rPr>
              <w:t>Promowanie wolontariatu osób starszych oraz wobec osób starszych poprzez wspieranie organizacji pozarządowych i podmiotów, o których mowa w art. 3 ust. 3 ustawy o działalności pożytku publicznego i o wolontariacie, działających w tym zakresie</w:t>
            </w:r>
          </w:p>
          <w:p w14:paraId="3F87FF55" w14:textId="77777777" w:rsidR="003C25C5" w:rsidRPr="005911C6" w:rsidRDefault="003C25C5" w:rsidP="005911C6">
            <w:pPr>
              <w:suppressAutoHyphens/>
              <w:spacing w:after="0" w:line="240" w:lineRule="auto"/>
              <w:contextualSpacing/>
              <w:rPr>
                <w:rFonts w:ascii="Lato" w:hAnsi="Lato" w:cs="Times New Roman"/>
                <w:sz w:val="18"/>
                <w:szCs w:val="18"/>
              </w:rPr>
            </w:pPr>
          </w:p>
        </w:tc>
        <w:tc>
          <w:tcPr>
            <w:tcW w:w="2032" w:type="dxa"/>
            <w:vMerge w:val="restart"/>
            <w:shd w:val="clear" w:color="auto" w:fill="FFFFFF" w:themeFill="background1"/>
          </w:tcPr>
          <w:p w14:paraId="5F5B23B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Rodziny i Polityki Społecznej, Ministerstwo Kultury i Dziedzictwa Narodowego, Ministerstwo Sportu i Turystyki, Ministerstwo Edukacji i Nauki</w:t>
            </w:r>
          </w:p>
        </w:tc>
        <w:tc>
          <w:tcPr>
            <w:tcW w:w="1500" w:type="dxa"/>
            <w:vMerge w:val="restart"/>
            <w:shd w:val="clear" w:color="auto" w:fill="FFFFFF" w:themeFill="background1"/>
          </w:tcPr>
          <w:p w14:paraId="4674FF8A"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117C1A7E"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wspartych projektów organizacji</w:t>
            </w:r>
            <w:r w:rsidRPr="005911C6">
              <w:rPr>
                <w:rFonts w:ascii="Lato" w:hAnsi="Lato" w:cs="Times New Roman"/>
                <w:i/>
                <w:sz w:val="18"/>
                <w:szCs w:val="18"/>
              </w:rPr>
              <w:t xml:space="preserve"> pozarządowych i podmiotów, o których mowa w art. 3 ust. 3 ustawy o działalności pożytku publicznego i o wolontariacie, </w:t>
            </w:r>
            <w:r w:rsidRPr="005911C6">
              <w:rPr>
                <w:rFonts w:ascii="Lato" w:eastAsia="MS Mincho" w:hAnsi="Lato" w:cs="Times New Roman"/>
                <w:i/>
                <w:sz w:val="18"/>
                <w:szCs w:val="18"/>
              </w:rPr>
              <w:t>w obszarze promowania wolontariatu osób starszych oraz wobec osób starszych</w:t>
            </w:r>
          </w:p>
        </w:tc>
      </w:tr>
      <w:tr w:rsidR="003C25C5" w:rsidRPr="005911C6" w14:paraId="08001AD2" w14:textId="77777777" w:rsidTr="008C67C9">
        <w:trPr>
          <w:trHeight w:val="1150"/>
        </w:trPr>
        <w:tc>
          <w:tcPr>
            <w:tcW w:w="1232" w:type="dxa"/>
            <w:vMerge/>
            <w:shd w:val="clear" w:color="auto" w:fill="FFFFFF" w:themeFill="background1"/>
          </w:tcPr>
          <w:p w14:paraId="64501F6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0D2ADDA" w14:textId="77777777" w:rsidR="003C25C5" w:rsidRPr="005911C6" w:rsidRDefault="003C25C5" w:rsidP="005911C6">
            <w:pPr>
              <w:pStyle w:val="Akapitzlist"/>
              <w:spacing w:after="0" w:line="240" w:lineRule="auto"/>
              <w:ind w:left="0"/>
              <w:rPr>
                <w:rFonts w:ascii="Lato" w:hAnsi="Lato" w:cs="Times New Roman"/>
                <w:sz w:val="18"/>
                <w:szCs w:val="18"/>
              </w:rPr>
            </w:pPr>
          </w:p>
        </w:tc>
        <w:tc>
          <w:tcPr>
            <w:tcW w:w="2032" w:type="dxa"/>
            <w:vMerge/>
            <w:shd w:val="clear" w:color="auto" w:fill="FFFFFF" w:themeFill="background1"/>
          </w:tcPr>
          <w:p w14:paraId="5D647DC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33B1A2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18F117D" w14:textId="56334928" w:rsidR="0044603E" w:rsidRPr="005911C6" w:rsidRDefault="00550D58"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Rodziny i Polityki Społecznej</w:t>
            </w:r>
          </w:p>
          <w:p w14:paraId="4BF2C761" w14:textId="77777777" w:rsidR="00550D58" w:rsidRPr="005911C6" w:rsidRDefault="00550D58" w:rsidP="005911C6">
            <w:pPr>
              <w:spacing w:after="0" w:line="240" w:lineRule="auto"/>
              <w:rPr>
                <w:rFonts w:ascii="Lato" w:eastAsia="MS Mincho" w:hAnsi="Lato" w:cs="Times New Roman"/>
                <w:bCs/>
                <w:color w:val="000000" w:themeColor="text1"/>
                <w:sz w:val="18"/>
                <w:szCs w:val="18"/>
              </w:rPr>
            </w:pPr>
            <w:r w:rsidRPr="005911C6">
              <w:rPr>
                <w:rFonts w:ascii="Lato" w:eastAsia="MS Mincho" w:hAnsi="Lato" w:cs="Times New Roman"/>
                <w:bCs/>
                <w:color w:val="000000" w:themeColor="text1"/>
                <w:sz w:val="18"/>
                <w:szCs w:val="18"/>
              </w:rPr>
              <w:t xml:space="preserve">Resort realizował programy: </w:t>
            </w:r>
            <w:proofErr w:type="spellStart"/>
            <w:r w:rsidRPr="005911C6">
              <w:rPr>
                <w:rFonts w:ascii="Lato" w:eastAsia="MS Mincho" w:hAnsi="Lato" w:cs="Times New Roman"/>
                <w:bCs/>
                <w:color w:val="000000" w:themeColor="text1"/>
                <w:sz w:val="18"/>
                <w:szCs w:val="18"/>
              </w:rPr>
              <w:t>Semior</w:t>
            </w:r>
            <w:proofErr w:type="spellEnd"/>
            <w:r w:rsidRPr="005911C6">
              <w:rPr>
                <w:rFonts w:ascii="Lato" w:eastAsia="MS Mincho" w:hAnsi="Lato" w:cs="Times New Roman"/>
                <w:bCs/>
                <w:color w:val="000000" w:themeColor="text1"/>
                <w:sz w:val="18"/>
                <w:szCs w:val="18"/>
              </w:rPr>
              <w:t xml:space="preserve">+ i Aktywni+ edycja 2022. Szczegółowe informacje zawarte są w rozdziale dot. Działań realizowanych przez </w:t>
            </w:r>
            <w:proofErr w:type="spellStart"/>
            <w:r w:rsidRPr="005911C6">
              <w:rPr>
                <w:rFonts w:ascii="Lato" w:eastAsia="MS Mincho" w:hAnsi="Lato" w:cs="Times New Roman"/>
                <w:bCs/>
                <w:color w:val="000000" w:themeColor="text1"/>
                <w:sz w:val="18"/>
                <w:szCs w:val="18"/>
              </w:rPr>
              <w:t>MRiPS</w:t>
            </w:r>
            <w:proofErr w:type="spellEnd"/>
            <w:r w:rsidRPr="005911C6">
              <w:rPr>
                <w:rFonts w:ascii="Lato" w:eastAsia="MS Mincho" w:hAnsi="Lato" w:cs="Times New Roman"/>
                <w:bCs/>
                <w:color w:val="000000" w:themeColor="text1"/>
                <w:sz w:val="18"/>
                <w:szCs w:val="18"/>
              </w:rPr>
              <w:t xml:space="preserve">. </w:t>
            </w:r>
          </w:p>
          <w:p w14:paraId="6AA0A4AC" w14:textId="77777777" w:rsidR="0044603E" w:rsidRPr="005911C6" w:rsidRDefault="0044603E" w:rsidP="005911C6">
            <w:pPr>
              <w:spacing w:after="0" w:line="240" w:lineRule="auto"/>
              <w:rPr>
                <w:rFonts w:ascii="Lato" w:eastAsia="MS Mincho" w:hAnsi="Lato" w:cs="Times New Roman"/>
                <w:b/>
                <w:color w:val="2F5496" w:themeColor="accent1" w:themeShade="BF"/>
                <w:sz w:val="18"/>
                <w:szCs w:val="18"/>
              </w:rPr>
            </w:pPr>
          </w:p>
          <w:p w14:paraId="6841EBB9" w14:textId="289EAEB2" w:rsidR="00DF4B6E" w:rsidRPr="005911C6" w:rsidRDefault="00DF4B6E"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Kultury i Dziedzictwa Narodowego</w:t>
            </w:r>
          </w:p>
          <w:p w14:paraId="03C4F2E0" w14:textId="71B1BC53"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inicjatyw nakierowanych wprost na wsparcie wolontariatu w obrębie kultury: 3</w:t>
            </w:r>
          </w:p>
          <w:p w14:paraId="6E3597AD" w14:textId="41FC3689" w:rsidR="00DF4B6E" w:rsidRPr="005911C6" w:rsidRDefault="00DF4B6E"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Wspieranie wolontariatu osób starszych poprzez dofinansowanie projektów organizacji pozarządowych, wpisuje się w programy dotacyjne Ministra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 xml:space="preserve">, jak również w profilowane programy państwowych instytucji kultury, dla których organizatorem jest Minister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w:t>
            </w:r>
          </w:p>
          <w:p w14:paraId="1908A8E2" w14:textId="77777777" w:rsidR="00DF4B6E" w:rsidRPr="005911C6" w:rsidRDefault="00DF4B6E"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 xml:space="preserve">- Narodowy Instytut Dziedzictwa – program dotacyjny </w:t>
            </w:r>
            <w:r w:rsidRPr="005911C6">
              <w:rPr>
                <w:rFonts w:ascii="Lato" w:eastAsia="MS Mincho" w:hAnsi="Lato" w:cs="Times New Roman"/>
                <w:i/>
                <w:sz w:val="18"/>
                <w:szCs w:val="18"/>
              </w:rPr>
              <w:t>Wspólnie dla dziedzictwa</w:t>
            </w:r>
            <w:r w:rsidRPr="005911C6">
              <w:rPr>
                <w:rFonts w:ascii="Lato" w:eastAsia="MS Mincho" w:hAnsi="Lato" w:cs="Times New Roman"/>
                <w:sz w:val="18"/>
                <w:szCs w:val="18"/>
              </w:rPr>
              <w:t xml:space="preserve"> (</w:t>
            </w:r>
            <w:hyperlink r:id="rId41" w:history="1">
              <w:r w:rsidRPr="005911C6">
                <w:rPr>
                  <w:rStyle w:val="Hipercze"/>
                  <w:rFonts w:ascii="Lato" w:eastAsia="MS Mincho" w:hAnsi="Lato" w:cs="Times New Roman"/>
                  <w:sz w:val="18"/>
                  <w:szCs w:val="18"/>
                </w:rPr>
                <w:t>https://nid.pl/dotacje/wspolnie-dla-dziedzictwa/</w:t>
              </w:r>
            </w:hyperlink>
            <w:r w:rsidRPr="005911C6">
              <w:rPr>
                <w:rFonts w:ascii="Lato" w:eastAsia="MS Mincho" w:hAnsi="Lato" w:cs="Times New Roman"/>
                <w:sz w:val="18"/>
                <w:szCs w:val="18"/>
              </w:rPr>
              <w:t xml:space="preserve">)   </w:t>
            </w:r>
          </w:p>
          <w:p w14:paraId="7C43A244" w14:textId="77777777" w:rsidR="00DF4B6E" w:rsidRPr="005911C6" w:rsidRDefault="00DF4B6E"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Narodowe Centrum Kultury – szkolenie cykliczne </w:t>
            </w:r>
            <w:r w:rsidRPr="005911C6">
              <w:rPr>
                <w:rFonts w:ascii="Lato" w:eastAsia="MS Mincho" w:hAnsi="Lato" w:cs="Times New Roman"/>
                <w:i/>
                <w:sz w:val="18"/>
                <w:szCs w:val="18"/>
              </w:rPr>
              <w:t>Wolontariat w instytucji kultury</w:t>
            </w:r>
            <w:r w:rsidRPr="005911C6">
              <w:rPr>
                <w:rFonts w:ascii="Lato" w:eastAsia="MS Mincho" w:hAnsi="Lato" w:cs="Times New Roman"/>
                <w:sz w:val="18"/>
                <w:szCs w:val="18"/>
              </w:rPr>
              <w:t xml:space="preserve"> ( </w:t>
            </w:r>
            <w:hyperlink r:id="rId42" w:history="1">
              <w:r w:rsidRPr="005911C6">
                <w:rPr>
                  <w:rStyle w:val="Hipercze"/>
                  <w:rFonts w:ascii="Lato" w:eastAsia="MS Mincho" w:hAnsi="Lato" w:cs="Times New Roman"/>
                  <w:sz w:val="18"/>
                  <w:szCs w:val="18"/>
                </w:rPr>
                <w:t>https://nck.pl/szkolenia-i-rozwoj/aktualnosci/wolontariat-w-instytucji-kultury</w:t>
              </w:r>
            </w:hyperlink>
            <w:r w:rsidRPr="005911C6">
              <w:rPr>
                <w:rFonts w:ascii="Lato" w:eastAsia="MS Mincho" w:hAnsi="Lato" w:cs="Times New Roman"/>
                <w:sz w:val="18"/>
                <w:szCs w:val="18"/>
              </w:rPr>
              <w:t>).</w:t>
            </w:r>
          </w:p>
          <w:p w14:paraId="49B5056F" w14:textId="77777777" w:rsidR="00DF4B6E" w:rsidRPr="005911C6" w:rsidRDefault="00DF4B6E"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 - Instytut Polonika od 2019 r. program dotacyjny </w:t>
            </w:r>
            <w:r w:rsidRPr="005911C6">
              <w:rPr>
                <w:rFonts w:ascii="Lato" w:eastAsia="MS Mincho" w:hAnsi="Lato" w:cs="Times New Roman"/>
                <w:i/>
                <w:sz w:val="18"/>
                <w:szCs w:val="18"/>
              </w:rPr>
              <w:t>Polskie dziedzictwo kulturowe za granicą – wolontariat</w:t>
            </w:r>
            <w:r w:rsidRPr="005911C6">
              <w:rPr>
                <w:rFonts w:ascii="Lato" w:eastAsia="MS Mincho" w:hAnsi="Lato" w:cs="Times New Roman"/>
                <w:sz w:val="18"/>
                <w:szCs w:val="18"/>
              </w:rPr>
              <w:t xml:space="preserve"> (</w:t>
            </w:r>
            <w:hyperlink r:id="rId43" w:history="1">
              <w:r w:rsidRPr="005911C6">
                <w:rPr>
                  <w:rStyle w:val="Hipercze"/>
                  <w:rFonts w:ascii="Lato" w:eastAsia="MS Mincho" w:hAnsi="Lato" w:cs="Times New Roman"/>
                  <w:sz w:val="18"/>
                  <w:szCs w:val="18"/>
                </w:rPr>
                <w:t>https://polonika.pl/programy/programy-grantowe/programy-grantowe-instytutu</w:t>
              </w:r>
            </w:hyperlink>
            <w:r w:rsidRPr="005911C6">
              <w:rPr>
                <w:rFonts w:ascii="Lato" w:eastAsia="MS Mincho" w:hAnsi="Lato" w:cs="Times New Roman"/>
                <w:sz w:val="18"/>
                <w:szCs w:val="18"/>
              </w:rPr>
              <w:t>)</w:t>
            </w:r>
          </w:p>
          <w:p w14:paraId="409E618B" w14:textId="77777777" w:rsidR="00DF4B6E" w:rsidRPr="005911C6" w:rsidRDefault="00DF4B6E" w:rsidP="005911C6">
            <w:pPr>
              <w:spacing w:after="0" w:line="240" w:lineRule="auto"/>
              <w:rPr>
                <w:rFonts w:ascii="Lato" w:eastAsia="MS Mincho" w:hAnsi="Lato" w:cs="Times New Roman"/>
                <w:sz w:val="18"/>
                <w:szCs w:val="18"/>
              </w:rPr>
            </w:pPr>
          </w:p>
          <w:p w14:paraId="1710F2C1" w14:textId="77777777" w:rsidR="00DF4B6E" w:rsidRPr="005911C6" w:rsidRDefault="00DF4B6E" w:rsidP="005911C6">
            <w:pPr>
              <w:spacing w:after="0" w:line="240" w:lineRule="auto"/>
              <w:rPr>
                <w:rFonts w:ascii="Lato" w:eastAsia="MS Mincho" w:hAnsi="Lato" w:cs="Times New Roman"/>
                <w:sz w:val="18"/>
                <w:szCs w:val="18"/>
              </w:rPr>
            </w:pPr>
          </w:p>
          <w:p w14:paraId="41983688" w14:textId="77777777" w:rsidR="003C25C5" w:rsidRPr="005911C6" w:rsidRDefault="00DF4B6E" w:rsidP="005911C6">
            <w:pPr>
              <w:spacing w:after="0" w:line="240" w:lineRule="auto"/>
              <w:rPr>
                <w:rFonts w:ascii="Lato" w:eastAsia="MS Mincho" w:hAnsi="Lato" w:cs="Times New Roman"/>
                <w:b/>
                <w:sz w:val="18"/>
                <w:szCs w:val="18"/>
                <w:u w:val="single"/>
              </w:rPr>
            </w:pPr>
            <w:r w:rsidRPr="005911C6">
              <w:rPr>
                <w:rFonts w:ascii="Lato" w:hAnsi="Lato" w:cs="Times New Roman"/>
                <w:sz w:val="18"/>
                <w:szCs w:val="18"/>
              </w:rPr>
              <w:t xml:space="preserve">11 instytucji nadzorowanych przez </w:t>
            </w:r>
            <w:proofErr w:type="spellStart"/>
            <w:r w:rsidRPr="005911C6">
              <w:rPr>
                <w:rFonts w:ascii="Lato" w:hAnsi="Lato" w:cs="Times New Roman"/>
                <w:sz w:val="18"/>
                <w:szCs w:val="18"/>
              </w:rPr>
              <w:t>MKiDN</w:t>
            </w:r>
            <w:proofErr w:type="spellEnd"/>
            <w:r w:rsidRPr="005911C6">
              <w:rPr>
                <w:rFonts w:ascii="Lato" w:hAnsi="Lato" w:cs="Times New Roman"/>
                <w:sz w:val="18"/>
                <w:szCs w:val="18"/>
              </w:rPr>
              <w:t xml:space="preserve"> (Muzeum </w:t>
            </w:r>
            <w:proofErr w:type="spellStart"/>
            <w:r w:rsidRPr="005911C6">
              <w:rPr>
                <w:rFonts w:ascii="Lato" w:hAnsi="Lato" w:cs="Times New Roman"/>
                <w:sz w:val="18"/>
                <w:szCs w:val="18"/>
              </w:rPr>
              <w:t>Polin</w:t>
            </w:r>
            <w:proofErr w:type="spellEnd"/>
            <w:r w:rsidRPr="005911C6">
              <w:rPr>
                <w:rFonts w:ascii="Lato" w:hAnsi="Lato" w:cs="Times New Roman"/>
                <w:sz w:val="18"/>
                <w:szCs w:val="18"/>
              </w:rPr>
              <w:t>, Muzeum Narodowe w Krakowie, Muzeum Narodowe w Szczecinie, Zamek Królewski w Warszawie, Muzeum Narodowe w Lublinie, Muzeum Józefa Piłsudzkiego w Sulejówku, Muzeum Pamięci Mieszkańców Ziemi Oświęcimskiej, Muzeum Narodowe we Wrocławiu, Muzeum Narodowe w Warszawie, Instytut Północny im. Wojciecha Kętrzyńskiego w Olsztynie, Centralne Muzeum Jeńców Wojennych) organizowało programy wolontariatu skierowane do osób starszych. Objęły one łącznie ponad 300 osób</w:t>
            </w:r>
            <w:r w:rsidRPr="005911C6">
              <w:rPr>
                <w:rFonts w:ascii="Lato" w:eastAsia="MS Mincho" w:hAnsi="Lato" w:cs="Times New Roman"/>
                <w:b/>
                <w:sz w:val="18"/>
                <w:szCs w:val="18"/>
                <w:u w:val="single"/>
              </w:rPr>
              <w:t>.</w:t>
            </w:r>
          </w:p>
          <w:p w14:paraId="0D261043" w14:textId="77777777" w:rsidR="0077160A" w:rsidRPr="005911C6" w:rsidRDefault="0077160A" w:rsidP="005911C6">
            <w:pPr>
              <w:spacing w:after="0" w:line="240" w:lineRule="auto"/>
              <w:rPr>
                <w:rFonts w:ascii="Lato" w:eastAsia="MS Mincho" w:hAnsi="Lato" w:cs="Times New Roman"/>
                <w:b/>
                <w:sz w:val="18"/>
                <w:szCs w:val="18"/>
                <w:u w:val="single"/>
              </w:rPr>
            </w:pPr>
          </w:p>
          <w:p w14:paraId="17A6E5CE" w14:textId="78CACEFF" w:rsidR="0077160A" w:rsidRPr="005911C6" w:rsidRDefault="0077160A"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Sportu i Turystyki</w:t>
            </w:r>
          </w:p>
          <w:p w14:paraId="5C717771" w14:textId="774332FB" w:rsidR="0077160A" w:rsidRPr="005911C6" w:rsidRDefault="0077160A" w:rsidP="005911C6">
            <w:pPr>
              <w:spacing w:after="0" w:line="240" w:lineRule="auto"/>
              <w:rPr>
                <w:rFonts w:ascii="Lato" w:eastAsia="MS Mincho" w:hAnsi="Lato" w:cs="Times New Roman"/>
                <w:bCs/>
                <w:color w:val="2F5496" w:themeColor="accent1" w:themeShade="BF"/>
                <w:sz w:val="18"/>
                <w:szCs w:val="18"/>
              </w:rPr>
            </w:pPr>
            <w:r w:rsidRPr="005911C6">
              <w:rPr>
                <w:rFonts w:ascii="Lato" w:eastAsia="MS Mincho" w:hAnsi="Lato" w:cs="Times New Roman"/>
                <w:bCs/>
                <w:sz w:val="18"/>
                <w:szCs w:val="18"/>
              </w:rPr>
              <w:t>W 2022 roku zrealizowano 1 projekt (</w:t>
            </w:r>
            <w:r w:rsidRPr="005911C6">
              <w:rPr>
                <w:rFonts w:ascii="Lato" w:hAnsi="Lato"/>
                <w:bCs/>
                <w:sz w:val="18"/>
                <w:szCs w:val="18"/>
              </w:rPr>
              <w:t xml:space="preserve"> </w:t>
            </w:r>
            <w:r w:rsidRPr="005911C6">
              <w:rPr>
                <w:rFonts w:ascii="Lato" w:eastAsia="MS Mincho" w:hAnsi="Lato" w:cs="Times New Roman"/>
                <w:bCs/>
                <w:sz w:val="18"/>
                <w:szCs w:val="18"/>
              </w:rPr>
              <w:t>Europejskie Stowarzyszenie Promocji Aktywności Ruchowej 50+), adresowany do osób starszych w wieku 50+, dofinansowany ze środków budżetu państwa, który polegał na wyszkoleniu 15 wolontariuszek z terenu 6 lokalizacji Polski do działań w terenie i organizacji spacerów sąsiedzkich.</w:t>
            </w:r>
          </w:p>
        </w:tc>
      </w:tr>
      <w:tr w:rsidR="003C25C5" w:rsidRPr="005911C6" w14:paraId="4EF6047B" w14:textId="77777777" w:rsidTr="008C67C9">
        <w:trPr>
          <w:trHeight w:val="840"/>
        </w:trPr>
        <w:tc>
          <w:tcPr>
            <w:tcW w:w="1232" w:type="dxa"/>
            <w:vMerge/>
            <w:shd w:val="clear" w:color="auto" w:fill="FFFFFF" w:themeFill="background1"/>
          </w:tcPr>
          <w:p w14:paraId="0711ABE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BFD816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Włączenie osób starszych do udziału </w:t>
            </w:r>
            <w:r w:rsidRPr="005911C6">
              <w:rPr>
                <w:rFonts w:ascii="Lato" w:eastAsia="MS Mincho" w:hAnsi="Lato"/>
                <w:sz w:val="18"/>
                <w:szCs w:val="18"/>
              </w:rPr>
              <w:br/>
              <w:t xml:space="preserve">w działaniach na rzecz integracji społeczności lokalnej, w tym: </w:t>
            </w:r>
          </w:p>
          <w:p w14:paraId="575B4D19"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rozpowszechnienie informacji</w:t>
            </w:r>
            <w:r w:rsidRPr="005911C6">
              <w:rPr>
                <w:rFonts w:ascii="Lato" w:eastAsia="MS Mincho" w:hAnsi="Lato"/>
                <w:sz w:val="18"/>
                <w:szCs w:val="18"/>
              </w:rPr>
              <w:br/>
              <w:t>o wydarzeniach lokalnych wśród osób starszych i podmiotów docierających do osób starszych;</w:t>
            </w:r>
          </w:p>
          <w:p w14:paraId="64A9A6C0"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 xml:space="preserve">upowszechnianie darmowego transportu dla osób niemobilnych </w:t>
            </w:r>
            <w:r w:rsidRPr="005911C6">
              <w:rPr>
                <w:rFonts w:ascii="Lato" w:eastAsia="MS Mincho" w:hAnsi="Lato"/>
                <w:sz w:val="18"/>
                <w:szCs w:val="18"/>
              </w:rPr>
              <w:br/>
              <w:t xml:space="preserve">w trakcie wydarzeń lokalnych </w:t>
            </w:r>
            <w:r w:rsidRPr="005911C6">
              <w:rPr>
                <w:rFonts w:ascii="Lato" w:eastAsia="MS Mincho" w:hAnsi="Lato"/>
                <w:sz w:val="18"/>
                <w:szCs w:val="18"/>
              </w:rPr>
              <w:br/>
              <w:t>w celu umożliwienia im czynnego uczestnictwa w wydarzeniach integrujących społeczność lokalną;</w:t>
            </w:r>
          </w:p>
          <w:p w14:paraId="5B6EF874"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lastRenderedPageBreak/>
              <w:t xml:space="preserve">uwzględnianie wolontariatu seniorów w pracach samorządów </w:t>
            </w:r>
            <w:r w:rsidRPr="005911C6">
              <w:rPr>
                <w:rFonts w:ascii="Lato" w:eastAsia="MS Mincho" w:hAnsi="Lato"/>
                <w:sz w:val="18"/>
                <w:szCs w:val="18"/>
              </w:rPr>
              <w:br/>
              <w:t>i instytucji lokalnych</w:t>
            </w:r>
          </w:p>
        </w:tc>
        <w:tc>
          <w:tcPr>
            <w:tcW w:w="2032" w:type="dxa"/>
            <w:vMerge w:val="restart"/>
            <w:shd w:val="clear" w:color="auto" w:fill="FFFFFF" w:themeFill="background1"/>
          </w:tcPr>
          <w:p w14:paraId="4B3E58C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Ministerstwo Rodziny i Polityki Społecznej</w:t>
            </w:r>
          </w:p>
        </w:tc>
        <w:tc>
          <w:tcPr>
            <w:tcW w:w="1500" w:type="dxa"/>
            <w:vMerge w:val="restart"/>
            <w:shd w:val="clear" w:color="auto" w:fill="FFFFFF" w:themeFill="background1"/>
          </w:tcPr>
          <w:p w14:paraId="31E08D94"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0EA444F4"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inicjatyw mających na celu włączenie osób starszych do udziału w działaniach na rzecz integracji społeczności lokalnej</w:t>
            </w:r>
          </w:p>
        </w:tc>
      </w:tr>
      <w:tr w:rsidR="003C25C5" w:rsidRPr="005911C6" w14:paraId="38633BEF" w14:textId="77777777" w:rsidTr="008C67C9">
        <w:trPr>
          <w:trHeight w:val="2119"/>
        </w:trPr>
        <w:tc>
          <w:tcPr>
            <w:tcW w:w="1232" w:type="dxa"/>
            <w:vMerge/>
            <w:shd w:val="clear" w:color="auto" w:fill="FFFFFF" w:themeFill="background1"/>
          </w:tcPr>
          <w:p w14:paraId="4F16B33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4E6C26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3BC35A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662C113"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595D05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F667CA9" w14:textId="77777777" w:rsidR="003C25C5" w:rsidRPr="005911C6" w:rsidRDefault="003C25C5" w:rsidP="005911C6">
            <w:pPr>
              <w:spacing w:after="0" w:line="240" w:lineRule="auto"/>
              <w:rPr>
                <w:rFonts w:ascii="Lato" w:hAnsi="Lato" w:cs="Times New Roman"/>
                <w:sz w:val="18"/>
                <w:szCs w:val="18"/>
              </w:rPr>
            </w:pPr>
          </w:p>
          <w:p w14:paraId="79C93E2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425F842" w14:textId="77777777" w:rsidTr="008C67C9">
        <w:trPr>
          <w:trHeight w:val="835"/>
        </w:trPr>
        <w:tc>
          <w:tcPr>
            <w:tcW w:w="1232" w:type="dxa"/>
            <w:vMerge/>
            <w:shd w:val="clear" w:color="auto" w:fill="FFFFFF" w:themeFill="background1"/>
          </w:tcPr>
          <w:p w14:paraId="51FF15C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1F2E72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modelu edukacji obywatelskiej zorientowanej na wolontariat seniorów, prowadzonej </w:t>
            </w:r>
            <w:r w:rsidRPr="005911C6">
              <w:rPr>
                <w:rFonts w:ascii="Lato" w:eastAsia="MS Mincho" w:hAnsi="Lato"/>
                <w:sz w:val="18"/>
                <w:szCs w:val="18"/>
              </w:rPr>
              <w:br/>
              <w:t>z organizacjami pozarządowymi</w:t>
            </w:r>
          </w:p>
        </w:tc>
        <w:tc>
          <w:tcPr>
            <w:tcW w:w="2032" w:type="dxa"/>
            <w:vMerge w:val="restart"/>
            <w:shd w:val="clear" w:color="auto" w:fill="FFFFFF" w:themeFill="background1"/>
          </w:tcPr>
          <w:p w14:paraId="1E9AB30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tc>
        <w:tc>
          <w:tcPr>
            <w:tcW w:w="1500" w:type="dxa"/>
            <w:vMerge w:val="restart"/>
            <w:shd w:val="clear" w:color="auto" w:fill="FFFFFF" w:themeFill="background1"/>
          </w:tcPr>
          <w:p w14:paraId="2FD3416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567FE94C"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inicjatyw promujących model edukacji obywatelskiej zorientowanej na wolontariat seniorów, prowadzonej z organizacjami pozarządowymi</w:t>
            </w:r>
          </w:p>
        </w:tc>
      </w:tr>
      <w:tr w:rsidR="003C25C5" w:rsidRPr="005911C6" w14:paraId="59836DEA" w14:textId="77777777" w:rsidTr="008C67C9">
        <w:trPr>
          <w:trHeight w:val="1130"/>
        </w:trPr>
        <w:tc>
          <w:tcPr>
            <w:tcW w:w="1232" w:type="dxa"/>
            <w:vMerge/>
            <w:shd w:val="clear" w:color="auto" w:fill="FFFFFF" w:themeFill="background1"/>
          </w:tcPr>
          <w:p w14:paraId="3FB1A1D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C999E5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C5CAAD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A1343F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0231B3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DD9026D" w14:textId="77777777" w:rsidR="003C25C5" w:rsidRPr="005911C6" w:rsidRDefault="003C25C5" w:rsidP="005911C6">
            <w:pPr>
              <w:spacing w:after="0" w:line="240" w:lineRule="auto"/>
              <w:rPr>
                <w:rFonts w:ascii="Lato" w:hAnsi="Lato" w:cs="Times New Roman"/>
                <w:sz w:val="18"/>
                <w:szCs w:val="18"/>
              </w:rPr>
            </w:pPr>
          </w:p>
          <w:p w14:paraId="593ECE7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487ADE6" w14:textId="77777777" w:rsidTr="008C67C9">
        <w:trPr>
          <w:trHeight w:val="1690"/>
        </w:trPr>
        <w:tc>
          <w:tcPr>
            <w:tcW w:w="1232" w:type="dxa"/>
            <w:vMerge/>
            <w:shd w:val="clear" w:color="auto" w:fill="FFFFFF" w:themeFill="background1"/>
          </w:tcPr>
          <w:p w14:paraId="221C9D2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EC681C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Zwiększenie dostępności placówek </w:t>
            </w:r>
            <w:r w:rsidRPr="005911C6">
              <w:rPr>
                <w:rFonts w:ascii="Lato" w:eastAsia="MS Mincho" w:hAnsi="Lato"/>
                <w:sz w:val="18"/>
                <w:szCs w:val="18"/>
              </w:rPr>
              <w:br/>
              <w:t>i instytucji kultury dla osób starszych, dzięki:</w:t>
            </w:r>
          </w:p>
          <w:p w14:paraId="606E164C"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dostosowaniu rodzaju i form aktywności kulturalnych do zróżnicowanych potrzeb starszych odbiorców;</w:t>
            </w:r>
          </w:p>
          <w:p w14:paraId="7A5A3B5F"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 xml:space="preserve">upowszechnianiu pozytywnych wzorców i dobrych praktyk </w:t>
            </w:r>
            <w:r w:rsidRPr="005911C6">
              <w:rPr>
                <w:rFonts w:ascii="Lato" w:eastAsia="MS Mincho" w:hAnsi="Lato"/>
                <w:sz w:val="18"/>
                <w:szCs w:val="18"/>
              </w:rPr>
              <w:br/>
              <w:t>w tym obszarze;</w:t>
            </w:r>
          </w:p>
          <w:p w14:paraId="72A49C93"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wspieraniu wszelkich form amatorskiej działalności artystycznej osób starszych;</w:t>
            </w:r>
          </w:p>
          <w:p w14:paraId="3017B75A" w14:textId="77777777" w:rsidR="003C25C5" w:rsidRPr="005911C6" w:rsidRDefault="003C25C5" w:rsidP="005911C6">
            <w:pPr>
              <w:pStyle w:val="Kolorowalistaakcent11"/>
              <w:numPr>
                <w:ilvl w:val="0"/>
                <w:numId w:val="7"/>
              </w:numPr>
              <w:spacing w:after="0" w:line="240" w:lineRule="auto"/>
              <w:ind w:left="360"/>
              <w:rPr>
                <w:rFonts w:ascii="Lato" w:eastAsia="MS Mincho" w:hAnsi="Lato"/>
                <w:sz w:val="18"/>
                <w:szCs w:val="18"/>
              </w:rPr>
            </w:pPr>
            <w:r w:rsidRPr="005911C6">
              <w:rPr>
                <w:rFonts w:ascii="Lato" w:eastAsia="MS Mincho" w:hAnsi="Lato"/>
                <w:sz w:val="18"/>
                <w:szCs w:val="18"/>
              </w:rPr>
              <w:t xml:space="preserve">wykorzystaniu potencjału i bazy placówek publicznych </w:t>
            </w:r>
            <w:r w:rsidRPr="005911C6">
              <w:rPr>
                <w:rFonts w:ascii="Lato" w:eastAsia="MS Mincho" w:hAnsi="Lato"/>
                <w:sz w:val="18"/>
                <w:szCs w:val="18"/>
              </w:rPr>
              <w:br/>
              <w:t xml:space="preserve">do organizowania zajęć </w:t>
            </w:r>
            <w:r w:rsidRPr="005911C6">
              <w:rPr>
                <w:rFonts w:ascii="Lato" w:eastAsia="MS Mincho" w:hAnsi="Lato"/>
                <w:sz w:val="18"/>
                <w:szCs w:val="18"/>
              </w:rPr>
              <w:br/>
              <w:t xml:space="preserve">o charakterze kulturalnym, artystycznym, rekreacyjnym </w:t>
            </w:r>
            <w:r w:rsidRPr="005911C6">
              <w:rPr>
                <w:rFonts w:ascii="Lato" w:eastAsia="MS Mincho" w:hAnsi="Lato"/>
                <w:sz w:val="18"/>
                <w:szCs w:val="18"/>
              </w:rPr>
              <w:br/>
              <w:t>i ogólnorozwojowym.</w:t>
            </w:r>
          </w:p>
        </w:tc>
        <w:tc>
          <w:tcPr>
            <w:tcW w:w="2032" w:type="dxa"/>
            <w:vMerge w:val="restart"/>
            <w:shd w:val="clear" w:color="auto" w:fill="FFFFFF" w:themeFill="background1"/>
          </w:tcPr>
          <w:p w14:paraId="18E1CC9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Kultury i Dziedzictwa Narodowego </w:t>
            </w:r>
            <w:r w:rsidRPr="005911C6">
              <w:rPr>
                <w:rFonts w:ascii="Lato" w:eastAsia="MS Mincho" w:hAnsi="Lato"/>
                <w:sz w:val="18"/>
                <w:szCs w:val="18"/>
              </w:rPr>
              <w:br/>
            </w:r>
          </w:p>
        </w:tc>
        <w:tc>
          <w:tcPr>
            <w:tcW w:w="1500" w:type="dxa"/>
            <w:vMerge w:val="restart"/>
            <w:shd w:val="clear" w:color="auto" w:fill="FFFFFF" w:themeFill="background1"/>
          </w:tcPr>
          <w:p w14:paraId="29728EFB"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AE3E9A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inicjatyw mających na celu zwiększenie dostępności placówek i instytucji kultury dla osób starszych</w:t>
            </w:r>
          </w:p>
        </w:tc>
      </w:tr>
      <w:tr w:rsidR="003C25C5" w:rsidRPr="005911C6" w14:paraId="01FBAA1B" w14:textId="77777777" w:rsidTr="008C67C9">
        <w:trPr>
          <w:trHeight w:val="1122"/>
        </w:trPr>
        <w:tc>
          <w:tcPr>
            <w:tcW w:w="1232" w:type="dxa"/>
            <w:vMerge/>
            <w:shd w:val="clear" w:color="auto" w:fill="FFFFFF" w:themeFill="background1"/>
          </w:tcPr>
          <w:p w14:paraId="6426F83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60C4D0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0F3446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F950FB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424EE90" w14:textId="77777777" w:rsidR="006577FF" w:rsidRPr="005911C6" w:rsidRDefault="006577FF"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Kultury i Dziedzictwa Narodowego</w:t>
            </w:r>
          </w:p>
          <w:p w14:paraId="09125D54" w14:textId="25F39B79"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Liczba programów dotacyjnych Ministra </w:t>
            </w:r>
            <w:proofErr w:type="spellStart"/>
            <w:r w:rsidRPr="005911C6">
              <w:rPr>
                <w:rFonts w:ascii="Lato" w:eastAsia="MS Mincho" w:hAnsi="Lato" w:cs="Times New Roman"/>
                <w:sz w:val="18"/>
                <w:szCs w:val="18"/>
              </w:rPr>
              <w:t>KiDN</w:t>
            </w:r>
            <w:proofErr w:type="spellEnd"/>
            <w:r w:rsidRPr="005911C6">
              <w:rPr>
                <w:rFonts w:ascii="Lato" w:eastAsia="MS Mincho" w:hAnsi="Lato" w:cs="Times New Roman"/>
                <w:sz w:val="18"/>
                <w:szCs w:val="18"/>
              </w:rPr>
              <w:t xml:space="preserve"> ukierunkowanych na poprawę dostępności infrastruktury kultury, w tym uwzględnienie dostosowania do potrzeb osób starszych: 3</w:t>
            </w:r>
          </w:p>
          <w:p w14:paraId="478B5214" w14:textId="0DA035AB"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udzielonych dofinansowań: 395</w:t>
            </w:r>
          </w:p>
          <w:p w14:paraId="02DBB31E" w14:textId="5637AA40"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Liczba programów dotacyjnych „Kultura bez barier”, dofinansowanych w ramach </w:t>
            </w:r>
            <w:r w:rsidRPr="005911C6">
              <w:rPr>
                <w:rFonts w:ascii="Lato" w:hAnsi="Lato" w:cs="Times New Roman"/>
                <w:sz w:val="18"/>
                <w:szCs w:val="18"/>
              </w:rPr>
              <w:t xml:space="preserve"> </w:t>
            </w:r>
            <w:r w:rsidRPr="005911C6">
              <w:rPr>
                <w:rFonts w:ascii="Lato" w:eastAsia="MS Mincho" w:hAnsi="Lato" w:cs="Times New Roman"/>
                <w:sz w:val="18"/>
                <w:szCs w:val="18"/>
              </w:rPr>
              <w:t>Programu Operacyjnego Wiedza Edukacja Rozwój na lata 2014-2020 ukierunkowanych na poprawę dostępności oferty instytucji kultury, w tym uwzględnienie dostosowania do potrzeb osób starszych: 1</w:t>
            </w:r>
          </w:p>
          <w:p w14:paraId="417343DD" w14:textId="77777777"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udzielonych dofinansowań: 164</w:t>
            </w:r>
          </w:p>
          <w:p w14:paraId="68D1B867" w14:textId="77777777" w:rsidR="006577FF" w:rsidRPr="005911C6" w:rsidRDefault="006577FF" w:rsidP="005911C6">
            <w:pPr>
              <w:spacing w:after="0" w:line="240" w:lineRule="auto"/>
              <w:rPr>
                <w:rFonts w:ascii="Lato" w:eastAsia="MS Mincho" w:hAnsi="Lato" w:cs="Times New Roman"/>
                <w:bCs/>
                <w:sz w:val="18"/>
                <w:szCs w:val="18"/>
              </w:rPr>
            </w:pPr>
          </w:p>
          <w:p w14:paraId="3E346227" w14:textId="308B3DE1" w:rsidR="006577FF" w:rsidRPr="005911C6" w:rsidRDefault="006577FF"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Lista programów dotacyjnych Ministra </w:t>
            </w:r>
            <w:proofErr w:type="spellStart"/>
            <w:r w:rsidRPr="005911C6">
              <w:rPr>
                <w:rFonts w:ascii="Lato" w:eastAsia="MS Mincho" w:hAnsi="Lato" w:cs="Times New Roman"/>
                <w:bCs/>
                <w:sz w:val="18"/>
                <w:szCs w:val="18"/>
              </w:rPr>
              <w:t>KiDN</w:t>
            </w:r>
            <w:proofErr w:type="spellEnd"/>
            <w:r w:rsidRPr="005911C6">
              <w:rPr>
                <w:rFonts w:ascii="Lato" w:eastAsia="MS Mincho" w:hAnsi="Lato" w:cs="Times New Roman"/>
                <w:bCs/>
                <w:sz w:val="18"/>
                <w:szCs w:val="18"/>
              </w:rPr>
              <w:t xml:space="preserve">, w których w 2022 r. zostały dofinansowane projekty infrastrukturalne służące poprawie </w:t>
            </w:r>
            <w:r w:rsidRPr="005911C6">
              <w:rPr>
                <w:rFonts w:ascii="Lato" w:eastAsia="MS Mincho" w:hAnsi="Lato" w:cs="Times New Roman"/>
                <w:bCs/>
                <w:sz w:val="18"/>
                <w:szCs w:val="18"/>
              </w:rPr>
              <w:lastRenderedPageBreak/>
              <w:t>dostępności instytucji dla szerokiego grona odbiorców, w tym osób starszych:</w:t>
            </w:r>
          </w:p>
          <w:p w14:paraId="7AA65153" w14:textId="77777777" w:rsidR="006577FF" w:rsidRPr="005911C6" w:rsidRDefault="006577FF" w:rsidP="005911C6">
            <w:pPr>
              <w:pStyle w:val="Akapitzlist"/>
              <w:numPr>
                <w:ilvl w:val="0"/>
                <w:numId w:val="167"/>
              </w:num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Infrastruktura domów kultury (161),</w:t>
            </w:r>
          </w:p>
          <w:p w14:paraId="598AD137" w14:textId="77777777" w:rsidR="006577FF" w:rsidRPr="005911C6" w:rsidRDefault="006577FF" w:rsidP="005911C6">
            <w:pPr>
              <w:pStyle w:val="Akapitzlist"/>
              <w:numPr>
                <w:ilvl w:val="0"/>
                <w:numId w:val="167"/>
              </w:num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Infrastruktura kultury (182),</w:t>
            </w:r>
          </w:p>
          <w:p w14:paraId="3D8912C2" w14:textId="77777777" w:rsidR="006577FF" w:rsidRPr="005911C6" w:rsidRDefault="006577FF" w:rsidP="005911C6">
            <w:pPr>
              <w:pStyle w:val="Akapitzlist"/>
              <w:numPr>
                <w:ilvl w:val="0"/>
                <w:numId w:val="167"/>
              </w:num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Infrastruktura szkolnictwa artystycznego (52).</w:t>
            </w:r>
          </w:p>
          <w:p w14:paraId="4EA165E8" w14:textId="77777777" w:rsidR="006577FF" w:rsidRPr="005911C6" w:rsidRDefault="006577FF" w:rsidP="005911C6">
            <w:pPr>
              <w:spacing w:after="0" w:line="240" w:lineRule="auto"/>
              <w:rPr>
                <w:rFonts w:ascii="Lato" w:eastAsia="MS Mincho" w:hAnsi="Lato" w:cs="Times New Roman"/>
                <w:b/>
                <w:sz w:val="18"/>
                <w:szCs w:val="18"/>
                <w:u w:val="single"/>
              </w:rPr>
            </w:pPr>
          </w:p>
          <w:p w14:paraId="4C26A96A" w14:textId="509C3530" w:rsidR="006577FF" w:rsidRPr="005911C6" w:rsidRDefault="006577FF"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Dostosowanie rodzaju i form aktywności kulturalnych do zróżnicowanych potrzeb starszych odbiorców:</w:t>
            </w:r>
          </w:p>
          <w:p w14:paraId="023E36C8" w14:textId="51E6C7D3" w:rsidR="006577FF"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 2022 r. został ogłoszony i rozstrzygnięty konkurs grantowy w ramach projektu  „Kultura bez Barier”. 164 instytucji kultury z całej Polski otrzymało środki na realizację przedsięwzięć poprawiających dostępność oferty dla osób ze szczególnymi potrzebami, w tym osób starszych. Łączna kwota dotacji wyniosła 25 mln zł. </w:t>
            </w:r>
          </w:p>
          <w:p w14:paraId="2845347F" w14:textId="7353268E" w:rsidR="003C25C5" w:rsidRPr="005911C6" w:rsidRDefault="006577FF"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Projekt „Kultura bez barier” finansowany jest ze środków Unii Europejskiej w ramach Osi priorytetowej IV. Innowacje społeczne i współpraca ponadnarodowa, Działanie 4.3 Współpraca ponadnarodowa Programu Operacyjnego Wiedza Edukacja Rozwój na lata 2014-2020. Projekt  realizowany wspólnie przez Ministerstwo Kultury i Dziedzictwa Narodowego, Państwowy Fundusz Rehabilitacji Osób Niepełnosprawnych oraz Fundację Kultury bez Barier.</w:t>
            </w:r>
          </w:p>
        </w:tc>
      </w:tr>
      <w:tr w:rsidR="003C25C5" w:rsidRPr="005911C6" w14:paraId="7972D57B" w14:textId="77777777" w:rsidTr="008C67C9">
        <w:trPr>
          <w:trHeight w:val="737"/>
        </w:trPr>
        <w:tc>
          <w:tcPr>
            <w:tcW w:w="1232" w:type="dxa"/>
            <w:vMerge/>
            <w:shd w:val="clear" w:color="auto" w:fill="FFFFFF" w:themeFill="background1"/>
          </w:tcPr>
          <w:p w14:paraId="2EB9899A"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EE0B0D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aktywności sportowej </w:t>
            </w:r>
            <w:r w:rsidRPr="005911C6">
              <w:rPr>
                <w:rFonts w:ascii="Lato" w:eastAsia="MS Mincho" w:hAnsi="Lato"/>
                <w:sz w:val="18"/>
                <w:szCs w:val="18"/>
              </w:rPr>
              <w:br/>
              <w:t xml:space="preserve">i rekreacyjnej, osób starszych </w:t>
            </w:r>
            <w:r w:rsidRPr="005911C6">
              <w:rPr>
                <w:rFonts w:ascii="Lato" w:eastAsia="MS Mincho" w:hAnsi="Lato"/>
                <w:sz w:val="18"/>
                <w:szCs w:val="18"/>
              </w:rPr>
              <w:br/>
              <w:t xml:space="preserve">ze zwróceniem uwagi na korzyści, </w:t>
            </w:r>
            <w:r w:rsidRPr="005911C6">
              <w:rPr>
                <w:rFonts w:ascii="Lato" w:eastAsia="MS Mincho" w:hAnsi="Lato"/>
                <w:sz w:val="18"/>
                <w:szCs w:val="18"/>
              </w:rPr>
              <w:br/>
              <w:t>jakie ona przynosi seniorom, w tym:</w:t>
            </w:r>
          </w:p>
          <w:p w14:paraId="2CECF50F" w14:textId="77777777" w:rsidR="003C25C5" w:rsidRPr="005911C6" w:rsidRDefault="003C25C5" w:rsidP="005911C6">
            <w:pPr>
              <w:pStyle w:val="Kolorowalistaakcent11"/>
              <w:numPr>
                <w:ilvl w:val="0"/>
                <w:numId w:val="8"/>
              </w:numPr>
              <w:spacing w:after="0" w:line="240" w:lineRule="auto"/>
              <w:ind w:left="360"/>
              <w:rPr>
                <w:rFonts w:ascii="Lato" w:eastAsia="MS Mincho" w:hAnsi="Lato"/>
                <w:sz w:val="18"/>
                <w:szCs w:val="18"/>
              </w:rPr>
            </w:pPr>
            <w:r w:rsidRPr="005911C6">
              <w:rPr>
                <w:rFonts w:ascii="Lato" w:eastAsia="MS Mincho" w:hAnsi="Lato"/>
                <w:sz w:val="18"/>
                <w:szCs w:val="18"/>
              </w:rPr>
              <w:t xml:space="preserve">upowszechnianie form sportu </w:t>
            </w:r>
            <w:r w:rsidRPr="005911C6">
              <w:rPr>
                <w:rFonts w:ascii="Lato" w:eastAsia="MS Mincho" w:hAnsi="Lato"/>
                <w:sz w:val="18"/>
                <w:szCs w:val="18"/>
              </w:rPr>
              <w:br/>
              <w:t>i rekreacji dla seniorów;</w:t>
            </w:r>
          </w:p>
          <w:p w14:paraId="198208D5" w14:textId="77777777" w:rsidR="003C25C5" w:rsidRPr="005911C6" w:rsidRDefault="003C25C5" w:rsidP="005911C6">
            <w:pPr>
              <w:pStyle w:val="Kolorowalistaakcent11"/>
              <w:numPr>
                <w:ilvl w:val="0"/>
                <w:numId w:val="8"/>
              </w:numPr>
              <w:spacing w:after="0" w:line="240" w:lineRule="auto"/>
              <w:ind w:left="360"/>
              <w:rPr>
                <w:rFonts w:ascii="Lato" w:eastAsia="MS Mincho" w:hAnsi="Lato"/>
                <w:sz w:val="18"/>
                <w:szCs w:val="18"/>
              </w:rPr>
            </w:pPr>
            <w:r w:rsidRPr="005911C6">
              <w:rPr>
                <w:rFonts w:ascii="Lato" w:eastAsia="MS Mincho" w:hAnsi="Lato"/>
                <w:sz w:val="18"/>
                <w:szCs w:val="18"/>
              </w:rPr>
              <w:t>prowadzenie zajęć o charakterze sportowym i rekreacyjnym dla seniorów przez instruktorów z wykorzystaniem kadry i baz, jakie posiadają lokalne kluby sportowe, ośrodki sportu i rekreacji, baseny, hale sportowe itp.</w:t>
            </w:r>
          </w:p>
          <w:p w14:paraId="2C9998B0" w14:textId="77777777" w:rsidR="003C25C5" w:rsidRPr="005911C6" w:rsidRDefault="003C25C5" w:rsidP="005911C6">
            <w:pPr>
              <w:pStyle w:val="Kolorowalistaakcent11"/>
              <w:numPr>
                <w:ilvl w:val="0"/>
                <w:numId w:val="8"/>
              </w:numPr>
              <w:spacing w:after="0" w:line="240" w:lineRule="auto"/>
              <w:ind w:left="360"/>
              <w:rPr>
                <w:rFonts w:ascii="Lato" w:eastAsia="MS Mincho" w:hAnsi="Lato"/>
                <w:sz w:val="18"/>
                <w:szCs w:val="18"/>
              </w:rPr>
            </w:pPr>
            <w:r w:rsidRPr="005911C6">
              <w:rPr>
                <w:rFonts w:ascii="Lato" w:hAnsi="Lato"/>
                <w:sz w:val="18"/>
                <w:szCs w:val="18"/>
              </w:rPr>
              <w:t xml:space="preserve">rozwój małej infrastruktury sportowo – rekreacyjnej o charakterze wielopokoleniowym – Otwarte Strefy Aktywności – poprzez budowę ogólnodostępnych, plenerowych stref aktywności, skierowanych do różnych grup wiekowych oraz tworzenie </w:t>
            </w:r>
            <w:r w:rsidRPr="005911C6">
              <w:rPr>
                <w:rFonts w:ascii="Lato" w:hAnsi="Lato"/>
                <w:sz w:val="18"/>
                <w:szCs w:val="18"/>
              </w:rPr>
              <w:lastRenderedPageBreak/>
              <w:t>przestrzeni aktywności sportowej, sprzyjającej międzypokoleniowej integracji społecznej</w:t>
            </w:r>
          </w:p>
        </w:tc>
        <w:tc>
          <w:tcPr>
            <w:tcW w:w="2032" w:type="dxa"/>
            <w:vMerge w:val="restart"/>
            <w:shd w:val="clear" w:color="auto" w:fill="FFFFFF" w:themeFill="background1"/>
          </w:tcPr>
          <w:p w14:paraId="1B83727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 xml:space="preserve">Ministerstwo Sportu i Turystyki </w:t>
            </w:r>
            <w:r w:rsidRPr="005911C6">
              <w:rPr>
                <w:rFonts w:ascii="Lato" w:eastAsia="MS Mincho" w:hAnsi="Lato"/>
                <w:sz w:val="18"/>
                <w:szCs w:val="18"/>
              </w:rPr>
              <w:br/>
            </w:r>
          </w:p>
          <w:p w14:paraId="1CCA8FC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21FB8623"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4955BE50"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inicjatyw mających na celu promowanie aktywności sportowej, rekreacyjnej, osób starszych ze zwróceniem uwagi na korzyści jakie ona przynosi seniorom</w:t>
            </w:r>
          </w:p>
        </w:tc>
      </w:tr>
      <w:tr w:rsidR="003C25C5" w:rsidRPr="005911C6" w14:paraId="0E245BBF" w14:textId="77777777" w:rsidTr="008C67C9">
        <w:trPr>
          <w:trHeight w:val="1124"/>
        </w:trPr>
        <w:tc>
          <w:tcPr>
            <w:tcW w:w="1232" w:type="dxa"/>
            <w:vMerge/>
            <w:shd w:val="clear" w:color="auto" w:fill="FFFFFF" w:themeFill="background1"/>
          </w:tcPr>
          <w:p w14:paraId="4574C86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C38962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1E4DFE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46EB8A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FDE47DA" w14:textId="7C399085" w:rsidR="00830305" w:rsidRPr="005911C6" w:rsidRDefault="00830305" w:rsidP="005911C6">
            <w:pPr>
              <w:spacing w:after="0" w:line="240" w:lineRule="auto"/>
              <w:rPr>
                <w:rFonts w:ascii="Lato" w:eastAsia="MS Mincho" w:hAnsi="Lato" w:cs="Times New Roman"/>
                <w:b/>
                <w:bCs/>
                <w:color w:val="2F5496" w:themeColor="accent1" w:themeShade="BF"/>
                <w:sz w:val="18"/>
                <w:szCs w:val="18"/>
              </w:rPr>
            </w:pPr>
            <w:r w:rsidRPr="005911C6">
              <w:rPr>
                <w:rFonts w:ascii="Lato" w:eastAsia="MS Mincho" w:hAnsi="Lato" w:cs="Times New Roman"/>
                <w:b/>
                <w:bCs/>
                <w:color w:val="2F5496" w:themeColor="accent1" w:themeShade="BF"/>
                <w:sz w:val="18"/>
                <w:szCs w:val="18"/>
              </w:rPr>
              <w:t>Ministerstwo Sportu i Turystyki</w:t>
            </w:r>
          </w:p>
          <w:p w14:paraId="71CD626A" w14:textId="3D9A9F4E" w:rsidR="00830305" w:rsidRPr="005911C6" w:rsidRDefault="0083030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roku 2022 Ministerstwo Sportu i Turystyki kontynuowało realizację programu Sportowa Polska,  który jest jednym z kluczowych projektów w zakresie wspierania rozwoju lokalnej i powszechnej infrastruktury sportowej na terenie całego kraju. Program wspiera inwestycje, które w największym stopniu odpowiadają rekreacyjnym i sportowym potrzebom społeczeństwa, w tym osób starszych. Obiekty realizowane w ramach programu, to m.in. boiska, baseny, siłownie plenerowe, korty tenisowe. Powstałe obiekty mają charakter ogólnodostępny. W 2022 r. przyznano ponad 353 mln zł na dofinansowanie 221 zadań inwestycyjnych, co pozwoli na budowę, przebudowę lub remont ponad 370</w:t>
            </w:r>
            <w:r w:rsidRPr="005911C6">
              <w:rPr>
                <w:rFonts w:ascii="Lato" w:hAnsi="Lato"/>
                <w:sz w:val="18"/>
                <w:szCs w:val="18"/>
              </w:rPr>
              <w:t xml:space="preserve"> </w:t>
            </w:r>
            <w:r w:rsidRPr="005911C6">
              <w:rPr>
                <w:rFonts w:ascii="Lato" w:eastAsia="MS Mincho" w:hAnsi="Lato" w:cs="Times New Roman"/>
                <w:sz w:val="18"/>
                <w:szCs w:val="18"/>
              </w:rPr>
              <w:t>obiektów sportowych w całej Polsce.</w:t>
            </w:r>
          </w:p>
          <w:p w14:paraId="6F457477" w14:textId="77777777" w:rsidR="00830305" w:rsidRPr="005911C6" w:rsidRDefault="0083030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Ponadto  w 2022 roku zrealizowano 53 projekty, adresowane do osób starszych w wieku 50+, finansowanych ze środków budżetu państwa, w których udział wzięło ponad 104 tysiące uczestników.</w:t>
            </w:r>
          </w:p>
          <w:p w14:paraId="5691F217" w14:textId="77777777" w:rsidR="00830305" w:rsidRPr="005911C6" w:rsidRDefault="00830305" w:rsidP="005911C6">
            <w:pPr>
              <w:spacing w:after="0" w:line="240" w:lineRule="auto"/>
              <w:rPr>
                <w:rFonts w:ascii="Lato" w:hAnsi="Lato" w:cs="Times New Roman"/>
                <w:sz w:val="18"/>
                <w:szCs w:val="18"/>
              </w:rPr>
            </w:pPr>
            <w:r w:rsidRPr="005911C6">
              <w:rPr>
                <w:rFonts w:ascii="Lato" w:eastAsia="MS Mincho" w:hAnsi="Lato" w:cs="Times New Roman"/>
                <w:sz w:val="18"/>
                <w:szCs w:val="18"/>
              </w:rPr>
              <w:lastRenderedPageBreak/>
              <w:t xml:space="preserve">Ponadto, w ramach dofinansowania zadań ze środków Funduszu Rozwoju Kultury Fizycznej, </w:t>
            </w:r>
            <w:r w:rsidRPr="005911C6">
              <w:rPr>
                <w:rFonts w:ascii="Lato" w:hAnsi="Lato" w:cs="Times New Roman"/>
                <w:sz w:val="18"/>
                <w:szCs w:val="18"/>
              </w:rPr>
              <w:t xml:space="preserve"> udział  wzięło 5950 osób niepełnosprawnych w wieku 50+, co stanowi 16 % ogółu uczestników zajęć, imprez, Mistrzostw Polski, Pucharów Polski i obozów.</w:t>
            </w:r>
          </w:p>
          <w:p w14:paraId="765DF8F2" w14:textId="4FF6795C" w:rsidR="003C25C5" w:rsidRPr="005911C6" w:rsidRDefault="00830305" w:rsidP="005911C6">
            <w:pPr>
              <w:spacing w:after="0" w:line="240" w:lineRule="auto"/>
              <w:rPr>
                <w:rFonts w:ascii="Lato" w:hAnsi="Lato" w:cs="Times New Roman"/>
                <w:b/>
                <w:bCs/>
                <w:sz w:val="18"/>
                <w:szCs w:val="18"/>
              </w:rPr>
            </w:pPr>
            <w:r w:rsidRPr="005911C6">
              <w:rPr>
                <w:rFonts w:ascii="Lato" w:hAnsi="Lato" w:cs="Times New Roman"/>
                <w:sz w:val="18"/>
                <w:szCs w:val="18"/>
              </w:rPr>
              <w:t>Podsumowując, aktywność fizyczna jest najbardziej skutecznym sposobem opóźniania procesów starzenia się i czynnikiem zachowania zdrowia oraz mobilności i wydłużenia okresu aktywności funkcjonalnej w życiu codziennym, co w przypadku osób w podeszłym wieku wydaje się najważniejsze.</w:t>
            </w:r>
          </w:p>
        </w:tc>
      </w:tr>
      <w:tr w:rsidR="003C25C5" w:rsidRPr="005911C6" w14:paraId="4BFFB7AB" w14:textId="77777777" w:rsidTr="008C67C9">
        <w:trPr>
          <w:trHeight w:val="823"/>
        </w:trPr>
        <w:tc>
          <w:tcPr>
            <w:tcW w:w="1232" w:type="dxa"/>
            <w:vMerge/>
            <w:shd w:val="clear" w:color="auto" w:fill="FFFFFF" w:themeFill="background1"/>
          </w:tcPr>
          <w:p w14:paraId="23E05D5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16AB4B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Wzmocnienie turystyki grupowej </w:t>
            </w:r>
            <w:r w:rsidRPr="005911C6">
              <w:rPr>
                <w:rFonts w:ascii="Lato" w:eastAsia="MS Mincho" w:hAnsi="Lato"/>
                <w:sz w:val="18"/>
                <w:szCs w:val="18"/>
              </w:rPr>
              <w:br/>
              <w:t xml:space="preserve">i indywidualnej osób starszych poprzez </w:t>
            </w:r>
            <w:r w:rsidRPr="005911C6">
              <w:rPr>
                <w:rFonts w:ascii="Lato" w:hAnsi="Lato"/>
                <w:sz w:val="18"/>
                <w:szCs w:val="18"/>
              </w:rPr>
              <w:t>prowadzenie działań na rzecz zapewnienia warunków do bezpiecznego i aktywnego uprawiania turystyki</w:t>
            </w:r>
          </w:p>
        </w:tc>
        <w:tc>
          <w:tcPr>
            <w:tcW w:w="2032" w:type="dxa"/>
            <w:vMerge w:val="restart"/>
            <w:shd w:val="clear" w:color="auto" w:fill="FFFFFF" w:themeFill="background1"/>
          </w:tcPr>
          <w:p w14:paraId="25A3BAF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Sportu i Turystyki</w:t>
            </w:r>
          </w:p>
          <w:p w14:paraId="154800D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065484DC"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379961B"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inicjatyw na rzecz zapewnienia warunków do bezpiecznego i aktywnego uprawiania turystyki, w tym przez osoby starsze</w:t>
            </w:r>
          </w:p>
          <w:p w14:paraId="1A806DC4" w14:textId="77777777"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6E3E2C81" w14:textId="77777777" w:rsidTr="008C67C9">
        <w:trPr>
          <w:trHeight w:val="823"/>
        </w:trPr>
        <w:tc>
          <w:tcPr>
            <w:tcW w:w="1232" w:type="dxa"/>
            <w:vMerge/>
            <w:shd w:val="clear" w:color="auto" w:fill="FFFFFF" w:themeFill="background1"/>
          </w:tcPr>
          <w:p w14:paraId="2C35EF3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C25FD0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867A67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B6914C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94F7E2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9A644F4" w14:textId="77777777" w:rsidR="003C25C5" w:rsidRPr="005911C6" w:rsidRDefault="003C25C5" w:rsidP="005911C6">
            <w:pPr>
              <w:spacing w:after="0" w:line="240" w:lineRule="auto"/>
              <w:rPr>
                <w:rFonts w:ascii="Lato" w:hAnsi="Lato" w:cs="Times New Roman"/>
                <w:sz w:val="18"/>
                <w:szCs w:val="18"/>
              </w:rPr>
            </w:pPr>
          </w:p>
          <w:p w14:paraId="1AB0086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27C0CEB" w14:textId="77777777" w:rsidTr="008C67C9">
        <w:trPr>
          <w:trHeight w:val="693"/>
        </w:trPr>
        <w:tc>
          <w:tcPr>
            <w:tcW w:w="1232" w:type="dxa"/>
            <w:vMerge/>
            <w:shd w:val="clear" w:color="auto" w:fill="FFFFFF" w:themeFill="background1"/>
          </w:tcPr>
          <w:p w14:paraId="623E44B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9DE805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Propagowanie włączenia społecznego osób starszych, szczególnie pozostających w domu, przez używanie Internetu i innych technologii teleinformatycznych do korzystania z dóbr kultury, rozrywki, edukacji oraz komunikacji z innymi osobami</w:t>
            </w:r>
          </w:p>
        </w:tc>
        <w:tc>
          <w:tcPr>
            <w:tcW w:w="2032" w:type="dxa"/>
            <w:vMerge w:val="restart"/>
            <w:shd w:val="clear" w:color="auto" w:fill="FFFFFF" w:themeFill="background1"/>
          </w:tcPr>
          <w:p w14:paraId="37EE400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 Cyfryzacji, </w:t>
            </w:r>
            <w:r w:rsidRPr="005911C6">
              <w:rPr>
                <w:rFonts w:ascii="Lato" w:hAnsi="Lato"/>
                <w:sz w:val="18"/>
                <w:szCs w:val="18"/>
              </w:rPr>
              <w:t xml:space="preserve"> </w:t>
            </w:r>
            <w:r w:rsidRPr="005911C6">
              <w:rPr>
                <w:rFonts w:ascii="Lato" w:eastAsia="MS Mincho" w:hAnsi="Lato"/>
                <w:sz w:val="18"/>
                <w:szCs w:val="18"/>
              </w:rPr>
              <w:t>Główny Urząd Statystyczny</w:t>
            </w:r>
          </w:p>
        </w:tc>
        <w:tc>
          <w:tcPr>
            <w:tcW w:w="1500" w:type="dxa"/>
            <w:vMerge w:val="restart"/>
            <w:shd w:val="clear" w:color="auto" w:fill="FFFFFF" w:themeFill="background1"/>
          </w:tcPr>
          <w:p w14:paraId="4A1A3B4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6B60251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Odsetek osób w wieku 55-74 korzystających z Internetu</w:t>
            </w:r>
          </w:p>
        </w:tc>
      </w:tr>
      <w:tr w:rsidR="003C25C5" w:rsidRPr="005911C6" w14:paraId="2DAC8E0E" w14:textId="77777777" w:rsidTr="008C67C9">
        <w:trPr>
          <w:trHeight w:val="1150"/>
        </w:trPr>
        <w:tc>
          <w:tcPr>
            <w:tcW w:w="1232" w:type="dxa"/>
            <w:vMerge/>
            <w:shd w:val="clear" w:color="auto" w:fill="FFFFFF" w:themeFill="background1"/>
          </w:tcPr>
          <w:p w14:paraId="4C086F4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AA2FEA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A10BF3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F84536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2809FF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B867345" w14:textId="77777777" w:rsidR="003C25C5" w:rsidRPr="005911C6" w:rsidRDefault="003C25C5" w:rsidP="005911C6">
            <w:pPr>
              <w:spacing w:after="0" w:line="240" w:lineRule="auto"/>
              <w:rPr>
                <w:rFonts w:ascii="Lato" w:hAnsi="Lato" w:cs="Times New Roman"/>
                <w:sz w:val="18"/>
                <w:szCs w:val="18"/>
              </w:rPr>
            </w:pPr>
          </w:p>
          <w:p w14:paraId="3000E70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9BE1FBD" w14:textId="77777777" w:rsidTr="008C67C9">
        <w:trPr>
          <w:trHeight w:val="499"/>
        </w:trPr>
        <w:tc>
          <w:tcPr>
            <w:tcW w:w="1232" w:type="dxa"/>
            <w:vMerge/>
            <w:shd w:val="clear" w:color="auto" w:fill="FFFFFF" w:themeFill="background1"/>
          </w:tcPr>
          <w:p w14:paraId="4FD268A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604D58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istniejących związków wyznaniowych zrzeszających osoby starsze</w:t>
            </w:r>
          </w:p>
        </w:tc>
        <w:tc>
          <w:tcPr>
            <w:tcW w:w="2032" w:type="dxa"/>
            <w:vMerge w:val="restart"/>
            <w:shd w:val="clear" w:color="auto" w:fill="FFFFFF" w:themeFill="background1"/>
          </w:tcPr>
          <w:p w14:paraId="127FC11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4A1F08D6"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3A2DB2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związków wyznaniowych zrzeszających osoby starsze wspartych przez jednostki samorządu terytorialnego</w:t>
            </w:r>
          </w:p>
        </w:tc>
      </w:tr>
      <w:tr w:rsidR="003C25C5" w:rsidRPr="005911C6" w14:paraId="5C1EC872" w14:textId="77777777" w:rsidTr="008C67C9">
        <w:trPr>
          <w:trHeight w:val="720"/>
        </w:trPr>
        <w:tc>
          <w:tcPr>
            <w:tcW w:w="1232" w:type="dxa"/>
            <w:vMerge/>
            <w:shd w:val="clear" w:color="auto" w:fill="FFFFFF" w:themeFill="background1"/>
          </w:tcPr>
          <w:p w14:paraId="4DD474D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A9269F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DF8F69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319A78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A3B916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A45BCDD" w14:textId="77777777" w:rsidR="003C25C5" w:rsidRPr="005911C6" w:rsidRDefault="003C25C5" w:rsidP="005911C6">
            <w:pPr>
              <w:spacing w:after="0" w:line="240" w:lineRule="auto"/>
              <w:rPr>
                <w:rFonts w:ascii="Lato" w:hAnsi="Lato" w:cs="Times New Roman"/>
                <w:sz w:val="18"/>
                <w:szCs w:val="18"/>
              </w:rPr>
            </w:pPr>
          </w:p>
          <w:p w14:paraId="706B36B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932FDB4" w14:textId="77777777" w:rsidTr="008C67C9">
        <w:trPr>
          <w:trHeight w:val="720"/>
        </w:trPr>
        <w:tc>
          <w:tcPr>
            <w:tcW w:w="1232" w:type="dxa"/>
            <w:vMerge/>
            <w:shd w:val="clear" w:color="auto" w:fill="FFFFFF" w:themeFill="background1"/>
          </w:tcPr>
          <w:p w14:paraId="23FC9FA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D855BC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Rozwój parafialnych grup seniora, prowadzonych przez wolontariuszy parafialnych, we współpracy </w:t>
            </w:r>
            <w:r w:rsidRPr="005911C6">
              <w:rPr>
                <w:rFonts w:ascii="Lato" w:eastAsia="MS Mincho" w:hAnsi="Lato"/>
                <w:sz w:val="18"/>
                <w:szCs w:val="18"/>
              </w:rPr>
              <w:br/>
              <w:t>z duszpasterzami, promujących systematyczne spotkania we wspólnocie</w:t>
            </w:r>
          </w:p>
        </w:tc>
        <w:tc>
          <w:tcPr>
            <w:tcW w:w="2032" w:type="dxa"/>
            <w:vMerge w:val="restart"/>
            <w:shd w:val="clear" w:color="auto" w:fill="FFFFFF" w:themeFill="background1"/>
          </w:tcPr>
          <w:p w14:paraId="701F9FA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083D0E9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9652B1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parafialnych grup seniora prowadzonych przez wolontariuszy parafialnych we współpracy z duszpasterzami, promujących systematyczne spotkania we wspólnocie</w:t>
            </w:r>
          </w:p>
        </w:tc>
      </w:tr>
      <w:tr w:rsidR="003C25C5" w:rsidRPr="005911C6" w14:paraId="218696EF" w14:textId="77777777" w:rsidTr="008C67C9">
        <w:trPr>
          <w:trHeight w:val="720"/>
        </w:trPr>
        <w:tc>
          <w:tcPr>
            <w:tcW w:w="1232" w:type="dxa"/>
            <w:vMerge/>
            <w:shd w:val="clear" w:color="auto" w:fill="FFFFFF" w:themeFill="background1"/>
          </w:tcPr>
          <w:p w14:paraId="243BAEE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0B14C2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CC245A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3F73CA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EDEF82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AE40647" w14:textId="77777777" w:rsidR="003C25C5" w:rsidRPr="005911C6" w:rsidRDefault="003C25C5" w:rsidP="005911C6">
            <w:pPr>
              <w:spacing w:after="0" w:line="240" w:lineRule="auto"/>
              <w:rPr>
                <w:rFonts w:ascii="Lato" w:hAnsi="Lato" w:cs="Times New Roman"/>
                <w:sz w:val="18"/>
                <w:szCs w:val="18"/>
              </w:rPr>
            </w:pPr>
          </w:p>
          <w:p w14:paraId="78D1BE8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DA61AAC" w14:textId="77777777" w:rsidTr="008C67C9">
        <w:trPr>
          <w:trHeight w:val="720"/>
        </w:trPr>
        <w:tc>
          <w:tcPr>
            <w:tcW w:w="1232" w:type="dxa"/>
            <w:vMerge w:val="restart"/>
            <w:shd w:val="clear" w:color="auto" w:fill="FFFFFF" w:themeFill="background1"/>
            <w:textDirection w:val="btLr"/>
          </w:tcPr>
          <w:p w14:paraId="435925AB" w14:textId="77777777" w:rsidR="003C25C5" w:rsidRPr="005911C6" w:rsidRDefault="003C25C5" w:rsidP="005911C6">
            <w:pPr>
              <w:spacing w:after="0" w:line="240" w:lineRule="auto"/>
              <w:ind w:left="113" w:right="113"/>
              <w:jc w:val="center"/>
              <w:rPr>
                <w:rFonts w:ascii="Lato" w:hAnsi="Lato" w:cs="Times New Roman"/>
                <w:sz w:val="18"/>
                <w:szCs w:val="18"/>
              </w:rPr>
            </w:pPr>
            <w:r w:rsidRPr="005911C6">
              <w:rPr>
                <w:rFonts w:ascii="Lato" w:hAnsi="Lato" w:cs="Times New Roman"/>
                <w:sz w:val="18"/>
                <w:szCs w:val="18"/>
              </w:rPr>
              <w:lastRenderedPageBreak/>
              <w:t>Obszar III</w:t>
            </w:r>
          </w:p>
        </w:tc>
        <w:tc>
          <w:tcPr>
            <w:tcW w:w="3594" w:type="dxa"/>
            <w:vMerge w:val="restart"/>
            <w:shd w:val="clear" w:color="auto" w:fill="FFFFFF" w:themeFill="background1"/>
          </w:tcPr>
          <w:p w14:paraId="4E06D89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Podejmowanie działań mających na celu przeciwdziałanie wykluczeniu ekonomicznemu i ubóstwu osób starszych</w:t>
            </w:r>
          </w:p>
        </w:tc>
        <w:tc>
          <w:tcPr>
            <w:tcW w:w="2032" w:type="dxa"/>
            <w:vMerge w:val="restart"/>
            <w:shd w:val="clear" w:color="auto" w:fill="FFFFFF" w:themeFill="background1"/>
          </w:tcPr>
          <w:p w14:paraId="77B070B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46E14ECF"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4C9940BA"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nowych inicjatyw mających na celu przeciwdziałanie wykluczeniu ekonomicznemu i ubóstwu osób starszych</w:t>
            </w:r>
          </w:p>
          <w:p w14:paraId="2E54FE22" w14:textId="77777777"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4C9AC5D6" w14:textId="77777777" w:rsidTr="008C67C9">
        <w:trPr>
          <w:trHeight w:val="720"/>
        </w:trPr>
        <w:tc>
          <w:tcPr>
            <w:tcW w:w="1232" w:type="dxa"/>
            <w:vMerge/>
            <w:shd w:val="clear" w:color="auto" w:fill="FFFFFF" w:themeFill="background1"/>
          </w:tcPr>
          <w:p w14:paraId="3859F46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E02DF6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F422CA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8B86E7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672BD0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ACB4BD4" w14:textId="77777777" w:rsidR="003C25C5" w:rsidRPr="005911C6" w:rsidRDefault="003C25C5" w:rsidP="005911C6">
            <w:pPr>
              <w:spacing w:after="0" w:line="240" w:lineRule="auto"/>
              <w:rPr>
                <w:rFonts w:ascii="Lato" w:hAnsi="Lato" w:cs="Times New Roman"/>
                <w:sz w:val="18"/>
                <w:szCs w:val="18"/>
              </w:rPr>
            </w:pPr>
          </w:p>
          <w:p w14:paraId="2428CF0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5385755" w14:textId="77777777" w:rsidTr="008C67C9">
        <w:trPr>
          <w:trHeight w:val="521"/>
        </w:trPr>
        <w:tc>
          <w:tcPr>
            <w:tcW w:w="1232" w:type="dxa"/>
            <w:vMerge/>
            <w:shd w:val="clear" w:color="auto" w:fill="FFFFFF" w:themeFill="background1"/>
          </w:tcPr>
          <w:p w14:paraId="68A4867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AC7A0B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Dokonanie analizy problematyki dotyczącej tzw. renty dożywotniej pod kątem zapewnienia ochrony osób starszych, będących stroną umów o rentę dożywotnią</w:t>
            </w:r>
          </w:p>
        </w:tc>
        <w:tc>
          <w:tcPr>
            <w:tcW w:w="2032" w:type="dxa"/>
            <w:vMerge w:val="restart"/>
            <w:shd w:val="clear" w:color="auto" w:fill="FFFFFF" w:themeFill="background1"/>
          </w:tcPr>
          <w:p w14:paraId="276DF86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Sprawiedliwości, Ministerstwo Rozwoju i Technologii, Ministerstwo Rodziny i Polityki Społecznej, Ministerstwo Finansów, Urząd Ochrony Konkurencji i Konsumentów</w:t>
            </w:r>
          </w:p>
          <w:p w14:paraId="40E06D4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7CCD040C"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2019-2022</w:t>
            </w:r>
          </w:p>
        </w:tc>
        <w:tc>
          <w:tcPr>
            <w:tcW w:w="5638" w:type="dxa"/>
            <w:shd w:val="clear" w:color="auto" w:fill="FFFFFF" w:themeFill="background1"/>
          </w:tcPr>
          <w:p w14:paraId="6021369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Przedstawienie rekomendacji wynikających z dokonanej analizy</w:t>
            </w:r>
          </w:p>
        </w:tc>
      </w:tr>
      <w:tr w:rsidR="003C25C5" w:rsidRPr="005911C6" w14:paraId="27DEBBDE" w14:textId="77777777" w:rsidTr="008C67C9">
        <w:trPr>
          <w:trHeight w:val="720"/>
        </w:trPr>
        <w:tc>
          <w:tcPr>
            <w:tcW w:w="1232" w:type="dxa"/>
            <w:vMerge/>
            <w:shd w:val="clear" w:color="auto" w:fill="FFFFFF" w:themeFill="background1"/>
          </w:tcPr>
          <w:p w14:paraId="0D7B4A3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DDB276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B82705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61C3A4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3F4A81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BE0215D" w14:textId="77777777" w:rsidR="003C25C5" w:rsidRPr="005911C6" w:rsidRDefault="003C25C5" w:rsidP="005911C6">
            <w:pPr>
              <w:spacing w:after="0" w:line="240" w:lineRule="auto"/>
              <w:rPr>
                <w:rFonts w:ascii="Lato" w:hAnsi="Lato" w:cs="Times New Roman"/>
                <w:sz w:val="18"/>
                <w:szCs w:val="18"/>
              </w:rPr>
            </w:pPr>
          </w:p>
          <w:p w14:paraId="406CC56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1DF3228" w14:textId="77777777" w:rsidTr="008C67C9">
        <w:trPr>
          <w:trHeight w:val="603"/>
        </w:trPr>
        <w:tc>
          <w:tcPr>
            <w:tcW w:w="1232" w:type="dxa"/>
            <w:vMerge/>
            <w:shd w:val="clear" w:color="auto" w:fill="FFFFFF" w:themeFill="background1"/>
          </w:tcPr>
          <w:p w14:paraId="26DA024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495197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Zapewnianie osobom starszym dostępu do usług edukacyjnych świadczonych w ramach uczenia się przez całe życie</w:t>
            </w:r>
          </w:p>
        </w:tc>
        <w:tc>
          <w:tcPr>
            <w:tcW w:w="2032" w:type="dxa"/>
            <w:vMerge w:val="restart"/>
            <w:shd w:val="clear" w:color="auto" w:fill="FFFFFF" w:themeFill="background1"/>
          </w:tcPr>
          <w:p w14:paraId="36FF616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 Ministerstwo Kultury i Dziedzictwa Narodowego, Główny Urząd Statystyczny</w:t>
            </w:r>
          </w:p>
          <w:p w14:paraId="7E4928A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57A86B66"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32D09D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Odsetek osób starszych korzystających z usług edukacyjnych, świadczonych w ramach uczenia się przez całe życie</w:t>
            </w:r>
          </w:p>
        </w:tc>
      </w:tr>
      <w:tr w:rsidR="003C25C5" w:rsidRPr="005911C6" w14:paraId="691B2DA5" w14:textId="77777777" w:rsidTr="008C67C9">
        <w:trPr>
          <w:trHeight w:val="720"/>
        </w:trPr>
        <w:tc>
          <w:tcPr>
            <w:tcW w:w="1232" w:type="dxa"/>
            <w:vMerge/>
            <w:shd w:val="clear" w:color="auto" w:fill="FFFFFF" w:themeFill="background1"/>
          </w:tcPr>
          <w:p w14:paraId="0A93F31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8E1629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98F2AC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468961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3337AA2" w14:textId="793CEC54" w:rsidR="00380295" w:rsidRPr="005911C6" w:rsidRDefault="00380295"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Edukacji i Nauki</w:t>
            </w:r>
          </w:p>
          <w:p w14:paraId="125846D8"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Według danych SIO na dzień 30 września 2022 r. uczestnikami KKZ było 558 osób w wieku od 60 roku życia, z czego 304 osoby w wieku 60-64 lat oraz 254 osoby w wieku 65 lat i więcej. W wieku do 29 lat liczba uczestników kursów kwalifikacyjnych wynosi ponad 18 tys. Nieco mniej jest osób w wieku 30 lat i więcej – ponad 16 tys. Wskazuje to, że kursowe formy kształcenia ustawicznego, w tym w szczególności KKZ, stały się atrakcyjniejsze dla osób w średnim wieku i starszych. Wcześniej formy te były zdominowane przez osoby do 30 roku życia, w tym przede wszystkim przez osoby w wieku dwudziestu kilku lat.</w:t>
            </w:r>
          </w:p>
          <w:p w14:paraId="51901CE1" w14:textId="605DEA1F"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Według danych Zintegrowanego Systemu Informacji o Szkolnictwie Wyższym i Nauce (POL-on) na dzień 31 grudnia 2022 r. na studiach doktoranckich oraz w szkołach doktorskich ubiegały się o stopień doktora 93 osoby starsze (od 60 roku życia); w tym w wieku 60 lat – 11 osób, w przedziale wiekowym 61-64 lat – 55 osób, a w wieku 65 lat i powyżej – 27 osób. W studiach podyplomowych uczestniczyło 897 osób starszych, w tym w wieku 60 lat – 194 osoby, w przedziale wiekowym 61-64 lat – 500 osób, a w wieku 65 lat i powyżej – 203 osoby.</w:t>
            </w:r>
          </w:p>
          <w:p w14:paraId="20B0C64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Ponadto informujemy o działaniach NCBR w odniesieniu do osób starszych.</w:t>
            </w:r>
          </w:p>
          <w:p w14:paraId="38B31970" w14:textId="77777777" w:rsidR="00380295" w:rsidRPr="005911C6" w:rsidRDefault="00380295" w:rsidP="005911C6">
            <w:pPr>
              <w:spacing w:after="0" w:line="240" w:lineRule="auto"/>
              <w:contextualSpacing/>
              <w:rPr>
                <w:rFonts w:ascii="Lato" w:eastAsia="MS Mincho" w:hAnsi="Lato" w:cs="Times New Roman"/>
                <w:sz w:val="18"/>
                <w:szCs w:val="18"/>
              </w:rPr>
            </w:pPr>
            <w:r w:rsidRPr="005911C6">
              <w:rPr>
                <w:rFonts w:ascii="Lato" w:eastAsia="MS Mincho" w:hAnsi="Lato" w:cs="Times New Roman"/>
                <w:sz w:val="18"/>
                <w:szCs w:val="18"/>
              </w:rPr>
              <w:t>W 2022 r. NCBR nadzorowało realizację projektów w ramach konkursu ogłoszonego w 2018 r. „</w:t>
            </w:r>
            <w:r w:rsidRPr="005911C6">
              <w:rPr>
                <w:rFonts w:ascii="Lato" w:eastAsia="MS Mincho" w:hAnsi="Lato" w:cs="Times New Roman"/>
                <w:b/>
                <w:sz w:val="18"/>
                <w:szCs w:val="18"/>
              </w:rPr>
              <w:t>Trzecia Misja Uczelni</w:t>
            </w:r>
            <w:r w:rsidRPr="005911C6">
              <w:rPr>
                <w:rFonts w:ascii="Lato" w:eastAsia="MS Mincho" w:hAnsi="Lato" w:cs="Times New Roman"/>
                <w:sz w:val="18"/>
                <w:szCs w:val="18"/>
              </w:rPr>
              <w:t>” (numer POWR.03.01.00-IP.08-00-3MU/18). Alokacja konkursu wynosiła 200 mln zł, w latach 2018-2019 podpisano 209 umów o dofinansowanie projektów. Łączna wartość dofinansowania wszystkich projektów w 2022 r. to prawie 187 mln zł. Głównym celem projektów realizowanych przez uczelnie publiczne i niepubliczne jest opracowanie programów kształcenia oraz realizacja działań dydaktycznych, kursów, szkoleń dla niestandardowych odbiorców szkolnictwa wyższego, w tym m. in. w ramach uniwersytetów trzeciego wieku. W konkursie nie wprowadzono jednak ograniczeń wiekowych dla grupy docelowej, gdyż skupiono się głównie na obszarze wsparcia, które ma służyć rozwijaniu u uczestników projektów kompetencji pozwalających na:</w:t>
            </w:r>
          </w:p>
          <w:p w14:paraId="49E3A565" w14:textId="22A167A2" w:rsidR="00380295" w:rsidRPr="005911C6" w:rsidRDefault="00380295" w:rsidP="005911C6">
            <w:pPr>
              <w:spacing w:after="0" w:line="240" w:lineRule="auto"/>
              <w:ind w:left="322" w:hanging="283"/>
              <w:contextualSpacing/>
              <w:rPr>
                <w:rFonts w:ascii="Lato" w:eastAsia="MS Mincho" w:hAnsi="Lato" w:cs="Times New Roman"/>
                <w:sz w:val="18"/>
                <w:szCs w:val="18"/>
              </w:rPr>
            </w:pPr>
            <w:r w:rsidRPr="005911C6">
              <w:rPr>
                <w:rFonts w:ascii="Lato" w:eastAsia="MS Mincho" w:hAnsi="Lato" w:cs="Times New Roman"/>
                <w:sz w:val="18"/>
                <w:szCs w:val="18"/>
              </w:rPr>
              <w:t>aktywizację społeczną i zawodową;</w:t>
            </w:r>
          </w:p>
          <w:p w14:paraId="3D4CE703" w14:textId="77777777" w:rsidR="00380295" w:rsidRPr="005911C6" w:rsidRDefault="00380295" w:rsidP="005911C6">
            <w:pPr>
              <w:spacing w:after="0" w:line="240" w:lineRule="auto"/>
              <w:ind w:left="322" w:hanging="283"/>
              <w:contextualSpacing/>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poszerzanie wiedzy ogólnej i specjalistycznej oraz rozwój zainteresowań;</w:t>
            </w:r>
          </w:p>
          <w:p w14:paraId="4A473754" w14:textId="77777777" w:rsidR="00380295" w:rsidRPr="005911C6" w:rsidRDefault="00380295" w:rsidP="005911C6">
            <w:pPr>
              <w:spacing w:after="0" w:line="240" w:lineRule="auto"/>
              <w:ind w:left="322" w:hanging="283"/>
              <w:contextualSpacing/>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pobudzenie aktywności edukacyjnej i kulturalnej;</w:t>
            </w:r>
          </w:p>
          <w:p w14:paraId="2922782B" w14:textId="77777777" w:rsidR="00380295" w:rsidRPr="005911C6" w:rsidRDefault="00380295" w:rsidP="005911C6">
            <w:pPr>
              <w:spacing w:after="0" w:line="240" w:lineRule="auto"/>
              <w:ind w:left="322" w:hanging="28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zapobieganie społecznemu wykluczeniu.</w:t>
            </w:r>
          </w:p>
          <w:p w14:paraId="2A68DD9E"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Działania w projektach są realizowane wspólnie z podmiotami działającymi na rzecz edukacji, których doświadczenie i merytoryczny zakres działalności związane są z celami danego projektu (np. z jednostkami samorządu terytorialnego, organizacjami pozarządowymi). </w:t>
            </w:r>
          </w:p>
          <w:p w14:paraId="140AC1A1"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2022 r. monitorowano realizację 43 projektów, rozwiązano 2 umowy o dofinansowanie. Wsparciem w tym czasie objętych było 6750 osób w wieku 60+.</w:t>
            </w:r>
          </w:p>
          <w:p w14:paraId="7BB2FF0C" w14:textId="77777777" w:rsidR="00380295" w:rsidRPr="005911C6" w:rsidRDefault="00380295"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 xml:space="preserve">Wspieranie edukacji </w:t>
            </w:r>
            <w:proofErr w:type="spellStart"/>
            <w:r w:rsidRPr="005911C6">
              <w:rPr>
                <w:rFonts w:ascii="Lato" w:eastAsia="MS Mincho" w:hAnsi="Lato" w:cs="Times New Roman"/>
                <w:b/>
                <w:sz w:val="18"/>
                <w:szCs w:val="18"/>
              </w:rPr>
              <w:t>pozaformalnej</w:t>
            </w:r>
            <w:proofErr w:type="spellEnd"/>
            <w:r w:rsidRPr="005911C6">
              <w:rPr>
                <w:rFonts w:ascii="Lato" w:eastAsia="MS Mincho" w:hAnsi="Lato" w:cs="Times New Roman"/>
                <w:b/>
                <w:sz w:val="18"/>
                <w:szCs w:val="18"/>
              </w:rPr>
              <w:t xml:space="preserve"> przy udziale jednostek oświaty</w:t>
            </w:r>
          </w:p>
          <w:p w14:paraId="1CEF6D17"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Poza działaniami prowadzonymi w ramach kształcenia ustawicznego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zainicjował projekt finansowany z funduszy europejskich pn. </w:t>
            </w:r>
            <w:r w:rsidRPr="005911C6">
              <w:rPr>
                <w:rFonts w:ascii="Lato" w:eastAsia="MS Mincho" w:hAnsi="Lato" w:cs="Times New Roman"/>
                <w:b/>
                <w:sz w:val="18"/>
                <w:szCs w:val="18"/>
              </w:rPr>
              <w:t>Lokalne Ośrodki Wiedzy i Edukacji (LOWE).</w:t>
            </w:r>
            <w:r w:rsidRPr="005911C6">
              <w:rPr>
                <w:rFonts w:ascii="Lato" w:eastAsia="MS Mincho" w:hAnsi="Lato" w:cs="Times New Roman"/>
                <w:sz w:val="18"/>
                <w:szCs w:val="18"/>
              </w:rPr>
              <w:t xml:space="preserve"> Oferują one edukację </w:t>
            </w:r>
            <w:proofErr w:type="spellStart"/>
            <w:r w:rsidRPr="005911C6">
              <w:rPr>
                <w:rFonts w:ascii="Lato" w:eastAsia="MS Mincho" w:hAnsi="Lato" w:cs="Times New Roman"/>
                <w:sz w:val="18"/>
                <w:szCs w:val="18"/>
              </w:rPr>
              <w:t>pozaformalną</w:t>
            </w:r>
            <w:proofErr w:type="spellEnd"/>
            <w:r w:rsidRPr="005911C6">
              <w:rPr>
                <w:rFonts w:ascii="Lato" w:eastAsia="MS Mincho" w:hAnsi="Lato" w:cs="Times New Roman"/>
                <w:sz w:val="18"/>
                <w:szCs w:val="18"/>
              </w:rPr>
              <w:t xml:space="preserve"> dorosłym z obszarów </w:t>
            </w:r>
            <w:proofErr w:type="spellStart"/>
            <w:r w:rsidRPr="005911C6">
              <w:rPr>
                <w:rFonts w:ascii="Lato" w:eastAsia="MS Mincho" w:hAnsi="Lato" w:cs="Times New Roman"/>
                <w:sz w:val="18"/>
                <w:szCs w:val="18"/>
              </w:rPr>
              <w:t>defaworyzowanych</w:t>
            </w:r>
            <w:proofErr w:type="spellEnd"/>
            <w:r w:rsidRPr="005911C6">
              <w:rPr>
                <w:rFonts w:ascii="Lato" w:eastAsia="MS Mincho" w:hAnsi="Lato" w:cs="Times New Roman"/>
                <w:sz w:val="18"/>
                <w:szCs w:val="18"/>
              </w:rPr>
              <w:t xml:space="preserve"> nienależnie od wieku (w tym uwzględnia się także osoby starsze). Kształtują one nową misję społeczną szkół, która może być odpowiednikiem tzw. trzeciej misji szkolnictwa wyższego. </w:t>
            </w:r>
          </w:p>
          <w:p w14:paraId="2838DD67"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Edukacja </w:t>
            </w:r>
            <w:proofErr w:type="spellStart"/>
            <w:r w:rsidRPr="005911C6">
              <w:rPr>
                <w:rFonts w:ascii="Lato" w:eastAsia="MS Mincho" w:hAnsi="Lato" w:cs="Times New Roman"/>
                <w:sz w:val="18"/>
                <w:szCs w:val="18"/>
              </w:rPr>
              <w:t>pozaformalna</w:t>
            </w:r>
            <w:proofErr w:type="spellEnd"/>
            <w:r w:rsidRPr="005911C6">
              <w:rPr>
                <w:rFonts w:ascii="Lato" w:eastAsia="MS Mincho" w:hAnsi="Lato" w:cs="Times New Roman"/>
                <w:sz w:val="18"/>
                <w:szCs w:val="18"/>
              </w:rPr>
              <w:t xml:space="preserve"> może skutecznie aktywizować dorosłych. Badanie europejskie pn. </w:t>
            </w:r>
            <w:proofErr w:type="spellStart"/>
            <w:r w:rsidRPr="005911C6">
              <w:rPr>
                <w:rFonts w:ascii="Lato" w:eastAsia="MS Mincho" w:hAnsi="Lato" w:cs="Times New Roman"/>
                <w:sz w:val="18"/>
                <w:szCs w:val="18"/>
              </w:rPr>
              <w:t>Adult</w:t>
            </w:r>
            <w:proofErr w:type="spellEnd"/>
            <w:r w:rsidRPr="005911C6">
              <w:rPr>
                <w:rFonts w:ascii="Lato" w:eastAsia="MS Mincho" w:hAnsi="Lato" w:cs="Times New Roman"/>
                <w:sz w:val="18"/>
                <w:szCs w:val="18"/>
              </w:rPr>
              <w:t xml:space="preserve"> </w:t>
            </w:r>
            <w:proofErr w:type="spellStart"/>
            <w:r w:rsidRPr="005911C6">
              <w:rPr>
                <w:rFonts w:ascii="Lato" w:eastAsia="MS Mincho" w:hAnsi="Lato" w:cs="Times New Roman"/>
                <w:sz w:val="18"/>
                <w:szCs w:val="18"/>
              </w:rPr>
              <w:t>Education</w:t>
            </w:r>
            <w:proofErr w:type="spellEnd"/>
            <w:r w:rsidRPr="005911C6">
              <w:rPr>
                <w:rFonts w:ascii="Lato" w:eastAsia="MS Mincho" w:hAnsi="Lato" w:cs="Times New Roman"/>
                <w:sz w:val="18"/>
                <w:szCs w:val="18"/>
              </w:rPr>
              <w:t xml:space="preserve"> </w:t>
            </w:r>
            <w:proofErr w:type="spellStart"/>
            <w:r w:rsidRPr="005911C6">
              <w:rPr>
                <w:rFonts w:ascii="Lato" w:eastAsia="MS Mincho" w:hAnsi="Lato" w:cs="Times New Roman"/>
                <w:sz w:val="18"/>
                <w:szCs w:val="18"/>
              </w:rPr>
              <w:t>Survey</w:t>
            </w:r>
            <w:proofErr w:type="spellEnd"/>
            <w:r w:rsidRPr="005911C6">
              <w:rPr>
                <w:rFonts w:ascii="Lato" w:eastAsia="MS Mincho" w:hAnsi="Lato" w:cs="Times New Roman"/>
                <w:sz w:val="18"/>
                <w:szCs w:val="18"/>
              </w:rPr>
              <w:t xml:space="preserve">, realizowane co kilka lat (ostatnie dostarcza danych za rok 2016), wskazuje, że zdecydowana większość dorosłych w wieku 25-64 lat w UE i w Polsce </w:t>
            </w:r>
            <w:r w:rsidRPr="005911C6">
              <w:rPr>
                <w:rFonts w:ascii="Lato" w:eastAsia="MS Mincho" w:hAnsi="Lato" w:cs="Times New Roman"/>
                <w:sz w:val="18"/>
                <w:szCs w:val="18"/>
              </w:rPr>
              <w:lastRenderedPageBreak/>
              <w:t xml:space="preserve">uczestniczy w edukacji </w:t>
            </w:r>
            <w:proofErr w:type="spellStart"/>
            <w:r w:rsidRPr="005911C6">
              <w:rPr>
                <w:rFonts w:ascii="Lato" w:eastAsia="MS Mincho" w:hAnsi="Lato" w:cs="Times New Roman"/>
                <w:sz w:val="18"/>
                <w:szCs w:val="18"/>
              </w:rPr>
              <w:t>pozaformalnej</w:t>
            </w:r>
            <w:proofErr w:type="spellEnd"/>
            <w:r w:rsidRPr="005911C6">
              <w:rPr>
                <w:rFonts w:ascii="Lato" w:eastAsia="MS Mincho" w:hAnsi="Lato" w:cs="Times New Roman"/>
                <w:sz w:val="18"/>
                <w:szCs w:val="18"/>
              </w:rPr>
              <w:t xml:space="preserve"> w roku przed badaniem – odpowiednio 41,4% i 22,9%. W edukacji formalnej uczestniczy tylko kilka procent osób w tym wieku (5% w UE i 4,4% w Polsce). Ta prawidłowość potęguje się w przypadku osób starszych, które niemal wyłącznie uczestniczą w edukacji </w:t>
            </w:r>
            <w:proofErr w:type="spellStart"/>
            <w:r w:rsidRPr="005911C6">
              <w:rPr>
                <w:rFonts w:ascii="Lato" w:eastAsia="MS Mincho" w:hAnsi="Lato" w:cs="Times New Roman"/>
                <w:sz w:val="18"/>
                <w:szCs w:val="18"/>
              </w:rPr>
              <w:t>pozaformalnej</w:t>
            </w:r>
            <w:proofErr w:type="spellEnd"/>
            <w:r w:rsidRPr="005911C6">
              <w:rPr>
                <w:rFonts w:ascii="Lato" w:eastAsia="MS Mincho" w:hAnsi="Lato" w:cs="Times New Roman"/>
                <w:sz w:val="18"/>
                <w:szCs w:val="18"/>
              </w:rPr>
              <w:t>.</w:t>
            </w:r>
          </w:p>
          <w:p w14:paraId="28928E4A"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Zadaniem LOWE jest aktywizowanie edukacyjne osób dorosłych mieszkających w otoczeniu szkół na tle szerszej aktywizacji społeczności lokalnych. Oferty edukacyjne LOWE dotyczą rozwoju umiejętności uniwersalnych (kluczowych kompetencji) stanowiących podstawę dla uczenia się przez całe życie. Treści tej edukacji nie opierają się na regulowanej w systemie oświaty podstawie kształcenia ogólnego (choć mogą wykorzystywać jej elementy). </w:t>
            </w:r>
          </w:p>
          <w:p w14:paraId="19696681"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Działalność LOWE rozpoczyna się od diagnozy potrzeb dorosłych w lokalnych społecznościach. Jeśli diagnozy wskazują na istotne potrzeby osób starszych, to zajęcia mogą być dostosowane także do ich potrzeb.</w:t>
            </w:r>
          </w:p>
          <w:p w14:paraId="7B8E307C"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LOWE nie tylko aktywizują edukacyjnie osoby dorosłe, w tym starsze, ale także mobilizują różne lokalne instytucje i organizacje na rzecz rozwoju umiejętności dorosłych. Model działań LOWE zakłada tworzenie partnerstw z różnymi instytucjami i organizacjami. Jest to zgodne z modelem edukacji dorosłych przyjętym na świecie, w którym za edukację dorosłych, gdzie dominuje edukacja </w:t>
            </w:r>
            <w:proofErr w:type="spellStart"/>
            <w:r w:rsidRPr="005911C6">
              <w:rPr>
                <w:rFonts w:ascii="Lato" w:eastAsia="MS Mincho" w:hAnsi="Lato" w:cs="Times New Roman"/>
                <w:sz w:val="18"/>
                <w:szCs w:val="18"/>
              </w:rPr>
              <w:t>pozaformalna</w:t>
            </w:r>
            <w:proofErr w:type="spellEnd"/>
            <w:r w:rsidRPr="005911C6">
              <w:rPr>
                <w:rFonts w:ascii="Lato" w:eastAsia="MS Mincho" w:hAnsi="Lato" w:cs="Times New Roman"/>
                <w:sz w:val="18"/>
                <w:szCs w:val="18"/>
              </w:rPr>
              <w:t>, nie odpowiadają jedynie instytucje nadzorowane przez ministrów do spraw oświaty i szkolnictwa wyższego, ale także instytucje koordynowane przez innych ministrów zawiadujących różnymi obszarami resortowymi (np. obszarami zatrudnienia, promocji przedsiębiorczości, ochrony zdrowia, kultury, aktywności obywatelskiej, sportu, turystyki, rozwoju regionalnego, w tym zwłaszcza rozwoju obszarów wiejskich i obszarów zdegradowanych, bezpieczeństwa publicznego, ekonomii społecznej, ochrony środowiska itp.).</w:t>
            </w:r>
          </w:p>
          <w:p w14:paraId="18E70C2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Partnerstwa mogą przyczyniać się do rozwoju  edukacji dorosłych o charakterze praktycznym, gdzie po stronie przekazujących wiedzę i umiejętności występują nie tylko nauczyciele, ale także osoby z instytucji lub organizacji działających w różnych obszarach resortowych, mające wystarczające doświadczenie i osiągnięcia. Zakłada się, że wiedza i umiejętności upowszechniane w LOWE przydatne są nie tylko w perspektywie osobistej, ale mogą przyczyniać się też do rozwoju społeczności lokalnej.</w:t>
            </w:r>
          </w:p>
          <w:p w14:paraId="72C9AE19"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 roku 2017 do projektu LOWE przystąpiło dobrowolnie 50 szkół z 13 województw. Po dobrym odbiorze tej nowej funkcji szkół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w:t>
            </w:r>
            <w:r w:rsidRPr="005911C6">
              <w:rPr>
                <w:rFonts w:ascii="Lato" w:eastAsia="MS Mincho" w:hAnsi="Lato" w:cs="Times New Roman"/>
                <w:sz w:val="18"/>
                <w:szCs w:val="18"/>
              </w:rPr>
              <w:lastRenderedPageBreak/>
              <w:t xml:space="preserve">rozszerzyło projekt o następnych 100 LOWE z 14 województw, które zaczęły działalność od jesieni 2020 r. (ograniczoną ze względu na epidemię). Organizatorami sieci LOWE były wybrane przez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w drodze konkursowej instytucje/organizacje doświadczone w zakresie aktywizacji społecznej. LOWE tworzone w I </w:t>
            </w:r>
            <w:proofErr w:type="spellStart"/>
            <w:r w:rsidRPr="005911C6">
              <w:rPr>
                <w:rFonts w:ascii="Lato" w:eastAsia="MS Mincho" w:hAnsi="Lato" w:cs="Times New Roman"/>
                <w:sz w:val="18"/>
                <w:szCs w:val="18"/>
              </w:rPr>
              <w:t>i</w:t>
            </w:r>
            <w:proofErr w:type="spellEnd"/>
            <w:r w:rsidRPr="005911C6">
              <w:rPr>
                <w:rFonts w:ascii="Lato" w:eastAsia="MS Mincho" w:hAnsi="Lato" w:cs="Times New Roman"/>
                <w:sz w:val="18"/>
                <w:szCs w:val="18"/>
              </w:rPr>
              <w:t xml:space="preserve"> II etapie funkcjonują już we wszystkich województwach. Zastrzec jednak należy, że po okresie ich finansowania z funduszy europejskich, który trwa rok lub dwa lata, ich dalsze funkcjonowanie zależy od decyzji organów prowadzących szkoły. </w:t>
            </w:r>
          </w:p>
          <w:p w14:paraId="3E28D9F0"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Z informacji dostarczonych nam przez instytucje/organizacje koordynujące tworzenie LOWE w terenie wynika, że w pierwszym okresie rozwoju LOWE osoby w wieku 60+ stanowiły prawie 20% wszystkich ich uczestników. Natomiast po dłuższym funkcjonowaniu i nabraniu doświadczeń odsetek ten zwiększył się do ponad 30%.</w:t>
            </w:r>
          </w:p>
          <w:p w14:paraId="403D928C"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 efekcie uzgodnienia pomiędzy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i </w:t>
            </w:r>
            <w:proofErr w:type="spellStart"/>
            <w:r w:rsidRPr="005911C6">
              <w:rPr>
                <w:rFonts w:ascii="Lato" w:eastAsia="MS Mincho" w:hAnsi="Lato" w:cs="Times New Roman"/>
                <w:sz w:val="18"/>
                <w:szCs w:val="18"/>
              </w:rPr>
              <w:t>MFiRR</w:t>
            </w:r>
            <w:proofErr w:type="spellEnd"/>
            <w:r w:rsidRPr="005911C6">
              <w:rPr>
                <w:rFonts w:ascii="Lato" w:eastAsia="MS Mincho" w:hAnsi="Lato" w:cs="Times New Roman"/>
                <w:sz w:val="18"/>
                <w:szCs w:val="18"/>
              </w:rPr>
              <w:t xml:space="preserve"> od roku 2023 tworzenie LOWE przechodzi do zadań realizowanych w ramach polityki regionalnej, w tym w tzw. regionalnych programach. Warunki tworzenia LOWE ujęte są w dokumencie </w:t>
            </w:r>
            <w:proofErr w:type="spellStart"/>
            <w:r w:rsidRPr="005911C6">
              <w:rPr>
                <w:rFonts w:ascii="Lato" w:eastAsia="MS Mincho" w:hAnsi="Lato" w:cs="Times New Roman"/>
                <w:sz w:val="18"/>
                <w:szCs w:val="18"/>
              </w:rPr>
              <w:t>MFiRR</w:t>
            </w:r>
            <w:proofErr w:type="spellEnd"/>
            <w:r w:rsidRPr="005911C6">
              <w:rPr>
                <w:rFonts w:ascii="Lato" w:eastAsia="MS Mincho" w:hAnsi="Lato" w:cs="Times New Roman"/>
                <w:sz w:val="18"/>
                <w:szCs w:val="18"/>
              </w:rPr>
              <w:t xml:space="preserve"> ogłoszonym 15 marca 2023 r. pn. „Wytyczne dotyczące realizacji projektów z udziałem środków Europejskiego Funduszu Społecznego Plus w regionalnych programach na lata 2021–2027” (zostały one wydane na podstawie art. 5 ust. 1 pkt 12 ustawy z dnia 28 kwietnia 2022 r. o zasadach realizacji zadań finansowanych ze środków europejskich w perspektywie finansowej 2021–2027 (Dz. U. poz. 1079)).</w:t>
            </w:r>
          </w:p>
          <w:p w14:paraId="152BCDD8" w14:textId="77777777" w:rsidR="00380295" w:rsidRPr="005911C6" w:rsidRDefault="00380295"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 xml:space="preserve">Wspieranie edukacji </w:t>
            </w:r>
            <w:proofErr w:type="spellStart"/>
            <w:r w:rsidRPr="005911C6">
              <w:rPr>
                <w:rFonts w:ascii="Lato" w:eastAsia="MS Mincho" w:hAnsi="Lato" w:cs="Times New Roman"/>
                <w:b/>
                <w:sz w:val="18"/>
                <w:szCs w:val="18"/>
              </w:rPr>
              <w:t>pozaformalnej</w:t>
            </w:r>
            <w:proofErr w:type="spellEnd"/>
            <w:r w:rsidRPr="005911C6">
              <w:rPr>
                <w:rFonts w:ascii="Lato" w:eastAsia="MS Mincho" w:hAnsi="Lato" w:cs="Times New Roman"/>
                <w:b/>
                <w:sz w:val="18"/>
                <w:szCs w:val="18"/>
              </w:rPr>
              <w:t xml:space="preserve"> przy udziale jednostek szkolnictwa wyższego</w:t>
            </w:r>
          </w:p>
          <w:p w14:paraId="4C8487CC"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Z uwagi na szczególne funkcje i cele kształcenia skierowanego do osób starszych uczelnie mogą je realizować w formach organizacyjno-prawnych innych niż studia wyższe. Działania takie wpisują się w szczególną misję związaną z propagowaniem wiedzy i dostępnością kształcenia dla ludzi w różnym wieku i o różnych potrzebach edukacyjnych, w tym z aktywizacją społeczną i  zawodową osób starszych i zapobieganiem wykluczeniu społecznemu. Do  podstawowych zadań uczelni należy prowadzenie kształcenia na studiach podyplomowych lub innych form kształcenia – mogą to być np. kursy, warsztaty, szkolenia. Decyzje o uruchomieniu takiego kształcenia podejmują samodzielnie uczelnie w ramach autonomii programowej, mając na względzie swoje strategie działania oraz potrzeby otoczenia społeczno-gospodarczego. Należy zaznaczyć, że obowiązujące przepisy nie dają podstaw do </w:t>
            </w:r>
            <w:r w:rsidRPr="005911C6">
              <w:rPr>
                <w:rFonts w:ascii="Lato" w:eastAsia="MS Mincho" w:hAnsi="Lato" w:cs="Times New Roman"/>
                <w:sz w:val="18"/>
                <w:szCs w:val="18"/>
              </w:rPr>
              <w:lastRenderedPageBreak/>
              <w:t xml:space="preserve">ingerowania przez Ministra Edukacji i Nauki w decyzje uczelni związane z proponowaną ofertą kształcenia. </w:t>
            </w:r>
          </w:p>
          <w:p w14:paraId="135A7D0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Najbardziej rozpoznawalną formułą kształcenia osób starszych są tzw. </w:t>
            </w:r>
            <w:r w:rsidRPr="005911C6">
              <w:rPr>
                <w:rFonts w:ascii="Lato" w:eastAsia="MS Mincho" w:hAnsi="Lato" w:cs="Times New Roman"/>
                <w:b/>
                <w:sz w:val="18"/>
                <w:szCs w:val="18"/>
              </w:rPr>
              <w:t>uniwersytety trzeciego wieku (UTW).</w:t>
            </w:r>
            <w:r w:rsidRPr="005911C6">
              <w:rPr>
                <w:rFonts w:ascii="Lato" w:eastAsia="MS Mincho" w:hAnsi="Lato" w:cs="Times New Roman"/>
                <w:sz w:val="18"/>
                <w:szCs w:val="18"/>
              </w:rPr>
              <w:t xml:space="preserve"> Funkcjonują one w różnych formach (głównie jako stowarzyszenia). Ich działalność nie jest bezpośrednio regulowana przepisami ustawy - Prawo o szkolnictwie wyższym i nauce. UTW mają bardzo różnych organizatorów, strukturę, tematykę i formy zajęć. Łączą je adresaci działalności i główna idea, tj. umożliwienie kształcenia, aktywności intelektualnej i społecznej osobom, które zakończyły już okres intensywnej działalności zawodowej. </w:t>
            </w:r>
          </w:p>
          <w:p w14:paraId="117AEF7A"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Ich powstawanie jest wynikiem inicjatyw społeczności lokalnych. UTW funkcjonują często w uczelniach, które przekazują im swój patronat naukowy, a także dają możliwość korzystania z infrastruktury uczelni lub wsparcie finansowe. Jak wyżej wskazano mogą mieć formę stowarzyszenia, ale także działać np. jako jednostki organizacyjne uczelni realizujące zadania dydaktyczne, utworzone w trybie wynikającym ze statutu uczelni.</w:t>
            </w:r>
          </w:p>
          <w:p w14:paraId="3441D9D0"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Uczelnie prowadzą także wykłady otwarte z różnych dziedzin jako formę popularyzacji wiedzy, z których może korzystać każdy zainteresowany. Wiele uczelni w swojej ofercie edukacyjnej ma również cykliczne spotkania – tzw. </w:t>
            </w:r>
            <w:r w:rsidRPr="005911C6">
              <w:rPr>
                <w:rFonts w:ascii="Lato" w:eastAsia="MS Mincho" w:hAnsi="Lato" w:cs="Times New Roman"/>
                <w:b/>
                <w:sz w:val="18"/>
                <w:szCs w:val="18"/>
              </w:rPr>
              <w:t>uniwersytet otwarty</w:t>
            </w:r>
            <w:r w:rsidRPr="005911C6">
              <w:rPr>
                <w:rFonts w:ascii="Lato" w:eastAsia="MS Mincho" w:hAnsi="Lato" w:cs="Times New Roman"/>
                <w:sz w:val="18"/>
                <w:szCs w:val="18"/>
              </w:rPr>
              <w:t>. Tego typu zajęcia (wykłady, ćwiczenia, warsztaty, laboratoria) skierowane są do osób, niezależnie od wieku (wystarczy mieć ukończone około 16 lat) i wykształcenia. Pozwalają nie tylko na zdobycie nowej wiedzy i umiejętności, czy podniesienie kompetencji zawodowych, ale także na rozwijanie zainteresowań, możliwość podjęcia dyskusji z autorytetami naukowymi, a jednocześnie spotkania innych pasjonatów i osób o podobnych zainteresowaniach.</w:t>
            </w:r>
          </w:p>
          <w:p w14:paraId="5D4DC6C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Warto podkreślić, że wśród podstawowych zadań uczelni ustawa PSWN (art. 11) wymienia także  upowszechnianie i pomnażanie osiągnięć nauki i kultury oraz działanie na rzecz społeczności lokalnych i regionalnych, obok prowadzenia kształcenia na studiach, studiach podyplomowych lub innych formach kształcenia, kształcenia doktorantów, kształcenia i promowania kadr uczelni, czy prowadzenia działalności naukowej, świadczenia usług badawczych oraz transferu wiedzy i technologii do gospodarki, itd.</w:t>
            </w:r>
          </w:p>
          <w:p w14:paraId="0BCF54FA" w14:textId="77777777" w:rsidR="00380295" w:rsidRPr="005911C6" w:rsidRDefault="00380295"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 xml:space="preserve">Uczestnictwo osób starszych w edukacji formalnej i </w:t>
            </w:r>
            <w:proofErr w:type="spellStart"/>
            <w:r w:rsidRPr="005911C6">
              <w:rPr>
                <w:rFonts w:ascii="Lato" w:eastAsia="MS Mincho" w:hAnsi="Lato" w:cs="Times New Roman"/>
                <w:b/>
                <w:sz w:val="18"/>
                <w:szCs w:val="18"/>
              </w:rPr>
              <w:t>pozaformalnej</w:t>
            </w:r>
            <w:proofErr w:type="spellEnd"/>
            <w:r w:rsidRPr="005911C6">
              <w:rPr>
                <w:rFonts w:ascii="Lato" w:eastAsia="MS Mincho" w:hAnsi="Lato" w:cs="Times New Roman"/>
                <w:b/>
                <w:sz w:val="18"/>
                <w:szCs w:val="18"/>
              </w:rPr>
              <w:t xml:space="preserve"> według badań reprezentacyjnych</w:t>
            </w:r>
          </w:p>
          <w:p w14:paraId="2BFBB365"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Dotychczas nie realizowano szerzej zakrojonych badań dotyczących wyłącznie edukacji osób starszych (w wieku 60+). Dane o edukacji </w:t>
            </w:r>
            <w:r w:rsidRPr="005911C6">
              <w:rPr>
                <w:rFonts w:ascii="Lato" w:eastAsia="MS Mincho" w:hAnsi="Lato" w:cs="Times New Roman"/>
                <w:sz w:val="18"/>
                <w:szCs w:val="18"/>
              </w:rPr>
              <w:lastRenderedPageBreak/>
              <w:t xml:space="preserve">tych osób pozyskuje się z badań edukacji lub efektów uczenia się (kompetencji, umiejętności) dorosłych w wieku do 64 lat lub do 74 lat. Ponadto, dane te pozyskuje się z badań społecznych monitorujących różne aktywności osób dorosłych (np. na rynku pracy, w obszarze ochrony zdrowia, kultury, sportu, turystki itp.). </w:t>
            </w:r>
          </w:p>
          <w:p w14:paraId="721DE27C" w14:textId="77777777" w:rsidR="00380295" w:rsidRPr="005911C6" w:rsidRDefault="0038029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Do bardziej znanych badań tego typu należą dwa badania europejskie – </w:t>
            </w:r>
            <w:proofErr w:type="spellStart"/>
            <w:r w:rsidRPr="005911C6">
              <w:rPr>
                <w:rFonts w:ascii="Lato" w:eastAsia="MS Mincho" w:hAnsi="Lato" w:cs="Times New Roman"/>
                <w:sz w:val="18"/>
                <w:szCs w:val="18"/>
              </w:rPr>
              <w:t>Labour</w:t>
            </w:r>
            <w:proofErr w:type="spellEnd"/>
            <w:r w:rsidRPr="005911C6">
              <w:rPr>
                <w:rFonts w:ascii="Lato" w:eastAsia="MS Mincho" w:hAnsi="Lato" w:cs="Times New Roman"/>
                <w:sz w:val="18"/>
                <w:szCs w:val="18"/>
              </w:rPr>
              <w:t xml:space="preserve"> Force </w:t>
            </w:r>
            <w:proofErr w:type="spellStart"/>
            <w:r w:rsidRPr="005911C6">
              <w:rPr>
                <w:rFonts w:ascii="Lato" w:eastAsia="MS Mincho" w:hAnsi="Lato" w:cs="Times New Roman"/>
                <w:sz w:val="18"/>
                <w:szCs w:val="18"/>
              </w:rPr>
              <w:t>Survey</w:t>
            </w:r>
            <w:proofErr w:type="spellEnd"/>
            <w:r w:rsidRPr="005911C6">
              <w:rPr>
                <w:rFonts w:ascii="Lato" w:eastAsia="MS Mincho" w:hAnsi="Lato" w:cs="Times New Roman"/>
                <w:sz w:val="18"/>
                <w:szCs w:val="18"/>
              </w:rPr>
              <w:t xml:space="preserve"> (LFS, w Polsce znane jako Badanie Aktywności Ekonomicznej Ludności, BAEL) oraz </w:t>
            </w:r>
            <w:proofErr w:type="spellStart"/>
            <w:r w:rsidRPr="005911C6">
              <w:rPr>
                <w:rFonts w:ascii="Lato" w:eastAsia="MS Mincho" w:hAnsi="Lato" w:cs="Times New Roman"/>
                <w:sz w:val="18"/>
                <w:szCs w:val="18"/>
              </w:rPr>
              <w:t>Adult</w:t>
            </w:r>
            <w:proofErr w:type="spellEnd"/>
            <w:r w:rsidRPr="005911C6">
              <w:rPr>
                <w:rFonts w:ascii="Lato" w:eastAsia="MS Mincho" w:hAnsi="Lato" w:cs="Times New Roman"/>
                <w:sz w:val="18"/>
                <w:szCs w:val="18"/>
              </w:rPr>
              <w:t xml:space="preserve"> </w:t>
            </w:r>
            <w:proofErr w:type="spellStart"/>
            <w:r w:rsidRPr="005911C6">
              <w:rPr>
                <w:rFonts w:ascii="Lato" w:eastAsia="MS Mincho" w:hAnsi="Lato" w:cs="Times New Roman"/>
                <w:sz w:val="18"/>
                <w:szCs w:val="18"/>
              </w:rPr>
              <w:t>Education</w:t>
            </w:r>
            <w:proofErr w:type="spellEnd"/>
            <w:r w:rsidRPr="005911C6">
              <w:rPr>
                <w:rFonts w:ascii="Lato" w:eastAsia="MS Mincho" w:hAnsi="Lato" w:cs="Times New Roman"/>
                <w:sz w:val="18"/>
                <w:szCs w:val="18"/>
              </w:rPr>
              <w:t xml:space="preserve"> </w:t>
            </w:r>
            <w:proofErr w:type="spellStart"/>
            <w:r w:rsidRPr="005911C6">
              <w:rPr>
                <w:rFonts w:ascii="Lato" w:eastAsia="MS Mincho" w:hAnsi="Lato" w:cs="Times New Roman"/>
                <w:sz w:val="18"/>
                <w:szCs w:val="18"/>
              </w:rPr>
              <w:t>Survey</w:t>
            </w:r>
            <w:proofErr w:type="spellEnd"/>
            <w:r w:rsidRPr="005911C6">
              <w:rPr>
                <w:rFonts w:ascii="Lato" w:eastAsia="MS Mincho" w:hAnsi="Lato" w:cs="Times New Roman"/>
                <w:sz w:val="18"/>
                <w:szCs w:val="18"/>
              </w:rPr>
              <w:t xml:space="preserve"> (AES). LFS/BAEL prowadzone jest stale, a jego wyniki można podawać za poszczególne miesiące, kwartały lub lata. AES prowadzone jest co kilka lat, a ostatnie dostępne wyniki pochodzą z roku 2016 (nowe wyniki będą ogłoszone w przyszłym roku). W Polsce warto zwrócić uwagę na badanie Bilans Kapitału Ludzkiego (BKL), koordynowane przez PARP i ekspertów Uniwersytetu Jagiellońskiego.</w:t>
            </w:r>
          </w:p>
          <w:p w14:paraId="7F86A31B"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Według LFS/BAEL odsetek osób w wieku 55-74 lat uczestniczących w roku 2022 w edukacji formalnej i </w:t>
            </w:r>
            <w:proofErr w:type="spellStart"/>
            <w:r w:rsidRPr="005911C6">
              <w:rPr>
                <w:rFonts w:ascii="Lato" w:hAnsi="Lato" w:cs="Times New Roman"/>
                <w:sz w:val="18"/>
                <w:szCs w:val="18"/>
              </w:rPr>
              <w:t>pozaformalnej</w:t>
            </w:r>
            <w:proofErr w:type="spellEnd"/>
            <w:r w:rsidRPr="005911C6">
              <w:rPr>
                <w:rFonts w:ascii="Lato" w:hAnsi="Lato" w:cs="Times New Roman"/>
                <w:sz w:val="18"/>
                <w:szCs w:val="18"/>
              </w:rPr>
              <w:t xml:space="preserve"> w okresie 4 tygodni przed badaniem wyniósł w Polsce 2,2%, w UE – 5,0%. Przy tym odsetek osób w tym wieku uczestniczących w edukacji formalnej w Polsce nie jest sprawozdawany przez GUS i Eurostat ze względu na niską wiarygodność danych. W UE odsetek ten wyniósł jedynie 0,3%. Odsetek uczestniczących w edukacji </w:t>
            </w:r>
            <w:proofErr w:type="spellStart"/>
            <w:r w:rsidRPr="005911C6">
              <w:rPr>
                <w:rFonts w:ascii="Lato" w:hAnsi="Lato" w:cs="Times New Roman"/>
                <w:sz w:val="18"/>
                <w:szCs w:val="18"/>
              </w:rPr>
              <w:t>pozaformalnej</w:t>
            </w:r>
            <w:proofErr w:type="spellEnd"/>
            <w:r w:rsidRPr="005911C6">
              <w:rPr>
                <w:rFonts w:ascii="Lato" w:hAnsi="Lato" w:cs="Times New Roman"/>
                <w:sz w:val="18"/>
                <w:szCs w:val="18"/>
              </w:rPr>
              <w:t xml:space="preserve"> w Polsce wyniósł w Polsce 2,2%, w UE27 – 4,7%. </w:t>
            </w:r>
          </w:p>
          <w:p w14:paraId="6B2C50F2"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Według ostatnich dostępnych danych z badania AES 2016, odsetek osób w wieku 55-64 lat uczestniczących w kształceniu i szkoleniu w dłuższym okresie, tj. w ciągu 12 miesięcy przed badaniem, wyniósł w Polsce 13,4%, w UE – 32,2%. Przy tym odsetek uczestnictwa w edukacji formalnej w UE wyniósł 0,9% (nie uwzględniono danych z Polski ze względu na ich niską wiarygodność), a w edukacji </w:t>
            </w:r>
            <w:proofErr w:type="spellStart"/>
            <w:r w:rsidRPr="005911C6">
              <w:rPr>
                <w:rFonts w:ascii="Lato" w:hAnsi="Lato" w:cs="Times New Roman"/>
                <w:sz w:val="18"/>
                <w:szCs w:val="18"/>
              </w:rPr>
              <w:t>pozaformalnej</w:t>
            </w:r>
            <w:proofErr w:type="spellEnd"/>
            <w:r w:rsidRPr="005911C6">
              <w:rPr>
                <w:rFonts w:ascii="Lato" w:hAnsi="Lato" w:cs="Times New Roman"/>
                <w:sz w:val="18"/>
                <w:szCs w:val="18"/>
              </w:rPr>
              <w:t xml:space="preserve"> w Polsce 13,3%, w UE – 31,9%.</w:t>
            </w:r>
          </w:p>
          <w:p w14:paraId="31433FD6" w14:textId="5ABC6DDF" w:rsidR="00380295" w:rsidRPr="005911C6" w:rsidRDefault="00380295" w:rsidP="005911C6">
            <w:pPr>
              <w:spacing w:after="0" w:line="240" w:lineRule="auto"/>
              <w:rPr>
                <w:rFonts w:ascii="Lato" w:eastAsia="MS Mincho" w:hAnsi="Lato" w:cs="Times New Roman"/>
                <w:sz w:val="18"/>
                <w:szCs w:val="18"/>
              </w:rPr>
            </w:pPr>
            <w:r w:rsidRPr="005911C6">
              <w:rPr>
                <w:rFonts w:ascii="Lato" w:hAnsi="Lato" w:cs="Times New Roman"/>
                <w:sz w:val="18"/>
                <w:szCs w:val="18"/>
              </w:rPr>
              <w:t>Z kolei, według naszego krajowego badania  BKL z roku 2017 odsetek osób w Polsce w wieku 55-64 lat  uczestniczących w kształceniu i szkoleniu (nieobowiązkowym) w okresie 12 miesięcy przed badaniem wyniósł 22% (wynik ten znacznie przewyższa wyniki ww. AES 2016). W</w:t>
            </w:r>
            <w:r w:rsidRPr="005911C6">
              <w:rPr>
                <w:rFonts w:ascii="Lato" w:eastAsia="MS Mincho" w:hAnsi="Lato" w:cs="Times New Roman"/>
                <w:sz w:val="18"/>
                <w:szCs w:val="18"/>
              </w:rPr>
              <w:t xml:space="preserve">yższe wyniki diagnozowane w badaniu BKL można wyjaśnić tym, że w badaniach europejskich realizowanych w Polsce przez GUS (LFS i AES) pytania dla respondentów zbyt silnie kojarzą się z formami edukacji podobnymi do stosowanych w szkołach. Natomiast w badaniu BKL pytania koncentrują się na różnych sposobach nabywania umiejętności, bez sugerowania, że są one podobne do form szkolnych. Znaczna część zajęć, w których uczestniczą dorośli i które mają cechy edukacyjne, tj. w zorganizowany sposób </w:t>
            </w:r>
            <w:r w:rsidRPr="005911C6">
              <w:rPr>
                <w:rFonts w:ascii="Lato" w:eastAsia="MS Mincho" w:hAnsi="Lato" w:cs="Times New Roman"/>
                <w:sz w:val="18"/>
                <w:szCs w:val="18"/>
              </w:rPr>
              <w:lastRenderedPageBreak/>
              <w:t>transferujące wiedzę, umiejętności i kompetencje społeczne, mają charakter praktyczny (uczenie się przez działanie).</w:t>
            </w:r>
          </w:p>
          <w:p w14:paraId="09CFF6F5" w14:textId="77777777" w:rsidR="00380295" w:rsidRPr="005911C6" w:rsidRDefault="00380295" w:rsidP="005911C6">
            <w:pPr>
              <w:spacing w:after="0" w:line="240" w:lineRule="auto"/>
              <w:rPr>
                <w:rFonts w:ascii="Lato" w:hAnsi="Lato" w:cs="Times New Roman"/>
                <w:b/>
                <w:bCs/>
                <w:color w:val="2F5496" w:themeColor="accent1" w:themeShade="BF"/>
                <w:sz w:val="18"/>
                <w:szCs w:val="18"/>
              </w:rPr>
            </w:pPr>
          </w:p>
          <w:p w14:paraId="2783931B" w14:textId="638011B0" w:rsidR="003C25C5" w:rsidRPr="005911C6" w:rsidRDefault="00A85DD8"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Funduszy i Polityki Regionalnej</w:t>
            </w:r>
          </w:p>
          <w:p w14:paraId="2D2FC231" w14:textId="7D766AA4" w:rsidR="00A85DD8" w:rsidRPr="005911C6" w:rsidRDefault="00A85DD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 ramach PO WER realizowane były przez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granty na uruchomienie lokalnych ośrodków wiedzy i edukacji, które mają na celu pobudzenie aktywności edukacyjnej osób dorosłych, w tym osób starszych.</w:t>
            </w:r>
          </w:p>
          <w:p w14:paraId="42E60599" w14:textId="77777777" w:rsidR="00AE129D" w:rsidRPr="005911C6" w:rsidRDefault="00AE129D" w:rsidP="005911C6">
            <w:pPr>
              <w:spacing w:after="0" w:line="240" w:lineRule="auto"/>
              <w:rPr>
                <w:rFonts w:ascii="Lato" w:eastAsia="MS Mincho" w:hAnsi="Lato" w:cs="Times New Roman"/>
                <w:sz w:val="18"/>
                <w:szCs w:val="18"/>
              </w:rPr>
            </w:pPr>
          </w:p>
          <w:p w14:paraId="0FA76387" w14:textId="77777777" w:rsidR="00AE129D" w:rsidRPr="005911C6" w:rsidRDefault="00AE129D"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Kultury i Dziedzictwa Narodowego</w:t>
            </w:r>
          </w:p>
          <w:p w14:paraId="278C2275" w14:textId="0D718757" w:rsidR="00AE129D" w:rsidRPr="005911C6" w:rsidRDefault="00AE129D"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stałych inicjatyw edukacji przez całe życie kierowanych przez uczelnie artystyczne do osób starszych: 8</w:t>
            </w:r>
          </w:p>
          <w:p w14:paraId="559FC6DC" w14:textId="5761D664" w:rsidR="00AE129D" w:rsidRPr="005911C6" w:rsidRDefault="00AE129D"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programów dotacyjnych, w którym jeden z priorytetów dotyczy uczenia się przez całe życie: 2</w:t>
            </w:r>
          </w:p>
          <w:p w14:paraId="6D9CBD49" w14:textId="45C9CA52" w:rsidR="00AE129D" w:rsidRPr="005911C6" w:rsidRDefault="00AE129D"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Liczba programów edukacyjno-kulturalnych dla seniorów realizowanych</w:t>
            </w:r>
            <w:r w:rsidRPr="005911C6">
              <w:rPr>
                <w:rFonts w:ascii="Lato" w:hAnsi="Lato" w:cs="Times New Roman"/>
                <w:sz w:val="18"/>
                <w:szCs w:val="18"/>
              </w:rPr>
              <w:t xml:space="preserve"> </w:t>
            </w:r>
            <w:r w:rsidRPr="005911C6">
              <w:rPr>
                <w:rFonts w:ascii="Lato" w:eastAsia="MS Mincho" w:hAnsi="Lato" w:cs="Times New Roman"/>
                <w:sz w:val="18"/>
                <w:szCs w:val="18"/>
              </w:rPr>
              <w:t>ze środków Programu „Kultura” MF EOG 2014-2021 – 1</w:t>
            </w:r>
          </w:p>
          <w:p w14:paraId="1986277B" w14:textId="77777777" w:rsidR="00AE129D" w:rsidRPr="005911C6" w:rsidRDefault="00AE129D" w:rsidP="005911C6">
            <w:pPr>
              <w:spacing w:after="0" w:line="240" w:lineRule="auto"/>
              <w:rPr>
                <w:rFonts w:ascii="Lato" w:eastAsia="MS Mincho" w:hAnsi="Lato" w:cs="Times New Roman"/>
                <w:sz w:val="18"/>
                <w:szCs w:val="18"/>
              </w:rPr>
            </w:pPr>
          </w:p>
          <w:p w14:paraId="6A3F2A4E" w14:textId="77777777" w:rsidR="00AE129D" w:rsidRPr="005911C6" w:rsidRDefault="00AE129D" w:rsidP="005911C6">
            <w:pPr>
              <w:spacing w:after="0" w:line="240" w:lineRule="auto"/>
              <w:rPr>
                <w:rFonts w:ascii="Lato" w:hAnsi="Lato" w:cs="Times New Roman"/>
                <w:sz w:val="18"/>
                <w:szCs w:val="18"/>
              </w:rPr>
            </w:pPr>
            <w:r w:rsidRPr="005911C6">
              <w:rPr>
                <w:rFonts w:ascii="Lato" w:hAnsi="Lato" w:cs="Times New Roman"/>
                <w:sz w:val="18"/>
                <w:szCs w:val="18"/>
              </w:rPr>
              <w:t>Stałe, systemowe działania adresowane do seniorów:</w:t>
            </w:r>
          </w:p>
          <w:p w14:paraId="1446E80D"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Uniwersytet Artystyczny Trzeciego Wieku</w:t>
            </w:r>
            <w:r w:rsidRPr="005911C6">
              <w:rPr>
                <w:rFonts w:ascii="Lato" w:hAnsi="Lato" w:cs="Times New Roman"/>
                <w:sz w:val="18"/>
                <w:szCs w:val="18"/>
              </w:rPr>
              <w:t xml:space="preserve"> (Uniwersytet Artystyczny w Poznaniu),</w:t>
            </w:r>
          </w:p>
          <w:p w14:paraId="7F40FBE8"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Akademia Kreatywnego Seniora</w:t>
            </w:r>
            <w:r w:rsidRPr="005911C6">
              <w:rPr>
                <w:rFonts w:ascii="Lato" w:hAnsi="Lato" w:cs="Times New Roman"/>
                <w:sz w:val="18"/>
                <w:szCs w:val="18"/>
              </w:rPr>
              <w:t xml:space="preserve"> (Akademia Sztuk Pięknych w Łodzi),</w:t>
            </w:r>
          </w:p>
          <w:p w14:paraId="7B0CF487"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Akademia Otwarta – dorośli do sztuki</w:t>
            </w:r>
            <w:r w:rsidRPr="005911C6">
              <w:rPr>
                <w:rFonts w:ascii="Lato" w:hAnsi="Lato" w:cs="Times New Roman"/>
                <w:sz w:val="18"/>
                <w:szCs w:val="18"/>
              </w:rPr>
              <w:t xml:space="preserve"> (Towarzystwo Przyjaciół ASP wraz z Akademią Sztuk Pięknych w Warszawie),</w:t>
            </w:r>
          </w:p>
          <w:p w14:paraId="3B0DEBFC"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Otwarte warsztaty artystyczne dla seniorów w ramach projektu „Zbrojownia Sztuki”</w:t>
            </w:r>
            <w:r w:rsidRPr="005911C6">
              <w:rPr>
                <w:rFonts w:ascii="Lato" w:hAnsi="Lato" w:cs="Times New Roman"/>
                <w:sz w:val="18"/>
                <w:szCs w:val="18"/>
              </w:rPr>
              <w:t xml:space="preserve"> (Akademia Sztuk Pięknych w Gdańsku),</w:t>
            </w:r>
          </w:p>
          <w:p w14:paraId="2022EFA6"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Otwarta Akademia Muzyczna</w:t>
            </w:r>
            <w:r w:rsidRPr="005911C6">
              <w:rPr>
                <w:rFonts w:ascii="Lato" w:hAnsi="Lato" w:cs="Times New Roman"/>
                <w:sz w:val="18"/>
                <w:szCs w:val="18"/>
              </w:rPr>
              <w:t xml:space="preserve"> (Akademia Muzyczna im. Karola Lipińskiego we Wrocławiu),</w:t>
            </w:r>
          </w:p>
          <w:p w14:paraId="7750899E"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Muzyczna Akademia Seniora</w:t>
            </w:r>
            <w:r w:rsidRPr="005911C6">
              <w:rPr>
                <w:rFonts w:ascii="Lato" w:hAnsi="Lato" w:cs="Times New Roman"/>
                <w:sz w:val="18"/>
                <w:szCs w:val="18"/>
              </w:rPr>
              <w:t xml:space="preserve"> (Akademia Muzyczna w Katowicach),</w:t>
            </w:r>
          </w:p>
          <w:p w14:paraId="67BC7C31"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Projekt Agora Nestora</w:t>
            </w:r>
            <w:r w:rsidRPr="005911C6">
              <w:rPr>
                <w:rFonts w:ascii="Lato" w:hAnsi="Lato" w:cs="Times New Roman"/>
                <w:sz w:val="18"/>
                <w:szCs w:val="18"/>
              </w:rPr>
              <w:t xml:space="preserve"> (Akademia Muzyczna w Bydgoszczy we współpracy z Miejskim Centrum Kultury).</w:t>
            </w:r>
          </w:p>
          <w:p w14:paraId="44F53F23" w14:textId="77777777" w:rsidR="00AE129D" w:rsidRPr="005911C6" w:rsidRDefault="00AE129D" w:rsidP="005911C6">
            <w:pPr>
              <w:pStyle w:val="Akapitzlist"/>
              <w:numPr>
                <w:ilvl w:val="0"/>
                <w:numId w:val="153"/>
              </w:numPr>
              <w:spacing w:after="0" w:line="240" w:lineRule="auto"/>
              <w:rPr>
                <w:rFonts w:ascii="Lato" w:hAnsi="Lato" w:cs="Times New Roman"/>
                <w:sz w:val="18"/>
                <w:szCs w:val="18"/>
              </w:rPr>
            </w:pPr>
            <w:r w:rsidRPr="005911C6">
              <w:rPr>
                <w:rFonts w:ascii="Lato" w:hAnsi="Lato" w:cs="Times New Roman"/>
                <w:i/>
                <w:sz w:val="18"/>
                <w:szCs w:val="18"/>
              </w:rPr>
              <w:t>Archipelag historii</w:t>
            </w:r>
            <w:r w:rsidRPr="005911C6">
              <w:rPr>
                <w:rFonts w:ascii="Lato" w:hAnsi="Lato" w:cs="Times New Roman"/>
                <w:sz w:val="18"/>
                <w:szCs w:val="18"/>
              </w:rPr>
              <w:t xml:space="preserve"> (Instytut Polonika we współpracy z Uniwersytetem Trzeciego Wieku Szkoły Głównej Handlowej w Warszawie). </w:t>
            </w:r>
          </w:p>
          <w:p w14:paraId="0F840BAB" w14:textId="77777777" w:rsidR="00AE129D" w:rsidRPr="005911C6" w:rsidRDefault="00AE129D" w:rsidP="005911C6">
            <w:pPr>
              <w:spacing w:after="0" w:line="240" w:lineRule="auto"/>
              <w:rPr>
                <w:rFonts w:ascii="Lato" w:hAnsi="Lato" w:cs="Times New Roman"/>
                <w:sz w:val="18"/>
                <w:szCs w:val="18"/>
                <w:highlight w:val="yellow"/>
              </w:rPr>
            </w:pPr>
          </w:p>
          <w:p w14:paraId="57C04C74" w14:textId="77777777" w:rsidR="00AE129D" w:rsidRPr="005911C6" w:rsidRDefault="00AE129D" w:rsidP="005911C6">
            <w:pPr>
              <w:spacing w:after="0" w:line="240" w:lineRule="auto"/>
              <w:rPr>
                <w:rFonts w:ascii="Lato" w:hAnsi="Lato" w:cs="Times New Roman"/>
                <w:sz w:val="18"/>
                <w:szCs w:val="18"/>
              </w:rPr>
            </w:pPr>
            <w:r w:rsidRPr="005911C6">
              <w:rPr>
                <w:rFonts w:ascii="Lato" w:hAnsi="Lato" w:cs="Times New Roman"/>
                <w:sz w:val="18"/>
                <w:szCs w:val="18"/>
              </w:rPr>
              <w:t xml:space="preserve">Zapewnianie osobom starszym dostępu do usług edukacyjnych świadczonych w ramach uczenia się przez całe życie wpisuje się </w:t>
            </w:r>
            <w:r w:rsidRPr="005911C6">
              <w:rPr>
                <w:rFonts w:ascii="Lato" w:hAnsi="Lato" w:cs="Times New Roman"/>
                <w:sz w:val="18"/>
                <w:szCs w:val="18"/>
              </w:rPr>
              <w:lastRenderedPageBreak/>
              <w:t xml:space="preserve">również w programy dotacyjne Ministra </w:t>
            </w:r>
            <w:proofErr w:type="spellStart"/>
            <w:r w:rsidRPr="005911C6">
              <w:rPr>
                <w:rFonts w:ascii="Lato" w:hAnsi="Lato" w:cs="Times New Roman"/>
                <w:sz w:val="18"/>
                <w:szCs w:val="18"/>
              </w:rPr>
              <w:t>KiDN</w:t>
            </w:r>
            <w:proofErr w:type="spellEnd"/>
            <w:r w:rsidRPr="005911C6">
              <w:rPr>
                <w:rFonts w:ascii="Lato" w:hAnsi="Lato" w:cs="Times New Roman"/>
                <w:sz w:val="18"/>
                <w:szCs w:val="18"/>
              </w:rPr>
              <w:t xml:space="preserve">, w szczególności programy </w:t>
            </w:r>
            <w:r w:rsidRPr="005911C6">
              <w:rPr>
                <w:rFonts w:ascii="Lato" w:hAnsi="Lato" w:cs="Times New Roman"/>
                <w:i/>
                <w:sz w:val="18"/>
                <w:szCs w:val="18"/>
              </w:rPr>
              <w:t>Edukacja kulturalna</w:t>
            </w:r>
            <w:r w:rsidRPr="005911C6">
              <w:rPr>
                <w:rFonts w:ascii="Lato" w:hAnsi="Lato" w:cs="Times New Roman"/>
                <w:sz w:val="18"/>
                <w:szCs w:val="18"/>
              </w:rPr>
              <w:t xml:space="preserve"> oraz </w:t>
            </w:r>
            <w:r w:rsidRPr="005911C6">
              <w:rPr>
                <w:rFonts w:ascii="Lato" w:hAnsi="Lato" w:cs="Times New Roman"/>
                <w:i/>
                <w:sz w:val="18"/>
                <w:szCs w:val="18"/>
              </w:rPr>
              <w:t>Infrastruktura bibliotek</w:t>
            </w:r>
            <w:r w:rsidRPr="005911C6">
              <w:rPr>
                <w:rFonts w:ascii="Lato" w:hAnsi="Lato" w:cs="Times New Roman"/>
                <w:sz w:val="18"/>
                <w:szCs w:val="18"/>
              </w:rPr>
              <w:t>:</w:t>
            </w:r>
          </w:p>
          <w:p w14:paraId="0741D3DD" w14:textId="77777777" w:rsidR="00AE129D" w:rsidRPr="005911C6" w:rsidRDefault="00AE129D" w:rsidP="005911C6">
            <w:pPr>
              <w:pStyle w:val="Akapitzlist"/>
              <w:numPr>
                <w:ilvl w:val="0"/>
                <w:numId w:val="168"/>
              </w:numPr>
              <w:spacing w:after="0" w:line="240" w:lineRule="auto"/>
              <w:rPr>
                <w:rFonts w:ascii="Lato" w:hAnsi="Lato" w:cs="Times New Roman"/>
                <w:sz w:val="18"/>
                <w:szCs w:val="18"/>
              </w:rPr>
            </w:pPr>
            <w:r w:rsidRPr="005911C6">
              <w:rPr>
                <w:rFonts w:ascii="Lato" w:hAnsi="Lato" w:cs="Times New Roman"/>
                <w:sz w:val="18"/>
                <w:szCs w:val="18"/>
              </w:rPr>
              <w:t xml:space="preserve">jedno z zadań programu </w:t>
            </w:r>
            <w:r w:rsidRPr="005911C6">
              <w:rPr>
                <w:rFonts w:ascii="Lato" w:hAnsi="Lato" w:cs="Times New Roman"/>
                <w:i/>
                <w:sz w:val="18"/>
                <w:szCs w:val="18"/>
              </w:rPr>
              <w:t>Edukacja Kulturalna</w:t>
            </w:r>
            <w:r w:rsidRPr="005911C6">
              <w:rPr>
                <w:rFonts w:ascii="Lato" w:hAnsi="Lato" w:cs="Times New Roman"/>
                <w:sz w:val="18"/>
                <w:szCs w:val="18"/>
              </w:rPr>
              <w:t xml:space="preserve"> polega na tworzeniu i prowadzeniu kompleksowych działań z zakresu edukacji kulturalnej skierowanych do osób dorosłych, w szczególności wykorzystującej formułę tzw. „uniwersytetów ludowych”,</w:t>
            </w:r>
          </w:p>
          <w:p w14:paraId="036970F9" w14:textId="77777777" w:rsidR="00AE129D" w:rsidRPr="005911C6" w:rsidRDefault="00AE129D" w:rsidP="005911C6">
            <w:pPr>
              <w:pStyle w:val="Akapitzlist"/>
              <w:numPr>
                <w:ilvl w:val="0"/>
                <w:numId w:val="168"/>
              </w:numPr>
              <w:spacing w:after="0" w:line="240" w:lineRule="auto"/>
              <w:rPr>
                <w:rFonts w:ascii="Lato" w:hAnsi="Lato" w:cs="Times New Roman"/>
                <w:sz w:val="18"/>
                <w:szCs w:val="18"/>
              </w:rPr>
            </w:pPr>
            <w:r w:rsidRPr="005911C6">
              <w:rPr>
                <w:rFonts w:ascii="Lato" w:hAnsi="Lato" w:cs="Times New Roman"/>
                <w:sz w:val="18"/>
                <w:szCs w:val="18"/>
              </w:rPr>
              <w:t xml:space="preserve">w ramach programu </w:t>
            </w:r>
            <w:r w:rsidRPr="005911C6">
              <w:rPr>
                <w:rFonts w:ascii="Lato" w:hAnsi="Lato" w:cs="Times New Roman"/>
                <w:i/>
                <w:sz w:val="18"/>
                <w:szCs w:val="18"/>
              </w:rPr>
              <w:t>Infrastruktura bibliotek</w:t>
            </w:r>
            <w:r w:rsidRPr="005911C6">
              <w:rPr>
                <w:rFonts w:ascii="Lato" w:hAnsi="Lato" w:cs="Times New Roman"/>
                <w:sz w:val="18"/>
                <w:szCs w:val="18"/>
              </w:rPr>
              <w:t xml:space="preserve"> wśród kryteriów punktowanych znajduje się kryterium: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p w14:paraId="7F1FAFF5" w14:textId="77777777" w:rsidR="00AE129D" w:rsidRPr="005911C6" w:rsidRDefault="00AE129D" w:rsidP="005911C6">
            <w:pPr>
              <w:pStyle w:val="Akapitzlist"/>
              <w:numPr>
                <w:ilvl w:val="0"/>
                <w:numId w:val="168"/>
              </w:numPr>
              <w:spacing w:after="0" w:line="240" w:lineRule="auto"/>
              <w:rPr>
                <w:rFonts w:ascii="Lato" w:hAnsi="Lato" w:cs="Times New Roman"/>
                <w:sz w:val="18"/>
                <w:szCs w:val="18"/>
              </w:rPr>
            </w:pPr>
            <w:r w:rsidRPr="005911C6">
              <w:rPr>
                <w:rFonts w:ascii="Lato" w:eastAsia="MS Mincho" w:hAnsi="Lato" w:cs="Times New Roman"/>
                <w:sz w:val="18"/>
                <w:szCs w:val="18"/>
              </w:rPr>
              <w:t>w ramach programu dotacyjnego Biblioteki Narodowej</w:t>
            </w:r>
            <w:r w:rsidRPr="005911C6">
              <w:rPr>
                <w:rFonts w:ascii="Lato" w:eastAsia="MS Mincho" w:hAnsi="Lato" w:cs="Times New Roman"/>
                <w:b/>
                <w:sz w:val="18"/>
                <w:szCs w:val="18"/>
              </w:rPr>
              <w:t xml:space="preserve"> </w:t>
            </w:r>
            <w:r w:rsidRPr="005911C6">
              <w:rPr>
                <w:rFonts w:ascii="Lato" w:hAnsi="Lato" w:cs="Times New Roman"/>
                <w:sz w:val="18"/>
                <w:szCs w:val="18"/>
              </w:rPr>
              <w:t xml:space="preserve"> </w:t>
            </w:r>
            <w:r w:rsidRPr="005911C6">
              <w:rPr>
                <w:rFonts w:ascii="Lato" w:hAnsi="Lato" w:cs="Times New Roman"/>
                <w:i/>
                <w:sz w:val="18"/>
                <w:szCs w:val="18"/>
              </w:rPr>
              <w:t>Kraszewski. Komputery dla bibliotek</w:t>
            </w:r>
            <w:r w:rsidRPr="005911C6">
              <w:rPr>
                <w:rFonts w:ascii="Lato" w:hAnsi="Lato" w:cs="Times New Roman"/>
                <w:sz w:val="18"/>
                <w:szCs w:val="18"/>
              </w:rPr>
              <w:t xml:space="preserve"> wśród kosztów kwalifikowanych wymieniono możliwość sfinansowania z wkładu własnego i dofinansowania zakupu „komputerów, komputerowych urządzeń peryferyjnych oraz oprogramowania służącego dostosowaniu sprzętu komputerowego do potrzeb osób ze szczególnymi potrzebami, w tym osób niepełnosprawnych". Ww. sprzęt dotyczy także zaspokajania potrzeb edukacyjnych i poznawczych osób starszych.</w:t>
            </w:r>
          </w:p>
          <w:p w14:paraId="7DAE5059" w14:textId="77777777" w:rsidR="00AE129D" w:rsidRPr="005911C6" w:rsidRDefault="00AE129D" w:rsidP="005911C6">
            <w:pPr>
              <w:spacing w:after="0" w:line="240" w:lineRule="auto"/>
              <w:rPr>
                <w:rFonts w:ascii="Lato" w:hAnsi="Lato" w:cs="Times New Roman"/>
                <w:sz w:val="18"/>
                <w:szCs w:val="18"/>
              </w:rPr>
            </w:pPr>
          </w:p>
          <w:p w14:paraId="234D5A66" w14:textId="77777777" w:rsidR="00AE129D" w:rsidRPr="005911C6" w:rsidRDefault="00AE129D" w:rsidP="005911C6">
            <w:pPr>
              <w:spacing w:after="0" w:line="240" w:lineRule="auto"/>
              <w:rPr>
                <w:rFonts w:ascii="Lato" w:hAnsi="Lato" w:cs="Times New Roman"/>
                <w:sz w:val="18"/>
                <w:szCs w:val="18"/>
              </w:rPr>
            </w:pPr>
          </w:p>
          <w:p w14:paraId="510933F5" w14:textId="7A348E1C" w:rsidR="00AE129D" w:rsidRPr="005911C6" w:rsidRDefault="00AE129D" w:rsidP="005911C6">
            <w:pPr>
              <w:spacing w:after="0" w:line="240" w:lineRule="auto"/>
              <w:rPr>
                <w:rFonts w:ascii="Lato" w:hAnsi="Lato" w:cs="Times New Roman"/>
                <w:sz w:val="18"/>
                <w:szCs w:val="18"/>
              </w:rPr>
            </w:pPr>
            <w:r w:rsidRPr="005911C6">
              <w:rPr>
                <w:rFonts w:ascii="Lato" w:hAnsi="Lato" w:cs="Times New Roman"/>
                <w:sz w:val="18"/>
                <w:szCs w:val="18"/>
              </w:rPr>
              <w:t xml:space="preserve">Muzeum Historii Żydów Polskich POLIN w 2022 realizowało program edukacyjno-kulturalny dla seniorów </w:t>
            </w:r>
            <w:r w:rsidRPr="005911C6">
              <w:rPr>
                <w:rFonts w:ascii="Lato" w:hAnsi="Lato" w:cs="Times New Roman"/>
                <w:i/>
                <w:sz w:val="18"/>
                <w:szCs w:val="18"/>
              </w:rPr>
              <w:t xml:space="preserve"> Żydowskie dziedzictwo kulturowe</w:t>
            </w:r>
            <w:r w:rsidRPr="005911C6">
              <w:rPr>
                <w:rFonts w:ascii="Lato" w:hAnsi="Lato" w:cs="Times New Roman"/>
                <w:sz w:val="18"/>
                <w:szCs w:val="18"/>
              </w:rPr>
              <w:t xml:space="preserve">, który obejmował szerokie spektrum działań adresowanych do </w:t>
            </w:r>
            <w:proofErr w:type="spellStart"/>
            <w:r w:rsidRPr="005911C6">
              <w:rPr>
                <w:rFonts w:ascii="Lato" w:hAnsi="Lato" w:cs="Times New Roman"/>
                <w:sz w:val="18"/>
                <w:szCs w:val="18"/>
              </w:rPr>
              <w:t>sesniorów</w:t>
            </w:r>
            <w:proofErr w:type="spellEnd"/>
            <w:r w:rsidRPr="005911C6">
              <w:rPr>
                <w:rFonts w:ascii="Lato" w:hAnsi="Lato" w:cs="Times New Roman"/>
                <w:sz w:val="18"/>
                <w:szCs w:val="18"/>
              </w:rPr>
              <w:t xml:space="preserve">: warsztaty, prelekcje, spotkania, pokazy. Budżet programu wynosił 10 mln EUR ze środków Programu „Kultura” MF EOG 2014-2021 – Działanie 3 </w:t>
            </w:r>
            <w:r w:rsidRPr="005911C6">
              <w:rPr>
                <w:rFonts w:ascii="Lato" w:hAnsi="Lato" w:cs="Times New Roman"/>
                <w:i/>
                <w:sz w:val="18"/>
                <w:szCs w:val="18"/>
              </w:rPr>
              <w:t>Podnoszenie poziomu wiedzy w zakresie żydowskiego dziedzictwa kulturowego</w:t>
            </w:r>
            <w:r w:rsidRPr="005911C6">
              <w:rPr>
                <w:rFonts w:ascii="Lato" w:hAnsi="Lato" w:cs="Times New Roman"/>
                <w:sz w:val="18"/>
                <w:szCs w:val="18"/>
              </w:rPr>
              <w:t>.</w:t>
            </w:r>
          </w:p>
        </w:tc>
      </w:tr>
      <w:tr w:rsidR="003C25C5" w:rsidRPr="005911C6" w14:paraId="07E43A71" w14:textId="77777777" w:rsidTr="008C67C9">
        <w:trPr>
          <w:trHeight w:val="720"/>
        </w:trPr>
        <w:tc>
          <w:tcPr>
            <w:tcW w:w="1232" w:type="dxa"/>
            <w:vMerge/>
            <w:shd w:val="clear" w:color="auto" w:fill="FFFFFF" w:themeFill="background1"/>
          </w:tcPr>
          <w:p w14:paraId="52B3058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8E71BA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Wsparcie osób bezrobotnych i poszukujących pracy w starszych grupach wiekowych w dostępie </w:t>
            </w:r>
            <w:r w:rsidRPr="005911C6">
              <w:rPr>
                <w:rFonts w:ascii="Lato" w:eastAsia="MS Mincho" w:hAnsi="Lato"/>
                <w:sz w:val="18"/>
                <w:szCs w:val="18"/>
              </w:rPr>
              <w:br/>
              <w:t>do programów aktywizacji zawodowej, oferowanych przez urzędy pracy</w:t>
            </w:r>
          </w:p>
        </w:tc>
        <w:tc>
          <w:tcPr>
            <w:tcW w:w="2032" w:type="dxa"/>
            <w:vMerge w:val="restart"/>
            <w:shd w:val="clear" w:color="auto" w:fill="FFFFFF" w:themeFill="background1"/>
          </w:tcPr>
          <w:p w14:paraId="151C9DD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tab/>
            </w:r>
          </w:p>
        </w:tc>
        <w:tc>
          <w:tcPr>
            <w:tcW w:w="1500" w:type="dxa"/>
            <w:vMerge w:val="restart"/>
            <w:shd w:val="clear" w:color="auto" w:fill="FFFFFF" w:themeFill="background1"/>
          </w:tcPr>
          <w:p w14:paraId="05DF7E6C"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6A01B5B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osób bezrobotnych i poszukujących pracy w starszych grupach wiekowych objętych przez urzędy pracy wsparciem w zakresie aktywizacji zawodowej </w:t>
            </w:r>
          </w:p>
          <w:p w14:paraId="5EA64949" w14:textId="77777777" w:rsidR="003C25C5" w:rsidRPr="005911C6" w:rsidRDefault="003C25C5" w:rsidP="005911C6">
            <w:pPr>
              <w:pStyle w:val="Kolorowalistaakcent11"/>
              <w:spacing w:after="0" w:line="240" w:lineRule="auto"/>
              <w:ind w:left="0"/>
              <w:rPr>
                <w:rFonts w:ascii="Lato" w:eastAsia="MS Mincho" w:hAnsi="Lato"/>
                <w:b/>
                <w:sz w:val="18"/>
                <w:szCs w:val="18"/>
              </w:rPr>
            </w:pPr>
            <w:r w:rsidRPr="005911C6">
              <w:rPr>
                <w:rFonts w:ascii="Lato" w:eastAsia="MS Mincho" w:hAnsi="Lato"/>
                <w:b/>
                <w:sz w:val="18"/>
                <w:szCs w:val="18"/>
              </w:rPr>
              <w:t>oraz</w:t>
            </w:r>
          </w:p>
          <w:p w14:paraId="2C565AC0" w14:textId="77777777" w:rsidR="003C25C5" w:rsidRPr="005911C6" w:rsidRDefault="003C25C5" w:rsidP="005911C6">
            <w:pPr>
              <w:pStyle w:val="Kolorowalistaakcent11"/>
              <w:spacing w:after="0" w:line="240" w:lineRule="auto"/>
              <w:ind w:left="0"/>
              <w:rPr>
                <w:rFonts w:ascii="Lato" w:hAnsi="Lato"/>
                <w:i/>
                <w:sz w:val="18"/>
                <w:szCs w:val="18"/>
              </w:rPr>
            </w:pPr>
            <w:r w:rsidRPr="005911C6">
              <w:rPr>
                <w:rFonts w:ascii="Lato" w:eastAsia="MS Mincho" w:hAnsi="Lato"/>
                <w:i/>
                <w:sz w:val="18"/>
                <w:szCs w:val="18"/>
              </w:rPr>
              <w:t xml:space="preserve">Liczba </w:t>
            </w:r>
            <w:r w:rsidRPr="005911C6">
              <w:rPr>
                <w:rFonts w:ascii="Lato" w:hAnsi="Lato"/>
                <w:i/>
                <w:sz w:val="18"/>
                <w:szCs w:val="18"/>
              </w:rPr>
              <w:t>osób starszych, które podjęły pracę w wyniku uczestnictwa w aktywizacji zawodowej</w:t>
            </w:r>
          </w:p>
        </w:tc>
      </w:tr>
      <w:tr w:rsidR="003C25C5" w:rsidRPr="005911C6" w14:paraId="47D71CDC" w14:textId="77777777" w:rsidTr="008C67C9">
        <w:trPr>
          <w:trHeight w:val="720"/>
        </w:trPr>
        <w:tc>
          <w:tcPr>
            <w:tcW w:w="1232" w:type="dxa"/>
            <w:vMerge/>
            <w:shd w:val="clear" w:color="auto" w:fill="FFFFFF" w:themeFill="background1"/>
          </w:tcPr>
          <w:p w14:paraId="59A2A77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000473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5B8FCE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4CAB6F5"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4E0DFE7" w14:textId="77777777" w:rsidR="00A85DD8" w:rsidRPr="005911C6" w:rsidRDefault="00A85DD8"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Funduszy i Polityki Regionalnej</w:t>
            </w:r>
          </w:p>
          <w:p w14:paraId="111DB541" w14:textId="5CE0CFE0" w:rsidR="00A85DD8" w:rsidRPr="005911C6" w:rsidRDefault="00A85DD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Osoby po 50 r. ż. otrzymują wsparcie w ramach Regionalnych Programów Operacyjnych. Osoby te mogą skorzystać z doradztwa zawodowego połączonego z przygotowaniem Indywidualnego Planu Działania, pośrednictwa pracy, a także szkoleń i kursów mających na celu podniesienie kwalifikacji i kompetencji lub przekwalifikowanie. Dodatkowo osoby starsze mogą skorzystać z formy wsparcia jaką są staże oraz subsydiowane zatrudnienie a także otrzymać wsparcie finansowe na rozpoczęcie własnej działalności gospodarczej, w formie bezzwrotnej, połączone ze wsparciem szkoleniowym oraz pomostowym. </w:t>
            </w:r>
          </w:p>
          <w:p w14:paraId="341C098F" w14:textId="6679DAED" w:rsidR="00A85DD8" w:rsidRPr="005911C6" w:rsidRDefault="00A85DD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2022 r. wsparciem objęto blisko 6,8 tys. osób po 54 r. ż. (do końca 2022 r. łącznie 164 tys. osób), w tym blisko 5,5 tys. osób to osoby, które są bezrobotne (w tym długotrwale bezrobotne) lub bierne zawodowo i nie uczestniczyły w kształceniu lub szkoleniu przed</w:t>
            </w:r>
            <w:r w:rsidRPr="005911C6">
              <w:rPr>
                <w:rFonts w:ascii="Lato" w:eastAsia="MS Mincho" w:hAnsi="Lato" w:cs="Times New Roman"/>
                <w:b/>
                <w:bCs/>
                <w:sz w:val="18"/>
                <w:szCs w:val="18"/>
              </w:rPr>
              <w:t xml:space="preserve"> </w:t>
            </w:r>
            <w:r w:rsidRPr="005911C6">
              <w:rPr>
                <w:rFonts w:ascii="Lato" w:eastAsia="MS Mincho" w:hAnsi="Lato" w:cs="Times New Roman"/>
                <w:sz w:val="18"/>
                <w:szCs w:val="18"/>
              </w:rPr>
              <w:t>projektem (do końca 2022 roku łącznie wsparto blisko 81,3 tys. takich osób).</w:t>
            </w:r>
          </w:p>
          <w:p w14:paraId="556CBE8D" w14:textId="5A7BB37C" w:rsidR="003C25C5" w:rsidRPr="005911C6" w:rsidRDefault="00A85DD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Wśród wyżej wskazanych, wsparciem w ramach projektów oferujących dotacje na założenie własnej działalności gospodarczej w 2022 r. objęto 799 osób po 54 r. ż. (do końca 2022 r. odpowiednio 8,7 tys. osób) w tym 337 to osoby, które są bezrobotne (w tym długotrwale bezrobotne) lub bierne zawodowo i nie uczestniczyły w kształceniu lub szkoleniu przed projektem (do końca 2021 r. odpowiednio 4 tys. takich osób).</w:t>
            </w:r>
          </w:p>
        </w:tc>
      </w:tr>
      <w:tr w:rsidR="003C25C5" w:rsidRPr="005911C6" w14:paraId="0D119C1D" w14:textId="77777777" w:rsidTr="008C67C9">
        <w:trPr>
          <w:trHeight w:val="720"/>
        </w:trPr>
        <w:tc>
          <w:tcPr>
            <w:tcW w:w="1232" w:type="dxa"/>
            <w:vMerge/>
            <w:shd w:val="clear" w:color="auto" w:fill="FFFFFF" w:themeFill="background1"/>
          </w:tcPr>
          <w:p w14:paraId="227B048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468A7D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Podniesienie świadomości osób starszych w zakresie możliwości zwiększenia aktywności zawodowej, dzięki zastosowaniu Internetu i innych technologii telekomunikacyjnych</w:t>
            </w:r>
          </w:p>
        </w:tc>
        <w:tc>
          <w:tcPr>
            <w:tcW w:w="2032" w:type="dxa"/>
            <w:vMerge w:val="restart"/>
            <w:shd w:val="clear" w:color="auto" w:fill="FFFFFF" w:themeFill="background1"/>
          </w:tcPr>
          <w:p w14:paraId="1DFCFC24" w14:textId="77777777" w:rsidR="003C25C5" w:rsidRPr="005911C6" w:rsidRDefault="003C25C5" w:rsidP="005911C6">
            <w:pPr>
              <w:pStyle w:val="Kolorowalistaakcent11"/>
              <w:tabs>
                <w:tab w:val="center" w:pos="908"/>
              </w:tabs>
              <w:spacing w:after="0" w:line="240" w:lineRule="auto"/>
              <w:ind w:left="0"/>
              <w:rPr>
                <w:rFonts w:ascii="Lato" w:eastAsia="MS Mincho" w:hAnsi="Lato"/>
                <w:sz w:val="18"/>
                <w:szCs w:val="18"/>
              </w:rPr>
            </w:pPr>
            <w:r w:rsidRPr="005911C6">
              <w:rPr>
                <w:rFonts w:ascii="Lato" w:eastAsia="MS Mincho" w:hAnsi="Lato"/>
                <w:sz w:val="18"/>
                <w:szCs w:val="18"/>
              </w:rPr>
              <w:t>Minister Cyfryzacji, Ministerstwo Rodziny i Polityki Społecznej</w:t>
            </w:r>
          </w:p>
        </w:tc>
        <w:tc>
          <w:tcPr>
            <w:tcW w:w="1500" w:type="dxa"/>
            <w:vMerge w:val="restart"/>
            <w:shd w:val="clear" w:color="auto" w:fill="FFFFFF" w:themeFill="background1"/>
          </w:tcPr>
          <w:p w14:paraId="0D61BAA9"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7942A71A"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Odsetek osób starszych posiadających wiedzę na temat możliwości zwiększenia aktywności zawodowej dzięki zastosowaniu Internetu i innych technologii telekomunikacyjnych</w:t>
            </w:r>
          </w:p>
        </w:tc>
      </w:tr>
      <w:tr w:rsidR="003C25C5" w:rsidRPr="005911C6" w14:paraId="7C2AA9B3" w14:textId="77777777" w:rsidTr="008C67C9">
        <w:trPr>
          <w:trHeight w:val="720"/>
        </w:trPr>
        <w:tc>
          <w:tcPr>
            <w:tcW w:w="1232" w:type="dxa"/>
            <w:vMerge/>
            <w:shd w:val="clear" w:color="auto" w:fill="FFFFFF" w:themeFill="background1"/>
          </w:tcPr>
          <w:p w14:paraId="779ECE3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258F67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9F4AE0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AC4A76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6B2319C" w14:textId="77777777" w:rsidR="005414FD" w:rsidRPr="005911C6" w:rsidRDefault="005414F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Rodziny i Polityki Społecznej</w:t>
            </w:r>
          </w:p>
          <w:p w14:paraId="18FC4866" w14:textId="3A01B1AB" w:rsidR="005414FD" w:rsidRPr="005911C6" w:rsidRDefault="005414FD" w:rsidP="005911C6">
            <w:pPr>
              <w:spacing w:after="0" w:line="240" w:lineRule="auto"/>
              <w:rPr>
                <w:rFonts w:ascii="Lato" w:eastAsia="MS Mincho" w:hAnsi="Lato" w:cs="Times New Roman"/>
                <w:bCs/>
                <w:color w:val="000000" w:themeColor="text1"/>
                <w:sz w:val="18"/>
                <w:szCs w:val="18"/>
              </w:rPr>
            </w:pPr>
            <w:r w:rsidRPr="005911C6">
              <w:rPr>
                <w:rFonts w:ascii="Lato" w:eastAsia="MS Mincho" w:hAnsi="Lato" w:cs="Times New Roman"/>
                <w:bCs/>
                <w:color w:val="000000" w:themeColor="text1"/>
                <w:sz w:val="18"/>
                <w:szCs w:val="18"/>
              </w:rPr>
              <w:t xml:space="preserve">Resort realizował program Aktywni+ edycja 2022. Szczegółowe informacje zawarte są w rozdziale dot. Działań realizowanych przez </w:t>
            </w:r>
            <w:proofErr w:type="spellStart"/>
            <w:r w:rsidRPr="005911C6">
              <w:rPr>
                <w:rFonts w:ascii="Lato" w:eastAsia="MS Mincho" w:hAnsi="Lato" w:cs="Times New Roman"/>
                <w:bCs/>
                <w:color w:val="000000" w:themeColor="text1"/>
                <w:sz w:val="18"/>
                <w:szCs w:val="18"/>
              </w:rPr>
              <w:t>MRiPS</w:t>
            </w:r>
            <w:proofErr w:type="spellEnd"/>
            <w:r w:rsidRPr="005911C6">
              <w:rPr>
                <w:rFonts w:ascii="Lato" w:eastAsia="MS Mincho" w:hAnsi="Lato" w:cs="Times New Roman"/>
                <w:bCs/>
                <w:color w:val="000000" w:themeColor="text1"/>
                <w:sz w:val="18"/>
                <w:szCs w:val="18"/>
              </w:rPr>
              <w:t xml:space="preserve">. </w:t>
            </w:r>
          </w:p>
          <w:p w14:paraId="2AA44CFF" w14:textId="680A858C"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08242034" w14:textId="77777777" w:rsidTr="008C67C9">
        <w:trPr>
          <w:trHeight w:val="720"/>
        </w:trPr>
        <w:tc>
          <w:tcPr>
            <w:tcW w:w="1232" w:type="dxa"/>
            <w:vMerge/>
            <w:shd w:val="clear" w:color="auto" w:fill="FFFFFF" w:themeFill="background1"/>
          </w:tcPr>
          <w:p w14:paraId="0BBD3AC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584BCC8"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eastAsia="MS Mincho" w:hAnsi="Lato"/>
                <w:sz w:val="18"/>
                <w:szCs w:val="18"/>
              </w:rPr>
              <w:t xml:space="preserve">Wprowadzenie w szerokim zakresie możliwości wykonywania przez osoby starsze pracy </w:t>
            </w:r>
            <w:r w:rsidRPr="005911C6">
              <w:rPr>
                <w:rFonts w:ascii="Lato" w:hAnsi="Lato"/>
                <w:sz w:val="18"/>
                <w:szCs w:val="18"/>
              </w:rPr>
              <w:t>elastycznych form pracy (m.in. niepełny etat, telepraca, praca w domu, elastyczne godziny pracy w uzgodnieniu z pracownikiem)</w:t>
            </w:r>
          </w:p>
        </w:tc>
        <w:tc>
          <w:tcPr>
            <w:tcW w:w="2032" w:type="dxa"/>
            <w:vMerge w:val="restart"/>
            <w:shd w:val="clear" w:color="auto" w:fill="FFFFFF" w:themeFill="background1"/>
          </w:tcPr>
          <w:p w14:paraId="004B325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tab/>
            </w:r>
            <w:r w:rsidRPr="005911C6">
              <w:rPr>
                <w:rFonts w:ascii="Lato" w:eastAsia="MS Mincho" w:hAnsi="Lato"/>
                <w:sz w:val="18"/>
                <w:szCs w:val="18"/>
              </w:rPr>
              <w:tab/>
            </w:r>
          </w:p>
        </w:tc>
        <w:tc>
          <w:tcPr>
            <w:tcW w:w="1500" w:type="dxa"/>
            <w:vMerge w:val="restart"/>
            <w:shd w:val="clear" w:color="auto" w:fill="FFFFFF" w:themeFill="background1"/>
          </w:tcPr>
          <w:p w14:paraId="5FD77D89"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68F7DE9D"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wprowadzonych nowych rozwiązań w zakresie możliwości wykonywania przez osoby starsze elastycznych form pracy</w:t>
            </w:r>
          </w:p>
        </w:tc>
      </w:tr>
      <w:tr w:rsidR="003C25C5" w:rsidRPr="005911C6" w14:paraId="7011791C" w14:textId="77777777" w:rsidTr="008C67C9">
        <w:trPr>
          <w:trHeight w:val="720"/>
        </w:trPr>
        <w:tc>
          <w:tcPr>
            <w:tcW w:w="1232" w:type="dxa"/>
            <w:vMerge/>
            <w:shd w:val="clear" w:color="auto" w:fill="FFFFFF" w:themeFill="background1"/>
          </w:tcPr>
          <w:p w14:paraId="6CF4255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D4921C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9A2429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0E1463D"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D50728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246226C" w14:textId="77777777" w:rsidR="003C25C5" w:rsidRPr="005911C6" w:rsidRDefault="003C25C5" w:rsidP="005911C6">
            <w:pPr>
              <w:spacing w:after="0" w:line="240" w:lineRule="auto"/>
              <w:rPr>
                <w:rFonts w:ascii="Lato" w:hAnsi="Lato" w:cs="Times New Roman"/>
                <w:sz w:val="18"/>
                <w:szCs w:val="18"/>
              </w:rPr>
            </w:pPr>
          </w:p>
          <w:p w14:paraId="17A3557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3E61253" w14:textId="77777777" w:rsidTr="008C67C9">
        <w:trPr>
          <w:trHeight w:val="511"/>
        </w:trPr>
        <w:tc>
          <w:tcPr>
            <w:tcW w:w="1232" w:type="dxa"/>
            <w:vMerge/>
            <w:shd w:val="clear" w:color="auto" w:fill="FFFFFF" w:themeFill="background1"/>
          </w:tcPr>
          <w:p w14:paraId="696015B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62CFE2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Wsparcie podmiotów ekonomii społecznej zatrudniających osoby starsze</w:t>
            </w:r>
          </w:p>
        </w:tc>
        <w:tc>
          <w:tcPr>
            <w:tcW w:w="2032" w:type="dxa"/>
            <w:vMerge w:val="restart"/>
            <w:shd w:val="clear" w:color="auto" w:fill="FFFFFF" w:themeFill="background1"/>
          </w:tcPr>
          <w:p w14:paraId="271E98E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br/>
            </w:r>
          </w:p>
        </w:tc>
        <w:tc>
          <w:tcPr>
            <w:tcW w:w="1500" w:type="dxa"/>
            <w:vMerge w:val="restart"/>
            <w:shd w:val="clear" w:color="auto" w:fill="FFFFFF" w:themeFill="background1"/>
          </w:tcPr>
          <w:p w14:paraId="5BDD7A83"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5AB1D93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wspartych podmiotów ekonomii społecznej zatrudniających osoby starsze</w:t>
            </w:r>
          </w:p>
        </w:tc>
      </w:tr>
      <w:tr w:rsidR="003C25C5" w:rsidRPr="005911C6" w14:paraId="64652A89" w14:textId="77777777" w:rsidTr="008C67C9">
        <w:trPr>
          <w:trHeight w:val="720"/>
        </w:trPr>
        <w:tc>
          <w:tcPr>
            <w:tcW w:w="1232" w:type="dxa"/>
            <w:vMerge/>
            <w:shd w:val="clear" w:color="auto" w:fill="FFFFFF" w:themeFill="background1"/>
          </w:tcPr>
          <w:p w14:paraId="5C59FF1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39B5EB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A8E1C2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8DBC7E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A397BF7" w14:textId="77777777" w:rsidR="00E37576" w:rsidRPr="005911C6" w:rsidRDefault="00E37576"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Funduszy i Polityki Regionalnej</w:t>
            </w:r>
          </w:p>
          <w:p w14:paraId="2A7BA491" w14:textId="63E6ABA3" w:rsidR="003C25C5" w:rsidRPr="005911C6" w:rsidRDefault="00E37576" w:rsidP="005911C6">
            <w:pPr>
              <w:spacing w:after="0" w:line="240" w:lineRule="auto"/>
              <w:rPr>
                <w:rFonts w:ascii="Lato" w:eastAsia="Calibri" w:hAnsi="Lato" w:cs="Calibri"/>
                <w:sz w:val="18"/>
                <w:szCs w:val="18"/>
              </w:rPr>
            </w:pPr>
            <w:r w:rsidRPr="005911C6">
              <w:rPr>
                <w:rFonts w:ascii="Lato" w:eastAsia="Calibri" w:hAnsi="Lato" w:cs="Calibri"/>
                <w:sz w:val="18"/>
                <w:szCs w:val="18"/>
              </w:rPr>
              <w:t xml:space="preserve">W ramach priorytetu inwestycyjnego 9v </w:t>
            </w:r>
            <w:r w:rsidRPr="005911C6">
              <w:rPr>
                <w:rFonts w:ascii="Lato" w:eastAsia="Calibri" w:hAnsi="Lato" w:cs="Calibri"/>
                <w:i/>
                <w:iCs/>
                <w:sz w:val="18"/>
                <w:szCs w:val="18"/>
              </w:rPr>
              <w:t>wspieranie przedsiębiorczości społecznej i integracji zawodowej w przedsiębiorstwach społecznych oraz podmiotach ekonomii społecznej i w celu ułatwiania dostępu do zatrudnienia,</w:t>
            </w:r>
            <w:r w:rsidRPr="005911C6">
              <w:rPr>
                <w:rFonts w:ascii="Lato" w:eastAsia="Calibri" w:hAnsi="Lato" w:cs="Calibri"/>
                <w:sz w:val="18"/>
                <w:szCs w:val="18"/>
              </w:rPr>
              <w:t xml:space="preserve"> realizowany jest szereg działań zmierzających do wzmocnienia kondycji sektora ekonomii społecznej oraz rozwoju podmiotów ekonomii społecznej. Na poziomie krajowym wsparcie realizowane jest w ramach działania 2.9 </w:t>
            </w:r>
            <w:r w:rsidRPr="005911C6">
              <w:rPr>
                <w:rFonts w:ascii="Lato" w:eastAsia="Calibri" w:hAnsi="Lato" w:cs="Calibri"/>
                <w:i/>
                <w:iCs/>
                <w:sz w:val="18"/>
                <w:szCs w:val="18"/>
              </w:rPr>
              <w:t xml:space="preserve">Rozwój ekonomii społecznej </w:t>
            </w:r>
            <w:r w:rsidRPr="005911C6">
              <w:rPr>
                <w:rFonts w:ascii="Lato" w:eastAsia="Calibri" w:hAnsi="Lato" w:cs="Calibri"/>
                <w:sz w:val="18"/>
                <w:szCs w:val="18"/>
              </w:rPr>
              <w:t>w</w:t>
            </w:r>
            <w:r w:rsidRPr="005911C6">
              <w:rPr>
                <w:rFonts w:ascii="Lato" w:eastAsia="Calibri" w:hAnsi="Lato" w:cs="Calibri"/>
                <w:i/>
                <w:iCs/>
                <w:sz w:val="18"/>
                <w:szCs w:val="18"/>
              </w:rPr>
              <w:t xml:space="preserve"> </w:t>
            </w:r>
            <w:r w:rsidRPr="005911C6">
              <w:rPr>
                <w:rFonts w:ascii="Lato" w:eastAsia="Calibri" w:hAnsi="Lato" w:cs="Calibri"/>
                <w:sz w:val="18"/>
                <w:szCs w:val="18"/>
              </w:rPr>
              <w:t>Programie Operacyjnym Wiedza Edukacja Rozwój wdrażane są także działania skierowane na wzmocnienie systemu wsparcia dla podmiotów ekonomii społecznej, m.in. poprzez zapewnienie preferencyjnej oferty wsparcia zwrotnego dla podmiotów ekonomii społecznej. W 2022 r. kontynuowano realizację projektu „Wdrożenie instrumentu pożyczkowego i poręczeniowego w ramach Krajowego Funduszu Przedsiębiorczości Społecznej”. W ramach tego projektu do końca 2022 r. 988  podmiotów ekonomii społecznej skorzystało z preferencyjnych pożyczek, co przyczyniło się do stworzenia nowych 918 miejsc pracy. 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 rozumieniu przepisów ustawy z dnia 20 kwietnia 2004 r. o promocji zatrudnienia i instytucjach rynku pracy. Dodatkowo, możliwe jest uzyskanie przez podmioty ekonomii społecznej wsparcia doradczego czy szkoleniowego.  Do końca 2022 r., w ramach wsparcia ekonomii społecznej w RPO wsparto 20 798 podmiotów ekonomii społecznej. Stworzono także 15 202 miejsc pracy w przedsiębiorstwach społecznych.</w:t>
            </w:r>
          </w:p>
        </w:tc>
      </w:tr>
      <w:tr w:rsidR="003C25C5" w:rsidRPr="005911C6" w14:paraId="1E647929" w14:textId="77777777" w:rsidTr="008C67C9">
        <w:trPr>
          <w:trHeight w:val="533"/>
        </w:trPr>
        <w:tc>
          <w:tcPr>
            <w:tcW w:w="1232" w:type="dxa"/>
            <w:vMerge/>
            <w:shd w:val="clear" w:color="auto" w:fill="FFFFFF" w:themeFill="background1"/>
          </w:tcPr>
          <w:p w14:paraId="181DBE2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813FB9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kontynuowania pracy </w:t>
            </w:r>
            <w:r w:rsidRPr="005911C6">
              <w:rPr>
                <w:rFonts w:ascii="Lato" w:eastAsia="MS Mincho" w:hAnsi="Lato"/>
                <w:sz w:val="18"/>
                <w:szCs w:val="18"/>
              </w:rPr>
              <w:br/>
              <w:t xml:space="preserve">w innej formie np. coachingu, </w:t>
            </w:r>
            <w:proofErr w:type="spellStart"/>
            <w:r w:rsidRPr="005911C6">
              <w:rPr>
                <w:rFonts w:ascii="Lato" w:eastAsia="MS Mincho" w:hAnsi="Lato"/>
                <w:sz w:val="18"/>
                <w:szCs w:val="18"/>
              </w:rPr>
              <w:t>tutoringu</w:t>
            </w:r>
            <w:proofErr w:type="spellEnd"/>
            <w:r w:rsidRPr="005911C6">
              <w:rPr>
                <w:rFonts w:ascii="Lato" w:eastAsia="MS Mincho" w:hAnsi="Lato"/>
                <w:sz w:val="18"/>
                <w:szCs w:val="18"/>
              </w:rPr>
              <w:t xml:space="preserve"> i mentoringu</w:t>
            </w:r>
          </w:p>
          <w:p w14:paraId="41A69BA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val="restart"/>
            <w:shd w:val="clear" w:color="auto" w:fill="FFFFFF" w:themeFill="background1"/>
          </w:tcPr>
          <w:p w14:paraId="2FAE356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494475A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6263814E"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inicjatyw z zakresu promowania kontynuowania pracy w innej formie</w:t>
            </w:r>
          </w:p>
        </w:tc>
      </w:tr>
      <w:tr w:rsidR="003C25C5" w:rsidRPr="005911C6" w14:paraId="6AFA0F34" w14:textId="77777777" w:rsidTr="008C67C9">
        <w:trPr>
          <w:trHeight w:val="720"/>
        </w:trPr>
        <w:tc>
          <w:tcPr>
            <w:tcW w:w="1232" w:type="dxa"/>
            <w:vMerge/>
            <w:shd w:val="clear" w:color="auto" w:fill="FFFFFF" w:themeFill="background1"/>
          </w:tcPr>
          <w:p w14:paraId="0F88DBF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06C0DF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C60982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0B98DF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9893F3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14AD0B7" w14:textId="77777777" w:rsidR="003C25C5" w:rsidRPr="005911C6" w:rsidRDefault="003C25C5" w:rsidP="005911C6">
            <w:pPr>
              <w:spacing w:after="0" w:line="240" w:lineRule="auto"/>
              <w:rPr>
                <w:rFonts w:ascii="Lato" w:hAnsi="Lato" w:cs="Times New Roman"/>
                <w:sz w:val="18"/>
                <w:szCs w:val="18"/>
              </w:rPr>
            </w:pPr>
          </w:p>
          <w:p w14:paraId="7E35A4A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lastRenderedPageBreak/>
              <w:t>…</w:t>
            </w:r>
          </w:p>
        </w:tc>
      </w:tr>
      <w:tr w:rsidR="003C25C5" w:rsidRPr="005911C6" w14:paraId="05EC5265" w14:textId="77777777" w:rsidTr="008C67C9">
        <w:trPr>
          <w:trHeight w:val="720"/>
        </w:trPr>
        <w:tc>
          <w:tcPr>
            <w:tcW w:w="1232" w:type="dxa"/>
            <w:vMerge/>
            <w:shd w:val="clear" w:color="auto" w:fill="FFFFFF" w:themeFill="background1"/>
          </w:tcPr>
          <w:p w14:paraId="16261FD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F9FA4B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kampanii informacyjnych, szkoleń dla pracodawców nt. korzyści wynikających z zatrudnienia osoby starszej</w:t>
            </w:r>
          </w:p>
        </w:tc>
        <w:tc>
          <w:tcPr>
            <w:tcW w:w="2032" w:type="dxa"/>
            <w:vMerge w:val="restart"/>
            <w:shd w:val="clear" w:color="auto" w:fill="FFFFFF" w:themeFill="background1"/>
          </w:tcPr>
          <w:p w14:paraId="3A7EC9C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Rozwoju i Technologii, Ministerstwo Rodziny i Polityki Społecznej </w:t>
            </w:r>
            <w:r w:rsidRPr="005911C6">
              <w:rPr>
                <w:rFonts w:ascii="Lato" w:eastAsia="MS Mincho" w:hAnsi="Lato"/>
                <w:sz w:val="18"/>
                <w:szCs w:val="18"/>
              </w:rPr>
              <w:tab/>
            </w:r>
          </w:p>
        </w:tc>
        <w:tc>
          <w:tcPr>
            <w:tcW w:w="1500" w:type="dxa"/>
            <w:vMerge w:val="restart"/>
            <w:shd w:val="clear" w:color="auto" w:fill="FFFFFF" w:themeFill="background1"/>
          </w:tcPr>
          <w:p w14:paraId="2D0F0A0B"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3501176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kampanii informacyjnych, szkoleń dla pracodawców nt. korzyści wynikających z zatrudnienia osoby starszej</w:t>
            </w:r>
          </w:p>
        </w:tc>
      </w:tr>
      <w:tr w:rsidR="003C25C5" w:rsidRPr="005911C6" w14:paraId="4169345D" w14:textId="77777777" w:rsidTr="008C67C9">
        <w:trPr>
          <w:trHeight w:val="720"/>
        </w:trPr>
        <w:tc>
          <w:tcPr>
            <w:tcW w:w="1232" w:type="dxa"/>
            <w:vMerge/>
            <w:shd w:val="clear" w:color="auto" w:fill="FFFFFF" w:themeFill="background1"/>
          </w:tcPr>
          <w:p w14:paraId="56219D1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294889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749181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A2F1C2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C56E0C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BF8F984" w14:textId="77777777" w:rsidR="003C25C5" w:rsidRPr="005911C6" w:rsidRDefault="003C25C5" w:rsidP="005911C6">
            <w:pPr>
              <w:spacing w:after="0" w:line="240" w:lineRule="auto"/>
              <w:rPr>
                <w:rFonts w:ascii="Lato" w:hAnsi="Lato" w:cs="Times New Roman"/>
                <w:sz w:val="18"/>
                <w:szCs w:val="18"/>
              </w:rPr>
            </w:pPr>
          </w:p>
          <w:p w14:paraId="1989400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AC6451F" w14:textId="77777777" w:rsidTr="008C67C9">
        <w:trPr>
          <w:trHeight w:val="528"/>
        </w:trPr>
        <w:tc>
          <w:tcPr>
            <w:tcW w:w="1232" w:type="dxa"/>
            <w:vMerge/>
            <w:shd w:val="clear" w:color="auto" w:fill="FFFFFF" w:themeFill="background1"/>
          </w:tcPr>
          <w:p w14:paraId="7C0AB0F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134FEF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Kreowanie w przestrzeni społeczno-medialnej obrazu osoby starszej aktywnej zawodowo</w:t>
            </w:r>
          </w:p>
        </w:tc>
        <w:tc>
          <w:tcPr>
            <w:tcW w:w="2032" w:type="dxa"/>
            <w:vMerge w:val="restart"/>
            <w:shd w:val="clear" w:color="auto" w:fill="FFFFFF" w:themeFill="background1"/>
          </w:tcPr>
          <w:p w14:paraId="29269CA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Media publiczne</w:t>
            </w:r>
          </w:p>
        </w:tc>
        <w:tc>
          <w:tcPr>
            <w:tcW w:w="1500" w:type="dxa"/>
            <w:vMerge w:val="restart"/>
            <w:shd w:val="clear" w:color="auto" w:fill="FFFFFF" w:themeFill="background1"/>
          </w:tcPr>
          <w:p w14:paraId="495498B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4D73B3D1"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programów przedstawiających osoby starsze aktywne zawodowo</w:t>
            </w:r>
          </w:p>
        </w:tc>
      </w:tr>
      <w:tr w:rsidR="003C25C5" w:rsidRPr="005911C6" w14:paraId="6F397867" w14:textId="77777777" w:rsidTr="008C67C9">
        <w:trPr>
          <w:trHeight w:val="720"/>
        </w:trPr>
        <w:tc>
          <w:tcPr>
            <w:tcW w:w="1232" w:type="dxa"/>
            <w:vMerge/>
            <w:shd w:val="clear" w:color="auto" w:fill="FFFFFF" w:themeFill="background1"/>
          </w:tcPr>
          <w:p w14:paraId="53569B3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C8C740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34CFAF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B45240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6833CD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3C0DA8C" w14:textId="77777777" w:rsidR="003C25C5" w:rsidRPr="005911C6" w:rsidRDefault="003C25C5" w:rsidP="005911C6">
            <w:pPr>
              <w:spacing w:after="0" w:line="240" w:lineRule="auto"/>
              <w:rPr>
                <w:rFonts w:ascii="Lato" w:hAnsi="Lato" w:cs="Times New Roman"/>
                <w:sz w:val="18"/>
                <w:szCs w:val="18"/>
              </w:rPr>
            </w:pPr>
          </w:p>
          <w:p w14:paraId="188CDE5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6E343ED" w14:textId="77777777" w:rsidTr="008C67C9">
        <w:trPr>
          <w:trHeight w:val="720"/>
        </w:trPr>
        <w:tc>
          <w:tcPr>
            <w:tcW w:w="1232" w:type="dxa"/>
            <w:vMerge/>
            <w:shd w:val="clear" w:color="auto" w:fill="FFFFFF" w:themeFill="background1"/>
          </w:tcPr>
          <w:p w14:paraId="0ACD035A"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60657F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Popularyzacja dobrych praktyk </w:t>
            </w:r>
            <w:r w:rsidRPr="005911C6">
              <w:rPr>
                <w:rFonts w:ascii="Lato" w:eastAsia="MS Mincho" w:hAnsi="Lato"/>
                <w:sz w:val="18"/>
                <w:szCs w:val="18"/>
              </w:rPr>
              <w:br/>
              <w:t>i doświadczeń w przedmiotowym zakresie</w:t>
            </w:r>
          </w:p>
        </w:tc>
        <w:tc>
          <w:tcPr>
            <w:tcW w:w="2032" w:type="dxa"/>
            <w:vMerge w:val="restart"/>
            <w:shd w:val="clear" w:color="auto" w:fill="FFFFFF" w:themeFill="background1"/>
          </w:tcPr>
          <w:p w14:paraId="6C6917A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Rozwoju i Technologii</w:t>
            </w:r>
            <w:r w:rsidRPr="005911C6">
              <w:rPr>
                <w:rFonts w:ascii="Lato" w:eastAsia="MS Mincho" w:hAnsi="Lato"/>
                <w:sz w:val="18"/>
                <w:szCs w:val="18"/>
              </w:rPr>
              <w:tab/>
            </w:r>
          </w:p>
        </w:tc>
        <w:tc>
          <w:tcPr>
            <w:tcW w:w="1500" w:type="dxa"/>
            <w:vMerge w:val="restart"/>
            <w:shd w:val="clear" w:color="auto" w:fill="FFFFFF" w:themeFill="background1"/>
          </w:tcPr>
          <w:p w14:paraId="16BE921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7F6ECB2"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inicjatyw mających na celu popularyzację dobrych praktyk i doświadczeń w zakresie propagowania wśród pracodawców zasad społecznej odpowiedzialności biznesu oraz zarządzania wiekiem</w:t>
            </w:r>
          </w:p>
        </w:tc>
      </w:tr>
      <w:tr w:rsidR="003C25C5" w:rsidRPr="005911C6" w14:paraId="4FD27DB6" w14:textId="77777777" w:rsidTr="008C67C9">
        <w:trPr>
          <w:trHeight w:val="720"/>
        </w:trPr>
        <w:tc>
          <w:tcPr>
            <w:tcW w:w="1232" w:type="dxa"/>
            <w:vMerge/>
            <w:shd w:val="clear" w:color="auto" w:fill="FFFFFF" w:themeFill="background1"/>
          </w:tcPr>
          <w:p w14:paraId="17B1BE1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8D5DD1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F8F43F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62F7D0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C44DFD6" w14:textId="77777777" w:rsidR="003C25C5" w:rsidRPr="005911C6" w:rsidRDefault="0087749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Rozwoju i Technologii</w:t>
            </w:r>
          </w:p>
          <w:p w14:paraId="6D9906B8" w14:textId="77777777" w:rsidR="00877496" w:rsidRPr="005911C6" w:rsidRDefault="00877496" w:rsidP="005911C6">
            <w:pPr>
              <w:spacing w:after="0" w:line="240" w:lineRule="auto"/>
              <w:rPr>
                <w:rFonts w:ascii="Lato" w:hAnsi="Lato" w:cs="Times New Roman"/>
                <w:sz w:val="18"/>
                <w:szCs w:val="18"/>
              </w:rPr>
            </w:pPr>
            <w:r w:rsidRPr="005911C6">
              <w:rPr>
                <w:rFonts w:ascii="Lato" w:hAnsi="Lato" w:cs="Times New Roman"/>
                <w:sz w:val="18"/>
                <w:szCs w:val="18"/>
              </w:rPr>
              <w:t xml:space="preserve">W ramach stałych/cyklicznych działań  mających na celu promocję zasad społecznej odpowiedzialności biznesu również w kontekście zarządzania wiekiem </w:t>
            </w:r>
            <w:proofErr w:type="spellStart"/>
            <w:r w:rsidRPr="005911C6">
              <w:rPr>
                <w:rFonts w:ascii="Lato" w:hAnsi="Lato" w:cs="Times New Roman"/>
                <w:sz w:val="18"/>
                <w:szCs w:val="18"/>
              </w:rPr>
              <w:t>MRiT</w:t>
            </w:r>
            <w:proofErr w:type="spellEnd"/>
            <w:r w:rsidRPr="005911C6">
              <w:rPr>
                <w:rFonts w:ascii="Lato" w:hAnsi="Lato" w:cs="Times New Roman"/>
                <w:sz w:val="18"/>
                <w:szCs w:val="18"/>
              </w:rPr>
              <w:t xml:space="preserve"> realizuje:</w:t>
            </w:r>
          </w:p>
          <w:p w14:paraId="45048EC1" w14:textId="77777777" w:rsidR="00877496" w:rsidRPr="005911C6" w:rsidRDefault="00877496" w:rsidP="005911C6">
            <w:pPr>
              <w:pStyle w:val="Akapitzlist"/>
              <w:numPr>
                <w:ilvl w:val="0"/>
                <w:numId w:val="20"/>
              </w:numPr>
              <w:spacing w:after="0" w:line="240" w:lineRule="auto"/>
              <w:ind w:left="360"/>
              <w:rPr>
                <w:rFonts w:ascii="Lato" w:hAnsi="Lato" w:cs="Times New Roman"/>
                <w:sz w:val="18"/>
                <w:szCs w:val="18"/>
              </w:rPr>
            </w:pPr>
            <w:r w:rsidRPr="005911C6">
              <w:rPr>
                <w:rFonts w:ascii="Lato" w:hAnsi="Lato" w:cs="Times New Roman"/>
                <w:sz w:val="18"/>
                <w:szCs w:val="18"/>
              </w:rPr>
              <w:t>„Monitorowanie realizacji Celów Zrównoważonego Rozwoju w Polsce”: publikacja coroczna w zakresie sprawozdawczości i promocji działań podejmowanych przez interesariuszy, regiony i instytucje administracji rządowej zawierające zestaw inicjatyw  mających na celu walkę z wszelkimi formami dyskryminacji w kontekście społecznej odpowiedzialności biznesu oraz popularyzację dobrych praktyk w zakresie m.in. propagowania zasad społecznej odpowiedzialności biznesu oraz zarządzania wiekiem;</w:t>
            </w:r>
          </w:p>
          <w:p w14:paraId="14853566" w14:textId="77777777" w:rsidR="00877496" w:rsidRPr="005911C6" w:rsidRDefault="00877496" w:rsidP="005911C6">
            <w:pPr>
              <w:pStyle w:val="Akapitzlist"/>
              <w:numPr>
                <w:ilvl w:val="0"/>
                <w:numId w:val="20"/>
              </w:numPr>
              <w:spacing w:after="0" w:line="240" w:lineRule="auto"/>
              <w:ind w:left="360"/>
              <w:rPr>
                <w:rFonts w:ascii="Lato" w:hAnsi="Lato" w:cs="Times New Roman"/>
                <w:sz w:val="18"/>
                <w:szCs w:val="18"/>
              </w:rPr>
            </w:pPr>
            <w:r w:rsidRPr="005911C6">
              <w:rPr>
                <w:rFonts w:ascii="Lato" w:hAnsi="Lato" w:cs="Times New Roman"/>
                <w:sz w:val="18"/>
                <w:szCs w:val="18"/>
              </w:rPr>
              <w:t xml:space="preserve">przystąpienie do drugiego Dobrowolnego Narodowego Przeglądu z realizacji Agendy 2030 i celów zrównoważonego rozwoju, którego wynikiem był raport przyjęty przez Radę Ministrów 2 czerwca 2023 r., w którym wskazano na dobre praktyki i działania realizowane m.in. na rzecz osób starszych; </w:t>
            </w:r>
          </w:p>
          <w:p w14:paraId="47C44687" w14:textId="78EF6F13" w:rsidR="00877496" w:rsidRPr="005911C6" w:rsidRDefault="00877496" w:rsidP="005911C6">
            <w:pPr>
              <w:pStyle w:val="Akapitzlist"/>
              <w:numPr>
                <w:ilvl w:val="0"/>
                <w:numId w:val="20"/>
              </w:numPr>
              <w:spacing w:after="0" w:line="240" w:lineRule="auto"/>
              <w:ind w:left="360"/>
              <w:rPr>
                <w:rFonts w:ascii="Lato" w:hAnsi="Lato" w:cs="Times New Roman"/>
                <w:sz w:val="18"/>
                <w:szCs w:val="18"/>
              </w:rPr>
            </w:pPr>
            <w:r w:rsidRPr="005911C6">
              <w:rPr>
                <w:rFonts w:ascii="Lato" w:hAnsi="Lato" w:cs="Times New Roman"/>
                <w:sz w:val="18"/>
                <w:szCs w:val="18"/>
              </w:rPr>
              <w:t xml:space="preserve">kwartalna publikacja pt. „Newsletter SDG” zawierająca zestawienie działań interesariuszy, którzy przystąpili do </w:t>
            </w:r>
            <w:r w:rsidRPr="005911C6">
              <w:rPr>
                <w:rFonts w:ascii="Lato" w:hAnsi="Lato" w:cs="Times New Roman"/>
                <w:sz w:val="18"/>
                <w:szCs w:val="18"/>
              </w:rPr>
              <w:lastRenderedPageBreak/>
              <w:t>Partnerstwa na rzecz realizacji celów zrównoważonego rozwoju w Polsce, której celem jest promocja działań firm w zakresie m.in. propagowania zasad społecznej odpowiedzialności biznesu.</w:t>
            </w:r>
          </w:p>
        </w:tc>
      </w:tr>
      <w:tr w:rsidR="003C25C5" w:rsidRPr="005911C6" w14:paraId="6C916566" w14:textId="77777777" w:rsidTr="008C67C9">
        <w:trPr>
          <w:trHeight w:val="720"/>
        </w:trPr>
        <w:tc>
          <w:tcPr>
            <w:tcW w:w="1232" w:type="dxa"/>
            <w:vMerge/>
            <w:shd w:val="clear" w:color="auto" w:fill="FFFFFF" w:themeFill="background1"/>
          </w:tcPr>
          <w:p w14:paraId="592D92B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4619FD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Promowanie wśród pracodawców elastycznych form zatrudnienia</w:t>
            </w:r>
          </w:p>
        </w:tc>
        <w:tc>
          <w:tcPr>
            <w:tcW w:w="2032" w:type="dxa"/>
            <w:vMerge w:val="restart"/>
            <w:shd w:val="clear" w:color="auto" w:fill="FFFFFF" w:themeFill="background1"/>
          </w:tcPr>
          <w:p w14:paraId="703EBC0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tab/>
            </w:r>
          </w:p>
        </w:tc>
        <w:tc>
          <w:tcPr>
            <w:tcW w:w="1500" w:type="dxa"/>
            <w:vMerge w:val="restart"/>
            <w:shd w:val="clear" w:color="auto" w:fill="FFFFFF" w:themeFill="background1"/>
          </w:tcPr>
          <w:p w14:paraId="31C00ABF"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F690FD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mających na celu promowanie wśród pracodawców elastycznych form zatrudnienia</w:t>
            </w:r>
          </w:p>
        </w:tc>
      </w:tr>
      <w:tr w:rsidR="003C25C5" w:rsidRPr="005911C6" w14:paraId="6E2F47C2" w14:textId="77777777" w:rsidTr="008C67C9">
        <w:trPr>
          <w:trHeight w:val="720"/>
        </w:trPr>
        <w:tc>
          <w:tcPr>
            <w:tcW w:w="1232" w:type="dxa"/>
            <w:vMerge/>
            <w:shd w:val="clear" w:color="auto" w:fill="FFFFFF" w:themeFill="background1"/>
          </w:tcPr>
          <w:p w14:paraId="20EBE00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3FE74F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3DADED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EA371D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F5209A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9487A39" w14:textId="77777777" w:rsidR="003C25C5" w:rsidRPr="005911C6" w:rsidRDefault="003C25C5" w:rsidP="005911C6">
            <w:pPr>
              <w:spacing w:after="0" w:line="240" w:lineRule="auto"/>
              <w:rPr>
                <w:rFonts w:ascii="Lato" w:hAnsi="Lato" w:cs="Times New Roman"/>
                <w:sz w:val="18"/>
                <w:szCs w:val="18"/>
              </w:rPr>
            </w:pPr>
          </w:p>
          <w:p w14:paraId="3C85A59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90789A4" w14:textId="77777777" w:rsidTr="008C67C9">
        <w:trPr>
          <w:trHeight w:val="720"/>
        </w:trPr>
        <w:tc>
          <w:tcPr>
            <w:tcW w:w="1232" w:type="dxa"/>
            <w:vMerge/>
            <w:shd w:val="clear" w:color="auto" w:fill="FFFFFF" w:themeFill="background1"/>
          </w:tcPr>
          <w:p w14:paraId="26E0C18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76C5E9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Prowadzenie działań informacyjnych skierowanych do przedsiębiorców </w:t>
            </w:r>
            <w:r w:rsidRPr="005911C6">
              <w:rPr>
                <w:rFonts w:ascii="Lato" w:eastAsia="MS Mincho" w:hAnsi="Lato"/>
                <w:sz w:val="18"/>
                <w:szCs w:val="18"/>
              </w:rPr>
              <w:br/>
              <w:t xml:space="preserve">oraz podmiotów ekonomii społecznej </w:t>
            </w:r>
            <w:r w:rsidRPr="005911C6">
              <w:rPr>
                <w:rFonts w:ascii="Lato" w:eastAsia="MS Mincho" w:hAnsi="Lato"/>
                <w:sz w:val="18"/>
                <w:szCs w:val="18"/>
              </w:rPr>
              <w:br/>
              <w:t>i solidarnej z zakresu znajomości zasad srebrnej gospodarki</w:t>
            </w:r>
            <w:r w:rsidRPr="005911C6">
              <w:rPr>
                <w:rFonts w:ascii="Lato" w:hAnsi="Lato"/>
                <w:sz w:val="18"/>
                <w:szCs w:val="18"/>
              </w:rPr>
              <w:t xml:space="preserve"> </w:t>
            </w:r>
            <w:r w:rsidRPr="005911C6">
              <w:rPr>
                <w:rFonts w:ascii="Lato" w:eastAsia="MS Mincho" w:hAnsi="Lato"/>
                <w:sz w:val="18"/>
                <w:szCs w:val="18"/>
              </w:rPr>
              <w:t xml:space="preserve">oraz potrzeb i rozwiązań związanych z dostępnością stron internetowych i usług elektronicznych </w:t>
            </w:r>
            <w:r w:rsidRPr="005911C6">
              <w:rPr>
                <w:rFonts w:ascii="Lato" w:hAnsi="Lato"/>
                <w:sz w:val="18"/>
                <w:szCs w:val="18"/>
              </w:rPr>
              <w:t>dla osób starszych</w:t>
            </w:r>
          </w:p>
        </w:tc>
        <w:tc>
          <w:tcPr>
            <w:tcW w:w="2032" w:type="dxa"/>
            <w:vMerge w:val="restart"/>
            <w:shd w:val="clear" w:color="auto" w:fill="FFFFFF" w:themeFill="background1"/>
          </w:tcPr>
          <w:p w14:paraId="3375697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Rozwoju i Technologii, Minister Cyfryzacji</w:t>
            </w:r>
            <w:r w:rsidRPr="005911C6">
              <w:rPr>
                <w:rFonts w:ascii="Lato" w:eastAsia="MS Mincho" w:hAnsi="Lato"/>
                <w:sz w:val="18"/>
                <w:szCs w:val="18"/>
              </w:rPr>
              <w:tab/>
            </w:r>
          </w:p>
        </w:tc>
        <w:tc>
          <w:tcPr>
            <w:tcW w:w="1500" w:type="dxa"/>
            <w:vMerge w:val="restart"/>
            <w:shd w:val="clear" w:color="auto" w:fill="FFFFFF" w:themeFill="background1"/>
          </w:tcPr>
          <w:p w14:paraId="3A5C1DA6"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AEA4936"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informacyjnych skierowanych do przedsiębiorców z zakresu znajomości zasad srebrnej gospodarki</w:t>
            </w:r>
            <w:r w:rsidRPr="005911C6">
              <w:rPr>
                <w:rFonts w:ascii="Lato" w:hAnsi="Lato"/>
                <w:i/>
                <w:sz w:val="18"/>
                <w:szCs w:val="18"/>
              </w:rPr>
              <w:t xml:space="preserve"> </w:t>
            </w:r>
            <w:r w:rsidRPr="005911C6">
              <w:rPr>
                <w:rFonts w:ascii="Lato" w:eastAsia="MS Mincho" w:hAnsi="Lato"/>
                <w:i/>
                <w:sz w:val="18"/>
                <w:szCs w:val="18"/>
              </w:rPr>
              <w:t>oraz potrzeb i rozwiązań związanych z dostępnością stron internetowych i usług elektronicznych</w:t>
            </w:r>
          </w:p>
        </w:tc>
      </w:tr>
      <w:tr w:rsidR="003C25C5" w:rsidRPr="005911C6" w14:paraId="5F722CA1" w14:textId="77777777" w:rsidTr="008C67C9">
        <w:trPr>
          <w:trHeight w:val="720"/>
        </w:trPr>
        <w:tc>
          <w:tcPr>
            <w:tcW w:w="1232" w:type="dxa"/>
            <w:vMerge/>
            <w:shd w:val="clear" w:color="auto" w:fill="FFFFFF" w:themeFill="background1"/>
          </w:tcPr>
          <w:p w14:paraId="0138172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FDCB39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0E391B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558D15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B6416F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29D15D64" w14:textId="77777777" w:rsidR="003C25C5" w:rsidRPr="005911C6" w:rsidRDefault="003C25C5" w:rsidP="005911C6">
            <w:pPr>
              <w:spacing w:after="0" w:line="240" w:lineRule="auto"/>
              <w:rPr>
                <w:rFonts w:ascii="Lato" w:hAnsi="Lato" w:cs="Times New Roman"/>
                <w:sz w:val="18"/>
                <w:szCs w:val="18"/>
              </w:rPr>
            </w:pPr>
          </w:p>
          <w:p w14:paraId="5FF89B7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CF367B4" w14:textId="77777777" w:rsidTr="008C67C9">
        <w:trPr>
          <w:trHeight w:val="987"/>
        </w:trPr>
        <w:tc>
          <w:tcPr>
            <w:tcW w:w="1232" w:type="dxa"/>
            <w:vMerge/>
            <w:shd w:val="clear" w:color="auto" w:fill="FFFFFF" w:themeFill="background1"/>
          </w:tcPr>
          <w:p w14:paraId="3A26FFF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5379582" w14:textId="77777777" w:rsidR="003C25C5" w:rsidRPr="005911C6" w:rsidRDefault="003C25C5" w:rsidP="005911C6">
            <w:pPr>
              <w:suppressAutoHyphens/>
              <w:spacing w:after="0" w:line="240" w:lineRule="auto"/>
              <w:rPr>
                <w:rFonts w:ascii="Lato" w:hAnsi="Lato" w:cs="Times New Roman"/>
                <w:sz w:val="18"/>
                <w:szCs w:val="18"/>
              </w:rPr>
            </w:pPr>
            <w:r w:rsidRPr="005911C6">
              <w:rPr>
                <w:rFonts w:ascii="Lato" w:hAnsi="Lato" w:cs="Times New Roman"/>
                <w:sz w:val="18"/>
                <w:szCs w:val="18"/>
              </w:rPr>
              <w:t>Prowadzenie działań na rzecz promocji działalności gospodarczej w sektorze srebrnej gospodarki (w tym rozwój podmiotów ekonomii społecznej jako narzędzia aktywizacji społecznej i zawodowej osób starszych)</w:t>
            </w:r>
          </w:p>
        </w:tc>
        <w:tc>
          <w:tcPr>
            <w:tcW w:w="2032" w:type="dxa"/>
            <w:vMerge w:val="restart"/>
            <w:shd w:val="clear" w:color="auto" w:fill="FFFFFF" w:themeFill="background1"/>
          </w:tcPr>
          <w:p w14:paraId="406F54B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Rozwoju i Technologii,  Ministerstwo Rodziny i Polityki Społecznej, Komitet ds. Pożytku Publicznego</w:t>
            </w:r>
          </w:p>
        </w:tc>
        <w:tc>
          <w:tcPr>
            <w:tcW w:w="1500" w:type="dxa"/>
            <w:vMerge w:val="restart"/>
            <w:shd w:val="clear" w:color="auto" w:fill="FFFFFF" w:themeFill="background1"/>
          </w:tcPr>
          <w:p w14:paraId="0A121567"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2CBBBE0"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promujących podejmowanie działalności gospodarczej w sektorze srebrnej gospodarki</w:t>
            </w:r>
          </w:p>
        </w:tc>
      </w:tr>
      <w:tr w:rsidR="003C25C5" w:rsidRPr="005911C6" w14:paraId="6A81AF5B" w14:textId="77777777" w:rsidTr="008C67C9">
        <w:trPr>
          <w:trHeight w:val="720"/>
        </w:trPr>
        <w:tc>
          <w:tcPr>
            <w:tcW w:w="1232" w:type="dxa"/>
            <w:vMerge/>
            <w:shd w:val="clear" w:color="auto" w:fill="FFFFFF" w:themeFill="background1"/>
          </w:tcPr>
          <w:p w14:paraId="70DE2A7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60F514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4ACC53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31694F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45D943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50C86BB" w14:textId="77777777" w:rsidR="003C25C5" w:rsidRPr="005911C6" w:rsidRDefault="003C25C5" w:rsidP="005911C6">
            <w:pPr>
              <w:spacing w:after="0" w:line="240" w:lineRule="auto"/>
              <w:rPr>
                <w:rFonts w:ascii="Lato" w:hAnsi="Lato" w:cs="Times New Roman"/>
                <w:sz w:val="18"/>
                <w:szCs w:val="18"/>
              </w:rPr>
            </w:pPr>
          </w:p>
          <w:p w14:paraId="3C9991F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9B6C7D8" w14:textId="77777777" w:rsidTr="008C67C9">
        <w:trPr>
          <w:trHeight w:val="467"/>
        </w:trPr>
        <w:tc>
          <w:tcPr>
            <w:tcW w:w="1232" w:type="dxa"/>
            <w:vMerge/>
            <w:shd w:val="clear" w:color="auto" w:fill="FFFFFF" w:themeFill="background1"/>
          </w:tcPr>
          <w:p w14:paraId="0C31353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6D33BD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działań na rzecz promocji przedsiębiorczości osób starszych</w:t>
            </w:r>
          </w:p>
        </w:tc>
        <w:tc>
          <w:tcPr>
            <w:tcW w:w="2032" w:type="dxa"/>
            <w:vMerge w:val="restart"/>
            <w:shd w:val="clear" w:color="auto" w:fill="FFFFFF" w:themeFill="background1"/>
          </w:tcPr>
          <w:p w14:paraId="00AAD40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Rozwoju i Technologii,  Ministerstwo Rodziny i Polityki Społecznej</w:t>
            </w:r>
          </w:p>
        </w:tc>
        <w:tc>
          <w:tcPr>
            <w:tcW w:w="1500" w:type="dxa"/>
            <w:vMerge w:val="restart"/>
            <w:shd w:val="clear" w:color="auto" w:fill="FFFFFF" w:themeFill="background1"/>
          </w:tcPr>
          <w:p w14:paraId="3494401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366AC93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promujących przedsiębiorczość osób starszych</w:t>
            </w:r>
          </w:p>
        </w:tc>
      </w:tr>
      <w:tr w:rsidR="003C25C5" w:rsidRPr="005911C6" w14:paraId="27A7FF73" w14:textId="77777777" w:rsidTr="008C67C9">
        <w:trPr>
          <w:trHeight w:val="720"/>
        </w:trPr>
        <w:tc>
          <w:tcPr>
            <w:tcW w:w="1232" w:type="dxa"/>
            <w:vMerge/>
            <w:shd w:val="clear" w:color="auto" w:fill="FFFFFF" w:themeFill="background1"/>
          </w:tcPr>
          <w:p w14:paraId="341D7EB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A93E74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71BBD9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E4467C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5744542" w14:textId="77E853DB" w:rsidR="00877496" w:rsidRPr="005911C6" w:rsidRDefault="00877496"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Rozwoju i Technologii</w:t>
            </w:r>
          </w:p>
          <w:p w14:paraId="157E419E" w14:textId="58A5A33D" w:rsidR="003C25C5" w:rsidRPr="005911C6" w:rsidRDefault="00877496" w:rsidP="005911C6">
            <w:pPr>
              <w:spacing w:after="0" w:line="240" w:lineRule="auto"/>
              <w:rPr>
                <w:rFonts w:ascii="Lato" w:eastAsia="MS Mincho" w:hAnsi="Lato" w:cs="Times New Roman"/>
                <w:b/>
                <w:sz w:val="18"/>
                <w:szCs w:val="18"/>
                <w:u w:val="single"/>
              </w:rPr>
            </w:pPr>
            <w:r w:rsidRPr="005911C6">
              <w:rPr>
                <w:rFonts w:ascii="Lato" w:hAnsi="Lato" w:cs="Times New Roman"/>
                <w:sz w:val="18"/>
                <w:szCs w:val="18"/>
              </w:rPr>
              <w:t xml:space="preserve">Organizacja stoiska informacyjno-promocyjnego podczas targów </w:t>
            </w:r>
            <w:proofErr w:type="spellStart"/>
            <w:r w:rsidRPr="005911C6">
              <w:rPr>
                <w:rFonts w:ascii="Lato" w:hAnsi="Lato" w:cs="Times New Roman"/>
                <w:sz w:val="18"/>
                <w:szCs w:val="18"/>
              </w:rPr>
              <w:t>Viva</w:t>
            </w:r>
            <w:proofErr w:type="spellEnd"/>
            <w:r w:rsidRPr="005911C6">
              <w:rPr>
                <w:rFonts w:ascii="Lato" w:hAnsi="Lato" w:cs="Times New Roman"/>
                <w:sz w:val="18"/>
                <w:szCs w:val="18"/>
              </w:rPr>
              <w:t xml:space="preserve"> Seniorzy w Poznaniu oraz targów Dostępność Plus w Opolu oraz stymulowanie dyskusji z przedsiębiorcami oraz przedstawicielami społeczności senioralnej dot. aktywności zawodowej osób starszych, Dodatkowo podjęto działania na rzecz promocji zarządu sukcesyjnego, którego celem jest usprawnienie procesu przekazywania firmy następcom i kontynuowania tym samym działalności gospodarczej.</w:t>
            </w:r>
          </w:p>
        </w:tc>
      </w:tr>
      <w:tr w:rsidR="003C25C5" w:rsidRPr="005911C6" w14:paraId="1031CDDF" w14:textId="77777777" w:rsidTr="008C67C9">
        <w:trPr>
          <w:trHeight w:val="720"/>
        </w:trPr>
        <w:tc>
          <w:tcPr>
            <w:tcW w:w="1232" w:type="dxa"/>
            <w:vMerge w:val="restart"/>
            <w:shd w:val="clear" w:color="auto" w:fill="FFFFFF" w:themeFill="background1"/>
            <w:textDirection w:val="btLr"/>
          </w:tcPr>
          <w:p w14:paraId="72FFA954" w14:textId="77777777" w:rsidR="003C25C5" w:rsidRPr="005911C6" w:rsidRDefault="003C25C5" w:rsidP="005911C6">
            <w:pPr>
              <w:spacing w:after="0" w:line="240" w:lineRule="auto"/>
              <w:ind w:left="113" w:right="113"/>
              <w:jc w:val="center"/>
              <w:rPr>
                <w:rFonts w:ascii="Lato" w:hAnsi="Lato" w:cs="Times New Roman"/>
                <w:sz w:val="18"/>
                <w:szCs w:val="18"/>
              </w:rPr>
            </w:pPr>
            <w:r w:rsidRPr="005911C6">
              <w:rPr>
                <w:rFonts w:ascii="Lato" w:hAnsi="Lato" w:cs="Times New Roman"/>
                <w:sz w:val="18"/>
                <w:szCs w:val="18"/>
              </w:rPr>
              <w:lastRenderedPageBreak/>
              <w:t>Obszar IV</w:t>
            </w:r>
          </w:p>
        </w:tc>
        <w:tc>
          <w:tcPr>
            <w:tcW w:w="3594" w:type="dxa"/>
            <w:vMerge w:val="restart"/>
            <w:shd w:val="clear" w:color="auto" w:fill="FFFFFF" w:themeFill="background1"/>
          </w:tcPr>
          <w:p w14:paraId="550FF17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Upowszechnianie wiedzy na temat zdrowia, z uwzględnieniem zmian wynikających z procesu starzenia </w:t>
            </w:r>
            <w:r w:rsidRPr="005911C6">
              <w:rPr>
                <w:rFonts w:ascii="Lato" w:eastAsia="MS Mincho" w:hAnsi="Lato"/>
                <w:sz w:val="18"/>
                <w:szCs w:val="18"/>
              </w:rPr>
              <w:br/>
              <w:t>na wszystkich szczeblach edukacji</w:t>
            </w:r>
          </w:p>
        </w:tc>
        <w:tc>
          <w:tcPr>
            <w:tcW w:w="2032" w:type="dxa"/>
            <w:vMerge w:val="restart"/>
            <w:shd w:val="clear" w:color="auto" w:fill="FFFFFF" w:themeFill="background1"/>
          </w:tcPr>
          <w:p w14:paraId="5FAEC56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 Ministerstwo Zdrowia</w:t>
            </w:r>
          </w:p>
        </w:tc>
        <w:tc>
          <w:tcPr>
            <w:tcW w:w="1500" w:type="dxa"/>
            <w:vMerge w:val="restart"/>
            <w:shd w:val="clear" w:color="auto" w:fill="FFFFFF" w:themeFill="background1"/>
          </w:tcPr>
          <w:p w14:paraId="4ED71D10"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D82CE33"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Realizacja w podstawie programowej kwestii edukacji zdrowotnej</w:t>
            </w:r>
          </w:p>
          <w:p w14:paraId="0E2D36C6" w14:textId="77777777" w:rsidR="003C25C5" w:rsidRPr="005911C6" w:rsidRDefault="003C25C5" w:rsidP="005911C6">
            <w:pPr>
              <w:pStyle w:val="Kolorowalistaakcent11"/>
              <w:spacing w:after="0" w:line="240" w:lineRule="auto"/>
              <w:ind w:left="0"/>
              <w:rPr>
                <w:rFonts w:ascii="Lato" w:eastAsia="MS Mincho" w:hAnsi="Lato"/>
                <w:b/>
                <w:sz w:val="18"/>
                <w:szCs w:val="18"/>
              </w:rPr>
            </w:pPr>
            <w:r w:rsidRPr="005911C6">
              <w:rPr>
                <w:rFonts w:ascii="Lato" w:eastAsia="MS Mincho" w:hAnsi="Lato"/>
                <w:b/>
                <w:sz w:val="18"/>
                <w:szCs w:val="18"/>
              </w:rPr>
              <w:t xml:space="preserve">oraz </w:t>
            </w:r>
          </w:p>
          <w:p w14:paraId="779AFEE7"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mających na celu upowszechnianie wiedzy na temat zdrowia z uwzględnieniem zmian wynikających z procesu starzenia</w:t>
            </w:r>
          </w:p>
        </w:tc>
      </w:tr>
      <w:tr w:rsidR="003C25C5" w:rsidRPr="005911C6" w14:paraId="180AE38E" w14:textId="77777777" w:rsidTr="008C67C9">
        <w:trPr>
          <w:trHeight w:val="720"/>
        </w:trPr>
        <w:tc>
          <w:tcPr>
            <w:tcW w:w="1232" w:type="dxa"/>
            <w:vMerge/>
            <w:shd w:val="clear" w:color="auto" w:fill="FFFFFF" w:themeFill="background1"/>
          </w:tcPr>
          <w:p w14:paraId="61B3917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0E1726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3EFAFC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D36C8D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14075BE" w14:textId="4D2BA68A" w:rsidR="004E009D" w:rsidRPr="005911C6" w:rsidRDefault="004E009D" w:rsidP="005911C6">
            <w:pPr>
              <w:spacing w:after="0" w:line="240" w:lineRule="auto"/>
              <w:rPr>
                <w:rFonts w:ascii="Lato" w:hAnsi="Lato" w:cs="Times New Roman"/>
                <w:b/>
                <w:bCs/>
                <w:color w:val="2F5496" w:themeColor="accent1" w:themeShade="BF"/>
                <w:sz w:val="18"/>
                <w:szCs w:val="18"/>
              </w:rPr>
            </w:pPr>
            <w:bookmarkStart w:id="187" w:name="_Hlk140568091"/>
            <w:r w:rsidRPr="005911C6">
              <w:rPr>
                <w:rFonts w:ascii="Lato" w:hAnsi="Lato" w:cs="Times New Roman"/>
                <w:b/>
                <w:bCs/>
                <w:color w:val="2F5496" w:themeColor="accent1" w:themeShade="BF"/>
                <w:sz w:val="18"/>
                <w:szCs w:val="18"/>
              </w:rPr>
              <w:t xml:space="preserve">Ministerstwo Zdrowia </w:t>
            </w:r>
          </w:p>
          <w:bookmarkEnd w:id="187"/>
          <w:p w14:paraId="788607CC" w14:textId="77777777" w:rsidR="004E009D" w:rsidRPr="005911C6" w:rsidRDefault="004E009D" w:rsidP="005911C6">
            <w:pPr>
              <w:spacing w:after="0" w:line="240" w:lineRule="auto"/>
              <w:rPr>
                <w:rFonts w:ascii="Lato" w:hAnsi="Lato"/>
                <w:sz w:val="18"/>
                <w:szCs w:val="18"/>
                <w:u w:val="single"/>
              </w:rPr>
            </w:pPr>
            <w:r w:rsidRPr="005911C6">
              <w:rPr>
                <w:rFonts w:ascii="Lato" w:hAnsi="Lato"/>
                <w:sz w:val="18"/>
                <w:szCs w:val="18"/>
                <w:u w:val="single"/>
              </w:rPr>
              <w:t>Aktualnie kontynuuje się realizację niektórych projektów PO WER skierowanych pośrednio na wsparcie osób starszych poprzez wsparcie kadry ich obsługującej. Dotyczy to m. in. następujących typów projektów, które zostały rozpoczęte w 2016 r.:</w:t>
            </w:r>
          </w:p>
          <w:p w14:paraId="48E614D8" w14:textId="77777777" w:rsidR="004E009D" w:rsidRPr="005911C6" w:rsidRDefault="004E009D" w:rsidP="007335F8">
            <w:pPr>
              <w:pStyle w:val="Akapitzlist"/>
              <w:numPr>
                <w:ilvl w:val="0"/>
                <w:numId w:val="239"/>
              </w:numPr>
              <w:spacing w:after="0" w:line="240" w:lineRule="auto"/>
              <w:rPr>
                <w:rFonts w:ascii="Lato" w:hAnsi="Lato"/>
                <w:sz w:val="18"/>
                <w:szCs w:val="18"/>
                <w:u w:val="single"/>
              </w:rPr>
            </w:pPr>
            <w:r w:rsidRPr="005911C6">
              <w:rPr>
                <w:rFonts w:ascii="Lato" w:hAnsi="Lato"/>
                <w:sz w:val="18"/>
                <w:szCs w:val="18"/>
              </w:rPr>
              <w:t xml:space="preserve">Kształcenie podyplomowe pielęgniarek i położnych </w:t>
            </w:r>
            <w:r w:rsidRPr="005911C6">
              <w:rPr>
                <w:rFonts w:ascii="Lato" w:hAnsi="Lato"/>
                <w:sz w:val="18"/>
                <w:szCs w:val="18"/>
              </w:rPr>
              <w:br/>
              <w:t>w obszarach związanych z potrzebami epidemiologiczno-demograficznymi</w:t>
            </w:r>
          </w:p>
          <w:p w14:paraId="3DBA8680"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Przedmiotem projektów jest podniesienie kwalifikacji pielęgniarek i położnych z zakresu dziedzin będących najczęstszą przyczyną dezaktywizacji zawodowej z powodów zdrowotnych poprzez organizację kursów specjalistycznych </w:t>
            </w:r>
            <w:r w:rsidRPr="005911C6">
              <w:rPr>
                <w:rFonts w:ascii="Lato" w:hAnsi="Lato"/>
                <w:sz w:val="18"/>
                <w:szCs w:val="18"/>
              </w:rPr>
              <w:br/>
              <w:t xml:space="preserve">i kwalifikacyjnych. Skoncentrowanie działań ukierunkowanych na przygotowanie pielęgniarek i położnych do zachodzących zmian demograficznych </w:t>
            </w:r>
            <w:r w:rsidRPr="005911C6">
              <w:rPr>
                <w:rFonts w:ascii="Lato" w:hAnsi="Lato"/>
                <w:sz w:val="18"/>
                <w:szCs w:val="18"/>
              </w:rPr>
              <w:br/>
              <w:t xml:space="preserve">i epidemiologicznych wymaga wypracowania rozwiązań wspierających i rozwijających działania ułatwiające pielęgniarkom i położnym udział w różnych formach kształcenia podyplomowego. Projekty w konkursie przewidują wsparcie edukacyjne m. in. w dziedzinie pielęgniarstwa geriatrycznego, rehabilitacji osób z przewlekłymi zaburzeniami psychicznymi, pielęgniarstwa onkologicznego </w:t>
            </w:r>
            <w:r w:rsidRPr="005911C6">
              <w:rPr>
                <w:rFonts w:ascii="Lato" w:hAnsi="Lato"/>
                <w:sz w:val="18"/>
                <w:szCs w:val="18"/>
              </w:rPr>
              <w:br/>
              <w:t>i psychiatrycznego.</w:t>
            </w:r>
          </w:p>
          <w:p w14:paraId="37C6A2C9" w14:textId="77777777" w:rsidR="004E009D" w:rsidRPr="005911C6" w:rsidRDefault="004E009D" w:rsidP="007335F8">
            <w:pPr>
              <w:numPr>
                <w:ilvl w:val="0"/>
                <w:numId w:val="238"/>
              </w:numPr>
              <w:spacing w:after="0" w:line="240" w:lineRule="auto"/>
              <w:rPr>
                <w:rFonts w:ascii="Lato" w:hAnsi="Lato"/>
                <w:sz w:val="18"/>
                <w:szCs w:val="18"/>
              </w:rPr>
            </w:pPr>
            <w:r w:rsidRPr="005911C6">
              <w:rPr>
                <w:rFonts w:ascii="Lato" w:hAnsi="Lato"/>
                <w:sz w:val="18"/>
                <w:szCs w:val="18"/>
              </w:rPr>
              <w:t>Kształcenie specjalizacyjne lekarzy w dziedzinach istotnych z punktu widzenia potrzeb epidemiologiczno-demograficznych kraju</w:t>
            </w:r>
          </w:p>
          <w:p w14:paraId="5A5FBB08"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W ramach PO WER realizowany jest projekt pozakonkursowy pn.: </w:t>
            </w:r>
            <w:r w:rsidRPr="005911C6">
              <w:rPr>
                <w:rFonts w:ascii="Lato" w:hAnsi="Lato"/>
                <w:i/>
                <w:iCs/>
                <w:sz w:val="18"/>
                <w:szCs w:val="18"/>
              </w:rPr>
              <w:t xml:space="preserve">Rozwój kształcenia specjalizacyjnego lekarzy w dziedzinach istotnych z punktu widzenia potrzeb epidemiologiczno-demograficznych kraju. </w:t>
            </w:r>
            <w:r w:rsidRPr="005911C6">
              <w:rPr>
                <w:rFonts w:ascii="Lato" w:hAnsi="Lato"/>
                <w:sz w:val="18"/>
                <w:szCs w:val="18"/>
              </w:rPr>
              <w:t>Beneficjentem jest Centrum Medyczne Kształcenia Podyplomowego. Głównym celem projektu jest zwiększenie kwalifikacji zawodowych lekarzy poprzez wsparcie procesu kształcenia specjalizacyjnego w dziedzinach istotnych z punktu widzenia epidemiologiczno-demograficznego kraju, w tym m. in. specjalizacji z geriatrii, onkologii, medycyny ratunkowej.</w:t>
            </w:r>
          </w:p>
          <w:p w14:paraId="2596FCB9" w14:textId="77777777" w:rsidR="004E009D" w:rsidRPr="005911C6" w:rsidRDefault="004E009D" w:rsidP="007335F8">
            <w:pPr>
              <w:numPr>
                <w:ilvl w:val="0"/>
                <w:numId w:val="238"/>
              </w:numPr>
              <w:spacing w:after="0" w:line="240" w:lineRule="auto"/>
              <w:rPr>
                <w:rFonts w:ascii="Lato" w:hAnsi="Lato"/>
                <w:sz w:val="18"/>
                <w:szCs w:val="18"/>
              </w:rPr>
            </w:pPr>
            <w:r w:rsidRPr="005911C6">
              <w:rPr>
                <w:rFonts w:ascii="Lato" w:hAnsi="Lato"/>
                <w:sz w:val="18"/>
                <w:szCs w:val="18"/>
              </w:rPr>
              <w:lastRenderedPageBreak/>
              <w:t xml:space="preserve">Kształcenie podyplomowe lekarzy realizowane </w:t>
            </w:r>
            <w:r w:rsidRPr="005911C6">
              <w:rPr>
                <w:rFonts w:ascii="Lato" w:hAnsi="Lato"/>
                <w:sz w:val="18"/>
                <w:szCs w:val="18"/>
              </w:rPr>
              <w:br/>
              <w:t xml:space="preserve">w innych formach niż specjalizacje </w:t>
            </w:r>
            <w:r w:rsidRPr="005911C6">
              <w:rPr>
                <w:rFonts w:ascii="Lato" w:hAnsi="Lato"/>
                <w:sz w:val="18"/>
                <w:szCs w:val="18"/>
              </w:rPr>
              <w:br/>
              <w:t xml:space="preserve">w obszarach istotnych z punktu widzenia potrzeb epidemiologiczno-demograficznych kraju, </w:t>
            </w:r>
            <w:r w:rsidRPr="005911C6">
              <w:rPr>
                <w:rFonts w:ascii="Lato" w:hAnsi="Lato"/>
                <w:sz w:val="18"/>
                <w:szCs w:val="18"/>
              </w:rPr>
              <w:br/>
              <w:t xml:space="preserve">ze szczególnym uwzględnieniem lekarzy zatrudnionych (bez względu na formę zatrudnienia) </w:t>
            </w:r>
            <w:r w:rsidRPr="005911C6">
              <w:rPr>
                <w:rFonts w:ascii="Lato" w:hAnsi="Lato"/>
                <w:sz w:val="18"/>
                <w:szCs w:val="18"/>
              </w:rPr>
              <w:br/>
              <w:t>w placówkach podstawowej opieki zdrowotnej</w:t>
            </w:r>
          </w:p>
          <w:p w14:paraId="2C69FE61"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W ramach wsparcia z PO WER kształcenia podyplomowego lekarzy dofinansowane są kursy doskonalące, m.in. w zakresie geriatrii, onkologii, ratownictwa medycznego. Przedmiotowe wsparcie stanowi odpowiedź na wzrost zapotrzebowania na usługi medyczne wynikający m. in. z faktu starzenia się społeczeństwa i pojawiającej się niepełnosprawności. </w:t>
            </w:r>
          </w:p>
          <w:p w14:paraId="7950996A" w14:textId="77777777" w:rsidR="004E009D" w:rsidRPr="005911C6" w:rsidRDefault="004E009D" w:rsidP="005911C6">
            <w:pPr>
              <w:spacing w:after="0" w:line="240" w:lineRule="auto"/>
              <w:rPr>
                <w:rFonts w:ascii="Lato" w:hAnsi="Lato"/>
                <w:sz w:val="18"/>
                <w:szCs w:val="18"/>
              </w:rPr>
            </w:pPr>
          </w:p>
          <w:p w14:paraId="241A70F8" w14:textId="77777777" w:rsidR="004E009D" w:rsidRPr="005911C6" w:rsidRDefault="004E009D" w:rsidP="005911C6">
            <w:pPr>
              <w:spacing w:after="0" w:line="240" w:lineRule="auto"/>
              <w:rPr>
                <w:rFonts w:ascii="Lato" w:hAnsi="Lato"/>
                <w:sz w:val="18"/>
                <w:szCs w:val="18"/>
                <w:u w:val="single"/>
              </w:rPr>
            </w:pPr>
            <w:r w:rsidRPr="005911C6">
              <w:rPr>
                <w:rFonts w:ascii="Lato" w:hAnsi="Lato"/>
                <w:sz w:val="18"/>
                <w:szCs w:val="18"/>
                <w:u w:val="single"/>
              </w:rPr>
              <w:t>Szkolenia dla opiekunów medycznych</w:t>
            </w:r>
          </w:p>
          <w:p w14:paraId="70B63D2A" w14:textId="21DE17FD"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Ministerstwo Zdrowia w związku z pracami nad programowaniem działań w ramach REACT-EU, zgłosiło projekt szkoleń i kursów dla opiekunów medycznych. W dniu 8 września 2021 r. Komisja Europejska zatwierdziła ww. projekt, dodając nową oś VII „Wsparcie REACT-EU dla obszaru zdrowia” w ramach Programu Operacyjnego Wiedza Edukacja Rozwój 2014 - 2020. Projekt ma na celu podniesienie kompetencji zawodowych opiekunów medycznych i zakłada m.in. realizację kursów, w związku </w:t>
            </w:r>
            <w:r w:rsidRPr="005911C6">
              <w:rPr>
                <w:rFonts w:ascii="Lato" w:hAnsi="Lato"/>
                <w:sz w:val="18"/>
                <w:szCs w:val="18"/>
              </w:rPr>
              <w:br/>
              <w:t xml:space="preserve">z rozszerzeniem podstawy programowej zwiększającej kwalifikacje opiekunów medycznych. Realizacja ww. kursów rozpoczęła się w 2022 r. </w:t>
            </w:r>
          </w:p>
          <w:p w14:paraId="296C8F96" w14:textId="5B128647" w:rsidR="003C25C5" w:rsidRPr="005911C6" w:rsidRDefault="00380295"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Edukacji i Nauki</w:t>
            </w:r>
          </w:p>
          <w:p w14:paraId="3C39ACDD" w14:textId="77777777" w:rsidR="00380295" w:rsidRPr="005911C6" w:rsidRDefault="00380295" w:rsidP="005911C6">
            <w:pPr>
              <w:spacing w:after="0" w:line="240" w:lineRule="auto"/>
              <w:jc w:val="both"/>
              <w:rPr>
                <w:rFonts w:ascii="Lato" w:eastAsia="MS Mincho" w:hAnsi="Lato" w:cs="Times New Roman"/>
                <w:b/>
                <w:sz w:val="18"/>
                <w:szCs w:val="18"/>
              </w:rPr>
            </w:pPr>
            <w:r w:rsidRPr="005911C6">
              <w:rPr>
                <w:rFonts w:ascii="Lato" w:eastAsia="MS Mincho" w:hAnsi="Lato" w:cs="Times New Roman"/>
                <w:b/>
                <w:sz w:val="18"/>
                <w:szCs w:val="18"/>
              </w:rPr>
              <w:t>Upowszechnianie wiedzy na temat zdrowia w systemie oświaty</w:t>
            </w:r>
          </w:p>
          <w:p w14:paraId="0BA96A9D"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Edukacja zdrowotna jest jednym z priorytetowych obszarów nauczania odpowiednio mocno zaznaczonym w podstawie programowej i obowiązkowo realizowanym na każdym etapie edukacyjnym. Cele kształcenia i treści nauczania z zakresu edukacji zdrowotnej są zawarte w podstawie programowej wychowania przedszkolnego oraz przedmiotach takich, jak: wychowanie fizyczne, przyroda, biologia, chemia, edukacja dla bezpieczeństwa, wychowanie do życia w rodzinie.</w:t>
            </w:r>
          </w:p>
          <w:p w14:paraId="7D6BB1B8" w14:textId="77777777" w:rsidR="00380295" w:rsidRPr="005911C6" w:rsidRDefault="00380295" w:rsidP="005911C6">
            <w:pPr>
              <w:spacing w:after="0" w:line="240" w:lineRule="auto"/>
              <w:rPr>
                <w:rFonts w:ascii="Lato" w:hAnsi="Lato" w:cs="Times New Roman"/>
                <w:b/>
                <w:sz w:val="18"/>
                <w:szCs w:val="18"/>
              </w:rPr>
            </w:pPr>
            <w:r w:rsidRPr="005911C6">
              <w:rPr>
                <w:rFonts w:ascii="Lato" w:hAnsi="Lato" w:cs="Times New Roman"/>
                <w:b/>
                <w:sz w:val="18"/>
                <w:szCs w:val="18"/>
              </w:rPr>
              <w:t>Wychowanie przedszkolne</w:t>
            </w:r>
          </w:p>
          <w:p w14:paraId="278DD1E3"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Do zadań przedszkola należy tworzenie sytuacji sprzyjających rozwojowi u dzieci nawyków i </w:t>
            </w:r>
            <w:proofErr w:type="spellStart"/>
            <w:r w:rsidRPr="005911C6">
              <w:rPr>
                <w:rFonts w:ascii="Lato" w:hAnsi="Lato" w:cs="Times New Roman"/>
                <w:sz w:val="18"/>
                <w:szCs w:val="18"/>
              </w:rPr>
              <w:t>zachowań</w:t>
            </w:r>
            <w:proofErr w:type="spellEnd"/>
            <w:r w:rsidRPr="005911C6">
              <w:rPr>
                <w:rFonts w:ascii="Lato" w:hAnsi="Lato" w:cs="Times New Roman"/>
                <w:sz w:val="18"/>
                <w:szCs w:val="18"/>
              </w:rPr>
              <w:t xml:space="preserve"> prowadzących do samodzielności, dbania o zdrowie, sprawność ruchową i bezpieczeństwo oraz przygotowanie ich do rozumienia emocji, uczuć </w:t>
            </w:r>
            <w:r w:rsidRPr="005911C6">
              <w:rPr>
                <w:rFonts w:ascii="Lato" w:hAnsi="Lato" w:cs="Times New Roman"/>
                <w:sz w:val="18"/>
                <w:szCs w:val="18"/>
              </w:rPr>
              <w:lastRenderedPageBreak/>
              <w:t>własnych i innych ludzi oraz dbanie o zdrowie psychiczne. Dzieci poznają również podstawowe ćwiczenia kształtujące nawyk utrzymania prawidłowej postawy ciała.</w:t>
            </w:r>
          </w:p>
          <w:p w14:paraId="06B9B6A1"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b/>
                <w:sz w:val="18"/>
                <w:szCs w:val="18"/>
              </w:rPr>
              <w:t>I etap edukacyjny</w:t>
            </w:r>
            <w:r w:rsidRPr="005911C6">
              <w:rPr>
                <w:rFonts w:ascii="Lato" w:hAnsi="Lato" w:cs="Times New Roman"/>
                <w:sz w:val="18"/>
                <w:szCs w:val="18"/>
              </w:rPr>
              <w:t xml:space="preserve"> (klasy I-III szkoły podstawowej)</w:t>
            </w:r>
          </w:p>
          <w:p w14:paraId="1D9FE4B4"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Zakres edukacji zdrowotnej kładzie nacisk  na kształtowanie świadomości zdrowotnej w zakresie higieny, pielęgnacji ciała, odżywiania się i trybu życia.</w:t>
            </w:r>
          </w:p>
          <w:p w14:paraId="1A15994C"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Uczniowie m. in. : </w:t>
            </w:r>
          </w:p>
          <w:p w14:paraId="49A6AC2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poznają wartości odżywcze produktów żywnościowych, </w:t>
            </w:r>
          </w:p>
          <w:p w14:paraId="1A27798A"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dowiadują się, jakie znaczenie ma odpowiednia dieta dla utrzymania zdrowia oraz, że należy ograniczyć spożywanie posiłków o niskich wartościach odżywczych i zachować umiar w spożywaniu produktów słodzonych,</w:t>
            </w:r>
          </w:p>
          <w:p w14:paraId="776E520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uczą się przygotowywania posiłków służących utrzymaniu zdrowia.</w:t>
            </w:r>
          </w:p>
          <w:p w14:paraId="5E4E183B"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b/>
                <w:sz w:val="18"/>
                <w:szCs w:val="18"/>
              </w:rPr>
              <w:t>II etap edukacyjny</w:t>
            </w:r>
            <w:r w:rsidRPr="005911C6">
              <w:rPr>
                <w:rFonts w:ascii="Lato" w:hAnsi="Lato" w:cs="Times New Roman"/>
                <w:sz w:val="18"/>
                <w:szCs w:val="18"/>
              </w:rPr>
              <w:t xml:space="preserve"> (klasy IV-VIII szkoły podstawowej)</w:t>
            </w:r>
          </w:p>
          <w:p w14:paraId="75047E1A"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Uczniowie m.in. poznają:</w:t>
            </w:r>
          </w:p>
          <w:p w14:paraId="48669026"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szkodliwość używek i zbyt długiego korzystania z telefonów komórkowych,</w:t>
            </w:r>
          </w:p>
          <w:p w14:paraId="21B4E071"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oznaczenia substancji szkodliwych dla zdrowia: drażniących, trujących, żrących i wybuchowych, </w:t>
            </w:r>
          </w:p>
          <w:p w14:paraId="33131256"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zasady zdrowego stylu życia (w tym zdrowego odżywiania się),</w:t>
            </w:r>
          </w:p>
          <w:p w14:paraId="7DB34B6C"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elementy układu pokarmowego i ich funkcje (rodzaje zębów, przyczyny próchnicy i zasady profilaktyki, źródła i znaczenie składników pokarmowych - białka, cukry, tłuszcze, witaminy, sole mineralne i woda - dla prawidłowego funkcjonowania organizmu, ich występowanie w wybranych produktach spożywczych, miejsca trawienia i wchłaniania),  </w:t>
            </w:r>
          </w:p>
          <w:p w14:paraId="62617ACC" w14:textId="77777777" w:rsidR="00380295" w:rsidRPr="005911C6" w:rsidRDefault="00380295" w:rsidP="005911C6">
            <w:pPr>
              <w:spacing w:after="0" w:line="240" w:lineRule="auto"/>
              <w:ind w:left="323" w:hanging="284"/>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skutki niedoboru niektórych witamin (A, D, K, C, B6, B12) i składników mineralnych (Mg, Fe, Ca) w organizmie oraz skutki niewłaściwej suplementacji witamin i składników mineralnych,</w:t>
            </w:r>
          </w:p>
          <w:p w14:paraId="50B0DB05"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konieczność systematycznego spożywania owoców i warzyw,</w:t>
            </w:r>
          </w:p>
          <w:p w14:paraId="2BCF32C6"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potrzebę stosowania diety zróżnicowanej, dopasowanej do potrzeb organizmu (wiek, płeć, stan zdrowia, aktywność fizyczna itp.), </w:t>
            </w:r>
          </w:p>
          <w:p w14:paraId="46DB953E"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indeks masy ciała oraz konsekwencje zdrowotne niewłaściwego odżywiania (otyłość, nadwaga, anoreksja, bulimia, cukrzyca),</w:t>
            </w:r>
          </w:p>
          <w:p w14:paraId="70F95804"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przykłady chorób układu pokarmowego (WZW A, WZW B, WZW C, choroba wrzodowa żołądka i dwunastnicy, zatrucia pokarmowe, rak jelita grubego) oraz zasady ich profilaktyki,</w:t>
            </w:r>
          </w:p>
          <w:p w14:paraId="28B29242"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zasady higieny osobistej i czystości odzieży,</w:t>
            </w:r>
          </w:p>
          <w:p w14:paraId="65A1AABE"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lastRenderedPageBreak/>
              <w:t>-</w:t>
            </w:r>
            <w:r w:rsidRPr="005911C6">
              <w:rPr>
                <w:rFonts w:ascii="Lato" w:hAnsi="Lato" w:cs="Times New Roman"/>
                <w:sz w:val="18"/>
                <w:szCs w:val="18"/>
              </w:rPr>
              <w:tab/>
              <w:t>prawidłową postawę ciała w różnych sytuacjach,</w:t>
            </w:r>
          </w:p>
          <w:p w14:paraId="062020C8"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zasady i metody hartowania organizmu,</w:t>
            </w:r>
          </w:p>
          <w:p w14:paraId="19963F66"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sposoby ochrony przed nadmiernym nasłonecznieniem i niską temperaturą,</w:t>
            </w:r>
          </w:p>
          <w:p w14:paraId="340ADC0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sposoby redukowania nadmiernego stresu i radzenia sobie z nim w sposób konstruktywny,</w:t>
            </w:r>
          </w:p>
          <w:p w14:paraId="1FA71C2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rolę wypoczynku,</w:t>
            </w:r>
          </w:p>
          <w:p w14:paraId="68F005CB"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rodzaje ćwiczeń relaksacyjnych, wpływ stresu na zdrowie,</w:t>
            </w:r>
          </w:p>
          <w:p w14:paraId="5B1B1FBA"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podstawowe czynności resuscytacji krążeniowo-oddechowej,</w:t>
            </w:r>
          </w:p>
          <w:p w14:paraId="3A9CFA6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warunki środowiskowe i społeczne, które są korzystne dla zdrowia (ochrona środowiska przyrodniczego, wsparcie społeczne, komunikacja interpersonalna, współpraca osób, instytucji i organizacji na rzecz zdrowia),</w:t>
            </w:r>
          </w:p>
          <w:p w14:paraId="333E7D4F"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fazy psychofizycznego rozwoju człowieka w okresie prenatalnym i postnatalnym.</w:t>
            </w:r>
          </w:p>
          <w:p w14:paraId="7F5A1544"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b/>
                <w:sz w:val="18"/>
                <w:szCs w:val="18"/>
              </w:rPr>
              <w:t>Szkoły ponadpodstawowe</w:t>
            </w:r>
            <w:r w:rsidRPr="005911C6">
              <w:rPr>
                <w:rFonts w:ascii="Lato" w:hAnsi="Lato" w:cs="Times New Roman"/>
                <w:sz w:val="18"/>
                <w:szCs w:val="18"/>
              </w:rPr>
              <w:t xml:space="preserve"> (liceum ogólnokształcące, technikum)</w:t>
            </w:r>
          </w:p>
          <w:p w14:paraId="3DEEBC2D"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Uczniowie m.in. poznają:</w:t>
            </w:r>
          </w:p>
          <w:p w14:paraId="0AB5E88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związek budowy narządów z pełnioną przez nie funkcją, </w:t>
            </w:r>
          </w:p>
          <w:p w14:paraId="7FA68F9B"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mechanizmy warunkujące homeostazę (termoregulacja, osmoregulacja, stałość składu płynów ustrojowych, ciśnienie krwi, rytmy dobowe),</w:t>
            </w:r>
          </w:p>
          <w:p w14:paraId="33E0243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sposoby nabywania odporności swoistej (czynny i bierny),</w:t>
            </w:r>
          </w:p>
          <w:p w14:paraId="38DA5C60"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zaburzenia funkcjonowania układu odpornościowego (nadmierna i osłabiona odpowiedź immunologiczna), sytuacje wymagające immunosupresji (przeszczepy, alergie, choroby autoimmunologiczne), </w:t>
            </w:r>
          </w:p>
          <w:p w14:paraId="2C16952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wpływ czynników zewnętrznych na funkcjonowanie układu oddechowego (tlenek węgla, pyłowe zanieczyszczenie powietrza, dym tytoniowy, smog),</w:t>
            </w:r>
          </w:p>
          <w:p w14:paraId="796507E7"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znaczenie badań diagnostycznych w profilaktyce chorób układu oddechowego (RTG klatki piersiowej, spirometria, bronchoskopia),</w:t>
            </w:r>
          </w:p>
          <w:p w14:paraId="33ED2A18"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budowę i funkcje mózgu, rdzenia kręgowego i nerwów,</w:t>
            </w:r>
          </w:p>
          <w:p w14:paraId="5B5C68D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rolę autonomicznego układu nerwowego w utrzymaniu homeostazy,</w:t>
            </w:r>
          </w:p>
          <w:p w14:paraId="032E573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wpływ substancji psychoaktywnych na funkcjonowanie organizmu,</w:t>
            </w:r>
          </w:p>
          <w:p w14:paraId="23D3EC4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wybrane choroby układu nerwowego (depresja, choroba Alzheimera, choroba Parkinsona, schizofrenia) oraz znaczenie ich wczesnej diagnostyki dla ograniczenia społecznych skutków tych chorób,</w:t>
            </w:r>
          </w:p>
          <w:p w14:paraId="141B8AAE"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lastRenderedPageBreak/>
              <w:t>-</w:t>
            </w:r>
            <w:r w:rsidRPr="005911C6">
              <w:rPr>
                <w:rFonts w:ascii="Lato" w:hAnsi="Lato" w:cs="Times New Roman"/>
                <w:sz w:val="18"/>
                <w:szCs w:val="18"/>
              </w:rPr>
              <w:tab/>
              <w:t xml:space="preserve">wykazuje związek między stylem życia i chorobami układu krążenia (miażdżyca, zawał mięśnia sercowego, choroba wieńcowa serca, nadciśnienie tętnicze, żylaki); </w:t>
            </w:r>
          </w:p>
          <w:p w14:paraId="7FA3F280"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przedstawia znaczenie badań diagnostycznych w profilaktyce chorób krążenia; wyjaśnia wpływ odżywiania się (w tym suplementacji) i aktywności fizycznej na rozwój oraz stan kości i mięśni człowieka; </w:t>
            </w:r>
          </w:p>
          <w:p w14:paraId="4F9B08AB"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zagadnienia genetyczne,</w:t>
            </w:r>
          </w:p>
          <w:p w14:paraId="09A85ED1"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zasady racjonalnego żywienia,</w:t>
            </w:r>
          </w:p>
          <w:p w14:paraId="1B4A3179"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zaburzenia odżywiania (anoreksja, bulimia) i ich skutki zdrowotne,</w:t>
            </w:r>
          </w:p>
          <w:p w14:paraId="0858B59E"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przyczyny (w tym uwarunkowania genetyczne) otyłości oraz sposoby jej profilaktyki,</w:t>
            </w:r>
          </w:p>
          <w:p w14:paraId="4E3C2CE3"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wylicza oraz interpretuje wskaźnik masy ciała (BMI) na tle indywidualnych potrzeb i norm zdrowotnych dla kategorii wiekowej;</w:t>
            </w:r>
          </w:p>
          <w:p w14:paraId="7592ED08" w14:textId="77777777" w:rsidR="00380295" w:rsidRPr="005911C6" w:rsidRDefault="00380295" w:rsidP="005911C6">
            <w:pPr>
              <w:spacing w:after="0" w:line="240" w:lineRule="auto"/>
              <w:ind w:left="323" w:hanging="323"/>
              <w:rPr>
                <w:rFonts w:ascii="Lato" w:hAnsi="Lato" w:cs="Times New Roman"/>
                <w:sz w:val="18"/>
                <w:szCs w:val="18"/>
              </w:rPr>
            </w:pPr>
            <w:r w:rsidRPr="005911C6">
              <w:rPr>
                <w:rFonts w:ascii="Lato" w:hAnsi="Lato" w:cs="Times New Roman"/>
                <w:sz w:val="18"/>
                <w:szCs w:val="18"/>
              </w:rPr>
              <w:t>-</w:t>
            </w:r>
            <w:r w:rsidRPr="005911C6">
              <w:rPr>
                <w:rFonts w:ascii="Lato" w:hAnsi="Lato" w:cs="Times New Roman"/>
                <w:sz w:val="18"/>
                <w:szCs w:val="18"/>
              </w:rPr>
              <w:tab/>
              <w:t xml:space="preserve">znaczenie badań diagnostycznych (gastroskopia, </w:t>
            </w:r>
            <w:proofErr w:type="spellStart"/>
            <w:r w:rsidRPr="005911C6">
              <w:rPr>
                <w:rFonts w:ascii="Lato" w:hAnsi="Lato" w:cs="Times New Roman"/>
                <w:sz w:val="18"/>
                <w:szCs w:val="18"/>
              </w:rPr>
              <w:t>kolonoskopia</w:t>
            </w:r>
            <w:proofErr w:type="spellEnd"/>
            <w:r w:rsidRPr="005911C6">
              <w:rPr>
                <w:rFonts w:ascii="Lato" w:hAnsi="Lato" w:cs="Times New Roman"/>
                <w:sz w:val="18"/>
                <w:szCs w:val="18"/>
              </w:rPr>
              <w:t xml:space="preserve">, USG, próby wątrobowe, badania krwi i kału) w profilaktyce i leczeniu chorób układu pokarmowego, w tym raka żołądka, raka jelita grubego, zespołów złego wchłaniania, choroby </w:t>
            </w:r>
            <w:proofErr w:type="spellStart"/>
            <w:r w:rsidRPr="005911C6">
              <w:rPr>
                <w:rFonts w:ascii="Lato" w:hAnsi="Lato" w:cs="Times New Roman"/>
                <w:sz w:val="18"/>
                <w:szCs w:val="18"/>
              </w:rPr>
              <w:t>Crohna</w:t>
            </w:r>
            <w:proofErr w:type="spellEnd"/>
            <w:r w:rsidRPr="005911C6">
              <w:rPr>
                <w:rFonts w:ascii="Lato" w:hAnsi="Lato" w:cs="Times New Roman"/>
                <w:sz w:val="18"/>
                <w:szCs w:val="18"/>
              </w:rPr>
              <w:t>.</w:t>
            </w:r>
          </w:p>
          <w:p w14:paraId="209C53AE"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Zagadnienia dotyczące zdrowia są omawiane również na zajęciach z wychowawcą. Zgodnie bowiem z przepisami rozporządzenia w sprawie ramowych planów nauczania dla publicznych szkół tematyka dotycząca istotnych problemów społecznych, w tym również problemów zdrowotnych, powinna być  omawiana podczas zajęć z wychowawcą.  </w:t>
            </w:r>
          </w:p>
          <w:p w14:paraId="2842F2C9" w14:textId="77777777"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W realizacji wskazanych powyżej problemów podczas zajęć z wychowawcą mogą wziąć udział zaproszeni specjaliści w danej dziedzinie, wolontariusze, przedstawiciele stowarzyszeń i innych organizacji, których celem statutowym jest działalność wychowawcza lub rozszerzanie i wzbogacanie form działalności dydaktycznej, wychowawczej, opiekuńczej i innowacyjnej szkoły.</w:t>
            </w:r>
          </w:p>
          <w:p w14:paraId="2B68C1D1" w14:textId="77777777" w:rsidR="00380295" w:rsidRPr="005911C6" w:rsidRDefault="00380295" w:rsidP="005911C6">
            <w:pPr>
              <w:spacing w:after="0" w:line="240" w:lineRule="auto"/>
              <w:rPr>
                <w:rFonts w:ascii="Lato" w:hAnsi="Lato" w:cs="Times New Roman"/>
                <w:sz w:val="18"/>
                <w:szCs w:val="18"/>
              </w:rPr>
            </w:pPr>
          </w:p>
          <w:p w14:paraId="6CE03CA0" w14:textId="77777777" w:rsidR="00380295" w:rsidRPr="005911C6" w:rsidRDefault="00380295" w:rsidP="005911C6">
            <w:pPr>
              <w:spacing w:after="0" w:line="240" w:lineRule="auto"/>
              <w:rPr>
                <w:rFonts w:ascii="Lato" w:hAnsi="Lato" w:cs="Times New Roman"/>
                <w:b/>
                <w:sz w:val="18"/>
                <w:szCs w:val="18"/>
              </w:rPr>
            </w:pPr>
            <w:r w:rsidRPr="005911C6">
              <w:rPr>
                <w:rFonts w:ascii="Lato" w:hAnsi="Lato" w:cs="Times New Roman"/>
                <w:b/>
                <w:sz w:val="18"/>
                <w:szCs w:val="18"/>
              </w:rPr>
              <w:t>Upowszechnianie wiedzy na temat zdrowia w systemie szkolnictwa wyższego</w:t>
            </w:r>
          </w:p>
          <w:p w14:paraId="7AE7573E" w14:textId="26D81A92" w:rsidR="00380295" w:rsidRPr="005911C6" w:rsidRDefault="00380295" w:rsidP="005911C6">
            <w:pPr>
              <w:spacing w:after="0" w:line="240" w:lineRule="auto"/>
              <w:rPr>
                <w:rFonts w:ascii="Lato" w:hAnsi="Lato" w:cs="Times New Roman"/>
                <w:sz w:val="18"/>
                <w:szCs w:val="18"/>
              </w:rPr>
            </w:pPr>
            <w:r w:rsidRPr="005911C6">
              <w:rPr>
                <w:rFonts w:ascii="Lato" w:hAnsi="Lato" w:cs="Times New Roman"/>
                <w:sz w:val="18"/>
                <w:szCs w:val="18"/>
              </w:rPr>
              <w:t xml:space="preserve">Standardy kształcenia przygotowującego do wykonywania zawodu lekarza, farmaceuty, pielęgniarki i fizjoterapeuty określone rozporządzeniem Ministra Nauki i Szkolnictwa Wyższego z dnia 26 lipca 2019 r. w sprawie standardów kształcenia przygotowującego do wykonywania zawodu lekarza, lekarza dentysty, farmaceuty, pielęgniarki, położnej, diagnosty laboratoryjnego, fizjoterapeuty i </w:t>
            </w:r>
            <w:r w:rsidRPr="005911C6">
              <w:rPr>
                <w:rFonts w:ascii="Lato" w:hAnsi="Lato" w:cs="Times New Roman"/>
                <w:sz w:val="18"/>
                <w:szCs w:val="18"/>
              </w:rPr>
              <w:lastRenderedPageBreak/>
              <w:t>ratownika medycznego (Dz. U. z 2021 r. poz. 755, ze zm.) obejmują efekty uczenia się w zakresie procesu starzenia się oraz zasad oceny geriatrycznej i opieki interdyscyplinarnej w odniesieniu do pacjenta w podeszłym wieku.</w:t>
            </w:r>
          </w:p>
        </w:tc>
      </w:tr>
      <w:tr w:rsidR="003C25C5" w:rsidRPr="005911C6" w14:paraId="1737F93A" w14:textId="77777777" w:rsidTr="008C67C9">
        <w:trPr>
          <w:trHeight w:val="497"/>
        </w:trPr>
        <w:tc>
          <w:tcPr>
            <w:tcW w:w="1232" w:type="dxa"/>
            <w:vMerge/>
            <w:shd w:val="clear" w:color="auto" w:fill="FFFFFF" w:themeFill="background1"/>
          </w:tcPr>
          <w:p w14:paraId="74C8862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BCEFED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Podejmowanie działań edukacyjnych nakierowanych na utrzymanie zdrowia, zróżnicowane w zależności od wieku i stopnia sprawności</w:t>
            </w:r>
          </w:p>
        </w:tc>
        <w:tc>
          <w:tcPr>
            <w:tcW w:w="2032" w:type="dxa"/>
            <w:vMerge w:val="restart"/>
            <w:shd w:val="clear" w:color="auto" w:fill="FFFFFF" w:themeFill="background1"/>
          </w:tcPr>
          <w:p w14:paraId="5F12C64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 Ministerstwo Zdrowia</w:t>
            </w:r>
          </w:p>
        </w:tc>
        <w:tc>
          <w:tcPr>
            <w:tcW w:w="1500" w:type="dxa"/>
            <w:vMerge w:val="restart"/>
            <w:shd w:val="clear" w:color="auto" w:fill="FFFFFF" w:themeFill="background1"/>
          </w:tcPr>
          <w:p w14:paraId="6E4DABF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34CC286F"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Realizacja działań edukacyjnych nakierowanych na utrzymanie zdrowia</w:t>
            </w:r>
          </w:p>
        </w:tc>
      </w:tr>
      <w:tr w:rsidR="003C25C5" w:rsidRPr="005911C6" w14:paraId="7CA97317" w14:textId="77777777" w:rsidTr="008C67C9">
        <w:trPr>
          <w:trHeight w:val="720"/>
        </w:trPr>
        <w:tc>
          <w:tcPr>
            <w:tcW w:w="1232" w:type="dxa"/>
            <w:vMerge/>
            <w:shd w:val="clear" w:color="auto" w:fill="FFFFFF" w:themeFill="background1"/>
          </w:tcPr>
          <w:p w14:paraId="5960E3C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5106FD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29E62D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141C743"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A1E782C"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55664DD4" w14:textId="77777777" w:rsidR="004E009D" w:rsidRPr="005911C6" w:rsidRDefault="004E009D" w:rsidP="005911C6">
            <w:pPr>
              <w:spacing w:after="0" w:line="240" w:lineRule="auto"/>
              <w:rPr>
                <w:rFonts w:ascii="Lato" w:hAnsi="Lato"/>
                <w:sz w:val="18"/>
                <w:szCs w:val="18"/>
              </w:rPr>
            </w:pPr>
            <w:r w:rsidRPr="005911C6">
              <w:rPr>
                <w:rFonts w:ascii="Lato" w:eastAsia="MS Mincho" w:hAnsi="Lato" w:cs="Times New Roman"/>
                <w:sz w:val="18"/>
                <w:szCs w:val="18"/>
              </w:rPr>
              <w:t xml:space="preserve">Publikowanie informacji i postów edukacyjnych udostępnianych na stronach: gov.pl, NFZ, pacjent.gov.pl, realizacja kampanii </w:t>
            </w:r>
            <w:proofErr w:type="spellStart"/>
            <w:r w:rsidRPr="005911C6">
              <w:rPr>
                <w:rFonts w:ascii="Lato" w:eastAsia="MS Mincho" w:hAnsi="Lato" w:cs="Times New Roman"/>
                <w:sz w:val="18"/>
                <w:szCs w:val="18"/>
              </w:rPr>
              <w:t>edukacyjno</w:t>
            </w:r>
            <w:proofErr w:type="spellEnd"/>
            <w:r w:rsidRPr="005911C6">
              <w:rPr>
                <w:rFonts w:ascii="Lato" w:eastAsia="MS Mincho" w:hAnsi="Lato" w:cs="Times New Roman"/>
                <w:sz w:val="18"/>
                <w:szCs w:val="18"/>
              </w:rPr>
              <w:t xml:space="preserve"> – informacyjnej dot. zaburzeń otępiennych „Zostań dłużej na scenie życia” (zostazdluzej.pl) i promowanie badań w ramach programu „Profilaktyka 40+. </w:t>
            </w:r>
          </w:p>
          <w:p w14:paraId="50C4B2FA" w14:textId="77777777" w:rsidR="004E009D" w:rsidRPr="005911C6" w:rsidRDefault="004E009D" w:rsidP="005911C6">
            <w:pPr>
              <w:spacing w:after="0" w:line="240" w:lineRule="auto"/>
              <w:rPr>
                <w:rFonts w:ascii="Lato" w:eastAsia="MS Mincho" w:hAnsi="Lato" w:cs="Times New Roman"/>
                <w:color w:val="FF0000"/>
                <w:sz w:val="18"/>
                <w:szCs w:val="18"/>
              </w:rPr>
            </w:pPr>
          </w:p>
          <w:p w14:paraId="25130F6B" w14:textId="77777777" w:rsidR="004E009D" w:rsidRPr="005911C6" w:rsidRDefault="004E009D"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2022r. Narodowy Fundusz Zdrowia prowadził cykliczną akcję „Środa z Profilaktyką” prezentując zainteresowanym informacje na temat:</w:t>
            </w:r>
          </w:p>
          <w:p w14:paraId="6743333E" w14:textId="77777777" w:rsidR="004E009D" w:rsidRPr="005911C6" w:rsidRDefault="004E009D" w:rsidP="007335F8">
            <w:pPr>
              <w:pStyle w:val="Akapitzlist"/>
              <w:numPr>
                <w:ilvl w:val="0"/>
                <w:numId w:val="240"/>
              </w:numPr>
              <w:spacing w:after="0" w:line="240" w:lineRule="auto"/>
              <w:rPr>
                <w:rFonts w:ascii="Lato" w:hAnsi="Lato"/>
                <w:sz w:val="18"/>
                <w:szCs w:val="18"/>
              </w:rPr>
            </w:pPr>
            <w:r w:rsidRPr="005911C6">
              <w:rPr>
                <w:rFonts w:ascii="Lato" w:hAnsi="Lato"/>
                <w:sz w:val="18"/>
                <w:szCs w:val="18"/>
              </w:rPr>
              <w:t>profilaktyki w różnych aspektach życia,</w:t>
            </w:r>
          </w:p>
          <w:p w14:paraId="1811B448" w14:textId="77777777" w:rsidR="004E009D" w:rsidRPr="005911C6" w:rsidRDefault="004E009D" w:rsidP="007335F8">
            <w:pPr>
              <w:pStyle w:val="Akapitzlist"/>
              <w:numPr>
                <w:ilvl w:val="0"/>
                <w:numId w:val="240"/>
              </w:numPr>
              <w:spacing w:after="0" w:line="240" w:lineRule="auto"/>
              <w:rPr>
                <w:rFonts w:ascii="Lato" w:hAnsi="Lato"/>
                <w:sz w:val="18"/>
                <w:szCs w:val="18"/>
              </w:rPr>
            </w:pPr>
            <w:r w:rsidRPr="005911C6">
              <w:rPr>
                <w:rFonts w:ascii="Lato" w:hAnsi="Lato"/>
                <w:sz w:val="18"/>
                <w:szCs w:val="18"/>
              </w:rPr>
              <w:t>propozycje badań profilaktycznych,</w:t>
            </w:r>
          </w:p>
          <w:p w14:paraId="7A3DF110" w14:textId="77777777" w:rsidR="004E009D" w:rsidRPr="005911C6" w:rsidRDefault="004E009D" w:rsidP="007335F8">
            <w:pPr>
              <w:pStyle w:val="Akapitzlist"/>
              <w:numPr>
                <w:ilvl w:val="0"/>
                <w:numId w:val="240"/>
              </w:numPr>
              <w:spacing w:after="0" w:line="240" w:lineRule="auto"/>
              <w:rPr>
                <w:rFonts w:ascii="Lato" w:hAnsi="Lato"/>
                <w:sz w:val="18"/>
                <w:szCs w:val="18"/>
              </w:rPr>
            </w:pPr>
            <w:r w:rsidRPr="005911C6">
              <w:rPr>
                <w:rFonts w:ascii="Lato" w:hAnsi="Lato"/>
                <w:sz w:val="18"/>
                <w:szCs w:val="18"/>
              </w:rPr>
              <w:t>akcje profilaktyczne z ekspertami w salach obsługi klientów w oddziałach wojewódzkich NFZ.</w:t>
            </w:r>
          </w:p>
          <w:p w14:paraId="3555FAE2" w14:textId="77777777" w:rsidR="004E009D" w:rsidRPr="005911C6" w:rsidRDefault="004E009D" w:rsidP="005911C6">
            <w:pPr>
              <w:spacing w:after="0" w:line="240" w:lineRule="auto"/>
              <w:rPr>
                <w:rFonts w:ascii="Lato" w:eastAsia="MS Mincho" w:hAnsi="Lato" w:cs="Times New Roman"/>
                <w:color w:val="FF0000"/>
                <w:sz w:val="18"/>
                <w:szCs w:val="18"/>
              </w:rPr>
            </w:pPr>
          </w:p>
          <w:p w14:paraId="3E86848C" w14:textId="77777777" w:rsidR="004E009D" w:rsidRPr="005911C6" w:rsidRDefault="004E009D" w:rsidP="005911C6">
            <w:pPr>
              <w:spacing w:after="0" w:line="240" w:lineRule="auto"/>
              <w:rPr>
                <w:rFonts w:ascii="Lato" w:eastAsia="MS Mincho" w:hAnsi="Lato" w:cs="Times New Roman"/>
                <w:color w:val="00000A"/>
                <w:sz w:val="18"/>
                <w:szCs w:val="18"/>
              </w:rPr>
            </w:pPr>
            <w:r w:rsidRPr="005911C6">
              <w:rPr>
                <w:rFonts w:ascii="Lato" w:eastAsia="MS Mincho" w:hAnsi="Lato" w:cs="Times New Roman"/>
                <w:sz w:val="18"/>
                <w:szCs w:val="18"/>
              </w:rPr>
              <w:t xml:space="preserve">Przeprowadzenie w </w:t>
            </w:r>
            <w:proofErr w:type="spellStart"/>
            <w:r w:rsidRPr="005911C6">
              <w:rPr>
                <w:rFonts w:ascii="Lato" w:eastAsia="MS Mincho" w:hAnsi="Lato" w:cs="Times New Roman"/>
                <w:sz w:val="18"/>
                <w:szCs w:val="18"/>
              </w:rPr>
              <w:t>NIGRiR</w:t>
            </w:r>
            <w:proofErr w:type="spellEnd"/>
            <w:r w:rsidRPr="005911C6">
              <w:rPr>
                <w:rFonts w:ascii="Lato" w:eastAsia="MS Mincho" w:hAnsi="Lato" w:cs="Times New Roman"/>
                <w:sz w:val="18"/>
                <w:szCs w:val="18"/>
              </w:rPr>
              <w:t xml:space="preserve"> 200 konsultacji dietetycznych u osób w starszym wieku z zaburzeniami odżywiania – niedożywienie lub przeżywienie -lub z wysokim ryzykiem tych zaburzeń. Udzielono blisko 300 porad w zakresie prawidłowego żywienia, zgodnie z indywidualnymi zaleceniami dietetycznymi oraz w zakresie rekomendowanych form aktywności fizycznej. </w:t>
            </w:r>
          </w:p>
          <w:p w14:paraId="7AFEB26A" w14:textId="31371A13" w:rsidR="004E009D" w:rsidRPr="005911C6" w:rsidRDefault="004E009D"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Wobec 682 pacjentów Kliniki Geriatrii prowadzono działania edukacyjne dot. profilaktyki upadków w ramach wewnętrznego Programu Zapobiegania Upadkom (ocena ryzyka upadków, kształtowanie </w:t>
            </w:r>
            <w:proofErr w:type="spellStart"/>
            <w:r w:rsidRPr="005911C6">
              <w:rPr>
                <w:rFonts w:ascii="Lato" w:eastAsia="MS Mincho" w:hAnsi="Lato" w:cs="Times New Roman"/>
                <w:sz w:val="18"/>
                <w:szCs w:val="18"/>
              </w:rPr>
              <w:t>zachowań</w:t>
            </w:r>
            <w:proofErr w:type="spellEnd"/>
            <w:r w:rsidRPr="005911C6">
              <w:rPr>
                <w:rFonts w:ascii="Lato" w:eastAsia="MS Mincho" w:hAnsi="Lato" w:cs="Times New Roman"/>
                <w:sz w:val="18"/>
                <w:szCs w:val="18"/>
              </w:rPr>
              <w:t xml:space="preserve"> przeciwdziałających upadkom, nauka podnoszenia się z upadku i wezwania pomocy)</w:t>
            </w:r>
          </w:p>
          <w:p w14:paraId="56046C6E" w14:textId="69444457" w:rsidR="003C25C5"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78E7A977" w14:textId="77777777" w:rsidR="00486664" w:rsidRPr="005911C6" w:rsidRDefault="00486664" w:rsidP="005911C6">
            <w:pPr>
              <w:spacing w:after="0" w:line="240" w:lineRule="auto"/>
              <w:rPr>
                <w:rFonts w:ascii="Lato" w:hAnsi="Lato" w:cs="Times New Roman"/>
                <w:sz w:val="18"/>
                <w:szCs w:val="18"/>
              </w:rPr>
            </w:pPr>
            <w:r w:rsidRPr="005911C6">
              <w:rPr>
                <w:rFonts w:ascii="Lato" w:hAnsi="Lato" w:cs="Times New Roman"/>
                <w:sz w:val="18"/>
                <w:szCs w:val="18"/>
              </w:rPr>
              <w:t>W ramach działań prozdrowotnych dzieci i młodzieży realizowany jest Program Szkoła i Przedszkole Promujące Zdrowie, który zawiera szerokie działania dotyczące promocji zdrowia fizycznego, psychicznego i relacji społecznych.</w:t>
            </w:r>
          </w:p>
          <w:p w14:paraId="6A5D39E8" w14:textId="77777777" w:rsidR="00486664" w:rsidRPr="005911C6" w:rsidRDefault="00486664" w:rsidP="005911C6">
            <w:pPr>
              <w:spacing w:after="0" w:line="240" w:lineRule="auto"/>
              <w:rPr>
                <w:rFonts w:ascii="Lato" w:hAnsi="Lato" w:cs="Times New Roman"/>
                <w:sz w:val="18"/>
                <w:szCs w:val="18"/>
              </w:rPr>
            </w:pPr>
            <w:r w:rsidRPr="005911C6">
              <w:rPr>
                <w:rFonts w:ascii="Lato" w:hAnsi="Lato" w:cs="Times New Roman"/>
                <w:sz w:val="18"/>
                <w:szCs w:val="18"/>
              </w:rPr>
              <w:t xml:space="preserve">Od ponad 30 lat Program systematycznie i planowo tworzy środowisko społeczne i fizyczne sprzyjające zdrowiu i dobremu samopoczuciu całej społeczności szkolnej, a od 2018 r. także i przedszkolnej. Ponadto realizacja programu wspiera nie tylko rozwój </w:t>
            </w:r>
            <w:r w:rsidRPr="005911C6">
              <w:rPr>
                <w:rFonts w:ascii="Lato" w:hAnsi="Lato" w:cs="Times New Roman"/>
                <w:sz w:val="18"/>
                <w:szCs w:val="18"/>
              </w:rPr>
              <w:lastRenderedPageBreak/>
              <w:t>kompetencji dzieci i młodzieży, ale także pracowników i rodziców w zakresie dbałości o zdrowie przez całe życie. Sieć szkół i przedszkoli ukierunkowuje zainteresowane osoby na utrzymanie dobrostanu zdrowotnego. Działalność ta dopasowana jest do wieku i stopnia sprawności odbiorców. Minister Edukacji i Nauki nadzoruje system certyfikacji szkół i placówek będących  w sieci szkół i przedszkoli promujących zdrowie. Upowszechnianie koncepcji szkół i przedszkoli promujących zdrowie zostało wymienione wśród zadań koordynacyjnych w Narodowym Programie Zdrowia na lata 2021-2025. Program w swoich działaniach koncentruje się na propagowaniu zdrowego stylu życia, tworzy warunki (fizyczne i społeczne) sprzyjające ochronie zdrowia oraz umożliwia aktywne uczestnictwo społeczności szkolnej w działaniach na rzecz zdrowia. Warunki oraz organizacja nauki i pracy ma na celu sprzyjać zdrowiu i dobremu samopoczuciu uczniów, nauczycieli i innych pracowników szkoły oraz współpracy z rodzicami.</w:t>
            </w:r>
          </w:p>
          <w:p w14:paraId="11797C7D" w14:textId="158366E7" w:rsidR="00486664" w:rsidRPr="005911C6" w:rsidRDefault="00486664" w:rsidP="005911C6">
            <w:pPr>
              <w:spacing w:after="0" w:line="240" w:lineRule="auto"/>
              <w:rPr>
                <w:rFonts w:ascii="Lato" w:eastAsia="MS Mincho" w:hAnsi="Lato" w:cs="Times New Roman"/>
                <w:b/>
                <w:sz w:val="18"/>
                <w:szCs w:val="18"/>
              </w:rPr>
            </w:pPr>
            <w:r w:rsidRPr="005911C6">
              <w:rPr>
                <w:rFonts w:ascii="Lato" w:hAnsi="Lato" w:cs="Times New Roman"/>
                <w:sz w:val="18"/>
                <w:szCs w:val="18"/>
              </w:rPr>
              <w:t>Dyrektorom szkół i nauczycielom zapewniono możliwość korzystania z materiałów edukacyjnych, opracowanych przez Ośrodek Rozwoju Edukacji (ORE).  Na stronie internetowej ORE utworzono Bank Dobrych Praktyk, w którym zamieszczane są doświadczenia szkół w zakresie promocji zdrowia oraz konkretne przykłady działań, stanowiących inspirację oraz wsparcie dla wszystkich zainteresowanych placówek w podejmowaniu systemowych działań w zakresie zdrowego odżywiania oraz zwiększania aktywności fizycznej.</w:t>
            </w:r>
          </w:p>
        </w:tc>
      </w:tr>
      <w:tr w:rsidR="003C25C5" w:rsidRPr="005911C6" w14:paraId="54FB1716" w14:textId="77777777" w:rsidTr="008C67C9">
        <w:trPr>
          <w:trHeight w:val="556"/>
        </w:trPr>
        <w:tc>
          <w:tcPr>
            <w:tcW w:w="1232" w:type="dxa"/>
            <w:vMerge/>
            <w:shd w:val="clear" w:color="auto" w:fill="FFFFFF" w:themeFill="background1"/>
          </w:tcPr>
          <w:p w14:paraId="0BB1359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8619BA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Realizacja programów promocji zdrowia informujących o czynnikach ryzyka zdrowotnego i zachęcających </w:t>
            </w:r>
            <w:r w:rsidRPr="005911C6">
              <w:rPr>
                <w:rFonts w:ascii="Lato" w:eastAsia="MS Mincho" w:hAnsi="Lato"/>
                <w:sz w:val="18"/>
                <w:szCs w:val="18"/>
              </w:rPr>
              <w:br/>
              <w:t xml:space="preserve">do podejmowania </w:t>
            </w:r>
            <w:proofErr w:type="spellStart"/>
            <w:r w:rsidRPr="005911C6">
              <w:rPr>
                <w:rFonts w:ascii="Lato" w:eastAsia="MS Mincho" w:hAnsi="Lato"/>
                <w:sz w:val="18"/>
                <w:szCs w:val="18"/>
              </w:rPr>
              <w:t>zachowań</w:t>
            </w:r>
            <w:proofErr w:type="spellEnd"/>
            <w:r w:rsidRPr="005911C6">
              <w:rPr>
                <w:rFonts w:ascii="Lato" w:eastAsia="MS Mincho" w:hAnsi="Lato"/>
                <w:sz w:val="18"/>
                <w:szCs w:val="18"/>
              </w:rPr>
              <w:t xml:space="preserve"> sprzyjających utrzymaniu i poprawie zdrowia</w:t>
            </w:r>
          </w:p>
        </w:tc>
        <w:tc>
          <w:tcPr>
            <w:tcW w:w="2032" w:type="dxa"/>
            <w:vMerge w:val="restart"/>
            <w:shd w:val="clear" w:color="auto" w:fill="FFFFFF" w:themeFill="background1"/>
          </w:tcPr>
          <w:p w14:paraId="439C24B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58384C6D"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02D8DF4C"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zrealizowanych programów promocji zdrowia informujących o czynnikach ryzyka zdrowotnego i zachęcających do podejmowania </w:t>
            </w:r>
            <w:proofErr w:type="spellStart"/>
            <w:r w:rsidRPr="005911C6">
              <w:rPr>
                <w:rFonts w:ascii="Lato" w:eastAsia="MS Mincho" w:hAnsi="Lato"/>
                <w:i/>
                <w:sz w:val="18"/>
                <w:szCs w:val="18"/>
              </w:rPr>
              <w:t>zachowań</w:t>
            </w:r>
            <w:proofErr w:type="spellEnd"/>
            <w:r w:rsidRPr="005911C6">
              <w:rPr>
                <w:rFonts w:ascii="Lato" w:eastAsia="MS Mincho" w:hAnsi="Lato"/>
                <w:i/>
                <w:sz w:val="18"/>
                <w:szCs w:val="18"/>
              </w:rPr>
              <w:t xml:space="preserve"> sprzyjających utrzymaniu i poprawie zdrowia.</w:t>
            </w:r>
          </w:p>
        </w:tc>
      </w:tr>
      <w:tr w:rsidR="003C25C5" w:rsidRPr="005911C6" w14:paraId="431D8DF2" w14:textId="77777777" w:rsidTr="008C67C9">
        <w:trPr>
          <w:trHeight w:val="720"/>
        </w:trPr>
        <w:tc>
          <w:tcPr>
            <w:tcW w:w="1232" w:type="dxa"/>
            <w:vMerge/>
            <w:shd w:val="clear" w:color="auto" w:fill="FFFFFF" w:themeFill="background1"/>
          </w:tcPr>
          <w:p w14:paraId="3FB194D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AA7D18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31DDE3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BE2CA5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1AB62D7"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25F0206D" w14:textId="77777777" w:rsidR="004E009D" w:rsidRPr="005911C6" w:rsidRDefault="004E009D" w:rsidP="005911C6">
            <w:pPr>
              <w:spacing w:after="0" w:line="240" w:lineRule="auto"/>
              <w:rPr>
                <w:rFonts w:ascii="Lato" w:hAnsi="Lato"/>
                <w:color w:val="000000" w:themeColor="text1"/>
                <w:sz w:val="18"/>
                <w:szCs w:val="18"/>
              </w:rPr>
            </w:pPr>
            <w:r w:rsidRPr="005911C6">
              <w:rPr>
                <w:rFonts w:ascii="Lato" w:hAnsi="Lato"/>
                <w:color w:val="000000" w:themeColor="text1"/>
                <w:sz w:val="18"/>
                <w:szCs w:val="18"/>
              </w:rPr>
              <w:t xml:space="preserve">W celu dotarcia do licznych i zróżnicowanych odbiorców, kampania społeczna „Planuję długie życie” realizowana jest </w:t>
            </w:r>
            <w:r w:rsidRPr="005911C6">
              <w:rPr>
                <w:rFonts w:ascii="Lato" w:hAnsi="Lato"/>
                <w:color w:val="000000" w:themeColor="text1"/>
                <w:sz w:val="18"/>
                <w:szCs w:val="18"/>
              </w:rPr>
              <w:br/>
              <w:t xml:space="preserve">w oparciu o telewizję, radio, prasę, </w:t>
            </w:r>
            <w:proofErr w:type="spellStart"/>
            <w:r w:rsidRPr="005911C6">
              <w:rPr>
                <w:rFonts w:ascii="Lato" w:hAnsi="Lato"/>
                <w:color w:val="000000" w:themeColor="text1"/>
                <w:sz w:val="18"/>
                <w:szCs w:val="18"/>
              </w:rPr>
              <w:t>internet</w:t>
            </w:r>
            <w:proofErr w:type="spellEnd"/>
            <w:r w:rsidRPr="005911C6">
              <w:rPr>
                <w:rFonts w:ascii="Lato" w:hAnsi="Lato"/>
                <w:color w:val="000000" w:themeColor="text1"/>
                <w:sz w:val="18"/>
                <w:szCs w:val="18"/>
              </w:rPr>
              <w:t xml:space="preserve">. </w:t>
            </w:r>
          </w:p>
          <w:p w14:paraId="0818AE2C" w14:textId="77777777" w:rsidR="004E009D" w:rsidRPr="005911C6" w:rsidRDefault="004E009D" w:rsidP="005911C6">
            <w:pPr>
              <w:spacing w:after="0" w:line="240" w:lineRule="auto"/>
              <w:rPr>
                <w:rFonts w:ascii="Lato" w:hAnsi="Lato"/>
                <w:color w:val="000000" w:themeColor="text1"/>
                <w:sz w:val="18"/>
                <w:szCs w:val="18"/>
              </w:rPr>
            </w:pPr>
            <w:r w:rsidRPr="005911C6">
              <w:rPr>
                <w:rFonts w:ascii="Lato" w:hAnsi="Lato"/>
                <w:color w:val="000000" w:themeColor="text1"/>
                <w:sz w:val="18"/>
                <w:szCs w:val="18"/>
              </w:rPr>
              <w:t xml:space="preserve">Działania, które obejmują m.in. telewizję i radio prowadzone są w stacjach o zasięgu ogólnopolskim, przy wsparciu stacjami regionalnymi, tematycznymi z wykorzystaniem dwóch formatów komunikacyjnych: audycji edukacyjnych i spotów społecznych. W audycjach oraz w spotach społecznych zachęcamy do wykonywania badań przesiewowych, podkreślamy, że regularne badania ratują zdrowie i życie. Wśród badań przesiewowych skierowanych do osób starszych są mammografia oraz </w:t>
            </w:r>
            <w:proofErr w:type="spellStart"/>
            <w:r w:rsidRPr="005911C6">
              <w:rPr>
                <w:rFonts w:ascii="Lato" w:hAnsi="Lato"/>
                <w:color w:val="000000" w:themeColor="text1"/>
                <w:sz w:val="18"/>
                <w:szCs w:val="18"/>
              </w:rPr>
              <w:t>kolonoskopia</w:t>
            </w:r>
            <w:proofErr w:type="spellEnd"/>
            <w:r w:rsidRPr="005911C6">
              <w:rPr>
                <w:rFonts w:ascii="Lato" w:hAnsi="Lato"/>
                <w:color w:val="000000" w:themeColor="text1"/>
                <w:sz w:val="18"/>
                <w:szCs w:val="18"/>
              </w:rPr>
              <w:t xml:space="preserve">. </w:t>
            </w:r>
          </w:p>
          <w:p w14:paraId="35DE86C8" w14:textId="77777777" w:rsidR="004E009D" w:rsidRPr="005911C6" w:rsidRDefault="004E009D" w:rsidP="005911C6">
            <w:pPr>
              <w:spacing w:after="0" w:line="240" w:lineRule="auto"/>
              <w:rPr>
                <w:rFonts w:ascii="Lato" w:hAnsi="Lato"/>
                <w:color w:val="000000" w:themeColor="text1"/>
                <w:sz w:val="18"/>
                <w:szCs w:val="18"/>
              </w:rPr>
            </w:pPr>
            <w:r w:rsidRPr="005911C6">
              <w:rPr>
                <w:rFonts w:ascii="Lato" w:hAnsi="Lato"/>
                <w:color w:val="000000" w:themeColor="text1"/>
                <w:sz w:val="18"/>
                <w:szCs w:val="18"/>
              </w:rPr>
              <w:lastRenderedPageBreak/>
              <w:t xml:space="preserve">Biuro Komunikacji Ministerstwa Zdrowia w 2022 r. w ramach kampanii „Planuję długie życie” zrealizowało także zamówienie na wydruk plakatów i ulotek informacyjno-edukacyjnych informujących </w:t>
            </w:r>
            <w:r w:rsidRPr="005911C6">
              <w:rPr>
                <w:rFonts w:ascii="Lato" w:hAnsi="Lato"/>
                <w:color w:val="000000" w:themeColor="text1"/>
                <w:sz w:val="18"/>
                <w:szCs w:val="18"/>
              </w:rPr>
              <w:br/>
              <w:t xml:space="preserve">o profilaktyce zdrowotnej i badaniach przesiewowych. Ulotki </w:t>
            </w:r>
            <w:r w:rsidRPr="005911C6">
              <w:rPr>
                <w:rFonts w:ascii="Lato" w:hAnsi="Lato"/>
                <w:color w:val="000000" w:themeColor="text1"/>
                <w:sz w:val="18"/>
                <w:szCs w:val="18"/>
              </w:rPr>
              <w:br/>
              <w:t xml:space="preserve">i plakaty informacyjne, zostały rozdystrybuowane na terenie całego kraju w szpitalach, przychodniach. </w:t>
            </w:r>
          </w:p>
          <w:p w14:paraId="34E5745C" w14:textId="77777777" w:rsidR="004E009D" w:rsidRPr="005911C6" w:rsidRDefault="004E009D" w:rsidP="005911C6">
            <w:pPr>
              <w:spacing w:after="0" w:line="240" w:lineRule="auto"/>
              <w:rPr>
                <w:rFonts w:ascii="Lato" w:hAnsi="Lato"/>
                <w:color w:val="000000" w:themeColor="text1"/>
                <w:sz w:val="18"/>
                <w:szCs w:val="18"/>
              </w:rPr>
            </w:pPr>
            <w:r w:rsidRPr="005911C6">
              <w:rPr>
                <w:rFonts w:ascii="Lato" w:hAnsi="Lato"/>
                <w:color w:val="000000" w:themeColor="text1"/>
                <w:sz w:val="18"/>
                <w:szCs w:val="18"/>
              </w:rPr>
              <w:t xml:space="preserve">Szeroko zakrojone działania informacyjne prowadzone były również w </w:t>
            </w:r>
            <w:proofErr w:type="spellStart"/>
            <w:r w:rsidRPr="005911C6">
              <w:rPr>
                <w:rFonts w:ascii="Lato" w:hAnsi="Lato"/>
                <w:color w:val="000000" w:themeColor="text1"/>
                <w:sz w:val="18"/>
                <w:szCs w:val="18"/>
              </w:rPr>
              <w:t>internecie</w:t>
            </w:r>
            <w:proofErr w:type="spellEnd"/>
            <w:r w:rsidRPr="005911C6">
              <w:rPr>
                <w:rFonts w:ascii="Lato" w:hAnsi="Lato"/>
                <w:color w:val="000000" w:themeColor="text1"/>
                <w:sz w:val="18"/>
                <w:szCs w:val="18"/>
              </w:rPr>
              <w:t xml:space="preserve"> poprzez publikację postów w mediach społecznościowych Ministerstwa Zdrowia (</w:t>
            </w:r>
            <w:proofErr w:type="spellStart"/>
            <w:r w:rsidRPr="005911C6">
              <w:rPr>
                <w:rFonts w:ascii="Lato" w:hAnsi="Lato"/>
                <w:color w:val="000000" w:themeColor="text1"/>
                <w:sz w:val="18"/>
                <w:szCs w:val="18"/>
              </w:rPr>
              <w:t>Facebo</w:t>
            </w:r>
            <w:proofErr w:type="spellEnd"/>
            <w:r w:rsidRPr="005911C6">
              <w:rPr>
                <w:rFonts w:ascii="Lato" w:hAnsi="Lato"/>
                <w:color w:val="000000" w:themeColor="text1"/>
                <w:sz w:val="18"/>
                <w:szCs w:val="18"/>
              </w:rPr>
              <w:t xml:space="preserve"> Dodatkowym narzędziem wzmacniającym przekaz Kampanii była publikacja artykułów w dziennikach i tygodnikach </w:t>
            </w:r>
            <w:r w:rsidRPr="005911C6">
              <w:rPr>
                <w:rFonts w:ascii="Lato" w:hAnsi="Lato"/>
                <w:color w:val="000000" w:themeColor="text1"/>
                <w:sz w:val="18"/>
                <w:szCs w:val="18"/>
              </w:rPr>
              <w:br/>
              <w:t>o zasięgu ogólnopolskim.</w:t>
            </w:r>
          </w:p>
          <w:p w14:paraId="61ADAEC2" w14:textId="77777777" w:rsidR="004E009D" w:rsidRPr="005911C6" w:rsidRDefault="004E009D" w:rsidP="005911C6">
            <w:pPr>
              <w:spacing w:after="0" w:line="240" w:lineRule="auto"/>
              <w:rPr>
                <w:rFonts w:ascii="Lato" w:hAnsi="Lato"/>
                <w:color w:val="000000" w:themeColor="text1"/>
                <w:sz w:val="18"/>
                <w:szCs w:val="18"/>
              </w:rPr>
            </w:pPr>
          </w:p>
          <w:p w14:paraId="5F16314D"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Samoobsługowe kioski profilaktyczne</w:t>
            </w:r>
          </w:p>
          <w:p w14:paraId="716E353B"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W Kiosku Profilaktycznym wykonać można bezpłatne pomiary:</w:t>
            </w:r>
          </w:p>
          <w:p w14:paraId="2BFD059B"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•wzrostu,</w:t>
            </w:r>
          </w:p>
          <w:p w14:paraId="24CCD7D0"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•masy ciała,</w:t>
            </w:r>
          </w:p>
          <w:p w14:paraId="61800B7F"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•wskaźnika BMI,</w:t>
            </w:r>
          </w:p>
          <w:p w14:paraId="0845E52D"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•analizy składu ciała,</w:t>
            </w:r>
          </w:p>
          <w:p w14:paraId="7C75A13F"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•ciśnienia tętniczego krwi.</w:t>
            </w:r>
          </w:p>
          <w:p w14:paraId="47B7ED0A"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Podczas wizyty na stanowisku ds. profilaktyki i promocji zdrowia, pomiary </w:t>
            </w:r>
            <w:proofErr w:type="spellStart"/>
            <w:r w:rsidRPr="005911C6">
              <w:rPr>
                <w:rFonts w:ascii="Lato" w:hAnsi="Lato"/>
                <w:sz w:val="18"/>
                <w:szCs w:val="18"/>
              </w:rPr>
              <w:t>wykoju</w:t>
            </w:r>
            <w:proofErr w:type="spellEnd"/>
            <w:r w:rsidRPr="005911C6">
              <w:rPr>
                <w:rFonts w:ascii="Lato" w:hAnsi="Lato"/>
                <w:sz w:val="18"/>
                <w:szCs w:val="18"/>
              </w:rPr>
              <w:t xml:space="preserve"> się w Kiosku Profilaktycznym, a doradca przekazuje </w:t>
            </w:r>
          </w:p>
          <w:p w14:paraId="760D7BE9"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informacje i materiały promocyjne na temat programów profilaktycznych realizowanych przez Narodowy Fundusz Zdrowia i  Ministerstwo Zdrowia,</w:t>
            </w:r>
          </w:p>
          <w:p w14:paraId="7E578D55"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•informacje dotyczące Internetowego Konta Pacjenta i  pomoc w zalogowaniu się,</w:t>
            </w:r>
          </w:p>
          <w:p w14:paraId="7FD5E119"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•informacje dotyczące norm uzyskanych pomiarów w Kiosku Profilaktycznym,</w:t>
            </w:r>
          </w:p>
          <w:p w14:paraId="4B297996"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•wydruk przykładowego planu żywienia, ze strony internetowej diety.nfz.gov.pl</w:t>
            </w:r>
          </w:p>
          <w:p w14:paraId="112A52ED"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Podczas wizyty jest możliwość potwierdzenia Profilu zaufanego oraz pomoc w uzupełnieniu ankiety do programu „Profilaktyka 40 PLUS”.</w:t>
            </w:r>
          </w:p>
          <w:p w14:paraId="44FD43C4" w14:textId="1FBC0300" w:rsidR="003C25C5" w:rsidRPr="005911C6" w:rsidRDefault="004E009D" w:rsidP="005911C6">
            <w:pPr>
              <w:spacing w:after="0" w:line="240" w:lineRule="auto"/>
              <w:rPr>
                <w:rFonts w:ascii="Lato" w:eastAsia="MS Mincho" w:hAnsi="Lato" w:cs="Times New Roman"/>
                <w:b/>
                <w:sz w:val="18"/>
                <w:szCs w:val="18"/>
                <w:u w:val="single"/>
              </w:rPr>
            </w:pPr>
            <w:r w:rsidRPr="005911C6">
              <w:rPr>
                <w:rFonts w:ascii="Lato" w:hAnsi="Lato"/>
                <w:sz w:val="18"/>
                <w:szCs w:val="18"/>
              </w:rPr>
              <w:t>Od 2 listopada 2021 r. do 16 października 2022 r. z pomiarów oraz porad edukatorów skorzystały 2 392 osoby.</w:t>
            </w:r>
          </w:p>
        </w:tc>
      </w:tr>
      <w:tr w:rsidR="003C25C5" w:rsidRPr="005911C6" w14:paraId="623104FE" w14:textId="77777777" w:rsidTr="008C67C9">
        <w:trPr>
          <w:trHeight w:val="522"/>
        </w:trPr>
        <w:tc>
          <w:tcPr>
            <w:tcW w:w="1232" w:type="dxa"/>
            <w:vMerge/>
            <w:shd w:val="clear" w:color="auto" w:fill="FFFFFF" w:themeFill="background1"/>
          </w:tcPr>
          <w:p w14:paraId="5FDB4B4A"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AE42F9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szczepień ochronnych </w:t>
            </w:r>
            <w:r w:rsidRPr="005911C6">
              <w:rPr>
                <w:rFonts w:ascii="Lato" w:eastAsia="MS Mincho" w:hAnsi="Lato"/>
                <w:sz w:val="18"/>
                <w:szCs w:val="18"/>
              </w:rPr>
              <w:br/>
              <w:t>i innych świadczeń profilaktycznych</w:t>
            </w:r>
          </w:p>
        </w:tc>
        <w:tc>
          <w:tcPr>
            <w:tcW w:w="2032" w:type="dxa"/>
            <w:vMerge w:val="restart"/>
            <w:shd w:val="clear" w:color="auto" w:fill="FFFFFF" w:themeFill="background1"/>
          </w:tcPr>
          <w:p w14:paraId="1F01DE2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25B3C659"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CCD11C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promujących szczepienia ochronne i inne świadczenia profilaktyczne.</w:t>
            </w:r>
          </w:p>
        </w:tc>
      </w:tr>
      <w:tr w:rsidR="003C25C5" w:rsidRPr="005911C6" w14:paraId="4F7912B7" w14:textId="77777777" w:rsidTr="008C67C9">
        <w:trPr>
          <w:trHeight w:val="720"/>
        </w:trPr>
        <w:tc>
          <w:tcPr>
            <w:tcW w:w="1232" w:type="dxa"/>
            <w:vMerge/>
            <w:shd w:val="clear" w:color="auto" w:fill="FFFFFF" w:themeFill="background1"/>
          </w:tcPr>
          <w:p w14:paraId="0D99798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3D860D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F093EA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0B4646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E5FE29D"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500819D" w14:textId="13D165B8" w:rsidR="003C25C5" w:rsidRPr="005911C6" w:rsidRDefault="004E009D" w:rsidP="005911C6">
            <w:pPr>
              <w:spacing w:after="0" w:line="240" w:lineRule="auto"/>
              <w:rPr>
                <w:rFonts w:ascii="Lato" w:eastAsia="MS Mincho" w:hAnsi="Lato" w:cs="Times New Roman"/>
                <w:b/>
                <w:sz w:val="18"/>
                <w:szCs w:val="18"/>
                <w:u w:val="single"/>
              </w:rPr>
            </w:pPr>
            <w:r w:rsidRPr="005911C6">
              <w:rPr>
                <w:rFonts w:ascii="Lato" w:hAnsi="Lato"/>
                <w:color w:val="000000" w:themeColor="text1"/>
                <w:sz w:val="18"/>
                <w:szCs w:val="18"/>
              </w:rPr>
              <w:t xml:space="preserve">Kampania społeczna Ministerstwa Zdrowia „Chcę zrozumieć” miała przede wszystkim charakter informacyjny </w:t>
            </w:r>
            <w:r w:rsidRPr="005911C6">
              <w:rPr>
                <w:rFonts w:ascii="Lato" w:hAnsi="Lato"/>
                <w:color w:val="000000" w:themeColor="text1"/>
                <w:sz w:val="18"/>
                <w:szCs w:val="18"/>
              </w:rPr>
              <w:br/>
              <w:t xml:space="preserve">i skłaniający do podjęcia działań na rzecz budowania porozumienia </w:t>
            </w:r>
            <w:r w:rsidRPr="005911C6">
              <w:rPr>
                <w:rFonts w:ascii="Lato" w:hAnsi="Lato"/>
                <w:color w:val="000000" w:themeColor="text1"/>
                <w:sz w:val="18"/>
                <w:szCs w:val="18"/>
              </w:rPr>
              <w:lastRenderedPageBreak/>
              <w:t>społecznego wokół programu profilaktyki COVID-19. W ramach prowadzonych działań opracowano spoty edukacyjne stanowiące główne narzędzie komunikacyjne ww. kampanii społecznej, które były emitowane w stacjach radiowych i telewizyjnych o zasięgu ogólnopolski</w:t>
            </w:r>
            <w:r w:rsidRPr="005911C6">
              <w:rPr>
                <w:rFonts w:ascii="Lato" w:hAnsi="Lato"/>
                <w:sz w:val="18"/>
                <w:szCs w:val="18"/>
              </w:rPr>
              <w:t>m.</w:t>
            </w:r>
          </w:p>
        </w:tc>
      </w:tr>
      <w:tr w:rsidR="003C25C5" w:rsidRPr="005911C6" w14:paraId="2AEC0A5C" w14:textId="77777777" w:rsidTr="008C67C9">
        <w:trPr>
          <w:trHeight w:val="720"/>
        </w:trPr>
        <w:tc>
          <w:tcPr>
            <w:tcW w:w="1232" w:type="dxa"/>
            <w:vMerge/>
            <w:shd w:val="clear" w:color="auto" w:fill="FFFFFF" w:themeFill="background1"/>
          </w:tcPr>
          <w:p w14:paraId="72CFD68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A6640B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Propagowanie wiedzy w obszarze możliwości wykorzystania ICT (aplikacje, systemy, urządzenia) do wsparcia profilaktyki chorób i poprawy jakości życia</w:t>
            </w:r>
          </w:p>
        </w:tc>
        <w:tc>
          <w:tcPr>
            <w:tcW w:w="2032" w:type="dxa"/>
            <w:vMerge w:val="restart"/>
            <w:shd w:val="clear" w:color="auto" w:fill="FFFFFF" w:themeFill="background1"/>
          </w:tcPr>
          <w:p w14:paraId="2FCDFC4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 Cyfryzacji</w:t>
            </w:r>
          </w:p>
        </w:tc>
        <w:tc>
          <w:tcPr>
            <w:tcW w:w="1500" w:type="dxa"/>
            <w:vMerge w:val="restart"/>
            <w:shd w:val="clear" w:color="auto" w:fill="FFFFFF" w:themeFill="background1"/>
          </w:tcPr>
          <w:p w14:paraId="0C533DE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07A9D2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promujących wiedzę w obszarze możliwości wykorzystania ICT do wsparcia profilaktyki chorób i poprawy jakości życia</w:t>
            </w:r>
          </w:p>
        </w:tc>
      </w:tr>
      <w:tr w:rsidR="003C25C5" w:rsidRPr="005911C6" w14:paraId="7231066D" w14:textId="77777777" w:rsidTr="008C67C9">
        <w:trPr>
          <w:trHeight w:val="720"/>
        </w:trPr>
        <w:tc>
          <w:tcPr>
            <w:tcW w:w="1232" w:type="dxa"/>
            <w:vMerge/>
            <w:shd w:val="clear" w:color="auto" w:fill="FFFFFF" w:themeFill="background1"/>
          </w:tcPr>
          <w:p w14:paraId="3C56249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FC6A56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2C40D2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639558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B935303"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9B595F8" w14:textId="71E5131B"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W celu zwiększenia samodzielności osób starszych rozszerzono zakres danych Zdarzenia Medycznego przekazywanych do SIM. Od 1 lipca 2021 r. raportowanie Zdarzeń Medycznych oraz jest obowiązkowe. Pracownik medyczny może, na zasadach określonych w ustawie o systemie informacji w ochronie zdrowia, udostępnić dokumentację medyczną pacjenta innemu podmiotowi. </w:t>
            </w:r>
          </w:p>
          <w:p w14:paraId="60920283" w14:textId="664715B8" w:rsidR="004E009D" w:rsidRPr="005911C6" w:rsidRDefault="004E009D" w:rsidP="005911C6">
            <w:pPr>
              <w:spacing w:after="0" w:line="240" w:lineRule="auto"/>
              <w:rPr>
                <w:rFonts w:ascii="Lato" w:eastAsia="MS Mincho" w:hAnsi="Lato" w:cs="Times New Roman"/>
                <w:b/>
                <w:sz w:val="18"/>
                <w:szCs w:val="18"/>
                <w:u w:val="single"/>
              </w:rPr>
            </w:pPr>
            <w:r w:rsidRPr="005911C6">
              <w:rPr>
                <w:rFonts w:ascii="Lato" w:hAnsi="Lato"/>
                <w:sz w:val="18"/>
                <w:szCs w:val="18"/>
              </w:rPr>
              <w:t xml:space="preserve">Możliwość analizy danych o Zdarzeniach Medycznych, udzielonych procedurach oraz rozpoznanych jednostkach chorobowych usprawni dostęp do świadczeń zdrowotnych, co z kolei wpływa na skuteczność leczenia, ale także podnosi jakość procesów leczniczo – diagnostycznych. Jest to istotne zwłaszcza w grupie osób starszych z wieloma dolegliwościami o charakterze przewlekłym lub </w:t>
            </w:r>
            <w:proofErr w:type="spellStart"/>
            <w:r w:rsidRPr="005911C6">
              <w:rPr>
                <w:rFonts w:ascii="Lato" w:hAnsi="Lato"/>
                <w:sz w:val="18"/>
                <w:szCs w:val="18"/>
              </w:rPr>
              <w:t>wielochorobowością</w:t>
            </w:r>
            <w:proofErr w:type="spellEnd"/>
            <w:r w:rsidRPr="005911C6">
              <w:rPr>
                <w:rFonts w:ascii="Lato" w:hAnsi="Lato"/>
                <w:sz w:val="18"/>
                <w:szCs w:val="18"/>
              </w:rPr>
              <w:t>.</w:t>
            </w:r>
          </w:p>
          <w:p w14:paraId="68FDF871" w14:textId="793F66D2"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70B1ECA0" w14:textId="77777777" w:rsidTr="008C67C9">
        <w:trPr>
          <w:trHeight w:val="720"/>
        </w:trPr>
        <w:tc>
          <w:tcPr>
            <w:tcW w:w="1232" w:type="dxa"/>
            <w:vMerge/>
            <w:shd w:val="clear" w:color="auto" w:fill="FFFFFF" w:themeFill="background1"/>
          </w:tcPr>
          <w:p w14:paraId="5DD07BB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226AF3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Wdrażanie opieki farmaceutycznej, prowadzenie analiz stosowanej farmakoterapii na rzecz redukcji leków potencjalnie niewłaściwych dla osób starszych, zgodnie z kryteriami obowiązującymi w tym zakresie</w:t>
            </w:r>
          </w:p>
        </w:tc>
        <w:tc>
          <w:tcPr>
            <w:tcW w:w="2032" w:type="dxa"/>
            <w:vMerge w:val="restart"/>
            <w:shd w:val="clear" w:color="auto" w:fill="FFFFFF" w:themeFill="background1"/>
          </w:tcPr>
          <w:p w14:paraId="411B958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5A438A9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6C28D86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przeprowadzonych analiz stosowanej farmakoterapii</w:t>
            </w:r>
          </w:p>
          <w:p w14:paraId="76032343" w14:textId="77777777" w:rsidR="003C25C5" w:rsidRPr="005911C6" w:rsidRDefault="003C25C5" w:rsidP="005911C6">
            <w:pPr>
              <w:pStyle w:val="Kolorowalistaakcent11"/>
              <w:spacing w:after="0" w:line="240" w:lineRule="auto"/>
              <w:ind w:left="0"/>
              <w:rPr>
                <w:rFonts w:ascii="Lato" w:eastAsia="MS Mincho" w:hAnsi="Lato"/>
                <w:b/>
                <w:sz w:val="18"/>
                <w:szCs w:val="18"/>
              </w:rPr>
            </w:pPr>
            <w:r w:rsidRPr="005911C6">
              <w:rPr>
                <w:rFonts w:ascii="Lato" w:eastAsia="MS Mincho" w:hAnsi="Lato"/>
                <w:b/>
                <w:sz w:val="18"/>
                <w:szCs w:val="18"/>
              </w:rPr>
              <w:t>oraz</w:t>
            </w:r>
          </w:p>
          <w:p w14:paraId="716CA990"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podjętych działań na rzecz poprawy przestrzegania zaleceń terapeutycznych</w:t>
            </w:r>
          </w:p>
        </w:tc>
      </w:tr>
      <w:tr w:rsidR="003C25C5" w:rsidRPr="005911C6" w14:paraId="63845B32" w14:textId="77777777" w:rsidTr="008C67C9">
        <w:trPr>
          <w:trHeight w:val="720"/>
        </w:trPr>
        <w:tc>
          <w:tcPr>
            <w:tcW w:w="1232" w:type="dxa"/>
            <w:vMerge/>
            <w:shd w:val="clear" w:color="auto" w:fill="FFFFFF" w:themeFill="background1"/>
          </w:tcPr>
          <w:p w14:paraId="74CFA4F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CF7A44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365A22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D0A05F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CD37096"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3E5C59EA" w14:textId="00475F31" w:rsidR="004E009D" w:rsidRPr="005911C6" w:rsidRDefault="004E009D" w:rsidP="005911C6">
            <w:pPr>
              <w:spacing w:after="0" w:line="240" w:lineRule="auto"/>
              <w:rPr>
                <w:rFonts w:ascii="Lato" w:eastAsia="MS Mincho" w:hAnsi="Lato" w:cs="Times New Roman"/>
                <w:color w:val="00000A"/>
                <w:sz w:val="18"/>
                <w:szCs w:val="18"/>
              </w:rPr>
            </w:pPr>
            <w:r w:rsidRPr="005911C6">
              <w:rPr>
                <w:rFonts w:ascii="Lato" w:eastAsia="MS Mincho" w:hAnsi="Lato" w:cs="Times New Roman"/>
                <w:color w:val="00000A"/>
                <w:sz w:val="18"/>
                <w:szCs w:val="18"/>
              </w:rPr>
              <w:t xml:space="preserve">Włączenie się przedstawicieli Narodowego Instytutu Geriatrii, Reumatologii i Rehabilitacji w upowszechnianie </w:t>
            </w:r>
            <w:r w:rsidRPr="005911C6">
              <w:rPr>
                <w:rFonts w:ascii="Lato" w:eastAsia="MS Mincho" w:hAnsi="Lato" w:cs="Times New Roman"/>
                <w:color w:val="00000A"/>
                <w:sz w:val="18"/>
                <w:szCs w:val="18"/>
              </w:rPr>
              <w:br/>
              <w:t xml:space="preserve">w środowisku medycznym „Kryteriów poprawności farmakoterapii geriatrycznej w praktyce klinicznej na podstawie kryteriów 2019 AGS BEERS, 2015 STOPP/START </w:t>
            </w:r>
            <w:r w:rsidRPr="005911C6">
              <w:rPr>
                <w:rFonts w:ascii="Lato" w:eastAsia="MS Mincho" w:hAnsi="Lato" w:cs="Times New Roman"/>
                <w:color w:val="00000A"/>
                <w:sz w:val="18"/>
                <w:szCs w:val="18"/>
              </w:rPr>
              <w:br/>
              <w:t>i 2021 STOPPFALL. Jak leczyć, żeby najmniej zaszkodzić”</w:t>
            </w:r>
            <w:r w:rsidRPr="005911C6">
              <w:rPr>
                <w:rFonts w:ascii="Lato" w:eastAsia="MS Mincho" w:hAnsi="Lato" w:cs="Times New Roman"/>
                <w:color w:val="00000A"/>
                <w:sz w:val="18"/>
                <w:szCs w:val="18"/>
              </w:rPr>
              <w:br/>
              <w:t>w opracowaniu B. Bień i E. Łukaszczyk</w:t>
            </w:r>
          </w:p>
          <w:p w14:paraId="77F23E7F" w14:textId="77777777" w:rsidR="004E009D" w:rsidRPr="005911C6" w:rsidRDefault="004E009D" w:rsidP="005911C6">
            <w:pPr>
              <w:spacing w:after="0" w:line="240" w:lineRule="auto"/>
              <w:rPr>
                <w:rFonts w:ascii="Lato" w:eastAsia="MS Mincho" w:hAnsi="Lato" w:cs="Times New Roman"/>
                <w:color w:val="00000A"/>
                <w:sz w:val="18"/>
                <w:szCs w:val="18"/>
              </w:rPr>
            </w:pPr>
            <w:r w:rsidRPr="005911C6">
              <w:rPr>
                <w:rFonts w:ascii="Lato" w:eastAsia="MS Mincho" w:hAnsi="Lato" w:cs="Times New Roman"/>
                <w:color w:val="00000A"/>
                <w:sz w:val="18"/>
                <w:szCs w:val="18"/>
              </w:rPr>
              <w:t xml:space="preserve">Wprowadzenie „Pilotażowego Programu Przeglądów Lekowych” (od 1 czerwca do 30 listopada 2022 r.),. Pilotaż został przeprowadzony przez 75 realizatorów, którzy objęli nim 850 pacjentów z </w:t>
            </w:r>
            <w:proofErr w:type="spellStart"/>
            <w:r w:rsidRPr="005911C6">
              <w:rPr>
                <w:rFonts w:ascii="Lato" w:eastAsia="MS Mincho" w:hAnsi="Lato" w:cs="Times New Roman"/>
                <w:color w:val="00000A"/>
                <w:sz w:val="18"/>
                <w:szCs w:val="18"/>
              </w:rPr>
              <w:t>wielochorobowością</w:t>
            </w:r>
            <w:proofErr w:type="spellEnd"/>
            <w:r w:rsidRPr="005911C6">
              <w:rPr>
                <w:rFonts w:ascii="Lato" w:eastAsia="MS Mincho" w:hAnsi="Lato" w:cs="Times New Roman"/>
                <w:color w:val="00000A"/>
                <w:sz w:val="18"/>
                <w:szCs w:val="18"/>
              </w:rPr>
              <w:t xml:space="preserve">.  Przegląd leków polegał na szczegółowo przeprowadzonym wywiadzie z pacjentem, ocenie farmakoterapii  </w:t>
            </w:r>
            <w:r w:rsidRPr="005911C6">
              <w:rPr>
                <w:rFonts w:ascii="Lato" w:eastAsia="MS Mincho" w:hAnsi="Lato" w:cs="Times New Roman"/>
                <w:color w:val="00000A"/>
                <w:sz w:val="18"/>
                <w:szCs w:val="18"/>
              </w:rPr>
              <w:lastRenderedPageBreak/>
              <w:t xml:space="preserve">jaką stosuje pacjent, a następnie wypracowaniu indywidualnego plan opieki farmaceutycznej. </w:t>
            </w:r>
          </w:p>
          <w:p w14:paraId="461D0CE4" w14:textId="7C1AD6FC"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0B3564D5" w14:textId="77777777" w:rsidTr="008C67C9">
        <w:trPr>
          <w:trHeight w:val="720"/>
        </w:trPr>
        <w:tc>
          <w:tcPr>
            <w:tcW w:w="1232" w:type="dxa"/>
            <w:vMerge/>
            <w:shd w:val="clear" w:color="auto" w:fill="FFFFFF" w:themeFill="background1"/>
          </w:tcPr>
          <w:p w14:paraId="67AB7B3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8A3801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Uwzględnienie specyfiki problemów zdrowotnych, charakterystycznych </w:t>
            </w:r>
            <w:r w:rsidRPr="005911C6">
              <w:rPr>
                <w:rFonts w:ascii="Lato" w:eastAsia="MS Mincho" w:hAnsi="Lato"/>
                <w:sz w:val="18"/>
                <w:szCs w:val="18"/>
              </w:rPr>
              <w:br/>
              <w:t xml:space="preserve">w grupie osób starszych, </w:t>
            </w:r>
            <w:r w:rsidRPr="005911C6">
              <w:rPr>
                <w:rFonts w:ascii="Lato" w:eastAsia="MS Mincho" w:hAnsi="Lato"/>
                <w:sz w:val="18"/>
                <w:szCs w:val="18"/>
              </w:rPr>
              <w:br/>
              <w:t>w realizowanych programach prozdrowotnych</w:t>
            </w:r>
          </w:p>
        </w:tc>
        <w:tc>
          <w:tcPr>
            <w:tcW w:w="2032" w:type="dxa"/>
            <w:vMerge w:val="restart"/>
            <w:shd w:val="clear" w:color="auto" w:fill="FFFFFF" w:themeFill="background1"/>
          </w:tcPr>
          <w:p w14:paraId="7376D82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314E9D5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p w14:paraId="2FF7F34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5638" w:type="dxa"/>
            <w:shd w:val="clear" w:color="auto" w:fill="FFFFFF" w:themeFill="background1"/>
          </w:tcPr>
          <w:p w14:paraId="563D5D6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programów prozdrowotnych uzupełnionych o specyfikę problemów zdrowotnych, charakterystycznych w grupie osób starszych</w:t>
            </w:r>
          </w:p>
        </w:tc>
      </w:tr>
      <w:tr w:rsidR="003C25C5" w:rsidRPr="005911C6" w14:paraId="05EBD3E2" w14:textId="77777777" w:rsidTr="008C67C9">
        <w:trPr>
          <w:trHeight w:val="720"/>
        </w:trPr>
        <w:tc>
          <w:tcPr>
            <w:tcW w:w="1232" w:type="dxa"/>
            <w:vMerge/>
            <w:shd w:val="clear" w:color="auto" w:fill="FFFFFF" w:themeFill="background1"/>
          </w:tcPr>
          <w:p w14:paraId="1A69F12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D54703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B61665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29FDD5D"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32FF3D4"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22241554"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Programy prozdrowotne, współfinansowane ze środków Unii Europejskiej w ramach Europejskiego Funduszu Społecznego realizowane przez </w:t>
            </w:r>
            <w:proofErr w:type="spellStart"/>
            <w:r w:rsidRPr="005911C6">
              <w:rPr>
                <w:rFonts w:ascii="Lato" w:hAnsi="Lato"/>
                <w:sz w:val="18"/>
                <w:szCs w:val="18"/>
              </w:rPr>
              <w:t>NIGRiR</w:t>
            </w:r>
            <w:proofErr w:type="spellEnd"/>
            <w:r w:rsidRPr="005911C6">
              <w:rPr>
                <w:rFonts w:ascii="Lato" w:hAnsi="Lato"/>
                <w:sz w:val="18"/>
                <w:szCs w:val="18"/>
              </w:rPr>
              <w:t xml:space="preserve"> w 2021 r.: </w:t>
            </w:r>
          </w:p>
          <w:p w14:paraId="5D530644" w14:textId="77777777" w:rsidR="004E009D" w:rsidRPr="005911C6" w:rsidRDefault="004E009D" w:rsidP="005911C6">
            <w:pPr>
              <w:spacing w:after="0" w:line="240" w:lineRule="auto"/>
              <w:rPr>
                <w:rFonts w:ascii="Lato" w:hAnsi="Lato"/>
                <w:sz w:val="18"/>
                <w:szCs w:val="18"/>
              </w:rPr>
            </w:pPr>
          </w:p>
          <w:p w14:paraId="552434DF"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sym w:font="Symbol" w:char="F0B7"/>
            </w:r>
            <w:r w:rsidRPr="005911C6">
              <w:rPr>
                <w:rFonts w:ascii="Lato" w:hAnsi="Lato"/>
                <w:sz w:val="18"/>
                <w:szCs w:val="18"/>
              </w:rPr>
              <w:t xml:space="preserve"> projekt pn. „Program Profilaktyki RZS Narodowego Instytutu Geriatrii, Reumatologii i Rehabilitacji” nr POWR.05.01.00-00-0022/17. Głównym celem projektu jest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 r.ż. </w:t>
            </w:r>
          </w:p>
          <w:p w14:paraId="690D2481"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sym w:font="Symbol" w:char="F0B7"/>
            </w:r>
            <w:r w:rsidRPr="005911C6">
              <w:rPr>
                <w:rFonts w:ascii="Lato" w:hAnsi="Lato"/>
                <w:sz w:val="18"/>
                <w:szCs w:val="18"/>
              </w:rPr>
              <w:t xml:space="preserve"> projekt pn. „Program Profilaktyki Osteoporozy Narodowego Instytutu Geriatrii, Reumatologii i Rehabilitacji” nr POWR.05.01.00-00-0012/18. Głównym celem projektu jest wdrożenie w ośrodkach uczestniczących w programie skoordynowanego systemu wczesnej identyfikacji kobiet </w:t>
            </w:r>
            <w:r w:rsidRPr="005911C6">
              <w:rPr>
                <w:rFonts w:ascii="Lato" w:hAnsi="Lato"/>
                <w:sz w:val="18"/>
                <w:szCs w:val="18"/>
              </w:rPr>
              <w:br/>
              <w:t xml:space="preserve">w wieku 50-70 lat, zagrożonych złamaniami niskoenergetycznymi oraz chorych z już dokonanymi złamaniami i kierowanie ich do właściwego Specjalistycznego Ośrodka Profilaktyki Osteoporozy. Program ma pozwolić na wczesne wykrywanie podwyższonego ryzyka osteoporozy, szczególnie u kobiet </w:t>
            </w:r>
            <w:r w:rsidRPr="005911C6">
              <w:rPr>
                <w:rFonts w:ascii="Lato" w:hAnsi="Lato"/>
                <w:sz w:val="18"/>
                <w:szCs w:val="18"/>
              </w:rPr>
              <w:br/>
              <w:t xml:space="preserve">i umożliwienie leczenia choroby na wczesnym etapie, co zwiększa szanse na powodzenie leczenia i szanse utrzymania dobrego zdrowia pacjentek. </w:t>
            </w:r>
          </w:p>
          <w:p w14:paraId="7D000C7B" w14:textId="383E4C5E" w:rsidR="003C25C5" w:rsidRPr="005911C6" w:rsidRDefault="004E009D" w:rsidP="005911C6">
            <w:pPr>
              <w:spacing w:after="0" w:line="240" w:lineRule="auto"/>
              <w:rPr>
                <w:rFonts w:ascii="Lato" w:eastAsia="MS Mincho" w:hAnsi="Lato" w:cs="Times New Roman"/>
                <w:b/>
                <w:sz w:val="18"/>
                <w:szCs w:val="18"/>
                <w:u w:val="single"/>
              </w:rPr>
            </w:pPr>
            <w:r w:rsidRPr="005911C6">
              <w:rPr>
                <w:rFonts w:ascii="Lato" w:hAnsi="Lato"/>
                <w:sz w:val="18"/>
                <w:szCs w:val="18"/>
              </w:rPr>
              <w:sym w:font="Symbol" w:char="F0B7"/>
            </w:r>
            <w:r w:rsidRPr="005911C6">
              <w:rPr>
                <w:rFonts w:ascii="Lato" w:hAnsi="Lato"/>
                <w:sz w:val="18"/>
                <w:szCs w:val="18"/>
              </w:rPr>
              <w:t xml:space="preserve"> projekt pn. „Program profilaktyki przewlekłych bólów kręgosłupa Narodowego Instytutu Geriatrii, Reumatologii </w:t>
            </w:r>
            <w:r w:rsidRPr="005911C6">
              <w:rPr>
                <w:rFonts w:ascii="Lato" w:hAnsi="Lato"/>
                <w:sz w:val="18"/>
                <w:szCs w:val="18"/>
              </w:rPr>
              <w:br/>
              <w:t xml:space="preserve">i Rehabilitacji” nr POWR. 05.01.00- 00-0025/19.. Głównym celem projektu jest zwiększenie wczesnego wykrywania oraz prewencja przewlekłych bólów kręgosłupa wśród osób aktywnych zawodowo z terenu makroregionu centralnego (województwa: łódzkie, </w:t>
            </w:r>
            <w:r w:rsidRPr="005911C6">
              <w:rPr>
                <w:rFonts w:ascii="Lato" w:hAnsi="Lato"/>
                <w:sz w:val="18"/>
                <w:szCs w:val="18"/>
              </w:rPr>
              <w:lastRenderedPageBreak/>
              <w:t>mazowieckie) poprzez przeprowadzenie działań edukacyjno-diagnostyczno-terapeutycznych wśród osób do 65 r.ż.</w:t>
            </w:r>
          </w:p>
        </w:tc>
      </w:tr>
      <w:tr w:rsidR="003C25C5" w:rsidRPr="005911C6" w14:paraId="1AC1A95C" w14:textId="77777777" w:rsidTr="008C67C9">
        <w:trPr>
          <w:trHeight w:val="720"/>
        </w:trPr>
        <w:tc>
          <w:tcPr>
            <w:tcW w:w="1232" w:type="dxa"/>
            <w:vMerge/>
            <w:shd w:val="clear" w:color="auto" w:fill="FFFFFF" w:themeFill="background1"/>
          </w:tcPr>
          <w:p w14:paraId="432C28B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021F2D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Tworzenie infrastruktury i usług </w:t>
            </w:r>
            <w:r w:rsidRPr="005911C6">
              <w:rPr>
                <w:rFonts w:ascii="Lato" w:eastAsia="MS Mincho" w:hAnsi="Lato"/>
                <w:sz w:val="18"/>
                <w:szCs w:val="18"/>
              </w:rPr>
              <w:br/>
              <w:t>dla rozwoju aktywności prozdrowotnej ze szczególnym uwzględnieniem najstarszych grup wiek</w:t>
            </w:r>
          </w:p>
        </w:tc>
        <w:tc>
          <w:tcPr>
            <w:tcW w:w="2032" w:type="dxa"/>
            <w:vMerge w:val="restart"/>
            <w:shd w:val="clear" w:color="auto" w:fill="FFFFFF" w:themeFill="background1"/>
          </w:tcPr>
          <w:p w14:paraId="016E8C4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Sportu i Turystyki,  Ministerstwo Rodziny i Polityki Społecznej</w:t>
            </w:r>
          </w:p>
        </w:tc>
        <w:tc>
          <w:tcPr>
            <w:tcW w:w="1500" w:type="dxa"/>
            <w:vMerge w:val="restart"/>
            <w:shd w:val="clear" w:color="auto" w:fill="FFFFFF" w:themeFill="background1"/>
          </w:tcPr>
          <w:p w14:paraId="09078B8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017FB14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utworzonej nowej infrastruktury i usług dla rozwoju aktywności prozdrowotnej ze szczególnym uwzględnieniem najstarszych grup wieku</w:t>
            </w:r>
          </w:p>
        </w:tc>
      </w:tr>
      <w:tr w:rsidR="003C25C5" w:rsidRPr="005911C6" w14:paraId="1601C074" w14:textId="77777777" w:rsidTr="008C67C9">
        <w:trPr>
          <w:trHeight w:val="922"/>
        </w:trPr>
        <w:tc>
          <w:tcPr>
            <w:tcW w:w="1232" w:type="dxa"/>
            <w:vMerge/>
            <w:shd w:val="clear" w:color="auto" w:fill="FFFFFF" w:themeFill="background1"/>
          </w:tcPr>
          <w:p w14:paraId="128AEA1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643D39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3183FA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44E21A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D129FD2" w14:textId="77777777" w:rsidR="004E009D" w:rsidRPr="005911C6" w:rsidRDefault="004E009D"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0B9FC2AB" w14:textId="77777777" w:rsidR="004E009D" w:rsidRPr="005911C6" w:rsidRDefault="004E009D" w:rsidP="005911C6">
            <w:pPr>
              <w:spacing w:after="0" w:line="240" w:lineRule="auto"/>
              <w:rPr>
                <w:rFonts w:ascii="Lato" w:hAnsi="Lato"/>
                <w:color w:val="000000" w:themeColor="text1"/>
                <w:sz w:val="18"/>
                <w:szCs w:val="18"/>
              </w:rPr>
            </w:pPr>
            <w:r w:rsidRPr="005911C6">
              <w:rPr>
                <w:rFonts w:ascii="Lato" w:hAnsi="Lato"/>
                <w:color w:val="000000" w:themeColor="text1"/>
                <w:sz w:val="18"/>
                <w:szCs w:val="18"/>
              </w:rPr>
              <w:t xml:space="preserve">Zadanie pn. „Powstanie Śląskiego Ośrodka </w:t>
            </w:r>
            <w:proofErr w:type="spellStart"/>
            <w:r w:rsidRPr="005911C6">
              <w:rPr>
                <w:rFonts w:ascii="Lato" w:hAnsi="Lato"/>
                <w:color w:val="000000" w:themeColor="text1"/>
                <w:sz w:val="18"/>
                <w:szCs w:val="18"/>
              </w:rPr>
              <w:t>Kliniczno</w:t>
            </w:r>
            <w:proofErr w:type="spellEnd"/>
            <w:r w:rsidRPr="005911C6">
              <w:rPr>
                <w:rFonts w:ascii="Lato" w:hAnsi="Lato"/>
                <w:color w:val="000000" w:themeColor="text1"/>
                <w:sz w:val="18"/>
                <w:szCs w:val="18"/>
              </w:rPr>
              <w:t xml:space="preserve"> Naukowego Zapobiegania i Leczenia Chorób Środowiskowych, Cywilizacyjnych i Wieku Podeszłego im. prof. Zbigniewa Religi w Zabrzu”, realizowane w latach 2018-2022, powierzchnia użytkowa: 12.000 m2, liczba łóżek 138, z czego 17 na Oddział Kardiologii – Chorób Środowiskowych i Cywilizacyjnych oraz Wieku Podeszłego w chorobach serca, płuc i naczyń.</w:t>
            </w:r>
          </w:p>
          <w:p w14:paraId="0AFBE188" w14:textId="77777777" w:rsidR="004E009D" w:rsidRPr="005911C6" w:rsidRDefault="004E009D" w:rsidP="005911C6">
            <w:pPr>
              <w:spacing w:after="0" w:line="240" w:lineRule="auto"/>
              <w:rPr>
                <w:rFonts w:ascii="Lato" w:hAnsi="Lato"/>
                <w:color w:val="000000" w:themeColor="text1"/>
                <w:sz w:val="18"/>
                <w:szCs w:val="18"/>
              </w:rPr>
            </w:pPr>
          </w:p>
          <w:p w14:paraId="7C07D5DA"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Od stycznia 2019 r. Ministerstwo Zdrowia realizuje projekt</w:t>
            </w:r>
          </w:p>
          <w:p w14:paraId="53A3F5EB"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b/>
                <w:bCs/>
                <w:sz w:val="18"/>
                <w:szCs w:val="18"/>
              </w:rPr>
              <w:t>Dostępność Plus dla zdrowia</w:t>
            </w:r>
            <w:r w:rsidRPr="005911C6">
              <w:rPr>
                <w:rFonts w:ascii="Lato" w:hAnsi="Lato" w:cs="Times New Roman"/>
                <w:sz w:val="18"/>
                <w:szCs w:val="18"/>
              </w:rPr>
              <w:t xml:space="preserve"> – wdrażany w ramach</w:t>
            </w:r>
          </w:p>
          <w:p w14:paraId="541E1D99"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Programu Wiedza Edukacja Rozwój (POWER) na lata 2014-</w:t>
            </w:r>
          </w:p>
          <w:p w14:paraId="22625FA2"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2020, przy współfinansowaniu ze środków Europejskiego</w:t>
            </w:r>
          </w:p>
          <w:p w14:paraId="32FB96A7"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Funduszu Społecznego. Wartość projektu wynosi 335 mln zł.</w:t>
            </w:r>
          </w:p>
          <w:p w14:paraId="78CF6579"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Okres realizacji projektu: od 1 stycznia 2019 r. do 30</w:t>
            </w:r>
          </w:p>
          <w:p w14:paraId="4774C6DF"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listopada 2023 r.</w:t>
            </w:r>
          </w:p>
          <w:p w14:paraId="65FE32D9"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Projekt ma na celu wdrożenie działań projakościowych w</w:t>
            </w:r>
          </w:p>
          <w:p w14:paraId="63F1A6DE"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systemie ochrony zdrowia polegających na dostosowaniu,</w:t>
            </w:r>
          </w:p>
          <w:p w14:paraId="489B6C0A"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wybranych w procedurze konkursowej, placówek POZ i</w:t>
            </w:r>
          </w:p>
          <w:p w14:paraId="0D8C89DD"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szpitali do potrzeb grupy docelowej - pacjentów ze</w:t>
            </w:r>
          </w:p>
          <w:p w14:paraId="639188AC"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szczególnymi potrzebami, w szczególności osób starszych</w:t>
            </w:r>
          </w:p>
          <w:p w14:paraId="613520D3"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oraz niepełnosprawnych, w oparciu o opracowane w</w:t>
            </w:r>
          </w:p>
          <w:p w14:paraId="4E391F89"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projekcie Standardy Dostępności. Wdrażane rozwiązania</w:t>
            </w:r>
          </w:p>
          <w:p w14:paraId="007B9F4B"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będą przyczyniały się do poprawy dostępności placówek</w:t>
            </w:r>
          </w:p>
          <w:p w14:paraId="219AAF87"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medycznych w obszarach:</w:t>
            </w:r>
          </w:p>
          <w:p w14:paraId="464C991F" w14:textId="77777777" w:rsidR="004E009D" w:rsidRPr="005911C6" w:rsidRDefault="004E009D" w:rsidP="005911C6">
            <w:pPr>
              <w:pStyle w:val="Akapitzlist"/>
              <w:numPr>
                <w:ilvl w:val="0"/>
                <w:numId w:val="6"/>
              </w:numPr>
              <w:spacing w:after="0" w:line="240" w:lineRule="auto"/>
              <w:rPr>
                <w:rFonts w:ascii="Lato" w:hAnsi="Lato" w:cs="Times New Roman"/>
                <w:sz w:val="18"/>
                <w:szCs w:val="18"/>
              </w:rPr>
            </w:pPr>
            <w:r w:rsidRPr="005911C6">
              <w:rPr>
                <w:rFonts w:ascii="Lato" w:hAnsi="Lato" w:cs="Times New Roman"/>
                <w:sz w:val="18"/>
                <w:szCs w:val="18"/>
              </w:rPr>
              <w:t xml:space="preserve">cyfrowym (w tym </w:t>
            </w:r>
            <w:proofErr w:type="spellStart"/>
            <w:r w:rsidRPr="005911C6">
              <w:rPr>
                <w:rFonts w:ascii="Lato" w:hAnsi="Lato" w:cs="Times New Roman"/>
                <w:sz w:val="18"/>
                <w:szCs w:val="18"/>
              </w:rPr>
              <w:t>telemedycznym</w:t>
            </w:r>
            <w:proofErr w:type="spellEnd"/>
            <w:r w:rsidRPr="005911C6">
              <w:rPr>
                <w:rFonts w:ascii="Lato" w:hAnsi="Lato" w:cs="Times New Roman"/>
                <w:sz w:val="18"/>
                <w:szCs w:val="18"/>
              </w:rPr>
              <w:t>),</w:t>
            </w:r>
          </w:p>
          <w:p w14:paraId="039B1FC2" w14:textId="77777777" w:rsidR="004E009D" w:rsidRPr="005911C6" w:rsidRDefault="004E009D" w:rsidP="005911C6">
            <w:pPr>
              <w:pStyle w:val="Akapitzlist"/>
              <w:numPr>
                <w:ilvl w:val="0"/>
                <w:numId w:val="6"/>
              </w:numPr>
              <w:spacing w:after="0" w:line="240" w:lineRule="auto"/>
              <w:rPr>
                <w:rFonts w:ascii="Lato" w:hAnsi="Lato" w:cs="Times New Roman"/>
                <w:sz w:val="18"/>
                <w:szCs w:val="18"/>
              </w:rPr>
            </w:pPr>
            <w:r w:rsidRPr="005911C6">
              <w:rPr>
                <w:rFonts w:ascii="Lato" w:hAnsi="Lato" w:cs="Times New Roman"/>
                <w:sz w:val="18"/>
                <w:szCs w:val="18"/>
              </w:rPr>
              <w:t>architektonicznym,</w:t>
            </w:r>
          </w:p>
          <w:p w14:paraId="711DF70B" w14:textId="77777777" w:rsidR="004E009D" w:rsidRPr="005911C6" w:rsidRDefault="004E009D" w:rsidP="005911C6">
            <w:pPr>
              <w:pStyle w:val="Akapitzlist"/>
              <w:numPr>
                <w:ilvl w:val="0"/>
                <w:numId w:val="6"/>
              </w:numPr>
              <w:spacing w:after="0" w:line="240" w:lineRule="auto"/>
              <w:rPr>
                <w:rFonts w:ascii="Lato" w:hAnsi="Lato" w:cs="Times New Roman"/>
                <w:sz w:val="18"/>
                <w:szCs w:val="18"/>
              </w:rPr>
            </w:pPr>
            <w:r w:rsidRPr="005911C6">
              <w:rPr>
                <w:rFonts w:ascii="Lato" w:hAnsi="Lato" w:cs="Times New Roman"/>
                <w:sz w:val="18"/>
                <w:szCs w:val="18"/>
              </w:rPr>
              <w:t>komunikacyjnym</w:t>
            </w:r>
          </w:p>
          <w:p w14:paraId="259B4939" w14:textId="77777777" w:rsidR="004E009D" w:rsidRPr="005911C6" w:rsidRDefault="004E009D" w:rsidP="005911C6">
            <w:pPr>
              <w:pStyle w:val="Akapitzlist"/>
              <w:numPr>
                <w:ilvl w:val="0"/>
                <w:numId w:val="6"/>
              </w:numPr>
              <w:spacing w:after="0" w:line="240" w:lineRule="auto"/>
              <w:rPr>
                <w:rFonts w:ascii="Lato" w:hAnsi="Lato" w:cs="Times New Roman"/>
                <w:sz w:val="18"/>
                <w:szCs w:val="18"/>
              </w:rPr>
            </w:pPr>
            <w:r w:rsidRPr="005911C6">
              <w:rPr>
                <w:rFonts w:ascii="Lato" w:hAnsi="Lato" w:cs="Times New Roman"/>
                <w:sz w:val="18"/>
                <w:szCs w:val="18"/>
              </w:rPr>
              <w:t>organizacyjnym</w:t>
            </w:r>
          </w:p>
          <w:p w14:paraId="5154DCA8" w14:textId="77777777" w:rsidR="004E009D" w:rsidRPr="005911C6" w:rsidRDefault="004E009D" w:rsidP="005911C6">
            <w:pPr>
              <w:spacing w:after="0" w:line="240" w:lineRule="auto"/>
              <w:rPr>
                <w:rFonts w:ascii="Lato" w:hAnsi="Lato"/>
                <w:sz w:val="18"/>
                <w:szCs w:val="18"/>
              </w:rPr>
            </w:pPr>
            <w:r w:rsidRPr="005911C6">
              <w:rPr>
                <w:rFonts w:ascii="Lato" w:hAnsi="Lato"/>
                <w:sz w:val="18"/>
                <w:szCs w:val="18"/>
              </w:rPr>
              <w:t xml:space="preserve">Placówki medyczne biorące udział w projekcie otrzymują granty – w przypadku POZ w wysokości do 720 tys. zł, </w:t>
            </w:r>
            <w:r w:rsidRPr="005911C6">
              <w:rPr>
                <w:rFonts w:ascii="Lato" w:hAnsi="Lato"/>
                <w:sz w:val="18"/>
                <w:szCs w:val="18"/>
              </w:rPr>
              <w:br/>
              <w:t xml:space="preserve">a szpitali do 2 mln zł. Okres realizacji danego przedsięwzięcia wynosi do 18 miesięcy. Zgodnie z założeniami, w ramach projektu Dostępność Plus dla zdrowia, wsparcie grantowe na poprawę </w:t>
            </w:r>
            <w:r w:rsidRPr="005911C6">
              <w:rPr>
                <w:rFonts w:ascii="Lato" w:hAnsi="Lato"/>
                <w:sz w:val="18"/>
                <w:szCs w:val="18"/>
              </w:rPr>
              <w:lastRenderedPageBreak/>
              <w:t xml:space="preserve">dostępności dla osób ze szczególnymi potrzebami otrzyma min. 270 POZ oraz 72 szpitali. Planowane efekty projektu to m.in.: </w:t>
            </w:r>
          </w:p>
          <w:p w14:paraId="3FA207C7" w14:textId="77777777" w:rsidR="004E009D" w:rsidRPr="005911C6" w:rsidRDefault="004E009D" w:rsidP="005911C6">
            <w:pPr>
              <w:pStyle w:val="Akapitzlist"/>
              <w:numPr>
                <w:ilvl w:val="0"/>
                <w:numId w:val="6"/>
              </w:numPr>
              <w:spacing w:after="0" w:line="240" w:lineRule="auto"/>
              <w:rPr>
                <w:rFonts w:ascii="Lato" w:hAnsi="Lato"/>
                <w:sz w:val="18"/>
                <w:szCs w:val="18"/>
              </w:rPr>
            </w:pPr>
            <w:r w:rsidRPr="005911C6">
              <w:rPr>
                <w:rFonts w:ascii="Lato" w:hAnsi="Lato"/>
                <w:sz w:val="18"/>
                <w:szCs w:val="18"/>
              </w:rPr>
              <w:t>zniwelowanie barier architektonicznych, cyfrowych</w:t>
            </w:r>
          </w:p>
          <w:p w14:paraId="4611229A" w14:textId="77777777" w:rsidR="004E009D" w:rsidRPr="005911C6" w:rsidRDefault="004E009D" w:rsidP="005911C6">
            <w:pPr>
              <w:spacing w:after="0" w:line="240" w:lineRule="auto"/>
              <w:jc w:val="center"/>
              <w:rPr>
                <w:rFonts w:ascii="Lato" w:hAnsi="Lato" w:cs="Times New Roman"/>
                <w:sz w:val="18"/>
                <w:szCs w:val="18"/>
              </w:rPr>
            </w:pPr>
            <w:r w:rsidRPr="005911C6">
              <w:rPr>
                <w:rFonts w:ascii="Lato" w:hAnsi="Lato" w:cs="Times New Roman"/>
                <w:sz w:val="18"/>
                <w:szCs w:val="18"/>
              </w:rPr>
              <w:t xml:space="preserve">           oraz informacyjno-komunikacyjnych w placówkach </w:t>
            </w:r>
          </w:p>
          <w:p w14:paraId="1A694876"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 xml:space="preserve">                  ochrony zdrowia</w:t>
            </w:r>
          </w:p>
          <w:p w14:paraId="540D9A87" w14:textId="77777777" w:rsidR="004E009D" w:rsidRPr="005911C6" w:rsidRDefault="004E009D" w:rsidP="007335F8">
            <w:pPr>
              <w:pStyle w:val="Akapitzlist"/>
              <w:numPr>
                <w:ilvl w:val="0"/>
                <w:numId w:val="241"/>
              </w:numPr>
              <w:spacing w:after="0" w:line="240" w:lineRule="auto"/>
              <w:rPr>
                <w:rFonts w:ascii="Lato" w:hAnsi="Lato" w:cs="Times New Roman"/>
                <w:sz w:val="18"/>
                <w:szCs w:val="18"/>
              </w:rPr>
            </w:pPr>
            <w:r w:rsidRPr="005911C6">
              <w:rPr>
                <w:rFonts w:ascii="Lato" w:hAnsi="Lato" w:cs="Times New Roman"/>
                <w:sz w:val="18"/>
                <w:szCs w:val="18"/>
              </w:rPr>
              <w:t>podjęcie działań dostosowawczych w tym prac</w:t>
            </w:r>
          </w:p>
          <w:p w14:paraId="28EE07B5"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modernizacyjnych oraz zakupu sprzętów</w:t>
            </w:r>
          </w:p>
          <w:p w14:paraId="4EAA7C5A"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zapewniających funkcjonowanie placówek</w:t>
            </w:r>
          </w:p>
          <w:p w14:paraId="7D715B1D"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„przyjaznych” osobom ze szczególnymi potrzebami;</w:t>
            </w:r>
          </w:p>
          <w:p w14:paraId="00C16040" w14:textId="77777777" w:rsidR="004E009D" w:rsidRPr="005911C6" w:rsidRDefault="004E009D" w:rsidP="007335F8">
            <w:pPr>
              <w:pStyle w:val="Akapitzlist"/>
              <w:numPr>
                <w:ilvl w:val="0"/>
                <w:numId w:val="241"/>
              </w:numPr>
              <w:spacing w:after="0" w:line="240" w:lineRule="auto"/>
              <w:rPr>
                <w:rFonts w:ascii="Lato" w:hAnsi="Lato" w:cs="Times New Roman"/>
                <w:sz w:val="18"/>
                <w:szCs w:val="18"/>
              </w:rPr>
            </w:pPr>
            <w:r w:rsidRPr="005911C6">
              <w:rPr>
                <w:rFonts w:ascii="Lato" w:hAnsi="Lato" w:cs="Times New Roman"/>
                <w:sz w:val="18"/>
                <w:szCs w:val="18"/>
              </w:rPr>
              <w:t>podniesienie jakości usług zdrowotnych dla</w:t>
            </w:r>
          </w:p>
          <w:p w14:paraId="15961C58"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pacjentów ze szczególnymi potrzebami,</w:t>
            </w:r>
          </w:p>
          <w:p w14:paraId="3ACA0C13"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w tym aspektów komunikacyjnych i</w:t>
            </w:r>
          </w:p>
          <w:p w14:paraId="743E0B67"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organizacyjnych,</w:t>
            </w:r>
          </w:p>
          <w:p w14:paraId="0B48767E" w14:textId="77777777" w:rsidR="004E009D" w:rsidRPr="005911C6" w:rsidRDefault="004E009D" w:rsidP="007335F8">
            <w:pPr>
              <w:pStyle w:val="Akapitzlist"/>
              <w:numPr>
                <w:ilvl w:val="0"/>
                <w:numId w:val="241"/>
              </w:numPr>
              <w:spacing w:after="0" w:line="240" w:lineRule="auto"/>
              <w:rPr>
                <w:rFonts w:ascii="Lato" w:hAnsi="Lato" w:cs="Times New Roman"/>
                <w:sz w:val="18"/>
                <w:szCs w:val="18"/>
              </w:rPr>
            </w:pPr>
            <w:r w:rsidRPr="005911C6">
              <w:rPr>
                <w:rFonts w:ascii="Lato" w:hAnsi="Lato" w:cs="Times New Roman"/>
                <w:sz w:val="18"/>
                <w:szCs w:val="18"/>
              </w:rPr>
              <w:t>stworzenie/zoptymalizowanie systemów IT</w:t>
            </w:r>
          </w:p>
          <w:p w14:paraId="75F66DDA"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 xml:space="preserve">uwzględniających szczególne potrzeby pacjentów, </w:t>
            </w:r>
            <w:r w:rsidRPr="005911C6">
              <w:rPr>
                <w:rFonts w:ascii="Lato" w:hAnsi="Lato" w:cs="Times New Roman"/>
                <w:sz w:val="18"/>
                <w:szCs w:val="18"/>
              </w:rPr>
              <w:br/>
              <w:t xml:space="preserve">w tym wdrożenie rozwiązań </w:t>
            </w:r>
            <w:proofErr w:type="spellStart"/>
            <w:r w:rsidRPr="005911C6">
              <w:rPr>
                <w:rFonts w:ascii="Lato" w:hAnsi="Lato" w:cs="Times New Roman"/>
                <w:sz w:val="18"/>
                <w:szCs w:val="18"/>
              </w:rPr>
              <w:t>telemedycznych</w:t>
            </w:r>
            <w:proofErr w:type="spellEnd"/>
            <w:r w:rsidRPr="005911C6">
              <w:rPr>
                <w:rFonts w:ascii="Lato" w:hAnsi="Lato" w:cs="Times New Roman"/>
                <w:sz w:val="18"/>
                <w:szCs w:val="18"/>
              </w:rPr>
              <w:t xml:space="preserve"> w POZ </w:t>
            </w:r>
            <w:r w:rsidRPr="005911C6">
              <w:rPr>
                <w:rFonts w:ascii="Lato" w:hAnsi="Lato" w:cs="Times New Roman"/>
                <w:sz w:val="18"/>
                <w:szCs w:val="18"/>
              </w:rPr>
              <w:br/>
              <w:t>i szpitalach,</w:t>
            </w:r>
          </w:p>
          <w:p w14:paraId="09E1393D" w14:textId="77777777" w:rsidR="004E009D" w:rsidRPr="005911C6" w:rsidRDefault="004E009D" w:rsidP="007335F8">
            <w:pPr>
              <w:pStyle w:val="Akapitzlist"/>
              <w:numPr>
                <w:ilvl w:val="0"/>
                <w:numId w:val="241"/>
              </w:numPr>
              <w:spacing w:after="0" w:line="240" w:lineRule="auto"/>
              <w:rPr>
                <w:rFonts w:ascii="Lato" w:hAnsi="Lato" w:cs="Times New Roman"/>
                <w:sz w:val="18"/>
                <w:szCs w:val="18"/>
              </w:rPr>
            </w:pPr>
            <w:r w:rsidRPr="005911C6">
              <w:rPr>
                <w:rFonts w:ascii="Lato" w:hAnsi="Lato" w:cs="Times New Roman"/>
                <w:sz w:val="18"/>
                <w:szCs w:val="18"/>
              </w:rPr>
              <w:t xml:space="preserve">podniesienie dojrzałości cyfrowej placówek </w:t>
            </w:r>
            <w:r w:rsidRPr="005911C6">
              <w:rPr>
                <w:rFonts w:ascii="Lato" w:hAnsi="Lato" w:cs="Times New Roman"/>
                <w:sz w:val="18"/>
                <w:szCs w:val="18"/>
              </w:rPr>
              <w:br/>
              <w:t>w zakresie wsparcia pacjentów ze szczególnymi</w:t>
            </w:r>
          </w:p>
          <w:p w14:paraId="205D8226" w14:textId="77777777" w:rsidR="004E009D" w:rsidRPr="005911C6" w:rsidRDefault="004E009D" w:rsidP="005911C6">
            <w:pPr>
              <w:pStyle w:val="Akapitzlist"/>
              <w:spacing w:after="0" w:line="240" w:lineRule="auto"/>
              <w:rPr>
                <w:rFonts w:ascii="Lato" w:hAnsi="Lato" w:cs="Times New Roman"/>
                <w:sz w:val="18"/>
                <w:szCs w:val="18"/>
              </w:rPr>
            </w:pPr>
            <w:r w:rsidRPr="005911C6">
              <w:rPr>
                <w:rFonts w:ascii="Lato" w:hAnsi="Lato" w:cs="Times New Roman"/>
                <w:sz w:val="18"/>
                <w:szCs w:val="18"/>
              </w:rPr>
              <w:t>potrzebami.</w:t>
            </w:r>
          </w:p>
          <w:p w14:paraId="3E56ACFE"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Obowiązkowym dla wszystkich podmiotów realizujących</w:t>
            </w:r>
          </w:p>
          <w:p w14:paraId="1E37672A"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przedsięwzięcia w projekcie „Dostępność Plus dla zdrowia”</w:t>
            </w:r>
          </w:p>
          <w:p w14:paraId="4E7D7665"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jest uczestnictwo w szkoleniach, w których uwrażliwiany</w:t>
            </w:r>
          </w:p>
          <w:p w14:paraId="3E33ED1D"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jest personel POZ i szpitali na potrzeby osób z</w:t>
            </w:r>
          </w:p>
          <w:p w14:paraId="691C4501"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niepełnosprawnościami, w tym środowiska osób z</w:t>
            </w:r>
          </w:p>
          <w:p w14:paraId="7C901E89"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niepełnosprawnością wzroku czy słuchu, a także seniorów.</w:t>
            </w:r>
          </w:p>
          <w:p w14:paraId="3FF0728B"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W trakcie szkoleń przekazywana jest wiedza na temat</w:t>
            </w:r>
          </w:p>
          <w:p w14:paraId="0667133E"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możliwości zapewniania osobom ze szczególnymi</w:t>
            </w:r>
          </w:p>
          <w:p w14:paraId="3B59F5B5" w14:textId="77777777" w:rsidR="004E009D"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 xml:space="preserve">potrzebami dostępności do placówek ochrony zdrowia </w:t>
            </w:r>
            <w:r w:rsidRPr="005911C6">
              <w:rPr>
                <w:rFonts w:ascii="Lato" w:hAnsi="Lato" w:cs="Times New Roman"/>
                <w:sz w:val="18"/>
                <w:szCs w:val="18"/>
              </w:rPr>
              <w:br/>
              <w:t>i korzystania z tych placówek. Do końca 2022r. w szkoleniach</w:t>
            </w:r>
          </w:p>
          <w:p w14:paraId="0CBBA6FC" w14:textId="363C6B99" w:rsidR="003C25C5" w:rsidRPr="005911C6" w:rsidRDefault="004E009D" w:rsidP="005911C6">
            <w:pPr>
              <w:spacing w:after="0" w:line="240" w:lineRule="auto"/>
              <w:rPr>
                <w:rFonts w:ascii="Lato" w:hAnsi="Lato" w:cs="Times New Roman"/>
                <w:sz w:val="18"/>
                <w:szCs w:val="18"/>
              </w:rPr>
            </w:pPr>
            <w:r w:rsidRPr="005911C6">
              <w:rPr>
                <w:rFonts w:ascii="Lato" w:hAnsi="Lato" w:cs="Times New Roman"/>
                <w:sz w:val="18"/>
                <w:szCs w:val="18"/>
              </w:rPr>
              <w:t>wzięło udział 1 024 pracowników POZ i szpitali.</w:t>
            </w:r>
          </w:p>
        </w:tc>
      </w:tr>
      <w:tr w:rsidR="003C25C5" w:rsidRPr="005911C6" w14:paraId="1C9E656C" w14:textId="77777777" w:rsidTr="008C67C9">
        <w:trPr>
          <w:trHeight w:val="720"/>
        </w:trPr>
        <w:tc>
          <w:tcPr>
            <w:tcW w:w="1232" w:type="dxa"/>
            <w:vMerge/>
            <w:shd w:val="clear" w:color="auto" w:fill="FFFFFF" w:themeFill="background1"/>
          </w:tcPr>
          <w:p w14:paraId="5C40F0B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260714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Rozwijanie telemedycyny, w tym </w:t>
            </w:r>
            <w:proofErr w:type="spellStart"/>
            <w:r w:rsidRPr="005911C6">
              <w:rPr>
                <w:rFonts w:ascii="Lato" w:eastAsia="MS Mincho" w:hAnsi="Lato"/>
                <w:sz w:val="18"/>
                <w:szCs w:val="18"/>
              </w:rPr>
              <w:t>teleopieki</w:t>
            </w:r>
            <w:proofErr w:type="spellEnd"/>
            <w:r w:rsidRPr="005911C6">
              <w:rPr>
                <w:rFonts w:ascii="Lato" w:eastAsia="MS Mincho" w:hAnsi="Lato"/>
                <w:sz w:val="18"/>
                <w:szCs w:val="18"/>
              </w:rPr>
              <w:t>:</w:t>
            </w:r>
          </w:p>
          <w:p w14:paraId="08E5A85A" w14:textId="77777777"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 xml:space="preserve">upowszechnienie różnych form </w:t>
            </w:r>
            <w:proofErr w:type="spellStart"/>
            <w:r w:rsidRPr="005911C6">
              <w:rPr>
                <w:rFonts w:ascii="Lato" w:eastAsia="MS Mincho" w:hAnsi="Lato"/>
                <w:sz w:val="18"/>
                <w:szCs w:val="18"/>
              </w:rPr>
              <w:t>teleopieki</w:t>
            </w:r>
            <w:proofErr w:type="spellEnd"/>
            <w:r w:rsidRPr="005911C6">
              <w:rPr>
                <w:rFonts w:ascii="Lato" w:eastAsia="MS Mincho" w:hAnsi="Lato"/>
                <w:sz w:val="18"/>
                <w:szCs w:val="18"/>
              </w:rPr>
              <w:t xml:space="preserve"> i </w:t>
            </w:r>
            <w:proofErr w:type="spellStart"/>
            <w:r w:rsidRPr="005911C6">
              <w:rPr>
                <w:rFonts w:ascii="Lato" w:eastAsia="MS Mincho" w:hAnsi="Lato"/>
                <w:sz w:val="18"/>
                <w:szCs w:val="18"/>
              </w:rPr>
              <w:t>telekonsultacji</w:t>
            </w:r>
            <w:proofErr w:type="spellEnd"/>
            <w:r w:rsidRPr="005911C6">
              <w:rPr>
                <w:rFonts w:ascii="Lato" w:eastAsia="MS Mincho" w:hAnsi="Lato"/>
                <w:sz w:val="18"/>
                <w:szCs w:val="18"/>
              </w:rPr>
              <w:t>;</w:t>
            </w:r>
          </w:p>
          <w:p w14:paraId="6D784116" w14:textId="77777777" w:rsidR="003C25C5" w:rsidRPr="005911C6" w:rsidRDefault="003C25C5" w:rsidP="005911C6">
            <w:pPr>
              <w:pStyle w:val="Kolorowalistaakcent11"/>
              <w:numPr>
                <w:ilvl w:val="0"/>
                <w:numId w:val="6"/>
              </w:numPr>
              <w:spacing w:after="0" w:line="240" w:lineRule="auto"/>
              <w:ind w:left="360"/>
              <w:rPr>
                <w:rFonts w:ascii="Lato" w:eastAsia="MS Mincho" w:hAnsi="Lato"/>
                <w:sz w:val="18"/>
                <w:szCs w:val="18"/>
              </w:rPr>
            </w:pPr>
            <w:r w:rsidRPr="005911C6">
              <w:rPr>
                <w:rFonts w:ascii="Lato" w:eastAsia="MS Mincho" w:hAnsi="Lato"/>
                <w:sz w:val="18"/>
                <w:szCs w:val="18"/>
              </w:rPr>
              <w:t xml:space="preserve">rozwój rozwiązań w zakresie </w:t>
            </w:r>
            <w:r w:rsidRPr="005911C6">
              <w:rPr>
                <w:rFonts w:ascii="Lato" w:eastAsia="MS Mincho" w:hAnsi="Lato"/>
                <w:i/>
                <w:sz w:val="18"/>
                <w:szCs w:val="18"/>
              </w:rPr>
              <w:t xml:space="preserve">mobile </w:t>
            </w:r>
            <w:proofErr w:type="spellStart"/>
            <w:r w:rsidRPr="005911C6">
              <w:rPr>
                <w:rFonts w:ascii="Lato" w:eastAsia="MS Mincho" w:hAnsi="Lato"/>
                <w:i/>
                <w:sz w:val="18"/>
                <w:szCs w:val="18"/>
              </w:rPr>
              <w:t>health</w:t>
            </w:r>
            <w:proofErr w:type="spellEnd"/>
            <w:r w:rsidRPr="005911C6">
              <w:rPr>
                <w:rFonts w:ascii="Lato" w:eastAsia="MS Mincho" w:hAnsi="Lato"/>
                <w:i/>
                <w:sz w:val="18"/>
                <w:szCs w:val="18"/>
              </w:rPr>
              <w:t>.</w:t>
            </w:r>
          </w:p>
        </w:tc>
        <w:tc>
          <w:tcPr>
            <w:tcW w:w="2032" w:type="dxa"/>
            <w:vMerge w:val="restart"/>
            <w:shd w:val="clear" w:color="auto" w:fill="FFFFFF" w:themeFill="background1"/>
          </w:tcPr>
          <w:p w14:paraId="3965D24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w:t>
            </w:r>
          </w:p>
        </w:tc>
        <w:tc>
          <w:tcPr>
            <w:tcW w:w="1500" w:type="dxa"/>
            <w:vMerge w:val="restart"/>
            <w:shd w:val="clear" w:color="auto" w:fill="FFFFFF" w:themeFill="background1"/>
          </w:tcPr>
          <w:p w14:paraId="12405C7D"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4A28DC76"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działań podjętych w celu rozwoju telemedycyny, w tym </w:t>
            </w:r>
            <w:proofErr w:type="spellStart"/>
            <w:r w:rsidRPr="005911C6">
              <w:rPr>
                <w:rFonts w:ascii="Lato" w:eastAsia="MS Mincho" w:hAnsi="Lato" w:cs="Times New Roman"/>
                <w:i/>
                <w:sz w:val="18"/>
                <w:szCs w:val="18"/>
              </w:rPr>
              <w:t>teleopieki</w:t>
            </w:r>
            <w:proofErr w:type="spellEnd"/>
          </w:p>
        </w:tc>
      </w:tr>
      <w:tr w:rsidR="003C25C5" w:rsidRPr="005911C6" w14:paraId="3410C380" w14:textId="77777777" w:rsidTr="008C67C9">
        <w:trPr>
          <w:trHeight w:val="720"/>
        </w:trPr>
        <w:tc>
          <w:tcPr>
            <w:tcW w:w="1232" w:type="dxa"/>
            <w:vMerge/>
            <w:shd w:val="clear" w:color="auto" w:fill="FFFFFF" w:themeFill="background1"/>
          </w:tcPr>
          <w:p w14:paraId="03A5AFD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6566E4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CD201C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F9ACA3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3B94575"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2F7AC6DB"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Od 2020 r. Ministerstwo Zdrowia realizuje projekt </w:t>
            </w:r>
            <w:proofErr w:type="spellStart"/>
            <w:r w:rsidRPr="005911C6">
              <w:rPr>
                <w:rFonts w:ascii="Lato" w:hAnsi="Lato"/>
                <w:sz w:val="18"/>
                <w:szCs w:val="18"/>
              </w:rPr>
              <w:t>telemedyczny</w:t>
            </w:r>
            <w:proofErr w:type="spellEnd"/>
            <w:r w:rsidRPr="005911C6">
              <w:rPr>
                <w:rFonts w:ascii="Lato" w:hAnsi="Lato"/>
                <w:sz w:val="18"/>
                <w:szCs w:val="18"/>
              </w:rPr>
              <w:t xml:space="preserve">: „Ograniczanie społecznych nierówności </w:t>
            </w:r>
            <w:r w:rsidRPr="005911C6">
              <w:rPr>
                <w:rFonts w:ascii="Lato" w:hAnsi="Lato"/>
                <w:sz w:val="18"/>
                <w:szCs w:val="18"/>
              </w:rPr>
              <w:br/>
              <w:t xml:space="preserve">w zdrowiu poprzez stosowanie rozwiązań telemedycyny </w:t>
            </w:r>
            <w:r w:rsidRPr="005911C6">
              <w:rPr>
                <w:rFonts w:ascii="Lato" w:hAnsi="Lato"/>
                <w:sz w:val="18"/>
                <w:szCs w:val="18"/>
              </w:rPr>
              <w:br/>
              <w:t xml:space="preserve">i e-zdrowia”, w ramach Norweskiego Mechanizmu Finansowego 2014-2021. Projekt ma przyczynić się do zmniejszenia kosztów procedur medycznych, zmniejszenia obciążeń dla pacjentów oraz </w:t>
            </w:r>
            <w:r w:rsidRPr="005911C6">
              <w:rPr>
                <w:rFonts w:ascii="Lato" w:hAnsi="Lato"/>
                <w:sz w:val="18"/>
                <w:szCs w:val="18"/>
              </w:rPr>
              <w:lastRenderedPageBreak/>
              <w:t xml:space="preserve">zwiększenia dostępności usług medycznych. Koncentruje się na wypracowaniu modeli </w:t>
            </w:r>
            <w:proofErr w:type="spellStart"/>
            <w:r w:rsidRPr="005911C6">
              <w:rPr>
                <w:rFonts w:ascii="Lato" w:hAnsi="Lato"/>
                <w:sz w:val="18"/>
                <w:szCs w:val="18"/>
              </w:rPr>
              <w:t>telemedycznych</w:t>
            </w:r>
            <w:proofErr w:type="spellEnd"/>
            <w:r w:rsidRPr="005911C6">
              <w:rPr>
                <w:rFonts w:ascii="Lato" w:hAnsi="Lato"/>
                <w:sz w:val="18"/>
                <w:szCs w:val="18"/>
              </w:rPr>
              <w:t xml:space="preserve"> w 7 obszarach:</w:t>
            </w:r>
          </w:p>
          <w:p w14:paraId="142B9C8C"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kardiologii,</w:t>
            </w:r>
          </w:p>
          <w:p w14:paraId="68216A4B"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geriatrii,</w:t>
            </w:r>
          </w:p>
          <w:p w14:paraId="64F7AB5E"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psychiatrii,</w:t>
            </w:r>
          </w:p>
          <w:p w14:paraId="0C76131D"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diabetologii,</w:t>
            </w:r>
          </w:p>
          <w:p w14:paraId="28C7EA79"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chorób przewlekłych,</w:t>
            </w:r>
          </w:p>
          <w:p w14:paraId="187ADA82"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położnictwa,</w:t>
            </w:r>
          </w:p>
          <w:p w14:paraId="3C1D69B2" w14:textId="77777777" w:rsidR="00CD7ACE" w:rsidRPr="005911C6" w:rsidRDefault="00CD7ACE" w:rsidP="007335F8">
            <w:pPr>
              <w:pStyle w:val="Akapitzlist"/>
              <w:numPr>
                <w:ilvl w:val="0"/>
                <w:numId w:val="238"/>
              </w:numPr>
              <w:spacing w:after="0" w:line="240" w:lineRule="auto"/>
              <w:jc w:val="both"/>
              <w:rPr>
                <w:rFonts w:ascii="Lato" w:hAnsi="Lato"/>
                <w:sz w:val="18"/>
                <w:szCs w:val="18"/>
              </w:rPr>
            </w:pPr>
            <w:r w:rsidRPr="005911C6">
              <w:rPr>
                <w:rFonts w:ascii="Lato" w:hAnsi="Lato"/>
                <w:sz w:val="18"/>
                <w:szCs w:val="18"/>
              </w:rPr>
              <w:t>opieki paliatywnej,</w:t>
            </w:r>
          </w:p>
          <w:p w14:paraId="4F6C9B8B"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które mogłyby poszerzyć katalog procedur </w:t>
            </w:r>
            <w:proofErr w:type="spellStart"/>
            <w:r w:rsidRPr="005911C6">
              <w:rPr>
                <w:rFonts w:ascii="Lato" w:hAnsi="Lato"/>
                <w:sz w:val="18"/>
                <w:szCs w:val="18"/>
              </w:rPr>
              <w:t>telemedycznych</w:t>
            </w:r>
            <w:proofErr w:type="spellEnd"/>
            <w:r w:rsidRPr="005911C6">
              <w:rPr>
                <w:rFonts w:ascii="Lato" w:hAnsi="Lato"/>
                <w:sz w:val="18"/>
                <w:szCs w:val="18"/>
              </w:rPr>
              <w:t xml:space="preserve"> objętych publicznym finansowaniem oraz zwiększyć poziom wykorzystania potencjału telemedycyny w Polsce. Do 30 listopada 2021 r. zespoły ekspertów polsko-norweskich opracowały wstępne modele </w:t>
            </w:r>
            <w:proofErr w:type="spellStart"/>
            <w:r w:rsidRPr="005911C6">
              <w:rPr>
                <w:rFonts w:ascii="Lato" w:hAnsi="Lato"/>
                <w:sz w:val="18"/>
                <w:szCs w:val="18"/>
              </w:rPr>
              <w:t>telemedyczne</w:t>
            </w:r>
            <w:proofErr w:type="spellEnd"/>
            <w:r w:rsidRPr="005911C6">
              <w:rPr>
                <w:rFonts w:ascii="Lato" w:hAnsi="Lato"/>
                <w:sz w:val="18"/>
                <w:szCs w:val="18"/>
              </w:rPr>
              <w:t xml:space="preserve"> w dziedzinach: kardiologia, geriatria, psychiatria, choroby przewlekłe, diabetologia i położnictwo. Następnie rozwiązania zostaną przetestowane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14:paraId="14980116" w14:textId="77777777" w:rsidR="00CD7ACE" w:rsidRPr="005911C6" w:rsidRDefault="00CD7ACE" w:rsidP="005911C6">
            <w:pPr>
              <w:spacing w:after="0" w:line="240" w:lineRule="auto"/>
              <w:rPr>
                <w:rFonts w:ascii="Lato" w:hAnsi="Lato" w:cs="Times New Roman"/>
                <w:sz w:val="18"/>
                <w:szCs w:val="18"/>
              </w:rPr>
            </w:pPr>
          </w:p>
          <w:p w14:paraId="266E5773"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W 2022 r. przeprowadzony został konkurs na dofinansowanie projektów pilotażowych na przetestowanie modeli </w:t>
            </w:r>
            <w:proofErr w:type="spellStart"/>
            <w:r w:rsidRPr="005911C6">
              <w:rPr>
                <w:rFonts w:ascii="Lato" w:hAnsi="Lato"/>
                <w:sz w:val="18"/>
                <w:szCs w:val="18"/>
              </w:rPr>
              <w:t>telemedycznych</w:t>
            </w:r>
            <w:proofErr w:type="spellEnd"/>
            <w:r w:rsidRPr="005911C6">
              <w:rPr>
                <w:rFonts w:ascii="Lato" w:hAnsi="Lato"/>
                <w:sz w:val="18"/>
                <w:szCs w:val="18"/>
              </w:rPr>
              <w:t xml:space="preserve"> opracowanych w ramach predefiniowanego projektu dotyczącego polityki w zakresie telemedycyny i e-zdrowia w ramach Programu Zdrowie finansowanego ze środków Norweskiego Mechanizmu Finansowego 2014-2021 i budżetu państwa. </w:t>
            </w:r>
          </w:p>
          <w:p w14:paraId="721DA1ED"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Wśród wybranych projektów znalazły się m.in. przedsięwzięcia w obszarze geriatrii oraz chorób przewlekłych. Testowanie rozwiązań </w:t>
            </w:r>
            <w:proofErr w:type="spellStart"/>
            <w:r w:rsidRPr="005911C6">
              <w:rPr>
                <w:rFonts w:ascii="Lato" w:hAnsi="Lato"/>
                <w:sz w:val="18"/>
                <w:szCs w:val="18"/>
              </w:rPr>
              <w:t>telemedycznych</w:t>
            </w:r>
            <w:proofErr w:type="spellEnd"/>
            <w:r w:rsidRPr="005911C6">
              <w:rPr>
                <w:rFonts w:ascii="Lato" w:hAnsi="Lato"/>
                <w:sz w:val="18"/>
                <w:szCs w:val="18"/>
              </w:rPr>
              <w:t xml:space="preserve"> potrwa do końca 2023 r.</w:t>
            </w:r>
          </w:p>
          <w:p w14:paraId="35B48D1C"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Narodowy Instytut Geriatrii, Reumatologii i Rehabilitacji był </w:t>
            </w:r>
            <w:proofErr w:type="spellStart"/>
            <w:r w:rsidRPr="005911C6">
              <w:rPr>
                <w:rFonts w:ascii="Lato" w:eastAsia="MS Mincho" w:hAnsi="Lato" w:cs="Times New Roman"/>
                <w:bCs/>
                <w:sz w:val="18"/>
                <w:szCs w:val="18"/>
              </w:rPr>
              <w:t>grantobiorcą</w:t>
            </w:r>
            <w:proofErr w:type="spellEnd"/>
            <w:r w:rsidRPr="005911C6">
              <w:rPr>
                <w:rFonts w:ascii="Lato" w:eastAsia="MS Mincho" w:hAnsi="Lato" w:cs="Times New Roman"/>
                <w:bCs/>
                <w:sz w:val="18"/>
                <w:szCs w:val="18"/>
              </w:rPr>
              <w:t xml:space="preserve"> projektu pn. Dostępność Plus dla Zdrowia, który finansowany jest Funduszy Europejskich. </w:t>
            </w:r>
          </w:p>
          <w:p w14:paraId="6A962DA2"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Celem realizowanego projektu było zapewnienie swobodnego dostępu do dóbr, usług oraz możliwości udziału w życiu społecznym i publicznym, w tym  osób o szczególnych potrzebach. Obejmował on dostosowanie przestrzeni publicznej, architektury, </w:t>
            </w:r>
            <w:r w:rsidRPr="005911C6">
              <w:rPr>
                <w:rFonts w:ascii="Lato" w:hAnsi="Lato"/>
                <w:sz w:val="18"/>
                <w:szCs w:val="18"/>
              </w:rPr>
              <w:t xml:space="preserve"> </w:t>
            </w:r>
            <w:r w:rsidRPr="005911C6">
              <w:rPr>
                <w:rFonts w:ascii="Lato" w:eastAsia="MS Mincho" w:hAnsi="Lato" w:cs="Times New Roman"/>
                <w:bCs/>
                <w:sz w:val="18"/>
                <w:szCs w:val="18"/>
              </w:rPr>
              <w:t xml:space="preserve">transportu i produktów do szczególnych wymagań odbiorców świadczeń, w tym szczególnie seniorów.  Dzięki temu dofinansowaniu pacjenci aktualnie mogą skorzystać ze strony internetowej, zaprojektowanej </w:t>
            </w:r>
            <w:r w:rsidRPr="005911C6">
              <w:rPr>
                <w:rFonts w:ascii="Lato" w:eastAsia="MS Mincho" w:hAnsi="Lato" w:cs="Times New Roman"/>
                <w:bCs/>
                <w:sz w:val="18"/>
                <w:szCs w:val="18"/>
              </w:rPr>
              <w:lastRenderedPageBreak/>
              <w:t xml:space="preserve">również dla osób ze szczególnymi potrzebami, łatwiej i bezpieczniej poruszać się po Instytucie </w:t>
            </w:r>
            <w:r w:rsidRPr="005911C6">
              <w:rPr>
                <w:rFonts w:ascii="Lato" w:eastAsia="MS Mincho" w:hAnsi="Lato" w:cs="Times New Roman"/>
                <w:bCs/>
                <w:sz w:val="18"/>
                <w:szCs w:val="18"/>
              </w:rPr>
              <w:br/>
              <w:t>w części klinicznej, zabiegowej, Izbie Przyjęć, Zespole Poradni specjalistycznych oraz części diagnostycznej, skorzystać z nowej windy, umówić wizytę on-line co bezpośrednio wpływa na  skuteczność działań w zakresie promocji zdrowia i profilaktyki chorób wśród seniorów oraz wzmacnia efektywność stosowanych terapii.</w:t>
            </w:r>
          </w:p>
          <w:p w14:paraId="1E617E1D" w14:textId="77777777" w:rsidR="00CD7ACE" w:rsidRPr="005911C6" w:rsidRDefault="00CD7ACE" w:rsidP="005911C6">
            <w:pPr>
              <w:spacing w:after="0" w:line="240" w:lineRule="auto"/>
              <w:rPr>
                <w:rFonts w:ascii="Lato" w:eastAsia="MS Mincho" w:hAnsi="Lato" w:cs="Times New Roman"/>
                <w:bCs/>
                <w:sz w:val="18"/>
                <w:szCs w:val="18"/>
              </w:rPr>
            </w:pPr>
          </w:p>
          <w:p w14:paraId="1D2FE558"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W Narodowym Instytucie Geriatrii, Reumatologii i Rehabilitacji w 2021r. uruchomiono Pracownię Oceny Stanu Odżywienia i Diagnostyki </w:t>
            </w:r>
            <w:proofErr w:type="spellStart"/>
            <w:r w:rsidRPr="005911C6">
              <w:rPr>
                <w:rFonts w:ascii="Lato" w:eastAsia="MS Mincho" w:hAnsi="Lato" w:cs="Times New Roman"/>
                <w:bCs/>
                <w:sz w:val="18"/>
                <w:szCs w:val="18"/>
              </w:rPr>
              <w:t>Sarkopenii</w:t>
            </w:r>
            <w:proofErr w:type="spellEnd"/>
            <w:r w:rsidRPr="005911C6">
              <w:rPr>
                <w:rFonts w:ascii="Lato" w:eastAsia="MS Mincho" w:hAnsi="Lato" w:cs="Times New Roman"/>
                <w:bCs/>
                <w:sz w:val="18"/>
                <w:szCs w:val="18"/>
              </w:rPr>
              <w:t xml:space="preserve"> a w 2022r. - Pracownię Aktywizacji Seniorów. </w:t>
            </w:r>
          </w:p>
          <w:p w14:paraId="517E2D65"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Do zadań Pracowni  Oceny Stanu Odżywienia i Diagnostyki </w:t>
            </w:r>
            <w:proofErr w:type="spellStart"/>
            <w:r w:rsidRPr="005911C6">
              <w:rPr>
                <w:rFonts w:ascii="Lato" w:eastAsia="MS Mincho" w:hAnsi="Lato" w:cs="Times New Roman"/>
                <w:bCs/>
                <w:sz w:val="18"/>
                <w:szCs w:val="18"/>
              </w:rPr>
              <w:t>Sarkopenii</w:t>
            </w:r>
            <w:proofErr w:type="spellEnd"/>
            <w:r w:rsidRPr="005911C6">
              <w:rPr>
                <w:rFonts w:ascii="Lato" w:eastAsia="MS Mincho" w:hAnsi="Lato" w:cs="Times New Roman"/>
                <w:bCs/>
                <w:sz w:val="18"/>
                <w:szCs w:val="18"/>
              </w:rPr>
              <w:t xml:space="preserve"> należą: prowadzenie oceny stanu odżywienia i oceny ryzyka niedożywienia związanego z chorobą, pacjentów przebywających w szpitalu, zwłaszcza ludzi starszych; planowanie i wdrożenie postępowania żywieniowego, we współpracy z zespołem terapeutycznym, nadzór nad monitorowaniem postępowania żywieniowego; rozpoznawanie innych problemów żywieniowych pacjentów i planowanie odpowiedniego postępowania dietetycznego; udzielanie porad dietetycznych osobom zdrowym oraz z chorobami </w:t>
            </w:r>
            <w:proofErr w:type="spellStart"/>
            <w:r w:rsidRPr="005911C6">
              <w:rPr>
                <w:rFonts w:ascii="Lato" w:eastAsia="MS Mincho" w:hAnsi="Lato" w:cs="Times New Roman"/>
                <w:bCs/>
                <w:sz w:val="18"/>
                <w:szCs w:val="18"/>
              </w:rPr>
              <w:t>dietozależnymi</w:t>
            </w:r>
            <w:proofErr w:type="spellEnd"/>
            <w:r w:rsidRPr="005911C6">
              <w:rPr>
                <w:rFonts w:ascii="Lato" w:eastAsia="MS Mincho" w:hAnsi="Lato" w:cs="Times New Roman"/>
                <w:bCs/>
                <w:sz w:val="18"/>
                <w:szCs w:val="18"/>
              </w:rPr>
              <w:t xml:space="preserve"> i planowanie diety; edukacja osób zdrowych i chorych na temat prawidłowego odżywiania i aktywności fizycznej, w zapobieganiu chorobom </w:t>
            </w:r>
            <w:r w:rsidRPr="005911C6">
              <w:rPr>
                <w:rFonts w:ascii="Lato" w:hAnsi="Lato"/>
                <w:sz w:val="18"/>
                <w:szCs w:val="18"/>
              </w:rPr>
              <w:t xml:space="preserve"> </w:t>
            </w:r>
            <w:r w:rsidRPr="005911C6">
              <w:rPr>
                <w:rFonts w:ascii="Lato" w:eastAsia="MS Mincho" w:hAnsi="Lato" w:cs="Times New Roman"/>
                <w:bCs/>
                <w:sz w:val="18"/>
                <w:szCs w:val="18"/>
              </w:rPr>
              <w:t>cywilizacyjnym.</w:t>
            </w:r>
          </w:p>
          <w:p w14:paraId="70A06005"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Pracownie dysponują sprzętem wysoko specjalistycznym, dedykowanym seniorom np. analizatorem składu ciała do badań klinicznych i kalorymetrem, przyrządami do ćwiczeń aerobowych, rozciągających, siłowych i  koordynacji, urządzeniami do treningu kontroli postawy i równowagi  (platformą </w:t>
            </w:r>
            <w:proofErr w:type="spellStart"/>
            <w:r w:rsidRPr="005911C6">
              <w:rPr>
                <w:rFonts w:ascii="Lato" w:eastAsia="MS Mincho" w:hAnsi="Lato" w:cs="Times New Roman"/>
                <w:bCs/>
                <w:sz w:val="18"/>
                <w:szCs w:val="18"/>
              </w:rPr>
              <w:t>posturograficzną</w:t>
            </w:r>
            <w:proofErr w:type="spellEnd"/>
            <w:r w:rsidRPr="005911C6">
              <w:rPr>
                <w:rFonts w:ascii="Lato" w:eastAsia="MS Mincho" w:hAnsi="Lato" w:cs="Times New Roman"/>
                <w:bCs/>
                <w:sz w:val="18"/>
                <w:szCs w:val="18"/>
              </w:rPr>
              <w:t xml:space="preserve">), urządzeniami do reedukacji chodu (bieżnia, barierki), sprzętem wykorzystującym wirtualną rzeczywistość (np. </w:t>
            </w:r>
            <w:proofErr w:type="spellStart"/>
            <w:r w:rsidRPr="005911C6">
              <w:rPr>
                <w:rFonts w:ascii="Lato" w:eastAsia="MS Mincho" w:hAnsi="Lato" w:cs="Times New Roman"/>
                <w:bCs/>
                <w:sz w:val="18"/>
                <w:szCs w:val="18"/>
              </w:rPr>
              <w:t>Neuroforma</w:t>
            </w:r>
            <w:proofErr w:type="spellEnd"/>
            <w:r w:rsidRPr="005911C6">
              <w:rPr>
                <w:rFonts w:ascii="Lato" w:eastAsia="MS Mincho" w:hAnsi="Lato" w:cs="Times New Roman"/>
                <w:bCs/>
                <w:sz w:val="18"/>
                <w:szCs w:val="18"/>
              </w:rPr>
              <w:t xml:space="preserve">, </w:t>
            </w:r>
            <w:proofErr w:type="spellStart"/>
            <w:r w:rsidRPr="005911C6">
              <w:rPr>
                <w:rFonts w:ascii="Lato" w:eastAsia="MS Mincho" w:hAnsi="Lato" w:cs="Times New Roman"/>
                <w:bCs/>
                <w:sz w:val="18"/>
                <w:szCs w:val="18"/>
              </w:rPr>
              <w:t>Rehafloor</w:t>
            </w:r>
            <w:proofErr w:type="spellEnd"/>
            <w:r w:rsidRPr="005911C6">
              <w:rPr>
                <w:rFonts w:ascii="Lato" w:eastAsia="MS Mincho" w:hAnsi="Lato" w:cs="Times New Roman"/>
                <w:bCs/>
                <w:sz w:val="18"/>
                <w:szCs w:val="18"/>
              </w:rPr>
              <w:t xml:space="preserve">). </w:t>
            </w:r>
          </w:p>
          <w:p w14:paraId="1FF5CEF1" w14:textId="539081F9" w:rsidR="003C25C5" w:rsidRPr="005911C6" w:rsidRDefault="00CD7ACE"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Cs/>
                <w:sz w:val="18"/>
                <w:szCs w:val="18"/>
              </w:rPr>
              <w:t>W Pracowni Aktywizacji Seniorów prowadzona jest diagnostyka funkcjonalna, ocena wydolności organizmu, opracowywanie interwencji dla każdego pacjenta indywidualnie, wdrażanie działań poprawiających sprawność ogólną i funkcjonowanie seniora, ewaluacja efektów treningu/terapii, przygotowanie seniorów do zabiegów ortopedycznych, w celu skrócenia czasu unieruchomienia i hospitalizacji, a także poprawy bezpieczeństwa i komfortu pacjentów.</w:t>
            </w:r>
          </w:p>
        </w:tc>
      </w:tr>
      <w:tr w:rsidR="003C25C5" w:rsidRPr="005911C6" w14:paraId="486E3736" w14:textId="77777777" w:rsidTr="008C67C9">
        <w:trPr>
          <w:trHeight w:val="720"/>
        </w:trPr>
        <w:tc>
          <w:tcPr>
            <w:tcW w:w="1232" w:type="dxa"/>
            <w:vMerge/>
            <w:shd w:val="clear" w:color="auto" w:fill="FFFFFF" w:themeFill="background1"/>
          </w:tcPr>
          <w:p w14:paraId="0228D81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3F60AD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Ułatwienie dostępu do materiałów </w:t>
            </w:r>
            <w:r w:rsidRPr="005911C6">
              <w:rPr>
                <w:rFonts w:ascii="Lato" w:eastAsia="MS Mincho" w:hAnsi="Lato"/>
                <w:sz w:val="18"/>
                <w:szCs w:val="18"/>
              </w:rPr>
              <w:br/>
              <w:t>i sprzętu oraz świadczeń opieki zdrowotnej, wyrobów medycznych rekompensujących utraconą sprawność</w:t>
            </w:r>
          </w:p>
        </w:tc>
        <w:tc>
          <w:tcPr>
            <w:tcW w:w="2032" w:type="dxa"/>
            <w:vMerge w:val="restart"/>
            <w:shd w:val="clear" w:color="auto" w:fill="FFFFFF" w:themeFill="background1"/>
          </w:tcPr>
          <w:p w14:paraId="410A03C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p w14:paraId="384043B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Rozwoju i Technologii</w:t>
            </w:r>
            <w:r w:rsidRPr="005911C6">
              <w:rPr>
                <w:rFonts w:ascii="Lato" w:eastAsia="MS Mincho" w:hAnsi="Lato"/>
                <w:sz w:val="18"/>
                <w:szCs w:val="18"/>
              </w:rPr>
              <w:tab/>
            </w:r>
          </w:p>
        </w:tc>
        <w:tc>
          <w:tcPr>
            <w:tcW w:w="1500" w:type="dxa"/>
            <w:vMerge w:val="restart"/>
            <w:shd w:val="clear" w:color="auto" w:fill="FFFFFF" w:themeFill="background1"/>
          </w:tcPr>
          <w:p w14:paraId="1472631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350A8F3"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Poziom zaspokojenia potrzeb osób korzystających z materiałów i sprzętu oraz świadczeń opieki zdrowotnej, wyrobów medycznych rekompensujących utraconą sprawność</w:t>
            </w:r>
          </w:p>
        </w:tc>
      </w:tr>
      <w:tr w:rsidR="003C25C5" w:rsidRPr="005911C6" w14:paraId="34004152" w14:textId="77777777" w:rsidTr="008C67C9">
        <w:trPr>
          <w:trHeight w:val="720"/>
        </w:trPr>
        <w:tc>
          <w:tcPr>
            <w:tcW w:w="1232" w:type="dxa"/>
            <w:vMerge/>
            <w:shd w:val="clear" w:color="auto" w:fill="FFFFFF" w:themeFill="background1"/>
          </w:tcPr>
          <w:p w14:paraId="4748F0A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44525F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BCD37E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AE6C9AD"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98B32FB"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32FCDBDB" w14:textId="7CE1A510" w:rsidR="00CD7ACE" w:rsidRPr="005911C6" w:rsidRDefault="00CD7ACE" w:rsidP="005911C6">
            <w:pPr>
              <w:spacing w:after="0" w:line="240" w:lineRule="auto"/>
              <w:rPr>
                <w:rFonts w:ascii="Lato" w:eastAsia="MS Mincho" w:hAnsi="Lato" w:cs="Times New Roman"/>
                <w:b/>
                <w:sz w:val="18"/>
                <w:szCs w:val="18"/>
                <w:u w:val="single"/>
              </w:rPr>
            </w:pPr>
            <w:r w:rsidRPr="005911C6">
              <w:rPr>
                <w:rFonts w:ascii="Lato" w:hAnsi="Lato"/>
                <w:sz w:val="18"/>
                <w:szCs w:val="18"/>
              </w:rPr>
              <w:t xml:space="preserve">Od 1 stycznia 2023 r. weszła w życie nowelizacja rozporządzenia Ministra Zdrowia w sprawie wykazu wyrobów medycznych na zlecenie osoby uprawnionej. Znaczenie poszerzono dostęp pacjentów do: - wózków inwalidzkich, </w:t>
            </w:r>
            <w:r w:rsidRPr="005911C6">
              <w:rPr>
                <w:rFonts w:ascii="Lato" w:hAnsi="Lato"/>
                <w:sz w:val="18"/>
                <w:szCs w:val="18"/>
              </w:rPr>
              <w:br/>
              <w:t xml:space="preserve">w tym wózków elektrycznych - balkoników i chodzików - aparatów słuchowych - wyrobów </w:t>
            </w:r>
            <w:proofErr w:type="spellStart"/>
            <w:r w:rsidRPr="005911C6">
              <w:rPr>
                <w:rFonts w:ascii="Lato" w:hAnsi="Lato"/>
                <w:sz w:val="18"/>
                <w:szCs w:val="18"/>
              </w:rPr>
              <w:t>stomijnych</w:t>
            </w:r>
            <w:proofErr w:type="spellEnd"/>
            <w:r w:rsidRPr="005911C6">
              <w:rPr>
                <w:rFonts w:ascii="Lato" w:eastAsia="MS Mincho" w:hAnsi="Lato" w:cs="Times New Roman"/>
                <w:b/>
                <w:sz w:val="18"/>
                <w:szCs w:val="18"/>
                <w:u w:val="single"/>
              </w:rPr>
              <w:t>.</w:t>
            </w:r>
          </w:p>
          <w:p w14:paraId="20AE6500" w14:textId="0B96CB2B" w:rsidR="00E37576" w:rsidRPr="005911C6" w:rsidRDefault="00E37576"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Ministerstwo Funduszy i Polityki Regionalnej</w:t>
            </w:r>
          </w:p>
          <w:p w14:paraId="0465823A" w14:textId="7C81F791" w:rsidR="00E37576" w:rsidRPr="005911C6" w:rsidRDefault="00E37576" w:rsidP="005911C6">
            <w:pPr>
              <w:spacing w:after="0" w:line="240" w:lineRule="auto"/>
              <w:ind w:left="-90"/>
              <w:rPr>
                <w:rFonts w:ascii="Lato" w:eastAsia="Times New Roman" w:hAnsi="Lato" w:cs="Times New Roman"/>
                <w:sz w:val="18"/>
                <w:szCs w:val="18"/>
              </w:rPr>
            </w:pPr>
            <w:r w:rsidRPr="005911C6">
              <w:rPr>
                <w:rFonts w:ascii="Lato" w:eastAsia="Times New Roman" w:hAnsi="Lato" w:cs="Times New Roman"/>
                <w:sz w:val="18"/>
                <w:szCs w:val="18"/>
              </w:rPr>
              <w:t xml:space="preserve">Tego typu interwencja jest realizowana m.in. w projektach współfinansowanych z EFS w Regionalnych Programach Operacyjnych. Działania mają na celu ułatwianie dostępu do przystępnych cenowo, trwałych oraz wysokiej jakości usług, w 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w:t>
            </w:r>
            <w:proofErr w:type="spellStart"/>
            <w:r w:rsidRPr="005911C6">
              <w:rPr>
                <w:rFonts w:ascii="Lato" w:eastAsia="Times New Roman" w:hAnsi="Lato" w:cs="Times New Roman"/>
                <w:sz w:val="18"/>
                <w:szCs w:val="18"/>
              </w:rPr>
              <w:t>zdeinstytucjonalizowanych</w:t>
            </w:r>
            <w:proofErr w:type="spellEnd"/>
            <w:r w:rsidRPr="005911C6">
              <w:rPr>
                <w:rFonts w:ascii="Lato" w:eastAsia="Times New Roman" w:hAnsi="Lato" w:cs="Times New Roman"/>
                <w:sz w:val="18"/>
                <w:szCs w:val="18"/>
              </w:rPr>
              <w:t xml:space="preserve"> oraz przygotowania i tworzenia wypożyczalni sprzętu rehabilitacyjnego, pielęgnacyjnego i wspomagającego, połączonego z doradztwem w doborze sprzętu, treningami z zakresu samoobsługi wypożyczonego sprzętu oraz przygotowaniem warunków do opieki domowej.</w:t>
            </w:r>
          </w:p>
          <w:p w14:paraId="244CDE7E" w14:textId="4541AC8F" w:rsidR="003C25C5" w:rsidRPr="005911C6" w:rsidRDefault="00E37576" w:rsidP="005911C6">
            <w:pPr>
              <w:spacing w:after="0" w:line="240" w:lineRule="auto"/>
              <w:rPr>
                <w:rFonts w:ascii="Lato" w:eastAsia="MS Mincho" w:hAnsi="Lato" w:cs="Times New Roman"/>
                <w:b/>
                <w:sz w:val="18"/>
                <w:szCs w:val="18"/>
                <w:u w:val="single"/>
              </w:rPr>
            </w:pPr>
            <w:proofErr w:type="spellStart"/>
            <w:r w:rsidRPr="005911C6">
              <w:rPr>
                <w:rFonts w:ascii="Lato" w:eastAsia="Times New Roman" w:hAnsi="Lato" w:cs="Times New Roman"/>
                <w:sz w:val="18"/>
                <w:szCs w:val="18"/>
              </w:rPr>
              <w:t>MFiPR</w:t>
            </w:r>
            <w:proofErr w:type="spellEnd"/>
            <w:r w:rsidRPr="005911C6">
              <w:rPr>
                <w:rFonts w:ascii="Lato" w:eastAsia="Times New Roman" w:hAnsi="Lato" w:cs="Times New Roman"/>
                <w:sz w:val="18"/>
                <w:szCs w:val="18"/>
              </w:rPr>
              <w:t xml:space="preserve"> nie posiada danych nt. poziomu zaspokojenia potrzeb osób korzystających z materiałów i sprzętu oraz świadczeń opieki zdrowotnej, wyrobów medycznych rekompensujących utraconą sprawność.</w:t>
            </w:r>
          </w:p>
        </w:tc>
      </w:tr>
      <w:tr w:rsidR="003C25C5" w:rsidRPr="005911C6" w14:paraId="29CD9E02" w14:textId="77777777" w:rsidTr="008C67C9">
        <w:trPr>
          <w:trHeight w:val="720"/>
        </w:trPr>
        <w:tc>
          <w:tcPr>
            <w:tcW w:w="1232" w:type="dxa"/>
            <w:vMerge/>
            <w:shd w:val="clear" w:color="auto" w:fill="FFFFFF" w:themeFill="background1"/>
          </w:tcPr>
          <w:p w14:paraId="08D6AD7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EC8D34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Wykorzystanie nowoczesnych technologii dla rekompensowania utraconej sprawności </w:t>
            </w:r>
            <w:r w:rsidRPr="005911C6">
              <w:rPr>
                <w:rFonts w:ascii="Lato" w:hAnsi="Lato"/>
                <w:sz w:val="18"/>
                <w:szCs w:val="18"/>
              </w:rPr>
              <w:t>i wzmacniania samodzielności</w:t>
            </w:r>
          </w:p>
        </w:tc>
        <w:tc>
          <w:tcPr>
            <w:tcW w:w="2032" w:type="dxa"/>
            <w:vMerge w:val="restart"/>
            <w:shd w:val="clear" w:color="auto" w:fill="FFFFFF" w:themeFill="background1"/>
          </w:tcPr>
          <w:p w14:paraId="695DC44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4D3F92D6"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1AF0FAA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wykorzystanych nowoczesnych technologii dla rekompensowania utraconej sprawności</w:t>
            </w:r>
          </w:p>
        </w:tc>
      </w:tr>
      <w:tr w:rsidR="003C25C5" w:rsidRPr="005911C6" w14:paraId="582006C2" w14:textId="77777777" w:rsidTr="008C67C9">
        <w:trPr>
          <w:trHeight w:val="720"/>
        </w:trPr>
        <w:tc>
          <w:tcPr>
            <w:tcW w:w="1232" w:type="dxa"/>
            <w:vMerge/>
            <w:shd w:val="clear" w:color="auto" w:fill="FFFFFF" w:themeFill="background1"/>
          </w:tcPr>
          <w:p w14:paraId="5033806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2D2BD4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9B4F56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E38819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994FB2B"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344F963" w14:textId="6D8A71D9" w:rsidR="003C25C5" w:rsidRPr="005911C6" w:rsidRDefault="00CD7ACE" w:rsidP="005911C6">
            <w:pPr>
              <w:spacing w:after="0" w:line="240" w:lineRule="auto"/>
              <w:rPr>
                <w:rFonts w:ascii="Lato" w:hAnsi="Lato"/>
                <w:sz w:val="18"/>
                <w:szCs w:val="18"/>
              </w:rPr>
            </w:pPr>
            <w:r w:rsidRPr="005911C6">
              <w:rPr>
                <w:rFonts w:ascii="Lato" w:hAnsi="Lato"/>
                <w:sz w:val="18"/>
                <w:szCs w:val="18"/>
              </w:rPr>
              <w:t xml:space="preserve">Od 1 stycznia 2023 r. weszła w życie nowelizacja rozporządzenia Ministra Zdrowia w sprawie wykazu wyrobów medycznych na zlecenie osoby uprawnionej. Udostępniono </w:t>
            </w:r>
            <w:r w:rsidRPr="005911C6">
              <w:rPr>
                <w:rFonts w:ascii="Lato" w:hAnsi="Lato"/>
                <w:sz w:val="18"/>
                <w:szCs w:val="18"/>
              </w:rPr>
              <w:br/>
              <w:t xml:space="preserve">w refundacji nowoczesne systemy monitorowania glikemii, </w:t>
            </w:r>
            <w:r w:rsidRPr="005911C6">
              <w:rPr>
                <w:rFonts w:ascii="Lato" w:hAnsi="Lato"/>
                <w:sz w:val="18"/>
                <w:szCs w:val="18"/>
              </w:rPr>
              <w:br/>
              <w:t>w tym także systemy z aplikacją dedykowaną osobom niewidomym m.in. w populacji pacjentów z cukrzycą typu 2, wymagającym intensywnej insulinoterapii.</w:t>
            </w:r>
          </w:p>
        </w:tc>
      </w:tr>
      <w:tr w:rsidR="003C25C5" w:rsidRPr="005911C6" w14:paraId="6B4355A1" w14:textId="77777777" w:rsidTr="008C67C9">
        <w:trPr>
          <w:trHeight w:val="720"/>
        </w:trPr>
        <w:tc>
          <w:tcPr>
            <w:tcW w:w="1232" w:type="dxa"/>
            <w:vMerge/>
            <w:shd w:val="clear" w:color="auto" w:fill="FFFFFF" w:themeFill="background1"/>
          </w:tcPr>
          <w:p w14:paraId="5FB02F5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51622C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opracowywania oraz upowszechniania innowacyjnych rozwiązań i technologii w obszarze zdrowia i telemedycyny</w:t>
            </w:r>
          </w:p>
        </w:tc>
        <w:tc>
          <w:tcPr>
            <w:tcW w:w="2032" w:type="dxa"/>
            <w:vMerge w:val="restart"/>
            <w:shd w:val="clear" w:color="auto" w:fill="FFFFFF" w:themeFill="background1"/>
          </w:tcPr>
          <w:p w14:paraId="3D403EC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 Cyfryzacji, Ministerstwo Edukacji i Nauki</w:t>
            </w:r>
          </w:p>
        </w:tc>
        <w:tc>
          <w:tcPr>
            <w:tcW w:w="1500" w:type="dxa"/>
            <w:vMerge w:val="restart"/>
            <w:shd w:val="clear" w:color="auto" w:fill="FFFFFF" w:themeFill="background1"/>
          </w:tcPr>
          <w:p w14:paraId="64B4102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6ADCC883"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wspartych programów mających na celu opracowywanie oraz upowszechnianie innowacyjnych rozwiązań i technologii w obszarze zdrowia i telemedycyny</w:t>
            </w:r>
          </w:p>
          <w:p w14:paraId="33053EB4" w14:textId="77777777" w:rsidR="003C25C5" w:rsidRPr="005911C6" w:rsidRDefault="003C25C5" w:rsidP="005911C6">
            <w:pPr>
              <w:spacing w:after="0" w:line="240" w:lineRule="auto"/>
              <w:rPr>
                <w:rFonts w:ascii="Lato" w:eastAsia="MS Mincho" w:hAnsi="Lato" w:cs="Times New Roman"/>
                <w:b/>
                <w:sz w:val="18"/>
                <w:szCs w:val="18"/>
                <w:u w:val="single"/>
              </w:rPr>
            </w:pPr>
          </w:p>
        </w:tc>
      </w:tr>
      <w:tr w:rsidR="003C25C5" w:rsidRPr="005911C6" w14:paraId="45F1148B" w14:textId="77777777" w:rsidTr="008C67C9">
        <w:trPr>
          <w:trHeight w:val="720"/>
        </w:trPr>
        <w:tc>
          <w:tcPr>
            <w:tcW w:w="1232" w:type="dxa"/>
            <w:vMerge/>
            <w:shd w:val="clear" w:color="auto" w:fill="FFFFFF" w:themeFill="background1"/>
          </w:tcPr>
          <w:p w14:paraId="1139045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367509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D8BC7C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67B56F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DE9C5EA"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53129395" w14:textId="77777777" w:rsidR="00CD7ACE" w:rsidRPr="005911C6" w:rsidRDefault="00CD7ACE" w:rsidP="005911C6">
            <w:pPr>
              <w:spacing w:after="0" w:line="240" w:lineRule="auto"/>
              <w:rPr>
                <w:rFonts w:ascii="Lato" w:eastAsia="MS Mincho" w:hAnsi="Lato" w:cs="Times New Roman"/>
                <w:bCs/>
                <w:sz w:val="18"/>
                <w:szCs w:val="18"/>
                <w:lang w:val="en-GB"/>
              </w:rPr>
            </w:pPr>
            <w:proofErr w:type="spellStart"/>
            <w:r w:rsidRPr="005911C6">
              <w:rPr>
                <w:rFonts w:ascii="Lato" w:eastAsia="MS Mincho" w:hAnsi="Lato" w:cs="Times New Roman"/>
                <w:bCs/>
                <w:sz w:val="18"/>
                <w:szCs w:val="18"/>
                <w:lang w:val="en-GB"/>
              </w:rPr>
              <w:t>Projekt</w:t>
            </w:r>
            <w:proofErr w:type="spellEnd"/>
            <w:r w:rsidRPr="005911C6">
              <w:rPr>
                <w:rFonts w:ascii="Lato" w:eastAsia="MS Mincho" w:hAnsi="Lato" w:cs="Times New Roman"/>
                <w:bCs/>
                <w:sz w:val="18"/>
                <w:szCs w:val="18"/>
                <w:lang w:val="en-GB"/>
              </w:rPr>
              <w:t xml:space="preserve"> </w:t>
            </w:r>
            <w:proofErr w:type="spellStart"/>
            <w:r w:rsidRPr="005911C6">
              <w:rPr>
                <w:rFonts w:ascii="Lato" w:eastAsia="MS Mincho" w:hAnsi="Lato" w:cs="Times New Roman"/>
                <w:bCs/>
                <w:sz w:val="18"/>
                <w:szCs w:val="18"/>
                <w:lang w:val="en-GB"/>
              </w:rPr>
              <w:t>pn</w:t>
            </w:r>
            <w:proofErr w:type="spellEnd"/>
            <w:r w:rsidRPr="005911C6">
              <w:rPr>
                <w:rFonts w:ascii="Lato" w:eastAsia="MS Mincho" w:hAnsi="Lato" w:cs="Times New Roman"/>
                <w:bCs/>
                <w:sz w:val="18"/>
                <w:szCs w:val="18"/>
                <w:lang w:val="en-GB"/>
              </w:rPr>
              <w:t xml:space="preserve">. Older People and COVID-19 - New Challenges for Public Health in Poland </w:t>
            </w:r>
            <w:proofErr w:type="spellStart"/>
            <w:r w:rsidRPr="005911C6">
              <w:rPr>
                <w:rFonts w:ascii="Lato" w:eastAsia="MS Mincho" w:hAnsi="Lato" w:cs="Times New Roman"/>
                <w:bCs/>
                <w:sz w:val="18"/>
                <w:szCs w:val="18"/>
                <w:lang w:val="en-GB"/>
              </w:rPr>
              <w:t>przeprowadzany</w:t>
            </w:r>
            <w:proofErr w:type="spellEnd"/>
            <w:r w:rsidRPr="005911C6">
              <w:rPr>
                <w:rFonts w:ascii="Lato" w:eastAsia="MS Mincho" w:hAnsi="Lato" w:cs="Times New Roman"/>
                <w:bCs/>
                <w:sz w:val="18"/>
                <w:szCs w:val="18"/>
                <w:lang w:val="en-GB"/>
              </w:rPr>
              <w:t xml:space="preserve"> </w:t>
            </w:r>
            <w:proofErr w:type="spellStart"/>
            <w:r w:rsidRPr="005911C6">
              <w:rPr>
                <w:rFonts w:ascii="Lato" w:eastAsia="MS Mincho" w:hAnsi="Lato" w:cs="Times New Roman"/>
                <w:bCs/>
                <w:sz w:val="18"/>
                <w:szCs w:val="18"/>
                <w:lang w:val="en-GB"/>
              </w:rPr>
              <w:t>przy</w:t>
            </w:r>
            <w:proofErr w:type="spellEnd"/>
            <w:r w:rsidRPr="005911C6">
              <w:rPr>
                <w:rFonts w:ascii="Lato" w:eastAsia="MS Mincho" w:hAnsi="Lato" w:cs="Times New Roman"/>
                <w:bCs/>
                <w:sz w:val="18"/>
                <w:szCs w:val="18"/>
                <w:lang w:val="en-GB"/>
              </w:rPr>
              <w:t xml:space="preserve"> </w:t>
            </w:r>
            <w:proofErr w:type="spellStart"/>
            <w:r w:rsidRPr="005911C6">
              <w:rPr>
                <w:rFonts w:ascii="Lato" w:eastAsia="MS Mincho" w:hAnsi="Lato" w:cs="Times New Roman"/>
                <w:bCs/>
                <w:sz w:val="18"/>
                <w:szCs w:val="18"/>
                <w:lang w:val="en-GB"/>
              </w:rPr>
              <w:t>współpracy</w:t>
            </w:r>
            <w:proofErr w:type="spellEnd"/>
            <w:r w:rsidRPr="005911C6">
              <w:rPr>
                <w:rFonts w:ascii="Lato" w:eastAsia="MS Mincho" w:hAnsi="Lato" w:cs="Times New Roman"/>
                <w:bCs/>
                <w:sz w:val="18"/>
                <w:szCs w:val="18"/>
                <w:lang w:val="en-GB"/>
              </w:rPr>
              <w:t xml:space="preserve"> </w:t>
            </w:r>
            <w:r w:rsidRPr="005911C6">
              <w:rPr>
                <w:rFonts w:ascii="Lato" w:eastAsia="MS Mincho" w:hAnsi="Lato" w:cs="Times New Roman"/>
                <w:bCs/>
                <w:sz w:val="18"/>
                <w:szCs w:val="18"/>
                <w:lang w:val="en-GB"/>
              </w:rPr>
              <w:br/>
              <w:t xml:space="preserve">z WHO. </w:t>
            </w:r>
          </w:p>
          <w:p w14:paraId="0AB49340"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Projekt miał na celu zaktualizowane </w:t>
            </w:r>
            <w:proofErr w:type="spellStart"/>
            <w:r w:rsidRPr="005911C6">
              <w:rPr>
                <w:rFonts w:ascii="Lato" w:eastAsia="MS Mincho" w:hAnsi="Lato" w:cs="Times New Roman"/>
                <w:bCs/>
                <w:sz w:val="18"/>
                <w:szCs w:val="18"/>
              </w:rPr>
              <w:t>chatbota</w:t>
            </w:r>
            <w:proofErr w:type="spellEnd"/>
            <w:r w:rsidRPr="005911C6">
              <w:rPr>
                <w:rFonts w:ascii="Lato" w:eastAsia="MS Mincho" w:hAnsi="Lato" w:cs="Times New Roman"/>
                <w:bCs/>
                <w:sz w:val="18"/>
                <w:szCs w:val="18"/>
              </w:rPr>
              <w:t xml:space="preserve"> pn. </w:t>
            </w:r>
            <w:proofErr w:type="spellStart"/>
            <w:r w:rsidRPr="005911C6">
              <w:rPr>
                <w:rFonts w:ascii="Lato" w:eastAsia="MS Mincho" w:hAnsi="Lato" w:cs="Times New Roman"/>
                <w:bCs/>
                <w:sz w:val="18"/>
                <w:szCs w:val="18"/>
              </w:rPr>
              <w:t>HealthBuddy</w:t>
            </w:r>
            <w:proofErr w:type="spellEnd"/>
            <w:r w:rsidRPr="005911C6">
              <w:rPr>
                <w:rFonts w:ascii="Lato" w:eastAsia="MS Mincho" w:hAnsi="Lato" w:cs="Times New Roman"/>
                <w:bCs/>
                <w:sz w:val="18"/>
                <w:szCs w:val="18"/>
              </w:rPr>
              <w:t xml:space="preserve"> oraz nauczenie go rozumienia języka polskiego. </w:t>
            </w:r>
            <w:proofErr w:type="spellStart"/>
            <w:r w:rsidRPr="005911C6">
              <w:rPr>
                <w:rFonts w:ascii="Lato" w:eastAsia="MS Mincho" w:hAnsi="Lato" w:cs="Times New Roman"/>
                <w:bCs/>
                <w:sz w:val="18"/>
                <w:szCs w:val="18"/>
              </w:rPr>
              <w:t>Chatbot</w:t>
            </w:r>
            <w:proofErr w:type="spellEnd"/>
            <w:r w:rsidRPr="005911C6">
              <w:rPr>
                <w:rFonts w:ascii="Lato" w:eastAsia="MS Mincho" w:hAnsi="Lato" w:cs="Times New Roman"/>
                <w:bCs/>
                <w:sz w:val="18"/>
                <w:szCs w:val="18"/>
              </w:rPr>
              <w:t xml:space="preserve"> ten ma na celu odpowiadanie na pytania zadane przede przez seniorów na temat COVID-19. </w:t>
            </w:r>
          </w:p>
          <w:p w14:paraId="7D5BCDBF" w14:textId="4C81A2BD" w:rsidR="003C25C5" w:rsidRPr="005911C6" w:rsidRDefault="00CD7ACE" w:rsidP="005911C6">
            <w:pPr>
              <w:spacing w:after="0" w:line="240" w:lineRule="auto"/>
              <w:rPr>
                <w:rFonts w:ascii="Lato" w:eastAsia="MS Mincho" w:hAnsi="Lato" w:cs="Times New Roman"/>
                <w:b/>
                <w:sz w:val="18"/>
                <w:szCs w:val="18"/>
                <w:u w:val="single"/>
              </w:rPr>
            </w:pPr>
            <w:proofErr w:type="spellStart"/>
            <w:r w:rsidRPr="005911C6">
              <w:rPr>
                <w:rFonts w:ascii="Lato" w:eastAsia="MS Mincho" w:hAnsi="Lato" w:cs="Times New Roman"/>
                <w:bCs/>
                <w:sz w:val="18"/>
                <w:szCs w:val="18"/>
              </w:rPr>
              <w:t>HealthBuddy</w:t>
            </w:r>
            <w:proofErr w:type="spellEnd"/>
            <w:r w:rsidRPr="005911C6">
              <w:rPr>
                <w:rFonts w:ascii="Lato" w:eastAsia="MS Mincho" w:hAnsi="Lato" w:cs="Times New Roman"/>
                <w:bCs/>
                <w:sz w:val="18"/>
                <w:szCs w:val="18"/>
              </w:rPr>
              <w:t xml:space="preserve"> został stworzony do przeciwdziałania dezinformacji na temat COVID-19, jego leczenia oraz szczepionek.</w:t>
            </w:r>
          </w:p>
        </w:tc>
      </w:tr>
      <w:tr w:rsidR="003C25C5" w:rsidRPr="005911C6" w14:paraId="1D94111A" w14:textId="77777777" w:rsidTr="008C67C9">
        <w:trPr>
          <w:trHeight w:val="386"/>
        </w:trPr>
        <w:tc>
          <w:tcPr>
            <w:tcW w:w="1232" w:type="dxa"/>
            <w:vMerge/>
            <w:shd w:val="clear" w:color="auto" w:fill="FFFFFF" w:themeFill="background1"/>
          </w:tcPr>
          <w:p w14:paraId="4CADF19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819E03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Zwiększanie dostępności terapii zajęciowej i fizjoterapii</w:t>
            </w:r>
          </w:p>
        </w:tc>
        <w:tc>
          <w:tcPr>
            <w:tcW w:w="2032" w:type="dxa"/>
            <w:vMerge w:val="restart"/>
            <w:shd w:val="clear" w:color="auto" w:fill="FFFFFF" w:themeFill="background1"/>
          </w:tcPr>
          <w:p w14:paraId="23BB2D7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p w14:paraId="5ECD054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7A4F5737"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50D1D98F"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osób korzystających z terapii zajęciowej</w:t>
            </w:r>
          </w:p>
        </w:tc>
      </w:tr>
      <w:tr w:rsidR="003C25C5" w:rsidRPr="005911C6" w14:paraId="20194701" w14:textId="77777777" w:rsidTr="008C67C9">
        <w:trPr>
          <w:trHeight w:val="720"/>
        </w:trPr>
        <w:tc>
          <w:tcPr>
            <w:tcW w:w="1232" w:type="dxa"/>
            <w:vMerge/>
            <w:shd w:val="clear" w:color="auto" w:fill="FFFFFF" w:themeFill="background1"/>
          </w:tcPr>
          <w:p w14:paraId="5460D73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22DC28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08CBBE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211D80C"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19A2E9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2FADFE0" w14:textId="77777777" w:rsidR="003C25C5" w:rsidRPr="005911C6" w:rsidRDefault="003C25C5" w:rsidP="005911C6">
            <w:pPr>
              <w:spacing w:after="0" w:line="240" w:lineRule="auto"/>
              <w:rPr>
                <w:rFonts w:ascii="Lato" w:hAnsi="Lato" w:cs="Times New Roman"/>
                <w:sz w:val="18"/>
                <w:szCs w:val="18"/>
              </w:rPr>
            </w:pPr>
          </w:p>
          <w:p w14:paraId="7D6B7FF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BE2E097" w14:textId="77777777" w:rsidTr="008C67C9">
        <w:trPr>
          <w:trHeight w:val="720"/>
        </w:trPr>
        <w:tc>
          <w:tcPr>
            <w:tcW w:w="1232" w:type="dxa"/>
            <w:vMerge/>
            <w:shd w:val="clear" w:color="auto" w:fill="FFFFFF" w:themeFill="background1"/>
          </w:tcPr>
          <w:p w14:paraId="04C5B93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05F7A9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Tworzenie warunków rozwoju kompleksowej opieki nad chorym starszym, w tym:</w:t>
            </w:r>
          </w:p>
          <w:p w14:paraId="59EF36F1"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opracowanie standardów profilaktyki i opieki nad osobami starszymi, a także poprawa koordynacji opieki; </w:t>
            </w:r>
          </w:p>
          <w:p w14:paraId="491BA2F4"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określenie zasad postępowania medycznego w różnych grupach wiekowych,</w:t>
            </w:r>
            <w:r w:rsidRPr="005911C6">
              <w:rPr>
                <w:rFonts w:ascii="Lato" w:hAnsi="Lato"/>
                <w:sz w:val="18"/>
                <w:szCs w:val="18"/>
              </w:rPr>
              <w:t xml:space="preserve"> ze szczególnym wyróżnieniem grupy osób starszych</w:t>
            </w:r>
            <w:r w:rsidRPr="005911C6">
              <w:rPr>
                <w:rFonts w:ascii="Lato" w:eastAsia="MS Mincho" w:hAnsi="Lato"/>
                <w:sz w:val="18"/>
                <w:szCs w:val="18"/>
              </w:rPr>
              <w:t>;</w:t>
            </w:r>
          </w:p>
          <w:p w14:paraId="44473798"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monitorowanie efektywności opieki nad osobami starszymi.</w:t>
            </w:r>
          </w:p>
        </w:tc>
        <w:tc>
          <w:tcPr>
            <w:tcW w:w="2032" w:type="dxa"/>
            <w:vMerge w:val="restart"/>
            <w:shd w:val="clear" w:color="auto" w:fill="FFFFFF" w:themeFill="background1"/>
          </w:tcPr>
          <w:p w14:paraId="7B2C8A9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w:t>
            </w:r>
          </w:p>
        </w:tc>
        <w:tc>
          <w:tcPr>
            <w:tcW w:w="1500" w:type="dxa"/>
            <w:vMerge w:val="restart"/>
            <w:shd w:val="clear" w:color="auto" w:fill="FFFFFF" w:themeFill="background1"/>
          </w:tcPr>
          <w:p w14:paraId="76CDFB40"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572CC733"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wdrożonych rozwiązań mających na celu tworzenie warunków rozwoju kompleksowej opieki nad chorym starszym</w:t>
            </w:r>
          </w:p>
        </w:tc>
      </w:tr>
      <w:tr w:rsidR="003C25C5" w:rsidRPr="005911C6" w14:paraId="54BDE12E" w14:textId="77777777" w:rsidTr="008C67C9">
        <w:trPr>
          <w:trHeight w:val="720"/>
        </w:trPr>
        <w:tc>
          <w:tcPr>
            <w:tcW w:w="1232" w:type="dxa"/>
            <w:vMerge/>
            <w:shd w:val="clear" w:color="auto" w:fill="FFFFFF" w:themeFill="background1"/>
          </w:tcPr>
          <w:p w14:paraId="79CF04B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5F547C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DCFB95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50732B4"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679D0E9"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7F753611"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Rozwiązania, które zwiększyły dostęp doświadczeń opieki zdrowotnej, zostały wprowadzone w 2022 r. w rozporządzeniu Ministra Zdrowia z dnia 24 wrześnie 2013 r. </w:t>
            </w:r>
            <w:r w:rsidRPr="005911C6">
              <w:rPr>
                <w:rFonts w:ascii="Lato" w:hAnsi="Lato"/>
                <w:sz w:val="18"/>
                <w:szCs w:val="18"/>
              </w:rPr>
              <w:br/>
              <w:t xml:space="preserve">w sprawie świadczeń gwarantowanych z zakresu podstawowej opieki zdrowotnej. </w:t>
            </w:r>
          </w:p>
          <w:p w14:paraId="4EA81A7E"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Umożliwiły one: </w:t>
            </w:r>
          </w:p>
          <w:p w14:paraId="220D3867"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1) wykonanie badań w ramach profilaktyki chorób układu krążenia dla osób znajdujących się na liście świadczeniobiorców lekarza podstawowej opieki zdrowotnej u świadczeniodawcy objętym umową o udzielanie świadczeń opieki zdrowotnej, będących w wieku od 35 do 65 roku życia, u których nie została dotychczas rozpoznana choroba układu krążenia, cukrzyca, przewlekła choroba nerek lub rodzinna hipercholesterolemia i które w okresie ostatnich 5 lat nie korzystały ze świadczeń udzielanych w ramach profilaktyki chorób układu krążenia; </w:t>
            </w:r>
          </w:p>
          <w:p w14:paraId="70399F15"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lastRenderedPageBreak/>
              <w:t>2) uzyskanie porady kompleksowej, badań diagnostycznych dotychczas zarezerwowanych dla ambulatoryjnej opieki specjalistycznej, konsultacji specjalistycznych, w ramach koordynowanej opieki zdrowotnej w podstawowej opiece zdrowotnej w czterech zakresach: kardiologii, diabetologii, endokrynologii, pulmonologii.</w:t>
            </w:r>
          </w:p>
          <w:p w14:paraId="6D98D665" w14:textId="77777777" w:rsidR="00CD7ACE" w:rsidRPr="005911C6" w:rsidRDefault="00CD7ACE" w:rsidP="005911C6">
            <w:pPr>
              <w:spacing w:after="0" w:line="240" w:lineRule="auto"/>
              <w:rPr>
                <w:rFonts w:ascii="Lato" w:hAnsi="Lato"/>
                <w:sz w:val="18"/>
                <w:szCs w:val="18"/>
              </w:rPr>
            </w:pPr>
          </w:p>
          <w:p w14:paraId="1B65E4F1" w14:textId="77777777" w:rsidR="00CD7ACE" w:rsidRPr="005911C6" w:rsidRDefault="00CD7ACE" w:rsidP="005911C6">
            <w:pPr>
              <w:spacing w:after="0" w:line="240" w:lineRule="auto"/>
              <w:rPr>
                <w:rFonts w:ascii="Lato" w:hAnsi="Lato"/>
                <w:sz w:val="18"/>
                <w:szCs w:val="18"/>
              </w:rPr>
            </w:pPr>
            <w:r w:rsidRPr="005911C6">
              <w:rPr>
                <w:rFonts w:ascii="Lato" w:eastAsia="Times New Roman" w:hAnsi="Lato" w:cs="Times New Roman"/>
                <w:sz w:val="18"/>
                <w:szCs w:val="18"/>
                <w:lang w:eastAsia="pl-PL"/>
              </w:rPr>
              <w:t xml:space="preserve">Od </w:t>
            </w:r>
            <w:r w:rsidRPr="005911C6">
              <w:rPr>
                <w:rFonts w:ascii="Lato" w:eastAsia="Times New Roman" w:hAnsi="Lato" w:cs="Times New Roman"/>
                <w:b/>
                <w:bCs/>
                <w:sz w:val="18"/>
                <w:szCs w:val="18"/>
                <w:lang w:eastAsia="pl-PL"/>
              </w:rPr>
              <w:t>1 października 2022 r.</w:t>
            </w:r>
            <w:r w:rsidRPr="005911C6">
              <w:rPr>
                <w:rFonts w:ascii="Lato" w:eastAsia="Times New Roman" w:hAnsi="Lato" w:cs="Times New Roman"/>
                <w:sz w:val="18"/>
                <w:szCs w:val="18"/>
                <w:lang w:eastAsia="pl-PL"/>
              </w:rPr>
              <w:t xml:space="preserve"> lekarze pierwszego kontaktu </w:t>
            </w:r>
            <w:r w:rsidRPr="005911C6">
              <w:rPr>
                <w:rFonts w:ascii="Lato" w:eastAsia="Times New Roman" w:hAnsi="Lato" w:cs="Times New Roman"/>
                <w:sz w:val="18"/>
                <w:szCs w:val="18"/>
                <w:lang w:eastAsia="pl-PL"/>
              </w:rPr>
              <w:br/>
              <w:t>w placówkach podstawowej opieki zdrowotnej mogą realizować świadczenia zdrowotne w nowym modelu zwanym </w:t>
            </w:r>
            <w:r w:rsidRPr="005911C6">
              <w:rPr>
                <w:rFonts w:ascii="Lato" w:eastAsia="Times New Roman" w:hAnsi="Lato" w:cs="Times New Roman"/>
                <w:b/>
                <w:bCs/>
                <w:sz w:val="18"/>
                <w:szCs w:val="18"/>
                <w:lang w:eastAsia="pl-PL"/>
              </w:rPr>
              <w:t>opieką koordynowaną</w:t>
            </w:r>
            <w:r w:rsidRPr="005911C6">
              <w:rPr>
                <w:rFonts w:ascii="Lato" w:eastAsia="Times New Roman" w:hAnsi="Lato" w:cs="Times New Roman"/>
                <w:sz w:val="18"/>
                <w:szCs w:val="18"/>
                <w:lang w:eastAsia="pl-PL"/>
              </w:rPr>
              <w:t>.</w:t>
            </w:r>
          </w:p>
          <w:p w14:paraId="2F0CBBF5" w14:textId="77777777" w:rsidR="00CD7ACE" w:rsidRPr="005911C6" w:rsidRDefault="00CD7ACE" w:rsidP="005911C6">
            <w:pPr>
              <w:spacing w:after="0" w:line="240" w:lineRule="auto"/>
              <w:rPr>
                <w:rFonts w:ascii="Lato" w:hAnsi="Lato"/>
                <w:sz w:val="18"/>
                <w:szCs w:val="18"/>
              </w:rPr>
            </w:pPr>
            <w:r w:rsidRPr="005911C6">
              <w:rPr>
                <w:rFonts w:ascii="Lato" w:eastAsia="Times New Roman" w:hAnsi="Lato" w:cs="Times New Roman"/>
                <w:sz w:val="18"/>
                <w:szCs w:val="18"/>
                <w:lang w:eastAsia="pl-PL"/>
              </w:rPr>
              <w:t>W ramach </w:t>
            </w:r>
            <w:r w:rsidRPr="005911C6">
              <w:rPr>
                <w:rFonts w:ascii="Lato" w:eastAsia="Times New Roman" w:hAnsi="Lato" w:cs="Times New Roman"/>
                <w:b/>
                <w:bCs/>
                <w:sz w:val="18"/>
                <w:szCs w:val="18"/>
                <w:lang w:eastAsia="pl-PL"/>
              </w:rPr>
              <w:t>opieki koordynowanej </w:t>
            </w:r>
            <w:r w:rsidRPr="005911C6">
              <w:rPr>
                <w:rFonts w:ascii="Lato" w:eastAsia="Times New Roman" w:hAnsi="Lato" w:cs="Times New Roman"/>
                <w:sz w:val="18"/>
                <w:szCs w:val="18"/>
                <w:lang w:eastAsia="pl-PL"/>
              </w:rPr>
              <w:t>lekarz podstawowej opieki zdrowotnej współpracuje z lekarzami specjalistami, pielęgniarką POZ i dietetykiem.  Zajmuje się profilaktyką, diagnozowaniem, leczeniem i edukacją pacjenta na temat wybranych chorób </w:t>
            </w:r>
            <w:r w:rsidRPr="005911C6">
              <w:rPr>
                <w:rFonts w:ascii="Lato" w:eastAsia="Times New Roman" w:hAnsi="Lato" w:cs="Times New Roman"/>
                <w:b/>
                <w:bCs/>
                <w:sz w:val="18"/>
                <w:szCs w:val="18"/>
                <w:lang w:eastAsia="pl-PL"/>
              </w:rPr>
              <w:t>z dziedziny kardiologii, diabetologii, endokrynologii oraz pulmonologii</w:t>
            </w:r>
            <w:r w:rsidRPr="005911C6">
              <w:rPr>
                <w:rFonts w:ascii="Lato" w:eastAsia="Times New Roman" w:hAnsi="Lato" w:cs="Times New Roman"/>
                <w:sz w:val="18"/>
                <w:szCs w:val="18"/>
                <w:lang w:eastAsia="pl-PL"/>
              </w:rPr>
              <w:t>.</w:t>
            </w:r>
          </w:p>
          <w:p w14:paraId="169367A5" w14:textId="77777777" w:rsidR="00CD7ACE" w:rsidRPr="005911C6" w:rsidRDefault="00CD7ACE" w:rsidP="005911C6">
            <w:pPr>
              <w:spacing w:after="0" w:line="240" w:lineRule="auto"/>
              <w:rPr>
                <w:rFonts w:ascii="Lato" w:hAnsi="Lato"/>
                <w:sz w:val="18"/>
                <w:szCs w:val="18"/>
              </w:rPr>
            </w:pPr>
            <w:r w:rsidRPr="005911C6">
              <w:rPr>
                <w:rFonts w:ascii="Lato" w:eastAsia="Times New Roman" w:hAnsi="Lato" w:cs="Times New Roman"/>
                <w:sz w:val="18"/>
                <w:szCs w:val="18"/>
                <w:lang w:eastAsia="pl-PL"/>
              </w:rPr>
              <w:t>Realizacja świadczeń w opiece koordynowanej odbywa się na postawie działania w tzw. Indywidualnym Planie Opieki Medycznej, który lekarz POZ ustala z pacjentem. Nad sprawną realizacją różnorodnych świadczeń zdrowotnych czuwa</w:t>
            </w:r>
            <w:r w:rsidRPr="005911C6">
              <w:rPr>
                <w:rFonts w:ascii="Lato" w:eastAsia="Times New Roman" w:hAnsi="Lato" w:cs="Times New Roman"/>
                <w:b/>
                <w:bCs/>
                <w:sz w:val="18"/>
                <w:szCs w:val="18"/>
                <w:lang w:eastAsia="pl-PL"/>
              </w:rPr>
              <w:t> koordynator</w:t>
            </w:r>
            <w:r w:rsidRPr="005911C6">
              <w:rPr>
                <w:rFonts w:ascii="Lato" w:eastAsia="Times New Roman" w:hAnsi="Lato" w:cs="Times New Roman"/>
                <w:sz w:val="18"/>
                <w:szCs w:val="18"/>
                <w:lang w:eastAsia="pl-PL"/>
              </w:rPr>
              <w:t>.</w:t>
            </w:r>
          </w:p>
          <w:p w14:paraId="2FFBDCEA" w14:textId="77777777" w:rsidR="00CD7ACE" w:rsidRPr="005911C6" w:rsidRDefault="00CD7ACE" w:rsidP="005911C6">
            <w:pPr>
              <w:spacing w:after="0" w:line="240" w:lineRule="auto"/>
              <w:rPr>
                <w:rFonts w:ascii="Lato" w:hAnsi="Lato"/>
                <w:sz w:val="18"/>
                <w:szCs w:val="18"/>
              </w:rPr>
            </w:pPr>
            <w:r w:rsidRPr="005911C6">
              <w:rPr>
                <w:rFonts w:ascii="Lato" w:eastAsia="Times New Roman" w:hAnsi="Lato" w:cs="Times New Roman"/>
                <w:sz w:val="18"/>
                <w:szCs w:val="18"/>
                <w:lang w:eastAsia="pl-PL"/>
              </w:rPr>
              <w:t>Rozwiązania wprowadzone do podstawowej opieki zdrowotnej dzięki opiece koordynowanej  poprawiają jakość opieki i dostępność do świadczeń zdrowotnych, m.in.:</w:t>
            </w:r>
          </w:p>
          <w:p w14:paraId="6C56CAC8" w14:textId="77777777" w:rsidR="00CD7ACE" w:rsidRPr="005911C6" w:rsidRDefault="00CD7ACE" w:rsidP="007335F8">
            <w:pPr>
              <w:numPr>
                <w:ilvl w:val="0"/>
                <w:numId w:val="242"/>
              </w:numPr>
              <w:spacing w:after="0" w:line="240" w:lineRule="auto"/>
              <w:rPr>
                <w:rFonts w:ascii="Lato" w:eastAsia="Times New Roman" w:hAnsi="Lato" w:cs="Times New Roman"/>
                <w:sz w:val="18"/>
                <w:szCs w:val="18"/>
                <w:lang w:eastAsia="pl-PL"/>
              </w:rPr>
            </w:pPr>
            <w:r w:rsidRPr="005911C6">
              <w:rPr>
                <w:rFonts w:ascii="Lato" w:eastAsia="Times New Roman" w:hAnsi="Lato" w:cs="Times New Roman"/>
                <w:sz w:val="18"/>
                <w:szCs w:val="18"/>
                <w:lang w:eastAsia="pl-PL"/>
              </w:rPr>
              <w:t>rozszerzają listę badań diagnostycznych realizowanych przez lekarza POZ,</w:t>
            </w:r>
          </w:p>
          <w:p w14:paraId="58AE4953" w14:textId="77777777" w:rsidR="00CD7ACE" w:rsidRPr="005911C6" w:rsidRDefault="00CD7ACE" w:rsidP="007335F8">
            <w:pPr>
              <w:numPr>
                <w:ilvl w:val="0"/>
                <w:numId w:val="242"/>
              </w:numPr>
              <w:spacing w:after="0" w:line="240" w:lineRule="auto"/>
              <w:rPr>
                <w:rFonts w:ascii="Lato" w:eastAsia="Times New Roman" w:hAnsi="Lato" w:cs="Times New Roman"/>
                <w:sz w:val="18"/>
                <w:szCs w:val="18"/>
                <w:lang w:eastAsia="pl-PL"/>
              </w:rPr>
            </w:pPr>
            <w:r w:rsidRPr="005911C6">
              <w:rPr>
                <w:rFonts w:ascii="Lato" w:eastAsia="Times New Roman" w:hAnsi="Lato" w:cs="Times New Roman"/>
                <w:sz w:val="18"/>
                <w:szCs w:val="18"/>
                <w:lang w:eastAsia="pl-PL"/>
              </w:rPr>
              <w:t>umożliwiają szybszy dostęp do opieki specjalistycznej,</w:t>
            </w:r>
          </w:p>
          <w:p w14:paraId="34D7C56E" w14:textId="4EBF83E9" w:rsidR="003C25C5" w:rsidRPr="005911C6" w:rsidRDefault="00CD7ACE" w:rsidP="007335F8">
            <w:pPr>
              <w:numPr>
                <w:ilvl w:val="0"/>
                <w:numId w:val="242"/>
              </w:numPr>
              <w:spacing w:after="0" w:line="240" w:lineRule="auto"/>
              <w:rPr>
                <w:rFonts w:ascii="Lato" w:eastAsia="Times New Roman" w:hAnsi="Lato" w:cs="Times New Roman"/>
                <w:sz w:val="18"/>
                <w:szCs w:val="18"/>
                <w:lang w:eastAsia="pl-PL"/>
              </w:rPr>
            </w:pPr>
            <w:r w:rsidRPr="005911C6">
              <w:rPr>
                <w:rFonts w:ascii="Lato" w:eastAsia="Times New Roman" w:hAnsi="Lato" w:cs="Times New Roman"/>
                <w:sz w:val="18"/>
                <w:szCs w:val="18"/>
                <w:lang w:eastAsia="pl-PL"/>
              </w:rPr>
              <w:t>pozwalają podjąć działania edukacyjne, aktywizują pacjenta.</w:t>
            </w:r>
          </w:p>
        </w:tc>
      </w:tr>
      <w:tr w:rsidR="003C25C5" w:rsidRPr="005911C6" w14:paraId="2EB883EB" w14:textId="77777777" w:rsidTr="008C67C9">
        <w:trPr>
          <w:trHeight w:val="471"/>
        </w:trPr>
        <w:tc>
          <w:tcPr>
            <w:tcW w:w="1232" w:type="dxa"/>
            <w:vMerge/>
            <w:shd w:val="clear" w:color="auto" w:fill="FFFFFF" w:themeFill="background1"/>
          </w:tcPr>
          <w:p w14:paraId="137481D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7A6170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Zapewnienie ciągłości opieki nad chorym starszym, w tym:</w:t>
            </w:r>
          </w:p>
          <w:p w14:paraId="39CE6666"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wdrożenie działań mających </w:t>
            </w:r>
            <w:r w:rsidRPr="005911C6">
              <w:rPr>
                <w:rFonts w:ascii="Lato" w:eastAsia="MS Mincho" w:hAnsi="Lato"/>
                <w:sz w:val="18"/>
                <w:szCs w:val="18"/>
              </w:rPr>
              <w:br/>
              <w:t>na celu monitorowanie potrzeb zdrowotnych chorego w jego środowisku zamieszkania;</w:t>
            </w:r>
          </w:p>
          <w:p w14:paraId="3E3B1E76"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rozwój współpracy pracowników opieki zdrowotnej z służbami pomocy społecznej;</w:t>
            </w:r>
          </w:p>
          <w:p w14:paraId="7D0C72AD"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monitorowanie stanu zdrowia chorych osób starszych </w:t>
            </w:r>
            <w:r w:rsidRPr="005911C6">
              <w:rPr>
                <w:rFonts w:ascii="Lato" w:eastAsia="MS Mincho" w:hAnsi="Lato"/>
                <w:sz w:val="18"/>
                <w:szCs w:val="18"/>
              </w:rPr>
              <w:br/>
              <w:t>po zakończonej hospitalizacji</w:t>
            </w:r>
          </w:p>
        </w:tc>
        <w:tc>
          <w:tcPr>
            <w:tcW w:w="2032" w:type="dxa"/>
            <w:vMerge w:val="restart"/>
            <w:shd w:val="clear" w:color="auto" w:fill="FFFFFF" w:themeFill="background1"/>
          </w:tcPr>
          <w:p w14:paraId="6198409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w:t>
            </w:r>
          </w:p>
        </w:tc>
        <w:tc>
          <w:tcPr>
            <w:tcW w:w="1500" w:type="dxa"/>
            <w:vMerge w:val="restart"/>
            <w:shd w:val="clear" w:color="auto" w:fill="FFFFFF" w:themeFill="background1"/>
          </w:tcPr>
          <w:p w14:paraId="28F2064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67E747C0"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wdrożonych rozwiązań mających na celu zapewnienie ciągłości opieki nad chorym starszym</w:t>
            </w:r>
          </w:p>
        </w:tc>
      </w:tr>
      <w:tr w:rsidR="003C25C5" w:rsidRPr="005911C6" w14:paraId="22C849DB" w14:textId="77777777" w:rsidTr="008C67C9">
        <w:trPr>
          <w:trHeight w:val="720"/>
        </w:trPr>
        <w:tc>
          <w:tcPr>
            <w:tcW w:w="1232" w:type="dxa"/>
            <w:vMerge/>
            <w:shd w:val="clear" w:color="auto" w:fill="FFFFFF" w:themeFill="background1"/>
          </w:tcPr>
          <w:p w14:paraId="77A988D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DF2877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C442D2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E854F9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5BB19AF"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3E123349" w14:textId="77777777"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Program pilotażowy zakresie wykorzystania elektronicznych spirometrów w podstawowej opiece zdrowotnej i ambulatoryjnej opiece specjalistycznej (wdrożony rozporządzeniem Ministra Zdrowia z dnia 31 grudnia 2021 r. w sprawie programu pilotażowego w zakresie wykorzystania elektronicznych spirometrów w podstawowej opiece zdrowotnej i ambulatoryjnej opiece specjalistycznej (Dz. U. z 2022 r. poz. 121). </w:t>
            </w:r>
          </w:p>
          <w:p w14:paraId="3421E2CB" w14:textId="02EA80A4" w:rsidR="00CD7ACE" w:rsidRPr="005911C6" w:rsidRDefault="00CD7ACE" w:rsidP="005911C6">
            <w:pPr>
              <w:spacing w:after="0" w:line="240" w:lineRule="auto"/>
              <w:rPr>
                <w:rFonts w:ascii="Lato" w:hAnsi="Lato"/>
                <w:sz w:val="18"/>
                <w:szCs w:val="18"/>
              </w:rPr>
            </w:pPr>
            <w:r w:rsidRPr="005911C6">
              <w:rPr>
                <w:rFonts w:ascii="Lato" w:hAnsi="Lato"/>
                <w:sz w:val="18"/>
                <w:szCs w:val="18"/>
              </w:rPr>
              <w:t xml:space="preserve">Celem programu pilotażowego jest ocena efektywności realizacji świadczeń opieki zdrowotnej z wykorzystaniem elektronicznych </w:t>
            </w:r>
            <w:r w:rsidRPr="005911C6">
              <w:rPr>
                <w:rFonts w:ascii="Lato" w:hAnsi="Lato"/>
                <w:sz w:val="18"/>
                <w:szCs w:val="18"/>
              </w:rPr>
              <w:lastRenderedPageBreak/>
              <w:t xml:space="preserve">spirometrów jako narzędzia umożliwiającego badanie w sposób zdalny pacjenta ze stwierdzonymi zaburzeniami poziomu saturacji i tętna, w celu wykrywania potencjalnych zaburzeń czynności płuc. Programem pilotażowym objęci byli świadczeniobiorcy, którzy ukończyli 18. rok życia, po przebytym zakażeniu wirusem SARS-CoV-2, ze stwierdzonymi zaburzeniami poziomu saturacji i tętna, </w:t>
            </w:r>
            <w:r w:rsidRPr="005911C6">
              <w:rPr>
                <w:rFonts w:ascii="Lato" w:hAnsi="Lato"/>
                <w:sz w:val="18"/>
                <w:szCs w:val="18"/>
              </w:rPr>
              <w:br/>
              <w:t xml:space="preserve">w celu wykrywania potencjalnych zaburzeń czynności płuc. Program pilotażowy objął świadczenia z zakresu podstawowej opieki zdrowotnej oraz ambulatoryjnej opieki specjalistycznej w zakresie świadczenia porada specjalistyczna – gruźlica </w:t>
            </w:r>
            <w:r w:rsidRPr="005911C6">
              <w:rPr>
                <w:rFonts w:ascii="Lato" w:hAnsi="Lato"/>
                <w:sz w:val="18"/>
                <w:szCs w:val="18"/>
              </w:rPr>
              <w:br/>
              <w:t xml:space="preserve">i choroby płuc. </w:t>
            </w:r>
          </w:p>
          <w:p w14:paraId="13064FA1" w14:textId="77777777" w:rsidR="00CD7ACE" w:rsidRPr="005911C6" w:rsidRDefault="00CD7ACE" w:rsidP="005911C6">
            <w:pPr>
              <w:spacing w:after="0" w:line="240" w:lineRule="auto"/>
              <w:rPr>
                <w:rFonts w:ascii="Lato" w:hAnsi="Lato"/>
                <w:sz w:val="18"/>
                <w:szCs w:val="18"/>
              </w:rPr>
            </w:pPr>
            <w:r w:rsidRPr="005911C6">
              <w:rPr>
                <w:rFonts w:ascii="Lato" w:eastAsia="MS Mincho" w:hAnsi="Lato" w:cs="Times New Roman"/>
                <w:sz w:val="18"/>
                <w:szCs w:val="18"/>
              </w:rPr>
              <w:t>W Narodowym Instytucie Geriatrii, Reumatologii i Rehabilitacji funkcjonuje Poradnia Geriatryczna do której kierowani są m in, pacjencie każdorazowo po odbytej hospitalizacji celem dalszego monitorowania stanu zdrowia przez lekarza geriatrę. W 2022r. udzielono w Poradni 318 porad.</w:t>
            </w:r>
          </w:p>
          <w:p w14:paraId="33CB8C0B" w14:textId="7955CFAB" w:rsidR="003C25C5" w:rsidRPr="005911C6" w:rsidRDefault="00CD7ACE" w:rsidP="005911C6">
            <w:pPr>
              <w:spacing w:after="0" w:line="240" w:lineRule="auto"/>
              <w:rPr>
                <w:rFonts w:ascii="Lato" w:hAnsi="Lato"/>
                <w:sz w:val="18"/>
                <w:szCs w:val="18"/>
              </w:rPr>
            </w:pPr>
            <w:r w:rsidRPr="005911C6">
              <w:rPr>
                <w:rFonts w:ascii="Lato" w:hAnsi="Lato"/>
                <w:sz w:val="18"/>
                <w:szCs w:val="18"/>
              </w:rPr>
              <w:t xml:space="preserve">Program pilotażowy w zakresie wykorzystania elektronicznych stetoskopów w podstawowej opiece zdrowotnej (wdrożony rozporządzeniem Ministra Zdrowia z dnia 31 stycznia 2022 r. w sprawie programu pilotażowego w zakresie wykorzystania elektronicznych stetoskopów w ramach podstawowej opieki zdrowotnej przez świadczeniobiorców zakażonych wirusem SARS-CoV-2 (Dz. U. z poz. 257, z </w:t>
            </w:r>
            <w:proofErr w:type="spellStart"/>
            <w:r w:rsidRPr="005911C6">
              <w:rPr>
                <w:rFonts w:ascii="Lato" w:hAnsi="Lato"/>
                <w:sz w:val="18"/>
                <w:szCs w:val="18"/>
              </w:rPr>
              <w:t>późn</w:t>
            </w:r>
            <w:proofErr w:type="spellEnd"/>
            <w:r w:rsidRPr="005911C6">
              <w:rPr>
                <w:rFonts w:ascii="Lato" w:hAnsi="Lato"/>
                <w:sz w:val="18"/>
                <w:szCs w:val="18"/>
              </w:rPr>
              <w:t xml:space="preserve">. zm.). Celem programu jest ocena efektywności realizacji świadczeń opieki zdrowotnej z wykorzystaniem elektronicznego stetoskopu jako narzędzia umożliwiającego ocenę zmian osłuchowych w układzie oddechowym pacjentów zakażonych wirusem SARS-CoV-2, </w:t>
            </w:r>
            <w:r w:rsidRPr="005911C6">
              <w:rPr>
                <w:rFonts w:ascii="Lato" w:hAnsi="Lato"/>
                <w:sz w:val="18"/>
                <w:szCs w:val="18"/>
              </w:rPr>
              <w:br/>
              <w:t xml:space="preserve">z ryzykiem ciężkiego przebiegu choroby COVID-19, lub pacjentów po przebytym zakażeniu wirusem SARS-CoV-2, wymagających dalszej opieki i diagnostyki układu oddechowego w ramach podstawowej opieki zdrowotnej. Program pilotażowy objął świadczeniobiorców, którzy ukończyli 18. rok życia, zakażonych wirusem SARS-CoV-2, </w:t>
            </w:r>
            <w:r w:rsidRPr="005911C6">
              <w:rPr>
                <w:rFonts w:ascii="Lato" w:hAnsi="Lato"/>
                <w:sz w:val="18"/>
                <w:szCs w:val="18"/>
              </w:rPr>
              <w:br/>
              <w:t xml:space="preserve">z ryzykiem ciężkiego przebiegu choroby COVID-19, którzy zostali włączeni do programu </w:t>
            </w:r>
            <w:proofErr w:type="spellStart"/>
            <w:r w:rsidRPr="005911C6">
              <w:rPr>
                <w:rFonts w:ascii="Lato" w:hAnsi="Lato"/>
                <w:sz w:val="18"/>
                <w:szCs w:val="18"/>
              </w:rPr>
              <w:t>Pulsocare</w:t>
            </w:r>
            <w:proofErr w:type="spellEnd"/>
            <w:r w:rsidRPr="005911C6">
              <w:rPr>
                <w:rFonts w:ascii="Lato" w:hAnsi="Lato"/>
                <w:sz w:val="18"/>
                <w:szCs w:val="18"/>
              </w:rPr>
              <w:t>.</w:t>
            </w:r>
          </w:p>
        </w:tc>
      </w:tr>
      <w:tr w:rsidR="003C25C5" w:rsidRPr="005911C6" w14:paraId="61A579C8" w14:textId="77777777" w:rsidTr="008C67C9">
        <w:trPr>
          <w:trHeight w:val="199"/>
        </w:trPr>
        <w:tc>
          <w:tcPr>
            <w:tcW w:w="1232" w:type="dxa"/>
            <w:vMerge/>
            <w:shd w:val="clear" w:color="auto" w:fill="FFFFFF" w:themeFill="background1"/>
          </w:tcPr>
          <w:p w14:paraId="78C6117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1986023"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eastAsia="MS Mincho" w:hAnsi="Lato"/>
                <w:sz w:val="18"/>
                <w:szCs w:val="18"/>
              </w:rPr>
              <w:t>Prowadzenie działań mających na celu zwiększenie dostępności świadczeń rehabilitacyjnych</w:t>
            </w:r>
          </w:p>
          <w:p w14:paraId="2DAD063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val="restart"/>
            <w:shd w:val="clear" w:color="auto" w:fill="FFFFFF" w:themeFill="background1"/>
          </w:tcPr>
          <w:p w14:paraId="61D359B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0425D27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3A080B4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Poziom  dostępności świadczeń rehabilitacyjnych</w:t>
            </w:r>
          </w:p>
        </w:tc>
      </w:tr>
      <w:tr w:rsidR="003C25C5" w:rsidRPr="005911C6" w14:paraId="5A1068BA" w14:textId="77777777" w:rsidTr="008C67C9">
        <w:trPr>
          <w:trHeight w:val="720"/>
        </w:trPr>
        <w:tc>
          <w:tcPr>
            <w:tcW w:w="1232" w:type="dxa"/>
            <w:vMerge/>
            <w:shd w:val="clear" w:color="auto" w:fill="FFFFFF" w:themeFill="background1"/>
          </w:tcPr>
          <w:p w14:paraId="243DE97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6314A3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BF9530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6F4451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FA18E90"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33E5A07" w14:textId="75075C19" w:rsidR="003C25C5" w:rsidRPr="005911C6" w:rsidRDefault="00CD7ACE" w:rsidP="005911C6">
            <w:pPr>
              <w:spacing w:after="0" w:line="240" w:lineRule="auto"/>
              <w:rPr>
                <w:rFonts w:ascii="Lato" w:hAnsi="Lato"/>
                <w:color w:val="000000"/>
                <w:sz w:val="18"/>
                <w:szCs w:val="18"/>
              </w:rPr>
            </w:pPr>
            <w:r w:rsidRPr="005911C6">
              <w:rPr>
                <w:rFonts w:ascii="Lato" w:eastAsia="MS Mincho" w:hAnsi="Lato" w:cs="Times New Roman"/>
                <w:color w:val="00000A"/>
                <w:sz w:val="18"/>
                <w:szCs w:val="18"/>
              </w:rPr>
              <w:t xml:space="preserve">W Narodowym Instytucie Geriatrii, Reumatologii </w:t>
            </w:r>
            <w:r w:rsidRPr="005911C6">
              <w:rPr>
                <w:rFonts w:ascii="Lato" w:eastAsia="MS Mincho" w:hAnsi="Lato" w:cs="Times New Roman"/>
                <w:color w:val="00000A"/>
                <w:sz w:val="18"/>
                <w:szCs w:val="18"/>
              </w:rPr>
              <w:br/>
              <w:t xml:space="preserve">i Rehabilitacji uruchomiono Ośrodek  Fizjoterapii Ambulatoryjnej i </w:t>
            </w:r>
            <w:proofErr w:type="spellStart"/>
            <w:r w:rsidRPr="005911C6">
              <w:rPr>
                <w:rFonts w:ascii="Lato" w:eastAsia="MS Mincho" w:hAnsi="Lato" w:cs="Times New Roman"/>
                <w:color w:val="00000A"/>
                <w:sz w:val="18"/>
                <w:szCs w:val="18"/>
              </w:rPr>
              <w:t>Pocovidowej</w:t>
            </w:r>
            <w:proofErr w:type="spellEnd"/>
            <w:r w:rsidRPr="005911C6">
              <w:rPr>
                <w:rFonts w:ascii="Lato" w:eastAsia="MS Mincho" w:hAnsi="Lato" w:cs="Times New Roman"/>
                <w:color w:val="00000A"/>
                <w:sz w:val="18"/>
                <w:szCs w:val="18"/>
              </w:rPr>
              <w:t xml:space="preserve">, udzielający świadczeń </w:t>
            </w:r>
            <w:r w:rsidRPr="005911C6">
              <w:rPr>
                <w:rFonts w:ascii="Lato" w:eastAsia="MS Mincho" w:hAnsi="Lato" w:cs="Times New Roman"/>
                <w:color w:val="00000A"/>
                <w:sz w:val="18"/>
                <w:szCs w:val="18"/>
              </w:rPr>
              <w:br/>
              <w:t xml:space="preserve">w zakresie  fizykoterapii, </w:t>
            </w:r>
            <w:r w:rsidRPr="005911C6">
              <w:rPr>
                <w:rFonts w:ascii="Lato" w:hAnsi="Lato"/>
                <w:color w:val="000000"/>
                <w:sz w:val="18"/>
                <w:szCs w:val="18"/>
              </w:rPr>
              <w:t xml:space="preserve">terapii manualnej i kinezyterapii oraz </w:t>
            </w:r>
            <w:r w:rsidRPr="005911C6">
              <w:rPr>
                <w:rFonts w:ascii="Lato" w:hAnsi="Lato"/>
                <w:color w:val="000000"/>
                <w:sz w:val="18"/>
                <w:szCs w:val="18"/>
              </w:rPr>
              <w:lastRenderedPageBreak/>
              <w:t>masażu, co znacznie poprawiło dostępność usług rehabilitacyjnych dla osób starszych.</w:t>
            </w:r>
          </w:p>
        </w:tc>
      </w:tr>
      <w:tr w:rsidR="003C25C5" w:rsidRPr="005911C6" w14:paraId="1458EE2B" w14:textId="77777777" w:rsidTr="008C67C9">
        <w:trPr>
          <w:trHeight w:val="471"/>
        </w:trPr>
        <w:tc>
          <w:tcPr>
            <w:tcW w:w="1232" w:type="dxa"/>
            <w:vMerge/>
            <w:shd w:val="clear" w:color="auto" w:fill="FFFFFF" w:themeFill="background1"/>
          </w:tcPr>
          <w:p w14:paraId="428E8B8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18B795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Ograniczanie hospitalizacji </w:t>
            </w:r>
            <w:r w:rsidRPr="005911C6">
              <w:rPr>
                <w:rFonts w:ascii="Lato" w:eastAsia="MS Mincho" w:hAnsi="Lato"/>
                <w:sz w:val="18"/>
                <w:szCs w:val="18"/>
              </w:rPr>
              <w:br/>
              <w:t>do niezbędnego minimum, w tym:</w:t>
            </w:r>
          </w:p>
          <w:p w14:paraId="0EBB848F"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rozwój rozwiązań alternatywnych </w:t>
            </w:r>
            <w:r w:rsidRPr="005911C6">
              <w:rPr>
                <w:rFonts w:ascii="Lato" w:eastAsia="MS Mincho" w:hAnsi="Lato"/>
                <w:sz w:val="18"/>
                <w:szCs w:val="18"/>
              </w:rPr>
              <w:br/>
              <w:t xml:space="preserve">dla hospitalizacji, np. </w:t>
            </w:r>
            <w:r w:rsidRPr="005911C6">
              <w:rPr>
                <w:rFonts w:ascii="Lato" w:hAnsi="Lato"/>
                <w:sz w:val="18"/>
                <w:szCs w:val="18"/>
              </w:rPr>
              <w:t>specjalistyczna opieka w miejscu zamieszkania czy terapia środowiskowa;</w:t>
            </w:r>
          </w:p>
          <w:p w14:paraId="4AD91606"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stworzenie systemu dziennej diagnostyki, umożliwiającego wdrożenie leczenia i dalszą </w:t>
            </w:r>
            <w:r w:rsidRPr="005911C6">
              <w:rPr>
                <w:rFonts w:ascii="Lato" w:eastAsia="MS Mincho" w:hAnsi="Lato"/>
                <w:sz w:val="18"/>
                <w:szCs w:val="18"/>
              </w:rPr>
              <w:br/>
              <w:t>jego kontynuację w warunkach środowiska domowego;</w:t>
            </w:r>
          </w:p>
          <w:p w14:paraId="052EC73D"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tworzenie rozwiązań na rzecz wzmocnienia dziennej rehabilitacji (fizjoterapia, terapia zajęciowa i terapia psychologiczna, w tym terapia zaburzeń funkcji poznawczych)</w:t>
            </w:r>
          </w:p>
        </w:tc>
        <w:tc>
          <w:tcPr>
            <w:tcW w:w="2032" w:type="dxa"/>
            <w:vMerge w:val="restart"/>
            <w:shd w:val="clear" w:color="auto" w:fill="FFFFFF" w:themeFill="background1"/>
          </w:tcPr>
          <w:p w14:paraId="6E9E279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4461505A"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645462A3"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wdrożonych rozwiązań mających na celu ograniczenie hospitalizacji do niezbędnego minimum</w:t>
            </w:r>
          </w:p>
        </w:tc>
      </w:tr>
      <w:tr w:rsidR="003C25C5" w:rsidRPr="005911C6" w14:paraId="57FED342" w14:textId="77777777" w:rsidTr="008C67C9">
        <w:trPr>
          <w:trHeight w:val="720"/>
        </w:trPr>
        <w:tc>
          <w:tcPr>
            <w:tcW w:w="1232" w:type="dxa"/>
            <w:vMerge/>
            <w:shd w:val="clear" w:color="auto" w:fill="FFFFFF" w:themeFill="background1"/>
          </w:tcPr>
          <w:p w14:paraId="32B5B12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F58F9B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371645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023E6C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63E9638"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799972D4" w14:textId="77777777" w:rsidR="003C25C5" w:rsidRPr="005911C6" w:rsidRDefault="00CD7ACE" w:rsidP="005911C6">
            <w:pPr>
              <w:spacing w:after="0" w:line="240" w:lineRule="auto"/>
              <w:rPr>
                <w:rFonts w:ascii="Lato" w:eastAsia="MS Mincho" w:hAnsi="Lato" w:cs="Times New Roman"/>
                <w:b/>
                <w:sz w:val="18"/>
                <w:szCs w:val="18"/>
              </w:rPr>
            </w:pPr>
            <w:r w:rsidRPr="005911C6">
              <w:rPr>
                <w:rFonts w:ascii="Lato" w:eastAsia="MS Mincho" w:hAnsi="Lato" w:cs="Times New Roman"/>
                <w:bCs/>
                <w:sz w:val="18"/>
                <w:szCs w:val="18"/>
              </w:rPr>
              <w:t xml:space="preserve">W ramach dziennej diagnostyki w Narodowym Instytucie Geriatrii, Reumatologii i Rehabilitacji w Pracowni Endoskopii Przewodu Pokarmowego i </w:t>
            </w:r>
            <w:proofErr w:type="spellStart"/>
            <w:r w:rsidRPr="005911C6">
              <w:rPr>
                <w:rFonts w:ascii="Lato" w:eastAsia="MS Mincho" w:hAnsi="Lato" w:cs="Times New Roman"/>
                <w:bCs/>
                <w:sz w:val="18"/>
                <w:szCs w:val="18"/>
              </w:rPr>
              <w:t>Bronchofiberosiopii</w:t>
            </w:r>
            <w:proofErr w:type="spellEnd"/>
            <w:r w:rsidRPr="005911C6">
              <w:rPr>
                <w:rFonts w:ascii="Lato" w:eastAsia="MS Mincho" w:hAnsi="Lato" w:cs="Times New Roman"/>
                <w:bCs/>
                <w:sz w:val="18"/>
                <w:szCs w:val="18"/>
              </w:rPr>
              <w:t xml:space="preserve"> uruchomiono przyjęcia w trybie dziennej diagnostyki i wykonano pierwszych 6 zabiegów diagnostycznych. Aktualnie przyjmowanych jest coraz więcej pacjentów na  gastroskopię </w:t>
            </w:r>
            <w:r w:rsidRPr="005911C6">
              <w:rPr>
                <w:rFonts w:ascii="Lato" w:eastAsia="MS Mincho" w:hAnsi="Lato" w:cs="Times New Roman"/>
                <w:bCs/>
                <w:sz w:val="18"/>
                <w:szCs w:val="18"/>
              </w:rPr>
              <w:br/>
              <w:t xml:space="preserve">i </w:t>
            </w:r>
            <w:proofErr w:type="spellStart"/>
            <w:r w:rsidRPr="005911C6">
              <w:rPr>
                <w:rFonts w:ascii="Lato" w:eastAsia="MS Mincho" w:hAnsi="Lato" w:cs="Times New Roman"/>
                <w:bCs/>
                <w:sz w:val="18"/>
                <w:szCs w:val="18"/>
              </w:rPr>
              <w:t>kolonoskopię</w:t>
            </w:r>
            <w:proofErr w:type="spellEnd"/>
            <w:r w:rsidRPr="005911C6">
              <w:rPr>
                <w:rFonts w:ascii="Lato" w:eastAsia="MS Mincho" w:hAnsi="Lato" w:cs="Times New Roman"/>
                <w:bCs/>
                <w:sz w:val="18"/>
                <w:szCs w:val="18"/>
              </w:rPr>
              <w:t xml:space="preserve"> w trybie pobytu jednodniowego</w:t>
            </w:r>
            <w:r w:rsidRPr="005911C6">
              <w:rPr>
                <w:rFonts w:ascii="Lato" w:eastAsia="MS Mincho" w:hAnsi="Lato" w:cs="Times New Roman"/>
                <w:b/>
                <w:sz w:val="18"/>
                <w:szCs w:val="18"/>
              </w:rPr>
              <w:t>.</w:t>
            </w:r>
          </w:p>
          <w:p w14:paraId="0AB189C4" w14:textId="361909CB" w:rsidR="00CD7ACE" w:rsidRPr="005911C6" w:rsidRDefault="00CD7ACE" w:rsidP="005911C6">
            <w:pPr>
              <w:spacing w:after="0" w:line="240" w:lineRule="auto"/>
              <w:rPr>
                <w:rFonts w:ascii="Lato" w:eastAsia="MS Mincho" w:hAnsi="Lato" w:cs="Times New Roman"/>
                <w:b/>
                <w:sz w:val="18"/>
                <w:szCs w:val="18"/>
                <w:u w:val="single"/>
              </w:rPr>
            </w:pPr>
          </w:p>
        </w:tc>
      </w:tr>
      <w:tr w:rsidR="003C25C5" w:rsidRPr="005911C6" w14:paraId="42011A27" w14:textId="77777777" w:rsidTr="008C67C9">
        <w:trPr>
          <w:trHeight w:val="415"/>
        </w:trPr>
        <w:tc>
          <w:tcPr>
            <w:tcW w:w="1232" w:type="dxa"/>
            <w:vMerge/>
            <w:shd w:val="clear" w:color="auto" w:fill="FFFFFF" w:themeFill="background1"/>
          </w:tcPr>
          <w:p w14:paraId="65FB678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8BEF2F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Zwiększenie dostępności świadczeń </w:t>
            </w:r>
            <w:r w:rsidRPr="005911C6">
              <w:rPr>
                <w:rFonts w:ascii="Lato" w:eastAsia="MS Mincho" w:hAnsi="Lato"/>
                <w:sz w:val="18"/>
                <w:szCs w:val="18"/>
              </w:rPr>
              <w:br/>
              <w:t>z zakresu geriatrii w systemie szpitalnym, w tym:</w:t>
            </w:r>
          </w:p>
          <w:p w14:paraId="507AE609"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upowszechnienie sytemu konsultacji geriatrycznych hospitalizowanych chorych osób starszych;</w:t>
            </w:r>
          </w:p>
          <w:p w14:paraId="15D7C30F"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zwiększenie liczby geriatrów zatrudnionych w systemie</w:t>
            </w:r>
          </w:p>
        </w:tc>
        <w:tc>
          <w:tcPr>
            <w:tcW w:w="2032" w:type="dxa"/>
            <w:vMerge w:val="restart"/>
            <w:shd w:val="clear" w:color="auto" w:fill="FFFFFF" w:themeFill="background1"/>
          </w:tcPr>
          <w:p w14:paraId="1162DD7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18D7990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216066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wdrożonych rozwiązań mających na zwiększenie dostępności świadczeń z zakresu geriatrii w systemie szpitalnym</w:t>
            </w:r>
          </w:p>
        </w:tc>
      </w:tr>
      <w:tr w:rsidR="003C25C5" w:rsidRPr="005911C6" w14:paraId="2DD1D149" w14:textId="77777777" w:rsidTr="008C67C9">
        <w:trPr>
          <w:trHeight w:val="720"/>
        </w:trPr>
        <w:tc>
          <w:tcPr>
            <w:tcW w:w="1232" w:type="dxa"/>
            <w:vMerge/>
            <w:shd w:val="clear" w:color="auto" w:fill="FFFFFF" w:themeFill="background1"/>
          </w:tcPr>
          <w:p w14:paraId="3F55177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E7327F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2D238B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5D62DC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44C8715"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67358A22" w14:textId="77777777" w:rsidR="00CD7ACE" w:rsidRPr="005911C6" w:rsidRDefault="00CD7ACE" w:rsidP="005911C6">
            <w:pPr>
              <w:spacing w:after="0" w:line="240" w:lineRule="auto"/>
              <w:rPr>
                <w:rFonts w:ascii="Lato" w:hAnsi="Lato"/>
                <w:sz w:val="18"/>
                <w:szCs w:val="18"/>
              </w:rPr>
            </w:pPr>
            <w:r w:rsidRPr="005911C6">
              <w:rPr>
                <w:rFonts w:ascii="Lato" w:eastAsia="MS Mincho" w:hAnsi="Lato" w:cs="Times New Roman"/>
                <w:color w:val="00000A"/>
                <w:sz w:val="18"/>
                <w:szCs w:val="18"/>
              </w:rPr>
              <w:t xml:space="preserve">W Narodowym Instytucie Geriatrii, Reumatologii </w:t>
            </w:r>
            <w:r w:rsidRPr="005911C6">
              <w:rPr>
                <w:rFonts w:ascii="Lato" w:eastAsia="MS Mincho" w:hAnsi="Lato" w:cs="Times New Roman"/>
                <w:color w:val="00000A"/>
                <w:sz w:val="18"/>
                <w:szCs w:val="18"/>
              </w:rPr>
              <w:br/>
              <w:t xml:space="preserve">i Rehabilitacji udzielane są konsultacje geriatryczne </w:t>
            </w:r>
            <w:r w:rsidRPr="005911C6">
              <w:rPr>
                <w:rFonts w:ascii="Lato" w:eastAsia="MS Mincho" w:hAnsi="Lato" w:cs="Times New Roman"/>
                <w:color w:val="00000A"/>
                <w:sz w:val="18"/>
                <w:szCs w:val="18"/>
              </w:rPr>
              <w:br/>
              <w:t xml:space="preserve">i internistyczne dla ludzi starszych. W 2022r. przeprowadzono 46 konsultacji.  </w:t>
            </w:r>
          </w:p>
          <w:p w14:paraId="0AE5D2BA" w14:textId="2FC59C81" w:rsidR="003C25C5" w:rsidRPr="005911C6" w:rsidRDefault="00CD7ACE" w:rsidP="005911C6">
            <w:pPr>
              <w:spacing w:after="0" w:line="240" w:lineRule="auto"/>
              <w:rPr>
                <w:rFonts w:ascii="Lato" w:eastAsia="MS Mincho" w:hAnsi="Lato" w:cs="Times New Roman"/>
                <w:color w:val="00000A"/>
                <w:sz w:val="18"/>
                <w:szCs w:val="18"/>
              </w:rPr>
            </w:pPr>
            <w:r w:rsidRPr="005911C6">
              <w:rPr>
                <w:rFonts w:ascii="Lato" w:eastAsia="MS Mincho" w:hAnsi="Lato" w:cs="Times New Roman"/>
                <w:color w:val="00000A"/>
                <w:sz w:val="18"/>
                <w:szCs w:val="18"/>
              </w:rPr>
              <w:t xml:space="preserve">W </w:t>
            </w:r>
            <w:proofErr w:type="spellStart"/>
            <w:r w:rsidRPr="005911C6">
              <w:rPr>
                <w:rFonts w:ascii="Lato" w:eastAsia="MS Mincho" w:hAnsi="Lato" w:cs="Times New Roman"/>
                <w:color w:val="00000A"/>
                <w:sz w:val="18"/>
                <w:szCs w:val="18"/>
              </w:rPr>
              <w:t>NIGRiR</w:t>
            </w:r>
            <w:proofErr w:type="spellEnd"/>
            <w:r w:rsidRPr="005911C6">
              <w:rPr>
                <w:rFonts w:ascii="Lato" w:eastAsia="MS Mincho" w:hAnsi="Lato" w:cs="Times New Roman"/>
                <w:color w:val="00000A"/>
                <w:sz w:val="18"/>
                <w:szCs w:val="18"/>
              </w:rPr>
              <w:t xml:space="preserve"> wykorzystuje się skalę VES-13 oraz Całościową Ocenę Geriatryczną w codziennej praktyce klinicznej celem rozpoznania u osób starszych deficytów w zakresie sprawności funkcjonalnej (somatycznej i </w:t>
            </w:r>
            <w:proofErr w:type="spellStart"/>
            <w:r w:rsidRPr="005911C6">
              <w:rPr>
                <w:rFonts w:ascii="Lato" w:eastAsia="MS Mincho" w:hAnsi="Lato" w:cs="Times New Roman"/>
                <w:color w:val="00000A"/>
                <w:sz w:val="18"/>
                <w:szCs w:val="18"/>
              </w:rPr>
              <w:t>psycho</w:t>
            </w:r>
            <w:proofErr w:type="spellEnd"/>
            <w:r w:rsidRPr="005911C6">
              <w:rPr>
                <w:rFonts w:ascii="Lato" w:eastAsia="MS Mincho" w:hAnsi="Lato" w:cs="Times New Roman"/>
                <w:color w:val="00000A"/>
                <w:sz w:val="18"/>
                <w:szCs w:val="18"/>
              </w:rPr>
              <w:t xml:space="preserve">-społecznej),  oraz podjęcia wczesnej i wielowymiarowej interwencji, mającej przywrócić utraconą lub ograniczoną sprawność </w:t>
            </w:r>
            <w:r w:rsidRPr="005911C6">
              <w:rPr>
                <w:rFonts w:ascii="Lato" w:eastAsia="MS Mincho" w:hAnsi="Lato" w:cs="Times New Roman"/>
                <w:color w:val="00000A"/>
                <w:sz w:val="18"/>
                <w:szCs w:val="18"/>
              </w:rPr>
              <w:br/>
              <w:t xml:space="preserve">i niezależność osób starszych w ich życiu codziennym  </w:t>
            </w:r>
            <w:r w:rsidRPr="005911C6">
              <w:rPr>
                <w:rFonts w:ascii="Lato" w:eastAsia="MS Mincho" w:hAnsi="Lato" w:cs="Times New Roman"/>
                <w:color w:val="00000A"/>
                <w:sz w:val="18"/>
                <w:szCs w:val="18"/>
              </w:rPr>
              <w:br/>
              <w:t>i stworzyć warunki dla poprawy jakości ich życia.</w:t>
            </w:r>
          </w:p>
        </w:tc>
      </w:tr>
      <w:tr w:rsidR="003C25C5" w:rsidRPr="005911C6" w14:paraId="34549B1E" w14:textId="77777777" w:rsidTr="008C67C9">
        <w:trPr>
          <w:trHeight w:val="720"/>
        </w:trPr>
        <w:tc>
          <w:tcPr>
            <w:tcW w:w="1232" w:type="dxa"/>
            <w:vMerge/>
            <w:shd w:val="clear" w:color="auto" w:fill="FFFFFF" w:themeFill="background1"/>
          </w:tcPr>
          <w:p w14:paraId="65569B5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692067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Zwiększenie dostępności konsultacji geriatrycznych w warunkach opieki ambulatoryjnej, w tym:</w:t>
            </w:r>
          </w:p>
          <w:p w14:paraId="6B0EBCFF"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lastRenderedPageBreak/>
              <w:t xml:space="preserve">utrzymanie </w:t>
            </w:r>
            <w:proofErr w:type="spellStart"/>
            <w:r w:rsidRPr="005911C6">
              <w:rPr>
                <w:rFonts w:ascii="Lato" w:eastAsia="MS Mincho" w:hAnsi="Lato"/>
                <w:sz w:val="18"/>
                <w:szCs w:val="18"/>
              </w:rPr>
              <w:t>priorytetyzacji</w:t>
            </w:r>
            <w:proofErr w:type="spellEnd"/>
            <w:r w:rsidRPr="005911C6">
              <w:rPr>
                <w:rFonts w:ascii="Lato" w:eastAsia="MS Mincho" w:hAnsi="Lato"/>
                <w:sz w:val="18"/>
                <w:szCs w:val="18"/>
              </w:rPr>
              <w:t xml:space="preserve"> specjalizacji z geriatrii;</w:t>
            </w:r>
          </w:p>
          <w:p w14:paraId="2F758490"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stworzenie sieci jednostek szkolących lekarzy geriatrów</w:t>
            </w:r>
          </w:p>
        </w:tc>
        <w:tc>
          <w:tcPr>
            <w:tcW w:w="2032" w:type="dxa"/>
            <w:vMerge w:val="restart"/>
            <w:shd w:val="clear" w:color="auto" w:fill="FFFFFF" w:themeFill="background1"/>
          </w:tcPr>
          <w:p w14:paraId="4A6B60F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Ministerstwo Zdrowia</w:t>
            </w:r>
          </w:p>
        </w:tc>
        <w:tc>
          <w:tcPr>
            <w:tcW w:w="1500" w:type="dxa"/>
            <w:vMerge w:val="restart"/>
            <w:shd w:val="clear" w:color="auto" w:fill="FFFFFF" w:themeFill="background1"/>
          </w:tcPr>
          <w:p w14:paraId="147345E9"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254DCA3F"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wdrożonych rozwiązań mających na celu zwiększenie dostępności konsultacji geriatrycznych  w warunkach opieki ambulatoryjnej</w:t>
            </w:r>
          </w:p>
        </w:tc>
      </w:tr>
      <w:tr w:rsidR="003C25C5" w:rsidRPr="005911C6" w14:paraId="7E6B62E8" w14:textId="77777777" w:rsidTr="008C67C9">
        <w:trPr>
          <w:trHeight w:val="720"/>
        </w:trPr>
        <w:tc>
          <w:tcPr>
            <w:tcW w:w="1232" w:type="dxa"/>
            <w:vMerge/>
            <w:shd w:val="clear" w:color="auto" w:fill="FFFFFF" w:themeFill="background1"/>
          </w:tcPr>
          <w:p w14:paraId="2CCFABA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5F8489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1064B9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98E74D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D5990FA"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05CC01BD" w14:textId="4C87633E" w:rsidR="003C25C5" w:rsidRPr="005911C6" w:rsidRDefault="00CD7ACE" w:rsidP="005911C6">
            <w:pPr>
              <w:spacing w:after="0" w:line="240" w:lineRule="auto"/>
              <w:rPr>
                <w:rFonts w:ascii="Lato" w:hAnsi="Lato"/>
                <w:sz w:val="18"/>
                <w:szCs w:val="18"/>
              </w:rPr>
            </w:pPr>
            <w:r w:rsidRPr="005911C6">
              <w:rPr>
                <w:rFonts w:ascii="Lato" w:eastAsia="MS Mincho" w:hAnsi="Lato" w:cs="Times New Roman"/>
                <w:color w:val="00000A"/>
                <w:sz w:val="18"/>
                <w:szCs w:val="18"/>
              </w:rPr>
              <w:t>W 2022r. w Narodowym Instytucie Geriatrii, Reumatologii i Rehabilitacji z  miejsc specjalizacyjnych w Klinice Geriatrii w ramach szkolenia specjalizacyjnego z dziedziny geriatrii skorzystało 8  lekarzy i 4 - z miejsc internistycznych.</w:t>
            </w:r>
          </w:p>
        </w:tc>
      </w:tr>
      <w:tr w:rsidR="003C25C5" w:rsidRPr="005911C6" w14:paraId="6DBC8C90" w14:textId="77777777" w:rsidTr="008C67C9">
        <w:trPr>
          <w:trHeight w:val="720"/>
        </w:trPr>
        <w:tc>
          <w:tcPr>
            <w:tcW w:w="1232" w:type="dxa"/>
            <w:vMerge/>
            <w:shd w:val="clear" w:color="auto" w:fill="FFFFFF" w:themeFill="background1"/>
          </w:tcPr>
          <w:p w14:paraId="78BE67C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B9FFCC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Rozwój kształcenia przed dyplomowego z zakresu geriatrii na kierunkach medycznych, w tym:</w:t>
            </w:r>
          </w:p>
          <w:p w14:paraId="03B072A0"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wsparcie rozwoju akademickich ośrodków geriatrycznych </w:t>
            </w:r>
            <w:r w:rsidRPr="005911C6">
              <w:rPr>
                <w:rFonts w:ascii="Lato" w:eastAsia="MS Mincho" w:hAnsi="Lato"/>
                <w:sz w:val="18"/>
                <w:szCs w:val="18"/>
              </w:rPr>
              <w:br/>
              <w:t>w uczelniach kształcących kadrę medyczną (klinik, zakładów, katedr) oraz studenckich kół naukowych geriatrii;</w:t>
            </w:r>
          </w:p>
          <w:p w14:paraId="232A16EE"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 xml:space="preserve">analiza efektów kształcenia z zakresu geriatrii na poszczególnych kierunkach medycznych w kontekście doskonalenia kształcenia </w:t>
            </w:r>
            <w:r w:rsidRPr="005911C6">
              <w:rPr>
                <w:rFonts w:ascii="Lato" w:eastAsia="MS Mincho" w:hAnsi="Lato"/>
                <w:sz w:val="18"/>
                <w:szCs w:val="18"/>
              </w:rPr>
              <w:br/>
              <w:t>przed dyplomowego w tym obszarze;</w:t>
            </w:r>
          </w:p>
          <w:p w14:paraId="20BE61C9"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wsparcie rozwoju badań naukowych w obszarze zdrowego starzenia się i chorób związanych z wiekiem starczym</w:t>
            </w:r>
          </w:p>
        </w:tc>
        <w:tc>
          <w:tcPr>
            <w:tcW w:w="2032" w:type="dxa"/>
            <w:vMerge w:val="restart"/>
            <w:shd w:val="clear" w:color="auto" w:fill="FFFFFF" w:themeFill="background1"/>
          </w:tcPr>
          <w:p w14:paraId="42BA0DC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76AF2FC8" w14:textId="77777777" w:rsidR="003C25C5" w:rsidRPr="005911C6" w:rsidRDefault="003C25C5" w:rsidP="005911C6">
            <w:pPr>
              <w:tabs>
                <w:tab w:val="left" w:pos="1230"/>
              </w:tabs>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39C8F71B"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podjętych inicjatyw mających na celu rozwój kształcenia przed dyplomowego z zakresu geriatrii na kierunkach medycznych.</w:t>
            </w:r>
          </w:p>
        </w:tc>
      </w:tr>
      <w:tr w:rsidR="003C25C5" w:rsidRPr="005911C6" w14:paraId="388657FB" w14:textId="77777777" w:rsidTr="008C67C9">
        <w:trPr>
          <w:trHeight w:val="720"/>
        </w:trPr>
        <w:tc>
          <w:tcPr>
            <w:tcW w:w="1232" w:type="dxa"/>
            <w:vMerge/>
            <w:shd w:val="clear" w:color="auto" w:fill="FFFFFF" w:themeFill="background1"/>
          </w:tcPr>
          <w:p w14:paraId="756974A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9AC62A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551D85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FE47CF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453DA8C"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0E08643" w14:textId="77777777" w:rsidR="00CD7ACE" w:rsidRPr="005911C6" w:rsidRDefault="00CD7ACE" w:rsidP="005911C6">
            <w:pPr>
              <w:spacing w:after="0" w:line="240" w:lineRule="auto"/>
              <w:rPr>
                <w:rFonts w:ascii="Lato" w:eastAsia="MS Mincho" w:hAnsi="Lato" w:cs="Times New Roman"/>
                <w:color w:val="00000A"/>
                <w:sz w:val="18"/>
                <w:szCs w:val="18"/>
              </w:rPr>
            </w:pPr>
            <w:r w:rsidRPr="005911C6">
              <w:rPr>
                <w:rFonts w:ascii="Lato" w:eastAsia="MS Mincho" w:hAnsi="Lato" w:cs="Times New Roman"/>
                <w:color w:val="00000A"/>
                <w:sz w:val="18"/>
                <w:szCs w:val="18"/>
              </w:rPr>
              <w:t xml:space="preserve">Corocznie Klinika i Poliklinika Geriatrii </w:t>
            </w:r>
            <w:proofErr w:type="spellStart"/>
            <w:r w:rsidRPr="005911C6">
              <w:rPr>
                <w:rFonts w:ascii="Lato" w:eastAsia="MS Mincho" w:hAnsi="Lato" w:cs="Times New Roman"/>
                <w:color w:val="00000A"/>
                <w:sz w:val="18"/>
                <w:szCs w:val="18"/>
              </w:rPr>
              <w:t>NIGRiR</w:t>
            </w:r>
            <w:proofErr w:type="spellEnd"/>
            <w:r w:rsidRPr="005911C6">
              <w:rPr>
                <w:rFonts w:ascii="Lato" w:eastAsia="MS Mincho" w:hAnsi="Lato" w:cs="Times New Roman"/>
                <w:color w:val="00000A"/>
                <w:sz w:val="18"/>
                <w:szCs w:val="18"/>
              </w:rPr>
              <w:t xml:space="preserve"> przyjmuje studentów  z kierunku lekarskiego Warszawskiego Uniwersytetu Medycznego (575 w 2022r.)  i Uczelni Łazarskiego (37 w 2022r.). Ponadto w Klinice Geriatrii </w:t>
            </w:r>
          </w:p>
          <w:p w14:paraId="108B60F4" w14:textId="77777777" w:rsidR="00CD7ACE" w:rsidRPr="005911C6" w:rsidRDefault="00CD7ACE" w:rsidP="005911C6">
            <w:pPr>
              <w:spacing w:after="0" w:line="240" w:lineRule="auto"/>
              <w:rPr>
                <w:rFonts w:ascii="Lato" w:hAnsi="Lato"/>
                <w:sz w:val="18"/>
                <w:szCs w:val="18"/>
              </w:rPr>
            </w:pPr>
            <w:r w:rsidRPr="005911C6">
              <w:rPr>
                <w:rFonts w:ascii="Lato" w:eastAsia="MS Mincho" w:hAnsi="Lato" w:cs="Times New Roman"/>
                <w:color w:val="00000A"/>
                <w:sz w:val="18"/>
                <w:szCs w:val="18"/>
              </w:rPr>
              <w:t>w 2022r. realizowało zajęcia praktyczne 45 studentów kierunku Pielęgniarstwo i 381 kierunku Fizjoterapia z Akademii Wychowania Fizycznego J. Piłsudskiego w Warszawie.</w:t>
            </w:r>
          </w:p>
          <w:p w14:paraId="4E133559" w14:textId="77777777" w:rsidR="00CD7ACE" w:rsidRPr="005911C6" w:rsidRDefault="00CD7ACE" w:rsidP="005911C6">
            <w:pPr>
              <w:spacing w:after="0" w:line="240" w:lineRule="auto"/>
              <w:rPr>
                <w:rFonts w:ascii="Lato" w:hAnsi="Lato"/>
                <w:sz w:val="18"/>
                <w:szCs w:val="18"/>
              </w:rPr>
            </w:pPr>
            <w:r w:rsidRPr="005911C6">
              <w:rPr>
                <w:rFonts w:ascii="Lato" w:eastAsia="SimSun" w:hAnsi="Lato" w:cs="Calibri"/>
                <w:color w:val="000000"/>
                <w:sz w:val="18"/>
                <w:szCs w:val="18"/>
                <w:lang w:eastAsia="zh-CN" w:bidi="hi-IN"/>
              </w:rPr>
              <w:t xml:space="preserve">W 2022r. w Klinice Geriatrii </w:t>
            </w:r>
            <w:proofErr w:type="spellStart"/>
            <w:r w:rsidRPr="005911C6">
              <w:rPr>
                <w:rFonts w:ascii="Lato" w:eastAsia="SimSun" w:hAnsi="Lato" w:cs="Calibri"/>
                <w:color w:val="000000"/>
                <w:sz w:val="18"/>
                <w:szCs w:val="18"/>
                <w:lang w:eastAsia="zh-CN" w:bidi="hi-IN"/>
              </w:rPr>
              <w:t>NIGRiR</w:t>
            </w:r>
            <w:proofErr w:type="spellEnd"/>
            <w:r w:rsidRPr="005911C6">
              <w:rPr>
                <w:rFonts w:ascii="Lato" w:eastAsia="SimSun" w:hAnsi="Lato" w:cs="Calibri"/>
                <w:color w:val="000000"/>
                <w:sz w:val="18"/>
                <w:szCs w:val="18"/>
                <w:lang w:eastAsia="zh-CN" w:bidi="hi-IN"/>
              </w:rPr>
              <w:t xml:space="preserve"> prowadzone były badania naukowe w obszarze tzw.  </w:t>
            </w:r>
            <w:r w:rsidRPr="005911C6">
              <w:rPr>
                <w:rFonts w:ascii="Lato" w:eastAsia="SimSun" w:hAnsi="Lato" w:cs="Calibri"/>
                <w:b/>
                <w:bCs/>
                <w:color w:val="000000"/>
                <w:sz w:val="18"/>
                <w:szCs w:val="18"/>
                <w:lang w:eastAsia="zh-CN" w:bidi="hi-IN"/>
              </w:rPr>
              <w:t>Wielkich Problemów Geriatrycznych</w:t>
            </w:r>
            <w:r w:rsidRPr="005911C6">
              <w:rPr>
                <w:rFonts w:ascii="Lato" w:eastAsia="SimSun" w:hAnsi="Lato" w:cs="Calibri"/>
                <w:color w:val="000000"/>
                <w:sz w:val="18"/>
                <w:szCs w:val="18"/>
                <w:lang w:eastAsia="zh-CN" w:bidi="hi-IN"/>
              </w:rPr>
              <w:t>, w tym przede wszystkim prace związane z </w:t>
            </w:r>
            <w:r w:rsidRPr="005911C6">
              <w:rPr>
                <w:rFonts w:ascii="Lato" w:eastAsia="SimSun" w:hAnsi="Lato" w:cs="Calibri"/>
                <w:b/>
                <w:bCs/>
                <w:color w:val="000000"/>
                <w:sz w:val="18"/>
                <w:szCs w:val="18"/>
                <w:lang w:eastAsia="zh-CN" w:bidi="hi-IN"/>
              </w:rPr>
              <w:t xml:space="preserve">zespołem kruchości, </w:t>
            </w:r>
            <w:proofErr w:type="spellStart"/>
            <w:r w:rsidRPr="005911C6">
              <w:rPr>
                <w:rFonts w:ascii="Lato" w:eastAsia="SimSun" w:hAnsi="Lato" w:cs="Calibri"/>
                <w:b/>
                <w:bCs/>
                <w:color w:val="000000"/>
                <w:sz w:val="18"/>
                <w:szCs w:val="18"/>
                <w:lang w:eastAsia="zh-CN" w:bidi="hi-IN"/>
              </w:rPr>
              <w:t>sarkopenią</w:t>
            </w:r>
            <w:proofErr w:type="spellEnd"/>
            <w:r w:rsidRPr="005911C6">
              <w:rPr>
                <w:rFonts w:ascii="Lato" w:eastAsia="SimSun" w:hAnsi="Lato" w:cs="Calibri"/>
                <w:b/>
                <w:bCs/>
                <w:color w:val="000000"/>
                <w:sz w:val="18"/>
                <w:szCs w:val="18"/>
                <w:lang w:eastAsia="zh-CN" w:bidi="hi-IN"/>
              </w:rPr>
              <w:t xml:space="preserve">, profilaktyką upadków  </w:t>
            </w:r>
            <w:r w:rsidRPr="005911C6">
              <w:rPr>
                <w:rFonts w:ascii="Lato" w:eastAsia="SimSun" w:hAnsi="Lato" w:cs="Calibri"/>
                <w:b/>
                <w:bCs/>
                <w:color w:val="000000"/>
                <w:sz w:val="18"/>
                <w:szCs w:val="18"/>
                <w:lang w:eastAsia="zh-CN" w:bidi="hi-IN"/>
              </w:rPr>
              <w:br/>
              <w:t xml:space="preserve">i </w:t>
            </w:r>
            <w:proofErr w:type="spellStart"/>
            <w:r w:rsidRPr="005911C6">
              <w:rPr>
                <w:rFonts w:ascii="Lato" w:eastAsia="SimSun" w:hAnsi="Lato" w:cs="Calibri"/>
                <w:b/>
                <w:bCs/>
                <w:color w:val="000000"/>
                <w:sz w:val="18"/>
                <w:szCs w:val="18"/>
                <w:lang w:eastAsia="zh-CN" w:bidi="hi-IN"/>
              </w:rPr>
              <w:t>wielochorobowością</w:t>
            </w:r>
            <w:proofErr w:type="spellEnd"/>
            <w:r w:rsidRPr="005911C6">
              <w:rPr>
                <w:rFonts w:ascii="Lato" w:eastAsia="SimSun" w:hAnsi="Lato" w:cs="Calibri"/>
                <w:color w:val="000000"/>
                <w:sz w:val="18"/>
                <w:szCs w:val="18"/>
                <w:lang w:eastAsia="zh-CN" w:bidi="hi-IN"/>
              </w:rPr>
              <w:t>.</w:t>
            </w:r>
          </w:p>
          <w:p w14:paraId="51F286D3" w14:textId="77777777" w:rsidR="00CD7ACE" w:rsidRPr="005911C6" w:rsidRDefault="00CD7ACE" w:rsidP="005911C6">
            <w:pPr>
              <w:spacing w:after="0" w:line="240" w:lineRule="auto"/>
              <w:rPr>
                <w:rFonts w:ascii="Lato" w:eastAsia="SimSun" w:hAnsi="Lato" w:cs="Calibri"/>
                <w:color w:val="000000"/>
                <w:sz w:val="18"/>
                <w:szCs w:val="18"/>
                <w:lang w:eastAsia="zh-CN" w:bidi="hi-IN"/>
              </w:rPr>
            </w:pPr>
            <w:r w:rsidRPr="005911C6">
              <w:rPr>
                <w:rFonts w:ascii="Lato" w:eastAsia="SimSun" w:hAnsi="Lato" w:cs="Calibri"/>
                <w:color w:val="000000"/>
                <w:sz w:val="18"/>
                <w:szCs w:val="18"/>
                <w:lang w:eastAsia="zh-CN" w:bidi="hi-IN"/>
              </w:rPr>
              <w:t xml:space="preserve">W ramach profilaktyki Wielkich Problemów Geriatrycznych </w:t>
            </w:r>
            <w:r w:rsidRPr="005911C6">
              <w:rPr>
                <w:rFonts w:ascii="Lato" w:eastAsia="SimSun" w:hAnsi="Lato" w:cs="Calibri"/>
                <w:color w:val="000000"/>
                <w:sz w:val="18"/>
                <w:szCs w:val="18"/>
                <w:lang w:eastAsia="zh-CN" w:bidi="hi-IN"/>
              </w:rPr>
              <w:br/>
              <w:t xml:space="preserve">w Klinice Geriatrii prowadzona jest „dobra praktyka” - systematyczna, ścisła interdyscyplinarna współpraca zespołowa specjalistów: lekarzy specjalistów, pielęgniarki geriatrycznej i pielęgniarek ogólnych, fizjoterapeutów, psychologa i dietetyka. Na bieżąco udzielane są porady i konsultacje z pisemnymi zaleceniami postępowania poszpitalnego oraz wdrażane są działania edukacyjne wobec pacjentów i ich bezpośrednich opiekunów, łącznie </w:t>
            </w:r>
            <w:r w:rsidRPr="005911C6">
              <w:rPr>
                <w:rFonts w:ascii="Lato" w:eastAsia="SimSun" w:hAnsi="Lato" w:cs="Calibri"/>
                <w:color w:val="000000"/>
                <w:sz w:val="18"/>
                <w:szCs w:val="18"/>
                <w:lang w:eastAsia="zh-CN" w:bidi="hi-IN"/>
              </w:rPr>
              <w:br/>
              <w:t>z wydawaniem zestawów materiałów informacyjno-edukacyjnych.</w:t>
            </w:r>
          </w:p>
          <w:p w14:paraId="602B3148" w14:textId="77777777" w:rsidR="00CD7ACE" w:rsidRPr="005911C6" w:rsidRDefault="00CD7ACE" w:rsidP="005911C6">
            <w:pPr>
              <w:spacing w:after="0" w:line="240" w:lineRule="auto"/>
              <w:rPr>
                <w:rFonts w:ascii="Lato" w:hAnsi="Lato"/>
                <w:sz w:val="18"/>
                <w:szCs w:val="18"/>
              </w:rPr>
            </w:pPr>
            <w:r w:rsidRPr="005911C6">
              <w:rPr>
                <w:rFonts w:ascii="Lato" w:eastAsia="SimSun" w:hAnsi="Lato" w:cs="Calibri"/>
                <w:color w:val="000000"/>
                <w:sz w:val="18"/>
                <w:szCs w:val="18"/>
                <w:lang w:eastAsia="zh-CN" w:bidi="hi-IN"/>
              </w:rPr>
              <w:t xml:space="preserve">Poniżej zestawiono aktualnie prowadzone tematy </w:t>
            </w:r>
            <w:r w:rsidRPr="005911C6">
              <w:rPr>
                <w:rFonts w:ascii="Lato" w:eastAsia="SimSun" w:hAnsi="Lato" w:cs="Calibri"/>
                <w:sz w:val="18"/>
                <w:szCs w:val="18"/>
                <w:lang w:eastAsia="zh-CN" w:bidi="hi-IN"/>
              </w:rPr>
              <w:t xml:space="preserve">badawcze </w:t>
            </w:r>
            <w:r w:rsidRPr="005911C6">
              <w:rPr>
                <w:rFonts w:ascii="Lato" w:eastAsia="SimSun" w:hAnsi="Lato" w:cs="Calibri"/>
                <w:sz w:val="18"/>
                <w:szCs w:val="18"/>
                <w:lang w:eastAsia="zh-CN" w:bidi="hi-IN"/>
              </w:rPr>
              <w:br/>
              <w:t xml:space="preserve">w Klinice Geriatrii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w:t>
            </w:r>
          </w:p>
          <w:p w14:paraId="740E6ED2" w14:textId="77777777" w:rsidR="00CD7ACE" w:rsidRPr="005911C6" w:rsidRDefault="00CD7ACE" w:rsidP="007335F8">
            <w:pPr>
              <w:numPr>
                <w:ilvl w:val="0"/>
                <w:numId w:val="243"/>
              </w:numPr>
              <w:spacing w:after="0" w:line="240" w:lineRule="auto"/>
              <w:rPr>
                <w:rFonts w:ascii="Lato" w:eastAsia="SimSun" w:hAnsi="Lato" w:cs="Calibri"/>
                <w:sz w:val="18"/>
                <w:szCs w:val="18"/>
                <w:lang w:eastAsia="zh-CN" w:bidi="hi-IN"/>
              </w:rPr>
            </w:pPr>
            <w:r w:rsidRPr="005911C6">
              <w:rPr>
                <w:rFonts w:ascii="Lato" w:eastAsia="SimSun" w:hAnsi="Lato" w:cs="Calibri"/>
                <w:sz w:val="18"/>
                <w:szCs w:val="18"/>
                <w:lang w:eastAsia="zh-CN" w:bidi="hi-IN"/>
              </w:rPr>
              <w:t xml:space="preserve">Randomizowane, podwójnie zaślepione, kontrolowane placebo badanie oceniające skuteczność i bezpieczeństwo terapii </w:t>
            </w:r>
            <w:proofErr w:type="spellStart"/>
            <w:r w:rsidRPr="005911C6">
              <w:rPr>
                <w:rFonts w:ascii="Lato" w:eastAsia="SimSun" w:hAnsi="Lato" w:cs="Calibri"/>
                <w:sz w:val="18"/>
                <w:szCs w:val="18"/>
                <w:lang w:eastAsia="zh-CN" w:bidi="hi-IN"/>
              </w:rPr>
              <w:t>dekanianem</w:t>
            </w:r>
            <w:proofErr w:type="spellEnd"/>
            <w:r w:rsidRPr="005911C6">
              <w:rPr>
                <w:rFonts w:ascii="Lato" w:eastAsia="SimSun" w:hAnsi="Lato" w:cs="Calibri"/>
                <w:sz w:val="18"/>
                <w:szCs w:val="18"/>
                <w:lang w:eastAsia="zh-CN" w:bidi="hi-IN"/>
              </w:rPr>
              <w:t xml:space="preserve"> </w:t>
            </w:r>
            <w:proofErr w:type="spellStart"/>
            <w:r w:rsidRPr="005911C6">
              <w:rPr>
                <w:rFonts w:ascii="Lato" w:eastAsia="SimSun" w:hAnsi="Lato" w:cs="Calibri"/>
                <w:sz w:val="18"/>
                <w:szCs w:val="18"/>
                <w:lang w:eastAsia="zh-CN" w:bidi="hi-IN"/>
              </w:rPr>
              <w:t>nandrolonu</w:t>
            </w:r>
            <w:proofErr w:type="spellEnd"/>
            <w:r w:rsidRPr="005911C6">
              <w:rPr>
                <w:rFonts w:ascii="Lato" w:eastAsia="SimSun" w:hAnsi="Lato" w:cs="Calibri"/>
                <w:sz w:val="18"/>
                <w:szCs w:val="18"/>
                <w:lang w:eastAsia="zh-CN" w:bidi="hi-IN"/>
              </w:rPr>
              <w:t xml:space="preserve"> oraz terapii z zastosowaniem kompleksowej fizjoterapii i diety w leczeniu </w:t>
            </w:r>
            <w:proofErr w:type="spellStart"/>
            <w:r w:rsidRPr="005911C6">
              <w:rPr>
                <w:rFonts w:ascii="Lato" w:eastAsia="SimSun" w:hAnsi="Lato" w:cs="Calibri"/>
                <w:sz w:val="18"/>
                <w:szCs w:val="18"/>
                <w:lang w:eastAsia="zh-CN" w:bidi="hi-IN"/>
              </w:rPr>
              <w:t>sarkopenii</w:t>
            </w:r>
            <w:proofErr w:type="spellEnd"/>
            <w:r w:rsidRPr="005911C6">
              <w:rPr>
                <w:rFonts w:ascii="Lato" w:eastAsia="SimSun" w:hAnsi="Lato" w:cs="Calibri"/>
                <w:sz w:val="18"/>
                <w:szCs w:val="18"/>
                <w:lang w:eastAsia="zh-CN" w:bidi="hi-IN"/>
              </w:rPr>
              <w:t xml:space="preserve"> (projekt finansowany przez Agencję Badań Medycznych).</w:t>
            </w:r>
            <w:r w:rsidRPr="005911C6">
              <w:rPr>
                <w:rFonts w:ascii="Lato" w:eastAsia="MS Mincho" w:hAnsi="Lato" w:cs="Calibri"/>
                <w:sz w:val="18"/>
                <w:szCs w:val="18"/>
                <w:lang w:eastAsia="zh-CN" w:bidi="hi-IN"/>
              </w:rPr>
              <w:t xml:space="preserve">Badanie realizowane w latach 2022-2028 ma na celu wzrost efektywności działań w zapobieganiu </w:t>
            </w:r>
            <w:proofErr w:type="spellStart"/>
            <w:r w:rsidRPr="005911C6">
              <w:rPr>
                <w:rFonts w:ascii="Lato" w:eastAsia="MS Mincho" w:hAnsi="Lato" w:cs="Calibri"/>
                <w:sz w:val="18"/>
                <w:szCs w:val="18"/>
                <w:lang w:eastAsia="zh-CN" w:bidi="hi-IN"/>
              </w:rPr>
              <w:t>sarkopenii</w:t>
            </w:r>
            <w:proofErr w:type="spellEnd"/>
            <w:r w:rsidRPr="005911C6">
              <w:rPr>
                <w:rFonts w:ascii="Lato" w:eastAsia="MS Mincho" w:hAnsi="Lato" w:cs="Calibri"/>
                <w:sz w:val="18"/>
                <w:szCs w:val="18"/>
                <w:lang w:eastAsia="zh-CN" w:bidi="hi-IN"/>
              </w:rPr>
              <w:t xml:space="preserve"> i obejmuje włączenie leku a także dieto- i fizjoterapię </w:t>
            </w:r>
            <w:r w:rsidRPr="005911C6">
              <w:rPr>
                <w:rFonts w:ascii="Lato" w:eastAsia="MS Mincho" w:hAnsi="Lato" w:cs="Calibri"/>
                <w:sz w:val="18"/>
                <w:szCs w:val="18"/>
                <w:lang w:eastAsia="zh-CN" w:bidi="hi-IN"/>
              </w:rPr>
              <w:br/>
            </w:r>
            <w:r w:rsidRPr="005911C6">
              <w:rPr>
                <w:rFonts w:ascii="Lato" w:eastAsia="MS Mincho" w:hAnsi="Lato" w:cs="Calibri"/>
                <w:sz w:val="18"/>
                <w:szCs w:val="18"/>
                <w:lang w:eastAsia="zh-CN" w:bidi="hi-IN"/>
              </w:rPr>
              <w:lastRenderedPageBreak/>
              <w:t xml:space="preserve">w profilaktyce i leczeniu </w:t>
            </w:r>
            <w:proofErr w:type="spellStart"/>
            <w:r w:rsidRPr="005911C6">
              <w:rPr>
                <w:rFonts w:ascii="Lato" w:eastAsia="MS Mincho" w:hAnsi="Lato" w:cs="Calibri"/>
                <w:sz w:val="18"/>
                <w:szCs w:val="18"/>
                <w:lang w:eastAsia="zh-CN" w:bidi="hi-IN"/>
              </w:rPr>
              <w:t>sarkopenii</w:t>
            </w:r>
            <w:proofErr w:type="spellEnd"/>
            <w:r w:rsidRPr="005911C6">
              <w:rPr>
                <w:rFonts w:ascii="Lato" w:eastAsia="MS Mincho" w:hAnsi="Lato" w:cs="Calibri"/>
                <w:sz w:val="18"/>
                <w:szCs w:val="18"/>
                <w:lang w:eastAsia="zh-CN" w:bidi="hi-IN"/>
              </w:rPr>
              <w:t xml:space="preserve"> – jednego </w:t>
            </w:r>
            <w:r w:rsidRPr="005911C6">
              <w:rPr>
                <w:rFonts w:ascii="Lato" w:eastAsia="MS Mincho" w:hAnsi="Lato" w:cs="Calibri"/>
                <w:sz w:val="18"/>
                <w:szCs w:val="18"/>
                <w:lang w:eastAsia="zh-CN" w:bidi="hi-IN"/>
              </w:rPr>
              <w:br/>
              <w:t xml:space="preserve">z wielkich problemów geriatrycznych (168 uczestników). </w:t>
            </w:r>
          </w:p>
          <w:p w14:paraId="68BE5C0F" w14:textId="77777777" w:rsidR="00CD7ACE" w:rsidRPr="005911C6" w:rsidRDefault="00CD7ACE" w:rsidP="007335F8">
            <w:pPr>
              <w:numPr>
                <w:ilvl w:val="0"/>
                <w:numId w:val="243"/>
              </w:numPr>
              <w:spacing w:after="0" w:line="240" w:lineRule="auto"/>
              <w:rPr>
                <w:rFonts w:ascii="Lato" w:eastAsia="SimSun" w:hAnsi="Lato" w:cs="Calibri"/>
                <w:sz w:val="18"/>
                <w:szCs w:val="18"/>
                <w:lang w:eastAsia="zh-CN" w:bidi="hi-IN"/>
              </w:rPr>
            </w:pPr>
            <w:r w:rsidRPr="005911C6">
              <w:rPr>
                <w:rFonts w:ascii="Lato" w:eastAsia="SimSun" w:hAnsi="Lato" w:cs="Calibri"/>
                <w:sz w:val="18"/>
                <w:szCs w:val="18"/>
                <w:lang w:eastAsia="zh-CN" w:bidi="hi-IN"/>
              </w:rPr>
              <w:t xml:space="preserve">Ocena stanu odżywienia oraz ocena ryzyka niedożywienia u osób powyżej 65. roku życia </w:t>
            </w:r>
            <w:r w:rsidRPr="005911C6">
              <w:rPr>
                <w:rFonts w:ascii="Lato" w:eastAsia="SimSun" w:hAnsi="Lato" w:cs="Calibri"/>
                <w:sz w:val="18"/>
                <w:szCs w:val="18"/>
                <w:lang w:eastAsia="zh-CN" w:bidi="hi-IN"/>
              </w:rPr>
              <w:br/>
              <w:t xml:space="preserve">z wykorzystaniem metody impedancji bioelektrycznej (prace statutowe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 xml:space="preserve"> – ok.200 uczestników).</w:t>
            </w:r>
            <w:r w:rsidRPr="005911C6">
              <w:rPr>
                <w:rFonts w:ascii="Lato" w:eastAsia="MS Mincho" w:hAnsi="Lato" w:cs="Calibri"/>
                <w:sz w:val="18"/>
                <w:szCs w:val="18"/>
                <w:lang w:eastAsia="zh-CN" w:bidi="hi-IN"/>
              </w:rPr>
              <w:t xml:space="preserve">Długofalowe efekty tego badania to:  przekazanie pacjentowi i lekarzowi stosownej informacji na temat poszczególnych wartości </w:t>
            </w:r>
            <w:r w:rsidRPr="005911C6">
              <w:rPr>
                <w:rFonts w:ascii="Lato" w:eastAsia="MS Mincho" w:hAnsi="Lato" w:cs="Calibri"/>
                <w:sz w:val="18"/>
                <w:szCs w:val="18"/>
                <w:lang w:eastAsia="zh-CN" w:bidi="hi-IN"/>
              </w:rPr>
              <w:br/>
              <w:t xml:space="preserve">i parametrów uzyskanych w badaniu, co może przyczynić się do podniesienia efektywności leczenia, w tym </w:t>
            </w:r>
            <w:proofErr w:type="spellStart"/>
            <w:r w:rsidRPr="005911C6">
              <w:rPr>
                <w:rFonts w:ascii="Lato" w:eastAsia="MS Mincho" w:hAnsi="Lato" w:cs="Calibri"/>
                <w:sz w:val="18"/>
                <w:szCs w:val="18"/>
                <w:lang w:eastAsia="zh-CN" w:bidi="hi-IN"/>
              </w:rPr>
              <w:t>dietoterapii</w:t>
            </w:r>
            <w:proofErr w:type="spellEnd"/>
            <w:r w:rsidRPr="005911C6">
              <w:rPr>
                <w:rFonts w:ascii="Lato" w:eastAsia="MS Mincho" w:hAnsi="Lato" w:cs="Calibri"/>
                <w:sz w:val="18"/>
                <w:szCs w:val="18"/>
                <w:lang w:eastAsia="zh-CN" w:bidi="hi-IN"/>
              </w:rPr>
              <w:t xml:space="preserve">; zastosowanie diety odpowiedniej do stanu odżywienia, wzmocnienie motywacji pacjenta do prawidłowego odżywiania, co może przyczynić się do poprawy stanu zdrowia </w:t>
            </w:r>
            <w:r w:rsidRPr="005911C6">
              <w:rPr>
                <w:rFonts w:ascii="Lato" w:eastAsia="MS Mincho" w:hAnsi="Lato" w:cs="Calibri"/>
                <w:sz w:val="18"/>
                <w:szCs w:val="18"/>
                <w:lang w:eastAsia="zh-CN" w:bidi="hi-IN"/>
              </w:rPr>
              <w:br/>
              <w:t>i skuteczności leczenia choroby/chorób współistniejących a także mieć wpływ na zmianę stylu życia i umacnianie zdrowia pacjenta w starszym wieku – a w rezultacie do wydłużenia życia w zdrowiu.</w:t>
            </w:r>
          </w:p>
          <w:p w14:paraId="69DE8955" w14:textId="77777777" w:rsidR="00CD7ACE" w:rsidRPr="005911C6" w:rsidRDefault="00CD7ACE" w:rsidP="007335F8">
            <w:pPr>
              <w:numPr>
                <w:ilvl w:val="0"/>
                <w:numId w:val="243"/>
              </w:numPr>
              <w:spacing w:after="0" w:line="240" w:lineRule="auto"/>
              <w:rPr>
                <w:rFonts w:ascii="Lato" w:eastAsia="SimSun" w:hAnsi="Lato" w:cs="Calibri"/>
                <w:sz w:val="18"/>
                <w:szCs w:val="18"/>
                <w:lang w:eastAsia="zh-CN" w:bidi="hi-IN"/>
              </w:rPr>
            </w:pPr>
            <w:r w:rsidRPr="005911C6">
              <w:rPr>
                <w:rFonts w:ascii="Lato" w:eastAsia="SimSun" w:hAnsi="Lato" w:cs="Calibri"/>
                <w:sz w:val="18"/>
                <w:szCs w:val="18"/>
                <w:lang w:eastAsia="zh-CN" w:bidi="hi-IN"/>
              </w:rPr>
              <w:t xml:space="preserve">Ocena siły mięśni oddechowych oraz współwystępowania </w:t>
            </w:r>
            <w:proofErr w:type="spellStart"/>
            <w:r w:rsidRPr="005911C6">
              <w:rPr>
                <w:rFonts w:ascii="Lato" w:eastAsia="SimSun" w:hAnsi="Lato" w:cs="Calibri"/>
                <w:sz w:val="18"/>
                <w:szCs w:val="18"/>
                <w:lang w:eastAsia="zh-CN" w:bidi="hi-IN"/>
              </w:rPr>
              <w:t>sarkopenii</w:t>
            </w:r>
            <w:proofErr w:type="spellEnd"/>
            <w:r w:rsidRPr="005911C6">
              <w:rPr>
                <w:rFonts w:ascii="Lato" w:eastAsia="SimSun" w:hAnsi="Lato" w:cs="Calibri"/>
                <w:sz w:val="18"/>
                <w:szCs w:val="18"/>
                <w:lang w:eastAsia="zh-CN" w:bidi="hi-IN"/>
              </w:rPr>
              <w:t xml:space="preserve"> u osób z zespołem kruchości w populacji powyżej 60-tego roku życia (prace statutowe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 xml:space="preserve">). Badanie, które ma na celu wskazanie zagrożeń dla pogarszania się sprawności funkcjonalnej i wydolności fizycznej osób z </w:t>
            </w:r>
            <w:proofErr w:type="spellStart"/>
            <w:r w:rsidRPr="005911C6">
              <w:rPr>
                <w:rFonts w:ascii="Lato" w:eastAsia="SimSun" w:hAnsi="Lato" w:cs="Calibri"/>
                <w:sz w:val="18"/>
                <w:szCs w:val="18"/>
                <w:lang w:eastAsia="zh-CN" w:bidi="hi-IN"/>
              </w:rPr>
              <w:t>sarkopenią</w:t>
            </w:r>
            <w:proofErr w:type="spellEnd"/>
            <w:r w:rsidRPr="005911C6">
              <w:rPr>
                <w:rFonts w:ascii="Lato" w:eastAsia="SimSun" w:hAnsi="Lato" w:cs="Calibri"/>
                <w:sz w:val="18"/>
                <w:szCs w:val="18"/>
                <w:lang w:eastAsia="zh-CN" w:bidi="hi-IN"/>
              </w:rPr>
              <w:t xml:space="preserve"> i zespołem </w:t>
            </w:r>
            <w:proofErr w:type="spellStart"/>
            <w:r w:rsidRPr="005911C6">
              <w:rPr>
                <w:rFonts w:ascii="Lato" w:eastAsia="SimSun" w:hAnsi="Lato" w:cs="Calibri"/>
                <w:sz w:val="18"/>
                <w:szCs w:val="18"/>
                <w:lang w:eastAsia="zh-CN" w:bidi="hi-IN"/>
              </w:rPr>
              <w:t>kruchosci</w:t>
            </w:r>
            <w:proofErr w:type="spellEnd"/>
            <w:r w:rsidRPr="005911C6">
              <w:rPr>
                <w:rFonts w:ascii="Lato" w:eastAsia="SimSun" w:hAnsi="Lato" w:cs="Calibri"/>
                <w:sz w:val="18"/>
                <w:szCs w:val="18"/>
                <w:lang w:eastAsia="zh-CN" w:bidi="hi-IN"/>
              </w:rPr>
              <w:t>/słabości (</w:t>
            </w:r>
            <w:proofErr w:type="spellStart"/>
            <w:r w:rsidRPr="005911C6">
              <w:rPr>
                <w:rFonts w:ascii="Lato" w:eastAsia="SimSun" w:hAnsi="Lato" w:cs="Calibri"/>
                <w:sz w:val="18"/>
                <w:szCs w:val="18"/>
                <w:lang w:eastAsia="zh-CN" w:bidi="hi-IN"/>
              </w:rPr>
              <w:t>frailty</w:t>
            </w:r>
            <w:proofErr w:type="spellEnd"/>
            <w:r w:rsidRPr="005911C6">
              <w:rPr>
                <w:rFonts w:ascii="Lato" w:eastAsia="SimSun" w:hAnsi="Lato" w:cs="Calibri"/>
                <w:sz w:val="18"/>
                <w:szCs w:val="18"/>
                <w:lang w:eastAsia="zh-CN" w:bidi="hi-IN"/>
              </w:rPr>
              <w:t xml:space="preserve"> </w:t>
            </w:r>
            <w:proofErr w:type="spellStart"/>
            <w:r w:rsidRPr="005911C6">
              <w:rPr>
                <w:rFonts w:ascii="Lato" w:eastAsia="SimSun" w:hAnsi="Lato" w:cs="Calibri"/>
                <w:sz w:val="18"/>
                <w:szCs w:val="18"/>
                <w:lang w:eastAsia="zh-CN" w:bidi="hi-IN"/>
              </w:rPr>
              <w:t>syndrome</w:t>
            </w:r>
            <w:proofErr w:type="spellEnd"/>
            <w:r w:rsidRPr="005911C6">
              <w:rPr>
                <w:rFonts w:ascii="Lato" w:eastAsia="SimSun" w:hAnsi="Lato" w:cs="Calibri"/>
                <w:sz w:val="18"/>
                <w:szCs w:val="18"/>
                <w:lang w:eastAsia="zh-CN" w:bidi="hi-IN"/>
              </w:rPr>
              <w:t>) – 84 uczestników.</w:t>
            </w:r>
          </w:p>
          <w:p w14:paraId="19477293" w14:textId="77777777" w:rsidR="00CD7ACE" w:rsidRPr="005911C6" w:rsidRDefault="00CD7ACE" w:rsidP="007335F8">
            <w:pPr>
              <w:numPr>
                <w:ilvl w:val="0"/>
                <w:numId w:val="243"/>
              </w:numPr>
              <w:spacing w:after="0" w:line="240" w:lineRule="auto"/>
              <w:rPr>
                <w:rFonts w:ascii="Lato" w:eastAsia="SimSun" w:hAnsi="Lato" w:cs="Calibri"/>
                <w:sz w:val="18"/>
                <w:szCs w:val="18"/>
                <w:lang w:eastAsia="zh-CN" w:bidi="hi-IN"/>
              </w:rPr>
            </w:pPr>
            <w:r w:rsidRPr="005911C6">
              <w:rPr>
                <w:rFonts w:ascii="Lato" w:eastAsia="SimSun" w:hAnsi="Lato" w:cs="Calibri"/>
                <w:sz w:val="18"/>
                <w:szCs w:val="18"/>
                <w:lang w:eastAsia="zh-CN" w:bidi="hi-IN"/>
              </w:rPr>
              <w:t xml:space="preserve">Związek występowania </w:t>
            </w:r>
            <w:proofErr w:type="spellStart"/>
            <w:r w:rsidRPr="005911C6">
              <w:rPr>
                <w:rFonts w:ascii="Lato" w:eastAsia="SimSun" w:hAnsi="Lato" w:cs="Calibri"/>
                <w:sz w:val="18"/>
                <w:szCs w:val="18"/>
                <w:lang w:eastAsia="zh-CN" w:bidi="hi-IN"/>
              </w:rPr>
              <w:t>sarkopenii</w:t>
            </w:r>
            <w:proofErr w:type="spellEnd"/>
            <w:r w:rsidRPr="005911C6">
              <w:rPr>
                <w:rFonts w:ascii="Lato" w:eastAsia="SimSun" w:hAnsi="Lato" w:cs="Calibri"/>
                <w:sz w:val="18"/>
                <w:szCs w:val="18"/>
                <w:lang w:eastAsia="zh-CN" w:bidi="hi-IN"/>
              </w:rPr>
              <w:t xml:space="preserve"> </w:t>
            </w:r>
            <w:r w:rsidRPr="005911C6">
              <w:rPr>
                <w:rFonts w:ascii="Lato" w:eastAsia="SimSun" w:hAnsi="Lato" w:cs="Calibri"/>
                <w:sz w:val="18"/>
                <w:szCs w:val="18"/>
                <w:lang w:eastAsia="zh-CN" w:bidi="hi-IN"/>
              </w:rPr>
              <w:br/>
              <w:t xml:space="preserve">z </w:t>
            </w:r>
            <w:proofErr w:type="spellStart"/>
            <w:r w:rsidRPr="005911C6">
              <w:rPr>
                <w:rFonts w:ascii="Lato" w:eastAsia="SimSun" w:hAnsi="Lato" w:cs="Calibri"/>
                <w:sz w:val="18"/>
                <w:szCs w:val="18"/>
                <w:lang w:eastAsia="zh-CN" w:bidi="hi-IN"/>
              </w:rPr>
              <w:t>wielochorobowością</w:t>
            </w:r>
            <w:proofErr w:type="spellEnd"/>
            <w:r w:rsidRPr="005911C6">
              <w:rPr>
                <w:rFonts w:ascii="Lato" w:eastAsia="SimSun" w:hAnsi="Lato" w:cs="Calibri"/>
                <w:sz w:val="18"/>
                <w:szCs w:val="18"/>
                <w:lang w:eastAsia="zh-CN" w:bidi="hi-IN"/>
              </w:rPr>
              <w:t xml:space="preserve"> i wielolekowością  </w:t>
            </w:r>
            <w:r w:rsidRPr="005911C6">
              <w:rPr>
                <w:rFonts w:ascii="Lato" w:eastAsia="SimSun" w:hAnsi="Lato" w:cs="Calibri"/>
                <w:sz w:val="18"/>
                <w:szCs w:val="18"/>
                <w:lang w:eastAsia="zh-CN" w:bidi="hi-IN"/>
              </w:rPr>
              <w:br/>
              <w:t xml:space="preserve">i seniorów hospitalizowanych w Klinice Geriatrii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 xml:space="preserve"> (prace statutowe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 xml:space="preserve">). Badanie, które ma na celu wskazanie  powiązania </w:t>
            </w:r>
            <w:proofErr w:type="spellStart"/>
            <w:r w:rsidRPr="005911C6">
              <w:rPr>
                <w:rFonts w:ascii="Lato" w:eastAsia="SimSun" w:hAnsi="Lato" w:cs="Calibri"/>
                <w:sz w:val="18"/>
                <w:szCs w:val="18"/>
                <w:lang w:eastAsia="zh-CN" w:bidi="hi-IN"/>
              </w:rPr>
              <w:t>wielochorobowości</w:t>
            </w:r>
            <w:proofErr w:type="spellEnd"/>
            <w:r w:rsidRPr="005911C6">
              <w:rPr>
                <w:rFonts w:ascii="Lato" w:eastAsia="SimSun" w:hAnsi="Lato" w:cs="Calibri"/>
                <w:sz w:val="18"/>
                <w:szCs w:val="18"/>
                <w:lang w:eastAsia="zh-CN" w:bidi="hi-IN"/>
              </w:rPr>
              <w:t xml:space="preserve">  z </w:t>
            </w:r>
            <w:proofErr w:type="spellStart"/>
            <w:r w:rsidRPr="005911C6">
              <w:rPr>
                <w:rFonts w:ascii="Lato" w:eastAsia="SimSun" w:hAnsi="Lato" w:cs="Calibri"/>
                <w:sz w:val="18"/>
                <w:szCs w:val="18"/>
                <w:lang w:eastAsia="zh-CN" w:bidi="hi-IN"/>
              </w:rPr>
              <w:t>sarkopenią</w:t>
            </w:r>
            <w:proofErr w:type="spellEnd"/>
            <w:r w:rsidRPr="005911C6">
              <w:rPr>
                <w:rFonts w:ascii="Lato" w:eastAsia="SimSun" w:hAnsi="Lato" w:cs="Calibri"/>
                <w:sz w:val="18"/>
                <w:szCs w:val="18"/>
                <w:lang w:eastAsia="zh-CN" w:bidi="hi-IN"/>
              </w:rPr>
              <w:t xml:space="preserve"> – ok 100 uczestników. </w:t>
            </w:r>
          </w:p>
          <w:p w14:paraId="7C03CAC1" w14:textId="42F2E337" w:rsidR="003C25C5" w:rsidRPr="005911C6" w:rsidRDefault="00CD7ACE" w:rsidP="007335F8">
            <w:pPr>
              <w:numPr>
                <w:ilvl w:val="0"/>
                <w:numId w:val="243"/>
              </w:numPr>
              <w:spacing w:after="0" w:line="240" w:lineRule="auto"/>
              <w:rPr>
                <w:rFonts w:ascii="Lato" w:eastAsia="SimSun" w:hAnsi="Lato" w:cs="Calibri"/>
                <w:sz w:val="18"/>
                <w:szCs w:val="18"/>
                <w:lang w:eastAsia="zh-CN" w:bidi="hi-IN"/>
              </w:rPr>
            </w:pPr>
            <w:r w:rsidRPr="005911C6">
              <w:rPr>
                <w:rFonts w:ascii="Lato" w:eastAsia="SimSun" w:hAnsi="Lato" w:cs="Calibri"/>
                <w:sz w:val="18"/>
                <w:szCs w:val="18"/>
                <w:lang w:eastAsia="zh-CN" w:bidi="hi-IN"/>
              </w:rPr>
              <w:t xml:space="preserve">Zespół kruchości i problem upadków u osób </w:t>
            </w:r>
            <w:r w:rsidRPr="005911C6">
              <w:rPr>
                <w:rFonts w:ascii="Lato" w:eastAsia="SimSun" w:hAnsi="Lato" w:cs="Calibri"/>
                <w:sz w:val="18"/>
                <w:szCs w:val="18"/>
                <w:lang w:eastAsia="zh-CN" w:bidi="hi-IN"/>
              </w:rPr>
              <w:br/>
              <w:t xml:space="preserve">w podeszłym wieku (prace statutowe </w:t>
            </w:r>
            <w:proofErr w:type="spellStart"/>
            <w:r w:rsidRPr="005911C6">
              <w:rPr>
                <w:rFonts w:ascii="Lato" w:eastAsia="SimSun" w:hAnsi="Lato" w:cs="Calibri"/>
                <w:sz w:val="18"/>
                <w:szCs w:val="18"/>
                <w:lang w:eastAsia="zh-CN" w:bidi="hi-IN"/>
              </w:rPr>
              <w:t>NIGRiR</w:t>
            </w:r>
            <w:proofErr w:type="spellEnd"/>
            <w:r w:rsidRPr="005911C6">
              <w:rPr>
                <w:rFonts w:ascii="Lato" w:eastAsia="SimSun" w:hAnsi="Lato" w:cs="Calibri"/>
                <w:sz w:val="18"/>
                <w:szCs w:val="18"/>
                <w:lang w:eastAsia="zh-CN" w:bidi="hi-IN"/>
              </w:rPr>
              <w:t xml:space="preserve">). Badanie wskazujące na ryzyko upadków u osób </w:t>
            </w:r>
            <w:r w:rsidRPr="005911C6">
              <w:rPr>
                <w:rFonts w:ascii="Lato" w:eastAsia="SimSun" w:hAnsi="Lato" w:cs="Calibri"/>
                <w:sz w:val="18"/>
                <w:szCs w:val="18"/>
                <w:lang w:eastAsia="zh-CN" w:bidi="hi-IN"/>
              </w:rPr>
              <w:br/>
              <w:t>z zespołem kruchości geriatrycznej – ok. 210.</w:t>
            </w:r>
          </w:p>
        </w:tc>
      </w:tr>
      <w:tr w:rsidR="003C25C5" w:rsidRPr="005911C6" w14:paraId="233000A8" w14:textId="77777777" w:rsidTr="008C67C9">
        <w:trPr>
          <w:trHeight w:val="720"/>
        </w:trPr>
        <w:tc>
          <w:tcPr>
            <w:tcW w:w="1232" w:type="dxa"/>
            <w:vMerge/>
            <w:shd w:val="clear" w:color="auto" w:fill="FFFFFF" w:themeFill="background1"/>
          </w:tcPr>
          <w:p w14:paraId="14EA1A6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404335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Rozwój kształcenia podyplomowego </w:t>
            </w:r>
            <w:r w:rsidRPr="005911C6">
              <w:rPr>
                <w:rFonts w:ascii="Lato" w:eastAsia="MS Mincho" w:hAnsi="Lato"/>
                <w:sz w:val="18"/>
                <w:szCs w:val="18"/>
              </w:rPr>
              <w:br/>
              <w:t>z zakresu geriatrii w zawodach medycznych, w tym:</w:t>
            </w:r>
          </w:p>
          <w:p w14:paraId="60337556"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lastRenderedPageBreak/>
              <w:t>stymulowanie wzrostu liczby lekarzy specjalizujących się w dziedzinie geriatrii i wzmacnianie jakości kształcenia specjalizacyjnego w tej dziedzinie;</w:t>
            </w:r>
          </w:p>
          <w:p w14:paraId="31295C81" w14:textId="77777777" w:rsidR="003C25C5" w:rsidRPr="005911C6" w:rsidRDefault="003C25C5" w:rsidP="005911C6">
            <w:pPr>
              <w:pStyle w:val="Kolorowalistaakcent11"/>
              <w:numPr>
                <w:ilvl w:val="0"/>
                <w:numId w:val="9"/>
              </w:numPr>
              <w:spacing w:after="0" w:line="240" w:lineRule="auto"/>
              <w:ind w:left="360"/>
              <w:rPr>
                <w:rFonts w:ascii="Lato" w:eastAsia="MS Mincho" w:hAnsi="Lato"/>
                <w:sz w:val="18"/>
                <w:szCs w:val="18"/>
              </w:rPr>
            </w:pPr>
            <w:r w:rsidRPr="005911C6">
              <w:rPr>
                <w:rFonts w:ascii="Lato" w:eastAsia="MS Mincho" w:hAnsi="Lato"/>
                <w:sz w:val="18"/>
                <w:szCs w:val="18"/>
              </w:rPr>
              <w:t>wsparcie systemu kształcenia ustawicznego personelu medycznego w zakresie opieki geriatrycznej, w tym lekarzy podstawowej opieki zdrowotnej (POZ), fizjoterapeutów, pielęgniarek i opiekunów medycznych</w:t>
            </w:r>
          </w:p>
        </w:tc>
        <w:tc>
          <w:tcPr>
            <w:tcW w:w="2032" w:type="dxa"/>
            <w:vMerge w:val="restart"/>
            <w:shd w:val="clear" w:color="auto" w:fill="FFFFFF" w:themeFill="background1"/>
          </w:tcPr>
          <w:p w14:paraId="1ACE88C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Ministerstwo Zdrowia</w:t>
            </w:r>
          </w:p>
        </w:tc>
        <w:tc>
          <w:tcPr>
            <w:tcW w:w="1500" w:type="dxa"/>
            <w:vMerge w:val="restart"/>
            <w:shd w:val="clear" w:color="auto" w:fill="FFFFFF" w:themeFill="background1"/>
          </w:tcPr>
          <w:p w14:paraId="0062BBFA"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66D20C5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podjętych inicjatyw mających na celu rozwój kształcenia podyplomowego z zakresu geriatrii w zawodach medycznych</w:t>
            </w:r>
          </w:p>
        </w:tc>
      </w:tr>
      <w:tr w:rsidR="003C25C5" w:rsidRPr="005911C6" w14:paraId="2D3931A6" w14:textId="77777777" w:rsidTr="008C67C9">
        <w:trPr>
          <w:trHeight w:val="720"/>
        </w:trPr>
        <w:tc>
          <w:tcPr>
            <w:tcW w:w="1232" w:type="dxa"/>
            <w:vMerge/>
            <w:shd w:val="clear" w:color="auto" w:fill="FFFFFF" w:themeFill="background1"/>
          </w:tcPr>
          <w:p w14:paraId="039604D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D44CE2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3A669E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23A207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65932E9" w14:textId="77777777" w:rsidR="00CD7ACE" w:rsidRPr="005911C6" w:rsidRDefault="00CD7ACE"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344497E3"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Aktualizacja programów kształcenia podyplomowego oraz pytań egzaminacyjnych  (specjalizacja w dziedzinie geriatrii dla lekarzy i specjalizacja w dziedzinie pielęgniarstwa geriatrycznego dla pielęgniarek). Sprawowanie nadzoru nad kształceniem podyplomowym ( w aspekcie jakościowym </w:t>
            </w:r>
            <w:r w:rsidRPr="005911C6">
              <w:rPr>
                <w:rFonts w:ascii="Lato" w:eastAsia="MS Mincho" w:hAnsi="Lato" w:cs="Times New Roman"/>
                <w:bCs/>
                <w:sz w:val="18"/>
                <w:szCs w:val="18"/>
              </w:rPr>
              <w:br/>
              <w:t xml:space="preserve">i ilościowym)  oraz nad przebiegiem egzaminów specjalizacyjnych. Wskazywanie dziedziny geriatrii oraz dziedziny pielęgniarstwa geriatrycznego jako priorytetowych dziedzin w ochronie zdrowia, łącznie z możliwością dofinansowania szkoleń  specjalizacyjnych z budżetu państwa. Zadania te wypełnia NIGRIR oraz Krajowy Konsultant </w:t>
            </w:r>
            <w:r w:rsidRPr="005911C6">
              <w:rPr>
                <w:rFonts w:ascii="Lato" w:eastAsia="MS Mincho" w:hAnsi="Lato" w:cs="Times New Roman"/>
                <w:bCs/>
                <w:sz w:val="18"/>
                <w:szCs w:val="18"/>
              </w:rPr>
              <w:br/>
              <w:t>w dziedzinie Geriatrii i Krajowy Konsultant w dziedzinie Pielęgniarstwa Geriatrycznego.</w:t>
            </w:r>
          </w:p>
          <w:p w14:paraId="4683A90B" w14:textId="77777777" w:rsidR="00CD7ACE" w:rsidRPr="005911C6" w:rsidRDefault="00CD7ACE" w:rsidP="005911C6">
            <w:pPr>
              <w:spacing w:after="0" w:line="240" w:lineRule="auto"/>
              <w:rPr>
                <w:rFonts w:ascii="Lato" w:hAnsi="Lato" w:cs="Times New Roman"/>
                <w:bCs/>
                <w:sz w:val="18"/>
                <w:szCs w:val="18"/>
              </w:rPr>
            </w:pPr>
          </w:p>
          <w:p w14:paraId="43F8F312"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W ramach PO WER aktualnie kontynuowane są projekty skierowane pośrednio na osób starszych poprzez wsparcie</w:t>
            </w:r>
          </w:p>
          <w:p w14:paraId="4091DED8"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kadry ich obsługującej. Dotyczy to m. in. następujących</w:t>
            </w:r>
          </w:p>
          <w:p w14:paraId="371ECE20"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typów projektów, które zostały rozpoczęte w 2016 r.:</w:t>
            </w:r>
          </w:p>
          <w:p w14:paraId="33D66A4E" w14:textId="77777777" w:rsidR="00CD7ACE" w:rsidRPr="005911C6" w:rsidRDefault="00CD7ACE" w:rsidP="005911C6">
            <w:pPr>
              <w:pStyle w:val="Akapitzlist"/>
              <w:numPr>
                <w:ilvl w:val="0"/>
                <w:numId w:val="9"/>
              </w:numPr>
              <w:spacing w:after="0" w:line="240" w:lineRule="auto"/>
              <w:rPr>
                <w:rFonts w:ascii="Lato" w:hAnsi="Lato"/>
                <w:bCs/>
                <w:sz w:val="18"/>
                <w:szCs w:val="18"/>
              </w:rPr>
            </w:pPr>
            <w:r w:rsidRPr="005911C6">
              <w:rPr>
                <w:rFonts w:ascii="Lato" w:hAnsi="Lato"/>
                <w:bCs/>
                <w:sz w:val="18"/>
                <w:szCs w:val="18"/>
              </w:rPr>
              <w:t>Kształcenie podyplomowe pielęgniarek i położnych</w:t>
            </w:r>
          </w:p>
          <w:p w14:paraId="43B91385"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w obszarach związanych z potrzebami</w:t>
            </w:r>
          </w:p>
          <w:p w14:paraId="2E2E9F59"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epidemiologiczno-demograficznymi</w:t>
            </w:r>
          </w:p>
          <w:p w14:paraId="4DA3DE7E"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Przedmiotem ww. konkursu było podniesienie kwalifikacji</w:t>
            </w:r>
          </w:p>
          <w:p w14:paraId="229B545A"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pielęgniarek i położnych z zakresu dziedzin będących</w:t>
            </w:r>
          </w:p>
          <w:p w14:paraId="3BFFCC99"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najczęstszą przyczyną dezaktywizacji zawodowej z</w:t>
            </w:r>
          </w:p>
          <w:p w14:paraId="5F58E37F"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powodów zdrowotnych poprzez organizację kursów</w:t>
            </w:r>
          </w:p>
          <w:p w14:paraId="701C57C6"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specjalistycznych i kwalifikacyjnych. Projekty w konkursie</w:t>
            </w:r>
          </w:p>
          <w:p w14:paraId="0A604291"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przewidują wsparcie edukacyjne m. in. w dziedzinie</w:t>
            </w:r>
          </w:p>
          <w:p w14:paraId="29E65D10"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pielęgniarstwa geriatrycznego, rehabilitacji osób z</w:t>
            </w:r>
          </w:p>
          <w:p w14:paraId="058D04FC"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przewlekłymi zaburzeniami psychicznymi, pielęgniarstwa</w:t>
            </w:r>
          </w:p>
          <w:p w14:paraId="0E04E6AE"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onkologicznego i psychiatrycznego.</w:t>
            </w:r>
          </w:p>
          <w:p w14:paraId="6D125E5A" w14:textId="77777777" w:rsidR="00CD7ACE" w:rsidRPr="005911C6" w:rsidRDefault="00CD7ACE" w:rsidP="005911C6">
            <w:pPr>
              <w:pStyle w:val="Akapitzlist"/>
              <w:numPr>
                <w:ilvl w:val="0"/>
                <w:numId w:val="9"/>
              </w:numPr>
              <w:spacing w:after="0" w:line="240" w:lineRule="auto"/>
              <w:rPr>
                <w:rFonts w:ascii="Lato" w:hAnsi="Lato"/>
                <w:bCs/>
                <w:sz w:val="18"/>
                <w:szCs w:val="18"/>
              </w:rPr>
            </w:pPr>
            <w:r w:rsidRPr="005911C6">
              <w:rPr>
                <w:rFonts w:ascii="Lato" w:hAnsi="Lato"/>
                <w:bCs/>
                <w:sz w:val="18"/>
                <w:szCs w:val="18"/>
              </w:rPr>
              <w:t>Kształcenie specjalizacyjne lekarzy w dziedzinach</w:t>
            </w:r>
          </w:p>
          <w:p w14:paraId="74BA84EC"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istotnych z punktu widzenia potrzeb</w:t>
            </w:r>
          </w:p>
          <w:p w14:paraId="328A5708"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epidemiologiczno-demograficznych kraju</w:t>
            </w:r>
          </w:p>
          <w:p w14:paraId="0039AD25"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Realizowany jest w ramach PO WER projekt</w:t>
            </w:r>
          </w:p>
          <w:p w14:paraId="3FB412BF"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pozakonkursowy pn.: Rozwój kształcenia specjalizacyjnego</w:t>
            </w:r>
          </w:p>
          <w:p w14:paraId="7A400CF7"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lekarzy w dziedzinach istotnych z punktu widzenia potrzeb</w:t>
            </w:r>
          </w:p>
          <w:p w14:paraId="063E5752"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epidemiologiczno-demograficznych kraju. Beneficjentem</w:t>
            </w:r>
          </w:p>
          <w:p w14:paraId="20A8945F"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jest Centrum Medyczne Kształcenia Podyplomowego.</w:t>
            </w:r>
          </w:p>
          <w:p w14:paraId="7E50C119"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Głównym celem projektu jest zwiększenie kwalifikacji</w:t>
            </w:r>
          </w:p>
          <w:p w14:paraId="7B0CCBF2"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zawodowych lekarzy poprzez wsparcie procesu kształcenia</w:t>
            </w:r>
          </w:p>
          <w:p w14:paraId="34F90A76"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lastRenderedPageBreak/>
              <w:t>specjalizacyjnego w dziedzinach istotnych z punktu widzenia</w:t>
            </w:r>
          </w:p>
          <w:p w14:paraId="51131AF8"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epidemiologiczno-demograficznego kraju, w tym m. in.</w:t>
            </w:r>
          </w:p>
          <w:p w14:paraId="64FE8E95"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specjalizacji z geriatrii, onkologii, medycyny ratunkowej.</w:t>
            </w:r>
          </w:p>
          <w:p w14:paraId="14B0D8F3" w14:textId="77777777" w:rsidR="00CD7ACE" w:rsidRPr="005911C6" w:rsidRDefault="00CD7ACE" w:rsidP="005911C6">
            <w:pPr>
              <w:pStyle w:val="Akapitzlist"/>
              <w:numPr>
                <w:ilvl w:val="0"/>
                <w:numId w:val="9"/>
              </w:numPr>
              <w:spacing w:after="0" w:line="240" w:lineRule="auto"/>
              <w:rPr>
                <w:rFonts w:ascii="Lato" w:eastAsia="MS Mincho" w:hAnsi="Lato" w:cs="Times New Roman"/>
                <w:bCs/>
                <w:sz w:val="18"/>
                <w:szCs w:val="18"/>
              </w:rPr>
            </w:pPr>
            <w:r w:rsidRPr="005911C6">
              <w:rPr>
                <w:rFonts w:ascii="Lato" w:hAnsi="Lato"/>
                <w:bCs/>
                <w:sz w:val="18"/>
                <w:szCs w:val="18"/>
              </w:rPr>
              <w:sym w:font="Symbol" w:char="F0B7"/>
            </w:r>
            <w:r w:rsidRPr="005911C6">
              <w:rPr>
                <w:rFonts w:ascii="Lato" w:hAnsi="Lato"/>
                <w:bCs/>
                <w:sz w:val="18"/>
                <w:szCs w:val="18"/>
              </w:rPr>
              <w:t xml:space="preserve"> Kształcenie podyplomowe lekarzy realizowane w innych formach niż specjalizacje w obszarach istotnych z punktu widzenia potrzeb epidemiologiczno-demograficznych kraju, ze szczególnym uwzględnieniem lekarzy zatrudnionych (bez względu na formę zatrudnienia) w placówkach podstawowej opieki zdrowotnej</w:t>
            </w:r>
          </w:p>
          <w:p w14:paraId="405853FB" w14:textId="6AD02404"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W ramach wsparcia z PO WER kształcenia podyplomowego lekarzy dofinansowane są kursy doskonalące, m.in. w zakresie geriatrii, onkologii, ratownictwa medycznego. Przedmiotowe wsparcie stanowi odpowiedź na wzrost zapotrzebowania na usługi medyczne wynikający m. in. z faktu starzenia się społeczeństwa i pojawiającej się niepełnosprawności.</w:t>
            </w:r>
          </w:p>
          <w:p w14:paraId="179A8839"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Opis zrealizowanych działań zgodny ze sposobem</w:t>
            </w:r>
          </w:p>
          <w:p w14:paraId="1E68A37D"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zastosowanych mierników monitorowania (powyżej):</w:t>
            </w:r>
          </w:p>
          <w:p w14:paraId="2F54AF67"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Minister Zdrowia corocznie dofinansowuje szkolenia</w:t>
            </w:r>
          </w:p>
          <w:p w14:paraId="5ED9D6B6"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specjalizacyjne dla tych grup zawodowych, w ramach</w:t>
            </w:r>
          </w:p>
          <w:p w14:paraId="660EEB37"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posiadanych środków finansowych przeznaczonych na ten cel w budżecie państwa. Zgodnie z Obwieszczeniem z dnia 13 grudnia 2021 r. w sprawie minimalnej liczby miejsc szkoleniowych dla pielęgniarek i położnych, maksymalnej kwoty dofinansowania jednego miejsca szkoleniowego oraz maksymalnej kwoty przeznaczonej na szkolenia specjalizacyjne w 2022 r. (Dz. Urz. Min. </w:t>
            </w:r>
            <w:proofErr w:type="spellStart"/>
            <w:r w:rsidRPr="005911C6">
              <w:rPr>
                <w:rFonts w:ascii="Lato" w:eastAsia="MS Mincho" w:hAnsi="Lato" w:cs="Times New Roman"/>
                <w:bCs/>
                <w:sz w:val="18"/>
                <w:szCs w:val="18"/>
              </w:rPr>
              <w:t>Zdr</w:t>
            </w:r>
            <w:proofErr w:type="spellEnd"/>
            <w:r w:rsidRPr="005911C6">
              <w:rPr>
                <w:rFonts w:ascii="Lato" w:eastAsia="MS Mincho" w:hAnsi="Lato" w:cs="Times New Roman"/>
                <w:bCs/>
                <w:sz w:val="18"/>
                <w:szCs w:val="18"/>
              </w:rPr>
              <w:t>. z 2021 r. poz. 97), minimalna liczba miejsc szkoleniowych dla pielęgniarek i położnych rozpoczynających specjalizację w 2022 r.</w:t>
            </w:r>
          </w:p>
          <w:p w14:paraId="65629AC8"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wynosiła 2 525, maksymalna kwota dofinansowania jednego miejsca szkoleniowego dla specjalizacji rozpoczynających się w 2022 r. wynosiła 3 950 zł, natomiast maksymalna kwota</w:t>
            </w:r>
          </w:p>
          <w:p w14:paraId="12D8E9E3"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przeznaczona na szkolenia specjalizacyjne w 2022 r. wynosiła 10 000 000 zł, w tym dofinasowana została także specjalizacja w dziedzinie pielęgniarstwa geriatrycznego dla pielęgniarek. W 2022 r. zaplanowano do objęcia dofinansowaniem z budżetu państwa 150 miejsc szkoleniowych dla specjalizacji w dziedzinie pielęgniarstwa geriatrycznego. Liczba</w:t>
            </w:r>
          </w:p>
          <w:p w14:paraId="26916D47"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pielęgniarek, które uzyskały tytuł specjalisty w dziedzinie</w:t>
            </w:r>
          </w:p>
          <w:p w14:paraId="3419FF08"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pielęgniarstwa geriatrycznego</w:t>
            </w:r>
          </w:p>
          <w:p w14:paraId="64599F42" w14:textId="77777777" w:rsidR="00CD7ACE" w:rsidRPr="005911C6" w:rsidRDefault="00CD7ACE"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2022 r. wynosi 200.</w:t>
            </w:r>
          </w:p>
          <w:p w14:paraId="5D3FA082"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lastRenderedPageBreak/>
              <w:t>Dodatkowo dofinansowano również szkolenia w dziedzinach pielęgniarstwa przydatnych do opieki nad osobami starszymi, tj.: w dziedzinie pielęgniarstwa:</w:t>
            </w:r>
          </w:p>
          <w:p w14:paraId="6CFD8CE4"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 internistycznego, opieki długoterminowej, opieki paliatywnej, psychiatrycznego, rodzinnego dla pielęgniarek, chirurgicznego.</w:t>
            </w:r>
          </w:p>
          <w:p w14:paraId="5612F5B9" w14:textId="77777777" w:rsidR="00CD7ACE" w:rsidRPr="005911C6" w:rsidRDefault="00CD7ACE" w:rsidP="005911C6">
            <w:pPr>
              <w:spacing w:after="0" w:line="240" w:lineRule="auto"/>
              <w:rPr>
                <w:rFonts w:ascii="Lato" w:hAnsi="Lato"/>
                <w:bCs/>
                <w:sz w:val="18"/>
                <w:szCs w:val="18"/>
              </w:rPr>
            </w:pPr>
            <w:r w:rsidRPr="005911C6">
              <w:rPr>
                <w:rFonts w:ascii="Lato" w:hAnsi="Lato"/>
                <w:bCs/>
                <w:sz w:val="18"/>
                <w:szCs w:val="18"/>
              </w:rPr>
              <w:t xml:space="preserve"> Łączna liczba miejsc, które zostały zaplanowane do objęcia dofinasowaniem w ww. dziedzinach pielęgniarstwa w 2022 r. wynosiła 1625. </w:t>
            </w:r>
          </w:p>
          <w:p w14:paraId="35B99FEE" w14:textId="30698D74" w:rsidR="003C25C5" w:rsidRPr="005911C6" w:rsidRDefault="00CD7ACE" w:rsidP="005911C6">
            <w:pPr>
              <w:spacing w:after="0" w:line="240" w:lineRule="auto"/>
              <w:rPr>
                <w:rFonts w:ascii="Lato" w:eastAsia="MS Mincho" w:hAnsi="Lato" w:cs="Times New Roman"/>
                <w:b/>
                <w:sz w:val="18"/>
                <w:szCs w:val="18"/>
                <w:u w:val="single"/>
              </w:rPr>
            </w:pPr>
            <w:r w:rsidRPr="005911C6">
              <w:rPr>
                <w:rFonts w:ascii="Lato" w:hAnsi="Lato"/>
                <w:bCs/>
                <w:sz w:val="18"/>
                <w:szCs w:val="18"/>
              </w:rPr>
              <w:t>Liczba pielęgniarek, które uzyskały tytuł specjalisty w ww. dziedzinach pielęgniarstwa w 2022 roku wynosiła: 4741.</w:t>
            </w:r>
          </w:p>
        </w:tc>
      </w:tr>
      <w:tr w:rsidR="003C25C5" w:rsidRPr="005911C6" w14:paraId="4F1F2847" w14:textId="77777777" w:rsidTr="008C67C9">
        <w:trPr>
          <w:trHeight w:val="521"/>
        </w:trPr>
        <w:tc>
          <w:tcPr>
            <w:tcW w:w="1232" w:type="dxa"/>
            <w:vMerge w:val="restart"/>
            <w:shd w:val="clear" w:color="auto" w:fill="FFFFFF" w:themeFill="background1"/>
            <w:textDirection w:val="btLr"/>
          </w:tcPr>
          <w:p w14:paraId="06326C06" w14:textId="77777777" w:rsidR="003C25C5" w:rsidRPr="005911C6" w:rsidRDefault="003C25C5" w:rsidP="005911C6">
            <w:pPr>
              <w:spacing w:after="0" w:line="240" w:lineRule="auto"/>
              <w:ind w:left="113" w:right="113"/>
              <w:jc w:val="center"/>
              <w:rPr>
                <w:rFonts w:ascii="Lato" w:hAnsi="Lato" w:cs="Times New Roman"/>
                <w:sz w:val="18"/>
                <w:szCs w:val="18"/>
              </w:rPr>
            </w:pPr>
            <w:r w:rsidRPr="005911C6">
              <w:rPr>
                <w:rFonts w:ascii="Lato" w:hAnsi="Lato" w:cs="Times New Roman"/>
                <w:sz w:val="18"/>
                <w:szCs w:val="18"/>
              </w:rPr>
              <w:lastRenderedPageBreak/>
              <w:t>Obszar V</w:t>
            </w:r>
          </w:p>
        </w:tc>
        <w:tc>
          <w:tcPr>
            <w:tcW w:w="3594" w:type="dxa"/>
            <w:vMerge w:val="restart"/>
            <w:shd w:val="clear" w:color="auto" w:fill="FFFFFF" w:themeFill="background1"/>
          </w:tcPr>
          <w:p w14:paraId="5766D6E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Prowadzenie kampanii </w:t>
            </w:r>
            <w:proofErr w:type="spellStart"/>
            <w:r w:rsidRPr="005911C6">
              <w:rPr>
                <w:rFonts w:ascii="Lato" w:eastAsia="MS Mincho" w:hAnsi="Lato"/>
                <w:sz w:val="18"/>
                <w:szCs w:val="18"/>
              </w:rPr>
              <w:t>społeczno</w:t>
            </w:r>
            <w:proofErr w:type="spellEnd"/>
            <w:r w:rsidRPr="005911C6">
              <w:rPr>
                <w:rFonts w:ascii="Lato" w:eastAsia="MS Mincho" w:hAnsi="Lato"/>
                <w:sz w:val="18"/>
                <w:szCs w:val="18"/>
              </w:rPr>
              <w:t xml:space="preserve"> - informacyjnych, jakie zachowania </w:t>
            </w:r>
            <w:r w:rsidRPr="005911C6">
              <w:rPr>
                <w:rFonts w:ascii="Lato" w:eastAsia="MS Mincho" w:hAnsi="Lato"/>
                <w:sz w:val="18"/>
                <w:szCs w:val="18"/>
              </w:rPr>
              <w:br/>
              <w:t xml:space="preserve">są </w:t>
            </w:r>
            <w:proofErr w:type="spellStart"/>
            <w:r w:rsidRPr="005911C6">
              <w:rPr>
                <w:rFonts w:ascii="Lato" w:eastAsia="MS Mincho" w:hAnsi="Lato"/>
                <w:sz w:val="18"/>
                <w:szCs w:val="18"/>
              </w:rPr>
              <w:t>zachowaniami</w:t>
            </w:r>
            <w:proofErr w:type="spellEnd"/>
            <w:r w:rsidRPr="005911C6">
              <w:rPr>
                <w:rFonts w:ascii="Lato" w:eastAsia="MS Mincho" w:hAnsi="Lato"/>
                <w:sz w:val="18"/>
                <w:szCs w:val="18"/>
              </w:rPr>
              <w:t xml:space="preserve"> </w:t>
            </w:r>
            <w:proofErr w:type="spellStart"/>
            <w:r w:rsidRPr="005911C6">
              <w:rPr>
                <w:rFonts w:ascii="Lato" w:eastAsia="MS Mincho" w:hAnsi="Lato"/>
                <w:sz w:val="18"/>
                <w:szCs w:val="18"/>
              </w:rPr>
              <w:t>przemocowymi</w:t>
            </w:r>
            <w:proofErr w:type="spellEnd"/>
          </w:p>
        </w:tc>
        <w:tc>
          <w:tcPr>
            <w:tcW w:w="2032" w:type="dxa"/>
            <w:vMerge w:val="restart"/>
            <w:shd w:val="clear" w:color="auto" w:fill="FFFFFF" w:themeFill="background1"/>
          </w:tcPr>
          <w:p w14:paraId="1F503D8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Pełnomocnik ds. Równego Traktowania, Ministerstwo Sprawiedliwości</w:t>
            </w:r>
          </w:p>
          <w:p w14:paraId="64545DE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13A3FB5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14EDA22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B7192F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zrealizowanych kampanii społecznych informujących, jakie zachowania są </w:t>
            </w:r>
            <w:proofErr w:type="spellStart"/>
            <w:r w:rsidRPr="005911C6">
              <w:rPr>
                <w:rFonts w:ascii="Lato" w:eastAsia="MS Mincho" w:hAnsi="Lato" w:cs="Times New Roman"/>
                <w:i/>
                <w:sz w:val="18"/>
                <w:szCs w:val="18"/>
              </w:rPr>
              <w:t>zachowaniami</w:t>
            </w:r>
            <w:proofErr w:type="spellEnd"/>
            <w:r w:rsidRPr="005911C6">
              <w:rPr>
                <w:rFonts w:ascii="Lato" w:eastAsia="MS Mincho" w:hAnsi="Lato" w:cs="Times New Roman"/>
                <w:i/>
                <w:sz w:val="18"/>
                <w:szCs w:val="18"/>
              </w:rPr>
              <w:t xml:space="preserve"> </w:t>
            </w:r>
            <w:proofErr w:type="spellStart"/>
            <w:r w:rsidRPr="005911C6">
              <w:rPr>
                <w:rFonts w:ascii="Lato" w:eastAsia="MS Mincho" w:hAnsi="Lato" w:cs="Times New Roman"/>
                <w:i/>
                <w:sz w:val="18"/>
                <w:szCs w:val="18"/>
              </w:rPr>
              <w:t>przemocowymi</w:t>
            </w:r>
            <w:proofErr w:type="spellEnd"/>
          </w:p>
        </w:tc>
      </w:tr>
      <w:tr w:rsidR="003C25C5" w:rsidRPr="005911C6" w14:paraId="03556575" w14:textId="77777777" w:rsidTr="008C67C9">
        <w:trPr>
          <w:trHeight w:val="720"/>
        </w:trPr>
        <w:tc>
          <w:tcPr>
            <w:tcW w:w="1232" w:type="dxa"/>
            <w:vMerge/>
            <w:shd w:val="clear" w:color="auto" w:fill="FFFFFF" w:themeFill="background1"/>
          </w:tcPr>
          <w:p w14:paraId="7959080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795E56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C8DCFB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766ADF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92DD5B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E6BE123" w14:textId="77777777" w:rsidR="003C25C5" w:rsidRPr="005911C6" w:rsidRDefault="003C25C5" w:rsidP="005911C6">
            <w:pPr>
              <w:spacing w:after="0" w:line="240" w:lineRule="auto"/>
              <w:rPr>
                <w:rFonts w:ascii="Lato" w:hAnsi="Lato" w:cs="Times New Roman"/>
                <w:sz w:val="18"/>
                <w:szCs w:val="18"/>
              </w:rPr>
            </w:pPr>
          </w:p>
          <w:p w14:paraId="2BA8BC8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E47FE96" w14:textId="77777777" w:rsidTr="008C67C9">
        <w:trPr>
          <w:trHeight w:val="720"/>
        </w:trPr>
        <w:tc>
          <w:tcPr>
            <w:tcW w:w="1232" w:type="dxa"/>
            <w:vMerge/>
            <w:shd w:val="clear" w:color="auto" w:fill="FFFFFF" w:themeFill="background1"/>
          </w:tcPr>
          <w:p w14:paraId="7E21E7E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5C9B3A6" w14:textId="77777777" w:rsidR="003C25C5" w:rsidRPr="005911C6" w:rsidRDefault="003C25C5" w:rsidP="005911C6">
            <w:pPr>
              <w:suppressAutoHyphens/>
              <w:spacing w:after="0" w:line="240" w:lineRule="auto"/>
              <w:rPr>
                <w:rFonts w:ascii="Lato" w:hAnsi="Lato" w:cs="Times New Roman"/>
                <w:sz w:val="18"/>
                <w:szCs w:val="18"/>
              </w:rPr>
            </w:pPr>
            <w:r w:rsidRPr="005911C6">
              <w:rPr>
                <w:rFonts w:ascii="Lato" w:hAnsi="Lato" w:cs="Times New Roman"/>
                <w:sz w:val="18"/>
                <w:szCs w:val="18"/>
              </w:rPr>
              <w:t>Wspieranie organizacji pozarządowych i podmiotów, o których mowa w art. 3 ust. 3 ustawy o działalności pożytku publicznego i o wolontariacie, ruchów czy lokalnych inicjatyw, stojących na straży praw osób starszych</w:t>
            </w:r>
          </w:p>
          <w:p w14:paraId="55FDE376" w14:textId="77777777" w:rsidR="003C25C5" w:rsidRPr="005911C6" w:rsidRDefault="003C25C5" w:rsidP="005911C6">
            <w:pPr>
              <w:pStyle w:val="Kolorowalistaakcent11"/>
              <w:spacing w:after="0" w:line="240" w:lineRule="auto"/>
              <w:ind w:left="360"/>
              <w:rPr>
                <w:rFonts w:ascii="Lato" w:eastAsia="MS Mincho" w:hAnsi="Lato"/>
                <w:sz w:val="18"/>
                <w:szCs w:val="18"/>
              </w:rPr>
            </w:pPr>
          </w:p>
        </w:tc>
        <w:tc>
          <w:tcPr>
            <w:tcW w:w="2032" w:type="dxa"/>
            <w:vMerge w:val="restart"/>
            <w:shd w:val="clear" w:color="auto" w:fill="FFFFFF" w:themeFill="background1"/>
          </w:tcPr>
          <w:p w14:paraId="080BFEF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p w14:paraId="4F40D5B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0553D01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7B62801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CD97AC8"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wspartych organizacji sektora</w:t>
            </w:r>
            <w:r w:rsidRPr="005911C6">
              <w:rPr>
                <w:rFonts w:ascii="Lato" w:hAnsi="Lato"/>
                <w:i/>
                <w:sz w:val="18"/>
                <w:szCs w:val="18"/>
              </w:rPr>
              <w:t xml:space="preserve"> organizacji pozarządowych i podmiotów, o których mowa w art. 3 ust. 3 ustawy o działalności pożytku publicznego i o wolontariacie, </w:t>
            </w:r>
            <w:r w:rsidRPr="005911C6">
              <w:rPr>
                <w:rFonts w:ascii="Lato" w:eastAsia="MS Mincho" w:hAnsi="Lato"/>
                <w:i/>
                <w:sz w:val="18"/>
                <w:szCs w:val="18"/>
              </w:rPr>
              <w:t>w obszarze promowania wolontariatu osób starszych oraz wobec osób starszych, ruchów czy lokalnych inicjatyw stojących na straży praw osób starszych</w:t>
            </w:r>
          </w:p>
        </w:tc>
      </w:tr>
      <w:tr w:rsidR="003C25C5" w:rsidRPr="005911C6" w14:paraId="6F05D7AA" w14:textId="77777777" w:rsidTr="008C67C9">
        <w:trPr>
          <w:trHeight w:val="720"/>
        </w:trPr>
        <w:tc>
          <w:tcPr>
            <w:tcW w:w="1232" w:type="dxa"/>
            <w:vMerge/>
            <w:shd w:val="clear" w:color="auto" w:fill="FFFFFF" w:themeFill="background1"/>
          </w:tcPr>
          <w:p w14:paraId="7AFE6F3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DFEAAE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DEFA38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D62628A"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26B2DF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4CF0A84" w14:textId="77777777" w:rsidR="003C25C5" w:rsidRPr="005911C6" w:rsidRDefault="003C25C5" w:rsidP="005911C6">
            <w:pPr>
              <w:spacing w:after="0" w:line="240" w:lineRule="auto"/>
              <w:rPr>
                <w:rFonts w:ascii="Lato" w:hAnsi="Lato" w:cs="Times New Roman"/>
                <w:sz w:val="18"/>
                <w:szCs w:val="18"/>
              </w:rPr>
            </w:pPr>
          </w:p>
          <w:p w14:paraId="65D31CD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B622B21" w14:textId="77777777" w:rsidTr="008C67C9">
        <w:trPr>
          <w:trHeight w:val="720"/>
        </w:trPr>
        <w:tc>
          <w:tcPr>
            <w:tcW w:w="1232" w:type="dxa"/>
            <w:vMerge/>
            <w:shd w:val="clear" w:color="auto" w:fill="FFFFFF" w:themeFill="background1"/>
          </w:tcPr>
          <w:p w14:paraId="4E2F8F1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1923D3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Prowadzenie działań edukacyjnych </w:t>
            </w:r>
            <w:r w:rsidRPr="005911C6">
              <w:rPr>
                <w:rFonts w:ascii="Lato" w:eastAsia="MS Mincho" w:hAnsi="Lato"/>
                <w:sz w:val="18"/>
                <w:szCs w:val="18"/>
              </w:rPr>
              <w:br/>
              <w:t xml:space="preserve">w sektorze pomocy społecznej, służbie zdrowia, służbach porządku publicznego, w placówkach, które na co dzień mają kontakt z osobami starszymi, </w:t>
            </w:r>
            <w:r w:rsidRPr="005911C6">
              <w:rPr>
                <w:rFonts w:ascii="Lato" w:eastAsia="MS Mincho" w:hAnsi="Lato"/>
                <w:sz w:val="18"/>
                <w:szCs w:val="18"/>
              </w:rPr>
              <w:br/>
              <w:t>w placówkach edukacyjnych,</w:t>
            </w:r>
            <w:r w:rsidRPr="005911C6">
              <w:rPr>
                <w:rFonts w:ascii="Lato" w:eastAsia="MS Mincho" w:hAnsi="Lato"/>
                <w:sz w:val="18"/>
                <w:szCs w:val="18"/>
              </w:rPr>
              <w:br/>
              <w:t xml:space="preserve">a także wśród samych seniorów </w:t>
            </w:r>
            <w:r w:rsidRPr="005911C6">
              <w:rPr>
                <w:rFonts w:ascii="Lato" w:eastAsia="MS Mincho" w:hAnsi="Lato"/>
                <w:sz w:val="18"/>
                <w:szCs w:val="18"/>
              </w:rPr>
              <w:br/>
              <w:t xml:space="preserve">na temat przemocy </w:t>
            </w:r>
            <w:r w:rsidRPr="005911C6">
              <w:rPr>
                <w:rFonts w:ascii="Lato" w:hAnsi="Lato"/>
                <w:sz w:val="18"/>
                <w:szCs w:val="18"/>
              </w:rPr>
              <w:t>wobec osób starszych</w:t>
            </w:r>
          </w:p>
        </w:tc>
        <w:tc>
          <w:tcPr>
            <w:tcW w:w="2032" w:type="dxa"/>
            <w:vMerge w:val="restart"/>
            <w:shd w:val="clear" w:color="auto" w:fill="FFFFFF" w:themeFill="background1"/>
          </w:tcPr>
          <w:p w14:paraId="3242BC6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Sprawiedliwości,  Ministerstwo Rodziny i Polityki Społecznej, Ministerstwo Zdrowia, Ministerstwo Edukacji i Nauki</w:t>
            </w:r>
          </w:p>
        </w:tc>
        <w:tc>
          <w:tcPr>
            <w:tcW w:w="1500" w:type="dxa"/>
            <w:vMerge w:val="restart"/>
            <w:shd w:val="clear" w:color="auto" w:fill="FFFFFF" w:themeFill="background1"/>
          </w:tcPr>
          <w:p w14:paraId="45434E7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422696F4"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D79F969"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edukacyjnych na temat przemocy w starości</w:t>
            </w:r>
          </w:p>
        </w:tc>
      </w:tr>
      <w:tr w:rsidR="003C25C5" w:rsidRPr="005911C6" w14:paraId="2A0DE9FE" w14:textId="77777777" w:rsidTr="008C67C9">
        <w:trPr>
          <w:trHeight w:val="720"/>
        </w:trPr>
        <w:tc>
          <w:tcPr>
            <w:tcW w:w="1232" w:type="dxa"/>
            <w:vMerge/>
            <w:shd w:val="clear" w:color="auto" w:fill="FFFFFF" w:themeFill="background1"/>
          </w:tcPr>
          <w:p w14:paraId="701D5FB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1EEABD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C42B9A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6D9537A"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B3A0AB9" w14:textId="77777777" w:rsidR="003C25C5"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Narodowej</w:t>
            </w:r>
          </w:p>
          <w:p w14:paraId="2CCF291F"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2022 roku ORE przeprowadził kolejną edycję kursu e-learningowego pn. Przeciwdziałanie przemocy domowej wobec dziecka oraz wdrożenie procedury „Niebieskie Karty” w oświacie. Odbiorcami szkolenia była grupa specjalistów z ośrodków doskonalenia nauczycieli i z poradni psychologiczno-pedagogicznych oraz specjaliści szkolni. Szkolenie ukończyło 313 osób.</w:t>
            </w:r>
          </w:p>
          <w:p w14:paraId="22694E86"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Celem szkolenia było dostarczenie wiedzy z zakresu przeciwdziałania przemocy wobec dziecka w rodzinie oraz zapoznanie z obowiązkami pracowników oświaty, wynikającymi z zapisów prawnych: i </w:t>
            </w:r>
            <w:r w:rsidRPr="005911C6">
              <w:rPr>
                <w:rFonts w:ascii="Lato" w:eastAsia="MS Mincho" w:hAnsi="Lato" w:cs="Times New Roman"/>
                <w:sz w:val="18"/>
                <w:szCs w:val="18"/>
              </w:rPr>
              <w:lastRenderedPageBreak/>
              <w:t>procedury „Niebieskie Karty”. Jednocześnie szkolenie dotyczyło następujących zagadnień:</w:t>
            </w:r>
          </w:p>
          <w:p w14:paraId="3CF6305D"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a)</w:t>
            </w:r>
            <w:r w:rsidRPr="005911C6">
              <w:rPr>
                <w:rFonts w:ascii="Lato" w:eastAsia="MS Mincho" w:hAnsi="Lato" w:cs="Times New Roman"/>
                <w:sz w:val="18"/>
                <w:szCs w:val="18"/>
              </w:rPr>
              <w:tab/>
              <w:t>problem przemocy w rodzinie i zjawisko przemocy wobec dzieci.</w:t>
            </w:r>
          </w:p>
          <w:p w14:paraId="4BAA36C7"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b)</w:t>
            </w:r>
            <w:r w:rsidRPr="005911C6">
              <w:rPr>
                <w:rFonts w:ascii="Lato" w:eastAsia="MS Mincho" w:hAnsi="Lato" w:cs="Times New Roman"/>
                <w:sz w:val="18"/>
                <w:szCs w:val="18"/>
              </w:rPr>
              <w:tab/>
              <w:t>prawne aspekty przeciwdziałania przemocy w rodzinie.</w:t>
            </w:r>
          </w:p>
          <w:p w14:paraId="5C0445B6"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c)</w:t>
            </w:r>
            <w:r w:rsidRPr="005911C6">
              <w:rPr>
                <w:rFonts w:ascii="Lato" w:eastAsia="MS Mincho" w:hAnsi="Lato" w:cs="Times New Roman"/>
                <w:sz w:val="18"/>
                <w:szCs w:val="18"/>
              </w:rPr>
              <w:tab/>
              <w:t>reagowanie na podejrzenie przemocy w rodzinie.</w:t>
            </w:r>
          </w:p>
          <w:p w14:paraId="2AF333A8"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Dodatkowo, informacje dla wszystkich zainteresowanych, dotyczące przeciwdziałania przemocy w rodzinie, w tym podejmowania działań interwencyjnych, dostępne są na stronie www.ore.edu.pl w zakładkach “Niebieskie karty w oświacie” oraz “Agresja i przemoc”. Strona została przygotowana z myślą o potrzebach dyrektorów szkół i placówek, nauczycieli, specjalistów oraz rodziców.</w:t>
            </w:r>
          </w:p>
          <w:p w14:paraId="4F117405"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Na stronie internetowej ORE udostępniono:</w:t>
            </w:r>
          </w:p>
          <w:p w14:paraId="6B9CC24C"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informacje o czynnikach ryzyka - sprzyjających i czynnikach chroniących  - zapobiegających występowaniu agresji i przemocy;</w:t>
            </w:r>
          </w:p>
          <w:p w14:paraId="77D6DFAF"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materiały dla nauczycieli, w tym scenariusze zajęć dla uczniów i rodziców, regulacje prawne dotyczące tej problematyki;</w:t>
            </w:r>
          </w:p>
          <w:p w14:paraId="09502301"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listę liderów przygotowanych do prowadzenia szkoleń dla rad pedagogicznych szkół i placówek z zakresu profilaktyki agresji i przemocy oraz dodatkowe materiały edukacyjne https://www.ore.edu.pl/liderzy-profilaktyki-agresji-i-przemocy;</w:t>
            </w:r>
          </w:p>
          <w:p w14:paraId="625B9C87"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poradnik dla pracowników oświaty na temat zjawiska przemocy w rodzinie pn. Prawne aspekty przemocy w rodzinie, z przykładowo wypełnionymi formularzami Niebieska Karta A i B oraz wzorami pism procesowych;</w:t>
            </w:r>
          </w:p>
          <w:p w14:paraId="6F90C59A" w14:textId="77777777" w:rsidR="00486664" w:rsidRPr="005911C6" w:rsidRDefault="00486664" w:rsidP="005911C6">
            <w:pPr>
              <w:spacing w:after="0" w:line="240" w:lineRule="auto"/>
              <w:ind w:left="323" w:hanging="323"/>
              <w:rPr>
                <w:rFonts w:ascii="Lato" w:eastAsia="MS Mincho" w:hAnsi="Lato" w:cs="Times New Roman"/>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poradnik Przemoc w rodzinie - działania pracowników oświaty zawierający kompendium wiedzy na temat zjawiska przemocy, rozpoznawania symptomów, nawiązywania kontaktu z rodzicami, udzielania wsparcia i pomocy dziecku i rodzinie. Poradnik zawiera kwestionariusze oceny ryzyka występowania przemocy w rodzinie oraz algorytmy postępowania;</w:t>
            </w:r>
          </w:p>
          <w:p w14:paraId="5AE54ED3" w14:textId="1FF987A1" w:rsidR="00486664" w:rsidRPr="005911C6" w:rsidRDefault="00486664" w:rsidP="005911C6">
            <w:pPr>
              <w:spacing w:after="0" w:line="240" w:lineRule="auto"/>
              <w:rPr>
                <w:rFonts w:ascii="Lato" w:eastAsia="MS Mincho" w:hAnsi="Lato" w:cs="Times New Roman"/>
                <w:b/>
                <w:sz w:val="18"/>
                <w:szCs w:val="18"/>
              </w:rPr>
            </w:pPr>
            <w:r w:rsidRPr="005911C6">
              <w:rPr>
                <w:rFonts w:ascii="Lato" w:eastAsia="MS Mincho" w:hAnsi="Lato" w:cs="Times New Roman"/>
                <w:sz w:val="18"/>
                <w:szCs w:val="18"/>
              </w:rPr>
              <w:t>−</w:t>
            </w:r>
            <w:r w:rsidRPr="005911C6">
              <w:rPr>
                <w:rFonts w:ascii="Lato" w:eastAsia="MS Mincho" w:hAnsi="Lato" w:cs="Times New Roman"/>
                <w:sz w:val="18"/>
                <w:szCs w:val="18"/>
              </w:rPr>
              <w:tab/>
              <w:t>scenariusz szkolenia pn. Procedura Niebieskie Karty w oświacie. Materiał to pomoc dydaktyczna dla osób realizujących szkolenia dla pracowników oświaty. Do scenariusza dołączono publikacje: Przewodnik dla pracowników oświaty; Postępowanie w związku z wystąpieniem przemocy wobec dziecka; Poradnik trenera.</w:t>
            </w:r>
          </w:p>
        </w:tc>
      </w:tr>
      <w:tr w:rsidR="003C25C5" w:rsidRPr="005911C6" w14:paraId="1843E686" w14:textId="77777777" w:rsidTr="008C67C9">
        <w:trPr>
          <w:trHeight w:val="1775"/>
        </w:trPr>
        <w:tc>
          <w:tcPr>
            <w:tcW w:w="1232" w:type="dxa"/>
            <w:vMerge/>
            <w:shd w:val="clear" w:color="auto" w:fill="FFFFFF" w:themeFill="background1"/>
          </w:tcPr>
          <w:p w14:paraId="72D679F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91281A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Włączanie w budowanie sieci poradnictwa organizacji pozarządowych i podmiotów, o których mowa w art. 3 ust. 3 ustawy o działalności pożytku publicznego i o wolontariacie, oraz związków wyznaniowych</w:t>
            </w:r>
          </w:p>
        </w:tc>
        <w:tc>
          <w:tcPr>
            <w:tcW w:w="2032" w:type="dxa"/>
            <w:vMerge w:val="restart"/>
            <w:shd w:val="clear" w:color="auto" w:fill="FFFFFF" w:themeFill="background1"/>
          </w:tcPr>
          <w:p w14:paraId="4605AE7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Sprawiedliwości</w:t>
            </w:r>
          </w:p>
        </w:tc>
        <w:tc>
          <w:tcPr>
            <w:tcW w:w="1500" w:type="dxa"/>
            <w:vMerge w:val="restart"/>
            <w:shd w:val="clear" w:color="auto" w:fill="FFFFFF" w:themeFill="background1"/>
          </w:tcPr>
          <w:p w14:paraId="630355F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1206925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1280B3D"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wspartych organizacji sektora </w:t>
            </w:r>
            <w:r w:rsidRPr="005911C6">
              <w:rPr>
                <w:rFonts w:ascii="Lato" w:hAnsi="Lato"/>
                <w:i/>
                <w:sz w:val="18"/>
                <w:szCs w:val="18"/>
              </w:rPr>
              <w:t>organizacji pozarządowych i podmiotów, o których mowa w art. 3 ust. 3 ustawy o działalności pożytku publicznego i o wolontariacie,</w:t>
            </w:r>
            <w:r w:rsidRPr="005911C6">
              <w:rPr>
                <w:rFonts w:ascii="Lato" w:eastAsia="MS Mincho" w:hAnsi="Lato"/>
                <w:i/>
                <w:sz w:val="18"/>
                <w:szCs w:val="18"/>
              </w:rPr>
              <w:t xml:space="preserve"> w obszarze promowania wolontariatu osób starszych oraz wobec osób starszych i związków wyznaniowych świadczących poradnictwo dla osób starszych doznających przemocy w miejscu zamieszkania.</w:t>
            </w:r>
          </w:p>
        </w:tc>
      </w:tr>
      <w:tr w:rsidR="003C25C5" w:rsidRPr="005911C6" w14:paraId="3ECDD8FC" w14:textId="77777777" w:rsidTr="008C67C9">
        <w:trPr>
          <w:trHeight w:val="720"/>
        </w:trPr>
        <w:tc>
          <w:tcPr>
            <w:tcW w:w="1232" w:type="dxa"/>
            <w:vMerge/>
            <w:shd w:val="clear" w:color="auto" w:fill="FFFFFF" w:themeFill="background1"/>
          </w:tcPr>
          <w:p w14:paraId="7FEF617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D7B1AA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6BB2FD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62758D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E892FF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001DF1E" w14:textId="77777777" w:rsidR="003C25C5" w:rsidRPr="005911C6" w:rsidRDefault="003C25C5" w:rsidP="005911C6">
            <w:pPr>
              <w:spacing w:after="0" w:line="240" w:lineRule="auto"/>
              <w:rPr>
                <w:rFonts w:ascii="Lato" w:hAnsi="Lato" w:cs="Times New Roman"/>
                <w:sz w:val="18"/>
                <w:szCs w:val="18"/>
              </w:rPr>
            </w:pPr>
          </w:p>
          <w:p w14:paraId="62D920D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9EC2D48" w14:textId="77777777" w:rsidTr="008C67C9">
        <w:trPr>
          <w:trHeight w:val="525"/>
        </w:trPr>
        <w:tc>
          <w:tcPr>
            <w:tcW w:w="1232" w:type="dxa"/>
            <w:vMerge/>
            <w:shd w:val="clear" w:color="auto" w:fill="FFFFFF" w:themeFill="background1"/>
          </w:tcPr>
          <w:p w14:paraId="7A0A0D1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EA436F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Stworzenie systemu pomocy terapeutycznej skierowanej i dostosowanej do potrzeb osób starszych</w:t>
            </w:r>
          </w:p>
        </w:tc>
        <w:tc>
          <w:tcPr>
            <w:tcW w:w="2032" w:type="dxa"/>
            <w:vMerge w:val="restart"/>
            <w:shd w:val="clear" w:color="auto" w:fill="FFFFFF" w:themeFill="background1"/>
          </w:tcPr>
          <w:p w14:paraId="2CDE84D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6F9A17F8"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05968154"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Utworzenie systemu pomocy terapeutycznej skierowanej i dostosowanej do potrzeb osób starszych</w:t>
            </w:r>
          </w:p>
        </w:tc>
      </w:tr>
      <w:tr w:rsidR="003C25C5" w:rsidRPr="005911C6" w14:paraId="69CEC466" w14:textId="77777777" w:rsidTr="008C67C9">
        <w:trPr>
          <w:trHeight w:val="720"/>
        </w:trPr>
        <w:tc>
          <w:tcPr>
            <w:tcW w:w="1232" w:type="dxa"/>
            <w:vMerge/>
            <w:shd w:val="clear" w:color="auto" w:fill="FFFFFF" w:themeFill="background1"/>
          </w:tcPr>
          <w:p w14:paraId="74922514"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5A56F4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6AA7F6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5E6B4B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EAF949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0E442F8" w14:textId="77777777" w:rsidR="003C25C5" w:rsidRPr="005911C6" w:rsidRDefault="003C25C5" w:rsidP="005911C6">
            <w:pPr>
              <w:spacing w:after="0" w:line="240" w:lineRule="auto"/>
              <w:rPr>
                <w:rFonts w:ascii="Lato" w:hAnsi="Lato" w:cs="Times New Roman"/>
                <w:sz w:val="18"/>
                <w:szCs w:val="18"/>
              </w:rPr>
            </w:pPr>
          </w:p>
          <w:p w14:paraId="1FE9DCF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7E128B0" w14:textId="77777777" w:rsidTr="008C67C9">
        <w:trPr>
          <w:trHeight w:val="533"/>
        </w:trPr>
        <w:tc>
          <w:tcPr>
            <w:tcW w:w="1232" w:type="dxa"/>
            <w:vMerge/>
            <w:shd w:val="clear" w:color="auto" w:fill="FFFFFF" w:themeFill="background1"/>
          </w:tcPr>
          <w:p w14:paraId="3C5160A3"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8F5100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Rozwój wsparcia ekonomicznego </w:t>
            </w:r>
            <w:r w:rsidRPr="005911C6">
              <w:rPr>
                <w:rFonts w:ascii="Lato" w:eastAsia="MS Mincho" w:hAnsi="Lato"/>
                <w:sz w:val="18"/>
                <w:szCs w:val="18"/>
              </w:rPr>
              <w:br/>
              <w:t>lub mieszkaniowego dla osób starszych  pokrzywdzonych w wyniku przemocy domowej</w:t>
            </w:r>
          </w:p>
        </w:tc>
        <w:tc>
          <w:tcPr>
            <w:tcW w:w="2032" w:type="dxa"/>
            <w:vMerge w:val="restart"/>
            <w:shd w:val="clear" w:color="auto" w:fill="FFFFFF" w:themeFill="background1"/>
          </w:tcPr>
          <w:p w14:paraId="0C759D7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1726906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3D7FC0A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90D8CD8"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nowych rozwiązań wsparcia osób starszych  pokrzywdzonych w wyniku przemocy domowej</w:t>
            </w:r>
          </w:p>
        </w:tc>
      </w:tr>
      <w:tr w:rsidR="003C25C5" w:rsidRPr="005911C6" w14:paraId="1258D36B" w14:textId="77777777" w:rsidTr="008C67C9">
        <w:trPr>
          <w:trHeight w:val="720"/>
        </w:trPr>
        <w:tc>
          <w:tcPr>
            <w:tcW w:w="1232" w:type="dxa"/>
            <w:vMerge/>
            <w:shd w:val="clear" w:color="auto" w:fill="FFFFFF" w:themeFill="background1"/>
          </w:tcPr>
          <w:p w14:paraId="23E2C93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E4D542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7A2904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286809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CFEDCB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8655DF9" w14:textId="77777777" w:rsidR="003C25C5" w:rsidRPr="005911C6" w:rsidRDefault="003C25C5" w:rsidP="005911C6">
            <w:pPr>
              <w:spacing w:after="0" w:line="240" w:lineRule="auto"/>
              <w:rPr>
                <w:rFonts w:ascii="Lato" w:hAnsi="Lato" w:cs="Times New Roman"/>
                <w:sz w:val="18"/>
                <w:szCs w:val="18"/>
              </w:rPr>
            </w:pPr>
          </w:p>
          <w:p w14:paraId="43D30AF9"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F158F55" w14:textId="77777777" w:rsidTr="008C67C9">
        <w:trPr>
          <w:trHeight w:val="415"/>
        </w:trPr>
        <w:tc>
          <w:tcPr>
            <w:tcW w:w="1232" w:type="dxa"/>
            <w:vMerge/>
            <w:shd w:val="clear" w:color="auto" w:fill="FFFFFF" w:themeFill="background1"/>
          </w:tcPr>
          <w:p w14:paraId="74B364F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1365C2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Prowadzenie szkoleń z rozpoznawania przemocy dla pracowników podmiotów, którzy najczęściej mają kontakt z seniorami</w:t>
            </w:r>
          </w:p>
        </w:tc>
        <w:tc>
          <w:tcPr>
            <w:tcW w:w="2032" w:type="dxa"/>
            <w:vMerge w:val="restart"/>
            <w:shd w:val="clear" w:color="auto" w:fill="FFFFFF" w:themeFill="background1"/>
          </w:tcPr>
          <w:p w14:paraId="3D7A5C5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Sprawiedliwości, Ministerstwo Zdrowia,  Ministerstwo Rodziny i Polityki Społecznej, Ministerstwo Edukacji i Nauki</w:t>
            </w:r>
          </w:p>
        </w:tc>
        <w:tc>
          <w:tcPr>
            <w:tcW w:w="1500" w:type="dxa"/>
            <w:vMerge w:val="restart"/>
            <w:shd w:val="clear" w:color="auto" w:fill="FFFFFF" w:themeFill="background1"/>
          </w:tcPr>
          <w:p w14:paraId="1A3598C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1533BB7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CAC0A56"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przeprowadzonych szkoleń z rozpoznawania przemocy przez pracowników placówek medycznych, którzy najczęściej mają kontakt z seniorami i pracowników socjalnych</w:t>
            </w:r>
          </w:p>
        </w:tc>
      </w:tr>
      <w:tr w:rsidR="003C25C5" w:rsidRPr="005911C6" w14:paraId="7BD8CBA8" w14:textId="77777777" w:rsidTr="008C67C9">
        <w:trPr>
          <w:trHeight w:val="720"/>
        </w:trPr>
        <w:tc>
          <w:tcPr>
            <w:tcW w:w="1232" w:type="dxa"/>
            <w:vMerge/>
            <w:shd w:val="clear" w:color="auto" w:fill="FFFFFF" w:themeFill="background1"/>
          </w:tcPr>
          <w:p w14:paraId="2928A71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79EF6E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8728B5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D58E59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66BDEC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34DDF0A" w14:textId="77777777" w:rsidR="003C25C5" w:rsidRPr="005911C6" w:rsidRDefault="003C25C5" w:rsidP="005911C6">
            <w:pPr>
              <w:spacing w:after="0" w:line="240" w:lineRule="auto"/>
              <w:rPr>
                <w:rFonts w:ascii="Lato" w:hAnsi="Lato" w:cs="Times New Roman"/>
                <w:sz w:val="18"/>
                <w:szCs w:val="18"/>
              </w:rPr>
            </w:pPr>
          </w:p>
          <w:p w14:paraId="0D727AA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9738165" w14:textId="77777777" w:rsidTr="008C67C9">
        <w:trPr>
          <w:trHeight w:val="719"/>
        </w:trPr>
        <w:tc>
          <w:tcPr>
            <w:tcW w:w="1232" w:type="dxa"/>
            <w:vMerge/>
            <w:shd w:val="clear" w:color="auto" w:fill="FFFFFF" w:themeFill="background1"/>
          </w:tcPr>
          <w:p w14:paraId="4709EE8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311A79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Doskonalenie obsługi prawnej uwzględniającej specyfikę osób starszych – ofiar przemocy</w:t>
            </w:r>
          </w:p>
        </w:tc>
        <w:tc>
          <w:tcPr>
            <w:tcW w:w="2032" w:type="dxa"/>
            <w:vMerge w:val="restart"/>
            <w:shd w:val="clear" w:color="auto" w:fill="FFFFFF" w:themeFill="background1"/>
          </w:tcPr>
          <w:p w14:paraId="3757E65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Sprawiedliwości</w:t>
            </w:r>
          </w:p>
        </w:tc>
        <w:tc>
          <w:tcPr>
            <w:tcW w:w="1500" w:type="dxa"/>
            <w:vMerge w:val="restart"/>
            <w:shd w:val="clear" w:color="auto" w:fill="FFFFFF" w:themeFill="background1"/>
          </w:tcPr>
          <w:p w14:paraId="422C42D7"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w:t>
            </w:r>
          </w:p>
        </w:tc>
        <w:tc>
          <w:tcPr>
            <w:tcW w:w="5638" w:type="dxa"/>
            <w:shd w:val="clear" w:color="auto" w:fill="FFFFFF" w:themeFill="background1"/>
          </w:tcPr>
          <w:p w14:paraId="370D0487"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działań mających na celu doskonalenie obsługi prawnej uwzględniającej specyfikę osób starszych – ofiar przemocy</w:t>
            </w:r>
          </w:p>
        </w:tc>
      </w:tr>
      <w:tr w:rsidR="003C25C5" w:rsidRPr="005911C6" w14:paraId="28079A8F" w14:textId="77777777" w:rsidTr="008C67C9">
        <w:trPr>
          <w:trHeight w:val="720"/>
        </w:trPr>
        <w:tc>
          <w:tcPr>
            <w:tcW w:w="1232" w:type="dxa"/>
            <w:vMerge/>
            <w:shd w:val="clear" w:color="auto" w:fill="FFFFFF" w:themeFill="background1"/>
          </w:tcPr>
          <w:p w14:paraId="2F37A4B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4B6834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8D623B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A25DC4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981839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8A1F706" w14:textId="77777777" w:rsidR="003C25C5" w:rsidRPr="005911C6" w:rsidRDefault="003C25C5" w:rsidP="005911C6">
            <w:pPr>
              <w:spacing w:after="0" w:line="240" w:lineRule="auto"/>
              <w:rPr>
                <w:rFonts w:ascii="Lato" w:hAnsi="Lato" w:cs="Times New Roman"/>
                <w:sz w:val="18"/>
                <w:szCs w:val="18"/>
              </w:rPr>
            </w:pPr>
          </w:p>
          <w:p w14:paraId="188E596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2D8EFC0" w14:textId="77777777" w:rsidTr="008C67C9">
        <w:trPr>
          <w:trHeight w:val="489"/>
        </w:trPr>
        <w:tc>
          <w:tcPr>
            <w:tcW w:w="1232" w:type="dxa"/>
            <w:vMerge/>
            <w:shd w:val="clear" w:color="auto" w:fill="FFFFFF" w:themeFill="background1"/>
          </w:tcPr>
          <w:p w14:paraId="46C11BE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957DFA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szkoleń dla osób zajmujących się pomocą osobom starszym doznającym przemocy</w:t>
            </w:r>
          </w:p>
        </w:tc>
        <w:tc>
          <w:tcPr>
            <w:tcW w:w="2032" w:type="dxa"/>
            <w:vMerge w:val="restart"/>
            <w:shd w:val="clear" w:color="auto" w:fill="FFFFFF" w:themeFill="background1"/>
          </w:tcPr>
          <w:p w14:paraId="3B2C041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Sprawiedliwości, Ministerstwo Rodziny i Polityki Społecznej</w:t>
            </w:r>
          </w:p>
        </w:tc>
        <w:tc>
          <w:tcPr>
            <w:tcW w:w="1500" w:type="dxa"/>
            <w:vMerge w:val="restart"/>
            <w:shd w:val="clear" w:color="auto" w:fill="FFFFFF" w:themeFill="background1"/>
          </w:tcPr>
          <w:p w14:paraId="22A62BC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5BEAD61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B25591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przeprowadzonych szkoleń dla osób zajmujących się pomocą osobom starszym doznającym przemocy</w:t>
            </w:r>
          </w:p>
        </w:tc>
      </w:tr>
      <w:tr w:rsidR="003C25C5" w:rsidRPr="005911C6" w14:paraId="5A95BE10" w14:textId="77777777" w:rsidTr="008C67C9">
        <w:trPr>
          <w:trHeight w:val="720"/>
        </w:trPr>
        <w:tc>
          <w:tcPr>
            <w:tcW w:w="1232" w:type="dxa"/>
            <w:vMerge/>
            <w:shd w:val="clear" w:color="auto" w:fill="FFFFFF" w:themeFill="background1"/>
          </w:tcPr>
          <w:p w14:paraId="17726B6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B8EE8F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48B4AE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EC65D15"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AEDD98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1BFD7DB" w14:textId="77777777" w:rsidR="003C25C5" w:rsidRPr="005911C6" w:rsidRDefault="003C25C5" w:rsidP="005911C6">
            <w:pPr>
              <w:spacing w:after="0" w:line="240" w:lineRule="auto"/>
              <w:rPr>
                <w:rFonts w:ascii="Lato" w:hAnsi="Lato" w:cs="Times New Roman"/>
                <w:sz w:val="18"/>
                <w:szCs w:val="18"/>
              </w:rPr>
            </w:pPr>
          </w:p>
          <w:p w14:paraId="27C8BA09"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A4B7DEE" w14:textId="77777777" w:rsidTr="008C67C9">
        <w:trPr>
          <w:trHeight w:val="511"/>
        </w:trPr>
        <w:tc>
          <w:tcPr>
            <w:tcW w:w="1232" w:type="dxa"/>
            <w:vMerge w:val="restart"/>
            <w:shd w:val="clear" w:color="auto" w:fill="FFFFFF" w:themeFill="background1"/>
            <w:textDirection w:val="btLr"/>
          </w:tcPr>
          <w:p w14:paraId="3DA96100" w14:textId="77777777" w:rsidR="003C25C5" w:rsidRPr="005911C6" w:rsidRDefault="003C25C5" w:rsidP="005911C6">
            <w:pPr>
              <w:spacing w:after="0" w:line="240" w:lineRule="auto"/>
              <w:ind w:left="113" w:right="113"/>
              <w:jc w:val="center"/>
              <w:rPr>
                <w:rFonts w:ascii="Lato" w:hAnsi="Lato" w:cs="Times New Roman"/>
                <w:sz w:val="18"/>
                <w:szCs w:val="18"/>
              </w:rPr>
            </w:pPr>
            <w:r w:rsidRPr="005911C6">
              <w:rPr>
                <w:rFonts w:ascii="Lato" w:hAnsi="Lato" w:cs="Times New Roman"/>
                <w:sz w:val="18"/>
                <w:szCs w:val="18"/>
              </w:rPr>
              <w:t>Obszar VI</w:t>
            </w:r>
          </w:p>
        </w:tc>
        <w:tc>
          <w:tcPr>
            <w:tcW w:w="3594" w:type="dxa"/>
            <w:vMerge w:val="restart"/>
            <w:shd w:val="clear" w:color="auto" w:fill="FFFFFF" w:themeFill="background1"/>
          </w:tcPr>
          <w:p w14:paraId="25FB1A2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Realizacja kampanii społecznych promujących edukację międzypokoleniową</w:t>
            </w:r>
          </w:p>
        </w:tc>
        <w:tc>
          <w:tcPr>
            <w:tcW w:w="2032" w:type="dxa"/>
            <w:vMerge w:val="restart"/>
            <w:shd w:val="clear" w:color="auto" w:fill="FFFFFF" w:themeFill="background1"/>
          </w:tcPr>
          <w:p w14:paraId="2D26821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Rodziny i Polityki Społecznej, Ministerstwo Edukacji i Nauki, Ministerstwo Rozwoju i Technologii</w:t>
            </w:r>
          </w:p>
        </w:tc>
        <w:tc>
          <w:tcPr>
            <w:tcW w:w="1500" w:type="dxa"/>
            <w:vMerge w:val="restart"/>
            <w:shd w:val="clear" w:color="auto" w:fill="FFFFFF" w:themeFill="background1"/>
          </w:tcPr>
          <w:p w14:paraId="395969D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363F6EB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A877976"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przeprowadzonych kampanii społecznych promujących edukację międzypokoleniową</w:t>
            </w:r>
          </w:p>
        </w:tc>
      </w:tr>
      <w:tr w:rsidR="003C25C5" w:rsidRPr="005911C6" w14:paraId="6CADFCCD" w14:textId="77777777" w:rsidTr="008C67C9">
        <w:trPr>
          <w:trHeight w:val="720"/>
        </w:trPr>
        <w:tc>
          <w:tcPr>
            <w:tcW w:w="1232" w:type="dxa"/>
            <w:vMerge/>
            <w:shd w:val="clear" w:color="auto" w:fill="FFFFFF" w:themeFill="background1"/>
          </w:tcPr>
          <w:p w14:paraId="3D2AFA0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4C71EB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5F2E89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2D2B27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8155A7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63D76C0" w14:textId="77777777" w:rsidR="003C25C5" w:rsidRPr="005911C6" w:rsidRDefault="003C25C5" w:rsidP="005911C6">
            <w:pPr>
              <w:spacing w:after="0" w:line="240" w:lineRule="auto"/>
              <w:rPr>
                <w:rFonts w:ascii="Lato" w:hAnsi="Lato" w:cs="Times New Roman"/>
                <w:sz w:val="18"/>
                <w:szCs w:val="18"/>
              </w:rPr>
            </w:pPr>
          </w:p>
          <w:p w14:paraId="2F01A1E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B3D0A26" w14:textId="77777777" w:rsidTr="008C67C9">
        <w:trPr>
          <w:trHeight w:val="720"/>
        </w:trPr>
        <w:tc>
          <w:tcPr>
            <w:tcW w:w="1232" w:type="dxa"/>
            <w:vMerge/>
            <w:shd w:val="clear" w:color="auto" w:fill="FFFFFF" w:themeFill="background1"/>
          </w:tcPr>
          <w:p w14:paraId="69C8406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25B9A0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Wspieranie projektów społecznych, realizowanych przez organizacje pozarządowe i podmioty, o których mowa w art. 3 ust. 3 ustawy o działalności pożytku publicznego i o wolontariacie, promujących solidarność i integrację międzypokoleniową</w:t>
            </w:r>
          </w:p>
        </w:tc>
        <w:tc>
          <w:tcPr>
            <w:tcW w:w="2032" w:type="dxa"/>
            <w:vMerge w:val="restart"/>
            <w:shd w:val="clear" w:color="auto" w:fill="FFFFFF" w:themeFill="background1"/>
          </w:tcPr>
          <w:p w14:paraId="4F315DA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Rodziny i Polityki Społecznej, Ministerstwo Edukacji i Nauki, Ministerstwo Kultury i Dziedzictwa Narodowego</w:t>
            </w:r>
          </w:p>
        </w:tc>
        <w:tc>
          <w:tcPr>
            <w:tcW w:w="1500" w:type="dxa"/>
            <w:vMerge w:val="restart"/>
            <w:shd w:val="clear" w:color="auto" w:fill="FFFFFF" w:themeFill="background1"/>
          </w:tcPr>
          <w:p w14:paraId="33E3B33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415EA74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7455E3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wspartych projektów społecznych, realizowanych przez organizacje pozarządowe, promujących solidarność i integrację międzypokoleniową</w:t>
            </w:r>
          </w:p>
        </w:tc>
      </w:tr>
      <w:tr w:rsidR="003C25C5" w:rsidRPr="005911C6" w14:paraId="23138846" w14:textId="77777777" w:rsidTr="008C67C9">
        <w:trPr>
          <w:trHeight w:val="720"/>
        </w:trPr>
        <w:tc>
          <w:tcPr>
            <w:tcW w:w="1232" w:type="dxa"/>
            <w:vMerge/>
            <w:shd w:val="clear" w:color="auto" w:fill="FFFFFF" w:themeFill="background1"/>
          </w:tcPr>
          <w:p w14:paraId="1FBB324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B851CA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CA9B98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63EDE4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23FC524" w14:textId="77777777" w:rsidR="00486664"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75B5E803" w14:textId="702C579F" w:rsidR="00486664" w:rsidRPr="005911C6" w:rsidRDefault="00486664" w:rsidP="005911C6">
            <w:pPr>
              <w:spacing w:after="0" w:line="240" w:lineRule="auto"/>
              <w:rPr>
                <w:rFonts w:ascii="Lato" w:hAnsi="Lato" w:cs="Times New Roman"/>
                <w:sz w:val="18"/>
                <w:szCs w:val="18"/>
              </w:rPr>
            </w:pPr>
            <w:r w:rsidRPr="005911C6">
              <w:rPr>
                <w:rFonts w:ascii="Lato" w:hAnsi="Lato" w:cs="Times New Roman"/>
                <w:sz w:val="18"/>
                <w:szCs w:val="18"/>
              </w:rPr>
              <w:t>W ramach programu pn. „Międzypokoleniowe Centra Edukacyjne – wsparcie integracji międzypokoleniowej” w 2022 r. Ministerstwo Edukacji i Nauki dofinansowało 179 podmiotów (organizacji pozarządowych). Łączna wysokość dofinansowania projektów wynosiła 19 478 159,00 zł. Obecnie program jest kontynuowany w ramach nowego samodzielnego modułu w Programie Wsparcia Edukacji, którego nabór rozpoczął się 1 czerwca 2023 r.</w:t>
            </w:r>
          </w:p>
          <w:p w14:paraId="702A57F5" w14:textId="77777777" w:rsidR="00486664" w:rsidRPr="005911C6" w:rsidRDefault="00486664" w:rsidP="005911C6">
            <w:pPr>
              <w:spacing w:after="0" w:line="240" w:lineRule="auto"/>
              <w:rPr>
                <w:rFonts w:ascii="Lato" w:eastAsia="MS Mincho" w:hAnsi="Lato" w:cs="Times New Roman"/>
                <w:b/>
                <w:color w:val="2F5496" w:themeColor="accent1" w:themeShade="BF"/>
                <w:sz w:val="18"/>
                <w:szCs w:val="18"/>
              </w:rPr>
            </w:pPr>
          </w:p>
          <w:p w14:paraId="487DDA10" w14:textId="637AB671" w:rsidR="006239A8" w:rsidRPr="005911C6" w:rsidRDefault="006239A8"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Kultury i Dziedzictwa Narodowego</w:t>
            </w:r>
          </w:p>
          <w:p w14:paraId="05E306E3" w14:textId="77777777" w:rsidR="006239A8" w:rsidRPr="005911C6" w:rsidRDefault="006239A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 xml:space="preserve">Instytut Polonika od 2019 r. prowadzi program własny pod nazwą </w:t>
            </w:r>
            <w:r w:rsidRPr="005911C6">
              <w:rPr>
                <w:rFonts w:ascii="Lato" w:eastAsia="MS Mincho" w:hAnsi="Lato" w:cs="Times New Roman"/>
                <w:i/>
                <w:sz w:val="18"/>
                <w:szCs w:val="18"/>
              </w:rPr>
              <w:t>Polskie dziedzictwo kulturowe za granicą – wolontariat</w:t>
            </w:r>
            <w:r w:rsidRPr="005911C6">
              <w:rPr>
                <w:rFonts w:ascii="Lato" w:eastAsia="MS Mincho" w:hAnsi="Lato" w:cs="Times New Roman"/>
                <w:sz w:val="18"/>
                <w:szCs w:val="18"/>
              </w:rPr>
              <w:t>. Program wspiera zaangażowanie społeczne w ochronę materialnych elementów polskiego dziedzictwa kulturowego pozostającego poza granicami kraju (dotyczy to obszaru historycznej Rzeczypospolitej w jej granicach z 1772 r.) jak i prowadzenie działań związanych z ochroną i rewaloryzacją spuścizny kulturowej powstałej na emigracji.</w:t>
            </w:r>
          </w:p>
          <w:p w14:paraId="129CC3E3" w14:textId="25B75930" w:rsidR="003C25C5" w:rsidRPr="005911C6" w:rsidRDefault="006239A8"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zadaniach realizowanych przez organizacje pozarządowe uczestniczą jako wolontariusze zarówno dorośli, młodzież, jak i osoby starsze.</w:t>
            </w:r>
          </w:p>
        </w:tc>
      </w:tr>
      <w:tr w:rsidR="003C25C5" w:rsidRPr="005911C6" w14:paraId="3CB42805" w14:textId="77777777" w:rsidTr="008C67C9">
        <w:trPr>
          <w:trHeight w:val="720"/>
        </w:trPr>
        <w:tc>
          <w:tcPr>
            <w:tcW w:w="1232" w:type="dxa"/>
            <w:vMerge/>
            <w:shd w:val="clear" w:color="auto" w:fill="FFFFFF" w:themeFill="background1"/>
          </w:tcPr>
          <w:p w14:paraId="3F5FB0B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50BE4D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spójności rodziny poprzez promowanie międzypokoleniowej wymiany doświadczeń</w:t>
            </w:r>
          </w:p>
        </w:tc>
        <w:tc>
          <w:tcPr>
            <w:tcW w:w="2032" w:type="dxa"/>
            <w:vMerge w:val="restart"/>
            <w:shd w:val="clear" w:color="auto" w:fill="FFFFFF" w:themeFill="background1"/>
          </w:tcPr>
          <w:p w14:paraId="44566C4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Komitet do spraw Pożytku Publicznego, </w:t>
            </w:r>
            <w:r w:rsidRPr="005911C6">
              <w:rPr>
                <w:rFonts w:ascii="Lato" w:eastAsia="MS Mincho" w:hAnsi="Lato"/>
                <w:sz w:val="18"/>
                <w:szCs w:val="18"/>
              </w:rPr>
              <w:lastRenderedPageBreak/>
              <w:t>Ministerstwo Rodziny i Polityki Społecznej</w:t>
            </w:r>
          </w:p>
        </w:tc>
        <w:tc>
          <w:tcPr>
            <w:tcW w:w="1500" w:type="dxa"/>
            <w:vMerge w:val="restart"/>
            <w:shd w:val="clear" w:color="auto" w:fill="FFFFFF" w:themeFill="background1"/>
          </w:tcPr>
          <w:p w14:paraId="4284189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Działanie ciągłe</w:t>
            </w:r>
            <w:r w:rsidRPr="005911C6">
              <w:rPr>
                <w:rFonts w:ascii="Lato" w:hAnsi="Lato"/>
                <w:sz w:val="18"/>
                <w:szCs w:val="18"/>
              </w:rPr>
              <w:t>*</w:t>
            </w:r>
          </w:p>
          <w:p w14:paraId="60B1037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1DE000A"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na rzecz wspierania spójności rodziny poprzez promowanie międzypokoleniowej wymiany doświadczeń</w:t>
            </w:r>
          </w:p>
        </w:tc>
      </w:tr>
      <w:tr w:rsidR="003C25C5" w:rsidRPr="005911C6" w14:paraId="5A08F5BE" w14:textId="77777777" w:rsidTr="008C67C9">
        <w:trPr>
          <w:trHeight w:val="720"/>
        </w:trPr>
        <w:tc>
          <w:tcPr>
            <w:tcW w:w="1232" w:type="dxa"/>
            <w:vMerge/>
            <w:shd w:val="clear" w:color="auto" w:fill="FFFFFF" w:themeFill="background1"/>
          </w:tcPr>
          <w:p w14:paraId="66701DF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63B390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908356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AF6C675"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82835E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9A85F4C" w14:textId="77777777" w:rsidR="003C25C5" w:rsidRPr="005911C6" w:rsidRDefault="003C25C5" w:rsidP="005911C6">
            <w:pPr>
              <w:spacing w:after="0" w:line="240" w:lineRule="auto"/>
              <w:rPr>
                <w:rFonts w:ascii="Lato" w:hAnsi="Lato" w:cs="Times New Roman"/>
                <w:sz w:val="18"/>
                <w:szCs w:val="18"/>
              </w:rPr>
            </w:pPr>
          </w:p>
          <w:p w14:paraId="6B5C969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D9B1EBB" w14:textId="77777777" w:rsidTr="008C67C9">
        <w:trPr>
          <w:trHeight w:val="720"/>
        </w:trPr>
        <w:tc>
          <w:tcPr>
            <w:tcW w:w="1232" w:type="dxa"/>
            <w:vMerge/>
            <w:shd w:val="clear" w:color="auto" w:fill="FFFFFF" w:themeFill="background1"/>
          </w:tcPr>
          <w:p w14:paraId="24C8555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47F945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Tworzenie i wzmacnianie, na poziomie lokalnym, infrastruktury skierowanej do osób starszych takiej jak: placówki dziennego pobytu (domy, kluby, świetlice), prowadzące działania na rzecz integracji międzypokoleniowej</w:t>
            </w:r>
          </w:p>
        </w:tc>
        <w:tc>
          <w:tcPr>
            <w:tcW w:w="2032" w:type="dxa"/>
            <w:vMerge w:val="restart"/>
            <w:shd w:val="clear" w:color="auto" w:fill="FFFFFF" w:themeFill="background1"/>
          </w:tcPr>
          <w:p w14:paraId="1D6BD43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 Ministerstwo Sportu i Turystyki</w:t>
            </w:r>
          </w:p>
        </w:tc>
        <w:tc>
          <w:tcPr>
            <w:tcW w:w="1500" w:type="dxa"/>
            <w:vMerge w:val="restart"/>
            <w:shd w:val="clear" w:color="auto" w:fill="FFFFFF" w:themeFill="background1"/>
          </w:tcPr>
          <w:p w14:paraId="4CB8CAF9"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p>
        </w:tc>
        <w:tc>
          <w:tcPr>
            <w:tcW w:w="5638" w:type="dxa"/>
            <w:shd w:val="clear" w:color="auto" w:fill="FFFFFF" w:themeFill="background1"/>
          </w:tcPr>
          <w:p w14:paraId="684F8480"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funkcjonujących placówek skierowanych do osób starszych prowadzących działania na rzecz integracji międzypokoleniowej</w:t>
            </w:r>
          </w:p>
        </w:tc>
      </w:tr>
      <w:tr w:rsidR="003C25C5" w:rsidRPr="005911C6" w14:paraId="733BE457" w14:textId="77777777" w:rsidTr="008C67C9">
        <w:trPr>
          <w:trHeight w:val="720"/>
        </w:trPr>
        <w:tc>
          <w:tcPr>
            <w:tcW w:w="1232" w:type="dxa"/>
            <w:vMerge/>
            <w:shd w:val="clear" w:color="auto" w:fill="FFFFFF" w:themeFill="background1"/>
          </w:tcPr>
          <w:p w14:paraId="52F6CBE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0F9C3F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8E0EE5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825791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0A36B9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863E3A3" w14:textId="77777777" w:rsidR="003C25C5" w:rsidRPr="005911C6" w:rsidRDefault="003C25C5" w:rsidP="005911C6">
            <w:pPr>
              <w:spacing w:after="0" w:line="240" w:lineRule="auto"/>
              <w:rPr>
                <w:rFonts w:ascii="Lato" w:hAnsi="Lato" w:cs="Times New Roman"/>
                <w:sz w:val="18"/>
                <w:szCs w:val="18"/>
              </w:rPr>
            </w:pPr>
          </w:p>
          <w:p w14:paraId="3B20C53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FC7C6B1" w14:textId="77777777" w:rsidTr="008C67C9">
        <w:trPr>
          <w:trHeight w:val="720"/>
        </w:trPr>
        <w:tc>
          <w:tcPr>
            <w:tcW w:w="1232" w:type="dxa"/>
            <w:vMerge/>
            <w:shd w:val="clear" w:color="auto" w:fill="FFFFFF" w:themeFill="background1"/>
          </w:tcPr>
          <w:p w14:paraId="5BB3D15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C73F56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szkoleń dla liderów społeczności lokalnych z zakresu planowania działań wobec osób starszych</w:t>
            </w:r>
          </w:p>
        </w:tc>
        <w:tc>
          <w:tcPr>
            <w:tcW w:w="2032" w:type="dxa"/>
            <w:vMerge w:val="restart"/>
            <w:shd w:val="clear" w:color="auto" w:fill="FFFFFF" w:themeFill="background1"/>
          </w:tcPr>
          <w:p w14:paraId="279ABD6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tc>
        <w:tc>
          <w:tcPr>
            <w:tcW w:w="1500" w:type="dxa"/>
            <w:vMerge w:val="restart"/>
            <w:shd w:val="clear" w:color="auto" w:fill="FFFFFF" w:themeFill="background1"/>
          </w:tcPr>
          <w:p w14:paraId="7661B0DF"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1CCB56A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przeprowadzonych szkoleń dla liderów społeczności lokalnych z zakresu planowania działań wobec osób starszych</w:t>
            </w:r>
          </w:p>
        </w:tc>
      </w:tr>
      <w:tr w:rsidR="003C25C5" w:rsidRPr="005911C6" w14:paraId="7CEFDC1B" w14:textId="77777777" w:rsidTr="008C67C9">
        <w:trPr>
          <w:trHeight w:val="720"/>
        </w:trPr>
        <w:tc>
          <w:tcPr>
            <w:tcW w:w="1232" w:type="dxa"/>
            <w:vMerge/>
            <w:shd w:val="clear" w:color="auto" w:fill="FFFFFF" w:themeFill="background1"/>
          </w:tcPr>
          <w:p w14:paraId="6E1E4A7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B1BB31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0B2369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FE4683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87FC6E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8FE3E1E" w14:textId="77777777" w:rsidR="003C25C5" w:rsidRPr="005911C6" w:rsidRDefault="003C25C5" w:rsidP="005911C6">
            <w:pPr>
              <w:spacing w:after="0" w:line="240" w:lineRule="auto"/>
              <w:rPr>
                <w:rFonts w:ascii="Lato" w:hAnsi="Lato" w:cs="Times New Roman"/>
                <w:sz w:val="18"/>
                <w:szCs w:val="18"/>
              </w:rPr>
            </w:pPr>
          </w:p>
          <w:p w14:paraId="4CA1F99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37559D5" w14:textId="77777777" w:rsidTr="008C67C9">
        <w:trPr>
          <w:trHeight w:val="720"/>
        </w:trPr>
        <w:tc>
          <w:tcPr>
            <w:tcW w:w="1232" w:type="dxa"/>
            <w:vMerge/>
            <w:shd w:val="clear" w:color="auto" w:fill="FFFFFF" w:themeFill="background1"/>
          </w:tcPr>
          <w:p w14:paraId="18DBED0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81FCFC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Upowszechnianie dobrych praktyk realizowanych przez samorządy </w:t>
            </w:r>
            <w:r w:rsidRPr="005911C6">
              <w:rPr>
                <w:rFonts w:ascii="Lato" w:eastAsia="MS Mincho" w:hAnsi="Lato"/>
                <w:sz w:val="18"/>
                <w:szCs w:val="18"/>
              </w:rPr>
              <w:br/>
              <w:t>i organizacje pozarządowe</w:t>
            </w:r>
          </w:p>
        </w:tc>
        <w:tc>
          <w:tcPr>
            <w:tcW w:w="2032" w:type="dxa"/>
            <w:vMerge w:val="restart"/>
            <w:shd w:val="clear" w:color="auto" w:fill="FFFFFF" w:themeFill="background1"/>
          </w:tcPr>
          <w:p w14:paraId="0772B04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tc>
        <w:tc>
          <w:tcPr>
            <w:tcW w:w="1500" w:type="dxa"/>
            <w:vMerge w:val="restart"/>
            <w:shd w:val="clear" w:color="auto" w:fill="FFFFFF" w:themeFill="background1"/>
          </w:tcPr>
          <w:p w14:paraId="55E25DD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683752E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D74588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zrealizowanych inicjatyw mających na celu upowszechnianie dobrych praktyk realizowanych </w:t>
            </w:r>
            <w:r w:rsidRPr="005911C6">
              <w:rPr>
                <w:rFonts w:ascii="Lato" w:eastAsia="MS Mincho" w:hAnsi="Lato"/>
                <w:i/>
                <w:sz w:val="18"/>
                <w:szCs w:val="18"/>
              </w:rPr>
              <w:br/>
              <w:t>przez samorządy i organizacje pozarządowe</w:t>
            </w:r>
          </w:p>
        </w:tc>
      </w:tr>
      <w:tr w:rsidR="003C25C5" w:rsidRPr="005911C6" w14:paraId="52C670ED" w14:textId="77777777" w:rsidTr="008C67C9">
        <w:trPr>
          <w:trHeight w:val="720"/>
        </w:trPr>
        <w:tc>
          <w:tcPr>
            <w:tcW w:w="1232" w:type="dxa"/>
            <w:vMerge/>
            <w:shd w:val="clear" w:color="auto" w:fill="FFFFFF" w:themeFill="background1"/>
          </w:tcPr>
          <w:p w14:paraId="280426F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257520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AF2CC4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F92C12A"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C09432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A61C8F2" w14:textId="77777777" w:rsidR="003C25C5" w:rsidRPr="005911C6" w:rsidRDefault="003C25C5" w:rsidP="005911C6">
            <w:pPr>
              <w:spacing w:after="0" w:line="240" w:lineRule="auto"/>
              <w:rPr>
                <w:rFonts w:ascii="Lato" w:hAnsi="Lato" w:cs="Times New Roman"/>
                <w:sz w:val="18"/>
                <w:szCs w:val="18"/>
              </w:rPr>
            </w:pPr>
          </w:p>
          <w:p w14:paraId="6466B1F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8D4002D" w14:textId="77777777" w:rsidTr="008C67C9">
        <w:trPr>
          <w:trHeight w:val="720"/>
        </w:trPr>
        <w:tc>
          <w:tcPr>
            <w:tcW w:w="1232" w:type="dxa"/>
            <w:vMerge/>
            <w:shd w:val="clear" w:color="auto" w:fill="FFFFFF" w:themeFill="background1"/>
          </w:tcPr>
          <w:p w14:paraId="21E71B4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A0E2AD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w ramach misji mediów publicznych współpracy międzypokoleniowej oraz dobrych </w:t>
            </w:r>
            <w:r w:rsidRPr="005911C6">
              <w:rPr>
                <w:rFonts w:ascii="Lato" w:eastAsia="MS Mincho" w:hAnsi="Lato"/>
                <w:sz w:val="18"/>
                <w:szCs w:val="18"/>
              </w:rPr>
              <w:br/>
              <w:t>praktyk realizowanych w tym zakresie</w:t>
            </w:r>
          </w:p>
        </w:tc>
        <w:tc>
          <w:tcPr>
            <w:tcW w:w="2032" w:type="dxa"/>
            <w:vMerge w:val="restart"/>
            <w:shd w:val="clear" w:color="auto" w:fill="FFFFFF" w:themeFill="background1"/>
          </w:tcPr>
          <w:p w14:paraId="4C8E4ED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Media publiczne</w:t>
            </w:r>
          </w:p>
        </w:tc>
        <w:tc>
          <w:tcPr>
            <w:tcW w:w="1500" w:type="dxa"/>
            <w:vMerge w:val="restart"/>
            <w:shd w:val="clear" w:color="auto" w:fill="FFFFFF" w:themeFill="background1"/>
          </w:tcPr>
          <w:p w14:paraId="0A73C56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p w14:paraId="1667FF5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EBAA18A"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mających na celu promowanie w ramach misji mediów publicznych współpracy międzypokoleniowej oraz dobrych praktyk realizowanych w tym zakresie</w:t>
            </w:r>
          </w:p>
        </w:tc>
      </w:tr>
      <w:tr w:rsidR="003C25C5" w:rsidRPr="005911C6" w14:paraId="69EE69D4" w14:textId="77777777" w:rsidTr="008C67C9">
        <w:trPr>
          <w:trHeight w:val="720"/>
        </w:trPr>
        <w:tc>
          <w:tcPr>
            <w:tcW w:w="1232" w:type="dxa"/>
            <w:vMerge/>
            <w:shd w:val="clear" w:color="auto" w:fill="FFFFFF" w:themeFill="background1"/>
          </w:tcPr>
          <w:p w14:paraId="08179E6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D24D06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85ACF7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ED6B55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DF8B18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8BECAAD" w14:textId="77777777" w:rsidR="003C25C5" w:rsidRPr="005911C6" w:rsidRDefault="003C25C5" w:rsidP="005911C6">
            <w:pPr>
              <w:spacing w:after="0" w:line="240" w:lineRule="auto"/>
              <w:rPr>
                <w:rFonts w:ascii="Lato" w:hAnsi="Lato" w:cs="Times New Roman"/>
                <w:sz w:val="18"/>
                <w:szCs w:val="18"/>
              </w:rPr>
            </w:pPr>
          </w:p>
          <w:p w14:paraId="5A7231D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53F29C9C" w14:textId="77777777" w:rsidTr="008C67C9">
        <w:trPr>
          <w:trHeight w:val="720"/>
        </w:trPr>
        <w:tc>
          <w:tcPr>
            <w:tcW w:w="1232" w:type="dxa"/>
            <w:vMerge/>
            <w:shd w:val="clear" w:color="auto" w:fill="FFFFFF" w:themeFill="background1"/>
          </w:tcPr>
          <w:p w14:paraId="7A5EE5B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59FBFC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Promowanie współdziałania </w:t>
            </w:r>
            <w:r w:rsidRPr="005911C6">
              <w:rPr>
                <w:rFonts w:ascii="Lato" w:eastAsia="MS Mincho" w:hAnsi="Lato"/>
                <w:sz w:val="18"/>
                <w:szCs w:val="18"/>
              </w:rPr>
              <w:br/>
              <w:t>i współpracy dzieci i młodzieży</w:t>
            </w:r>
            <w:r w:rsidRPr="005911C6">
              <w:rPr>
                <w:rFonts w:ascii="Lato" w:eastAsia="MS Mincho" w:hAnsi="Lato"/>
                <w:sz w:val="18"/>
                <w:szCs w:val="18"/>
              </w:rPr>
              <w:br/>
              <w:t>z osobami starszymi i organizacjami senioralnymi</w:t>
            </w:r>
          </w:p>
        </w:tc>
        <w:tc>
          <w:tcPr>
            <w:tcW w:w="2032" w:type="dxa"/>
            <w:vMerge w:val="restart"/>
            <w:shd w:val="clear" w:color="auto" w:fill="FFFFFF" w:themeFill="background1"/>
          </w:tcPr>
          <w:p w14:paraId="7C8CF98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Edukacji i Nauki</w:t>
            </w:r>
          </w:p>
        </w:tc>
        <w:tc>
          <w:tcPr>
            <w:tcW w:w="1500" w:type="dxa"/>
            <w:vMerge w:val="restart"/>
            <w:shd w:val="clear" w:color="auto" w:fill="FFFFFF" w:themeFill="background1"/>
          </w:tcPr>
          <w:p w14:paraId="474E824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2018-2025</w:t>
            </w:r>
          </w:p>
        </w:tc>
        <w:tc>
          <w:tcPr>
            <w:tcW w:w="5638" w:type="dxa"/>
            <w:shd w:val="clear" w:color="auto" w:fill="FFFFFF" w:themeFill="background1"/>
          </w:tcPr>
          <w:p w14:paraId="29E86836"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mających na celu promowanie współdziałania i współpracy dzieci i młodzieży z osobami starszymi i organizacjami senioralnymi</w:t>
            </w:r>
          </w:p>
        </w:tc>
      </w:tr>
      <w:tr w:rsidR="003C25C5" w:rsidRPr="005911C6" w14:paraId="0DBC2740" w14:textId="77777777" w:rsidTr="008C67C9">
        <w:trPr>
          <w:trHeight w:val="720"/>
        </w:trPr>
        <w:tc>
          <w:tcPr>
            <w:tcW w:w="1232" w:type="dxa"/>
            <w:vMerge/>
            <w:shd w:val="clear" w:color="auto" w:fill="FFFFFF" w:themeFill="background1"/>
          </w:tcPr>
          <w:p w14:paraId="1D6EE0F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1B94AD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C78A4D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B57E52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5FEF37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0CFF8F3" w14:textId="77777777" w:rsidR="003C25C5" w:rsidRPr="005911C6" w:rsidRDefault="003C25C5" w:rsidP="005911C6">
            <w:pPr>
              <w:spacing w:after="0" w:line="240" w:lineRule="auto"/>
              <w:rPr>
                <w:rFonts w:ascii="Lato" w:hAnsi="Lato" w:cs="Times New Roman"/>
                <w:sz w:val="18"/>
                <w:szCs w:val="18"/>
              </w:rPr>
            </w:pPr>
          </w:p>
          <w:p w14:paraId="158E436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lastRenderedPageBreak/>
              <w:t>…</w:t>
            </w:r>
          </w:p>
        </w:tc>
      </w:tr>
      <w:tr w:rsidR="003C25C5" w:rsidRPr="005911C6" w14:paraId="27D6153F" w14:textId="77777777" w:rsidTr="008C67C9">
        <w:trPr>
          <w:trHeight w:val="720"/>
        </w:trPr>
        <w:tc>
          <w:tcPr>
            <w:tcW w:w="1232" w:type="dxa"/>
            <w:vMerge w:val="restart"/>
            <w:shd w:val="clear" w:color="auto" w:fill="FFFFFF" w:themeFill="background1"/>
            <w:textDirection w:val="btLr"/>
          </w:tcPr>
          <w:p w14:paraId="063A8683" w14:textId="77777777" w:rsidR="003C25C5" w:rsidRPr="005911C6" w:rsidRDefault="003C25C5" w:rsidP="005911C6">
            <w:pPr>
              <w:pStyle w:val="Kolorowalistaakcent11"/>
              <w:spacing w:after="0" w:line="240" w:lineRule="auto"/>
              <w:ind w:left="113" w:right="113"/>
              <w:jc w:val="center"/>
              <w:rPr>
                <w:rFonts w:ascii="Lato" w:eastAsia="MS Mincho" w:hAnsi="Lato"/>
                <w:b/>
                <w:sz w:val="18"/>
                <w:szCs w:val="18"/>
              </w:rPr>
            </w:pPr>
            <w:r w:rsidRPr="005911C6">
              <w:rPr>
                <w:rFonts w:ascii="Lato" w:eastAsia="MS Mincho" w:hAnsi="Lato"/>
                <w:sz w:val="18"/>
                <w:szCs w:val="18"/>
              </w:rPr>
              <w:lastRenderedPageBreak/>
              <w:t>Obszar VII</w:t>
            </w:r>
          </w:p>
        </w:tc>
        <w:tc>
          <w:tcPr>
            <w:tcW w:w="3594" w:type="dxa"/>
            <w:vMerge w:val="restart"/>
            <w:shd w:val="clear" w:color="auto" w:fill="FFFFFF" w:themeFill="background1"/>
          </w:tcPr>
          <w:p w14:paraId="0E47154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Wspieranie organizacji pozarządowych i podmiotów, o których mowa w art. 3 ust. 3 ustawy o działalności pożytku publicznego i o wolontariacie, i innych instytucji działających w obszarze edukacji osób starszych</w:t>
            </w:r>
          </w:p>
        </w:tc>
        <w:tc>
          <w:tcPr>
            <w:tcW w:w="2032" w:type="dxa"/>
            <w:vMerge w:val="restart"/>
            <w:shd w:val="clear" w:color="auto" w:fill="FFFFFF" w:themeFill="background1"/>
          </w:tcPr>
          <w:p w14:paraId="5807F56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Edukacji i Nauki, Ministerstwo Kultury i Dziedzictwa Narodowego</w:t>
            </w:r>
          </w:p>
        </w:tc>
        <w:tc>
          <w:tcPr>
            <w:tcW w:w="1500" w:type="dxa"/>
            <w:vMerge w:val="restart"/>
            <w:shd w:val="clear" w:color="auto" w:fill="FFFFFF" w:themeFill="background1"/>
          </w:tcPr>
          <w:p w14:paraId="445F05A7"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0C68B435"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wspartych organizacji sektora </w:t>
            </w:r>
            <w:r w:rsidRPr="005911C6">
              <w:rPr>
                <w:rFonts w:ascii="Lato" w:hAnsi="Lato"/>
                <w:i/>
                <w:sz w:val="18"/>
                <w:szCs w:val="18"/>
              </w:rPr>
              <w:t xml:space="preserve">organizacji pozarządowych i podmiotów, o których mowa w art.3 ust. 3 ustawy o działalności pożytku publicznego i o wolontariacie, </w:t>
            </w:r>
            <w:r w:rsidRPr="005911C6">
              <w:rPr>
                <w:rFonts w:ascii="Lato" w:eastAsia="MS Mincho" w:hAnsi="Lato"/>
                <w:i/>
                <w:sz w:val="18"/>
                <w:szCs w:val="18"/>
              </w:rPr>
              <w:t>w obszarze promowania wolontariatu osób starszych oraz wobec osób starszych i innych instytucji działających w obszarze edukacji osób starszych.</w:t>
            </w:r>
          </w:p>
        </w:tc>
      </w:tr>
      <w:tr w:rsidR="003C25C5" w:rsidRPr="005911C6" w14:paraId="2C3992AD" w14:textId="77777777" w:rsidTr="008C67C9">
        <w:trPr>
          <w:trHeight w:val="720"/>
        </w:trPr>
        <w:tc>
          <w:tcPr>
            <w:tcW w:w="1232" w:type="dxa"/>
            <w:vMerge/>
            <w:shd w:val="clear" w:color="auto" w:fill="FFFFFF" w:themeFill="background1"/>
          </w:tcPr>
          <w:p w14:paraId="5AF9CA0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BC78A7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116D11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3612AF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1BB03A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E87EC0B" w14:textId="77777777" w:rsidR="003C25C5" w:rsidRPr="005911C6" w:rsidRDefault="003C25C5" w:rsidP="005911C6">
            <w:pPr>
              <w:spacing w:after="0" w:line="240" w:lineRule="auto"/>
              <w:rPr>
                <w:rFonts w:ascii="Lato" w:hAnsi="Lato" w:cs="Times New Roman"/>
                <w:sz w:val="18"/>
                <w:szCs w:val="18"/>
              </w:rPr>
            </w:pPr>
          </w:p>
          <w:p w14:paraId="4F773BA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50FC630" w14:textId="77777777" w:rsidTr="008C67C9">
        <w:trPr>
          <w:trHeight w:val="720"/>
        </w:trPr>
        <w:tc>
          <w:tcPr>
            <w:tcW w:w="1232" w:type="dxa"/>
            <w:vMerge/>
            <w:shd w:val="clear" w:color="auto" w:fill="FFFFFF" w:themeFill="background1"/>
          </w:tcPr>
          <w:p w14:paraId="37BCB21E"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D09F65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Rozpowszechnianie informacji </w:t>
            </w:r>
            <w:r w:rsidRPr="005911C6">
              <w:rPr>
                <w:rFonts w:ascii="Lato" w:eastAsia="MS Mincho" w:hAnsi="Lato"/>
                <w:sz w:val="18"/>
                <w:szCs w:val="18"/>
              </w:rPr>
              <w:br/>
              <w:t>o możliwościach aktywności edukacyjnej osób starszych</w:t>
            </w:r>
          </w:p>
        </w:tc>
        <w:tc>
          <w:tcPr>
            <w:tcW w:w="2032" w:type="dxa"/>
            <w:vMerge w:val="restart"/>
            <w:shd w:val="clear" w:color="auto" w:fill="FFFFFF" w:themeFill="background1"/>
          </w:tcPr>
          <w:p w14:paraId="623D93A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  Ministerstwo Kultury i Dziedzictwa Narodowego</w:t>
            </w:r>
          </w:p>
        </w:tc>
        <w:tc>
          <w:tcPr>
            <w:tcW w:w="1500" w:type="dxa"/>
            <w:vMerge w:val="restart"/>
            <w:shd w:val="clear" w:color="auto" w:fill="FFFFFF" w:themeFill="background1"/>
          </w:tcPr>
          <w:p w14:paraId="6F56FC4E"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771A3FD5"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mających na celu rozpowszechnienie informacji o możliwościach aktywności edukacyjnej osób starszych.</w:t>
            </w:r>
          </w:p>
        </w:tc>
      </w:tr>
      <w:tr w:rsidR="003C25C5" w:rsidRPr="005911C6" w14:paraId="3281972A" w14:textId="77777777" w:rsidTr="008C67C9">
        <w:trPr>
          <w:trHeight w:val="720"/>
        </w:trPr>
        <w:tc>
          <w:tcPr>
            <w:tcW w:w="1232" w:type="dxa"/>
            <w:vMerge/>
            <w:shd w:val="clear" w:color="auto" w:fill="FFFFFF" w:themeFill="background1"/>
          </w:tcPr>
          <w:p w14:paraId="09330A5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6214CF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692FFB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068003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F808E27" w14:textId="77777777" w:rsidR="003C25C5"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793ACEF1" w14:textId="77777777" w:rsidR="00486664" w:rsidRPr="005911C6" w:rsidRDefault="00486664" w:rsidP="005911C6">
            <w:pPr>
              <w:spacing w:after="0" w:line="240" w:lineRule="auto"/>
              <w:rPr>
                <w:rFonts w:ascii="Lato" w:eastAsia="MS Mincho" w:hAnsi="Lato" w:cs="Times New Roman"/>
                <w:sz w:val="18"/>
                <w:szCs w:val="18"/>
              </w:rPr>
            </w:pP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nie prowadzi działań rozpowszechniających informacje o możliwościach kształcenia wybranych grup dorosłych, w tym osób starszych w ramach systemu oświaty i systemu szkolnictwa wyższego, tj. w ramach edukacji formalnej.</w:t>
            </w:r>
          </w:p>
          <w:p w14:paraId="6021E7B0"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W nawiązaniu do ww. wyjaśnień dotyczących prawnych zobowiązań w zakresie realizacji kształcenia ustawicznego w systemie oświaty upowszechnianie informacji o możliwościach kształcenia dorosłych w systemie oświaty niezależnie od wieku dotyczy wszystkich form kształcenia ustawicznego (w szkołach dla dorosłych, branżowych szkołach II stopnia, w szkołach policealnych oraz w formach pozaszkolnych).</w:t>
            </w:r>
          </w:p>
          <w:p w14:paraId="0FC239C2"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Każda uczelnia, zgodnie z ustawową autonomią, samodzielnie kształtuje ofertę edukacyjną i ją udostępnia (rozpowszechnia), np. na swojej stronie internetowej. Jedynie oferta dot. studiów jest  obligatoryjnie publikowana przez uczelnie na BIP (na stronie podmiotowej uczelni).</w:t>
            </w:r>
          </w:p>
          <w:p w14:paraId="30B53366" w14:textId="292E93C1" w:rsidR="00486664" w:rsidRPr="005911C6" w:rsidRDefault="00486664" w:rsidP="005911C6">
            <w:pPr>
              <w:spacing w:after="0" w:line="240" w:lineRule="auto"/>
              <w:rPr>
                <w:rFonts w:ascii="Lato" w:eastAsia="MS Mincho" w:hAnsi="Lato" w:cs="Times New Roman"/>
                <w:b/>
                <w:sz w:val="18"/>
                <w:szCs w:val="18"/>
              </w:rPr>
            </w:pPr>
            <w:r w:rsidRPr="005911C6">
              <w:rPr>
                <w:rFonts w:ascii="Lato" w:eastAsia="MS Mincho" w:hAnsi="Lato" w:cs="Times New Roman"/>
                <w:sz w:val="18"/>
                <w:szCs w:val="18"/>
              </w:rPr>
              <w:t xml:space="preserve">W ramach edukacji </w:t>
            </w:r>
            <w:proofErr w:type="spellStart"/>
            <w:r w:rsidRPr="005911C6">
              <w:rPr>
                <w:rFonts w:ascii="Lato" w:eastAsia="MS Mincho" w:hAnsi="Lato" w:cs="Times New Roman"/>
                <w:sz w:val="18"/>
                <w:szCs w:val="18"/>
              </w:rPr>
              <w:t>pozaformalnej</w:t>
            </w:r>
            <w:proofErr w:type="spellEnd"/>
            <w:r w:rsidRPr="005911C6">
              <w:rPr>
                <w:rFonts w:ascii="Lato" w:eastAsia="MS Mincho" w:hAnsi="Lato" w:cs="Times New Roman"/>
                <w:sz w:val="18"/>
                <w:szCs w:val="18"/>
              </w:rPr>
              <w:t xml:space="preserve"> rozpowszechnianie informacji o możliwościach aktywności edukacyjnej osób starszych prowadzone jest w ramach projektu dotyczącego rozwoju  Lokalnych Ośrodków Wiedzy i Edukacji, który został opisany wyżej w obszarze III.</w:t>
            </w:r>
          </w:p>
        </w:tc>
      </w:tr>
      <w:tr w:rsidR="003C25C5" w:rsidRPr="005911C6" w14:paraId="5431E96A" w14:textId="77777777" w:rsidTr="008C67C9">
        <w:trPr>
          <w:trHeight w:val="487"/>
        </w:trPr>
        <w:tc>
          <w:tcPr>
            <w:tcW w:w="1232" w:type="dxa"/>
            <w:vMerge/>
            <w:shd w:val="clear" w:color="auto" w:fill="FFFFFF" w:themeFill="background1"/>
          </w:tcPr>
          <w:p w14:paraId="3090E83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2289A0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kampanii społecznych promujących zawody opiekuńcze</w:t>
            </w:r>
          </w:p>
        </w:tc>
        <w:tc>
          <w:tcPr>
            <w:tcW w:w="2032" w:type="dxa"/>
            <w:vMerge w:val="restart"/>
            <w:shd w:val="clear" w:color="auto" w:fill="FFFFFF" w:themeFill="background1"/>
          </w:tcPr>
          <w:p w14:paraId="2AA9226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Rodziny i Polityki Społecznej, </w:t>
            </w:r>
            <w:r w:rsidRPr="005911C6">
              <w:rPr>
                <w:rFonts w:ascii="Lato" w:eastAsia="MS Mincho" w:hAnsi="Lato"/>
                <w:sz w:val="18"/>
                <w:szCs w:val="18"/>
              </w:rPr>
              <w:lastRenderedPageBreak/>
              <w:t>Ministerstwo Zdrowia, Ministerstwo Edukacji i Nauki</w:t>
            </w:r>
          </w:p>
          <w:p w14:paraId="3598D36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2F31366"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lastRenderedPageBreak/>
              <w:t>Działanie ciągłe</w:t>
            </w:r>
            <w:r w:rsidRPr="005911C6">
              <w:rPr>
                <w:rFonts w:ascii="Lato" w:hAnsi="Lato" w:cs="Times New Roman"/>
                <w:sz w:val="18"/>
                <w:szCs w:val="18"/>
              </w:rPr>
              <w:t>*</w:t>
            </w:r>
          </w:p>
        </w:tc>
        <w:tc>
          <w:tcPr>
            <w:tcW w:w="5638" w:type="dxa"/>
            <w:shd w:val="clear" w:color="auto" w:fill="FFFFFF" w:themeFill="background1"/>
          </w:tcPr>
          <w:p w14:paraId="023C0900"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kampanii społecznych promujących zawody opiekuńcze</w:t>
            </w:r>
          </w:p>
        </w:tc>
      </w:tr>
      <w:tr w:rsidR="003C25C5" w:rsidRPr="005911C6" w14:paraId="2FC74B69" w14:textId="77777777" w:rsidTr="008C67C9">
        <w:trPr>
          <w:trHeight w:val="720"/>
        </w:trPr>
        <w:tc>
          <w:tcPr>
            <w:tcW w:w="1232" w:type="dxa"/>
            <w:vMerge/>
            <w:shd w:val="clear" w:color="auto" w:fill="FFFFFF" w:themeFill="background1"/>
          </w:tcPr>
          <w:p w14:paraId="19D46BF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53FA9A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65BE58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E81239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B3E3C1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D93B345" w14:textId="77777777" w:rsidR="003C25C5" w:rsidRPr="005911C6" w:rsidRDefault="003C25C5" w:rsidP="005911C6">
            <w:pPr>
              <w:spacing w:after="0" w:line="240" w:lineRule="auto"/>
              <w:rPr>
                <w:rFonts w:ascii="Lato" w:hAnsi="Lato" w:cs="Times New Roman"/>
                <w:sz w:val="18"/>
                <w:szCs w:val="18"/>
              </w:rPr>
            </w:pPr>
          </w:p>
          <w:p w14:paraId="4651160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32D0A32" w14:textId="77777777" w:rsidTr="008C67C9">
        <w:trPr>
          <w:trHeight w:val="538"/>
        </w:trPr>
        <w:tc>
          <w:tcPr>
            <w:tcW w:w="1232" w:type="dxa"/>
            <w:vMerge/>
            <w:shd w:val="clear" w:color="auto" w:fill="FFFFFF" w:themeFill="background1"/>
          </w:tcPr>
          <w:p w14:paraId="0BA4C37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AEAF77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Rozwój i uzupełnienie kompetencji kadry pomocy społecznej nt. zagadnień, potrzeb i możliwości osób starszych </w:t>
            </w:r>
            <w:r w:rsidRPr="005911C6">
              <w:rPr>
                <w:rFonts w:ascii="Lato" w:eastAsia="+mn-ea" w:hAnsi="Lato"/>
                <w:sz w:val="18"/>
                <w:szCs w:val="18"/>
              </w:rPr>
              <w:t>(np. wprowadzenie specjalizacji dla pracowników socjalnych)</w:t>
            </w:r>
          </w:p>
        </w:tc>
        <w:tc>
          <w:tcPr>
            <w:tcW w:w="2032" w:type="dxa"/>
            <w:vMerge w:val="restart"/>
            <w:shd w:val="clear" w:color="auto" w:fill="FFFFFF" w:themeFill="background1"/>
          </w:tcPr>
          <w:p w14:paraId="3325085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Edukacji i Nauki</w:t>
            </w:r>
          </w:p>
        </w:tc>
        <w:tc>
          <w:tcPr>
            <w:tcW w:w="1500" w:type="dxa"/>
            <w:vMerge w:val="restart"/>
            <w:shd w:val="clear" w:color="auto" w:fill="FFFFFF" w:themeFill="background1"/>
          </w:tcPr>
          <w:p w14:paraId="2EBCF513"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2212B81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osób, które ukończą specjalizację z zakresu pracy socjalnej z osobami starszymi</w:t>
            </w:r>
          </w:p>
        </w:tc>
      </w:tr>
      <w:tr w:rsidR="003C25C5" w:rsidRPr="005911C6" w14:paraId="4FB5A5EA" w14:textId="77777777" w:rsidTr="008C67C9">
        <w:trPr>
          <w:trHeight w:val="720"/>
        </w:trPr>
        <w:tc>
          <w:tcPr>
            <w:tcW w:w="1232" w:type="dxa"/>
            <w:vMerge/>
            <w:shd w:val="clear" w:color="auto" w:fill="FFFFFF" w:themeFill="background1"/>
          </w:tcPr>
          <w:p w14:paraId="31ECF0B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9DB5A1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F1B4A3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4FB0C7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3BB88CA" w14:textId="77777777" w:rsidR="003C25C5"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Edukacji i Nauki</w:t>
            </w:r>
          </w:p>
          <w:p w14:paraId="27930F10" w14:textId="086F4D9B" w:rsidR="00486664" w:rsidRPr="005911C6" w:rsidRDefault="00486664" w:rsidP="005911C6">
            <w:pPr>
              <w:spacing w:after="0" w:line="240" w:lineRule="auto"/>
              <w:rPr>
                <w:rFonts w:ascii="Lato" w:eastAsia="MS Mincho" w:hAnsi="Lato" w:cs="Times New Roman"/>
                <w:b/>
                <w:sz w:val="18"/>
                <w:szCs w:val="18"/>
              </w:rPr>
            </w:pPr>
            <w:r w:rsidRPr="005911C6">
              <w:rPr>
                <w:rFonts w:ascii="Lato" w:eastAsia="MS Mincho" w:hAnsi="Lato" w:cs="Times New Roman"/>
                <w:sz w:val="18"/>
                <w:szCs w:val="18"/>
              </w:rPr>
              <w:t xml:space="preserve">Rozwój dostępności do ofert kształcenia umożliwiających uzupełnianie pracowników w zawodach deficytowych (medycznych i opiekuńczych) w odpowiedzi na potrzeby otoczenia społeczno-gospodarczego w regionach. Dostosowywanie dydaktyki w zakresie kształcenia na kierunkach studiów o profilu praktycznym w ramach przedsięwzięcia </w:t>
            </w:r>
            <w:proofErr w:type="spellStart"/>
            <w:r w:rsidRPr="005911C6">
              <w:rPr>
                <w:rFonts w:ascii="Lato" w:eastAsia="MS Mincho" w:hAnsi="Lato" w:cs="Times New Roman"/>
                <w:sz w:val="18"/>
                <w:szCs w:val="18"/>
              </w:rPr>
              <w:t>MEiN</w:t>
            </w:r>
            <w:proofErr w:type="spellEnd"/>
            <w:r w:rsidRPr="005911C6">
              <w:rPr>
                <w:rFonts w:ascii="Lato" w:eastAsia="MS Mincho" w:hAnsi="Lato" w:cs="Times New Roman"/>
                <w:sz w:val="18"/>
                <w:szCs w:val="18"/>
              </w:rPr>
              <w:t xml:space="preserve"> pn. Dydaktycznej inicjatywy przedsiębiorczości. Uczelnie wyłonione do realizacji przedsięwzięcia otrzymują dofinansowanie swoich działań projakościowych pobudzających rozwój kierunków kształcenia praktycznego dostarczającego kwalifikacji wyższych zawodowych poszukiwanych na rynku pracy.</w:t>
            </w:r>
          </w:p>
        </w:tc>
      </w:tr>
      <w:tr w:rsidR="003C25C5" w:rsidRPr="005911C6" w14:paraId="3010892E" w14:textId="77777777" w:rsidTr="008C67C9">
        <w:trPr>
          <w:trHeight w:val="532"/>
        </w:trPr>
        <w:tc>
          <w:tcPr>
            <w:tcW w:w="1232" w:type="dxa"/>
            <w:vMerge/>
            <w:shd w:val="clear" w:color="auto" w:fill="FFFFFF" w:themeFill="background1"/>
          </w:tcPr>
          <w:p w14:paraId="06AAD854"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339CB9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Poszerzenie oferty edukacyjnej </w:t>
            </w:r>
            <w:r w:rsidRPr="005911C6">
              <w:rPr>
                <w:rFonts w:ascii="Lato" w:eastAsia="MS Mincho" w:hAnsi="Lato"/>
                <w:sz w:val="18"/>
                <w:szCs w:val="18"/>
              </w:rPr>
              <w:br/>
              <w:t>dla rozwoju nowych kierunków studiów i innych form kształcenia dedykowanych osobom starszym (np. z gerontologii społecznej lub opiekuńczej)</w:t>
            </w:r>
          </w:p>
          <w:p w14:paraId="3B43EE64" w14:textId="77777777" w:rsidR="003C25C5" w:rsidRPr="005911C6" w:rsidRDefault="003C25C5" w:rsidP="005911C6">
            <w:pPr>
              <w:pStyle w:val="Kolorowalistaakcent11"/>
              <w:spacing w:after="0" w:line="240" w:lineRule="auto"/>
              <w:ind w:left="360"/>
              <w:rPr>
                <w:rFonts w:ascii="Lato" w:eastAsia="MS Mincho" w:hAnsi="Lato"/>
                <w:sz w:val="18"/>
                <w:szCs w:val="18"/>
              </w:rPr>
            </w:pPr>
          </w:p>
        </w:tc>
        <w:tc>
          <w:tcPr>
            <w:tcW w:w="2032" w:type="dxa"/>
            <w:vMerge w:val="restart"/>
            <w:shd w:val="clear" w:color="auto" w:fill="FFFFFF" w:themeFill="background1"/>
          </w:tcPr>
          <w:p w14:paraId="381D554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585E8F84"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3EB4904C"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nowych kierunków studiów i innych form kształcenia dedykowanych osobom starszym</w:t>
            </w:r>
          </w:p>
        </w:tc>
      </w:tr>
      <w:tr w:rsidR="003C25C5" w:rsidRPr="005911C6" w14:paraId="53B137AD" w14:textId="77777777" w:rsidTr="008C67C9">
        <w:trPr>
          <w:trHeight w:val="720"/>
        </w:trPr>
        <w:tc>
          <w:tcPr>
            <w:tcW w:w="1232" w:type="dxa"/>
            <w:vMerge/>
            <w:shd w:val="clear" w:color="auto" w:fill="FFFFFF" w:themeFill="background1"/>
          </w:tcPr>
          <w:p w14:paraId="056B6DD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560EF6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2CCFB4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CD11A8D"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CF476F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9843F6B" w14:textId="77777777" w:rsidR="003C25C5" w:rsidRPr="005911C6" w:rsidRDefault="003C25C5" w:rsidP="005911C6">
            <w:pPr>
              <w:spacing w:after="0" w:line="240" w:lineRule="auto"/>
              <w:rPr>
                <w:rFonts w:ascii="Lato" w:hAnsi="Lato" w:cs="Times New Roman"/>
                <w:sz w:val="18"/>
                <w:szCs w:val="18"/>
              </w:rPr>
            </w:pPr>
          </w:p>
          <w:p w14:paraId="3181980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B3E843F" w14:textId="77777777" w:rsidTr="008C67C9">
        <w:trPr>
          <w:trHeight w:val="720"/>
        </w:trPr>
        <w:tc>
          <w:tcPr>
            <w:tcW w:w="1232" w:type="dxa"/>
            <w:vMerge/>
            <w:shd w:val="clear" w:color="auto" w:fill="FFFFFF" w:themeFill="background1"/>
          </w:tcPr>
          <w:p w14:paraId="50B1D57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1572C7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kształcenia ustawicznego poprzez doradztwo edukacyjne</w:t>
            </w:r>
          </w:p>
        </w:tc>
        <w:tc>
          <w:tcPr>
            <w:tcW w:w="2032" w:type="dxa"/>
            <w:vMerge w:val="restart"/>
            <w:shd w:val="clear" w:color="auto" w:fill="FFFFFF" w:themeFill="background1"/>
          </w:tcPr>
          <w:p w14:paraId="1851C33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w:t>
            </w:r>
          </w:p>
        </w:tc>
        <w:tc>
          <w:tcPr>
            <w:tcW w:w="1500" w:type="dxa"/>
            <w:vMerge w:val="restart"/>
            <w:shd w:val="clear" w:color="auto" w:fill="FFFFFF" w:themeFill="background1"/>
          </w:tcPr>
          <w:p w14:paraId="13BA3992"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6A3F58CC"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mających na celu wspieranie kształcenia ustawicznego poprzez doradztwo edukacyjne</w:t>
            </w:r>
          </w:p>
        </w:tc>
      </w:tr>
      <w:tr w:rsidR="003C25C5" w:rsidRPr="005911C6" w14:paraId="6C1CEB42" w14:textId="77777777" w:rsidTr="008C67C9">
        <w:trPr>
          <w:trHeight w:val="386"/>
        </w:trPr>
        <w:tc>
          <w:tcPr>
            <w:tcW w:w="1232" w:type="dxa"/>
            <w:vMerge/>
            <w:shd w:val="clear" w:color="auto" w:fill="FFFFFF" w:themeFill="background1"/>
          </w:tcPr>
          <w:p w14:paraId="48641B3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374B48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F3F0EB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125451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900F0B4" w14:textId="77777777" w:rsidR="00486664" w:rsidRPr="005911C6" w:rsidRDefault="00486664"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 xml:space="preserve">Ministerstwo Edukacji i Nauki </w:t>
            </w:r>
          </w:p>
          <w:p w14:paraId="7BE2FAB5" w14:textId="77777777" w:rsidR="00486664" w:rsidRPr="005911C6" w:rsidRDefault="00486664" w:rsidP="005911C6">
            <w:pPr>
              <w:spacing w:after="0" w:line="240" w:lineRule="auto"/>
              <w:rPr>
                <w:rFonts w:ascii="Lato" w:eastAsia="MS Mincho" w:hAnsi="Lato" w:cs="Times New Roman"/>
                <w:sz w:val="18"/>
                <w:szCs w:val="18"/>
              </w:rPr>
            </w:pPr>
            <w:r w:rsidRPr="005911C6">
              <w:rPr>
                <w:rFonts w:ascii="Lato" w:hAnsi="Lato" w:cs="Times New Roman"/>
                <w:sz w:val="18"/>
                <w:szCs w:val="18"/>
              </w:rPr>
              <w:t xml:space="preserve">W nawiązaniu do wkładów z poprzednich lat w tym zakresie, informujemy, że w ramach drugiej edycji konkursu „Przygotowanie i udostępnienie multimedialnych zasobów wspierających proces doradztwa” opracowywane są materiały multimedialne do doradztwa zawodowego dla różnych grup wiekowych, przedstawiające kompleksową informację </w:t>
            </w:r>
            <w:proofErr w:type="spellStart"/>
            <w:r w:rsidRPr="005911C6">
              <w:rPr>
                <w:rFonts w:ascii="Lato" w:hAnsi="Lato" w:cs="Times New Roman"/>
                <w:sz w:val="18"/>
                <w:szCs w:val="18"/>
              </w:rPr>
              <w:t>zawodoznawczą</w:t>
            </w:r>
            <w:proofErr w:type="spellEnd"/>
            <w:r w:rsidRPr="005911C6">
              <w:rPr>
                <w:rFonts w:ascii="Lato" w:hAnsi="Lato" w:cs="Times New Roman"/>
                <w:sz w:val="18"/>
                <w:szCs w:val="18"/>
              </w:rPr>
              <w:t xml:space="preserve">, które będą dostępne nie tylko dla specjalistów, ale również do samodzielnego wykorzystania przez uczniów, ich rodziców i inne osoby dorosłe. Wyłoniony do dofinansowania projekt zakłada przygotowanie 141 informacji </w:t>
            </w:r>
            <w:proofErr w:type="spellStart"/>
            <w:r w:rsidRPr="005911C6">
              <w:rPr>
                <w:rFonts w:ascii="Lato" w:hAnsi="Lato" w:cs="Times New Roman"/>
                <w:sz w:val="18"/>
                <w:szCs w:val="18"/>
              </w:rPr>
              <w:t>edukacyjno</w:t>
            </w:r>
            <w:proofErr w:type="spellEnd"/>
            <w:r w:rsidRPr="005911C6">
              <w:rPr>
                <w:rFonts w:ascii="Lato" w:hAnsi="Lato" w:cs="Times New Roman"/>
                <w:sz w:val="18"/>
                <w:szCs w:val="18"/>
              </w:rPr>
              <w:t xml:space="preserve"> – zawodowych dla dzieci, młodzieży i dorosłych. </w:t>
            </w:r>
          </w:p>
          <w:p w14:paraId="15FC7266" w14:textId="754004C4" w:rsidR="00486664" w:rsidRPr="005911C6" w:rsidRDefault="00486664" w:rsidP="005911C6">
            <w:pPr>
              <w:spacing w:after="0" w:line="240" w:lineRule="auto"/>
              <w:rPr>
                <w:rFonts w:ascii="Lato" w:hAnsi="Lato" w:cs="Times New Roman"/>
                <w:sz w:val="18"/>
                <w:szCs w:val="18"/>
              </w:rPr>
            </w:pPr>
            <w:r w:rsidRPr="005911C6">
              <w:rPr>
                <w:rFonts w:ascii="Lato" w:hAnsi="Lato" w:cs="Times New Roman"/>
                <w:sz w:val="18"/>
                <w:szCs w:val="18"/>
              </w:rPr>
              <w:lastRenderedPageBreak/>
              <w:t xml:space="preserve">Ponadto, udostępniona została strona internetowa infozawodowe.mein.gov.pl., dostępna również jako podstrona  Zintegrowanej Platformy Edukacyjnej, stanowiąca narzędzie informatyczne wspierające doradztwo edukacyjno-zawodowe. Strona </w:t>
            </w:r>
            <w:proofErr w:type="spellStart"/>
            <w:r w:rsidRPr="005911C6">
              <w:rPr>
                <w:rFonts w:ascii="Lato" w:hAnsi="Lato" w:cs="Times New Roman"/>
                <w:sz w:val="18"/>
                <w:szCs w:val="18"/>
              </w:rPr>
              <w:t>Infozawodowe</w:t>
            </w:r>
            <w:proofErr w:type="spellEnd"/>
            <w:r w:rsidRPr="005911C6">
              <w:rPr>
                <w:rFonts w:ascii="Lato" w:hAnsi="Lato" w:cs="Times New Roman"/>
                <w:sz w:val="18"/>
                <w:szCs w:val="18"/>
              </w:rPr>
              <w:t xml:space="preserve"> oferuje dane o kierunkach kształcenia oraz doradztwie zawodowym</w:t>
            </w:r>
            <w:r w:rsidRPr="005911C6">
              <w:rPr>
                <w:rFonts w:ascii="Lato" w:hAnsi="Lato"/>
                <w:sz w:val="18"/>
                <w:szCs w:val="18"/>
              </w:rPr>
              <w:t xml:space="preserve"> </w:t>
            </w:r>
            <w:r w:rsidRPr="005911C6">
              <w:rPr>
                <w:rFonts w:ascii="Lato" w:hAnsi="Lato" w:cs="Times New Roman"/>
                <w:sz w:val="18"/>
                <w:szCs w:val="18"/>
              </w:rPr>
              <w:t xml:space="preserve">dla odbiorców z różnych grup wiekowych. Z myślą o osobach dorosłych, w tym osobach starszych, na stronie </w:t>
            </w:r>
            <w:proofErr w:type="spellStart"/>
            <w:r w:rsidRPr="005911C6">
              <w:rPr>
                <w:rFonts w:ascii="Lato" w:hAnsi="Lato" w:cs="Times New Roman"/>
                <w:sz w:val="18"/>
                <w:szCs w:val="18"/>
              </w:rPr>
              <w:t>Infozawodowe</w:t>
            </w:r>
            <w:proofErr w:type="spellEnd"/>
            <w:r w:rsidRPr="005911C6">
              <w:rPr>
                <w:rFonts w:ascii="Lato" w:hAnsi="Lato" w:cs="Times New Roman"/>
                <w:sz w:val="18"/>
                <w:szCs w:val="18"/>
              </w:rPr>
              <w:t xml:space="preserve"> dostępna jest wyszukiwarka kwalifikacyjnych kursów zawodowych, która docelowo połączona będzie z Systemem Informacji Oświatowej w celu bieżącej aktualizacji danych.</w:t>
            </w:r>
          </w:p>
          <w:p w14:paraId="3403C9F7" w14:textId="77777777" w:rsidR="00486664" w:rsidRPr="005911C6" w:rsidRDefault="00486664" w:rsidP="005911C6">
            <w:pPr>
              <w:spacing w:after="0" w:line="240" w:lineRule="auto"/>
              <w:rPr>
                <w:rFonts w:ascii="Lato" w:eastAsia="MS Mincho" w:hAnsi="Lato" w:cs="Times New Roman"/>
                <w:b/>
                <w:color w:val="2F5496" w:themeColor="accent1" w:themeShade="BF"/>
                <w:sz w:val="18"/>
                <w:szCs w:val="18"/>
              </w:rPr>
            </w:pPr>
          </w:p>
          <w:p w14:paraId="064EE8B4" w14:textId="641F0B2C" w:rsidR="003C25C5"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77575320" w14:textId="55E026E2" w:rsidR="00E37576" w:rsidRPr="005911C6" w:rsidRDefault="00E37576" w:rsidP="005911C6">
            <w:pPr>
              <w:spacing w:after="0" w:line="240" w:lineRule="auto"/>
              <w:rPr>
                <w:rFonts w:ascii="Lato" w:eastAsia="MS Mincho" w:hAnsi="Lato" w:cs="Times New Roman"/>
                <w:b/>
                <w:sz w:val="18"/>
                <w:szCs w:val="18"/>
                <w:u w:val="single"/>
              </w:rPr>
            </w:pPr>
            <w:r w:rsidRPr="005911C6">
              <w:rPr>
                <w:rFonts w:ascii="Lato" w:hAnsi="Lato" w:cs="Times New Roman"/>
                <w:sz w:val="18"/>
                <w:szCs w:val="18"/>
              </w:rPr>
              <w:t xml:space="preserve">W ramach PO WER </w:t>
            </w:r>
            <w:proofErr w:type="spellStart"/>
            <w:r w:rsidRPr="005911C6">
              <w:rPr>
                <w:rFonts w:ascii="Lato" w:hAnsi="Lato" w:cs="Times New Roman"/>
                <w:sz w:val="18"/>
                <w:szCs w:val="18"/>
              </w:rPr>
              <w:t>MEiN</w:t>
            </w:r>
            <w:proofErr w:type="spellEnd"/>
            <w:r w:rsidRPr="005911C6">
              <w:rPr>
                <w:rFonts w:ascii="Lato" w:hAnsi="Lato" w:cs="Times New Roman"/>
                <w:sz w:val="18"/>
                <w:szCs w:val="18"/>
              </w:rPr>
              <w:t xml:space="preserve"> realizował działania mające na celu rozwój doradztwa edukacyjno-zawodowego dostępnego dla wszystkich.</w:t>
            </w:r>
          </w:p>
        </w:tc>
      </w:tr>
      <w:tr w:rsidR="003C25C5" w:rsidRPr="005911C6" w14:paraId="60548C87" w14:textId="77777777" w:rsidTr="008C67C9">
        <w:trPr>
          <w:trHeight w:val="214"/>
        </w:trPr>
        <w:tc>
          <w:tcPr>
            <w:tcW w:w="1232" w:type="dxa"/>
            <w:vMerge/>
            <w:shd w:val="clear" w:color="auto" w:fill="FFFFFF" w:themeFill="background1"/>
          </w:tcPr>
          <w:p w14:paraId="2C7A2DE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63FB22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Upowszechnianie informacji związanych z edukacją nieformalną</w:t>
            </w:r>
          </w:p>
        </w:tc>
        <w:tc>
          <w:tcPr>
            <w:tcW w:w="2032" w:type="dxa"/>
            <w:vMerge w:val="restart"/>
            <w:shd w:val="clear" w:color="auto" w:fill="FFFFFF" w:themeFill="background1"/>
          </w:tcPr>
          <w:p w14:paraId="34A3A8E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Edukacji i Nauki, Komitet do spraw Pożytku Publicznego</w:t>
            </w:r>
          </w:p>
        </w:tc>
        <w:tc>
          <w:tcPr>
            <w:tcW w:w="1500" w:type="dxa"/>
            <w:vMerge w:val="restart"/>
            <w:shd w:val="clear" w:color="auto" w:fill="FFFFFF" w:themeFill="background1"/>
          </w:tcPr>
          <w:p w14:paraId="0593EBCF"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Działanie ciągłe</w:t>
            </w:r>
            <w:r w:rsidRPr="005911C6">
              <w:rPr>
                <w:rFonts w:ascii="Lato" w:hAnsi="Lato" w:cs="Times New Roman"/>
                <w:sz w:val="18"/>
                <w:szCs w:val="18"/>
              </w:rPr>
              <w:t>*</w:t>
            </w:r>
          </w:p>
        </w:tc>
        <w:tc>
          <w:tcPr>
            <w:tcW w:w="5638" w:type="dxa"/>
            <w:shd w:val="clear" w:color="auto" w:fill="FFFFFF" w:themeFill="background1"/>
          </w:tcPr>
          <w:p w14:paraId="16CA0CAA"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inicjatyw upowszechniających edukację nieformalną</w:t>
            </w:r>
          </w:p>
        </w:tc>
      </w:tr>
      <w:tr w:rsidR="003C25C5" w:rsidRPr="005911C6" w14:paraId="00D33244" w14:textId="77777777" w:rsidTr="008C67C9">
        <w:trPr>
          <w:trHeight w:val="720"/>
        </w:trPr>
        <w:tc>
          <w:tcPr>
            <w:tcW w:w="1232" w:type="dxa"/>
            <w:vMerge/>
            <w:shd w:val="clear" w:color="auto" w:fill="FFFFFF" w:themeFill="background1"/>
          </w:tcPr>
          <w:p w14:paraId="26A00EC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563CC2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09C92B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1B480E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4C2917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75235E8" w14:textId="77777777" w:rsidR="003C25C5" w:rsidRPr="005911C6" w:rsidRDefault="003C25C5" w:rsidP="005911C6">
            <w:pPr>
              <w:spacing w:after="0" w:line="240" w:lineRule="auto"/>
              <w:rPr>
                <w:rFonts w:ascii="Lato" w:hAnsi="Lato" w:cs="Times New Roman"/>
                <w:sz w:val="18"/>
                <w:szCs w:val="18"/>
              </w:rPr>
            </w:pPr>
          </w:p>
          <w:p w14:paraId="77EAABF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FBEE366" w14:textId="77777777" w:rsidTr="008C67C9">
        <w:trPr>
          <w:trHeight w:val="720"/>
        </w:trPr>
        <w:tc>
          <w:tcPr>
            <w:tcW w:w="1232" w:type="dxa"/>
            <w:vMerge/>
            <w:shd w:val="clear" w:color="auto" w:fill="FFFFFF" w:themeFill="background1"/>
          </w:tcPr>
          <w:p w14:paraId="413C1BF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A09B49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Kształtowanie lub wzmacnianie kompetencji seniorów w zakresie nowych mediów przez realizację kampanii informacyjno-edukacyjnych oraz szkoleń</w:t>
            </w:r>
          </w:p>
        </w:tc>
        <w:tc>
          <w:tcPr>
            <w:tcW w:w="2032" w:type="dxa"/>
            <w:vMerge w:val="restart"/>
            <w:shd w:val="clear" w:color="auto" w:fill="FFFFFF" w:themeFill="background1"/>
          </w:tcPr>
          <w:p w14:paraId="2161CC5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 Cyfryzacji</w:t>
            </w:r>
          </w:p>
        </w:tc>
        <w:tc>
          <w:tcPr>
            <w:tcW w:w="1500" w:type="dxa"/>
            <w:vMerge w:val="restart"/>
            <w:shd w:val="clear" w:color="auto" w:fill="FFFFFF" w:themeFill="background1"/>
          </w:tcPr>
          <w:p w14:paraId="3FE8E405"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6480796B"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przeprowadzonych kampanii informacyjno-edukacyjnych oraz liczba osób w wieku 65+, które wyniku szkoleń nabyły lub rozwinęły kompetencje cyfrowe</w:t>
            </w:r>
          </w:p>
        </w:tc>
      </w:tr>
      <w:tr w:rsidR="003C25C5" w:rsidRPr="005911C6" w14:paraId="5BF40658" w14:textId="77777777" w:rsidTr="008C67C9">
        <w:trPr>
          <w:trHeight w:val="720"/>
        </w:trPr>
        <w:tc>
          <w:tcPr>
            <w:tcW w:w="1232" w:type="dxa"/>
            <w:vMerge/>
            <w:shd w:val="clear" w:color="auto" w:fill="FFFFFF" w:themeFill="background1"/>
          </w:tcPr>
          <w:p w14:paraId="49269E9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99FCFB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2F081C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FAFE1D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97815E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EED111C" w14:textId="77777777" w:rsidR="003C25C5" w:rsidRPr="005911C6" w:rsidRDefault="003C25C5" w:rsidP="005911C6">
            <w:pPr>
              <w:spacing w:after="0" w:line="240" w:lineRule="auto"/>
              <w:rPr>
                <w:rFonts w:ascii="Lato" w:hAnsi="Lato" w:cs="Times New Roman"/>
                <w:sz w:val="18"/>
                <w:szCs w:val="18"/>
              </w:rPr>
            </w:pPr>
          </w:p>
          <w:p w14:paraId="67B6695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279770E" w14:textId="77777777" w:rsidTr="008C67C9">
        <w:trPr>
          <w:trHeight w:val="528"/>
        </w:trPr>
        <w:tc>
          <w:tcPr>
            <w:tcW w:w="1232" w:type="dxa"/>
            <w:vMerge/>
            <w:shd w:val="clear" w:color="auto" w:fill="FFFFFF" w:themeFill="background1"/>
          </w:tcPr>
          <w:p w14:paraId="3BA452B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A05C37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Rozwój </w:t>
            </w:r>
            <w:proofErr w:type="spellStart"/>
            <w:r w:rsidRPr="005911C6">
              <w:rPr>
                <w:rFonts w:ascii="Lato" w:eastAsia="MS Mincho" w:hAnsi="Lato"/>
                <w:sz w:val="18"/>
                <w:szCs w:val="18"/>
              </w:rPr>
              <w:t>gerontechnologii</w:t>
            </w:r>
            <w:proofErr w:type="spellEnd"/>
            <w:r w:rsidRPr="005911C6">
              <w:rPr>
                <w:rFonts w:ascii="Lato" w:eastAsia="MS Mincho" w:hAnsi="Lato"/>
                <w:sz w:val="18"/>
                <w:szCs w:val="18"/>
              </w:rPr>
              <w:t xml:space="preserve"> dla poprawy jakości życia</w:t>
            </w:r>
          </w:p>
        </w:tc>
        <w:tc>
          <w:tcPr>
            <w:tcW w:w="2032" w:type="dxa"/>
            <w:vMerge w:val="restart"/>
            <w:shd w:val="clear" w:color="auto" w:fill="FFFFFF" w:themeFill="background1"/>
          </w:tcPr>
          <w:p w14:paraId="3A27B02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 cyfryzacji</w:t>
            </w:r>
          </w:p>
        </w:tc>
        <w:tc>
          <w:tcPr>
            <w:tcW w:w="1500" w:type="dxa"/>
            <w:vMerge w:val="restart"/>
            <w:shd w:val="clear" w:color="auto" w:fill="FFFFFF" w:themeFill="background1"/>
          </w:tcPr>
          <w:p w14:paraId="1F9D8370"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78C82D2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zrealizowanych inicjatyw mających na celu rozwój </w:t>
            </w:r>
            <w:proofErr w:type="spellStart"/>
            <w:r w:rsidRPr="005911C6">
              <w:rPr>
                <w:rFonts w:ascii="Lato" w:eastAsia="MS Mincho" w:hAnsi="Lato"/>
                <w:i/>
                <w:sz w:val="18"/>
                <w:szCs w:val="18"/>
              </w:rPr>
              <w:t>gerontechnologii</w:t>
            </w:r>
            <w:proofErr w:type="spellEnd"/>
            <w:r w:rsidRPr="005911C6">
              <w:rPr>
                <w:rFonts w:ascii="Lato" w:eastAsia="MS Mincho" w:hAnsi="Lato"/>
                <w:i/>
                <w:sz w:val="18"/>
                <w:szCs w:val="18"/>
              </w:rPr>
              <w:t xml:space="preserve"> dla poprawy jakości życia.</w:t>
            </w:r>
          </w:p>
        </w:tc>
      </w:tr>
      <w:tr w:rsidR="003C25C5" w:rsidRPr="005911C6" w14:paraId="53C2DFF7" w14:textId="77777777" w:rsidTr="008C67C9">
        <w:trPr>
          <w:trHeight w:val="720"/>
        </w:trPr>
        <w:tc>
          <w:tcPr>
            <w:tcW w:w="1232" w:type="dxa"/>
            <w:vMerge/>
            <w:shd w:val="clear" w:color="auto" w:fill="FFFFFF" w:themeFill="background1"/>
          </w:tcPr>
          <w:p w14:paraId="78D922F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D2001A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FEC30E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31D8B9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F82545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5E95D26" w14:textId="77777777" w:rsidR="003C25C5" w:rsidRPr="005911C6" w:rsidRDefault="003C25C5" w:rsidP="005911C6">
            <w:pPr>
              <w:spacing w:after="0" w:line="240" w:lineRule="auto"/>
              <w:rPr>
                <w:rFonts w:ascii="Lato" w:hAnsi="Lato" w:cs="Times New Roman"/>
                <w:sz w:val="18"/>
                <w:szCs w:val="18"/>
              </w:rPr>
            </w:pPr>
          </w:p>
          <w:p w14:paraId="74A75DB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6A6933A" w14:textId="77777777" w:rsidTr="008C67C9">
        <w:trPr>
          <w:trHeight w:val="490"/>
        </w:trPr>
        <w:tc>
          <w:tcPr>
            <w:tcW w:w="13996" w:type="dxa"/>
            <w:gridSpan w:val="5"/>
            <w:shd w:val="clear" w:color="auto" w:fill="8EAADB" w:themeFill="accent1" w:themeFillTint="99"/>
          </w:tcPr>
          <w:p w14:paraId="289B0E87" w14:textId="77777777" w:rsidR="00AD5F16" w:rsidRPr="005911C6" w:rsidRDefault="00AD5F16" w:rsidP="005911C6">
            <w:pPr>
              <w:spacing w:after="0" w:line="240" w:lineRule="auto"/>
              <w:jc w:val="center"/>
              <w:rPr>
                <w:rFonts w:ascii="Lato" w:eastAsia="MS Mincho" w:hAnsi="Lato" w:cs="Times New Roman"/>
                <w:sz w:val="18"/>
                <w:szCs w:val="18"/>
              </w:rPr>
            </w:pPr>
          </w:p>
          <w:p w14:paraId="28AFBAC5" w14:textId="77777777" w:rsidR="003C25C5" w:rsidRPr="005911C6" w:rsidRDefault="003C25C5" w:rsidP="005911C6">
            <w:pPr>
              <w:shd w:val="clear" w:color="auto" w:fill="8EAADB" w:themeFill="accent1" w:themeFillTint="99"/>
              <w:spacing w:after="0" w:line="240" w:lineRule="auto"/>
              <w:jc w:val="center"/>
              <w:rPr>
                <w:rFonts w:ascii="Lato" w:eastAsia="MS Mincho" w:hAnsi="Lato" w:cs="Times New Roman"/>
                <w:b/>
                <w:bCs/>
                <w:sz w:val="18"/>
                <w:szCs w:val="18"/>
              </w:rPr>
            </w:pPr>
            <w:r w:rsidRPr="005911C6">
              <w:rPr>
                <w:rFonts w:ascii="Lato" w:eastAsia="MS Mincho" w:hAnsi="Lato" w:cs="Times New Roman"/>
                <w:b/>
                <w:bCs/>
                <w:sz w:val="18"/>
                <w:szCs w:val="18"/>
              </w:rPr>
              <w:t>OBSZARY SKIEROWANE DO NIESAMODZIELNYCH OSÓB STARSZYCH I ICH OPIEKUNÓW</w:t>
            </w:r>
          </w:p>
          <w:p w14:paraId="7616E044" w14:textId="5F891321" w:rsidR="00AD5F16" w:rsidRPr="005911C6" w:rsidRDefault="00AD5F16" w:rsidP="005911C6">
            <w:pPr>
              <w:spacing w:after="0" w:line="240" w:lineRule="auto"/>
              <w:jc w:val="center"/>
              <w:rPr>
                <w:rFonts w:ascii="Lato" w:eastAsia="MS Mincho" w:hAnsi="Lato" w:cs="Times New Roman"/>
                <w:bCs/>
                <w:sz w:val="18"/>
                <w:szCs w:val="18"/>
              </w:rPr>
            </w:pPr>
          </w:p>
        </w:tc>
      </w:tr>
      <w:tr w:rsidR="003C25C5" w:rsidRPr="005911C6" w14:paraId="55611983" w14:textId="77777777" w:rsidTr="008C67C9">
        <w:trPr>
          <w:trHeight w:val="457"/>
        </w:trPr>
        <w:tc>
          <w:tcPr>
            <w:tcW w:w="1232" w:type="dxa"/>
            <w:vMerge w:val="restart"/>
            <w:shd w:val="clear" w:color="auto" w:fill="FFFFFF" w:themeFill="background1"/>
            <w:textDirection w:val="btLr"/>
          </w:tcPr>
          <w:p w14:paraId="1F6B0219" w14:textId="77777777" w:rsidR="003C25C5" w:rsidRPr="005911C6" w:rsidRDefault="003C25C5" w:rsidP="005911C6">
            <w:pPr>
              <w:pStyle w:val="Kolorowalistaakcent11"/>
              <w:spacing w:after="0" w:line="240" w:lineRule="auto"/>
              <w:ind w:left="284" w:right="113"/>
              <w:jc w:val="center"/>
              <w:rPr>
                <w:rFonts w:ascii="Lato" w:eastAsia="MS Mincho" w:hAnsi="Lato"/>
                <w:sz w:val="18"/>
                <w:szCs w:val="18"/>
              </w:rPr>
            </w:pPr>
            <w:r w:rsidRPr="005911C6">
              <w:rPr>
                <w:rFonts w:ascii="Lato" w:eastAsia="MS Mincho" w:hAnsi="Lato"/>
                <w:sz w:val="18"/>
                <w:szCs w:val="18"/>
              </w:rPr>
              <w:t>Obszar I</w:t>
            </w:r>
          </w:p>
        </w:tc>
        <w:tc>
          <w:tcPr>
            <w:tcW w:w="3594" w:type="dxa"/>
            <w:vMerge w:val="restart"/>
            <w:shd w:val="clear" w:color="auto" w:fill="FFFFFF" w:themeFill="background1"/>
          </w:tcPr>
          <w:p w14:paraId="673C2D61"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Uregulowanie prawne ryzyka niesamodzielności – uchwalenie kryteriów i stopni niesamodzielności</w:t>
            </w:r>
          </w:p>
        </w:tc>
        <w:tc>
          <w:tcPr>
            <w:tcW w:w="2032" w:type="dxa"/>
            <w:vMerge w:val="restart"/>
            <w:shd w:val="clear" w:color="auto" w:fill="FFFFFF" w:themeFill="background1"/>
          </w:tcPr>
          <w:p w14:paraId="0AA5DA3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Rodziny i Polityki Społecznej, </w:t>
            </w:r>
            <w:r w:rsidRPr="005911C6">
              <w:rPr>
                <w:rFonts w:ascii="Lato" w:eastAsia="MS Mincho" w:hAnsi="Lato"/>
                <w:sz w:val="18"/>
                <w:szCs w:val="18"/>
              </w:rPr>
              <w:lastRenderedPageBreak/>
              <w:t>Ministerstwo Zdrowia</w:t>
            </w:r>
            <w:r w:rsidRPr="005911C6">
              <w:rPr>
                <w:rFonts w:ascii="Lato" w:eastAsia="MS Mincho" w:hAnsi="Lato"/>
                <w:sz w:val="18"/>
                <w:szCs w:val="18"/>
              </w:rPr>
              <w:br/>
            </w:r>
          </w:p>
          <w:p w14:paraId="17B0A8F4" w14:textId="77777777" w:rsidR="003C25C5" w:rsidRPr="005911C6" w:rsidRDefault="003C25C5" w:rsidP="005911C6">
            <w:pPr>
              <w:spacing w:after="0" w:line="240" w:lineRule="auto"/>
              <w:rPr>
                <w:rFonts w:ascii="Lato" w:eastAsia="MS Mincho" w:hAnsi="Lato" w:cs="Times New Roman"/>
                <w:sz w:val="18"/>
                <w:szCs w:val="18"/>
              </w:rPr>
            </w:pPr>
          </w:p>
        </w:tc>
        <w:tc>
          <w:tcPr>
            <w:tcW w:w="1500" w:type="dxa"/>
            <w:vMerge w:val="restart"/>
            <w:shd w:val="clear" w:color="auto" w:fill="FFFFFF" w:themeFill="background1"/>
          </w:tcPr>
          <w:p w14:paraId="6F4E449F"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sz w:val="18"/>
                <w:szCs w:val="18"/>
              </w:rPr>
              <w:lastRenderedPageBreak/>
              <w:t>2018-2022</w:t>
            </w:r>
          </w:p>
        </w:tc>
        <w:tc>
          <w:tcPr>
            <w:tcW w:w="5638" w:type="dxa"/>
            <w:shd w:val="clear" w:color="auto" w:fill="FFFFFF" w:themeFill="background1"/>
          </w:tcPr>
          <w:p w14:paraId="28AB798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Uchwalenie aktu prawnego regulującego ryzyko niesamodzielności</w:t>
            </w:r>
          </w:p>
        </w:tc>
      </w:tr>
      <w:tr w:rsidR="003C25C5" w:rsidRPr="005911C6" w14:paraId="18ED008F" w14:textId="77777777" w:rsidTr="008C67C9">
        <w:trPr>
          <w:trHeight w:val="720"/>
        </w:trPr>
        <w:tc>
          <w:tcPr>
            <w:tcW w:w="1232" w:type="dxa"/>
            <w:vMerge/>
            <w:shd w:val="clear" w:color="auto" w:fill="FFFFFF" w:themeFill="background1"/>
          </w:tcPr>
          <w:p w14:paraId="091C93A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859381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1C8F28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50D767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086A75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8CFC6D3" w14:textId="77777777" w:rsidR="003C25C5" w:rsidRPr="005911C6" w:rsidRDefault="003C25C5" w:rsidP="005911C6">
            <w:pPr>
              <w:shd w:val="clear" w:color="auto" w:fill="FFFFFF" w:themeFill="background1"/>
              <w:spacing w:after="0" w:line="240" w:lineRule="auto"/>
              <w:rPr>
                <w:rFonts w:ascii="Lato" w:hAnsi="Lato" w:cs="Times New Roman"/>
                <w:sz w:val="18"/>
                <w:szCs w:val="18"/>
              </w:rPr>
            </w:pPr>
          </w:p>
          <w:p w14:paraId="260B41E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549EEC45" w14:textId="77777777" w:rsidTr="008C67C9">
        <w:trPr>
          <w:trHeight w:val="479"/>
        </w:trPr>
        <w:tc>
          <w:tcPr>
            <w:tcW w:w="1232" w:type="dxa"/>
            <w:vMerge/>
            <w:shd w:val="clear" w:color="auto" w:fill="FFFFFF" w:themeFill="background1"/>
          </w:tcPr>
          <w:p w14:paraId="573B312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4D9C91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Opracowanie i wdrożenie standardów usług opiekuńczych, świadczonych </w:t>
            </w:r>
            <w:r w:rsidRPr="005911C6">
              <w:rPr>
                <w:rFonts w:ascii="Lato" w:eastAsia="MS Mincho" w:hAnsi="Lato"/>
                <w:sz w:val="18"/>
                <w:szCs w:val="18"/>
              </w:rPr>
              <w:br/>
              <w:t>w środowisku lokalnym</w:t>
            </w:r>
          </w:p>
        </w:tc>
        <w:tc>
          <w:tcPr>
            <w:tcW w:w="2032" w:type="dxa"/>
            <w:vMerge w:val="restart"/>
            <w:shd w:val="clear" w:color="auto" w:fill="FFFFFF" w:themeFill="background1"/>
          </w:tcPr>
          <w:p w14:paraId="0205218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r w:rsidRPr="005911C6">
              <w:rPr>
                <w:rFonts w:ascii="Lato" w:eastAsia="MS Mincho" w:hAnsi="Lato"/>
                <w:sz w:val="18"/>
                <w:szCs w:val="18"/>
              </w:rPr>
              <w:br/>
            </w:r>
          </w:p>
        </w:tc>
        <w:tc>
          <w:tcPr>
            <w:tcW w:w="1500" w:type="dxa"/>
            <w:vMerge w:val="restart"/>
            <w:shd w:val="clear" w:color="auto" w:fill="FFFFFF" w:themeFill="background1"/>
          </w:tcPr>
          <w:p w14:paraId="19E2D55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2E1E1F2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opracowanych i wdrożonych standardów usług opiekuńczych świadczonych w środowisku lokalnym</w:t>
            </w:r>
          </w:p>
        </w:tc>
      </w:tr>
      <w:tr w:rsidR="003C25C5" w:rsidRPr="005911C6" w14:paraId="2DBBCA2A" w14:textId="77777777" w:rsidTr="008C67C9">
        <w:trPr>
          <w:trHeight w:val="720"/>
        </w:trPr>
        <w:tc>
          <w:tcPr>
            <w:tcW w:w="1232" w:type="dxa"/>
            <w:vMerge/>
            <w:shd w:val="clear" w:color="auto" w:fill="FFFFFF" w:themeFill="background1"/>
          </w:tcPr>
          <w:p w14:paraId="6FDAF49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DE764A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10C71D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57840E4"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15E210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324E35A" w14:textId="77777777" w:rsidR="003C25C5" w:rsidRPr="005911C6" w:rsidRDefault="003C25C5" w:rsidP="005911C6">
            <w:pPr>
              <w:spacing w:after="0" w:line="240" w:lineRule="auto"/>
              <w:rPr>
                <w:rFonts w:ascii="Lato" w:hAnsi="Lato" w:cs="Times New Roman"/>
                <w:sz w:val="18"/>
                <w:szCs w:val="18"/>
              </w:rPr>
            </w:pPr>
          </w:p>
          <w:p w14:paraId="7932D25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D7072D4" w14:textId="77777777" w:rsidTr="008C67C9">
        <w:trPr>
          <w:trHeight w:val="487"/>
        </w:trPr>
        <w:tc>
          <w:tcPr>
            <w:tcW w:w="1232" w:type="dxa"/>
            <w:vMerge/>
            <w:shd w:val="clear" w:color="auto" w:fill="FFFFFF" w:themeFill="background1"/>
          </w:tcPr>
          <w:p w14:paraId="18478B9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BC313F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 xml:space="preserve">Opracowanie standardów w zakresie </w:t>
            </w:r>
            <w:proofErr w:type="spellStart"/>
            <w:r w:rsidRPr="005911C6">
              <w:rPr>
                <w:rFonts w:ascii="Lato" w:hAnsi="Lato"/>
                <w:sz w:val="18"/>
                <w:szCs w:val="18"/>
              </w:rPr>
              <w:t>teleopieki</w:t>
            </w:r>
            <w:proofErr w:type="spellEnd"/>
            <w:r w:rsidRPr="005911C6">
              <w:rPr>
                <w:rFonts w:ascii="Lato" w:hAnsi="Lato"/>
                <w:sz w:val="18"/>
                <w:szCs w:val="18"/>
              </w:rPr>
              <w:t xml:space="preserve"> i </w:t>
            </w:r>
            <w:proofErr w:type="spellStart"/>
            <w:r w:rsidRPr="005911C6">
              <w:rPr>
                <w:rFonts w:ascii="Lato" w:hAnsi="Lato"/>
                <w:sz w:val="18"/>
                <w:szCs w:val="18"/>
              </w:rPr>
              <w:t>telepomocy</w:t>
            </w:r>
            <w:proofErr w:type="spellEnd"/>
          </w:p>
        </w:tc>
        <w:tc>
          <w:tcPr>
            <w:tcW w:w="2032" w:type="dxa"/>
            <w:vMerge w:val="restart"/>
            <w:shd w:val="clear" w:color="auto" w:fill="FFFFFF" w:themeFill="background1"/>
          </w:tcPr>
          <w:p w14:paraId="55E2E5F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 Ministerstwo Rozwoju i Technologii, Minister Cyfryzacji</w:t>
            </w:r>
          </w:p>
          <w:p w14:paraId="7C9C334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0F672340" w14:textId="77777777" w:rsidR="003C25C5" w:rsidRPr="005911C6" w:rsidRDefault="003C25C5" w:rsidP="005911C6">
            <w:pPr>
              <w:spacing w:after="0" w:line="240" w:lineRule="auto"/>
              <w:rPr>
                <w:rFonts w:ascii="Lato" w:eastAsia="MS Mincho" w:hAnsi="Lato" w:cs="Times New Roman"/>
                <w:sz w:val="18"/>
                <w:szCs w:val="18"/>
              </w:rPr>
            </w:pPr>
            <w:r w:rsidRPr="005911C6">
              <w:rPr>
                <w:rFonts w:ascii="Lato" w:eastAsia="MS Mincho" w:hAnsi="Lato" w:cs="Times New Roman"/>
                <w:sz w:val="18"/>
                <w:szCs w:val="18"/>
              </w:rPr>
              <w:t>2018-2020</w:t>
            </w:r>
          </w:p>
        </w:tc>
        <w:tc>
          <w:tcPr>
            <w:tcW w:w="5638" w:type="dxa"/>
            <w:shd w:val="clear" w:color="auto" w:fill="FFFFFF" w:themeFill="background1"/>
          </w:tcPr>
          <w:p w14:paraId="02C0119D"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opracowanych i wdrożonych standardów technicznych i organizacyjnych </w:t>
            </w:r>
            <w:proofErr w:type="spellStart"/>
            <w:r w:rsidRPr="005911C6">
              <w:rPr>
                <w:rFonts w:ascii="Lato" w:eastAsia="MS Mincho" w:hAnsi="Lato" w:cs="Times New Roman"/>
                <w:i/>
                <w:sz w:val="18"/>
                <w:szCs w:val="18"/>
              </w:rPr>
              <w:t>teleopieki</w:t>
            </w:r>
            <w:proofErr w:type="spellEnd"/>
            <w:r w:rsidRPr="005911C6">
              <w:rPr>
                <w:rFonts w:ascii="Lato" w:eastAsia="MS Mincho" w:hAnsi="Lato" w:cs="Times New Roman"/>
                <w:i/>
                <w:sz w:val="18"/>
                <w:szCs w:val="18"/>
              </w:rPr>
              <w:t xml:space="preserve"> i </w:t>
            </w:r>
            <w:proofErr w:type="spellStart"/>
            <w:r w:rsidRPr="005911C6">
              <w:rPr>
                <w:rFonts w:ascii="Lato" w:eastAsia="MS Mincho" w:hAnsi="Lato" w:cs="Times New Roman"/>
                <w:i/>
                <w:sz w:val="18"/>
                <w:szCs w:val="18"/>
              </w:rPr>
              <w:t>telepomocy</w:t>
            </w:r>
            <w:proofErr w:type="spellEnd"/>
          </w:p>
        </w:tc>
      </w:tr>
      <w:tr w:rsidR="003C25C5" w:rsidRPr="005911C6" w14:paraId="63B1A39B" w14:textId="77777777" w:rsidTr="008C67C9">
        <w:trPr>
          <w:trHeight w:val="720"/>
        </w:trPr>
        <w:tc>
          <w:tcPr>
            <w:tcW w:w="1232" w:type="dxa"/>
            <w:vMerge/>
            <w:shd w:val="clear" w:color="auto" w:fill="FFFFFF" w:themeFill="background1"/>
          </w:tcPr>
          <w:p w14:paraId="7DF1EABB"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4C7163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4AC602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3F16AAC"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27AAEA4" w14:textId="77777777" w:rsidR="007031B1" w:rsidRPr="005911C6" w:rsidRDefault="007031B1"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188E207F"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Od 2020 r. Ministerstwo Zdrowia realizuje projekt </w:t>
            </w:r>
            <w:proofErr w:type="spellStart"/>
            <w:r w:rsidRPr="005911C6">
              <w:rPr>
                <w:rFonts w:ascii="Lato" w:hAnsi="Lato"/>
                <w:sz w:val="18"/>
                <w:szCs w:val="18"/>
              </w:rPr>
              <w:t>telemedyczny</w:t>
            </w:r>
            <w:proofErr w:type="spellEnd"/>
            <w:r w:rsidRPr="005911C6">
              <w:rPr>
                <w:rFonts w:ascii="Lato" w:hAnsi="Lato"/>
                <w:sz w:val="18"/>
                <w:szCs w:val="18"/>
              </w:rPr>
              <w:t xml:space="preserve">: „Ograniczanie społecznych nierówności </w:t>
            </w:r>
            <w:r w:rsidRPr="005911C6">
              <w:rPr>
                <w:rFonts w:ascii="Lato" w:hAnsi="Lato"/>
                <w:sz w:val="18"/>
                <w:szCs w:val="18"/>
              </w:rPr>
              <w:br/>
              <w:t xml:space="preserve">w zdrowiu poprzez stosowanie rozwiązań telemedycyny </w:t>
            </w:r>
            <w:r w:rsidRPr="005911C6">
              <w:rPr>
                <w:rFonts w:ascii="Lato" w:hAnsi="Lato"/>
                <w:sz w:val="18"/>
                <w:szCs w:val="18"/>
              </w:rPr>
              <w:br/>
              <w:t xml:space="preserve">i e-zdrowia”, w ramach Norweskiego Mechanizmu Finansowego 2014-2021. </w:t>
            </w:r>
          </w:p>
          <w:p w14:paraId="1F816428"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Projekt ma przyczynić się do zmniejszenia kosztów procedur medycznych, zmniejszenia obciążeń dla pacjentów oraz zwiększenia dostępności usług medycznych. Koncentruje się na wypracowaniu modeli </w:t>
            </w:r>
            <w:proofErr w:type="spellStart"/>
            <w:r w:rsidRPr="005911C6">
              <w:rPr>
                <w:rFonts w:ascii="Lato" w:hAnsi="Lato"/>
                <w:sz w:val="18"/>
                <w:szCs w:val="18"/>
              </w:rPr>
              <w:t>telemedycznych</w:t>
            </w:r>
            <w:proofErr w:type="spellEnd"/>
            <w:r w:rsidRPr="005911C6">
              <w:rPr>
                <w:rFonts w:ascii="Lato" w:hAnsi="Lato"/>
                <w:sz w:val="18"/>
                <w:szCs w:val="18"/>
              </w:rPr>
              <w:t xml:space="preserve"> w 7 obszarach: </w:t>
            </w:r>
          </w:p>
          <w:p w14:paraId="41EC18F7"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kardiologii, </w:t>
            </w:r>
          </w:p>
          <w:p w14:paraId="19868BAE"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geriatrii, </w:t>
            </w:r>
          </w:p>
          <w:p w14:paraId="59A964C8"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psychiatrii, </w:t>
            </w:r>
          </w:p>
          <w:p w14:paraId="528C2CF0"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diabetologii, </w:t>
            </w:r>
          </w:p>
          <w:p w14:paraId="66A4DCAF"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chorób przewlekłych, </w:t>
            </w:r>
          </w:p>
          <w:p w14:paraId="5DB31C2F"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położnictwa,</w:t>
            </w:r>
          </w:p>
          <w:p w14:paraId="3B4D2585"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 • opieki paliatywnej, </w:t>
            </w:r>
          </w:p>
          <w:p w14:paraId="710D5688" w14:textId="7B3AA376"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które mogłyby poszerzyć katalog procedur </w:t>
            </w:r>
            <w:proofErr w:type="spellStart"/>
            <w:r w:rsidRPr="005911C6">
              <w:rPr>
                <w:rFonts w:ascii="Lato" w:hAnsi="Lato"/>
                <w:sz w:val="18"/>
                <w:szCs w:val="18"/>
              </w:rPr>
              <w:t>telemedycznych</w:t>
            </w:r>
            <w:proofErr w:type="spellEnd"/>
            <w:r w:rsidRPr="005911C6">
              <w:rPr>
                <w:rFonts w:ascii="Lato" w:hAnsi="Lato"/>
                <w:sz w:val="18"/>
                <w:szCs w:val="18"/>
              </w:rPr>
              <w:t xml:space="preserve"> objętych publicznym finansowaniem oraz zwiększyć poziom wykorzystania potencjału telemedycyny w Polsce. </w:t>
            </w:r>
          </w:p>
          <w:p w14:paraId="501C2B30" w14:textId="27BD87EF" w:rsidR="003C25C5" w:rsidRPr="005911C6" w:rsidRDefault="007031B1" w:rsidP="005911C6">
            <w:pPr>
              <w:spacing w:after="0" w:line="240" w:lineRule="auto"/>
              <w:rPr>
                <w:rFonts w:ascii="Lato" w:eastAsia="MS Mincho" w:hAnsi="Lato" w:cs="Times New Roman"/>
                <w:b/>
                <w:sz w:val="18"/>
                <w:szCs w:val="18"/>
                <w:u w:val="single"/>
              </w:rPr>
            </w:pPr>
            <w:r w:rsidRPr="005911C6">
              <w:rPr>
                <w:rFonts w:ascii="Lato" w:hAnsi="Lato"/>
                <w:sz w:val="18"/>
                <w:szCs w:val="18"/>
              </w:rPr>
              <w:t xml:space="preserve">W pierwszym etapie projektu zespoły ekspertów polsko-norweskich opracowały wstępne modele </w:t>
            </w:r>
            <w:proofErr w:type="spellStart"/>
            <w:r w:rsidRPr="005911C6">
              <w:rPr>
                <w:rFonts w:ascii="Lato" w:hAnsi="Lato"/>
                <w:sz w:val="18"/>
                <w:szCs w:val="18"/>
              </w:rPr>
              <w:t>telemedyczne</w:t>
            </w:r>
            <w:proofErr w:type="spellEnd"/>
            <w:r w:rsidRPr="005911C6">
              <w:rPr>
                <w:rFonts w:ascii="Lato" w:hAnsi="Lato"/>
                <w:sz w:val="18"/>
                <w:szCs w:val="18"/>
              </w:rPr>
              <w:t xml:space="preserve"> w dziedzinach: kardiologia, geriatria, psychiatria, choroby przewlekłe, diabetologia i położnictwo. Następnie w lipcu 2022 r. w części konkursowej Programu „Zdrowie” wyłoniono 18 podmiotów spośród szpitali ponadregionalnych/instytutów, które przetestują proponowane w modelach rozwiązania w projektach pilotażowych. Osoby starsze są jedną z grup docelowych działań realizowanych w projekcie, </w:t>
            </w:r>
            <w:r w:rsidRPr="005911C6">
              <w:rPr>
                <w:rFonts w:ascii="Lato" w:hAnsi="Lato"/>
                <w:sz w:val="18"/>
                <w:szCs w:val="18"/>
              </w:rPr>
              <w:lastRenderedPageBreak/>
              <w:t>szczególnie w obszarze geriatrii, kardiologii, opieki paliatywnej oraz chorób przewlekłych. Realizacja projektu potrwa do kwietnia 2024 r.</w:t>
            </w:r>
          </w:p>
        </w:tc>
      </w:tr>
      <w:tr w:rsidR="003C25C5" w:rsidRPr="005911C6" w14:paraId="451BF013" w14:textId="77777777" w:rsidTr="008C67C9">
        <w:trPr>
          <w:trHeight w:val="415"/>
        </w:trPr>
        <w:tc>
          <w:tcPr>
            <w:tcW w:w="1232" w:type="dxa"/>
            <w:vMerge/>
            <w:shd w:val="clear" w:color="auto" w:fill="FFFFFF" w:themeFill="background1"/>
          </w:tcPr>
          <w:p w14:paraId="30DE62FA"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E87D95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Wdrożenie na dużą skalę standaryzowanej telemedycyny, o różnym zakresie usług, dostosowywanym do potrzeb </w:t>
            </w:r>
            <w:r w:rsidRPr="005911C6">
              <w:rPr>
                <w:rFonts w:ascii="Lato" w:eastAsia="MS Mincho" w:hAnsi="Lato"/>
                <w:sz w:val="18"/>
                <w:szCs w:val="18"/>
              </w:rPr>
              <w:br/>
              <w:t xml:space="preserve">i sprawności użytkowników, </w:t>
            </w:r>
            <w:r w:rsidRPr="005911C6">
              <w:rPr>
                <w:rFonts w:ascii="Lato" w:eastAsia="MS Mincho" w:hAnsi="Lato"/>
                <w:sz w:val="18"/>
                <w:szCs w:val="18"/>
              </w:rPr>
              <w:br/>
              <w:t xml:space="preserve">które poprawią bezpieczeństwo </w:t>
            </w:r>
            <w:r w:rsidRPr="005911C6">
              <w:rPr>
                <w:rFonts w:ascii="Lato" w:eastAsia="MS Mincho" w:hAnsi="Lato"/>
                <w:sz w:val="18"/>
                <w:szCs w:val="18"/>
              </w:rPr>
              <w:br/>
              <w:t>i jakość życia dużej liczby osób starszych</w:t>
            </w:r>
          </w:p>
        </w:tc>
        <w:tc>
          <w:tcPr>
            <w:tcW w:w="2032" w:type="dxa"/>
            <w:vMerge w:val="restart"/>
            <w:shd w:val="clear" w:color="auto" w:fill="FFFFFF" w:themeFill="background1"/>
          </w:tcPr>
          <w:p w14:paraId="1CAA24F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 Ministerstwo Rozwoju i Technologii, Minister Cyfryzacji</w:t>
            </w:r>
          </w:p>
          <w:p w14:paraId="465803D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39977A1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3328B70"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przyjętych rozwiązań z zakresu standaryzowanej </w:t>
            </w:r>
            <w:proofErr w:type="spellStart"/>
            <w:r w:rsidRPr="005911C6">
              <w:rPr>
                <w:rFonts w:ascii="Lato" w:eastAsia="MS Mincho" w:hAnsi="Lato" w:cs="Times New Roman"/>
                <w:i/>
                <w:sz w:val="18"/>
                <w:szCs w:val="18"/>
              </w:rPr>
              <w:t>teleopieki</w:t>
            </w:r>
            <w:proofErr w:type="spellEnd"/>
            <w:r w:rsidRPr="005911C6">
              <w:rPr>
                <w:rFonts w:ascii="Lato" w:eastAsia="MS Mincho" w:hAnsi="Lato" w:cs="Times New Roman"/>
                <w:i/>
                <w:sz w:val="18"/>
                <w:szCs w:val="18"/>
              </w:rPr>
              <w:t xml:space="preserve"> i </w:t>
            </w:r>
            <w:proofErr w:type="spellStart"/>
            <w:r w:rsidRPr="005911C6">
              <w:rPr>
                <w:rFonts w:ascii="Lato" w:eastAsia="MS Mincho" w:hAnsi="Lato" w:cs="Times New Roman"/>
                <w:i/>
                <w:sz w:val="18"/>
                <w:szCs w:val="18"/>
              </w:rPr>
              <w:t>telepomocy</w:t>
            </w:r>
            <w:proofErr w:type="spellEnd"/>
            <w:r w:rsidRPr="005911C6">
              <w:rPr>
                <w:rFonts w:ascii="Lato" w:eastAsia="MS Mincho" w:hAnsi="Lato" w:cs="Times New Roman"/>
                <w:i/>
                <w:sz w:val="18"/>
                <w:szCs w:val="18"/>
              </w:rPr>
              <w:t>, o różnych zakresach usług, dostosowywanych do potrzeb i sprawności użytkowników, które poprawią bezpieczeństwo i jakość życia dużej liczby osób starszych.</w:t>
            </w:r>
          </w:p>
        </w:tc>
      </w:tr>
      <w:tr w:rsidR="003C25C5" w:rsidRPr="005911C6" w14:paraId="6C56BF2D" w14:textId="77777777" w:rsidTr="008C67C9">
        <w:trPr>
          <w:trHeight w:val="720"/>
        </w:trPr>
        <w:tc>
          <w:tcPr>
            <w:tcW w:w="1232" w:type="dxa"/>
            <w:vMerge/>
            <w:shd w:val="clear" w:color="auto" w:fill="FFFFFF" w:themeFill="background1"/>
          </w:tcPr>
          <w:p w14:paraId="5BD5DF1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6DBA20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2E40DB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1EEBBD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E7AB5A8" w14:textId="77777777" w:rsidR="007031B1" w:rsidRPr="005911C6" w:rsidRDefault="007031B1"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03A43F01" w14:textId="73C22DA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Program pilotażowy w zakresie elektronicznej rejestracji centralnej na wybrane świadczenia opieki zdrowotnej z zakresu ambulatoryjnej opieki specjalistycznej (wdrożony rozporządzeniem Ministra Zdrowia z dnia 7 czerwca 2022 r. </w:t>
            </w:r>
            <w:r w:rsidRPr="005911C6">
              <w:rPr>
                <w:rFonts w:ascii="Lato" w:hAnsi="Lato"/>
                <w:sz w:val="18"/>
                <w:szCs w:val="18"/>
              </w:rPr>
              <w:br/>
              <w:t xml:space="preserve">w sprawie programu pilotażowego w zakresie elektronicznej rejestracji centralnej na wybrane świadczenia opieki zdrowotnej z zakresu ambulatoryjnej opieki specjalistycznej (Dz. U. poz. 1207, z </w:t>
            </w:r>
            <w:proofErr w:type="spellStart"/>
            <w:r w:rsidRPr="005911C6">
              <w:rPr>
                <w:rFonts w:ascii="Lato" w:hAnsi="Lato"/>
                <w:sz w:val="18"/>
                <w:szCs w:val="18"/>
              </w:rPr>
              <w:t>późn</w:t>
            </w:r>
            <w:proofErr w:type="spellEnd"/>
            <w:r w:rsidRPr="005911C6">
              <w:rPr>
                <w:rFonts w:ascii="Lato" w:hAnsi="Lato"/>
                <w:sz w:val="18"/>
                <w:szCs w:val="18"/>
              </w:rPr>
              <w:t>. zm.). Celem programu pilotażowego jest ocena efektywności elektronicznej rejestracji centralnej, w tym możliwości samodzielnego wyszukiwania przez świadczeniobiorców dostępnych terminów udzielania wybranych świadczeń i dokonywania przez nich zgłoszeń. Program objął świadczenia opieki zdrowotnej z zakresów: kardiologia, rezonans magnetyczny i tomografia komputerowa.</w:t>
            </w:r>
          </w:p>
          <w:p w14:paraId="4F11B040"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Rozszerzono zakres danych Zdarzenia Medycznego przekazywanych do SIM. </w:t>
            </w:r>
          </w:p>
          <w:p w14:paraId="74A36B80" w14:textId="77777777" w:rsidR="007031B1" w:rsidRPr="005911C6" w:rsidRDefault="007031B1" w:rsidP="005911C6">
            <w:pPr>
              <w:spacing w:after="0" w:line="240" w:lineRule="auto"/>
              <w:rPr>
                <w:rFonts w:ascii="Lato" w:hAnsi="Lato"/>
                <w:sz w:val="18"/>
                <w:szCs w:val="18"/>
              </w:rPr>
            </w:pPr>
            <w:r w:rsidRPr="005911C6">
              <w:rPr>
                <w:rFonts w:ascii="Lato" w:hAnsi="Lato"/>
                <w:sz w:val="18"/>
                <w:szCs w:val="18"/>
              </w:rPr>
              <w:t xml:space="preserve">Od 1 lipca 2021 r. raportowanie Zdarzeń Medycznych oraz jest obowiązkowe. Pracownik medyczny może, na zasadach określonych w ustawie o systemie informacji w ochronie zdrowia, udostępnić dokumentację medyczną pacjenta innemu podmiotowi. </w:t>
            </w:r>
          </w:p>
          <w:p w14:paraId="64500182" w14:textId="3C600F0D" w:rsidR="003C25C5" w:rsidRPr="005911C6" w:rsidRDefault="007031B1" w:rsidP="005911C6">
            <w:pPr>
              <w:spacing w:after="0" w:line="240" w:lineRule="auto"/>
              <w:rPr>
                <w:rFonts w:ascii="Lato" w:eastAsia="MS Mincho" w:hAnsi="Lato" w:cs="Times New Roman"/>
                <w:b/>
                <w:sz w:val="18"/>
                <w:szCs w:val="18"/>
                <w:u w:val="single"/>
              </w:rPr>
            </w:pPr>
            <w:r w:rsidRPr="005911C6">
              <w:rPr>
                <w:rFonts w:ascii="Lato" w:hAnsi="Lato"/>
                <w:sz w:val="18"/>
                <w:szCs w:val="18"/>
              </w:rPr>
              <w:t xml:space="preserve">Możliwość analizy danych o Zdarzeniach Medycznych, udzielonych procedurach oraz rozpoznanych jednostkach chorobowych usprawnia dostęp do świadczeń zdrowotnych, co z kolei wpływa na skuteczność leczenia, ale także podnosi jakość procesów leczniczo – diagnostycznych. Jest to istotne zwłaszcza w grupie osób starszych z wieloma dolegliwościami o charakterze przewlekłym lub </w:t>
            </w:r>
            <w:proofErr w:type="spellStart"/>
            <w:r w:rsidRPr="005911C6">
              <w:rPr>
                <w:rFonts w:ascii="Lato" w:hAnsi="Lato"/>
                <w:sz w:val="18"/>
                <w:szCs w:val="18"/>
              </w:rPr>
              <w:t>wielochorobowością</w:t>
            </w:r>
            <w:proofErr w:type="spellEnd"/>
            <w:r w:rsidRPr="005911C6">
              <w:rPr>
                <w:rFonts w:ascii="Lato" w:hAnsi="Lato"/>
                <w:sz w:val="18"/>
                <w:szCs w:val="18"/>
              </w:rPr>
              <w:t>.</w:t>
            </w:r>
          </w:p>
        </w:tc>
      </w:tr>
      <w:tr w:rsidR="003C25C5" w:rsidRPr="005911C6" w14:paraId="5234FA07" w14:textId="77777777" w:rsidTr="008C67C9">
        <w:trPr>
          <w:trHeight w:val="720"/>
        </w:trPr>
        <w:tc>
          <w:tcPr>
            <w:tcW w:w="1232" w:type="dxa"/>
            <w:vMerge/>
            <w:shd w:val="clear" w:color="auto" w:fill="FFFFFF" w:themeFill="background1"/>
          </w:tcPr>
          <w:p w14:paraId="56F1113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92E4C2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Wdrożenie nowych instrumentów mających na celu zwiększenie dostępności do: </w:t>
            </w:r>
          </w:p>
          <w:p w14:paraId="002CB14B"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 xml:space="preserve">usług opiekuńczych </w:t>
            </w:r>
            <w:r w:rsidRPr="005911C6">
              <w:rPr>
                <w:rFonts w:ascii="Lato" w:eastAsia="MS Mincho" w:hAnsi="Lato"/>
                <w:sz w:val="18"/>
                <w:szCs w:val="18"/>
              </w:rPr>
              <w:br/>
              <w:t xml:space="preserve">i specjalistycznych usług </w:t>
            </w:r>
            <w:r w:rsidRPr="005911C6">
              <w:rPr>
                <w:rFonts w:ascii="Lato" w:eastAsia="MS Mincho" w:hAnsi="Lato"/>
                <w:sz w:val="18"/>
                <w:szCs w:val="18"/>
              </w:rPr>
              <w:lastRenderedPageBreak/>
              <w:t xml:space="preserve">opiekuńczych realizowanych </w:t>
            </w:r>
            <w:r w:rsidRPr="005911C6">
              <w:rPr>
                <w:rFonts w:ascii="Lato" w:eastAsia="MS Mincho" w:hAnsi="Lato"/>
                <w:sz w:val="18"/>
                <w:szCs w:val="18"/>
              </w:rPr>
              <w:br/>
              <w:t xml:space="preserve">przez jednostki samorządu terytorialnego; </w:t>
            </w:r>
          </w:p>
          <w:p w14:paraId="4D9A290B"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 xml:space="preserve">opieki domowej w podziale </w:t>
            </w:r>
            <w:r w:rsidRPr="005911C6">
              <w:rPr>
                <w:rFonts w:ascii="Lato" w:eastAsia="MS Mincho" w:hAnsi="Lato"/>
                <w:sz w:val="18"/>
                <w:szCs w:val="18"/>
              </w:rPr>
              <w:br/>
              <w:t xml:space="preserve">na pomoc w czynnościach domowych lub pomoc </w:t>
            </w:r>
            <w:r w:rsidRPr="005911C6">
              <w:rPr>
                <w:rFonts w:ascii="Lato" w:eastAsia="MS Mincho" w:hAnsi="Lato"/>
                <w:sz w:val="18"/>
                <w:szCs w:val="18"/>
              </w:rPr>
              <w:br/>
              <w:t>w czynnościach higieniczno-opiekuńczych;</w:t>
            </w:r>
          </w:p>
          <w:p w14:paraId="2E255793"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 xml:space="preserve">informacji o usługach </w:t>
            </w:r>
            <w:r w:rsidRPr="005911C6">
              <w:rPr>
                <w:rFonts w:ascii="Lato" w:eastAsia="MS Mincho" w:hAnsi="Lato"/>
                <w:sz w:val="18"/>
                <w:szCs w:val="18"/>
              </w:rPr>
              <w:br/>
              <w:t>i poradnictwie społecznym</w:t>
            </w:r>
          </w:p>
        </w:tc>
        <w:tc>
          <w:tcPr>
            <w:tcW w:w="2032" w:type="dxa"/>
            <w:vMerge w:val="restart"/>
            <w:shd w:val="clear" w:color="auto" w:fill="FFFFFF" w:themeFill="background1"/>
          </w:tcPr>
          <w:p w14:paraId="699D7CB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Ministerstwo Rodziny i Polityki Społecznej</w:t>
            </w:r>
            <w:r w:rsidRPr="005911C6">
              <w:rPr>
                <w:rFonts w:ascii="Lato" w:eastAsia="MS Mincho" w:hAnsi="Lato"/>
                <w:sz w:val="18"/>
                <w:szCs w:val="18"/>
              </w:rPr>
              <w:br/>
            </w:r>
          </w:p>
        </w:tc>
        <w:tc>
          <w:tcPr>
            <w:tcW w:w="1500" w:type="dxa"/>
            <w:vMerge w:val="restart"/>
            <w:shd w:val="clear" w:color="auto" w:fill="FFFFFF" w:themeFill="background1"/>
          </w:tcPr>
          <w:p w14:paraId="59C5676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51D5AE7"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wdrożonych nowych instrumentów mających na celu zwiększenie dostępności do usług opiekuńczych i specjalistycznych usług opiekuńczych, realizowanych przez jednostki samorządu terytorialnego; opieki domowej w podziale na pomoc w czynnościach domowych lub pomoc w czynnościach higieniczno-opiekuńczych; informacji o usługach i poradnictwie społecznym.</w:t>
            </w:r>
          </w:p>
        </w:tc>
      </w:tr>
      <w:tr w:rsidR="003C25C5" w:rsidRPr="005911C6" w14:paraId="4E465FA5" w14:textId="77777777" w:rsidTr="008C67C9">
        <w:trPr>
          <w:trHeight w:val="720"/>
        </w:trPr>
        <w:tc>
          <w:tcPr>
            <w:tcW w:w="1232" w:type="dxa"/>
            <w:vMerge/>
            <w:shd w:val="clear" w:color="auto" w:fill="FFFFFF" w:themeFill="background1"/>
          </w:tcPr>
          <w:p w14:paraId="5568BB8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DEF13D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7D90B3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C908E0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0A59A3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C1999E0" w14:textId="77777777" w:rsidR="003C25C5" w:rsidRPr="005911C6" w:rsidRDefault="003C25C5" w:rsidP="005911C6">
            <w:pPr>
              <w:spacing w:after="0" w:line="240" w:lineRule="auto"/>
              <w:rPr>
                <w:rFonts w:ascii="Lato" w:hAnsi="Lato" w:cs="Times New Roman"/>
                <w:sz w:val="18"/>
                <w:szCs w:val="18"/>
              </w:rPr>
            </w:pPr>
          </w:p>
          <w:p w14:paraId="2D31102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A58F388" w14:textId="77777777" w:rsidTr="008C67C9">
        <w:trPr>
          <w:trHeight w:val="720"/>
        </w:trPr>
        <w:tc>
          <w:tcPr>
            <w:tcW w:w="1232" w:type="dxa"/>
            <w:vMerge/>
            <w:shd w:val="clear" w:color="auto" w:fill="FFFFFF" w:themeFill="background1"/>
          </w:tcPr>
          <w:p w14:paraId="7CD019D9"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67CA30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Zwiększenie zakresu usług społecznych użyteczności publicznej, umożliwiających wzmocnienie samodzielności osób starszych, dostarczanych przez podmioty ekonomii społecznej</w:t>
            </w:r>
          </w:p>
        </w:tc>
        <w:tc>
          <w:tcPr>
            <w:tcW w:w="2032" w:type="dxa"/>
            <w:vMerge w:val="restart"/>
            <w:shd w:val="clear" w:color="auto" w:fill="FFFFFF" w:themeFill="background1"/>
          </w:tcPr>
          <w:p w14:paraId="06870D8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br/>
            </w:r>
          </w:p>
        </w:tc>
        <w:tc>
          <w:tcPr>
            <w:tcW w:w="1500" w:type="dxa"/>
            <w:vMerge w:val="restart"/>
            <w:shd w:val="clear" w:color="auto" w:fill="FFFFFF" w:themeFill="background1"/>
          </w:tcPr>
          <w:p w14:paraId="061DA5B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3A6A4800"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podmiotów ekonomii społecznej dostarczających usługi społeczne użyteczności publicznej umożliwiające wzmocnienie samodzielności osób starszych</w:t>
            </w:r>
          </w:p>
        </w:tc>
      </w:tr>
      <w:tr w:rsidR="003C25C5" w:rsidRPr="005911C6" w14:paraId="1907A0FF" w14:textId="77777777" w:rsidTr="008C67C9">
        <w:trPr>
          <w:trHeight w:val="720"/>
        </w:trPr>
        <w:tc>
          <w:tcPr>
            <w:tcW w:w="1232" w:type="dxa"/>
            <w:vMerge/>
            <w:shd w:val="clear" w:color="auto" w:fill="FFFFFF" w:themeFill="background1"/>
          </w:tcPr>
          <w:p w14:paraId="61835F7A"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7F2B89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59F661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F1BA0B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13C3684" w14:textId="77777777"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78786045" w14:textId="7E2CEBD4" w:rsidR="00E37576" w:rsidRPr="005911C6" w:rsidRDefault="00E37576" w:rsidP="005911C6">
            <w:pPr>
              <w:spacing w:after="0" w:line="240" w:lineRule="auto"/>
              <w:rPr>
                <w:rFonts w:ascii="Lato" w:eastAsia="Calibri" w:hAnsi="Lato" w:cs="Calibri"/>
                <w:sz w:val="18"/>
                <w:szCs w:val="18"/>
              </w:rPr>
            </w:pPr>
            <w:r w:rsidRPr="005911C6">
              <w:rPr>
                <w:rFonts w:ascii="Lato" w:eastAsia="Calibri" w:hAnsi="Lato" w:cs="Calibri"/>
                <w:sz w:val="18"/>
                <w:szCs w:val="18"/>
              </w:rPr>
              <w:t xml:space="preserve">W  ramach działania 2.9 </w:t>
            </w:r>
            <w:r w:rsidRPr="005911C6">
              <w:rPr>
                <w:rFonts w:ascii="Lato" w:eastAsia="Calibri" w:hAnsi="Lato" w:cs="Calibri"/>
                <w:i/>
                <w:iCs/>
                <w:sz w:val="18"/>
                <w:szCs w:val="18"/>
              </w:rPr>
              <w:t>Rozwój ekonomii społecznej</w:t>
            </w:r>
            <w:r w:rsidRPr="005911C6">
              <w:rPr>
                <w:rFonts w:ascii="Lato" w:eastAsia="Calibri" w:hAnsi="Lato" w:cs="Calibri"/>
                <w:sz w:val="18"/>
                <w:szCs w:val="18"/>
              </w:rPr>
              <w:t xml:space="preserve"> PO WER od 2019 r. realizowany jest projekt w typie operacji Przygotowanie i wdrożenie modeli przedsiębiorstw społecznych, m.in. o charakterze usługowym, świadczących tzw. „wiązki” usług społecznych użyteczności publicznej, kierowanych w szczególności w zindywidualizowany i kompleksowy sposób do osób niepełnosprawnych i niesamodzielnych oraz ich rodzin, w tym dla rodzin posiadających dzieci z niepełnosprawnością i realizujących zadania użyteczności publicznej w zakresie rozwoju lokalnego. W ramach projektu zostaną wypracowane i wdrożone nowe rozwiązania w postaci opracowania i wdrożenia 5 modeli przedsiębiorstw społecznych w zakresie świadczenia usług na rzecz osób zagrożonych wykluczeniem społecznych. W ramach projektu powstaną:</w:t>
            </w:r>
          </w:p>
          <w:p w14:paraId="26390F65" w14:textId="77777777" w:rsidR="00E37576" w:rsidRPr="005911C6" w:rsidRDefault="00E37576" w:rsidP="005911C6">
            <w:pPr>
              <w:pStyle w:val="Bezodstpw"/>
              <w:numPr>
                <w:ilvl w:val="0"/>
                <w:numId w:val="12"/>
              </w:numPr>
              <w:ind w:left="360"/>
              <w:rPr>
                <w:rFonts w:ascii="Lato" w:eastAsia="Calibri" w:hAnsi="Lato" w:cs="Calibri"/>
                <w:sz w:val="18"/>
                <w:szCs w:val="18"/>
              </w:rPr>
            </w:pPr>
            <w:r w:rsidRPr="005911C6">
              <w:rPr>
                <w:rFonts w:ascii="Lato" w:hAnsi="Lato"/>
                <w:sz w:val="18"/>
                <w:szCs w:val="18"/>
              </w:rPr>
              <w:t>modele przedsiębiorstw społecznych o charakterze usługowym, realizujące tzw. wiązki usług skierowane do osób z niepełnosprawnościami i osób niesamodzielnych, osób w wieku 60+ i ich rodzin.</w:t>
            </w:r>
          </w:p>
          <w:p w14:paraId="549CA8E1" w14:textId="30ED99FB" w:rsidR="003C25C5" w:rsidRPr="005911C6" w:rsidRDefault="00E37576" w:rsidP="005911C6">
            <w:pPr>
              <w:pStyle w:val="Bezodstpw"/>
              <w:numPr>
                <w:ilvl w:val="0"/>
                <w:numId w:val="12"/>
              </w:numPr>
              <w:ind w:left="360"/>
              <w:rPr>
                <w:rFonts w:ascii="Lato" w:eastAsia="Calibri" w:hAnsi="Lato" w:cs="Calibri"/>
                <w:sz w:val="18"/>
                <w:szCs w:val="18"/>
              </w:rPr>
            </w:pPr>
            <w:r w:rsidRPr="005911C6">
              <w:rPr>
                <w:rFonts w:ascii="Lato" w:hAnsi="Lato"/>
                <w:sz w:val="18"/>
                <w:szCs w:val="18"/>
              </w:rPr>
              <w:t>1 model przedsiębiorstwa społecznego realizującego zadania użyteczności publicznej w zakresie rozwoju lokalnego.</w:t>
            </w:r>
          </w:p>
        </w:tc>
      </w:tr>
      <w:tr w:rsidR="003C25C5" w:rsidRPr="005911C6" w14:paraId="450451EF" w14:textId="77777777" w:rsidTr="008C67C9">
        <w:trPr>
          <w:trHeight w:val="459"/>
        </w:trPr>
        <w:tc>
          <w:tcPr>
            <w:tcW w:w="1232" w:type="dxa"/>
            <w:vMerge/>
            <w:shd w:val="clear" w:color="auto" w:fill="FFFFFF" w:themeFill="background1"/>
          </w:tcPr>
          <w:p w14:paraId="54B827A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7D5594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rozwoju sieci wypożyczalni sprzętu pomocniczego dla niesamodzielnych osób starszych</w:t>
            </w:r>
          </w:p>
        </w:tc>
        <w:tc>
          <w:tcPr>
            <w:tcW w:w="2032" w:type="dxa"/>
            <w:vMerge w:val="restart"/>
            <w:shd w:val="clear" w:color="auto" w:fill="FFFFFF" w:themeFill="background1"/>
          </w:tcPr>
          <w:p w14:paraId="0ECDDF9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Narodowy Fundusz Zdrowia, Państwowy Fundusz Rehabilitacji Osób Niepełnosprawnych,  </w:t>
            </w:r>
            <w:r w:rsidRPr="005911C6">
              <w:rPr>
                <w:rFonts w:ascii="Lato" w:eastAsia="MS Mincho" w:hAnsi="Lato"/>
                <w:sz w:val="18"/>
                <w:szCs w:val="18"/>
              </w:rPr>
              <w:lastRenderedPageBreak/>
              <w:t>Ministerstwo Rozwoju i Technologii</w:t>
            </w:r>
          </w:p>
          <w:p w14:paraId="0B06860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1451B2C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Działanie ciągłe</w:t>
            </w:r>
            <w:r w:rsidRPr="005911C6">
              <w:rPr>
                <w:rFonts w:ascii="Lato" w:hAnsi="Lato"/>
                <w:sz w:val="18"/>
                <w:szCs w:val="18"/>
              </w:rPr>
              <w:t>*</w:t>
            </w:r>
          </w:p>
        </w:tc>
        <w:tc>
          <w:tcPr>
            <w:tcW w:w="5638" w:type="dxa"/>
            <w:shd w:val="clear" w:color="auto" w:fill="FFFFFF" w:themeFill="background1"/>
          </w:tcPr>
          <w:p w14:paraId="1D4396FE"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funkcjonujących wypożyczalni sprzętu pomocniczego dla niepełnosprawnych.</w:t>
            </w:r>
          </w:p>
        </w:tc>
      </w:tr>
      <w:tr w:rsidR="003C25C5" w:rsidRPr="005911C6" w14:paraId="1AA052B6" w14:textId="77777777" w:rsidTr="008C67C9">
        <w:trPr>
          <w:trHeight w:val="720"/>
        </w:trPr>
        <w:tc>
          <w:tcPr>
            <w:tcW w:w="1232" w:type="dxa"/>
            <w:vMerge/>
            <w:shd w:val="clear" w:color="auto" w:fill="FFFFFF" w:themeFill="background1"/>
          </w:tcPr>
          <w:p w14:paraId="51C8187D"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460450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C44302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EF7F42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53F235E" w14:textId="77777777"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37142370" w14:textId="06C92505" w:rsidR="003C25C5" w:rsidRPr="005911C6" w:rsidRDefault="00E37576" w:rsidP="005911C6">
            <w:pPr>
              <w:spacing w:after="0" w:line="240" w:lineRule="auto"/>
              <w:rPr>
                <w:rFonts w:ascii="Lato" w:eastAsia="MS Mincho" w:hAnsi="Lato" w:cs="Times New Roman"/>
                <w:b/>
                <w:sz w:val="18"/>
                <w:szCs w:val="18"/>
                <w:u w:val="single"/>
              </w:rPr>
            </w:pPr>
            <w:r w:rsidRPr="005911C6">
              <w:rPr>
                <w:rFonts w:ascii="Lato" w:eastAsia="Times New Roman" w:hAnsi="Lato" w:cs="Times New Roman"/>
                <w:sz w:val="18"/>
                <w:szCs w:val="18"/>
              </w:rPr>
              <w:t xml:space="preserve">Działania dotyczące przygotowania i tworzenia wypożyczalni sprzętu rehabilitacyjnego, pielęgnacyjnego i wspomagającego, połączonego z doradztwem w doborze sprzętu, treningami z zakresu samoobsługi </w:t>
            </w:r>
            <w:r w:rsidRPr="005911C6">
              <w:rPr>
                <w:rFonts w:ascii="Lato" w:eastAsia="Times New Roman" w:hAnsi="Lato" w:cs="Times New Roman"/>
                <w:sz w:val="18"/>
                <w:szCs w:val="18"/>
              </w:rPr>
              <w:lastRenderedPageBreak/>
              <w:t xml:space="preserve">wypożyczonego sprzętu oraz przygotowaniem warunków do opieki domowej realizowane są m.in. w projektach współfinansowanych z EFS w Regionalnych Programach Operacyjnych. </w:t>
            </w:r>
            <w:proofErr w:type="spellStart"/>
            <w:r w:rsidRPr="005911C6">
              <w:rPr>
                <w:rFonts w:ascii="Lato" w:eastAsia="Times New Roman" w:hAnsi="Lato" w:cs="Times New Roman"/>
                <w:sz w:val="18"/>
                <w:szCs w:val="18"/>
              </w:rPr>
              <w:t>MFiPR</w:t>
            </w:r>
            <w:proofErr w:type="spellEnd"/>
            <w:r w:rsidRPr="005911C6">
              <w:rPr>
                <w:rFonts w:ascii="Lato" w:eastAsia="Times New Roman" w:hAnsi="Lato" w:cs="Times New Roman"/>
                <w:sz w:val="18"/>
                <w:szCs w:val="18"/>
              </w:rPr>
              <w:t xml:space="preserve"> nie posiada szczegółowych danych dot. liczby utworzonych wypożyczalni sprzętu.</w:t>
            </w:r>
          </w:p>
        </w:tc>
      </w:tr>
      <w:tr w:rsidR="003C25C5" w:rsidRPr="005911C6" w14:paraId="38A5B67A" w14:textId="77777777" w:rsidTr="008C67C9">
        <w:trPr>
          <w:trHeight w:val="720"/>
        </w:trPr>
        <w:tc>
          <w:tcPr>
            <w:tcW w:w="1232" w:type="dxa"/>
            <w:vMerge/>
            <w:shd w:val="clear" w:color="auto" w:fill="FFFFFF" w:themeFill="background1"/>
          </w:tcPr>
          <w:p w14:paraId="1391CD7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B84DED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doradztwa w obszarze uzyskania sprzętu wspomagającego funkcjonowanie i zwiększającego samodzielność niesamodzielnych osób starszych i korzystania z niego</w:t>
            </w:r>
          </w:p>
          <w:p w14:paraId="1364F0C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val="restart"/>
            <w:shd w:val="clear" w:color="auto" w:fill="FFFFFF" w:themeFill="background1"/>
          </w:tcPr>
          <w:p w14:paraId="2276285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r w:rsidRPr="005911C6">
              <w:rPr>
                <w:rFonts w:ascii="Lato" w:eastAsia="MS Mincho" w:hAnsi="Lato"/>
                <w:sz w:val="18"/>
                <w:szCs w:val="18"/>
              </w:rPr>
              <w:br/>
              <w:t>Państwowy Fundusz Rehabilitacji Osób Niepełnosprawnych, Ministerstwo Zdrowia</w:t>
            </w:r>
          </w:p>
        </w:tc>
        <w:tc>
          <w:tcPr>
            <w:tcW w:w="1500" w:type="dxa"/>
            <w:vMerge w:val="restart"/>
            <w:shd w:val="clear" w:color="auto" w:fill="FFFFFF" w:themeFill="background1"/>
          </w:tcPr>
          <w:p w14:paraId="29F6328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64FC285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funkcjonujących punktów doradztwa w obszarze pozyskiwania i korzystania ze sprzętu wspomagającego funkcjonowanie i zwiększającego samodzielność niesamodzielnych osób starszych</w:t>
            </w:r>
          </w:p>
        </w:tc>
      </w:tr>
      <w:tr w:rsidR="003C25C5" w:rsidRPr="005911C6" w14:paraId="63F535CC" w14:textId="77777777" w:rsidTr="008C67C9">
        <w:trPr>
          <w:trHeight w:val="720"/>
        </w:trPr>
        <w:tc>
          <w:tcPr>
            <w:tcW w:w="1232" w:type="dxa"/>
            <w:vMerge/>
            <w:shd w:val="clear" w:color="auto" w:fill="FFFFFF" w:themeFill="background1"/>
          </w:tcPr>
          <w:p w14:paraId="48564AB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17D845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74A84A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0CFB0F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AC5CE3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18450C6" w14:textId="77777777" w:rsidR="003C25C5" w:rsidRPr="005911C6" w:rsidRDefault="003C25C5" w:rsidP="005911C6">
            <w:pPr>
              <w:spacing w:after="0" w:line="240" w:lineRule="auto"/>
              <w:rPr>
                <w:rFonts w:ascii="Lato" w:hAnsi="Lato" w:cs="Times New Roman"/>
                <w:sz w:val="18"/>
                <w:szCs w:val="18"/>
              </w:rPr>
            </w:pPr>
          </w:p>
          <w:p w14:paraId="1C1B721B"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3169FA5" w14:textId="77777777" w:rsidTr="008C67C9">
        <w:trPr>
          <w:trHeight w:val="720"/>
        </w:trPr>
        <w:tc>
          <w:tcPr>
            <w:tcW w:w="1232" w:type="dxa"/>
            <w:vMerge/>
            <w:shd w:val="clear" w:color="auto" w:fill="FFFFFF" w:themeFill="background1"/>
          </w:tcPr>
          <w:p w14:paraId="511DB19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B32EFE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Promowanie dobrych praktyk z zakresu funkcjonowania wypożyczalni przedmiotowego sprzętu</w:t>
            </w:r>
          </w:p>
        </w:tc>
        <w:tc>
          <w:tcPr>
            <w:tcW w:w="2032" w:type="dxa"/>
            <w:vMerge w:val="restart"/>
            <w:shd w:val="clear" w:color="auto" w:fill="FFFFFF" w:themeFill="background1"/>
          </w:tcPr>
          <w:p w14:paraId="6C2B63E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r w:rsidRPr="005911C6">
              <w:rPr>
                <w:rFonts w:ascii="Lato" w:eastAsia="MS Mincho" w:hAnsi="Lato"/>
                <w:sz w:val="18"/>
                <w:szCs w:val="18"/>
              </w:rPr>
              <w:br/>
            </w:r>
          </w:p>
          <w:p w14:paraId="57A3E0F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4FB4EE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780F03ED"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inicjatyw mających na celu promowanie dobrych praktyk z zakresu funkcjonowania wypożyczalni przedmiotowego sprzętu</w:t>
            </w:r>
          </w:p>
        </w:tc>
      </w:tr>
      <w:tr w:rsidR="003C25C5" w:rsidRPr="005911C6" w14:paraId="7E40E533" w14:textId="77777777" w:rsidTr="008C67C9">
        <w:trPr>
          <w:trHeight w:val="720"/>
        </w:trPr>
        <w:tc>
          <w:tcPr>
            <w:tcW w:w="1232" w:type="dxa"/>
            <w:vMerge/>
            <w:shd w:val="clear" w:color="auto" w:fill="FFFFFF" w:themeFill="background1"/>
          </w:tcPr>
          <w:p w14:paraId="45F7633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EA632E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8FCE1A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868990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FC4977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3F26601" w14:textId="77777777" w:rsidR="003C25C5" w:rsidRPr="005911C6" w:rsidRDefault="003C25C5" w:rsidP="005911C6">
            <w:pPr>
              <w:spacing w:after="0" w:line="240" w:lineRule="auto"/>
              <w:rPr>
                <w:rFonts w:ascii="Lato" w:hAnsi="Lato" w:cs="Times New Roman"/>
                <w:sz w:val="18"/>
                <w:szCs w:val="18"/>
              </w:rPr>
            </w:pPr>
          </w:p>
          <w:p w14:paraId="053FDE5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444E8021" w14:textId="77777777" w:rsidTr="008C67C9">
        <w:trPr>
          <w:trHeight w:val="720"/>
        </w:trPr>
        <w:tc>
          <w:tcPr>
            <w:tcW w:w="1232" w:type="dxa"/>
            <w:vMerge/>
            <w:shd w:val="clear" w:color="auto" w:fill="FFFFFF" w:themeFill="background1"/>
          </w:tcPr>
          <w:p w14:paraId="1AA5C79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4E5F13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Realizacja projektów oraz podnoszenie świadomości społecznej pomiędzy partnerami ze wszystkich sektorów w obszarze projektowania uniwersalnego</w:t>
            </w:r>
          </w:p>
        </w:tc>
        <w:tc>
          <w:tcPr>
            <w:tcW w:w="2032" w:type="dxa"/>
            <w:vMerge w:val="restart"/>
            <w:shd w:val="clear" w:color="auto" w:fill="FFFFFF" w:themeFill="background1"/>
          </w:tcPr>
          <w:p w14:paraId="6462FE1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Infrastruktury, Ministerstwo  Rozwoju i Technologii</w:t>
            </w:r>
          </w:p>
          <w:p w14:paraId="44BB1DB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596FA90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2BB4708C"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projektów mających na celu podnoszenie świadomości społecznej pomiędzy partnerami ze wszystkich sektorów w obszarze projektowania uniwersalnego</w:t>
            </w:r>
          </w:p>
        </w:tc>
      </w:tr>
      <w:tr w:rsidR="003C25C5" w:rsidRPr="005911C6" w14:paraId="2B141FBD" w14:textId="77777777" w:rsidTr="008C67C9">
        <w:trPr>
          <w:trHeight w:val="720"/>
        </w:trPr>
        <w:tc>
          <w:tcPr>
            <w:tcW w:w="1232" w:type="dxa"/>
            <w:vMerge/>
            <w:shd w:val="clear" w:color="auto" w:fill="FFFFFF" w:themeFill="background1"/>
          </w:tcPr>
          <w:p w14:paraId="1296409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938A91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DBB8EB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1F5F5854"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9032B91" w14:textId="77777777"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367D9EA7"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w 2022 r. kontynuowano projekt pn. “Ośrodek Wsparcia Architektury Dostępnej” (OWDA). Jego głównym celem jest wsparcie podmiotów publicznych w zapewnieniu   dostępności architektonicznej obiektów i ich bezpośredniego otoczenia dla osób ze szczególnymi potrzebami. Wsparcie obejmuje: profesjonalny audyt, informacje na temat rozwiązań służących zapewnieniu dostępności, indywidualne doradztwo merytoryczne. Ośrodek jest prowadzony przez Fundację Aktywnej Rehabilitacji „FAR” wraz PFRON oraz Biurem projektowym </w:t>
            </w:r>
            <w:proofErr w:type="spellStart"/>
            <w:r w:rsidRPr="005911C6">
              <w:rPr>
                <w:rFonts w:ascii="Lato" w:eastAsia="MS Mincho" w:hAnsi="Lato" w:cs="Times New Roman"/>
                <w:sz w:val="18"/>
                <w:szCs w:val="18"/>
              </w:rPr>
              <w:t>ARQiteka</w:t>
            </w:r>
            <w:proofErr w:type="spellEnd"/>
            <w:r w:rsidRPr="005911C6">
              <w:rPr>
                <w:rFonts w:ascii="Lato" w:eastAsia="MS Mincho" w:hAnsi="Lato" w:cs="Times New Roman"/>
                <w:sz w:val="18"/>
                <w:szCs w:val="18"/>
              </w:rPr>
              <w:t xml:space="preserve">. Z usług ośrodka mogą skorzystać podmioty publiczne, wskazane w art. 3 ustaw </w:t>
            </w:r>
            <w:r w:rsidRPr="005911C6">
              <w:rPr>
                <w:rFonts w:ascii="Lato" w:eastAsia="MS Mincho" w:hAnsi="Lato" w:cs="Times New Roman"/>
                <w:sz w:val="18"/>
                <w:szCs w:val="18"/>
              </w:rPr>
              <w:br/>
              <w:t xml:space="preserve">z dnia 19 lipca 2019 r. o zapewnianiu dostępności osobom ze szczególnymi potrzebami (Dz. U. z 2022 r. poz. 2240). Działania OWDA są prowadzone stacjonarnie i zdalnie. Na realizację projektu w 2022 r. wydatkowano 1,25 mln zł, dzięki czemu </w:t>
            </w:r>
            <w:r w:rsidRPr="005911C6">
              <w:rPr>
                <w:rFonts w:ascii="Lato" w:eastAsia="MS Mincho" w:hAnsi="Lato" w:cs="Times New Roman"/>
                <w:sz w:val="18"/>
                <w:szCs w:val="18"/>
              </w:rPr>
              <w:lastRenderedPageBreak/>
              <w:t>uruchomiono dwie „ścieżki wsparcia”. Łącznie do wsparcia zakwalifikowano 321 podmiotów publicznych;</w:t>
            </w:r>
          </w:p>
          <w:p w14:paraId="64C9FC47"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w ramach konkursu </w:t>
            </w:r>
            <w:proofErr w:type="spellStart"/>
            <w:r w:rsidRPr="005911C6">
              <w:rPr>
                <w:rFonts w:ascii="Lato" w:eastAsia="MS Mincho" w:hAnsi="Lato" w:cs="Times New Roman"/>
                <w:sz w:val="18"/>
                <w:szCs w:val="18"/>
              </w:rPr>
              <w:t>NCBiR</w:t>
            </w:r>
            <w:proofErr w:type="spellEnd"/>
            <w:r w:rsidRPr="005911C6">
              <w:rPr>
                <w:rFonts w:ascii="Lato" w:eastAsia="MS Mincho" w:hAnsi="Lato" w:cs="Times New Roman"/>
                <w:sz w:val="18"/>
                <w:szCs w:val="18"/>
              </w:rPr>
              <w:t xml:space="preserve"> pn. “Projektowanie uniwersalne” w 2022 r. kontynuowano realizację </w:t>
            </w:r>
            <w:r w:rsidRPr="005911C6">
              <w:rPr>
                <w:rFonts w:ascii="Lato" w:eastAsia="MS Mincho" w:hAnsi="Lato" w:cs="Times New Roman"/>
                <w:sz w:val="18"/>
                <w:szCs w:val="18"/>
              </w:rPr>
              <w:br/>
              <w:t>32 projektów, w których do programów studiów wdrażane są moduły z elementami dostępności oraz projektowania uniwersalnego uwzględniające specyfikę danego kierunku studiów.  Dotychczas ponad 7000 studentów wzięło udział w takich zajęciach oraz przeszkolono 467 pracowników kadry dydaktycznej;</w:t>
            </w:r>
          </w:p>
          <w:p w14:paraId="6EC0ED7F"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w projekcie </w:t>
            </w:r>
            <w:proofErr w:type="spellStart"/>
            <w:r w:rsidRPr="005911C6">
              <w:rPr>
                <w:rFonts w:ascii="Lato" w:eastAsia="MS Mincho" w:hAnsi="Lato" w:cs="Times New Roman"/>
                <w:sz w:val="18"/>
                <w:szCs w:val="18"/>
              </w:rPr>
              <w:t>NCBiR</w:t>
            </w:r>
            <w:proofErr w:type="spellEnd"/>
            <w:r w:rsidRPr="005911C6">
              <w:rPr>
                <w:rFonts w:ascii="Lato" w:eastAsia="MS Mincho" w:hAnsi="Lato" w:cs="Times New Roman"/>
                <w:sz w:val="18"/>
                <w:szCs w:val="18"/>
              </w:rPr>
              <w:t xml:space="preserve"> pn. "Kadra dydaktyczna dla projektowania uniwersalnego" trwa realizacja </w:t>
            </w:r>
            <w:r w:rsidRPr="005911C6">
              <w:rPr>
                <w:rFonts w:ascii="Lato" w:eastAsia="MS Mincho" w:hAnsi="Lato" w:cs="Times New Roman"/>
                <w:sz w:val="18"/>
                <w:szCs w:val="18"/>
              </w:rPr>
              <w:br/>
              <w:t>13 projektów szkoleniowych skierowanych do nauczycieli akademickich nauczających na kierunkach zarówno technicznych, jak i pedagogicznych czy artystycznych. Dotychczas zostało przeszkolonych 547 pracowników kadry dydaktycznej uczelni;</w:t>
            </w:r>
          </w:p>
          <w:p w14:paraId="1AE3EF09"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w konkursie </w:t>
            </w:r>
            <w:proofErr w:type="spellStart"/>
            <w:r w:rsidRPr="005911C6">
              <w:rPr>
                <w:rFonts w:ascii="Lato" w:eastAsia="MS Mincho" w:hAnsi="Lato" w:cs="Times New Roman"/>
                <w:sz w:val="18"/>
                <w:szCs w:val="18"/>
              </w:rPr>
              <w:t>NCBiR</w:t>
            </w:r>
            <w:proofErr w:type="spellEnd"/>
            <w:r w:rsidRPr="005911C6">
              <w:rPr>
                <w:rFonts w:ascii="Lato" w:eastAsia="MS Mincho" w:hAnsi="Lato" w:cs="Times New Roman"/>
                <w:sz w:val="18"/>
                <w:szCs w:val="18"/>
              </w:rPr>
              <w:t xml:space="preserve"> pn. “Centrum Wiedzy o Dostępności”, wyłoniono w minionych latach 4 centra, które rozpoczęły działalność. Są to: Politechnika Krakowska im. Tadeusza Kościuszki realizująca projekt w partnerstwie z Politechniką Świętokrzyską (obszar Architektura, urbanistyka i budownictwo), Uniwersytet Szczeciński (obszar: Cyfryzacja i komunikacja), Politechnika Opolska (obszar: Design i przedmioty codziennego użytku), Wojskowa Akademia Techniczna im. Jarosława Dąbrowskiego (obszar: Transport i mobilność);</w:t>
            </w:r>
          </w:p>
          <w:p w14:paraId="7CD77169"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w 2022 r. realizowane były działania szkoleniowo – doradcze w 8 projektach konkursu PARP pn. “Dostępność szansą na rozwój”. 5 projektów realizowanych jest przez Beneficjentów wyłonionych jeszcze w 2020 r., którzy realizują projekty o zasięgu regionalnym (5 makroregionów, każdy Beneficjent prowadzi działania w danym makroregionie), a 3 projekty wyłonione w 2021 r. (umowy podpisano w grudniu 2021 r.) o zasięgu ogólnopolskim. Dotychczas w ramach ww. działań przeszkolono 2500 osób z technologii asystujących/kompensacyjnych oraz zasad uniwersalnego projektowania i możliwości komercjalizacji takich rozwiązań;</w:t>
            </w:r>
          </w:p>
          <w:p w14:paraId="7ACEA608" w14:textId="77777777" w:rsidR="00E37576"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 xml:space="preserve">w 2022 r. w projekcie </w:t>
            </w:r>
            <w:proofErr w:type="spellStart"/>
            <w:r w:rsidRPr="005911C6">
              <w:rPr>
                <w:rFonts w:ascii="Lato" w:eastAsia="MS Mincho" w:hAnsi="Lato" w:cs="Times New Roman"/>
                <w:sz w:val="18"/>
                <w:szCs w:val="18"/>
              </w:rPr>
              <w:t>MFiPR</w:t>
            </w:r>
            <w:proofErr w:type="spellEnd"/>
            <w:r w:rsidRPr="005911C6">
              <w:rPr>
                <w:rFonts w:ascii="Lato" w:eastAsia="MS Mincho" w:hAnsi="Lato" w:cs="Times New Roman"/>
                <w:sz w:val="18"/>
                <w:szCs w:val="18"/>
              </w:rPr>
              <w:t xml:space="preserve"> pn. „Akademia Dostępności” kontynuowano szkolenia dla pracowników administracji publicznej wykonujących zadania związane z planowaniem przestrzennym i procesem inwestycyjno-budowlanym (kadry </w:t>
            </w:r>
            <w:r w:rsidRPr="005911C6">
              <w:rPr>
                <w:rFonts w:ascii="Lato" w:eastAsia="MS Mincho" w:hAnsi="Lato" w:cs="Times New Roman"/>
                <w:sz w:val="18"/>
                <w:szCs w:val="18"/>
              </w:rPr>
              <w:lastRenderedPageBreak/>
              <w:t>planowania przestrzennego, w tym: pracowników JST, służby konserwatorskie, architekci, pracownicy organów administracji architektoniczno-budowlanej, inżynierowie budownictwa, infrastruktury, drogownictwa). W 2022 r. przeszkolono 309 osób, a na realizację projektu wydano 364 tys. Zł;</w:t>
            </w:r>
          </w:p>
          <w:p w14:paraId="22CFBFE9" w14:textId="77777777" w:rsidR="003C25C5" w:rsidRPr="005911C6" w:rsidRDefault="00E37576" w:rsidP="005911C6">
            <w:pPr>
              <w:pStyle w:val="Akapitzlist"/>
              <w:numPr>
                <w:ilvl w:val="0"/>
                <w:numId w:val="13"/>
              </w:numPr>
              <w:spacing w:after="0" w:line="240" w:lineRule="auto"/>
              <w:ind w:left="360"/>
              <w:rPr>
                <w:rFonts w:ascii="Lato" w:eastAsia="MS Mincho" w:hAnsi="Lato" w:cs="Times New Roman"/>
                <w:b/>
                <w:color w:val="2F5496" w:themeColor="accent1" w:themeShade="BF"/>
                <w:sz w:val="18"/>
                <w:szCs w:val="18"/>
              </w:rPr>
            </w:pPr>
            <w:r w:rsidRPr="005911C6">
              <w:rPr>
                <w:rFonts w:ascii="Lato" w:eastAsia="MS Mincho" w:hAnsi="Lato" w:cs="Times New Roman"/>
                <w:sz w:val="18"/>
                <w:szCs w:val="18"/>
              </w:rPr>
              <w:t>w 2022 r. odbywały się spotkania sygnatariuszy “Partnerstwa na rzecz dostępności”, stanowiącego zobowiązanie do współpracy na rzecz realizacji założeń Programu Dostępność Plus, podczas których poruszano również tematy związane z projektowaniem uniwersalnym.</w:t>
            </w:r>
          </w:p>
          <w:p w14:paraId="1BD61A66" w14:textId="77777777" w:rsidR="00DD0036" w:rsidRPr="005911C6" w:rsidRDefault="00DD0036" w:rsidP="005911C6">
            <w:pPr>
              <w:spacing w:after="0" w:line="240" w:lineRule="auto"/>
              <w:rPr>
                <w:rFonts w:ascii="Lato" w:eastAsia="MS Mincho" w:hAnsi="Lato" w:cs="Times New Roman"/>
                <w:b/>
                <w:color w:val="2F5496" w:themeColor="accent1" w:themeShade="BF"/>
                <w:sz w:val="18"/>
                <w:szCs w:val="18"/>
              </w:rPr>
            </w:pPr>
          </w:p>
          <w:p w14:paraId="11C6BADB" w14:textId="77777777" w:rsidR="00DD0036" w:rsidRPr="005911C6" w:rsidRDefault="00DD003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Infrastruktury</w:t>
            </w:r>
          </w:p>
          <w:p w14:paraId="19D34A52" w14:textId="77777777"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 xml:space="preserve">Realizacja projektu pt. </w:t>
            </w:r>
            <w:r w:rsidRPr="005911C6">
              <w:rPr>
                <w:rFonts w:ascii="Lato" w:eastAsia="MS Mincho" w:hAnsi="Lato" w:cs="Times New Roman"/>
                <w:i/>
                <w:sz w:val="18"/>
                <w:szCs w:val="18"/>
              </w:rPr>
              <w:t xml:space="preserve">„Centrum wiedzy </w:t>
            </w:r>
            <w:r w:rsidRPr="005911C6">
              <w:rPr>
                <w:rFonts w:ascii="Lato" w:eastAsia="MS Mincho" w:hAnsi="Lato" w:cs="Times New Roman"/>
                <w:i/>
                <w:sz w:val="18"/>
                <w:szCs w:val="18"/>
              </w:rPr>
              <w:br/>
              <w:t>o dostępności do transportu i mobilności osób o szczególnych potrzebach”</w:t>
            </w:r>
            <w:r w:rsidRPr="005911C6">
              <w:rPr>
                <w:rFonts w:ascii="Lato" w:eastAsia="MS Mincho" w:hAnsi="Lato" w:cs="Times New Roman"/>
                <w:sz w:val="18"/>
                <w:szCs w:val="18"/>
              </w:rPr>
              <w:t xml:space="preserve"> w ramach Osi priorytetowej III Szkolnictwo wyższe dla gospodarki i rozwoju Programu Operacyjnego Wiedza Edukacja Rozwój 2014-2020. Liderem projektu jest Wojskowa Akademia Techniczna, partnerami zaś Uniwersytet Kardynała Stefana Wyszyńskiego i Instytut Transportu Samochodowego (ITS). W ramach projektu powstanie Centrum Wiedzy o Dostępności w ramach obszaru </w:t>
            </w:r>
            <w:r w:rsidRPr="005911C6">
              <w:rPr>
                <w:rFonts w:ascii="Lato" w:eastAsia="MS Mincho" w:hAnsi="Lato" w:cs="Times New Roman"/>
                <w:i/>
                <w:sz w:val="18"/>
                <w:szCs w:val="18"/>
              </w:rPr>
              <w:t>„Transport i mobilność”.</w:t>
            </w:r>
          </w:p>
          <w:p w14:paraId="11086A72" w14:textId="6E4EF5C9"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Od 2010 r. Centrum Bezpieczeństwa  Ruchu Drogowego w ITS nieprzerwanie prowadzi badania w zakresie mobilności i bezpieczeństwa w ruchu drogowym osób starszych. Wyniki badań są prezentowane m.in. na stronach Polskiego Obserwatorium Bezpieczeństwa Ruchu Drogowego (</w:t>
            </w:r>
            <w:hyperlink r:id="rId44" w:history="1">
              <w:r w:rsidRPr="005911C6">
                <w:rPr>
                  <w:rStyle w:val="Hipercze"/>
                  <w:rFonts w:ascii="Lato" w:eastAsia="MS Mincho" w:hAnsi="Lato" w:cs="Times New Roman"/>
                  <w:sz w:val="18"/>
                  <w:szCs w:val="18"/>
                </w:rPr>
                <w:t>www.obserwatoriumbrd.pl</w:t>
              </w:r>
            </w:hyperlink>
            <w:r w:rsidRPr="005911C6">
              <w:rPr>
                <w:rFonts w:ascii="Lato" w:eastAsia="MS Mincho" w:hAnsi="Lato" w:cs="Times New Roman"/>
                <w:sz w:val="18"/>
                <w:szCs w:val="18"/>
              </w:rPr>
              <w:t>).</w:t>
            </w:r>
          </w:p>
          <w:p w14:paraId="37CAEAE7" w14:textId="77777777"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 xml:space="preserve">Od 2015 r. Centrum Usług Motoryzacyjnych dla Osób Niepełnosprawnych w ITS prowadzi badania i konsultacje dotyczące transportu indywidualnego osób o szczególnych potrzebach w tym: osób z niepełnosprawnościami oraz osób starszych. </w:t>
            </w:r>
          </w:p>
          <w:p w14:paraId="4E6B5D19" w14:textId="77777777"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 xml:space="preserve">Opracowanie pakietu edukacyjnego dla starszych kierowców pn. KIEROWCA 50+ przeznaczonego do realizacji przez różne podmioty doszkalające kierowców w celu zapewnienia osobom starszym możliwości kierowania samochodem jak najdłużej bez stwarzania zagrożeń w ruchu drogowym lub – w razie takiej konieczności – dopomóc im w podjęciu odpowiedzialnej decyzji o ograniczeniu lub całkowitym zaprzestaniu kierowania pojazdem. </w:t>
            </w:r>
          </w:p>
          <w:p w14:paraId="44587C14" w14:textId="4D66D373"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 xml:space="preserve">Realizacja projektu pn. </w:t>
            </w:r>
            <w:r w:rsidRPr="005911C6">
              <w:rPr>
                <w:rFonts w:ascii="Lato" w:eastAsia="MS Mincho" w:hAnsi="Lato" w:cs="Times New Roman"/>
                <w:i/>
                <w:sz w:val="18"/>
                <w:szCs w:val="18"/>
              </w:rPr>
              <w:t xml:space="preserve">„Szkolenia dla pracowników sektora transportu zbiorowego w zakresie potrzeb osób o szczególnych </w:t>
            </w:r>
            <w:r w:rsidRPr="005911C6">
              <w:rPr>
                <w:rFonts w:ascii="Lato" w:eastAsia="MS Mincho" w:hAnsi="Lato" w:cs="Times New Roman"/>
                <w:i/>
                <w:sz w:val="18"/>
                <w:szCs w:val="18"/>
              </w:rPr>
              <w:lastRenderedPageBreak/>
              <w:t>potrzebach, w tym osób z niepełnosprawnościami"</w:t>
            </w:r>
            <w:r w:rsidRPr="005911C6">
              <w:rPr>
                <w:rFonts w:ascii="Lato" w:eastAsia="MS Mincho" w:hAnsi="Lato" w:cs="Times New Roman"/>
                <w:sz w:val="18"/>
                <w:szCs w:val="18"/>
              </w:rPr>
              <w:t xml:space="preserve"> w ramach Osi priorytetowej: II. Efektywne polityki publiczne dla rynku pracy, gospodarki i edukacji. Liderem projektu jest Państwowy Fundusz Rehabilitacji Osób Niepełnosprawnych, partnerami zaś Urząd Transportu Kolejowego i ITS. </w:t>
            </w:r>
          </w:p>
          <w:p w14:paraId="68B8D6E9" w14:textId="77777777"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Pracownia Psychologii Transportu i Symulatorów Jazdy w ITS realizuje działania dotyczące profilaktyki w odniesieniu do bezpiecznego uczestnictwa w ruchu drogowym osób starszych (także osób z niepełnosprawnością) tj. oferuje konsultacje psychologiczne, mające na celu pomoc w ocenie swoich umiejętności i zdolności psychicznych wykorzystywanych podczas jazdy, aby móc podejmować odpowiedzialne decyzje na drodze.</w:t>
            </w:r>
          </w:p>
          <w:p w14:paraId="08EC68B5" w14:textId="77777777" w:rsidR="00DD0036" w:rsidRPr="005911C6" w:rsidRDefault="00DD0036" w:rsidP="005911C6">
            <w:pPr>
              <w:pStyle w:val="Akapitzlist"/>
              <w:numPr>
                <w:ilvl w:val="0"/>
                <w:numId w:val="14"/>
              </w:numPr>
              <w:spacing w:after="0" w:line="240" w:lineRule="auto"/>
              <w:ind w:left="360"/>
              <w:jc w:val="both"/>
              <w:rPr>
                <w:rFonts w:ascii="Lato" w:eastAsia="MS Mincho" w:hAnsi="Lato" w:cs="Times New Roman"/>
                <w:sz w:val="18"/>
                <w:szCs w:val="18"/>
              </w:rPr>
            </w:pPr>
            <w:r w:rsidRPr="005911C6">
              <w:rPr>
                <w:rFonts w:ascii="Lato" w:eastAsia="MS Mincho" w:hAnsi="Lato" w:cs="Times New Roman"/>
                <w:sz w:val="18"/>
                <w:szCs w:val="18"/>
              </w:rPr>
              <w:t>W ramach działań prowadzonych w trybie ciągłym specjaliści z ITS w ramach wystąpień medialnych przekazują treści dotyczące uświadamiania starszych kierowców w zakresie bezpiecznego uczestnictwa w ruchu drogowym, zachęcania do kontroli swojej sprawności poprzez udział w konsultacjach psychologicznych w zakresie psychologii transportu.</w:t>
            </w:r>
          </w:p>
          <w:p w14:paraId="68D21C8F" w14:textId="77777777" w:rsidR="00877496" w:rsidRPr="005911C6" w:rsidRDefault="00877496" w:rsidP="005911C6">
            <w:pPr>
              <w:spacing w:after="0" w:line="240" w:lineRule="auto"/>
              <w:jc w:val="both"/>
              <w:rPr>
                <w:rFonts w:ascii="Lato" w:eastAsia="MS Mincho" w:hAnsi="Lato" w:cs="Times New Roman"/>
                <w:sz w:val="18"/>
                <w:szCs w:val="18"/>
              </w:rPr>
            </w:pPr>
          </w:p>
          <w:p w14:paraId="0124DCA0" w14:textId="77777777" w:rsidR="00877496" w:rsidRPr="005911C6" w:rsidRDefault="00877496" w:rsidP="005911C6">
            <w:pPr>
              <w:spacing w:after="0" w:line="240" w:lineRule="auto"/>
              <w:jc w:val="both"/>
              <w:rPr>
                <w:rFonts w:ascii="Lato" w:eastAsia="MS Mincho" w:hAnsi="Lato" w:cs="Times New Roman"/>
                <w:b/>
                <w:bCs/>
                <w:color w:val="2F5496" w:themeColor="accent1" w:themeShade="BF"/>
                <w:sz w:val="18"/>
                <w:szCs w:val="18"/>
              </w:rPr>
            </w:pPr>
            <w:r w:rsidRPr="005911C6">
              <w:rPr>
                <w:rFonts w:ascii="Lato" w:eastAsia="MS Mincho" w:hAnsi="Lato" w:cs="Times New Roman"/>
                <w:b/>
                <w:bCs/>
                <w:color w:val="2F5496" w:themeColor="accent1" w:themeShade="BF"/>
                <w:sz w:val="18"/>
                <w:szCs w:val="18"/>
              </w:rPr>
              <w:t>Ministerstwo Rozwoju i Technologii</w:t>
            </w:r>
          </w:p>
          <w:p w14:paraId="7FDB2302"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Ministerstwo Rozwoju i Technologii jest autorem publikacji pn. „Standardy dostępności budynków dla osób z niepełnosprawnościami uwzględniając koncepcję uniwersalnego projektowania – poradnik”. Celem poradnika jest wskazanie odpowiednich rozwiązań w zakresie dostosowania zarówno projektowanych, jak i istniejących budynków użyteczności publicznej, zamieszkania zbiorowego oraz mieszkalnych wielorodzinnych do zróżnicowanych potrzeb ich użytkowników, mając na uwadze zasady „projektowania uniwersalnego”. Poradnik odnosząc się do obowiązujących przepisów uwypukla i pokazuje prawidłowe rozwiązania dla newralgicznych elementów budynku i jego najbliższego otoczenia z punktu widzenia odbiorcy zmagającego się z różnymi dysfunkcjami.</w:t>
            </w:r>
          </w:p>
          <w:p w14:paraId="14DB0BB9" w14:textId="77777777"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Dodatkowo poradnik ma na celu uwrażliwienie obecnych, jak również przyszłych architektów, projektantów, inżynierów, pracowników administracji architektoniczno-budowlanej oraz wykonawców na potrzeby osób z rożnym rodzajem niepełnosprawności, co niewątpliwie będzie miało pozytywny wpływ również na inne grupy społeczne, np. osoby starsze, rodziców z małymi dziećmi, osoby z przejściowymi dysfunkcjami ruchu (np. ze załamaną nogą w gipsie).</w:t>
            </w:r>
          </w:p>
          <w:p w14:paraId="361DFB0E" w14:textId="77777777" w:rsidR="00877496" w:rsidRPr="005911C6" w:rsidRDefault="00877496" w:rsidP="005911C6">
            <w:pPr>
              <w:spacing w:after="0" w:line="240" w:lineRule="auto"/>
              <w:rPr>
                <w:rFonts w:ascii="Lato" w:eastAsia="MS Mincho" w:hAnsi="Lato" w:cs="Times New Roman"/>
                <w:bCs/>
                <w:sz w:val="18"/>
                <w:szCs w:val="18"/>
              </w:rPr>
            </w:pPr>
          </w:p>
          <w:p w14:paraId="325D85C2" w14:textId="04E090C1" w:rsidR="00877496" w:rsidRPr="005911C6" w:rsidRDefault="00877496" w:rsidP="005911C6">
            <w:pPr>
              <w:spacing w:after="0" w:line="240" w:lineRule="auto"/>
              <w:rPr>
                <w:rFonts w:ascii="Lato" w:eastAsia="MS Mincho" w:hAnsi="Lato" w:cs="Times New Roman"/>
                <w:bCs/>
                <w:sz w:val="18"/>
                <w:szCs w:val="18"/>
              </w:rPr>
            </w:pPr>
            <w:r w:rsidRPr="005911C6">
              <w:rPr>
                <w:rFonts w:ascii="Lato" w:eastAsia="MS Mincho" w:hAnsi="Lato" w:cs="Times New Roman"/>
                <w:bCs/>
                <w:sz w:val="18"/>
                <w:szCs w:val="18"/>
              </w:rPr>
              <w:t xml:space="preserve">Z treścią przedmiotowego poradnika można zapoznać się na stronie internetowej: </w:t>
            </w:r>
          </w:p>
          <w:p w14:paraId="48E13D3E" w14:textId="77777777" w:rsidR="00877496" w:rsidRPr="005911C6" w:rsidRDefault="006C160D" w:rsidP="005911C6">
            <w:pPr>
              <w:spacing w:after="0" w:line="240" w:lineRule="auto"/>
              <w:rPr>
                <w:rStyle w:val="Hipercze"/>
                <w:rFonts w:ascii="Lato" w:eastAsia="MS Mincho" w:hAnsi="Lato" w:cs="Times New Roman"/>
                <w:color w:val="auto"/>
                <w:sz w:val="18"/>
                <w:szCs w:val="18"/>
              </w:rPr>
            </w:pPr>
            <w:hyperlink r:id="rId45" w:history="1">
              <w:r w:rsidR="00877496" w:rsidRPr="005911C6">
                <w:rPr>
                  <w:rStyle w:val="Hipercze"/>
                  <w:rFonts w:ascii="Lato" w:eastAsia="MS Mincho" w:hAnsi="Lato" w:cs="Times New Roman"/>
                  <w:color w:val="auto"/>
                  <w:sz w:val="18"/>
                  <w:szCs w:val="18"/>
                </w:rPr>
                <w:t>https://budowlaneabc.gov.pl/standardy-projektowania-budynkow-dla-osob-niepelnosprawnych/</w:t>
              </w:r>
            </w:hyperlink>
          </w:p>
          <w:p w14:paraId="03F73E3B" w14:textId="77777777" w:rsidR="00877496" w:rsidRPr="005911C6" w:rsidRDefault="00877496" w:rsidP="005911C6">
            <w:pPr>
              <w:spacing w:after="0" w:line="240" w:lineRule="auto"/>
              <w:rPr>
                <w:rFonts w:ascii="Lato" w:eastAsia="MS Mincho" w:hAnsi="Lato" w:cs="Times New Roman"/>
                <w:sz w:val="18"/>
                <w:szCs w:val="18"/>
              </w:rPr>
            </w:pPr>
          </w:p>
          <w:p w14:paraId="2DA4EC90" w14:textId="37A41501" w:rsidR="00877496" w:rsidRPr="005911C6" w:rsidRDefault="00877496" w:rsidP="005911C6">
            <w:pPr>
              <w:spacing w:after="0" w:line="240" w:lineRule="auto"/>
              <w:rPr>
                <w:rFonts w:ascii="Lato" w:eastAsia="MS Mincho" w:hAnsi="Lato" w:cs="Times New Roman"/>
                <w:color w:val="0070C0"/>
                <w:sz w:val="18"/>
                <w:szCs w:val="18"/>
              </w:rPr>
            </w:pPr>
            <w:r w:rsidRPr="005911C6">
              <w:rPr>
                <w:rFonts w:ascii="Lato" w:eastAsia="MS Mincho" w:hAnsi="Lato" w:cs="Times New Roman"/>
                <w:sz w:val="18"/>
                <w:szCs w:val="18"/>
              </w:rPr>
              <w:t>Dodatkowo, w 2022 r. przedstawiciele Ministerstwa Rozwoju i Technologii brali udział w I Targach Dostępności 2022 w Opolu, podczas których udostępniane były książkowe wersje powyższego poradnika w celu promowania wiedzy na temat dostępności.</w:t>
            </w:r>
          </w:p>
        </w:tc>
      </w:tr>
      <w:tr w:rsidR="003C25C5" w:rsidRPr="005911C6" w14:paraId="69098095" w14:textId="77777777" w:rsidTr="008C67C9">
        <w:trPr>
          <w:trHeight w:val="720"/>
        </w:trPr>
        <w:tc>
          <w:tcPr>
            <w:tcW w:w="1232" w:type="dxa"/>
            <w:vMerge/>
            <w:shd w:val="clear" w:color="auto" w:fill="FFFFFF" w:themeFill="background1"/>
          </w:tcPr>
          <w:p w14:paraId="3E125DD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1A5F1B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Kształcenie terapeutów zajęciowych</w:t>
            </w:r>
          </w:p>
        </w:tc>
        <w:tc>
          <w:tcPr>
            <w:tcW w:w="2032" w:type="dxa"/>
            <w:vMerge w:val="restart"/>
            <w:shd w:val="clear" w:color="auto" w:fill="FFFFFF" w:themeFill="background1"/>
          </w:tcPr>
          <w:p w14:paraId="3635FA2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4FCB793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4BF74B1D" w14:textId="77777777" w:rsidR="003C25C5" w:rsidRPr="005911C6" w:rsidRDefault="003C25C5" w:rsidP="005911C6">
            <w:pPr>
              <w:pStyle w:val="Kolorowalistaakcent11"/>
              <w:spacing w:after="0" w:line="240" w:lineRule="auto"/>
              <w:ind w:left="0"/>
              <w:rPr>
                <w:rFonts w:ascii="Lato" w:hAnsi="Lato"/>
                <w:i/>
                <w:sz w:val="18"/>
                <w:szCs w:val="18"/>
              </w:rPr>
            </w:pPr>
            <w:r w:rsidRPr="005911C6">
              <w:rPr>
                <w:rFonts w:ascii="Lato" w:hAnsi="Lato"/>
                <w:i/>
                <w:sz w:val="18"/>
                <w:szCs w:val="18"/>
              </w:rPr>
              <w:t>Procent pozytywnie zaopiniowanych wniosków szkół niepublicznych ubiegających się o uprawnienia szkoły publicznej</w:t>
            </w:r>
          </w:p>
        </w:tc>
      </w:tr>
      <w:tr w:rsidR="003C25C5" w:rsidRPr="005911C6" w14:paraId="50AE4AC2" w14:textId="77777777" w:rsidTr="008C67C9">
        <w:trPr>
          <w:trHeight w:val="720"/>
        </w:trPr>
        <w:tc>
          <w:tcPr>
            <w:tcW w:w="1232" w:type="dxa"/>
            <w:vMerge/>
            <w:shd w:val="clear" w:color="auto" w:fill="FFFFFF" w:themeFill="background1"/>
          </w:tcPr>
          <w:p w14:paraId="2C96C74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F68690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3930BA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B3245F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2B378E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A3179FA" w14:textId="77777777" w:rsidR="003C25C5" w:rsidRPr="005911C6" w:rsidRDefault="003C25C5" w:rsidP="005911C6">
            <w:pPr>
              <w:spacing w:after="0" w:line="240" w:lineRule="auto"/>
              <w:rPr>
                <w:rFonts w:ascii="Lato" w:hAnsi="Lato" w:cs="Times New Roman"/>
                <w:sz w:val="18"/>
                <w:szCs w:val="18"/>
              </w:rPr>
            </w:pPr>
          </w:p>
          <w:p w14:paraId="772139AB"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5AE55C91" w14:textId="77777777" w:rsidTr="008C67C9">
        <w:trPr>
          <w:trHeight w:val="720"/>
        </w:trPr>
        <w:tc>
          <w:tcPr>
            <w:tcW w:w="1232" w:type="dxa"/>
            <w:vMerge/>
            <w:shd w:val="clear" w:color="auto" w:fill="FFFFFF" w:themeFill="background1"/>
          </w:tcPr>
          <w:p w14:paraId="4976D53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EDE3F3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Promowanie terapii zajęciowej wśród niesamodzielnych osób starszych</w:t>
            </w:r>
          </w:p>
        </w:tc>
        <w:tc>
          <w:tcPr>
            <w:tcW w:w="2032" w:type="dxa"/>
            <w:vMerge w:val="restart"/>
            <w:shd w:val="clear" w:color="auto" w:fill="FFFFFF" w:themeFill="background1"/>
          </w:tcPr>
          <w:p w14:paraId="5F2B656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w:t>
            </w:r>
            <w:r w:rsidRPr="005911C6">
              <w:rPr>
                <w:rFonts w:ascii="Lato" w:eastAsia="MS Mincho" w:hAnsi="Lato"/>
                <w:sz w:val="18"/>
                <w:szCs w:val="18"/>
              </w:rPr>
              <w:br/>
            </w:r>
          </w:p>
          <w:p w14:paraId="1EDE5DE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53C59BA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5EF0E746"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inicjatyw mających na celu promowanie terapii zajęciowej wśród niesamodzielnych osób starszych</w:t>
            </w:r>
          </w:p>
        </w:tc>
      </w:tr>
      <w:tr w:rsidR="003C25C5" w:rsidRPr="005911C6" w14:paraId="5B209439" w14:textId="77777777" w:rsidTr="008C67C9">
        <w:trPr>
          <w:trHeight w:val="720"/>
        </w:trPr>
        <w:tc>
          <w:tcPr>
            <w:tcW w:w="1232" w:type="dxa"/>
            <w:vMerge/>
            <w:shd w:val="clear" w:color="auto" w:fill="FFFFFF" w:themeFill="background1"/>
          </w:tcPr>
          <w:p w14:paraId="2C1D155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2C8B5A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8EE661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CD076A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46396E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BA17116" w14:textId="77777777" w:rsidR="003C25C5" w:rsidRPr="005911C6" w:rsidRDefault="003C25C5" w:rsidP="005911C6">
            <w:pPr>
              <w:spacing w:after="0" w:line="240" w:lineRule="auto"/>
              <w:rPr>
                <w:rFonts w:ascii="Lato" w:hAnsi="Lato" w:cs="Times New Roman"/>
                <w:sz w:val="18"/>
                <w:szCs w:val="18"/>
              </w:rPr>
            </w:pPr>
          </w:p>
          <w:p w14:paraId="2B7C504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160A1AA" w14:textId="77777777" w:rsidTr="008C67C9">
        <w:trPr>
          <w:trHeight w:val="720"/>
        </w:trPr>
        <w:tc>
          <w:tcPr>
            <w:tcW w:w="1232" w:type="dxa"/>
            <w:vMerge/>
            <w:shd w:val="clear" w:color="auto" w:fill="FFFFFF" w:themeFill="background1"/>
          </w:tcPr>
          <w:p w14:paraId="0BE3462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906C17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Upowszechnianie dobrych praktyk wpisujących się w światowe standardy prowadzenia terapii zajęciowej</w:t>
            </w:r>
          </w:p>
        </w:tc>
        <w:tc>
          <w:tcPr>
            <w:tcW w:w="2032" w:type="dxa"/>
            <w:vMerge w:val="restart"/>
            <w:shd w:val="clear" w:color="auto" w:fill="FFFFFF" w:themeFill="background1"/>
          </w:tcPr>
          <w:p w14:paraId="0338219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w:t>
            </w:r>
            <w:r w:rsidRPr="005911C6">
              <w:rPr>
                <w:rFonts w:ascii="Lato" w:eastAsia="MS Mincho" w:hAnsi="Lato"/>
                <w:sz w:val="18"/>
                <w:szCs w:val="18"/>
              </w:rPr>
              <w:br/>
            </w:r>
          </w:p>
        </w:tc>
        <w:tc>
          <w:tcPr>
            <w:tcW w:w="1500" w:type="dxa"/>
            <w:vMerge w:val="restart"/>
            <w:shd w:val="clear" w:color="auto" w:fill="FFFFFF" w:themeFill="background1"/>
          </w:tcPr>
          <w:p w14:paraId="1B6E266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6BC50BB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upowszechniających dobre praktyki wpisujące się w światowe standardy prowadzenia terapii zajęciowej</w:t>
            </w:r>
          </w:p>
        </w:tc>
      </w:tr>
      <w:tr w:rsidR="003C25C5" w:rsidRPr="005911C6" w14:paraId="1FC86096" w14:textId="77777777" w:rsidTr="008C67C9">
        <w:trPr>
          <w:trHeight w:val="720"/>
        </w:trPr>
        <w:tc>
          <w:tcPr>
            <w:tcW w:w="1232" w:type="dxa"/>
            <w:vMerge/>
            <w:shd w:val="clear" w:color="auto" w:fill="FFFFFF" w:themeFill="background1"/>
          </w:tcPr>
          <w:p w14:paraId="7326B33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EB681F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AA4306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7E1B32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28A4152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9CB3AA0" w14:textId="77777777" w:rsidR="003C25C5" w:rsidRPr="005911C6" w:rsidRDefault="003C25C5" w:rsidP="005911C6">
            <w:pPr>
              <w:spacing w:after="0" w:line="240" w:lineRule="auto"/>
              <w:rPr>
                <w:rFonts w:ascii="Lato" w:hAnsi="Lato" w:cs="Times New Roman"/>
                <w:sz w:val="18"/>
                <w:szCs w:val="18"/>
              </w:rPr>
            </w:pPr>
          </w:p>
          <w:p w14:paraId="4494E956"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95FA95C" w14:textId="77777777" w:rsidTr="008C67C9">
        <w:trPr>
          <w:trHeight w:val="720"/>
        </w:trPr>
        <w:tc>
          <w:tcPr>
            <w:tcW w:w="1232" w:type="dxa"/>
            <w:vMerge w:val="restart"/>
            <w:shd w:val="clear" w:color="auto" w:fill="FFFFFF" w:themeFill="background1"/>
            <w:textDirection w:val="btLr"/>
          </w:tcPr>
          <w:p w14:paraId="652E13E3" w14:textId="77777777" w:rsidR="003C25C5" w:rsidRPr="005911C6" w:rsidRDefault="003C25C5" w:rsidP="005911C6">
            <w:pPr>
              <w:pStyle w:val="Kolorowalistaakcent11"/>
              <w:spacing w:after="0" w:line="240" w:lineRule="auto"/>
              <w:ind w:left="113" w:right="113"/>
              <w:jc w:val="center"/>
              <w:rPr>
                <w:rFonts w:ascii="Lato" w:eastAsia="MS Mincho" w:hAnsi="Lato"/>
                <w:b/>
                <w:sz w:val="18"/>
                <w:szCs w:val="18"/>
              </w:rPr>
            </w:pPr>
            <w:r w:rsidRPr="005911C6">
              <w:rPr>
                <w:rFonts w:ascii="Lato" w:eastAsia="MS Mincho" w:hAnsi="Lato"/>
                <w:sz w:val="18"/>
                <w:szCs w:val="18"/>
              </w:rPr>
              <w:t>Obszar II</w:t>
            </w:r>
          </w:p>
        </w:tc>
        <w:tc>
          <w:tcPr>
            <w:tcW w:w="3594" w:type="dxa"/>
            <w:vMerge w:val="restart"/>
            <w:shd w:val="clear" w:color="auto" w:fill="FFFFFF" w:themeFill="background1"/>
          </w:tcPr>
          <w:p w14:paraId="33BDCA8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Stworzenie warunków sprzyjających utworzeniu w ramach „Sieci szpitali” </w:t>
            </w:r>
            <w:r w:rsidRPr="005911C6">
              <w:rPr>
                <w:rFonts w:ascii="Lato" w:eastAsia="MS Mincho" w:hAnsi="Lato"/>
                <w:sz w:val="18"/>
                <w:szCs w:val="18"/>
              </w:rPr>
              <w:br/>
              <w:t>we wszystkich województwach oddziałów geriatrycznych w szczególności w powiązaniu z rozwojem ośrodków kształcenia lekarzy specjalistów w dziedzinie geriatrii</w:t>
            </w:r>
          </w:p>
        </w:tc>
        <w:tc>
          <w:tcPr>
            <w:tcW w:w="2032" w:type="dxa"/>
            <w:vMerge w:val="restart"/>
            <w:shd w:val="clear" w:color="auto" w:fill="FFFFFF" w:themeFill="background1"/>
          </w:tcPr>
          <w:p w14:paraId="131049F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72F2017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492EF451"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mających na celu stworzenie warunków sprzyjających utworzeniu w ramach „Sieci szpitali” we wszystkich województwach oddziałów geriatrycznych w szczególności w powiązaniu z rozwojem ośrodków kształcenia lekarzy specjalistów w dziedzinie geriatrii</w:t>
            </w:r>
          </w:p>
        </w:tc>
      </w:tr>
      <w:tr w:rsidR="003C25C5" w:rsidRPr="005911C6" w14:paraId="3715825B" w14:textId="77777777" w:rsidTr="008C67C9">
        <w:trPr>
          <w:trHeight w:val="680"/>
        </w:trPr>
        <w:tc>
          <w:tcPr>
            <w:tcW w:w="1232" w:type="dxa"/>
            <w:vMerge/>
            <w:shd w:val="clear" w:color="auto" w:fill="FFFFFF" w:themeFill="background1"/>
          </w:tcPr>
          <w:p w14:paraId="55F0F168"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76A0B7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A4657D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7A42F10"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0AE6AD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E461891" w14:textId="77777777" w:rsidR="003C25C5" w:rsidRPr="005911C6" w:rsidRDefault="003C25C5" w:rsidP="005911C6">
            <w:pPr>
              <w:spacing w:after="0" w:line="240" w:lineRule="auto"/>
              <w:rPr>
                <w:rFonts w:ascii="Lato" w:hAnsi="Lato" w:cs="Times New Roman"/>
                <w:sz w:val="18"/>
                <w:szCs w:val="18"/>
              </w:rPr>
            </w:pPr>
          </w:p>
          <w:p w14:paraId="722957A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lastRenderedPageBreak/>
              <w:t>…</w:t>
            </w:r>
          </w:p>
        </w:tc>
      </w:tr>
      <w:tr w:rsidR="003C25C5" w:rsidRPr="005911C6" w14:paraId="5630C4C4" w14:textId="77777777" w:rsidTr="008C67C9">
        <w:trPr>
          <w:trHeight w:val="720"/>
        </w:trPr>
        <w:tc>
          <w:tcPr>
            <w:tcW w:w="1232" w:type="dxa"/>
            <w:vMerge/>
            <w:shd w:val="clear" w:color="auto" w:fill="FFFFFF" w:themeFill="background1"/>
          </w:tcPr>
          <w:p w14:paraId="4F36B64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0FC684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Wdrożenie działań prawnych, ukierunkowanych na możliwość funkcjonowania interdyscyplinarnych zespołów geriatrycznych o charakterze konsultacyjnym</w:t>
            </w:r>
          </w:p>
        </w:tc>
        <w:tc>
          <w:tcPr>
            <w:tcW w:w="2032" w:type="dxa"/>
            <w:vMerge w:val="restart"/>
            <w:shd w:val="clear" w:color="auto" w:fill="FFFFFF" w:themeFill="background1"/>
          </w:tcPr>
          <w:p w14:paraId="6E38A65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0E51FC7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7A4F7B0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wdrożonych działań prawnych ukierunkowanych na możliwość funkcjonowania interdyscyplinarnych zespołów geriatrycznych o charakterze konsultacyjnym</w:t>
            </w:r>
          </w:p>
        </w:tc>
      </w:tr>
      <w:tr w:rsidR="003C25C5" w:rsidRPr="005911C6" w14:paraId="6A62FA77" w14:textId="77777777" w:rsidTr="008C67C9">
        <w:trPr>
          <w:trHeight w:val="720"/>
        </w:trPr>
        <w:tc>
          <w:tcPr>
            <w:tcW w:w="1232" w:type="dxa"/>
            <w:vMerge/>
            <w:shd w:val="clear" w:color="auto" w:fill="FFFFFF" w:themeFill="background1"/>
          </w:tcPr>
          <w:p w14:paraId="27F976A2"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849001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3963B8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5760EC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D2170E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26F57037" w14:textId="77777777" w:rsidR="003C25C5" w:rsidRPr="005911C6" w:rsidRDefault="003C25C5" w:rsidP="005911C6">
            <w:pPr>
              <w:spacing w:after="0" w:line="240" w:lineRule="auto"/>
              <w:rPr>
                <w:rFonts w:ascii="Lato" w:hAnsi="Lato" w:cs="Times New Roman"/>
                <w:sz w:val="18"/>
                <w:szCs w:val="18"/>
              </w:rPr>
            </w:pPr>
          </w:p>
          <w:p w14:paraId="30DEB217"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5B71C57" w14:textId="77777777" w:rsidTr="008C67C9">
        <w:trPr>
          <w:trHeight w:val="720"/>
        </w:trPr>
        <w:tc>
          <w:tcPr>
            <w:tcW w:w="1232" w:type="dxa"/>
            <w:vMerge/>
            <w:shd w:val="clear" w:color="auto" w:fill="FFFFFF" w:themeFill="background1"/>
          </w:tcPr>
          <w:p w14:paraId="722F8676"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44657E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Wdrożenie właściwej kompleksowej rehabilitacji: medycznej, społecznej </w:t>
            </w:r>
            <w:r w:rsidRPr="005911C6">
              <w:rPr>
                <w:rFonts w:ascii="Lato" w:eastAsia="MS Mincho" w:hAnsi="Lato"/>
                <w:sz w:val="18"/>
                <w:szCs w:val="18"/>
              </w:rPr>
              <w:br/>
              <w:t xml:space="preserve">i zawodowej zarówno w instytucjach, </w:t>
            </w:r>
            <w:r w:rsidRPr="005911C6">
              <w:rPr>
                <w:rFonts w:ascii="Lato" w:eastAsia="MS Mincho" w:hAnsi="Lato"/>
                <w:sz w:val="18"/>
                <w:szCs w:val="18"/>
              </w:rPr>
              <w:br/>
              <w:t>jak i w formie środowiskowej</w:t>
            </w:r>
          </w:p>
        </w:tc>
        <w:tc>
          <w:tcPr>
            <w:tcW w:w="2032" w:type="dxa"/>
            <w:vMerge w:val="restart"/>
            <w:shd w:val="clear" w:color="auto" w:fill="FFFFFF" w:themeFill="background1"/>
          </w:tcPr>
          <w:p w14:paraId="39A6F64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w:t>
            </w:r>
          </w:p>
        </w:tc>
        <w:tc>
          <w:tcPr>
            <w:tcW w:w="1500" w:type="dxa"/>
            <w:vMerge w:val="restart"/>
            <w:shd w:val="clear" w:color="auto" w:fill="FFFFFF" w:themeFill="background1"/>
          </w:tcPr>
          <w:p w14:paraId="55431F4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B1452BF"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mających na celu wdrożenie właściwej kompleksowej rehabilitacji: medycznej, społecznej i zawodowej zarówno w instytucjach, jak i w formie środowiskowej</w:t>
            </w:r>
          </w:p>
        </w:tc>
      </w:tr>
      <w:tr w:rsidR="003C25C5" w:rsidRPr="005911C6" w14:paraId="5F467802" w14:textId="77777777" w:rsidTr="008C67C9">
        <w:trPr>
          <w:trHeight w:val="720"/>
        </w:trPr>
        <w:tc>
          <w:tcPr>
            <w:tcW w:w="1232" w:type="dxa"/>
            <w:vMerge/>
            <w:shd w:val="clear" w:color="auto" w:fill="FFFFFF" w:themeFill="background1"/>
          </w:tcPr>
          <w:p w14:paraId="7CC6FCD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8DF7A2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05E42A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2B2FA65C"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E0DD8E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447330B" w14:textId="77777777" w:rsidR="003C25C5" w:rsidRPr="005911C6" w:rsidRDefault="003C25C5" w:rsidP="005911C6">
            <w:pPr>
              <w:spacing w:after="0" w:line="240" w:lineRule="auto"/>
              <w:rPr>
                <w:rFonts w:ascii="Lato" w:hAnsi="Lato" w:cs="Times New Roman"/>
                <w:sz w:val="18"/>
                <w:szCs w:val="18"/>
              </w:rPr>
            </w:pPr>
          </w:p>
          <w:p w14:paraId="4A7E030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0CFB9911" w14:textId="77777777" w:rsidTr="008C67C9">
        <w:trPr>
          <w:trHeight w:val="386"/>
        </w:trPr>
        <w:tc>
          <w:tcPr>
            <w:tcW w:w="1232" w:type="dxa"/>
            <w:vMerge/>
            <w:shd w:val="clear" w:color="auto" w:fill="FFFFFF" w:themeFill="background1"/>
          </w:tcPr>
          <w:p w14:paraId="2D76D07A"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228937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Opracowanie programu działań skierowanych do osób starszych chorych na choroby otępienne</w:t>
            </w:r>
          </w:p>
        </w:tc>
        <w:tc>
          <w:tcPr>
            <w:tcW w:w="2032" w:type="dxa"/>
            <w:vMerge w:val="restart"/>
            <w:shd w:val="clear" w:color="auto" w:fill="FFFFFF" w:themeFill="background1"/>
          </w:tcPr>
          <w:p w14:paraId="29AD159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  Ministerstwo Rodziny i Polityki Społecznej, Ministerstwo  Rozwoju i Technologii</w:t>
            </w:r>
          </w:p>
          <w:p w14:paraId="70221CE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67BB4B4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2018-2025</w:t>
            </w:r>
          </w:p>
        </w:tc>
        <w:tc>
          <w:tcPr>
            <w:tcW w:w="5638" w:type="dxa"/>
            <w:shd w:val="clear" w:color="auto" w:fill="FFFFFF" w:themeFill="background1"/>
          </w:tcPr>
          <w:p w14:paraId="1743540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Opracowanie programu działań skierowanych do osób starszych chorych na choroby otępienne</w:t>
            </w:r>
          </w:p>
        </w:tc>
      </w:tr>
      <w:tr w:rsidR="003C25C5" w:rsidRPr="005911C6" w14:paraId="5E10981A" w14:textId="77777777" w:rsidTr="008C67C9">
        <w:trPr>
          <w:trHeight w:val="720"/>
        </w:trPr>
        <w:tc>
          <w:tcPr>
            <w:tcW w:w="1232" w:type="dxa"/>
            <w:vMerge/>
            <w:shd w:val="clear" w:color="auto" w:fill="FFFFFF" w:themeFill="background1"/>
          </w:tcPr>
          <w:p w14:paraId="2B2BD2B4"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B3F1FB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FB00DD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300FB59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ECA75AB" w14:textId="77777777" w:rsidR="007031B1" w:rsidRPr="005911C6" w:rsidRDefault="007031B1"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0E89F88B" w14:textId="0CA8F58B" w:rsidR="003C25C5" w:rsidRPr="005911C6" w:rsidRDefault="007031B1"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Cs/>
                <w:sz w:val="18"/>
                <w:szCs w:val="18"/>
              </w:rPr>
              <w:t>Trwały prace nad projektem planu wobec demencji. Opracowano założenia programu pilotażowego wczesnej diagnostyki zaburzeń otępiennych.</w:t>
            </w:r>
          </w:p>
        </w:tc>
      </w:tr>
      <w:tr w:rsidR="003C25C5" w:rsidRPr="005911C6" w14:paraId="4A09871C" w14:textId="77777777" w:rsidTr="008C67C9">
        <w:trPr>
          <w:trHeight w:val="407"/>
        </w:trPr>
        <w:tc>
          <w:tcPr>
            <w:tcW w:w="1232" w:type="dxa"/>
            <w:vMerge/>
            <w:shd w:val="clear" w:color="auto" w:fill="FFFFFF" w:themeFill="background1"/>
          </w:tcPr>
          <w:p w14:paraId="3DA812B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3E28DD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Prowadzenie kampanii edukacyjnych </w:t>
            </w:r>
            <w:r w:rsidRPr="005911C6">
              <w:rPr>
                <w:rFonts w:ascii="Lato" w:eastAsia="MS Mincho" w:hAnsi="Lato"/>
                <w:sz w:val="18"/>
                <w:szCs w:val="18"/>
              </w:rPr>
              <w:br/>
              <w:t>na temat chorób otępiennych</w:t>
            </w:r>
          </w:p>
        </w:tc>
        <w:tc>
          <w:tcPr>
            <w:tcW w:w="2032" w:type="dxa"/>
            <w:vMerge w:val="restart"/>
            <w:shd w:val="clear" w:color="auto" w:fill="FFFFFF" w:themeFill="background1"/>
          </w:tcPr>
          <w:p w14:paraId="5568FE2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p w14:paraId="37EBC25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6A8A593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588D913C"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przeprowadzonych kampanii edukacyjnych na temat chorób otępiennych</w:t>
            </w:r>
          </w:p>
        </w:tc>
      </w:tr>
      <w:tr w:rsidR="003C25C5" w:rsidRPr="005911C6" w14:paraId="71DBC027" w14:textId="77777777" w:rsidTr="008C67C9">
        <w:trPr>
          <w:trHeight w:val="720"/>
        </w:trPr>
        <w:tc>
          <w:tcPr>
            <w:tcW w:w="1232" w:type="dxa"/>
            <w:vMerge/>
            <w:shd w:val="clear" w:color="auto" w:fill="FFFFFF" w:themeFill="background1"/>
          </w:tcPr>
          <w:p w14:paraId="6A910E9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9EAAE3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1B2B817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F12EFF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41D7CF5" w14:textId="77777777" w:rsidR="007031B1" w:rsidRPr="005911C6" w:rsidRDefault="007031B1"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23B7466B" w14:textId="481A1450" w:rsidR="007031B1" w:rsidRPr="005911C6" w:rsidRDefault="007031B1" w:rsidP="005911C6">
            <w:pPr>
              <w:suppressAutoHyphens/>
              <w:spacing w:after="0" w:line="240" w:lineRule="auto"/>
              <w:jc w:val="both"/>
              <w:rPr>
                <w:rFonts w:ascii="Lato" w:hAnsi="Lato" w:cs="Arial"/>
                <w:sz w:val="18"/>
                <w:szCs w:val="18"/>
              </w:rPr>
            </w:pPr>
            <w:r w:rsidRPr="005911C6">
              <w:rPr>
                <w:rFonts w:ascii="Lato" w:hAnsi="Lato" w:cs="Times New Roman"/>
                <w:sz w:val="18"/>
                <w:szCs w:val="18"/>
              </w:rPr>
              <w:t>W latach 2022-2023 prowadzona jest kampania informacyjno-edukacyjna na temat zaburzeń otępiennych, w tym choroby Alzhaimera.</w:t>
            </w:r>
            <w:r w:rsidRPr="005911C6">
              <w:rPr>
                <w:rFonts w:ascii="Lato" w:hAnsi="Lato" w:cs="Arial"/>
                <w:sz w:val="18"/>
                <w:szCs w:val="18"/>
              </w:rPr>
              <w:t xml:space="preserve"> Kampania ma na celu zwiększenie świadomości społeczeństwa na temat zaburzeń otępiennych, w tym ich objawów, wagi wczesnego rozpoznania choroby, a także kształtowanie właściwych postaw wobec chorych i ich bliskich.</w:t>
            </w:r>
          </w:p>
          <w:p w14:paraId="4915416D" w14:textId="77777777" w:rsidR="007031B1" w:rsidRPr="005911C6" w:rsidRDefault="007031B1" w:rsidP="005911C6">
            <w:pPr>
              <w:suppressAutoHyphens/>
              <w:spacing w:after="0" w:line="240" w:lineRule="auto"/>
              <w:jc w:val="both"/>
              <w:rPr>
                <w:rFonts w:ascii="Lato" w:hAnsi="Lato" w:cs="Arial"/>
                <w:sz w:val="18"/>
                <w:szCs w:val="18"/>
              </w:rPr>
            </w:pPr>
            <w:r w:rsidRPr="005911C6">
              <w:rPr>
                <w:rFonts w:ascii="Lato" w:hAnsi="Lato" w:cs="Arial"/>
                <w:sz w:val="18"/>
                <w:szCs w:val="18"/>
              </w:rPr>
              <w:t xml:space="preserve"> </w:t>
            </w:r>
            <w:r w:rsidRPr="005911C6">
              <w:rPr>
                <w:rFonts w:ascii="Lato" w:hAnsi="Lato" w:cs="Arial"/>
                <w:sz w:val="18"/>
                <w:szCs w:val="18"/>
                <w:u w:val="single"/>
              </w:rPr>
              <w:t>W 2022 r. w ramach kampanii zrealizowane zostały m.in. następujące działania:</w:t>
            </w:r>
          </w:p>
          <w:p w14:paraId="4F7BC22C" w14:textId="77777777" w:rsidR="007031B1" w:rsidRPr="005911C6" w:rsidRDefault="007031B1" w:rsidP="005911C6">
            <w:pPr>
              <w:pStyle w:val="Akapitzlist"/>
              <w:numPr>
                <w:ilvl w:val="0"/>
                <w:numId w:val="216"/>
              </w:numPr>
              <w:suppressAutoHyphens/>
              <w:spacing w:after="0" w:line="240" w:lineRule="auto"/>
              <w:jc w:val="both"/>
              <w:rPr>
                <w:rFonts w:ascii="Lato" w:hAnsi="Lato" w:cs="Arial"/>
                <w:sz w:val="18"/>
                <w:szCs w:val="18"/>
              </w:rPr>
            </w:pPr>
            <w:r w:rsidRPr="005911C6">
              <w:rPr>
                <w:rFonts w:ascii="Lato" w:hAnsi="Lato" w:cs="Arial"/>
                <w:sz w:val="18"/>
                <w:szCs w:val="18"/>
              </w:rPr>
              <w:t>w listopadzie 2022 r. emitowane były 2 spoty w TV i radio,</w:t>
            </w:r>
          </w:p>
          <w:p w14:paraId="59D4E813" w14:textId="77777777" w:rsidR="007031B1" w:rsidRPr="005911C6" w:rsidRDefault="007031B1" w:rsidP="005911C6">
            <w:pPr>
              <w:pStyle w:val="Akapitzlist"/>
              <w:numPr>
                <w:ilvl w:val="0"/>
                <w:numId w:val="216"/>
              </w:numPr>
              <w:suppressAutoHyphens/>
              <w:spacing w:after="0" w:line="240" w:lineRule="auto"/>
              <w:jc w:val="both"/>
              <w:rPr>
                <w:rFonts w:ascii="Lato" w:hAnsi="Lato" w:cs="Arial"/>
                <w:sz w:val="18"/>
                <w:szCs w:val="18"/>
              </w:rPr>
            </w:pPr>
            <w:r w:rsidRPr="005911C6">
              <w:rPr>
                <w:rFonts w:ascii="Lato" w:hAnsi="Lato" w:cs="Arial"/>
                <w:sz w:val="18"/>
                <w:szCs w:val="18"/>
              </w:rPr>
              <w:t xml:space="preserve">kampania w mediach społecznościowych - posty na Facebooku i </w:t>
            </w:r>
            <w:proofErr w:type="spellStart"/>
            <w:r w:rsidRPr="005911C6">
              <w:rPr>
                <w:rFonts w:ascii="Lato" w:hAnsi="Lato" w:cs="Arial"/>
                <w:sz w:val="18"/>
                <w:szCs w:val="18"/>
              </w:rPr>
              <w:t>Twitterze</w:t>
            </w:r>
            <w:proofErr w:type="spellEnd"/>
            <w:r w:rsidRPr="005911C6">
              <w:rPr>
                <w:rFonts w:ascii="Lato" w:hAnsi="Lato" w:cs="Arial"/>
                <w:sz w:val="18"/>
                <w:szCs w:val="18"/>
              </w:rPr>
              <w:t xml:space="preserve">, </w:t>
            </w:r>
          </w:p>
          <w:p w14:paraId="57D815CA" w14:textId="77777777" w:rsidR="007031B1" w:rsidRPr="005911C6" w:rsidRDefault="007031B1" w:rsidP="005911C6">
            <w:pPr>
              <w:pStyle w:val="Akapitzlist"/>
              <w:numPr>
                <w:ilvl w:val="0"/>
                <w:numId w:val="216"/>
              </w:numPr>
              <w:suppressAutoHyphens/>
              <w:spacing w:after="0" w:line="240" w:lineRule="auto"/>
              <w:jc w:val="both"/>
              <w:rPr>
                <w:rFonts w:ascii="Lato" w:hAnsi="Lato" w:cs="Arial"/>
                <w:sz w:val="18"/>
                <w:szCs w:val="18"/>
              </w:rPr>
            </w:pPr>
            <w:r w:rsidRPr="005911C6">
              <w:rPr>
                <w:rFonts w:ascii="Lato" w:hAnsi="Lato" w:cs="Arial"/>
                <w:sz w:val="18"/>
                <w:szCs w:val="18"/>
              </w:rPr>
              <w:lastRenderedPageBreak/>
              <w:t>3 podcasty pn. „Jak być opiekunem osoby z chorobą Alzheimera?”, „Życie z chorobą Alzheimera”, „Co powinniśmy wiedzieć o chorobie Alzheimera?”,</w:t>
            </w:r>
          </w:p>
          <w:p w14:paraId="17C8CE03" w14:textId="77777777" w:rsidR="007031B1" w:rsidRPr="005911C6" w:rsidRDefault="007031B1" w:rsidP="005911C6">
            <w:pPr>
              <w:pStyle w:val="Akapitzlist"/>
              <w:numPr>
                <w:ilvl w:val="0"/>
                <w:numId w:val="216"/>
              </w:numPr>
              <w:suppressAutoHyphens/>
              <w:spacing w:after="0" w:line="240" w:lineRule="auto"/>
              <w:jc w:val="both"/>
              <w:rPr>
                <w:rFonts w:ascii="Lato" w:hAnsi="Lato" w:cs="Arial"/>
                <w:sz w:val="18"/>
                <w:szCs w:val="18"/>
              </w:rPr>
            </w:pPr>
            <w:r w:rsidRPr="005911C6">
              <w:rPr>
                <w:rFonts w:ascii="Lato" w:hAnsi="Lato" w:cs="Arial"/>
                <w:sz w:val="18"/>
                <w:szCs w:val="18"/>
              </w:rPr>
              <w:t>debata telewizyjna z udziałem dr n.med. Klaudii Plinty - specjalisty neurologa oraz dr Moniki Piotrowskiej -</w:t>
            </w:r>
            <w:proofErr w:type="spellStart"/>
            <w:r w:rsidRPr="005911C6">
              <w:rPr>
                <w:rFonts w:ascii="Lato" w:hAnsi="Lato" w:cs="Arial"/>
                <w:sz w:val="18"/>
                <w:szCs w:val="18"/>
              </w:rPr>
              <w:t>Matyszczak</w:t>
            </w:r>
            <w:proofErr w:type="spellEnd"/>
            <w:r w:rsidRPr="005911C6">
              <w:rPr>
                <w:rFonts w:ascii="Lato" w:hAnsi="Lato" w:cs="Arial"/>
                <w:sz w:val="18"/>
                <w:szCs w:val="18"/>
              </w:rPr>
              <w:t xml:space="preserve"> – neuropsychologa. </w:t>
            </w:r>
          </w:p>
          <w:p w14:paraId="762E861B" w14:textId="41CBF245" w:rsidR="003C25C5" w:rsidRPr="005911C6" w:rsidRDefault="007031B1" w:rsidP="005911C6">
            <w:pPr>
              <w:pStyle w:val="Akapitzlist"/>
              <w:numPr>
                <w:ilvl w:val="0"/>
                <w:numId w:val="216"/>
              </w:numPr>
              <w:suppressAutoHyphens/>
              <w:spacing w:after="0" w:line="240" w:lineRule="auto"/>
              <w:jc w:val="both"/>
              <w:rPr>
                <w:rFonts w:ascii="Lato" w:eastAsia="Times New Roman" w:hAnsi="Lato" w:cs="Arial"/>
                <w:sz w:val="18"/>
                <w:szCs w:val="18"/>
                <w:lang w:eastAsia="pl-PL"/>
              </w:rPr>
            </w:pPr>
            <w:r w:rsidRPr="005911C6">
              <w:rPr>
                <w:rFonts w:ascii="Lato" w:hAnsi="Lato" w:cs="Arial"/>
                <w:sz w:val="18"/>
                <w:szCs w:val="18"/>
              </w:rPr>
              <w:t>reklamy w krzyżówkach pn. „100 krzyżówek–lekarstwo na pamięć” i „100 panoramicznych”.</w:t>
            </w:r>
          </w:p>
        </w:tc>
      </w:tr>
      <w:tr w:rsidR="003C25C5" w:rsidRPr="005911C6" w14:paraId="480F01D8" w14:textId="77777777" w:rsidTr="008C67C9">
        <w:trPr>
          <w:trHeight w:val="720"/>
        </w:trPr>
        <w:tc>
          <w:tcPr>
            <w:tcW w:w="1232" w:type="dxa"/>
            <w:vMerge/>
            <w:shd w:val="clear" w:color="auto" w:fill="FFFFFF" w:themeFill="background1"/>
          </w:tcPr>
          <w:p w14:paraId="16678C3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D7B9B3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Opracowanie i ujednolicenie sposobów postępowania podmiotów świadczących pomoc niesamodzielnym osobom starszym, według przyjętych wzorców, które oparte są na wynikach badań i dają możliwość uzyskania podobnych rezultatów działań w różnych placówkach pomocowych i w opiece domowej</w:t>
            </w:r>
          </w:p>
        </w:tc>
        <w:tc>
          <w:tcPr>
            <w:tcW w:w="2032" w:type="dxa"/>
            <w:vMerge w:val="restart"/>
            <w:shd w:val="clear" w:color="auto" w:fill="FFFFFF" w:themeFill="background1"/>
          </w:tcPr>
          <w:p w14:paraId="29FE300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p>
          <w:p w14:paraId="1786168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br/>
            </w:r>
          </w:p>
          <w:p w14:paraId="0E19F3AF"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14A6497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A5DC36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A1E50D0"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Opracowanie jednolitych sposobów postępowania podmiotów świadczących pomoc niesamodzielnym osobom starszym</w:t>
            </w:r>
          </w:p>
        </w:tc>
      </w:tr>
      <w:tr w:rsidR="003C25C5" w:rsidRPr="005911C6" w14:paraId="7F911F65" w14:textId="77777777" w:rsidTr="008C67C9">
        <w:trPr>
          <w:trHeight w:val="720"/>
        </w:trPr>
        <w:tc>
          <w:tcPr>
            <w:tcW w:w="1232" w:type="dxa"/>
            <w:vMerge/>
            <w:shd w:val="clear" w:color="auto" w:fill="FFFFFF" w:themeFill="background1"/>
          </w:tcPr>
          <w:p w14:paraId="02C6A3D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988704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24859B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CA5BC7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D3CAB1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B7BE36C" w14:textId="77777777" w:rsidR="003C25C5" w:rsidRPr="005911C6" w:rsidRDefault="003C25C5" w:rsidP="005911C6">
            <w:pPr>
              <w:spacing w:after="0" w:line="240" w:lineRule="auto"/>
              <w:rPr>
                <w:rFonts w:ascii="Lato" w:hAnsi="Lato" w:cs="Times New Roman"/>
                <w:sz w:val="18"/>
                <w:szCs w:val="18"/>
              </w:rPr>
            </w:pPr>
          </w:p>
          <w:p w14:paraId="0AD0992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67F34806" w14:textId="77777777" w:rsidTr="008C67C9">
        <w:trPr>
          <w:trHeight w:val="720"/>
        </w:trPr>
        <w:tc>
          <w:tcPr>
            <w:tcW w:w="1232" w:type="dxa"/>
            <w:vMerge w:val="restart"/>
            <w:shd w:val="clear" w:color="auto" w:fill="FFFFFF" w:themeFill="background1"/>
            <w:textDirection w:val="btLr"/>
          </w:tcPr>
          <w:p w14:paraId="7D6E73E7" w14:textId="77777777" w:rsidR="003C25C5" w:rsidRPr="005911C6" w:rsidRDefault="003C25C5" w:rsidP="005911C6">
            <w:pPr>
              <w:spacing w:after="0" w:line="240" w:lineRule="auto"/>
              <w:ind w:left="113" w:right="113"/>
              <w:jc w:val="center"/>
              <w:rPr>
                <w:rFonts w:ascii="Lato" w:eastAsia="MS Mincho" w:hAnsi="Lato" w:cs="Times New Roman"/>
                <w:sz w:val="18"/>
                <w:szCs w:val="18"/>
              </w:rPr>
            </w:pPr>
            <w:r w:rsidRPr="005911C6">
              <w:rPr>
                <w:rFonts w:ascii="Lato" w:eastAsia="MS Mincho" w:hAnsi="Lato" w:cs="Times New Roman"/>
                <w:sz w:val="18"/>
                <w:szCs w:val="18"/>
              </w:rPr>
              <w:t>Obszar III</w:t>
            </w:r>
          </w:p>
        </w:tc>
        <w:tc>
          <w:tcPr>
            <w:tcW w:w="3594" w:type="dxa"/>
            <w:vMerge w:val="restart"/>
            <w:shd w:val="clear" w:color="auto" w:fill="FFFFFF" w:themeFill="background1"/>
          </w:tcPr>
          <w:p w14:paraId="11615BD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Opracowanie i przetestowanie jednolitego systemu oceny niesamodzielności osób starszych w oparciu o kryteria międzynarodowej klasyfikacji ICF</w:t>
            </w:r>
          </w:p>
        </w:tc>
        <w:tc>
          <w:tcPr>
            <w:tcW w:w="2032" w:type="dxa"/>
            <w:vMerge w:val="restart"/>
            <w:shd w:val="clear" w:color="auto" w:fill="FFFFFF" w:themeFill="background1"/>
          </w:tcPr>
          <w:p w14:paraId="5F0CB80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r w:rsidRPr="005911C6">
              <w:rPr>
                <w:rFonts w:ascii="Lato" w:eastAsia="MS Mincho" w:hAnsi="Lato"/>
                <w:sz w:val="18"/>
                <w:szCs w:val="18"/>
              </w:rPr>
              <w:br/>
            </w:r>
          </w:p>
          <w:p w14:paraId="05FD6AA5"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65F0FDF4"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694B547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9F3C5A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Opracowanie i przetestowanie jednolitego systemu oceny niesamodzielności osób starszych w oparciu o kryteria międzynarodowej klasyfikacji ICF</w:t>
            </w:r>
          </w:p>
        </w:tc>
      </w:tr>
      <w:tr w:rsidR="003C25C5" w:rsidRPr="005911C6" w14:paraId="0F0D859C" w14:textId="77777777" w:rsidTr="008C67C9">
        <w:trPr>
          <w:trHeight w:val="720"/>
        </w:trPr>
        <w:tc>
          <w:tcPr>
            <w:tcW w:w="1232" w:type="dxa"/>
            <w:vMerge/>
            <w:shd w:val="clear" w:color="auto" w:fill="FFFFFF" w:themeFill="background1"/>
          </w:tcPr>
          <w:p w14:paraId="7B1F07A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074E2E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F31F7A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AF6E157"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C2FA35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A9B220B" w14:textId="77777777" w:rsidR="003C25C5" w:rsidRPr="005911C6" w:rsidRDefault="003C25C5" w:rsidP="005911C6">
            <w:pPr>
              <w:spacing w:after="0" w:line="240" w:lineRule="auto"/>
              <w:rPr>
                <w:rFonts w:ascii="Lato" w:hAnsi="Lato" w:cs="Times New Roman"/>
                <w:sz w:val="18"/>
                <w:szCs w:val="18"/>
              </w:rPr>
            </w:pPr>
          </w:p>
          <w:p w14:paraId="3C75D23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4689383" w14:textId="77777777" w:rsidTr="008C67C9">
        <w:trPr>
          <w:trHeight w:val="698"/>
        </w:trPr>
        <w:tc>
          <w:tcPr>
            <w:tcW w:w="1232" w:type="dxa"/>
            <w:vMerge/>
            <w:shd w:val="clear" w:color="auto" w:fill="FFFFFF" w:themeFill="background1"/>
          </w:tcPr>
          <w:p w14:paraId="14CB630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9A3B81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Opracowanie standardów kształcenia </w:t>
            </w:r>
            <w:r w:rsidRPr="005911C6">
              <w:rPr>
                <w:rFonts w:ascii="Lato" w:eastAsia="MS Mincho" w:hAnsi="Lato"/>
                <w:sz w:val="18"/>
                <w:szCs w:val="18"/>
              </w:rPr>
              <w:br/>
              <w:t>i świadczenia w usługach asystenckich i opiekuńczych świadczonych na rzecz osób starszych o różnym stopniu niesamodzielności</w:t>
            </w:r>
          </w:p>
        </w:tc>
        <w:tc>
          <w:tcPr>
            <w:tcW w:w="2032" w:type="dxa"/>
            <w:vMerge w:val="restart"/>
            <w:shd w:val="clear" w:color="auto" w:fill="FFFFFF" w:themeFill="background1"/>
          </w:tcPr>
          <w:p w14:paraId="78DA70C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r w:rsidRPr="005911C6">
              <w:rPr>
                <w:rFonts w:ascii="Lato" w:eastAsia="MS Mincho" w:hAnsi="Lato"/>
                <w:sz w:val="18"/>
                <w:szCs w:val="18"/>
              </w:rPr>
              <w:br/>
            </w:r>
          </w:p>
          <w:p w14:paraId="6F251FAA"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7E3C9E6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76952FE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545AA494"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opracowanych standardów kształcenia w usługach asystenckich i opiekuńczych świadczonych na rzecz osób starszych o różnym stopniu niesamodzielności</w:t>
            </w:r>
          </w:p>
        </w:tc>
      </w:tr>
      <w:tr w:rsidR="003C25C5" w:rsidRPr="005911C6" w14:paraId="1A5E4A86" w14:textId="77777777" w:rsidTr="008C67C9">
        <w:trPr>
          <w:trHeight w:val="720"/>
        </w:trPr>
        <w:tc>
          <w:tcPr>
            <w:tcW w:w="1232" w:type="dxa"/>
            <w:vMerge/>
            <w:shd w:val="clear" w:color="auto" w:fill="FFFFFF" w:themeFill="background1"/>
          </w:tcPr>
          <w:p w14:paraId="2AEFE8F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0C87C6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65887B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D5BD963"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7AF9D9B"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73E19DA" w14:textId="77777777" w:rsidR="003C25C5" w:rsidRPr="005911C6" w:rsidRDefault="003C25C5" w:rsidP="005911C6">
            <w:pPr>
              <w:spacing w:after="0" w:line="240" w:lineRule="auto"/>
              <w:rPr>
                <w:rFonts w:ascii="Lato" w:hAnsi="Lato" w:cs="Times New Roman"/>
                <w:sz w:val="18"/>
                <w:szCs w:val="18"/>
              </w:rPr>
            </w:pPr>
          </w:p>
          <w:p w14:paraId="6472922A"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0F1AA38" w14:textId="77777777" w:rsidTr="008C67C9">
        <w:trPr>
          <w:trHeight w:val="468"/>
        </w:trPr>
        <w:tc>
          <w:tcPr>
            <w:tcW w:w="1232" w:type="dxa"/>
            <w:vMerge/>
            <w:shd w:val="clear" w:color="auto" w:fill="FFFFFF" w:themeFill="background1"/>
          </w:tcPr>
          <w:p w14:paraId="2E5DB46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BDF607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Opracowanie standardów opieki dla osób z zespołami otępiennymi, w tym opieki domowej</w:t>
            </w:r>
          </w:p>
        </w:tc>
        <w:tc>
          <w:tcPr>
            <w:tcW w:w="2032" w:type="dxa"/>
            <w:vMerge w:val="restart"/>
            <w:shd w:val="clear" w:color="auto" w:fill="FFFFFF" w:themeFill="background1"/>
          </w:tcPr>
          <w:p w14:paraId="2385594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4DBFBA2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4F5592E8"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opracowanych standardów opieki dla osób z zespołami otępiennymi, w tym opieki domowej</w:t>
            </w:r>
          </w:p>
        </w:tc>
      </w:tr>
      <w:tr w:rsidR="003C25C5" w:rsidRPr="005911C6" w14:paraId="207C770F" w14:textId="77777777" w:rsidTr="008C67C9">
        <w:trPr>
          <w:trHeight w:val="720"/>
        </w:trPr>
        <w:tc>
          <w:tcPr>
            <w:tcW w:w="1232" w:type="dxa"/>
            <w:vMerge/>
            <w:shd w:val="clear" w:color="auto" w:fill="FFFFFF" w:themeFill="background1"/>
          </w:tcPr>
          <w:p w14:paraId="721BFB4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3685052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82381F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53D7735"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21318F9"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41B1F7E0" w14:textId="77777777" w:rsidR="003C25C5" w:rsidRPr="005911C6" w:rsidRDefault="003C25C5" w:rsidP="005911C6">
            <w:pPr>
              <w:spacing w:after="0" w:line="240" w:lineRule="auto"/>
              <w:rPr>
                <w:rFonts w:ascii="Lato" w:hAnsi="Lato" w:cs="Times New Roman"/>
                <w:sz w:val="18"/>
                <w:szCs w:val="18"/>
              </w:rPr>
            </w:pPr>
          </w:p>
          <w:p w14:paraId="637F2A09"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5AAFF17B" w14:textId="77777777" w:rsidTr="008C67C9">
        <w:trPr>
          <w:trHeight w:val="205"/>
        </w:trPr>
        <w:tc>
          <w:tcPr>
            <w:tcW w:w="1232" w:type="dxa"/>
            <w:vMerge/>
            <w:shd w:val="clear" w:color="auto" w:fill="FFFFFF" w:themeFill="background1"/>
          </w:tcPr>
          <w:p w14:paraId="61F0417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590CED0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Rozwój różnorodnych form opieki dziennej, w tym:</w:t>
            </w:r>
          </w:p>
          <w:p w14:paraId="5FED8A6B"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rozwijanie sieci placówek dziennego pobytu i promowanie tworzenia ich w obszarach, na których jeszcze nie funkcjonują;</w:t>
            </w:r>
          </w:p>
          <w:p w14:paraId="36E40E27"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propagowanie form opieki dziennej wśród osób starszych nieaktywnych, nieuczestniczących w życiu środowiska lokalnego,</w:t>
            </w:r>
            <w:r w:rsidRPr="005911C6">
              <w:rPr>
                <w:rFonts w:ascii="Lato" w:hAnsi="Lato"/>
                <w:sz w:val="18"/>
                <w:szCs w:val="18"/>
              </w:rPr>
              <w:t xml:space="preserve"> </w:t>
            </w:r>
            <w:r w:rsidRPr="005911C6">
              <w:rPr>
                <w:rFonts w:ascii="Lato" w:eastAsia="MS Mincho" w:hAnsi="Lato"/>
                <w:sz w:val="18"/>
                <w:szCs w:val="18"/>
              </w:rPr>
              <w:t xml:space="preserve">w tym o charakterze opiekuńczym </w:t>
            </w:r>
            <w:r w:rsidRPr="005911C6">
              <w:rPr>
                <w:rFonts w:ascii="Lato" w:eastAsia="MS Mincho" w:hAnsi="Lato"/>
                <w:sz w:val="18"/>
                <w:szCs w:val="18"/>
              </w:rPr>
              <w:br/>
              <w:t xml:space="preserve">(łącznie z opieką </w:t>
            </w:r>
            <w:proofErr w:type="spellStart"/>
            <w:r w:rsidRPr="005911C6">
              <w:rPr>
                <w:rFonts w:ascii="Lato" w:eastAsia="MS Mincho" w:hAnsi="Lato"/>
                <w:sz w:val="18"/>
                <w:szCs w:val="18"/>
              </w:rPr>
              <w:t>wytchnieniową</w:t>
            </w:r>
            <w:proofErr w:type="spellEnd"/>
            <w:r w:rsidRPr="005911C6">
              <w:rPr>
                <w:rFonts w:ascii="Lato" w:eastAsia="MS Mincho" w:hAnsi="Lato"/>
                <w:sz w:val="18"/>
                <w:szCs w:val="18"/>
              </w:rPr>
              <w:t xml:space="preserve"> </w:t>
            </w:r>
            <w:r w:rsidRPr="005911C6">
              <w:rPr>
                <w:rFonts w:ascii="Lato" w:eastAsia="MS Mincho" w:hAnsi="Lato"/>
                <w:sz w:val="18"/>
                <w:szCs w:val="18"/>
              </w:rPr>
              <w:br/>
              <w:t xml:space="preserve">i w czasie oczekiwania na instytucje opieki długoterminowej),oraz wzmacniającym aktywność </w:t>
            </w:r>
            <w:r w:rsidRPr="005911C6">
              <w:rPr>
                <w:rFonts w:ascii="Lato" w:eastAsia="MS Mincho" w:hAnsi="Lato"/>
                <w:sz w:val="18"/>
                <w:szCs w:val="18"/>
              </w:rPr>
              <w:br/>
              <w:t>i samodzielność;</w:t>
            </w:r>
          </w:p>
          <w:p w14:paraId="65FFBB7E"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wspieranie systemu wymiany informacji pomiędzy placówkami umożliwiającego dzielenie się dobrymi praktykami</w:t>
            </w:r>
          </w:p>
          <w:p w14:paraId="1EC8BC00" w14:textId="77777777" w:rsidR="003C25C5" w:rsidRPr="005911C6" w:rsidRDefault="003C25C5" w:rsidP="005911C6">
            <w:pPr>
              <w:pStyle w:val="Kolorowalistaakcent11"/>
              <w:spacing w:after="0" w:line="240" w:lineRule="auto"/>
              <w:ind w:left="360"/>
              <w:rPr>
                <w:rFonts w:ascii="Lato" w:eastAsia="MS Mincho" w:hAnsi="Lato"/>
                <w:sz w:val="18"/>
                <w:szCs w:val="18"/>
              </w:rPr>
            </w:pPr>
          </w:p>
        </w:tc>
        <w:tc>
          <w:tcPr>
            <w:tcW w:w="2032" w:type="dxa"/>
            <w:vMerge w:val="restart"/>
            <w:shd w:val="clear" w:color="auto" w:fill="FFFFFF" w:themeFill="background1"/>
          </w:tcPr>
          <w:p w14:paraId="15E0FCB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p>
        </w:tc>
        <w:tc>
          <w:tcPr>
            <w:tcW w:w="1500" w:type="dxa"/>
            <w:vMerge w:val="restart"/>
            <w:shd w:val="clear" w:color="auto" w:fill="FFFFFF" w:themeFill="background1"/>
          </w:tcPr>
          <w:p w14:paraId="734B61C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2DF2E7B6"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funkcjonujących placówek opieki dziennej</w:t>
            </w:r>
          </w:p>
        </w:tc>
      </w:tr>
      <w:tr w:rsidR="003C25C5" w:rsidRPr="005911C6" w14:paraId="16C2D3CB" w14:textId="77777777" w:rsidTr="008C67C9">
        <w:trPr>
          <w:trHeight w:val="720"/>
        </w:trPr>
        <w:tc>
          <w:tcPr>
            <w:tcW w:w="1232" w:type="dxa"/>
            <w:vMerge/>
            <w:shd w:val="clear" w:color="auto" w:fill="FFFFFF" w:themeFill="background1"/>
          </w:tcPr>
          <w:p w14:paraId="2ACFD6A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26A656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6C1557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1F7CA44"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1E825F3" w14:textId="751EA5B0"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141EDA67" w14:textId="47055058" w:rsidR="00E37576" w:rsidRPr="005911C6" w:rsidRDefault="00E37576" w:rsidP="005911C6">
            <w:pPr>
              <w:spacing w:after="0" w:line="240" w:lineRule="auto"/>
              <w:rPr>
                <w:rFonts w:ascii="Lato" w:eastAsia="Times New Roman" w:hAnsi="Lato" w:cs="Times New Roman"/>
                <w:color w:val="000000" w:themeColor="text1"/>
                <w:sz w:val="18"/>
                <w:szCs w:val="18"/>
              </w:rPr>
            </w:pPr>
            <w:r w:rsidRPr="005911C6">
              <w:rPr>
                <w:rFonts w:ascii="Lato" w:eastAsia="Times New Roman" w:hAnsi="Lato" w:cs="Times New Roman"/>
                <w:color w:val="000000" w:themeColor="text1"/>
                <w:sz w:val="18"/>
                <w:szCs w:val="18"/>
              </w:rPr>
              <w:t xml:space="preserve">W Regionalnych Programach Operacyjnych ze środków EFS rozwijane są usługi opiekuńcze w społeczności lokalnej w ramach PI 9iv </w:t>
            </w:r>
            <w:r w:rsidRPr="005911C6">
              <w:rPr>
                <w:rFonts w:ascii="Lato" w:eastAsia="Times New Roman" w:hAnsi="Lato" w:cs="Times New Roman"/>
                <w:i/>
                <w:iCs/>
                <w:color w:val="000000" w:themeColor="text1"/>
                <w:sz w:val="18"/>
                <w:szCs w:val="18"/>
              </w:rPr>
              <w:t>Ułatwianie dostępu do przystępnych cenowo, trwałych oraz wysokiej jakości usług, w tym opieki zdrowotnej i usług socjalnych świadczonych w interesie ogólnym</w:t>
            </w:r>
            <w:r w:rsidRPr="005911C6">
              <w:rPr>
                <w:rFonts w:ascii="Lato" w:eastAsia="Times New Roman" w:hAnsi="Lato" w:cs="Times New Roman"/>
                <w:color w:val="000000" w:themeColor="text1"/>
                <w:sz w:val="18"/>
                <w:szCs w:val="18"/>
              </w:rPr>
              <w:t xml:space="preserve">. Wsparcie dla usług opiekuńczych prowadzi każdorazowo do zwiększenia liczby miejsc świadczenia usług opiekuńczych w 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poprzez tworzenie miejsc stałego lub krótkookresowego pobytu dziennego lub stałego lub krótkookresowego pobytu całodobowego w placówkach, w których realizowane są usługi społeczne świadczone w społeczności lokalnej. Miejsca krótkookresowego pobytu służą przede wszystkim poprawie dostępu do usług opiekuńczych w zastępstwie za opiekunów faktycznych w ramach opieki </w:t>
            </w:r>
            <w:proofErr w:type="spellStart"/>
            <w:r w:rsidRPr="005911C6">
              <w:rPr>
                <w:rFonts w:ascii="Lato" w:eastAsia="Times New Roman" w:hAnsi="Lato" w:cs="Times New Roman"/>
                <w:color w:val="000000" w:themeColor="text1"/>
                <w:sz w:val="18"/>
                <w:szCs w:val="18"/>
              </w:rPr>
              <w:t>wytchnieniowej</w:t>
            </w:r>
            <w:proofErr w:type="spellEnd"/>
            <w:r w:rsidRPr="005911C6">
              <w:rPr>
                <w:rFonts w:ascii="Lato" w:eastAsia="Times New Roman" w:hAnsi="Lato" w:cs="Times New Roman"/>
                <w:color w:val="000000" w:themeColor="text1"/>
                <w:sz w:val="18"/>
                <w:szCs w:val="18"/>
              </w:rPr>
              <w:t>. Usługi opiekuńcze wspierane w PI 9iv w RPO w formie stacjonarnej opieki dziennej realizowane są m.in. przez dzienne domy pomocy oraz kluby seniora.</w:t>
            </w:r>
          </w:p>
          <w:p w14:paraId="62E21815" w14:textId="599D3AC8" w:rsidR="003C25C5" w:rsidRPr="005911C6" w:rsidRDefault="00E37576" w:rsidP="005911C6">
            <w:pPr>
              <w:spacing w:after="0" w:line="240" w:lineRule="auto"/>
              <w:rPr>
                <w:rFonts w:ascii="Lato" w:eastAsia="Times New Roman" w:hAnsi="Lato" w:cs="Times New Roman"/>
                <w:color w:val="000000" w:themeColor="text1"/>
                <w:sz w:val="18"/>
                <w:szCs w:val="18"/>
              </w:rPr>
            </w:pPr>
            <w:r w:rsidRPr="005911C6">
              <w:rPr>
                <w:rFonts w:ascii="Lato" w:eastAsia="Times New Roman" w:hAnsi="Lato" w:cs="Times New Roman"/>
                <w:color w:val="000000" w:themeColor="text1"/>
                <w:sz w:val="18"/>
                <w:szCs w:val="18"/>
              </w:rPr>
              <w:t xml:space="preserve">Do końca 2022 r. wsparciem w zakresie usług asystenckich i opiekuńczych w formach </w:t>
            </w:r>
            <w:proofErr w:type="spellStart"/>
            <w:r w:rsidRPr="005911C6">
              <w:rPr>
                <w:rFonts w:ascii="Lato" w:eastAsia="Times New Roman" w:hAnsi="Lato" w:cs="Times New Roman"/>
                <w:color w:val="000000" w:themeColor="text1"/>
                <w:sz w:val="18"/>
                <w:szCs w:val="18"/>
              </w:rPr>
              <w:t>zdeinstytucjonalizowanych</w:t>
            </w:r>
            <w:proofErr w:type="spellEnd"/>
            <w:r w:rsidRPr="005911C6">
              <w:rPr>
                <w:rFonts w:ascii="Lato" w:eastAsia="Times New Roman" w:hAnsi="Lato" w:cs="Times New Roman"/>
                <w:color w:val="000000" w:themeColor="text1"/>
                <w:sz w:val="18"/>
                <w:szCs w:val="18"/>
              </w:rPr>
              <w:t xml:space="preserve"> dofinansowanych z EFS objęto prawie 120 tys. osób. </w:t>
            </w:r>
          </w:p>
        </w:tc>
      </w:tr>
      <w:tr w:rsidR="003C25C5" w:rsidRPr="005911C6" w14:paraId="17AC9730" w14:textId="77777777" w:rsidTr="008C67C9">
        <w:trPr>
          <w:trHeight w:val="213"/>
        </w:trPr>
        <w:tc>
          <w:tcPr>
            <w:tcW w:w="1232" w:type="dxa"/>
            <w:vMerge/>
            <w:shd w:val="clear" w:color="auto" w:fill="FFFFFF" w:themeFill="background1"/>
          </w:tcPr>
          <w:p w14:paraId="4B43D761"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4AA8CC4"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Rozwijanie sieci gospodarstw opiekuńczych i promowanie tworzenia ich na obszarach wiejskich.</w:t>
            </w:r>
          </w:p>
          <w:p w14:paraId="1DE6FD9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val="restart"/>
            <w:shd w:val="clear" w:color="auto" w:fill="FFFFFF" w:themeFill="background1"/>
          </w:tcPr>
          <w:p w14:paraId="419B612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Rolnictwa </w:t>
            </w:r>
            <w:r w:rsidRPr="005911C6">
              <w:rPr>
                <w:rFonts w:ascii="Lato" w:eastAsia="MS Mincho" w:hAnsi="Lato"/>
                <w:sz w:val="18"/>
                <w:szCs w:val="18"/>
              </w:rPr>
              <w:br/>
              <w:t>i Rozwoju Wsi</w:t>
            </w:r>
          </w:p>
        </w:tc>
        <w:tc>
          <w:tcPr>
            <w:tcW w:w="1500" w:type="dxa"/>
            <w:vMerge w:val="restart"/>
            <w:shd w:val="clear" w:color="auto" w:fill="FFFFFF" w:themeFill="background1"/>
          </w:tcPr>
          <w:p w14:paraId="00EAB9B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47E42D59"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funkcjonujących gospodarstw opiekuńczych</w:t>
            </w:r>
          </w:p>
        </w:tc>
      </w:tr>
      <w:tr w:rsidR="003C25C5" w:rsidRPr="005911C6" w14:paraId="11D05E87" w14:textId="77777777" w:rsidTr="008C67C9">
        <w:trPr>
          <w:trHeight w:val="720"/>
        </w:trPr>
        <w:tc>
          <w:tcPr>
            <w:tcW w:w="1232" w:type="dxa"/>
            <w:vMerge/>
            <w:shd w:val="clear" w:color="auto" w:fill="FFFFFF" w:themeFill="background1"/>
          </w:tcPr>
          <w:p w14:paraId="5330C1E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08CE23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07CE28A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AFA40A6"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D8ED9B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2C42871D" w14:textId="77777777" w:rsidR="003C25C5" w:rsidRPr="005911C6" w:rsidRDefault="003C25C5" w:rsidP="005911C6">
            <w:pPr>
              <w:spacing w:after="0" w:line="240" w:lineRule="auto"/>
              <w:rPr>
                <w:rFonts w:ascii="Lato" w:hAnsi="Lato" w:cs="Times New Roman"/>
                <w:sz w:val="18"/>
                <w:szCs w:val="18"/>
              </w:rPr>
            </w:pPr>
          </w:p>
          <w:p w14:paraId="0F462A45"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51779353" w14:textId="77777777" w:rsidTr="008C67C9">
        <w:trPr>
          <w:trHeight w:val="202"/>
        </w:trPr>
        <w:tc>
          <w:tcPr>
            <w:tcW w:w="1232" w:type="dxa"/>
            <w:vMerge/>
            <w:shd w:val="clear" w:color="auto" w:fill="FFFFFF" w:themeFill="background1"/>
          </w:tcPr>
          <w:p w14:paraId="01C72322"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F9B8AC5"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Tworzenie dziennych domów opieki medycznej (DDOM) jako wsparcie medyczne (świadczenia pielęgnacyjne, opiekuńcze i rehabilitacyjne oraz kontynuacja leczenia) osób niesamodzielnych, w tym w szczególności osób starszych, w warunkach zbliżonych do domowych, w środowisku lokalnym</w:t>
            </w:r>
          </w:p>
        </w:tc>
        <w:tc>
          <w:tcPr>
            <w:tcW w:w="2032" w:type="dxa"/>
            <w:vMerge w:val="restart"/>
            <w:shd w:val="clear" w:color="auto" w:fill="FFFFFF" w:themeFill="background1"/>
          </w:tcPr>
          <w:p w14:paraId="1D2782F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0FD8B8B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08341789"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funkcjonujących dziennych domów opieki medycznej</w:t>
            </w:r>
          </w:p>
        </w:tc>
      </w:tr>
      <w:tr w:rsidR="003C25C5" w:rsidRPr="005911C6" w14:paraId="4891EDBE" w14:textId="77777777" w:rsidTr="008C67C9">
        <w:trPr>
          <w:trHeight w:val="720"/>
        </w:trPr>
        <w:tc>
          <w:tcPr>
            <w:tcW w:w="1232" w:type="dxa"/>
            <w:vMerge/>
            <w:shd w:val="clear" w:color="auto" w:fill="FFFFFF" w:themeFill="background1"/>
          </w:tcPr>
          <w:p w14:paraId="735BA59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DECE59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4312B1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D4E417C"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5FE2721F" w14:textId="6C7470B8" w:rsidR="007031B1" w:rsidRPr="005911C6" w:rsidRDefault="007031B1"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447B4850" w14:textId="20FE8935" w:rsidR="003C25C5" w:rsidRPr="005911C6" w:rsidRDefault="007031B1" w:rsidP="005911C6">
            <w:pPr>
              <w:spacing w:after="0" w:line="240" w:lineRule="auto"/>
              <w:rPr>
                <w:rFonts w:ascii="Lato" w:hAnsi="Lato"/>
                <w:sz w:val="18"/>
                <w:szCs w:val="18"/>
              </w:rPr>
            </w:pPr>
            <w:r w:rsidRPr="005911C6">
              <w:rPr>
                <w:rFonts w:ascii="Lato" w:hAnsi="Lato"/>
                <w:sz w:val="18"/>
                <w:szCs w:val="18"/>
              </w:rPr>
              <w:t>Na początku 2019 r. zakończono realizację projektów wyłonionych w 2016 r. w ramach konkursu pn. Dzienny dom opieki medycznej (DDOM). Przedmiotem projektów było pilotażowe wdrożenie i przetestowanie standardu dziennych domów opieki medycznej. Wartość ogółem 53 projektów przyjętych do realizacji to ponad 51 mln. zł.</w:t>
            </w:r>
          </w:p>
        </w:tc>
      </w:tr>
      <w:tr w:rsidR="003C25C5" w:rsidRPr="005911C6" w14:paraId="0D246C01" w14:textId="77777777" w:rsidTr="008C67C9">
        <w:trPr>
          <w:trHeight w:val="475"/>
        </w:trPr>
        <w:tc>
          <w:tcPr>
            <w:tcW w:w="1232" w:type="dxa"/>
            <w:vMerge/>
            <w:shd w:val="clear" w:color="auto" w:fill="FFFFFF" w:themeFill="background1"/>
          </w:tcPr>
          <w:p w14:paraId="215A7335"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602824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Wspieranie inicjatyw jednostek samorządu terytorialnego na rzecz tworzenia mieszkań chronionych</w:t>
            </w:r>
          </w:p>
        </w:tc>
        <w:tc>
          <w:tcPr>
            <w:tcW w:w="2032" w:type="dxa"/>
            <w:vMerge w:val="restart"/>
            <w:shd w:val="clear" w:color="auto" w:fill="FFFFFF" w:themeFill="background1"/>
          </w:tcPr>
          <w:p w14:paraId="494CEFA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Ministerstwo Rodziny i Polityki Społecznej, </w:t>
            </w:r>
            <w:r w:rsidRPr="005911C6">
              <w:rPr>
                <w:rFonts w:ascii="Lato" w:eastAsia="MS Mincho" w:hAnsi="Lato"/>
                <w:sz w:val="18"/>
                <w:szCs w:val="18"/>
              </w:rPr>
              <w:lastRenderedPageBreak/>
              <w:t>Ministerstwo Infrastruktury,  Ministerstwo Rozwoju i Technologii</w:t>
            </w:r>
            <w:r w:rsidRPr="005911C6">
              <w:rPr>
                <w:rFonts w:ascii="Lato" w:eastAsia="MS Mincho" w:hAnsi="Lato"/>
                <w:sz w:val="18"/>
                <w:szCs w:val="18"/>
              </w:rPr>
              <w:br/>
            </w:r>
          </w:p>
          <w:p w14:paraId="2793B2CA"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683EBB4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9A3B96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lastRenderedPageBreak/>
              <w:t>2018-2021</w:t>
            </w:r>
          </w:p>
        </w:tc>
        <w:tc>
          <w:tcPr>
            <w:tcW w:w="5638" w:type="dxa"/>
            <w:shd w:val="clear" w:color="auto" w:fill="FFFFFF" w:themeFill="background1"/>
          </w:tcPr>
          <w:p w14:paraId="290DAFF7"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funkcjonujących mieszkań chronionych dla osób starszych</w:t>
            </w:r>
          </w:p>
        </w:tc>
      </w:tr>
      <w:tr w:rsidR="003C25C5" w:rsidRPr="005911C6" w14:paraId="61D66877" w14:textId="77777777" w:rsidTr="008C67C9">
        <w:trPr>
          <w:trHeight w:val="720"/>
        </w:trPr>
        <w:tc>
          <w:tcPr>
            <w:tcW w:w="1232" w:type="dxa"/>
            <w:vMerge/>
            <w:shd w:val="clear" w:color="auto" w:fill="FFFFFF" w:themeFill="background1"/>
          </w:tcPr>
          <w:p w14:paraId="49500A9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EB37E2E"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6FC621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B4BA26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C5BF39E" w14:textId="3CAF2A6A"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482912D8" w14:textId="33C7357E" w:rsidR="00E37576" w:rsidRPr="005911C6" w:rsidRDefault="00E37576" w:rsidP="005911C6">
            <w:pPr>
              <w:spacing w:after="0" w:line="240" w:lineRule="auto"/>
              <w:rPr>
                <w:rFonts w:ascii="Lato" w:eastAsia="Times New Roman" w:hAnsi="Lato" w:cs="Times New Roman"/>
                <w:color w:val="000000" w:themeColor="text1"/>
                <w:sz w:val="18"/>
                <w:szCs w:val="18"/>
              </w:rPr>
            </w:pPr>
            <w:r w:rsidRPr="005911C6">
              <w:rPr>
                <w:rFonts w:ascii="Lato" w:eastAsia="Times New Roman" w:hAnsi="Lato" w:cs="Times New Roman"/>
                <w:color w:val="000000" w:themeColor="text1"/>
                <w:sz w:val="18"/>
                <w:szCs w:val="18"/>
              </w:rPr>
              <w:t xml:space="preserve">W Regionalnych Programach Operacyjnych ze środków EFS rozwijane są usługi w postaci mieszkań chronionych i wspomaganych w ramach PI 9iv </w:t>
            </w:r>
            <w:r w:rsidRPr="005911C6">
              <w:rPr>
                <w:rFonts w:ascii="Lato" w:eastAsia="Times New Roman" w:hAnsi="Lato" w:cs="Times New Roman"/>
                <w:i/>
                <w:iCs/>
                <w:color w:val="000000" w:themeColor="text1"/>
                <w:sz w:val="18"/>
                <w:szCs w:val="18"/>
              </w:rPr>
              <w:t>Ułatwianie dostępu do</w:t>
            </w:r>
            <w:r w:rsidRPr="005911C6">
              <w:rPr>
                <w:rFonts w:ascii="Lato" w:eastAsia="Times New Roman" w:hAnsi="Lato" w:cs="Times New Roman"/>
                <w:color w:val="000000" w:themeColor="text1"/>
                <w:sz w:val="18"/>
                <w:szCs w:val="18"/>
              </w:rPr>
              <w:t xml:space="preserve"> </w:t>
            </w:r>
            <w:r w:rsidRPr="005911C6">
              <w:rPr>
                <w:rFonts w:ascii="Lato" w:eastAsia="Times New Roman" w:hAnsi="Lato" w:cs="Times New Roman"/>
                <w:i/>
                <w:iCs/>
                <w:color w:val="000000" w:themeColor="text1"/>
                <w:sz w:val="18"/>
                <w:szCs w:val="18"/>
              </w:rPr>
              <w:t>przystępnych cenowo, trwałych oraz wysokiej jakości usług, w tym opieki zdrowotnej i usług socjalnych świadczonych w interesie ogólnym</w:t>
            </w:r>
            <w:r w:rsidRPr="005911C6">
              <w:rPr>
                <w:rFonts w:ascii="Lato" w:eastAsia="Times New Roman" w:hAnsi="Lato" w:cs="Times New Roman"/>
                <w:color w:val="000000" w:themeColor="text1"/>
                <w:sz w:val="18"/>
                <w:szCs w:val="18"/>
              </w:rPr>
              <w:t>.</w:t>
            </w:r>
          </w:p>
          <w:p w14:paraId="6AC4B1BF" w14:textId="77777777" w:rsidR="00E37576" w:rsidRPr="005911C6" w:rsidRDefault="00E37576" w:rsidP="005911C6">
            <w:pPr>
              <w:spacing w:after="0" w:line="240" w:lineRule="auto"/>
              <w:rPr>
                <w:rFonts w:ascii="Lato" w:eastAsia="Times New Roman" w:hAnsi="Lato" w:cs="Times New Roman"/>
                <w:color w:val="000000" w:themeColor="text1"/>
                <w:sz w:val="18"/>
                <w:szCs w:val="18"/>
              </w:rPr>
            </w:pPr>
            <w:r w:rsidRPr="005911C6">
              <w:rPr>
                <w:rFonts w:ascii="Lato" w:eastAsia="Times New Roman" w:hAnsi="Lato" w:cs="Times New Roman"/>
                <w:color w:val="000000" w:themeColor="text1"/>
                <w:sz w:val="18"/>
                <w:szCs w:val="18"/>
              </w:rPr>
              <w:t>Wsparcie dla mieszkań chronionych i mieszkań wspomaganych polega na tworzeniu miejsc w nowo tworzonych lub istniejących mieszkaniach chronionych lub mieszkaniach wspomaganych, przeznaczonych dla osób lub rodzin zagrożonych ubóstwem lub wykluczeniem społecznym. Do końca 2022 r. usługami w postaci</w:t>
            </w:r>
          </w:p>
          <w:p w14:paraId="09F66EB5" w14:textId="77777777" w:rsidR="003C25C5" w:rsidRPr="005911C6" w:rsidRDefault="00E37576" w:rsidP="005911C6">
            <w:pPr>
              <w:spacing w:after="0" w:line="240" w:lineRule="auto"/>
              <w:rPr>
                <w:rFonts w:ascii="Lato" w:eastAsia="Times New Roman" w:hAnsi="Lato" w:cs="Times New Roman"/>
                <w:color w:val="000000" w:themeColor="text1"/>
                <w:sz w:val="18"/>
                <w:szCs w:val="18"/>
              </w:rPr>
            </w:pPr>
            <w:r w:rsidRPr="005911C6">
              <w:rPr>
                <w:rFonts w:ascii="Lato" w:eastAsia="Times New Roman" w:hAnsi="Lato" w:cs="Times New Roman"/>
                <w:color w:val="000000" w:themeColor="text1"/>
                <w:sz w:val="18"/>
                <w:szCs w:val="18"/>
              </w:rPr>
              <w:t>mieszkań chronionych i wspomaganych dofinansowanych z EFS objęto ponad 5,6 tys. osób. Ponadto zostały utworzonych 871 miejsc świadczenia usług w mieszkaniach wspomaganych i chronionych. Dodatkowo, przekazujemy informacje dotyczące wypracowania modeli mieszkań wspomaganych. W Programie Wiedza Edukacja Rozwój realizowanych jest 6 projektów ROPS, których celem jest wypracowanie modeli mieszkań wspomaganych dla: osób chorujących psychicznie po wielokrotnych pobytach w szpitalach psychiatrycznych; osób z niepełnosprawnością fizyczną; osób z całościowymi zaburzeniami rozwoju, w tym z autyzmem i zespołem Aspergera; osób z chorobami neurologicznymi, w tym z chorobą Alzheimera i chorobą Parkinsona oraz osób starszych; osób z niepełnosprawnościami sprzężonymi oraz dla osób z niepełnosprawnością intelektualną, w tym z zespołem Downa. W ramach każdego projektu opracowany został jeden model/standard mieszkania wspomaganego, uwzględniający specyficzne potrzeby i możliwości danej grupy osób.</w:t>
            </w:r>
          </w:p>
          <w:p w14:paraId="5010FC40" w14:textId="77777777" w:rsidR="00877496" w:rsidRPr="005911C6" w:rsidRDefault="00877496" w:rsidP="005911C6">
            <w:pPr>
              <w:spacing w:after="0" w:line="240" w:lineRule="auto"/>
              <w:rPr>
                <w:rFonts w:ascii="Lato" w:eastAsia="Times New Roman" w:hAnsi="Lato" w:cs="Times New Roman"/>
                <w:b/>
                <w:bCs/>
                <w:color w:val="2F5496" w:themeColor="accent1" w:themeShade="BF"/>
                <w:sz w:val="18"/>
                <w:szCs w:val="18"/>
              </w:rPr>
            </w:pPr>
            <w:r w:rsidRPr="005911C6">
              <w:rPr>
                <w:rFonts w:ascii="Lato" w:eastAsia="Times New Roman" w:hAnsi="Lato" w:cs="Times New Roman"/>
                <w:b/>
                <w:bCs/>
                <w:color w:val="2F5496" w:themeColor="accent1" w:themeShade="BF"/>
                <w:sz w:val="18"/>
                <w:szCs w:val="18"/>
              </w:rPr>
              <w:t>Ministerstwo Rozwoju i Technologii</w:t>
            </w:r>
          </w:p>
          <w:p w14:paraId="74F122F1" w14:textId="32A14A0E" w:rsidR="00877496" w:rsidRPr="005911C6" w:rsidRDefault="00877496" w:rsidP="005911C6">
            <w:pPr>
              <w:spacing w:after="0" w:line="240" w:lineRule="auto"/>
              <w:rPr>
                <w:rFonts w:ascii="Lato" w:eastAsia="Times New Roman" w:hAnsi="Lato" w:cs="Times New Roman"/>
                <w:color w:val="000000" w:themeColor="text1"/>
                <w:sz w:val="18"/>
                <w:szCs w:val="18"/>
              </w:rPr>
            </w:pPr>
            <w:r w:rsidRPr="005911C6">
              <w:rPr>
                <w:rFonts w:ascii="Lato" w:eastAsia="MS Mincho" w:hAnsi="Lato" w:cs="Times New Roman"/>
                <w:bCs/>
                <w:sz w:val="18"/>
                <w:szCs w:val="18"/>
              </w:rPr>
              <w:t xml:space="preserve">W ramach pozostającej we właściwości </w:t>
            </w:r>
            <w:proofErr w:type="spellStart"/>
            <w:r w:rsidRPr="005911C6">
              <w:rPr>
                <w:rFonts w:ascii="Lato" w:eastAsia="MS Mincho" w:hAnsi="Lato" w:cs="Times New Roman"/>
                <w:bCs/>
                <w:sz w:val="18"/>
                <w:szCs w:val="18"/>
              </w:rPr>
              <w:t>MRiT</w:t>
            </w:r>
            <w:proofErr w:type="spellEnd"/>
            <w:r w:rsidRPr="005911C6">
              <w:rPr>
                <w:rFonts w:ascii="Lato" w:eastAsia="MS Mincho" w:hAnsi="Lato" w:cs="Times New Roman"/>
                <w:bCs/>
                <w:sz w:val="18"/>
                <w:szCs w:val="18"/>
              </w:rPr>
              <w:t xml:space="preserve"> ustawy z dnia 8 grudnia 2006 r. o finansowym wsparciu niektórych przedsięwzięć mieszkaniowych, w 2022 r. kontynuowane było bezzwrotne finansowe wsparcie na tworzenie (modernizację) mieszkań chronionych. Wysokość tego wsparcia od 2021 r. wynosi 80% kosztów inwestycji, co w 2022 r. przełożyło się na większe zainteresowanie beneficjentów wsparcia, w tym jednostek samorządu terytorialnego tworzeniem (modernizacją) tego typu mieszkań. W 2022 r. na utworzenie (modernizację) ww. lokali złożono 341 ogólnie wniosków, w wyniku których powstanie łącznie 4 392 mieszkań, w tym ma 78 mieszkań chronionych.</w:t>
            </w:r>
          </w:p>
        </w:tc>
      </w:tr>
      <w:tr w:rsidR="003C25C5" w:rsidRPr="005911C6" w14:paraId="580BD672" w14:textId="77777777" w:rsidTr="008C67C9">
        <w:trPr>
          <w:trHeight w:val="720"/>
        </w:trPr>
        <w:tc>
          <w:tcPr>
            <w:tcW w:w="1232" w:type="dxa"/>
            <w:vMerge/>
            <w:shd w:val="clear" w:color="auto" w:fill="FFFFFF" w:themeFill="background1"/>
          </w:tcPr>
          <w:p w14:paraId="7972933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B878E9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Rozwój opieki całodobowej:</w:t>
            </w:r>
          </w:p>
          <w:p w14:paraId="5A75DB0B"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 xml:space="preserve">wypracowanie jednoznacznych </w:t>
            </w:r>
            <w:r w:rsidRPr="005911C6">
              <w:rPr>
                <w:rFonts w:ascii="Lato" w:eastAsia="MS Mincho" w:hAnsi="Lato"/>
                <w:sz w:val="18"/>
                <w:szCs w:val="18"/>
              </w:rPr>
              <w:br/>
              <w:t xml:space="preserve">i adekwatnych do potrzeb niesamodzielnej osoby starszej kryteriów ich kwalifikacji </w:t>
            </w:r>
            <w:r w:rsidRPr="005911C6">
              <w:rPr>
                <w:rFonts w:ascii="Lato" w:eastAsia="MS Mincho" w:hAnsi="Lato"/>
                <w:sz w:val="18"/>
                <w:szCs w:val="18"/>
              </w:rPr>
              <w:br/>
              <w:t>do różnych placówek opieki długoterminowej;</w:t>
            </w:r>
          </w:p>
          <w:p w14:paraId="76612AEE"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 xml:space="preserve">wspieranie inicjatyw jednostek samorządu terytorialnego </w:t>
            </w:r>
            <w:r w:rsidRPr="005911C6">
              <w:rPr>
                <w:rFonts w:ascii="Lato" w:eastAsia="MS Mincho" w:hAnsi="Lato"/>
                <w:sz w:val="18"/>
                <w:szCs w:val="18"/>
              </w:rPr>
              <w:br/>
              <w:t xml:space="preserve">na rzecz tworzenia placówek całodobowej opieki </w:t>
            </w:r>
            <w:r w:rsidRPr="005911C6">
              <w:rPr>
                <w:rFonts w:ascii="Lato" w:eastAsia="MS Mincho" w:hAnsi="Lato"/>
                <w:sz w:val="18"/>
                <w:szCs w:val="18"/>
              </w:rPr>
              <w:br/>
              <w:t>dla niesamodzielnych osób starszych i samotnych;</w:t>
            </w:r>
          </w:p>
          <w:p w14:paraId="08B8E8EC"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wspieranie tworzenia rodzinnych domów pomocy społecznej i innych form środowiskowej opieki całodobowej</w:t>
            </w:r>
          </w:p>
        </w:tc>
        <w:tc>
          <w:tcPr>
            <w:tcW w:w="2032" w:type="dxa"/>
            <w:vMerge w:val="restart"/>
            <w:shd w:val="clear" w:color="auto" w:fill="FFFFFF" w:themeFill="background1"/>
          </w:tcPr>
          <w:p w14:paraId="38CC4DF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r w:rsidRPr="005911C6">
              <w:rPr>
                <w:rFonts w:ascii="Lato" w:eastAsia="MS Mincho" w:hAnsi="Lato"/>
                <w:sz w:val="18"/>
                <w:szCs w:val="18"/>
              </w:rPr>
              <w:br/>
            </w:r>
          </w:p>
          <w:p w14:paraId="10D811B1"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4C2B6AA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38A82B3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268FAC70" w14:textId="77777777" w:rsidR="003C25C5" w:rsidRPr="005911C6" w:rsidRDefault="003C25C5" w:rsidP="005911C6">
            <w:pPr>
              <w:spacing w:after="0" w:line="240" w:lineRule="auto"/>
              <w:rPr>
                <w:rFonts w:ascii="Lato" w:eastAsia="MS Mincho" w:hAnsi="Lato" w:cs="Times New Roman"/>
                <w:i/>
                <w:sz w:val="18"/>
                <w:szCs w:val="18"/>
              </w:rPr>
            </w:pPr>
            <w:r w:rsidRPr="005911C6">
              <w:rPr>
                <w:rFonts w:ascii="Lato" w:eastAsia="MS Mincho" w:hAnsi="Lato" w:cs="Times New Roman"/>
                <w:i/>
                <w:sz w:val="18"/>
                <w:szCs w:val="18"/>
              </w:rPr>
              <w:t>Liczba funkcjonujących placówek opieki całodobowej</w:t>
            </w:r>
          </w:p>
          <w:p w14:paraId="70D70007" w14:textId="77777777" w:rsidR="003C25C5" w:rsidRPr="005911C6" w:rsidRDefault="003C25C5" w:rsidP="005911C6">
            <w:pPr>
              <w:spacing w:after="0" w:line="240" w:lineRule="auto"/>
              <w:rPr>
                <w:rFonts w:ascii="Lato" w:eastAsia="MS Mincho" w:hAnsi="Lato" w:cs="Times New Roman"/>
                <w:b/>
                <w:sz w:val="18"/>
                <w:szCs w:val="18"/>
              </w:rPr>
            </w:pPr>
            <w:r w:rsidRPr="005911C6">
              <w:rPr>
                <w:rFonts w:ascii="Lato" w:eastAsia="MS Mincho" w:hAnsi="Lato" w:cs="Times New Roman"/>
                <w:b/>
                <w:sz w:val="18"/>
                <w:szCs w:val="18"/>
              </w:rPr>
              <w:t xml:space="preserve">oraz </w:t>
            </w:r>
          </w:p>
          <w:p w14:paraId="0329075B"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mających na celu rozwój opieki całodobowej</w:t>
            </w:r>
          </w:p>
        </w:tc>
      </w:tr>
      <w:tr w:rsidR="003C25C5" w:rsidRPr="005911C6" w14:paraId="5FF66C94" w14:textId="77777777" w:rsidTr="008C67C9">
        <w:trPr>
          <w:trHeight w:val="720"/>
        </w:trPr>
        <w:tc>
          <w:tcPr>
            <w:tcW w:w="1232" w:type="dxa"/>
            <w:vMerge/>
            <w:shd w:val="clear" w:color="auto" w:fill="FFFFFF" w:themeFill="background1"/>
          </w:tcPr>
          <w:p w14:paraId="592EA99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E2CA59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1DAC59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0DA0872"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A5917B3" w14:textId="77777777" w:rsidR="00A054F3" w:rsidRPr="005911C6" w:rsidRDefault="00A054F3"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2ABD1E76" w14:textId="5D8E4EE6" w:rsidR="00A054F3" w:rsidRPr="005911C6" w:rsidRDefault="00A054F3"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Cs/>
                <w:sz w:val="18"/>
                <w:szCs w:val="18"/>
              </w:rPr>
              <w:t>Rozpoczęły się przygotowania do przeglądu systemu opieki długoterminowej w Polsce realizowanego do końca 2023 r.</w:t>
            </w:r>
          </w:p>
          <w:p w14:paraId="0B403C61" w14:textId="77777777" w:rsidR="00A054F3" w:rsidRPr="005911C6" w:rsidRDefault="00A054F3" w:rsidP="005911C6">
            <w:pPr>
              <w:spacing w:after="0" w:line="240" w:lineRule="auto"/>
              <w:rPr>
                <w:rFonts w:ascii="Lato" w:eastAsia="MS Mincho" w:hAnsi="Lato" w:cs="Times New Roman"/>
                <w:b/>
                <w:color w:val="2F5496" w:themeColor="accent1" w:themeShade="BF"/>
                <w:sz w:val="18"/>
                <w:szCs w:val="18"/>
              </w:rPr>
            </w:pPr>
          </w:p>
          <w:p w14:paraId="055B7540" w14:textId="34466292"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63E193F8" w14:textId="46732FFC" w:rsidR="003C25C5" w:rsidRPr="005911C6" w:rsidRDefault="00E37576" w:rsidP="005911C6">
            <w:pPr>
              <w:spacing w:after="0" w:line="240" w:lineRule="auto"/>
              <w:rPr>
                <w:rFonts w:ascii="Lato" w:eastAsia="MS Mincho" w:hAnsi="Lato" w:cs="Times New Roman"/>
                <w:b/>
                <w:sz w:val="18"/>
                <w:szCs w:val="18"/>
                <w:u w:val="single"/>
              </w:rPr>
            </w:pPr>
            <w:r w:rsidRPr="005911C6">
              <w:rPr>
                <w:rFonts w:ascii="Lato" w:eastAsia="Times New Roman" w:hAnsi="Lato" w:cs="Times New Roman"/>
                <w:color w:val="000000" w:themeColor="text1"/>
                <w:sz w:val="18"/>
                <w:szCs w:val="18"/>
              </w:rPr>
              <w:t xml:space="preserve">W Regionalnych Programach Operacyjnych ze środków EFS rozwijane są usługi społeczne świadczone w społeczności lokalnej w ramach PI 9iv </w:t>
            </w:r>
            <w:r w:rsidRPr="005911C6">
              <w:rPr>
                <w:rFonts w:ascii="Lato" w:eastAsia="Times New Roman" w:hAnsi="Lato" w:cs="Times New Roman"/>
                <w:i/>
                <w:iCs/>
                <w:color w:val="000000" w:themeColor="text1"/>
                <w:sz w:val="18"/>
                <w:szCs w:val="18"/>
              </w:rPr>
              <w:t>Ułatwianie dostępu do przystępnych cenowo, trwałych oraz wysokiej jakości usług, w tym opieki zdrowotnej i usług socjalnych świadczonych w interesie ogólnym</w:t>
            </w:r>
            <w:r w:rsidRPr="005911C6">
              <w:rPr>
                <w:rFonts w:ascii="Lato" w:eastAsia="Times New Roman" w:hAnsi="Lato" w:cs="Times New Roman"/>
                <w:color w:val="000000" w:themeColor="text1"/>
                <w:sz w:val="18"/>
                <w:szCs w:val="18"/>
              </w:rPr>
              <w:t>.  Mogą to być m.in. usługi opiekuńcze w zakresie krótkookresowego całodobowego i krótkookresowego dziennego pobytu, których celem jest zapewnienie opieki dla osób potrzebujących wsparcia w codziennym funkcjonowaniu, w tym w zastępstwie za opiekunów faktycznych oraz usługi w ośrodkach wsparcia, o których mowa w ustawie z dnia 12 marca 2004 r. o pomocy społecznej, o ile liczba miejsc całodobowego pobytu w tych ośrodkach jest nie większa niż 30.</w:t>
            </w:r>
          </w:p>
        </w:tc>
      </w:tr>
      <w:tr w:rsidR="003C25C5" w:rsidRPr="005911C6" w14:paraId="57B92CFB" w14:textId="77777777" w:rsidTr="008C67C9">
        <w:trPr>
          <w:trHeight w:val="436"/>
        </w:trPr>
        <w:tc>
          <w:tcPr>
            <w:tcW w:w="1232" w:type="dxa"/>
            <w:vMerge/>
            <w:shd w:val="clear" w:color="auto" w:fill="FFFFFF" w:themeFill="background1"/>
          </w:tcPr>
          <w:p w14:paraId="0BB061A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89F0F2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Zapewnienie ciągłości opieki </w:t>
            </w:r>
            <w:r w:rsidRPr="005911C6">
              <w:rPr>
                <w:rFonts w:ascii="Lato" w:eastAsia="MS Mincho" w:hAnsi="Lato"/>
                <w:sz w:val="18"/>
                <w:szCs w:val="18"/>
              </w:rPr>
              <w:br/>
              <w:t>przy zmianach miejsca jej sprawowania</w:t>
            </w:r>
          </w:p>
        </w:tc>
        <w:tc>
          <w:tcPr>
            <w:tcW w:w="2032" w:type="dxa"/>
            <w:vMerge w:val="restart"/>
            <w:shd w:val="clear" w:color="auto" w:fill="FFFFFF" w:themeFill="background1"/>
          </w:tcPr>
          <w:p w14:paraId="5913EEB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r w:rsidRPr="005911C6">
              <w:rPr>
                <w:rFonts w:ascii="Lato" w:eastAsia="MS Mincho" w:hAnsi="Lato"/>
                <w:sz w:val="18"/>
                <w:szCs w:val="18"/>
              </w:rPr>
              <w:br/>
            </w:r>
          </w:p>
        </w:tc>
        <w:tc>
          <w:tcPr>
            <w:tcW w:w="1500" w:type="dxa"/>
            <w:vMerge w:val="restart"/>
            <w:shd w:val="clear" w:color="auto" w:fill="FFFFFF" w:themeFill="background1"/>
          </w:tcPr>
          <w:p w14:paraId="6CBA46E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41403835"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Zapewnienie ciągłości opieki przy zmianach miejsca jej sprawowania</w:t>
            </w:r>
          </w:p>
        </w:tc>
      </w:tr>
      <w:tr w:rsidR="003C25C5" w:rsidRPr="005911C6" w14:paraId="42BAD6D0" w14:textId="77777777" w:rsidTr="008C67C9">
        <w:trPr>
          <w:trHeight w:val="720"/>
        </w:trPr>
        <w:tc>
          <w:tcPr>
            <w:tcW w:w="1232" w:type="dxa"/>
            <w:vMerge/>
            <w:shd w:val="clear" w:color="auto" w:fill="FFFFFF" w:themeFill="background1"/>
          </w:tcPr>
          <w:p w14:paraId="75FF9051"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68506C4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05705E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58A89DE"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3ED7FBC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7EE25A2D" w14:textId="77777777" w:rsidR="003C25C5" w:rsidRPr="005911C6" w:rsidRDefault="003C25C5" w:rsidP="005911C6">
            <w:pPr>
              <w:spacing w:after="0" w:line="240" w:lineRule="auto"/>
              <w:rPr>
                <w:rFonts w:ascii="Lato" w:hAnsi="Lato" w:cs="Times New Roman"/>
                <w:sz w:val="18"/>
                <w:szCs w:val="18"/>
              </w:rPr>
            </w:pPr>
          </w:p>
          <w:p w14:paraId="4CAA779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23D76F66" w14:textId="77777777" w:rsidTr="008C67C9">
        <w:trPr>
          <w:trHeight w:val="457"/>
        </w:trPr>
        <w:tc>
          <w:tcPr>
            <w:tcW w:w="1232" w:type="dxa"/>
            <w:vMerge/>
            <w:shd w:val="clear" w:color="auto" w:fill="FFFFFF" w:themeFill="background1"/>
          </w:tcPr>
          <w:p w14:paraId="14CFC62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01F2734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Zweryfikowanie dotychczasowego systemu podnoszenia kwalifikacji osób świadczących usługi opiekuńcze</w:t>
            </w:r>
          </w:p>
        </w:tc>
        <w:tc>
          <w:tcPr>
            <w:tcW w:w="2032" w:type="dxa"/>
            <w:vMerge w:val="restart"/>
            <w:shd w:val="clear" w:color="auto" w:fill="FFFFFF" w:themeFill="background1"/>
          </w:tcPr>
          <w:p w14:paraId="4D3E51B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w:t>
            </w:r>
            <w:r w:rsidRPr="005911C6">
              <w:rPr>
                <w:rFonts w:ascii="Lato" w:eastAsia="MS Mincho" w:hAnsi="Lato"/>
                <w:sz w:val="18"/>
                <w:szCs w:val="18"/>
              </w:rPr>
              <w:br/>
            </w:r>
          </w:p>
          <w:p w14:paraId="6AD11C1D"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73307E7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266FA346"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Weryfikacja systemu podnoszenia kwalifikacji w zawodach opiekuńczych</w:t>
            </w:r>
          </w:p>
        </w:tc>
      </w:tr>
      <w:tr w:rsidR="003C25C5" w:rsidRPr="005911C6" w14:paraId="7420A11C" w14:textId="77777777" w:rsidTr="008C67C9">
        <w:trPr>
          <w:trHeight w:val="720"/>
        </w:trPr>
        <w:tc>
          <w:tcPr>
            <w:tcW w:w="1232" w:type="dxa"/>
            <w:vMerge/>
            <w:shd w:val="clear" w:color="auto" w:fill="FFFFFF" w:themeFill="background1"/>
          </w:tcPr>
          <w:p w14:paraId="1AD97406"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2344C71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096D769"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5D29C0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BB7A96F"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1FEBBD5A" w14:textId="77777777" w:rsidR="003C25C5" w:rsidRPr="005911C6" w:rsidRDefault="003C25C5" w:rsidP="005911C6">
            <w:pPr>
              <w:spacing w:after="0" w:line="240" w:lineRule="auto"/>
              <w:rPr>
                <w:rFonts w:ascii="Lato" w:hAnsi="Lato" w:cs="Times New Roman"/>
                <w:sz w:val="18"/>
                <w:szCs w:val="18"/>
              </w:rPr>
            </w:pPr>
          </w:p>
          <w:p w14:paraId="31CBD7C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74C56B36" w14:textId="77777777" w:rsidTr="008C67C9">
        <w:trPr>
          <w:trHeight w:val="480"/>
        </w:trPr>
        <w:tc>
          <w:tcPr>
            <w:tcW w:w="1232" w:type="dxa"/>
            <w:vMerge/>
            <w:shd w:val="clear" w:color="auto" w:fill="FFFFFF" w:themeFill="background1"/>
          </w:tcPr>
          <w:p w14:paraId="22D1B08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16CE5C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Przeprowadzenie kampanii społecznych, promujących zawody opiekuńcze</w:t>
            </w:r>
          </w:p>
        </w:tc>
        <w:tc>
          <w:tcPr>
            <w:tcW w:w="2032" w:type="dxa"/>
            <w:vMerge w:val="restart"/>
            <w:shd w:val="clear" w:color="auto" w:fill="FFFFFF" w:themeFill="background1"/>
          </w:tcPr>
          <w:p w14:paraId="29B7135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Rozwoju i Technologii</w:t>
            </w:r>
            <w:r w:rsidRPr="005911C6">
              <w:rPr>
                <w:rFonts w:ascii="Lato" w:eastAsia="MS Mincho" w:hAnsi="Lato"/>
                <w:sz w:val="18"/>
                <w:szCs w:val="18"/>
              </w:rPr>
              <w:tab/>
            </w:r>
          </w:p>
        </w:tc>
        <w:tc>
          <w:tcPr>
            <w:tcW w:w="1500" w:type="dxa"/>
            <w:vMerge w:val="restart"/>
            <w:shd w:val="clear" w:color="auto" w:fill="FFFFFF" w:themeFill="background1"/>
          </w:tcPr>
          <w:p w14:paraId="6F6E2F4C" w14:textId="77777777" w:rsidR="003C25C5" w:rsidRPr="005911C6" w:rsidRDefault="003C25C5" w:rsidP="005911C6">
            <w:pPr>
              <w:pStyle w:val="Kolorowalistaakcent11"/>
              <w:tabs>
                <w:tab w:val="left" w:pos="1110"/>
              </w:tabs>
              <w:spacing w:after="0" w:line="240" w:lineRule="auto"/>
              <w:ind w:left="0"/>
              <w:rPr>
                <w:rFonts w:ascii="Lato" w:eastAsia="MS Mincho" w:hAnsi="Lato"/>
                <w:sz w:val="18"/>
                <w:szCs w:val="18"/>
              </w:rPr>
            </w:pPr>
            <w:r w:rsidRPr="005911C6">
              <w:rPr>
                <w:rFonts w:ascii="Lato" w:eastAsia="MS Mincho" w:hAnsi="Lato"/>
                <w:sz w:val="18"/>
                <w:szCs w:val="18"/>
              </w:rPr>
              <w:t>Działanie ciągłe</w:t>
            </w:r>
            <w:r w:rsidRPr="005911C6">
              <w:rPr>
                <w:rFonts w:ascii="Lato" w:hAnsi="Lato"/>
                <w:sz w:val="18"/>
                <w:szCs w:val="18"/>
              </w:rPr>
              <w:t>*</w:t>
            </w:r>
          </w:p>
        </w:tc>
        <w:tc>
          <w:tcPr>
            <w:tcW w:w="5638" w:type="dxa"/>
            <w:shd w:val="clear" w:color="auto" w:fill="FFFFFF" w:themeFill="background1"/>
          </w:tcPr>
          <w:p w14:paraId="71195B03"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przeprowadzonych kampanii społecznych promujących zawody opiekuńcze</w:t>
            </w:r>
          </w:p>
        </w:tc>
      </w:tr>
      <w:tr w:rsidR="003C25C5" w:rsidRPr="005911C6" w14:paraId="5BA3F0F0" w14:textId="77777777" w:rsidTr="008C67C9">
        <w:trPr>
          <w:trHeight w:val="720"/>
        </w:trPr>
        <w:tc>
          <w:tcPr>
            <w:tcW w:w="1232" w:type="dxa"/>
            <w:vMerge/>
            <w:shd w:val="clear" w:color="auto" w:fill="FFFFFF" w:themeFill="background1"/>
          </w:tcPr>
          <w:p w14:paraId="54AEF0D3"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5659B262"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A1D2A6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BEF775F"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0CC350D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C009C46" w14:textId="77777777" w:rsidR="003C25C5" w:rsidRPr="005911C6" w:rsidRDefault="003C25C5" w:rsidP="005911C6">
            <w:pPr>
              <w:spacing w:after="0" w:line="240" w:lineRule="auto"/>
              <w:rPr>
                <w:rFonts w:ascii="Lato" w:hAnsi="Lato" w:cs="Times New Roman"/>
                <w:sz w:val="18"/>
                <w:szCs w:val="18"/>
              </w:rPr>
            </w:pPr>
          </w:p>
          <w:p w14:paraId="7E77F94D"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B8C2933" w14:textId="77777777" w:rsidTr="008C67C9">
        <w:trPr>
          <w:trHeight w:val="139"/>
        </w:trPr>
        <w:tc>
          <w:tcPr>
            <w:tcW w:w="1232" w:type="dxa"/>
            <w:vMerge/>
            <w:shd w:val="clear" w:color="auto" w:fill="FFFFFF" w:themeFill="background1"/>
          </w:tcPr>
          <w:p w14:paraId="3B5F0BA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484F68DA"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Prowadzenie rejestru podmiotów świadczących usługi opiekuńcze</w:t>
            </w:r>
          </w:p>
        </w:tc>
        <w:tc>
          <w:tcPr>
            <w:tcW w:w="2032" w:type="dxa"/>
            <w:vMerge w:val="restart"/>
            <w:shd w:val="clear" w:color="auto" w:fill="FFFFFF" w:themeFill="background1"/>
          </w:tcPr>
          <w:p w14:paraId="297642D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w:t>
            </w:r>
          </w:p>
        </w:tc>
        <w:tc>
          <w:tcPr>
            <w:tcW w:w="1500" w:type="dxa"/>
            <w:vMerge w:val="restart"/>
            <w:shd w:val="clear" w:color="auto" w:fill="FFFFFF" w:themeFill="background1"/>
          </w:tcPr>
          <w:p w14:paraId="38EF3588"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4BE56CCF"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Rejestr podmiotów świadczących usługi opiekuńcze</w:t>
            </w:r>
          </w:p>
        </w:tc>
      </w:tr>
      <w:tr w:rsidR="003C25C5" w:rsidRPr="005911C6" w14:paraId="3107DD81" w14:textId="77777777" w:rsidTr="008C67C9">
        <w:trPr>
          <w:trHeight w:val="720"/>
        </w:trPr>
        <w:tc>
          <w:tcPr>
            <w:tcW w:w="1232" w:type="dxa"/>
            <w:vMerge/>
            <w:shd w:val="clear" w:color="auto" w:fill="FFFFFF" w:themeFill="background1"/>
          </w:tcPr>
          <w:p w14:paraId="0B1567DE"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F3E570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59EC91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796689A"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037BA94"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4FDA96A" w14:textId="77777777" w:rsidR="003C25C5" w:rsidRPr="005911C6" w:rsidRDefault="003C25C5" w:rsidP="005911C6">
            <w:pPr>
              <w:spacing w:after="0" w:line="240" w:lineRule="auto"/>
              <w:rPr>
                <w:rFonts w:ascii="Lato" w:hAnsi="Lato" w:cs="Times New Roman"/>
                <w:sz w:val="18"/>
                <w:szCs w:val="18"/>
              </w:rPr>
            </w:pPr>
          </w:p>
          <w:p w14:paraId="025925B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BB23820" w14:textId="77777777" w:rsidTr="008C67C9">
        <w:trPr>
          <w:trHeight w:val="720"/>
        </w:trPr>
        <w:tc>
          <w:tcPr>
            <w:tcW w:w="1232" w:type="dxa"/>
            <w:vMerge/>
            <w:shd w:val="clear" w:color="auto" w:fill="FFFFFF" w:themeFill="background1"/>
          </w:tcPr>
          <w:p w14:paraId="15C96E6B"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B9DAD1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Określenie i wprowadzenie do przepisów prawa powszechnie obowiązującego zasad współpracy pracowników socjalnych z zespołem podstawowej opieki zdrowotnej</w:t>
            </w:r>
          </w:p>
        </w:tc>
        <w:tc>
          <w:tcPr>
            <w:tcW w:w="2032" w:type="dxa"/>
            <w:vMerge w:val="restart"/>
            <w:shd w:val="clear" w:color="auto" w:fill="FFFFFF" w:themeFill="background1"/>
          </w:tcPr>
          <w:p w14:paraId="1B069B0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w:t>
            </w:r>
          </w:p>
          <w:p w14:paraId="67775567"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6814512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6E79D48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52DB21F3"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Wprowadzenie zmian do przepisów prawa powszechnie obowiązującego zasad współpracy pracowników socjalnych z zespołem podstawowej opieki zdrowotnej</w:t>
            </w:r>
          </w:p>
        </w:tc>
      </w:tr>
      <w:tr w:rsidR="003C25C5" w:rsidRPr="005911C6" w14:paraId="16890435" w14:textId="77777777" w:rsidTr="008C67C9">
        <w:trPr>
          <w:trHeight w:val="720"/>
        </w:trPr>
        <w:tc>
          <w:tcPr>
            <w:tcW w:w="1232" w:type="dxa"/>
            <w:vMerge/>
            <w:shd w:val="clear" w:color="auto" w:fill="FFFFFF" w:themeFill="background1"/>
          </w:tcPr>
          <w:p w14:paraId="3F1FFD1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93D308C"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4B7C58D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C6995E8"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79A8E901"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5FFFB1CA" w14:textId="77777777" w:rsidR="003C25C5" w:rsidRPr="005911C6" w:rsidRDefault="003C25C5" w:rsidP="005911C6">
            <w:pPr>
              <w:spacing w:after="0" w:line="240" w:lineRule="auto"/>
              <w:rPr>
                <w:rFonts w:ascii="Lato" w:hAnsi="Lato" w:cs="Times New Roman"/>
                <w:sz w:val="18"/>
                <w:szCs w:val="18"/>
              </w:rPr>
            </w:pPr>
          </w:p>
          <w:p w14:paraId="6F5477E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51C8AE7" w14:textId="77777777" w:rsidTr="008C67C9">
        <w:trPr>
          <w:trHeight w:val="720"/>
        </w:trPr>
        <w:tc>
          <w:tcPr>
            <w:tcW w:w="1232" w:type="dxa"/>
            <w:vMerge w:val="restart"/>
            <w:shd w:val="clear" w:color="auto" w:fill="FFFFFF" w:themeFill="background1"/>
            <w:textDirection w:val="btLr"/>
          </w:tcPr>
          <w:p w14:paraId="217321B9" w14:textId="77777777" w:rsidR="003C25C5" w:rsidRPr="005911C6" w:rsidRDefault="003C25C5" w:rsidP="005911C6">
            <w:pPr>
              <w:pStyle w:val="Kolorowalistaakcent11"/>
              <w:spacing w:after="0" w:line="240" w:lineRule="auto"/>
              <w:ind w:left="113" w:right="113"/>
              <w:jc w:val="center"/>
              <w:rPr>
                <w:rFonts w:ascii="Lato" w:eastAsia="MS Mincho" w:hAnsi="Lato"/>
                <w:sz w:val="18"/>
                <w:szCs w:val="18"/>
              </w:rPr>
            </w:pPr>
            <w:r w:rsidRPr="005911C6">
              <w:rPr>
                <w:rFonts w:ascii="Lato" w:eastAsia="MS Mincho" w:hAnsi="Lato"/>
                <w:sz w:val="18"/>
                <w:szCs w:val="18"/>
              </w:rPr>
              <w:t>Obszar IV</w:t>
            </w:r>
          </w:p>
        </w:tc>
        <w:tc>
          <w:tcPr>
            <w:tcW w:w="3594" w:type="dxa"/>
            <w:vMerge w:val="restart"/>
            <w:shd w:val="clear" w:color="auto" w:fill="FFFFFF" w:themeFill="background1"/>
          </w:tcPr>
          <w:p w14:paraId="58E18016" w14:textId="77777777" w:rsidR="003C25C5" w:rsidRPr="005911C6" w:rsidRDefault="003C25C5" w:rsidP="005911C6">
            <w:pPr>
              <w:pStyle w:val="Kolorowalistaakcent11"/>
              <w:spacing w:after="0" w:line="240" w:lineRule="auto"/>
              <w:ind w:left="0"/>
              <w:rPr>
                <w:rFonts w:ascii="Lato" w:hAnsi="Lato"/>
                <w:sz w:val="18"/>
                <w:szCs w:val="18"/>
              </w:rPr>
            </w:pPr>
            <w:r w:rsidRPr="005911C6">
              <w:rPr>
                <w:rFonts w:ascii="Lato" w:hAnsi="Lato"/>
                <w:sz w:val="18"/>
                <w:szCs w:val="18"/>
              </w:rPr>
              <w:t>Zintegrowanie nieformalnej opieki</w:t>
            </w:r>
            <w:r w:rsidRPr="005911C6">
              <w:rPr>
                <w:rFonts w:ascii="Lato" w:hAnsi="Lato"/>
                <w:sz w:val="18"/>
                <w:szCs w:val="18"/>
              </w:rPr>
              <w:br/>
              <w:t>nad niesamodzielnymi osobami starszymi z opieką formalną, w sposób szczególny poprzez poradnictwo, konsultacje, treningi umiejętności opiekunów nieformalnych (świadczone przez lekarzy, pielęgniarki, fizjoterapeutów, opiekunów medycznych, pracowników socjalnych) oraz inne działania na rzecz podnoszenia jakości opieki domowej</w:t>
            </w:r>
          </w:p>
        </w:tc>
        <w:tc>
          <w:tcPr>
            <w:tcW w:w="2032" w:type="dxa"/>
            <w:vMerge w:val="restart"/>
            <w:shd w:val="clear" w:color="auto" w:fill="FFFFFF" w:themeFill="background1"/>
          </w:tcPr>
          <w:p w14:paraId="5DFBA99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Zdrowia</w:t>
            </w:r>
          </w:p>
        </w:tc>
        <w:tc>
          <w:tcPr>
            <w:tcW w:w="1500" w:type="dxa"/>
            <w:vMerge w:val="restart"/>
            <w:shd w:val="clear" w:color="auto" w:fill="FFFFFF" w:themeFill="background1"/>
          </w:tcPr>
          <w:p w14:paraId="1AA5679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5683B0A5"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mających na celu zintegrowanie nieformalnej opieki nad osobami niesamodzielnymi ze wsparciem formalnym</w:t>
            </w:r>
          </w:p>
        </w:tc>
      </w:tr>
      <w:tr w:rsidR="003C25C5" w:rsidRPr="005911C6" w14:paraId="4A0DF248" w14:textId="77777777" w:rsidTr="008C67C9">
        <w:trPr>
          <w:trHeight w:val="720"/>
        </w:trPr>
        <w:tc>
          <w:tcPr>
            <w:tcW w:w="1232" w:type="dxa"/>
            <w:vMerge/>
            <w:shd w:val="clear" w:color="auto" w:fill="FFFFFF" w:themeFill="background1"/>
          </w:tcPr>
          <w:p w14:paraId="0309750C"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CDBF88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DD9D1C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68516009"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4DE2193"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28BAB1E3" w14:textId="77777777" w:rsidR="003C25C5" w:rsidRPr="005911C6" w:rsidRDefault="003C25C5" w:rsidP="005911C6">
            <w:pPr>
              <w:spacing w:after="0" w:line="240" w:lineRule="auto"/>
              <w:rPr>
                <w:rFonts w:ascii="Lato" w:hAnsi="Lato" w:cs="Times New Roman"/>
                <w:sz w:val="18"/>
                <w:szCs w:val="18"/>
              </w:rPr>
            </w:pPr>
          </w:p>
          <w:p w14:paraId="1D470EC2"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F91275F" w14:textId="77777777" w:rsidTr="008C67C9">
        <w:trPr>
          <w:trHeight w:val="720"/>
        </w:trPr>
        <w:tc>
          <w:tcPr>
            <w:tcW w:w="1232" w:type="dxa"/>
            <w:vMerge w:val="restart"/>
            <w:shd w:val="clear" w:color="auto" w:fill="FFFFFF" w:themeFill="background1"/>
          </w:tcPr>
          <w:p w14:paraId="14148AC7"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31CA6DE"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Wspieranie organizowania opieki krótkoterminowej nad osobami niesamodzielnymi – tzw. opieka </w:t>
            </w:r>
            <w:proofErr w:type="spellStart"/>
            <w:r w:rsidRPr="005911C6">
              <w:rPr>
                <w:rFonts w:ascii="Lato" w:eastAsia="MS Mincho" w:hAnsi="Lato"/>
                <w:sz w:val="18"/>
                <w:szCs w:val="18"/>
              </w:rPr>
              <w:t>wytchnieniowa</w:t>
            </w:r>
            <w:proofErr w:type="spellEnd"/>
            <w:r w:rsidRPr="005911C6">
              <w:rPr>
                <w:rFonts w:ascii="Lato" w:eastAsia="MS Mincho" w:hAnsi="Lato"/>
                <w:sz w:val="18"/>
                <w:szCs w:val="18"/>
              </w:rPr>
              <w:t xml:space="preserve"> dla opiekunów</w:t>
            </w:r>
          </w:p>
        </w:tc>
        <w:tc>
          <w:tcPr>
            <w:tcW w:w="2032" w:type="dxa"/>
            <w:vMerge w:val="restart"/>
            <w:shd w:val="clear" w:color="auto" w:fill="FFFFFF" w:themeFill="background1"/>
          </w:tcPr>
          <w:p w14:paraId="2D3A83C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br/>
            </w:r>
          </w:p>
          <w:p w14:paraId="38DEC103"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549F67C1"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025C44E3"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28CB6FEA"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mających na celu wspieranie organizowania opieki krótkoterminowej nad osobami niesamodzielnymi</w:t>
            </w:r>
          </w:p>
        </w:tc>
      </w:tr>
      <w:tr w:rsidR="003C25C5" w:rsidRPr="005911C6" w14:paraId="19903617" w14:textId="77777777" w:rsidTr="008C67C9">
        <w:trPr>
          <w:trHeight w:val="720"/>
        </w:trPr>
        <w:tc>
          <w:tcPr>
            <w:tcW w:w="1232" w:type="dxa"/>
            <w:vMerge/>
            <w:shd w:val="clear" w:color="auto" w:fill="FFFFFF" w:themeFill="background1"/>
          </w:tcPr>
          <w:p w14:paraId="1EA03D4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45CB25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7332F87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0571E76A"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72FA383" w14:textId="77777777"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7080D59F" w14:textId="15994FBF" w:rsidR="003C25C5" w:rsidRPr="005911C6" w:rsidRDefault="00E37576" w:rsidP="005911C6">
            <w:pPr>
              <w:spacing w:after="0" w:line="240" w:lineRule="auto"/>
              <w:rPr>
                <w:rFonts w:ascii="Lato" w:eastAsia="MS Mincho" w:hAnsi="Lato" w:cs="Times New Roman"/>
                <w:b/>
                <w:sz w:val="18"/>
                <w:szCs w:val="18"/>
                <w:u w:val="single"/>
              </w:rPr>
            </w:pPr>
            <w:r w:rsidRPr="005911C6">
              <w:rPr>
                <w:rFonts w:ascii="Lato" w:eastAsia="Times New Roman" w:hAnsi="Lato" w:cs="Times New Roman"/>
                <w:color w:val="000000" w:themeColor="text1"/>
                <w:sz w:val="18"/>
                <w:szCs w:val="18"/>
              </w:rPr>
              <w:t xml:space="preserve">W Regionalnych Programach Operacyjnych ze środków EFS rozwijane są usługi społeczne świadczone w społeczności lokalnej w ramach PI 9iv ułatwianie dostępu do przystępnych cenowo, trwałych oraz wysokiej jakości usług, w tym opieki zdrowotnej i usług socjalnych świadczonych w interesie ogólnym. Mogą to być m.in. usługi opiekuńcze w zakresie krótkookresowego dziennego pobytu, których celem jest zapewnienie opieki dla osób potrzebujących wsparcia w codziennym funkcjonowaniu, w tym w zastępstwie za opiekunów faktycznych czy mieszkań wspomaganych. Możliwe jest tworzenie miejsc pobytu okresowego (opieka </w:t>
            </w:r>
            <w:proofErr w:type="spellStart"/>
            <w:r w:rsidRPr="005911C6">
              <w:rPr>
                <w:rFonts w:ascii="Lato" w:eastAsia="Times New Roman" w:hAnsi="Lato" w:cs="Times New Roman"/>
                <w:color w:val="000000" w:themeColor="text1"/>
                <w:sz w:val="18"/>
                <w:szCs w:val="18"/>
              </w:rPr>
              <w:t>wytchnieniowa</w:t>
            </w:r>
            <w:proofErr w:type="spellEnd"/>
            <w:r w:rsidRPr="005911C6">
              <w:rPr>
                <w:rFonts w:ascii="Lato" w:eastAsia="Times New Roman" w:hAnsi="Lato" w:cs="Times New Roman"/>
                <w:color w:val="000000" w:themeColor="text1"/>
                <w:sz w:val="18"/>
                <w:szCs w:val="18"/>
              </w:rPr>
              <w:t>) lub stałego jako miejsc w mieszkaniach wspomaganych w formie mieszkań wspieranych.</w:t>
            </w:r>
          </w:p>
        </w:tc>
      </w:tr>
      <w:tr w:rsidR="003C25C5" w:rsidRPr="005911C6" w14:paraId="7547AC7E" w14:textId="77777777" w:rsidTr="008C67C9">
        <w:trPr>
          <w:trHeight w:val="720"/>
        </w:trPr>
        <w:tc>
          <w:tcPr>
            <w:tcW w:w="1232" w:type="dxa"/>
            <w:vMerge w:val="restart"/>
            <w:shd w:val="clear" w:color="auto" w:fill="FFFFFF" w:themeFill="background1"/>
          </w:tcPr>
          <w:p w14:paraId="4C77D79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2C9771E9"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Szkolenia w zakresie podstawowej opieki i rehabilitacji oraz wsparcie kompetencyjne przez dostęp </w:t>
            </w:r>
            <w:r w:rsidRPr="005911C6">
              <w:rPr>
                <w:rFonts w:ascii="Lato" w:eastAsia="MS Mincho" w:hAnsi="Lato"/>
                <w:sz w:val="18"/>
                <w:szCs w:val="18"/>
              </w:rPr>
              <w:br/>
              <w:t xml:space="preserve">do tzw. tematycznych bibliotek wiedzy online wraz z </w:t>
            </w:r>
            <w:proofErr w:type="spellStart"/>
            <w:r w:rsidRPr="005911C6">
              <w:rPr>
                <w:rFonts w:ascii="Lato" w:eastAsia="MS Mincho" w:hAnsi="Lato"/>
                <w:sz w:val="18"/>
                <w:szCs w:val="18"/>
              </w:rPr>
              <w:t>tutoringiem</w:t>
            </w:r>
            <w:proofErr w:type="spellEnd"/>
            <w:r w:rsidRPr="005911C6">
              <w:rPr>
                <w:rFonts w:ascii="Lato" w:eastAsia="MS Mincho" w:hAnsi="Lato"/>
                <w:sz w:val="18"/>
                <w:szCs w:val="18"/>
              </w:rPr>
              <w:t xml:space="preserve"> (metoda edukacji zindywidualizowanej)</w:t>
            </w:r>
          </w:p>
        </w:tc>
        <w:tc>
          <w:tcPr>
            <w:tcW w:w="2032" w:type="dxa"/>
            <w:vMerge w:val="restart"/>
            <w:shd w:val="clear" w:color="auto" w:fill="FFFFFF" w:themeFill="background1"/>
          </w:tcPr>
          <w:p w14:paraId="48F9C33F"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Zdrowia, Ministerstwo Kultury i Dziedzictwa Narodowego</w:t>
            </w:r>
            <w:r w:rsidRPr="005911C6">
              <w:rPr>
                <w:rFonts w:ascii="Lato" w:eastAsia="MS Mincho" w:hAnsi="Lato"/>
                <w:sz w:val="18"/>
                <w:szCs w:val="18"/>
              </w:rPr>
              <w:br/>
            </w:r>
          </w:p>
        </w:tc>
        <w:tc>
          <w:tcPr>
            <w:tcW w:w="1500" w:type="dxa"/>
            <w:vMerge w:val="restart"/>
            <w:shd w:val="clear" w:color="auto" w:fill="FFFFFF" w:themeFill="background1"/>
          </w:tcPr>
          <w:p w14:paraId="30C42C4B"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70E3FC01"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 xml:space="preserve">Liczba przeprowadzonych szkoleń w zakresie podstawowej opieki i rehabilitacji oraz wsparcie kompetencyjne przez dostęp do tzw. tematycznych bibliotek wiedzy online wraz z </w:t>
            </w:r>
            <w:proofErr w:type="spellStart"/>
            <w:r w:rsidRPr="005911C6">
              <w:rPr>
                <w:rFonts w:ascii="Lato" w:eastAsia="MS Mincho" w:hAnsi="Lato" w:cs="Times New Roman"/>
                <w:i/>
                <w:sz w:val="18"/>
                <w:szCs w:val="18"/>
              </w:rPr>
              <w:t>tutoringiem</w:t>
            </w:r>
            <w:proofErr w:type="spellEnd"/>
          </w:p>
        </w:tc>
      </w:tr>
      <w:tr w:rsidR="003C25C5" w:rsidRPr="005911C6" w14:paraId="31511E32" w14:textId="77777777" w:rsidTr="008C67C9">
        <w:trPr>
          <w:trHeight w:val="720"/>
        </w:trPr>
        <w:tc>
          <w:tcPr>
            <w:tcW w:w="1232" w:type="dxa"/>
            <w:vMerge/>
            <w:shd w:val="clear" w:color="auto" w:fill="FFFFFF" w:themeFill="background1"/>
          </w:tcPr>
          <w:p w14:paraId="59B160F9"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04E20C6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F0253A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750537C"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C35FC11" w14:textId="77777777" w:rsidR="00A054F3" w:rsidRPr="005911C6" w:rsidRDefault="00A054F3" w:rsidP="005911C6">
            <w:pPr>
              <w:spacing w:after="0" w:line="240" w:lineRule="auto"/>
              <w:rPr>
                <w:rFonts w:ascii="Lato" w:hAnsi="Lato" w:cs="Times New Roman"/>
                <w:b/>
                <w:bCs/>
                <w:color w:val="2F5496" w:themeColor="accent1" w:themeShade="BF"/>
                <w:sz w:val="18"/>
                <w:szCs w:val="18"/>
              </w:rPr>
            </w:pPr>
            <w:r w:rsidRPr="005911C6">
              <w:rPr>
                <w:rFonts w:ascii="Lato" w:hAnsi="Lato" w:cs="Times New Roman"/>
                <w:b/>
                <w:bCs/>
                <w:color w:val="2F5496" w:themeColor="accent1" w:themeShade="BF"/>
                <w:sz w:val="18"/>
                <w:szCs w:val="18"/>
              </w:rPr>
              <w:t xml:space="preserve">Ministerstwo Zdrowia </w:t>
            </w:r>
          </w:p>
          <w:p w14:paraId="074D08A4" w14:textId="0FF07FB2" w:rsidR="003C25C5" w:rsidRPr="005911C6" w:rsidRDefault="00A054F3" w:rsidP="005911C6">
            <w:pPr>
              <w:spacing w:after="0" w:line="240" w:lineRule="auto"/>
              <w:rPr>
                <w:rFonts w:ascii="Lato" w:eastAsia="MS Mincho" w:hAnsi="Lato" w:cs="Times New Roman"/>
                <w:b/>
                <w:sz w:val="18"/>
                <w:szCs w:val="18"/>
                <w:u w:val="single"/>
              </w:rPr>
            </w:pPr>
            <w:r w:rsidRPr="005911C6">
              <w:rPr>
                <w:rFonts w:ascii="Lato" w:eastAsia="MS Mincho" w:hAnsi="Lato"/>
                <w:iCs/>
                <w:sz w:val="18"/>
                <w:szCs w:val="18"/>
              </w:rPr>
              <w:t>Opracowanie</w:t>
            </w:r>
            <w:r w:rsidRPr="005911C6">
              <w:rPr>
                <w:rFonts w:ascii="Lato" w:hAnsi="Lato"/>
                <w:iCs/>
                <w:sz w:val="18"/>
                <w:szCs w:val="18"/>
              </w:rPr>
              <w:t xml:space="preserve"> </w:t>
            </w:r>
            <w:r w:rsidRPr="005911C6">
              <w:rPr>
                <w:rFonts w:ascii="Lato" w:eastAsia="MS Mincho" w:hAnsi="Lato"/>
                <w:iCs/>
                <w:sz w:val="18"/>
                <w:szCs w:val="18"/>
              </w:rPr>
              <w:t>wzorcowego zakresu szkolenia i wzorcowych materiałów</w:t>
            </w:r>
            <w:r w:rsidRPr="005911C6">
              <w:rPr>
                <w:rFonts w:ascii="Lato" w:hAnsi="Lato"/>
                <w:iCs/>
                <w:sz w:val="18"/>
                <w:szCs w:val="18"/>
              </w:rPr>
              <w:t xml:space="preserve"> </w:t>
            </w:r>
            <w:r w:rsidRPr="005911C6">
              <w:rPr>
                <w:rFonts w:ascii="Lato" w:eastAsia="MS Mincho" w:hAnsi="Lato"/>
                <w:iCs/>
                <w:sz w:val="18"/>
                <w:szCs w:val="18"/>
              </w:rPr>
              <w:t>do wykorzystania dla regionów/ innych</w:t>
            </w:r>
          </w:p>
        </w:tc>
      </w:tr>
      <w:tr w:rsidR="003C25C5" w:rsidRPr="005911C6" w14:paraId="2F9CCADC" w14:textId="77777777" w:rsidTr="008C67C9">
        <w:trPr>
          <w:trHeight w:val="538"/>
        </w:trPr>
        <w:tc>
          <w:tcPr>
            <w:tcW w:w="1232" w:type="dxa"/>
            <w:vMerge w:val="restart"/>
            <w:shd w:val="clear" w:color="auto" w:fill="FFFFFF" w:themeFill="background1"/>
          </w:tcPr>
          <w:p w14:paraId="10003ADC"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73DEC377"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Wsparcie opiekunów nieformalnych niesamodzielnych osób starszych, </w:t>
            </w:r>
            <w:r w:rsidRPr="005911C6">
              <w:rPr>
                <w:rFonts w:ascii="Lato" w:eastAsia="MS Mincho" w:hAnsi="Lato"/>
                <w:sz w:val="18"/>
                <w:szCs w:val="18"/>
              </w:rPr>
              <w:br/>
              <w:t>w tym:</w:t>
            </w:r>
          </w:p>
          <w:p w14:paraId="43FD9940" w14:textId="77777777" w:rsidR="003C25C5" w:rsidRPr="005911C6" w:rsidRDefault="003C25C5" w:rsidP="005911C6">
            <w:pPr>
              <w:pStyle w:val="Kolorowalistaakcent11"/>
              <w:numPr>
                <w:ilvl w:val="0"/>
                <w:numId w:val="10"/>
              </w:numPr>
              <w:spacing w:after="0" w:line="240" w:lineRule="auto"/>
              <w:ind w:left="360"/>
              <w:rPr>
                <w:rFonts w:ascii="Lato" w:eastAsia="MS Mincho" w:hAnsi="Lato"/>
                <w:sz w:val="18"/>
                <w:szCs w:val="18"/>
              </w:rPr>
            </w:pPr>
            <w:r w:rsidRPr="005911C6">
              <w:rPr>
                <w:rFonts w:ascii="Lato" w:eastAsia="MS Mincho" w:hAnsi="Lato"/>
                <w:sz w:val="18"/>
                <w:szCs w:val="18"/>
              </w:rPr>
              <w:t>upowszechnianie wiedzy na temat opieki nad niesamodzielną osobą starszą dla zwiększenia zaangażowania w opiekę opiekunów nieformalnych;</w:t>
            </w:r>
          </w:p>
          <w:p w14:paraId="72ED112D" w14:textId="77777777" w:rsidR="003C25C5" w:rsidRPr="005911C6" w:rsidRDefault="003C25C5" w:rsidP="005911C6">
            <w:pPr>
              <w:pStyle w:val="Kolorowalistaakcent11"/>
              <w:numPr>
                <w:ilvl w:val="0"/>
                <w:numId w:val="10"/>
              </w:numPr>
              <w:spacing w:after="0" w:line="240" w:lineRule="auto"/>
              <w:ind w:left="360"/>
              <w:rPr>
                <w:rFonts w:ascii="Lato" w:hAnsi="Lato"/>
                <w:sz w:val="18"/>
                <w:szCs w:val="18"/>
              </w:rPr>
            </w:pPr>
            <w:r w:rsidRPr="005911C6">
              <w:rPr>
                <w:rFonts w:ascii="Lato" w:eastAsia="MS Mincho" w:hAnsi="Lato"/>
                <w:sz w:val="18"/>
                <w:szCs w:val="18"/>
              </w:rPr>
              <w:t>tworzenie i rozwijanie form wsparcia dla opiekunów osób niesamodzielnych w tym mieszkań chronionych</w:t>
            </w:r>
          </w:p>
        </w:tc>
        <w:tc>
          <w:tcPr>
            <w:tcW w:w="2032" w:type="dxa"/>
            <w:vMerge w:val="restart"/>
            <w:shd w:val="clear" w:color="auto" w:fill="FFFFFF" w:themeFill="background1"/>
          </w:tcPr>
          <w:p w14:paraId="0BB8DEE4"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Ministerstwo Rodziny i Polityki Społecznej, Ministerstwo  Rozwoju i Technologii</w:t>
            </w:r>
            <w:r w:rsidRPr="005911C6">
              <w:rPr>
                <w:rFonts w:ascii="Lato" w:eastAsia="MS Mincho" w:hAnsi="Lato"/>
                <w:sz w:val="18"/>
                <w:szCs w:val="18"/>
              </w:rPr>
              <w:br/>
            </w:r>
          </w:p>
          <w:p w14:paraId="4E4B87E6"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2A96FC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2018-2020</w:t>
            </w:r>
          </w:p>
        </w:tc>
        <w:tc>
          <w:tcPr>
            <w:tcW w:w="5638" w:type="dxa"/>
            <w:shd w:val="clear" w:color="auto" w:fill="FFFFFF" w:themeFill="background1"/>
          </w:tcPr>
          <w:p w14:paraId="7932DEDD" w14:textId="77777777" w:rsidR="003C25C5" w:rsidRPr="005911C6" w:rsidRDefault="003C25C5" w:rsidP="005911C6">
            <w:pPr>
              <w:spacing w:after="0" w:line="240" w:lineRule="auto"/>
              <w:rPr>
                <w:rFonts w:ascii="Lato" w:eastAsia="MS Mincho" w:hAnsi="Lato" w:cs="Times New Roman"/>
                <w:b/>
                <w:i/>
                <w:sz w:val="18"/>
                <w:szCs w:val="18"/>
                <w:u w:val="single"/>
              </w:rPr>
            </w:pPr>
            <w:r w:rsidRPr="005911C6">
              <w:rPr>
                <w:rFonts w:ascii="Lato" w:eastAsia="MS Mincho" w:hAnsi="Lato" w:cs="Times New Roman"/>
                <w:i/>
                <w:sz w:val="18"/>
                <w:szCs w:val="18"/>
              </w:rPr>
              <w:t>Liczba zrealizowanych działań mających na celu wsparcie opiekunów nieformalnych osób niesamodzielnych</w:t>
            </w:r>
          </w:p>
        </w:tc>
      </w:tr>
      <w:tr w:rsidR="003C25C5" w:rsidRPr="005911C6" w14:paraId="2EB91BDB" w14:textId="77777777" w:rsidTr="008C67C9">
        <w:trPr>
          <w:trHeight w:val="720"/>
        </w:trPr>
        <w:tc>
          <w:tcPr>
            <w:tcW w:w="1232" w:type="dxa"/>
            <w:vMerge/>
            <w:shd w:val="clear" w:color="auto" w:fill="FFFFFF" w:themeFill="background1"/>
          </w:tcPr>
          <w:p w14:paraId="2D1F1617"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C9F44B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251C5B47"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4BE6861D"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2EAF6BE" w14:textId="77777777" w:rsidR="00E37576" w:rsidRPr="005911C6" w:rsidRDefault="00E37576" w:rsidP="005911C6">
            <w:pPr>
              <w:spacing w:after="0" w:line="240" w:lineRule="auto"/>
              <w:rPr>
                <w:rFonts w:ascii="Lato" w:eastAsia="MS Mincho" w:hAnsi="Lato" w:cs="Times New Roman"/>
                <w:b/>
                <w:color w:val="2F5496" w:themeColor="accent1" w:themeShade="BF"/>
                <w:sz w:val="18"/>
                <w:szCs w:val="18"/>
              </w:rPr>
            </w:pPr>
            <w:r w:rsidRPr="005911C6">
              <w:rPr>
                <w:rFonts w:ascii="Lato" w:eastAsia="MS Mincho" w:hAnsi="Lato" w:cs="Times New Roman"/>
                <w:b/>
                <w:color w:val="2F5496" w:themeColor="accent1" w:themeShade="BF"/>
                <w:sz w:val="18"/>
                <w:szCs w:val="18"/>
              </w:rPr>
              <w:t>Ministerstwo Funduszy i Polityki Regionalnej</w:t>
            </w:r>
          </w:p>
          <w:p w14:paraId="5223491F" w14:textId="754F471F" w:rsidR="003C25C5" w:rsidRPr="005911C6" w:rsidRDefault="00E37576" w:rsidP="005911C6">
            <w:pPr>
              <w:spacing w:after="0" w:line="240" w:lineRule="auto"/>
              <w:rPr>
                <w:rFonts w:ascii="Lato" w:eastAsia="MS Mincho" w:hAnsi="Lato" w:cs="Times New Roman"/>
                <w:b/>
                <w:sz w:val="18"/>
                <w:szCs w:val="18"/>
                <w:u w:val="single"/>
              </w:rPr>
            </w:pPr>
            <w:r w:rsidRPr="005911C6">
              <w:rPr>
                <w:rFonts w:ascii="Lato" w:eastAsia="Times New Roman" w:hAnsi="Lato" w:cs="Times New Roman"/>
                <w:color w:val="000000" w:themeColor="text1"/>
                <w:sz w:val="18"/>
                <w:szCs w:val="18"/>
              </w:rPr>
              <w:t xml:space="preserve">W Regionalnych Programach Operacyjnych ze środków EFS rozwijane są usługi społeczne świadczone w społeczności lokalnej w ramach PI 9iv </w:t>
            </w:r>
            <w:r w:rsidRPr="005911C6">
              <w:rPr>
                <w:rFonts w:ascii="Lato" w:eastAsia="Times New Roman" w:hAnsi="Lato" w:cs="Times New Roman"/>
                <w:i/>
                <w:iCs/>
                <w:color w:val="000000" w:themeColor="text1"/>
                <w:sz w:val="18"/>
                <w:szCs w:val="18"/>
              </w:rPr>
              <w:t>Ułatwianie dostępu do przystępnych cenowo, trwałych oraz wysokiej jakości usług, w tym opieki</w:t>
            </w:r>
            <w:r w:rsidRPr="005911C6">
              <w:rPr>
                <w:rFonts w:ascii="Lato" w:eastAsia="Times New Roman" w:hAnsi="Lato" w:cs="Times New Roman"/>
                <w:color w:val="000000" w:themeColor="text1"/>
                <w:sz w:val="18"/>
                <w:szCs w:val="18"/>
              </w:rPr>
              <w:t xml:space="preserve"> </w:t>
            </w:r>
            <w:r w:rsidRPr="005911C6">
              <w:rPr>
                <w:rFonts w:ascii="Lato" w:eastAsia="Times New Roman" w:hAnsi="Lato" w:cs="Times New Roman"/>
                <w:i/>
                <w:iCs/>
                <w:color w:val="000000" w:themeColor="text1"/>
                <w:sz w:val="18"/>
                <w:szCs w:val="18"/>
              </w:rPr>
              <w:t>zdrowotnej i usług socjalnych świadczonych w interesie ogólnym.</w:t>
            </w:r>
            <w:r w:rsidRPr="005911C6">
              <w:rPr>
                <w:rFonts w:ascii="Lato" w:eastAsia="Times New Roman" w:hAnsi="Lato" w:cs="Times New Roman"/>
                <w:color w:val="000000" w:themeColor="text1"/>
                <w:sz w:val="18"/>
                <w:szCs w:val="18"/>
              </w:rPr>
              <w:t xml:space="preserve">  Mogą to być m.in. usługi opiekuńcze w zakresie krótkookresowego dziennego pobytu, których celem jest zapewnienie opieki dla osób potrzebujących wsparcia w codziennym funkcjonowaniu, w tym w zastępstwie za opiekunów faktycznych czy mieszkań wspomaganych. Możliwe jest tworzenie miejsc pobytu okresowego (opieka </w:t>
            </w:r>
            <w:proofErr w:type="spellStart"/>
            <w:r w:rsidRPr="005911C6">
              <w:rPr>
                <w:rFonts w:ascii="Lato" w:eastAsia="Times New Roman" w:hAnsi="Lato" w:cs="Times New Roman"/>
                <w:color w:val="000000" w:themeColor="text1"/>
                <w:sz w:val="18"/>
                <w:szCs w:val="18"/>
              </w:rPr>
              <w:t>wytchnieniowa</w:t>
            </w:r>
            <w:proofErr w:type="spellEnd"/>
            <w:r w:rsidRPr="005911C6">
              <w:rPr>
                <w:rFonts w:ascii="Lato" w:eastAsia="Times New Roman" w:hAnsi="Lato" w:cs="Times New Roman"/>
                <w:color w:val="000000" w:themeColor="text1"/>
                <w:sz w:val="18"/>
                <w:szCs w:val="18"/>
              </w:rPr>
              <w:t>) lub stałego jako miejsc w mieszkaniach wspomaganych w formie mieszkań wspieranych.</w:t>
            </w:r>
          </w:p>
        </w:tc>
      </w:tr>
      <w:tr w:rsidR="003C25C5" w:rsidRPr="005911C6" w14:paraId="70CD8A08" w14:textId="77777777" w:rsidTr="008C67C9">
        <w:trPr>
          <w:trHeight w:val="720"/>
        </w:trPr>
        <w:tc>
          <w:tcPr>
            <w:tcW w:w="1232" w:type="dxa"/>
            <w:vMerge w:val="restart"/>
            <w:shd w:val="clear" w:color="auto" w:fill="FFFFFF" w:themeFill="background1"/>
          </w:tcPr>
          <w:p w14:paraId="0E6E6220"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3BB716A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Promowanie działań oddolnych, jak banki czasu, banki informacji, grupy wsparcia i grupy samopomocowe</w:t>
            </w:r>
          </w:p>
        </w:tc>
        <w:tc>
          <w:tcPr>
            <w:tcW w:w="2032" w:type="dxa"/>
            <w:vMerge w:val="restart"/>
            <w:shd w:val="clear" w:color="auto" w:fill="FFFFFF" w:themeFill="background1"/>
          </w:tcPr>
          <w:p w14:paraId="79EBF062"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p w14:paraId="6B71CDE5"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07F4B26C"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p>
        </w:tc>
        <w:tc>
          <w:tcPr>
            <w:tcW w:w="5638" w:type="dxa"/>
            <w:shd w:val="clear" w:color="auto" w:fill="FFFFFF" w:themeFill="background1"/>
          </w:tcPr>
          <w:p w14:paraId="516D7FD2"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zrealizowanych działań mających na celu promowanie działań oddolnych, jak banki czasu, banki informacji, grupy wsparcia i grupy samopomocowe</w:t>
            </w:r>
          </w:p>
        </w:tc>
      </w:tr>
      <w:tr w:rsidR="003C25C5" w:rsidRPr="005911C6" w14:paraId="79E177EC" w14:textId="77777777" w:rsidTr="008C67C9">
        <w:trPr>
          <w:trHeight w:val="720"/>
        </w:trPr>
        <w:tc>
          <w:tcPr>
            <w:tcW w:w="1232" w:type="dxa"/>
            <w:vMerge/>
            <w:shd w:val="clear" w:color="auto" w:fill="FFFFFF" w:themeFill="background1"/>
          </w:tcPr>
          <w:p w14:paraId="18354095"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4DFB485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3C1395B0"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662577B"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15C2DBA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6F718AEE" w14:textId="77777777" w:rsidR="003C25C5" w:rsidRPr="005911C6" w:rsidRDefault="003C25C5" w:rsidP="005911C6">
            <w:pPr>
              <w:spacing w:after="0" w:line="240" w:lineRule="auto"/>
              <w:rPr>
                <w:rFonts w:ascii="Lato" w:hAnsi="Lato" w:cs="Times New Roman"/>
                <w:sz w:val="18"/>
                <w:szCs w:val="18"/>
              </w:rPr>
            </w:pPr>
          </w:p>
          <w:p w14:paraId="71EBB09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33C2FA5B" w14:textId="77777777" w:rsidTr="008C67C9">
        <w:trPr>
          <w:trHeight w:val="720"/>
        </w:trPr>
        <w:tc>
          <w:tcPr>
            <w:tcW w:w="1232" w:type="dxa"/>
            <w:vMerge w:val="restart"/>
            <w:shd w:val="clear" w:color="auto" w:fill="FFFFFF" w:themeFill="background1"/>
          </w:tcPr>
          <w:p w14:paraId="59C2A36D"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1B046ED5"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hAnsi="Lato"/>
                <w:sz w:val="18"/>
                <w:szCs w:val="18"/>
              </w:rPr>
              <w:t>Włączenie organizacji pozarządowych i podmiotów, o których mowa w art. 3 ust. 3 ustawy o działalności pożytku publicznego i o wolontariacie, w praktyki rozwoju wsparcia opiekunów osób niesamodzielnych na poziomie lokalnych projektów</w:t>
            </w:r>
          </w:p>
        </w:tc>
        <w:tc>
          <w:tcPr>
            <w:tcW w:w="2032" w:type="dxa"/>
            <w:vMerge w:val="restart"/>
            <w:shd w:val="clear" w:color="auto" w:fill="FFFFFF" w:themeFill="background1"/>
          </w:tcPr>
          <w:p w14:paraId="141C99E1"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w:t>
            </w:r>
          </w:p>
          <w:p w14:paraId="2847FE91"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6CFDD27F"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6081397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p>
        </w:tc>
        <w:tc>
          <w:tcPr>
            <w:tcW w:w="5638" w:type="dxa"/>
            <w:shd w:val="clear" w:color="auto" w:fill="FFFFFF" w:themeFill="background1"/>
          </w:tcPr>
          <w:p w14:paraId="5886504A"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 xml:space="preserve">Liczba </w:t>
            </w:r>
            <w:r w:rsidRPr="005911C6">
              <w:rPr>
                <w:rFonts w:ascii="Lato" w:hAnsi="Lato"/>
                <w:i/>
                <w:sz w:val="18"/>
                <w:szCs w:val="18"/>
              </w:rPr>
              <w:t>organizacji pozarządowych i podmiotów, o których mowa w art. 3ust. 3 ustawy o działalności pożytku publicznego i o wolontariacie,</w:t>
            </w:r>
            <w:r w:rsidRPr="005911C6">
              <w:rPr>
                <w:rFonts w:ascii="Lato" w:eastAsia="MS Mincho" w:hAnsi="Lato"/>
                <w:i/>
                <w:sz w:val="18"/>
                <w:szCs w:val="18"/>
              </w:rPr>
              <w:t xml:space="preserve"> wspartych lokalnych projektów  realizowanych przez  w obszarze rozwoju wsparcia opiekunów osób niesamodzielnych</w:t>
            </w:r>
          </w:p>
        </w:tc>
      </w:tr>
      <w:tr w:rsidR="003C25C5" w:rsidRPr="005911C6" w14:paraId="77F0AF1B" w14:textId="77777777" w:rsidTr="008C67C9">
        <w:trPr>
          <w:trHeight w:val="720"/>
        </w:trPr>
        <w:tc>
          <w:tcPr>
            <w:tcW w:w="1232" w:type="dxa"/>
            <w:vMerge/>
            <w:shd w:val="clear" w:color="auto" w:fill="FFFFFF" w:themeFill="background1"/>
          </w:tcPr>
          <w:p w14:paraId="5A0B35DF"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7B1E8A6B"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5DB125FA"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700AD27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6A382518"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06F4073A" w14:textId="77777777" w:rsidR="003C25C5" w:rsidRPr="005911C6" w:rsidRDefault="003C25C5" w:rsidP="005911C6">
            <w:pPr>
              <w:spacing w:after="0" w:line="240" w:lineRule="auto"/>
              <w:rPr>
                <w:rFonts w:ascii="Lato" w:hAnsi="Lato" w:cs="Times New Roman"/>
                <w:sz w:val="18"/>
                <w:szCs w:val="18"/>
              </w:rPr>
            </w:pPr>
          </w:p>
          <w:p w14:paraId="5AC5F910"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r w:rsidR="003C25C5" w:rsidRPr="005911C6" w14:paraId="104AAA70" w14:textId="77777777" w:rsidTr="008C67C9">
        <w:trPr>
          <w:trHeight w:val="720"/>
        </w:trPr>
        <w:tc>
          <w:tcPr>
            <w:tcW w:w="1232" w:type="dxa"/>
            <w:vMerge w:val="restart"/>
            <w:shd w:val="clear" w:color="auto" w:fill="FFFFFF" w:themeFill="background1"/>
          </w:tcPr>
          <w:p w14:paraId="677A85E8" w14:textId="77777777" w:rsidR="003C25C5" w:rsidRPr="005911C6" w:rsidRDefault="003C25C5" w:rsidP="005911C6">
            <w:pPr>
              <w:spacing w:after="0" w:line="240" w:lineRule="auto"/>
              <w:rPr>
                <w:rFonts w:ascii="Lato" w:hAnsi="Lato" w:cs="Times New Roman"/>
                <w:sz w:val="18"/>
                <w:szCs w:val="18"/>
              </w:rPr>
            </w:pPr>
          </w:p>
        </w:tc>
        <w:tc>
          <w:tcPr>
            <w:tcW w:w="3594" w:type="dxa"/>
            <w:vMerge w:val="restart"/>
            <w:shd w:val="clear" w:color="auto" w:fill="FFFFFF" w:themeFill="background1"/>
          </w:tcPr>
          <w:p w14:paraId="62701316"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 xml:space="preserve">Włączanie w proces wsparcia osób niesamodzielnych i ich opiekunów przedstawicieli Kościoła Katolickiego </w:t>
            </w:r>
            <w:r w:rsidRPr="005911C6">
              <w:rPr>
                <w:rFonts w:ascii="Lato" w:eastAsia="MS Mincho" w:hAnsi="Lato"/>
                <w:sz w:val="18"/>
                <w:szCs w:val="18"/>
              </w:rPr>
              <w:br/>
              <w:t>i innych związków wyznaniowych</w:t>
            </w:r>
          </w:p>
        </w:tc>
        <w:tc>
          <w:tcPr>
            <w:tcW w:w="2032" w:type="dxa"/>
            <w:vMerge w:val="restart"/>
            <w:shd w:val="clear" w:color="auto" w:fill="FFFFFF" w:themeFill="background1"/>
          </w:tcPr>
          <w:p w14:paraId="00990BDD"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Komitet do spraw Pożytku Publicznego, Ministerstwo Rodziny i Polityki Społecznej</w:t>
            </w:r>
          </w:p>
          <w:p w14:paraId="0A68BABC" w14:textId="77777777" w:rsidR="003C25C5" w:rsidRPr="005911C6" w:rsidRDefault="003C25C5" w:rsidP="005911C6">
            <w:pPr>
              <w:pStyle w:val="Kolorowalistaakcent11"/>
              <w:spacing w:after="0" w:line="240" w:lineRule="auto"/>
              <w:ind w:left="0"/>
              <w:rPr>
                <w:rFonts w:ascii="Lato" w:eastAsia="MS Mincho" w:hAnsi="Lato"/>
                <w:sz w:val="18"/>
                <w:szCs w:val="18"/>
              </w:rPr>
            </w:pPr>
          </w:p>
          <w:p w14:paraId="6ED08088"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val="restart"/>
            <w:shd w:val="clear" w:color="auto" w:fill="FFFFFF" w:themeFill="background1"/>
          </w:tcPr>
          <w:p w14:paraId="4FDFDCA0" w14:textId="77777777" w:rsidR="003C25C5" w:rsidRPr="005911C6" w:rsidRDefault="003C25C5" w:rsidP="005911C6">
            <w:pPr>
              <w:pStyle w:val="Kolorowalistaakcent11"/>
              <w:spacing w:after="0" w:line="240" w:lineRule="auto"/>
              <w:ind w:left="0"/>
              <w:rPr>
                <w:rFonts w:ascii="Lato" w:eastAsia="MS Mincho" w:hAnsi="Lato"/>
                <w:sz w:val="18"/>
                <w:szCs w:val="18"/>
              </w:rPr>
            </w:pPr>
            <w:r w:rsidRPr="005911C6">
              <w:rPr>
                <w:rFonts w:ascii="Lato" w:eastAsia="MS Mincho" w:hAnsi="Lato"/>
                <w:sz w:val="18"/>
                <w:szCs w:val="18"/>
              </w:rPr>
              <w:t>Działanie ciągłe*</w:t>
            </w:r>
          </w:p>
        </w:tc>
        <w:tc>
          <w:tcPr>
            <w:tcW w:w="5638" w:type="dxa"/>
            <w:shd w:val="clear" w:color="auto" w:fill="FFFFFF" w:themeFill="background1"/>
          </w:tcPr>
          <w:p w14:paraId="5A1FC80E" w14:textId="77777777" w:rsidR="003C25C5" w:rsidRPr="005911C6" w:rsidRDefault="003C25C5" w:rsidP="005911C6">
            <w:pPr>
              <w:pStyle w:val="Kolorowalistaakcent11"/>
              <w:spacing w:after="0" w:line="240" w:lineRule="auto"/>
              <w:ind w:left="0"/>
              <w:rPr>
                <w:rFonts w:ascii="Lato" w:eastAsia="MS Mincho" w:hAnsi="Lato"/>
                <w:i/>
                <w:sz w:val="18"/>
                <w:szCs w:val="18"/>
              </w:rPr>
            </w:pPr>
            <w:r w:rsidRPr="005911C6">
              <w:rPr>
                <w:rFonts w:ascii="Lato" w:eastAsia="MS Mincho" w:hAnsi="Lato"/>
                <w:i/>
                <w:sz w:val="18"/>
                <w:szCs w:val="18"/>
              </w:rPr>
              <w:t>Liczba wspartych podmiotów Kościoła Katolickiego i innych związków wyznaniowych w obszarze wsparcia osób niesamodzielnych i ich opiekunów</w:t>
            </w:r>
          </w:p>
        </w:tc>
      </w:tr>
      <w:tr w:rsidR="003C25C5" w:rsidRPr="005911C6" w14:paraId="6230FBA0" w14:textId="77777777" w:rsidTr="008C67C9">
        <w:trPr>
          <w:trHeight w:val="984"/>
        </w:trPr>
        <w:tc>
          <w:tcPr>
            <w:tcW w:w="1232" w:type="dxa"/>
            <w:vMerge/>
            <w:shd w:val="clear" w:color="auto" w:fill="FFFFFF" w:themeFill="background1"/>
          </w:tcPr>
          <w:p w14:paraId="1B794D00" w14:textId="77777777" w:rsidR="003C25C5" w:rsidRPr="005911C6" w:rsidRDefault="003C25C5" w:rsidP="005911C6">
            <w:pPr>
              <w:spacing w:after="0" w:line="240" w:lineRule="auto"/>
              <w:rPr>
                <w:rFonts w:ascii="Lato" w:hAnsi="Lato" w:cs="Times New Roman"/>
                <w:sz w:val="18"/>
                <w:szCs w:val="18"/>
              </w:rPr>
            </w:pPr>
          </w:p>
        </w:tc>
        <w:tc>
          <w:tcPr>
            <w:tcW w:w="3594" w:type="dxa"/>
            <w:vMerge/>
            <w:shd w:val="clear" w:color="auto" w:fill="FFFFFF" w:themeFill="background1"/>
          </w:tcPr>
          <w:p w14:paraId="178BC95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2032" w:type="dxa"/>
            <w:vMerge/>
            <w:shd w:val="clear" w:color="auto" w:fill="FFFFFF" w:themeFill="background1"/>
          </w:tcPr>
          <w:p w14:paraId="68B74433" w14:textId="77777777" w:rsidR="003C25C5" w:rsidRPr="005911C6" w:rsidRDefault="003C25C5" w:rsidP="005911C6">
            <w:pPr>
              <w:pStyle w:val="Kolorowalistaakcent11"/>
              <w:spacing w:after="0" w:line="240" w:lineRule="auto"/>
              <w:ind w:left="0"/>
              <w:rPr>
                <w:rFonts w:ascii="Lato" w:eastAsia="MS Mincho" w:hAnsi="Lato"/>
                <w:sz w:val="18"/>
                <w:szCs w:val="18"/>
              </w:rPr>
            </w:pPr>
          </w:p>
        </w:tc>
        <w:tc>
          <w:tcPr>
            <w:tcW w:w="1500" w:type="dxa"/>
            <w:vMerge/>
            <w:shd w:val="clear" w:color="auto" w:fill="FFFFFF" w:themeFill="background1"/>
          </w:tcPr>
          <w:p w14:paraId="59C04A91" w14:textId="77777777" w:rsidR="003C25C5" w:rsidRPr="005911C6" w:rsidRDefault="003C25C5" w:rsidP="005911C6">
            <w:pPr>
              <w:spacing w:after="0" w:line="240" w:lineRule="auto"/>
              <w:rPr>
                <w:rFonts w:ascii="Lato" w:eastAsia="MS Mincho" w:hAnsi="Lato" w:cs="Times New Roman"/>
                <w:sz w:val="18"/>
                <w:szCs w:val="18"/>
              </w:rPr>
            </w:pPr>
          </w:p>
        </w:tc>
        <w:tc>
          <w:tcPr>
            <w:tcW w:w="5638" w:type="dxa"/>
            <w:shd w:val="clear" w:color="auto" w:fill="FFFFFF" w:themeFill="background1"/>
          </w:tcPr>
          <w:p w14:paraId="40F9880C"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u w:val="single"/>
              </w:rPr>
              <w:t>Opis zrealizowanych działań zgodny ze sposobem zastosowanych mierników monitorowania (powyżej):</w:t>
            </w:r>
          </w:p>
          <w:p w14:paraId="3FE5195D" w14:textId="77777777" w:rsidR="003C25C5" w:rsidRPr="005911C6" w:rsidRDefault="003C25C5" w:rsidP="005911C6">
            <w:pPr>
              <w:spacing w:after="0" w:line="240" w:lineRule="auto"/>
              <w:rPr>
                <w:rFonts w:ascii="Lato" w:hAnsi="Lato" w:cs="Times New Roman"/>
                <w:sz w:val="18"/>
                <w:szCs w:val="18"/>
              </w:rPr>
            </w:pPr>
          </w:p>
          <w:p w14:paraId="530AD8EE" w14:textId="77777777" w:rsidR="003C25C5" w:rsidRPr="005911C6" w:rsidRDefault="003C25C5" w:rsidP="005911C6">
            <w:pPr>
              <w:spacing w:after="0" w:line="240" w:lineRule="auto"/>
              <w:rPr>
                <w:rFonts w:ascii="Lato" w:eastAsia="MS Mincho" w:hAnsi="Lato" w:cs="Times New Roman"/>
                <w:b/>
                <w:sz w:val="18"/>
                <w:szCs w:val="18"/>
                <w:u w:val="single"/>
              </w:rPr>
            </w:pPr>
            <w:r w:rsidRPr="005911C6">
              <w:rPr>
                <w:rFonts w:ascii="Lato" w:eastAsia="MS Mincho" w:hAnsi="Lato" w:cs="Times New Roman"/>
                <w:b/>
                <w:sz w:val="18"/>
                <w:szCs w:val="18"/>
              </w:rPr>
              <w:t>…</w:t>
            </w:r>
          </w:p>
        </w:tc>
      </w:tr>
    </w:tbl>
    <w:p w14:paraId="6BC6DA2A" w14:textId="5D58969F" w:rsidR="003C25C5" w:rsidRPr="00D90DAC" w:rsidRDefault="003C25C5" w:rsidP="00B73AF7">
      <w:pPr>
        <w:pStyle w:val="Akapitzlist"/>
        <w:numPr>
          <w:ilvl w:val="0"/>
          <w:numId w:val="4"/>
        </w:numPr>
        <w:spacing w:after="0" w:line="240" w:lineRule="auto"/>
        <w:rPr>
          <w:rFonts w:ascii="Lato" w:hAnsi="Lato" w:cs="Times New Roman"/>
          <w:sz w:val="20"/>
          <w:szCs w:val="20"/>
        </w:rPr>
        <w:sectPr w:rsidR="003C25C5" w:rsidRPr="00D90DAC" w:rsidSect="00A96D8C">
          <w:pgSz w:w="16838" w:h="11906" w:orient="landscape"/>
          <w:pgMar w:top="1417" w:right="1417" w:bottom="1417" w:left="1417" w:header="708" w:footer="708" w:gutter="0"/>
          <w:cols w:space="708"/>
          <w:docGrid w:linePitch="360"/>
        </w:sectPr>
      </w:pPr>
    </w:p>
    <w:p w14:paraId="4FC24484" w14:textId="0B4B88AC" w:rsidR="00586D97" w:rsidRDefault="00586D97" w:rsidP="00BA7CBC">
      <w:pPr>
        <w:pStyle w:val="Nagwek1"/>
        <w:numPr>
          <w:ilvl w:val="0"/>
          <w:numId w:val="0"/>
        </w:numPr>
        <w:ind w:left="432" w:hanging="432"/>
      </w:pPr>
      <w:bookmarkStart w:id="188" w:name="_Toc142565965"/>
      <w:r>
        <w:lastRenderedPageBreak/>
        <w:t>Wnioski i rekomendacje</w:t>
      </w:r>
      <w:bookmarkEnd w:id="188"/>
    </w:p>
    <w:p w14:paraId="4AC053D3" w14:textId="75E1E9C3" w:rsidR="00D96984" w:rsidRPr="00D96984" w:rsidRDefault="00D96984" w:rsidP="00D96984">
      <w:pPr>
        <w:autoSpaceDE w:val="0"/>
        <w:autoSpaceDN w:val="0"/>
        <w:adjustRightInd w:val="0"/>
        <w:spacing w:after="0" w:line="240" w:lineRule="auto"/>
        <w:jc w:val="both"/>
        <w:rPr>
          <w:rFonts w:ascii="Lato" w:hAnsi="Lato" w:cs="TimesNewRomanPSMT"/>
          <w:sz w:val="20"/>
          <w:szCs w:val="20"/>
        </w:rPr>
      </w:pPr>
      <w:r w:rsidRPr="00D96984">
        <w:rPr>
          <w:rFonts w:ascii="Lato" w:hAnsi="Lato" w:cs="Times New Roman"/>
          <w:sz w:val="20"/>
          <w:szCs w:val="20"/>
        </w:rPr>
        <w:t>Analiza</w:t>
      </w:r>
      <w:r w:rsidR="00E6336F" w:rsidRPr="00D96984">
        <w:rPr>
          <w:rFonts w:ascii="Lato" w:hAnsi="Lato" w:cs="Times New Roman"/>
          <w:sz w:val="20"/>
          <w:szCs w:val="20"/>
        </w:rPr>
        <w:t xml:space="preserve"> danych </w:t>
      </w:r>
      <w:r w:rsidR="00E6336F" w:rsidRPr="00D96984">
        <w:rPr>
          <w:rFonts w:ascii="Lato" w:hAnsi="Lato" w:cs="TimesNewRomanPSMT"/>
          <w:sz w:val="20"/>
          <w:szCs w:val="20"/>
        </w:rPr>
        <w:t xml:space="preserve">dotyczących sytuacji osób starszych w </w:t>
      </w:r>
      <w:r w:rsidR="00E6336F" w:rsidRPr="00D96984">
        <w:rPr>
          <w:rFonts w:ascii="Lato" w:hAnsi="Lato" w:cs="Times New Roman"/>
          <w:sz w:val="20"/>
          <w:szCs w:val="20"/>
        </w:rPr>
        <w:t>Polsce</w:t>
      </w:r>
      <w:r w:rsidR="0065380C" w:rsidRPr="00D96984">
        <w:rPr>
          <w:rFonts w:ascii="Lato" w:hAnsi="Lato" w:cs="Times New Roman"/>
          <w:sz w:val="20"/>
          <w:szCs w:val="20"/>
        </w:rPr>
        <w:t xml:space="preserve"> </w:t>
      </w:r>
      <w:r w:rsidR="00E6336F" w:rsidRPr="00D96984">
        <w:rPr>
          <w:rFonts w:ascii="Lato" w:hAnsi="Lato" w:cs="TimesNewRomanPSMT"/>
          <w:sz w:val="20"/>
          <w:szCs w:val="20"/>
        </w:rPr>
        <w:t>za 202</w:t>
      </w:r>
      <w:r w:rsidR="00D32D74" w:rsidRPr="00D96984">
        <w:rPr>
          <w:rFonts w:ascii="Lato" w:hAnsi="Lato" w:cs="TimesNewRomanPSMT"/>
          <w:sz w:val="20"/>
          <w:szCs w:val="20"/>
        </w:rPr>
        <w:t xml:space="preserve">2 </w:t>
      </w:r>
      <w:r w:rsidR="00E6336F" w:rsidRPr="00D96984">
        <w:rPr>
          <w:rFonts w:ascii="Lato" w:hAnsi="Lato" w:cs="TimesNewRomanPSMT"/>
          <w:sz w:val="20"/>
          <w:szCs w:val="20"/>
        </w:rPr>
        <w:t>r.</w:t>
      </w:r>
      <w:r w:rsidRPr="00D96984">
        <w:rPr>
          <w:rFonts w:ascii="Lato" w:hAnsi="Lato" w:cs="TimesNewRomanPSMT"/>
          <w:sz w:val="20"/>
          <w:szCs w:val="20"/>
        </w:rPr>
        <w:t>, a także</w:t>
      </w:r>
      <w:r w:rsidR="008E59C8" w:rsidRPr="00D96984">
        <w:rPr>
          <w:rFonts w:ascii="Lato" w:hAnsi="Lato" w:cs="TimesNewRomanPSMT"/>
          <w:sz w:val="20"/>
          <w:szCs w:val="20"/>
        </w:rPr>
        <w:t xml:space="preserve"> informacji przekazanych przez instytucje publiczne</w:t>
      </w:r>
      <w:r w:rsidRPr="00D96984">
        <w:rPr>
          <w:rFonts w:ascii="Lato" w:hAnsi="Lato" w:cs="TimesNewRomanPSMT"/>
          <w:sz w:val="20"/>
          <w:szCs w:val="20"/>
        </w:rPr>
        <w:t xml:space="preserve"> wykazuje, </w:t>
      </w:r>
      <w:r w:rsidR="008E59C8" w:rsidRPr="00D96984">
        <w:rPr>
          <w:rFonts w:ascii="Lato" w:hAnsi="Lato" w:cs="TimesNewRomanPSMT"/>
          <w:sz w:val="20"/>
          <w:szCs w:val="20"/>
        </w:rPr>
        <w:t xml:space="preserve">że polityka społeczna wobec osób starszych jest konsekwentnie realizowana zarówno na poziomie centralnym, regionalnym jak i lokalnym. </w:t>
      </w:r>
    </w:p>
    <w:p w14:paraId="7C61CD67" w14:textId="77777777" w:rsidR="00D96984" w:rsidRDefault="00D96984" w:rsidP="00D96984">
      <w:pPr>
        <w:autoSpaceDE w:val="0"/>
        <w:autoSpaceDN w:val="0"/>
        <w:adjustRightInd w:val="0"/>
        <w:spacing w:after="0" w:line="240" w:lineRule="auto"/>
        <w:jc w:val="both"/>
        <w:rPr>
          <w:rFonts w:ascii="Lato" w:hAnsi="Lato" w:cs="TimesNewRomanPSMT"/>
          <w:color w:val="FF0000"/>
          <w:sz w:val="20"/>
          <w:szCs w:val="20"/>
        </w:rPr>
      </w:pPr>
    </w:p>
    <w:p w14:paraId="47BFB8D5" w14:textId="3B28874A" w:rsidR="00A243A3" w:rsidRPr="003650C6" w:rsidRDefault="001E4F8E" w:rsidP="003650C6">
      <w:pPr>
        <w:autoSpaceDE w:val="0"/>
        <w:autoSpaceDN w:val="0"/>
        <w:adjustRightInd w:val="0"/>
        <w:spacing w:after="0" w:line="240" w:lineRule="auto"/>
        <w:jc w:val="both"/>
        <w:rPr>
          <w:rFonts w:ascii="Lato" w:hAnsi="Lato" w:cs="TimesNewRomanPSMT"/>
          <w:sz w:val="20"/>
          <w:szCs w:val="20"/>
        </w:rPr>
      </w:pPr>
      <w:r>
        <w:rPr>
          <w:rFonts w:ascii="Lato" w:hAnsi="Lato" w:cs="TimesNewRomanPSMT"/>
          <w:sz w:val="20"/>
          <w:szCs w:val="20"/>
        </w:rPr>
        <w:t>Z przedstawionych danych wynika</w:t>
      </w:r>
      <w:r w:rsidR="003650C6">
        <w:rPr>
          <w:rFonts w:ascii="Lato" w:hAnsi="Lato" w:cs="TimesNewRomanPSMT"/>
          <w:sz w:val="20"/>
          <w:szCs w:val="20"/>
        </w:rPr>
        <w:t>, że o</w:t>
      </w:r>
      <w:r w:rsidR="00D96984" w:rsidRPr="00A243A3">
        <w:rPr>
          <w:rFonts w:ascii="Lato" w:hAnsi="Lato" w:cs="TimesNewRomanPSMT"/>
          <w:sz w:val="20"/>
          <w:szCs w:val="20"/>
        </w:rPr>
        <w:t xml:space="preserve">soby starsze mogą liczyć na znaczące wsparcie w zaspokajaniu swoich potrzeb poprzez działanie wielu instytucji. Pomoc ta świadczona jest we współpracy zarówno z samorządami jak i instytucjami pozarządowymi. </w:t>
      </w:r>
      <w:r w:rsidR="00A243A3" w:rsidRPr="001E4F8E">
        <w:rPr>
          <w:rFonts w:ascii="Lato" w:eastAsia="Calibri" w:hAnsi="Lato" w:cs="Times New Roman"/>
          <w:sz w:val="20"/>
          <w:szCs w:val="20"/>
        </w:rPr>
        <w:t>Na</w:t>
      </w:r>
      <w:r w:rsidR="00A243A3" w:rsidRPr="001E4F8E">
        <w:rPr>
          <w:rFonts w:ascii="Lato" w:hAnsi="Lato" w:cs="Times New Roman"/>
          <w:sz w:val="20"/>
          <w:szCs w:val="20"/>
        </w:rPr>
        <w:t xml:space="preserve"> przestrzeni ostatnich lat  </w:t>
      </w:r>
      <w:r w:rsidR="00A243A3" w:rsidRPr="001E4F8E">
        <w:rPr>
          <w:rFonts w:ascii="Lato" w:hAnsi="Lato" w:cs="TimesNewRomanPSMT"/>
          <w:sz w:val="20"/>
          <w:szCs w:val="20"/>
        </w:rPr>
        <w:t>s</w:t>
      </w:r>
      <w:r w:rsidR="00D96984" w:rsidRPr="001E4F8E">
        <w:rPr>
          <w:rFonts w:ascii="Lato" w:hAnsi="Lato" w:cs="TimesNewRomanPSMT"/>
          <w:sz w:val="20"/>
          <w:szCs w:val="20"/>
        </w:rPr>
        <w:t xml:space="preserve">eniorzy </w:t>
      </w:r>
      <w:r w:rsidR="00A243A3" w:rsidRPr="001E4F8E">
        <w:rPr>
          <w:rFonts w:ascii="Lato" w:hAnsi="Lato" w:cs="TimesNewRomanPSMT"/>
          <w:sz w:val="20"/>
          <w:szCs w:val="20"/>
        </w:rPr>
        <w:t>znacznie c</w:t>
      </w:r>
      <w:r w:rsidR="00D96984" w:rsidRPr="001E4F8E">
        <w:rPr>
          <w:rFonts w:ascii="Lato" w:hAnsi="Lato" w:cs="TimesNewRomanPSMT"/>
          <w:sz w:val="20"/>
          <w:szCs w:val="20"/>
        </w:rPr>
        <w:t>hętniej uczestniczą w organizowanych zajęciach</w:t>
      </w:r>
      <w:r w:rsidR="003650C6">
        <w:rPr>
          <w:rFonts w:ascii="Lato" w:hAnsi="Lato" w:cs="TimesNewRomanPSMT"/>
          <w:sz w:val="20"/>
          <w:szCs w:val="20"/>
        </w:rPr>
        <w:t xml:space="preserve"> i</w:t>
      </w:r>
      <w:r w:rsidR="00D96984" w:rsidRPr="001E4F8E">
        <w:rPr>
          <w:rFonts w:ascii="Lato" w:hAnsi="Lato" w:cs="TimesNewRomanPSMT"/>
          <w:sz w:val="20"/>
          <w:szCs w:val="20"/>
        </w:rPr>
        <w:t xml:space="preserve"> </w:t>
      </w:r>
      <w:r w:rsidR="003650C6">
        <w:rPr>
          <w:rFonts w:ascii="Lato" w:hAnsi="Lato" w:cs="TimesNewRomanPSMT"/>
          <w:sz w:val="20"/>
          <w:szCs w:val="20"/>
        </w:rPr>
        <w:t xml:space="preserve">wolontariacie, </w:t>
      </w:r>
      <w:r w:rsidR="00D96984" w:rsidRPr="001E4F8E">
        <w:rPr>
          <w:rFonts w:ascii="Lato" w:hAnsi="Lato" w:cs="TimesNewRomanPSMT"/>
          <w:sz w:val="20"/>
          <w:szCs w:val="20"/>
        </w:rPr>
        <w:t xml:space="preserve">angażują się w działalność organizacji, rozwijają swoje </w:t>
      </w:r>
      <w:r w:rsidR="003650C6">
        <w:rPr>
          <w:rFonts w:ascii="Lato" w:hAnsi="Lato" w:cs="TimesNewRomanPSMT"/>
          <w:sz w:val="20"/>
          <w:szCs w:val="20"/>
        </w:rPr>
        <w:t xml:space="preserve">pasje, czy angażują się w </w:t>
      </w:r>
      <w:r w:rsidR="003650C6" w:rsidRPr="003650C6">
        <w:rPr>
          <w:rFonts w:ascii="Lato" w:hAnsi="Lato" w:cs="Times New Roman"/>
          <w:sz w:val="20"/>
          <w:szCs w:val="20"/>
        </w:rPr>
        <w:t>różnorodnych inicjatywach z zakresu integracji wewnątrz– i międzypokoleniowej</w:t>
      </w:r>
      <w:r w:rsidR="003650C6" w:rsidRPr="003650C6">
        <w:rPr>
          <w:rFonts w:ascii="Lato" w:hAnsi="Lato" w:cs="TimesNewRomanPSMT"/>
          <w:sz w:val="20"/>
          <w:szCs w:val="20"/>
        </w:rPr>
        <w:t xml:space="preserve">. </w:t>
      </w:r>
      <w:r w:rsidR="00A243A3" w:rsidRPr="001E4F8E">
        <w:rPr>
          <w:rFonts w:ascii="Lato" w:hAnsi="Lato" w:cs="TimesNewRomanPSMT"/>
          <w:sz w:val="20"/>
          <w:szCs w:val="20"/>
        </w:rPr>
        <w:t xml:space="preserve">Coraz większe znaczenie ma także </w:t>
      </w:r>
      <w:r w:rsidR="00A243A3" w:rsidRPr="001E4F8E">
        <w:rPr>
          <w:rFonts w:ascii="Lato" w:hAnsi="Lato" w:cs="Times New Roman"/>
          <w:sz w:val="20"/>
          <w:szCs w:val="20"/>
        </w:rPr>
        <w:t>poszanowanie praw seniorów</w:t>
      </w:r>
      <w:r w:rsidR="00A243A3" w:rsidRPr="001E4F8E">
        <w:rPr>
          <w:rFonts w:ascii="Lato" w:hAnsi="Lato" w:cs="Times New Roman"/>
          <w:b/>
          <w:sz w:val="20"/>
          <w:szCs w:val="20"/>
        </w:rPr>
        <w:t xml:space="preserve">, </w:t>
      </w:r>
      <w:r w:rsidR="00A243A3" w:rsidRPr="001E4F8E">
        <w:rPr>
          <w:rFonts w:ascii="Lato" w:hAnsi="Lato" w:cs="Times New Roman"/>
          <w:sz w:val="20"/>
          <w:szCs w:val="20"/>
        </w:rPr>
        <w:t>ochrona interesów tej grupy wiekowej, zapewnienie</w:t>
      </w:r>
      <w:r w:rsidRPr="001E4F8E">
        <w:rPr>
          <w:rFonts w:ascii="Lato" w:hAnsi="Lato" w:cs="Times New Roman"/>
          <w:sz w:val="20"/>
          <w:szCs w:val="20"/>
        </w:rPr>
        <w:t xml:space="preserve"> możliwości zaangażowania się</w:t>
      </w:r>
      <w:r w:rsidR="00A243A3" w:rsidRPr="001E4F8E">
        <w:rPr>
          <w:rFonts w:ascii="Lato" w:hAnsi="Lato" w:cs="Times New Roman"/>
          <w:sz w:val="20"/>
          <w:szCs w:val="20"/>
        </w:rPr>
        <w:t xml:space="preserve"> w </w:t>
      </w:r>
      <w:r w:rsidRPr="001E4F8E">
        <w:rPr>
          <w:rFonts w:ascii="Lato" w:hAnsi="Lato" w:cs="Times New Roman"/>
          <w:sz w:val="20"/>
          <w:szCs w:val="20"/>
        </w:rPr>
        <w:t>preferowanych formach aktywności, wydarzeniach i inicjatywach na rzecz środowiska senioralnego</w:t>
      </w:r>
      <w:r w:rsidRPr="003650C6">
        <w:rPr>
          <w:rFonts w:ascii="Lato" w:hAnsi="Lato" w:cs="Times New Roman"/>
          <w:sz w:val="20"/>
          <w:szCs w:val="20"/>
        </w:rPr>
        <w:t xml:space="preserve">.  </w:t>
      </w:r>
      <w:r w:rsidR="003650C6" w:rsidRPr="003650C6">
        <w:rPr>
          <w:rFonts w:ascii="Lato" w:hAnsi="Lato" w:cs="Times New Roman"/>
          <w:sz w:val="20"/>
          <w:szCs w:val="20"/>
        </w:rPr>
        <w:t>Jednocześnie, stale wzrasta</w:t>
      </w:r>
      <w:r w:rsidR="00A243A3" w:rsidRPr="003650C6">
        <w:rPr>
          <w:rFonts w:ascii="Lato" w:hAnsi="Lato" w:cs="Times New Roman"/>
          <w:sz w:val="20"/>
          <w:szCs w:val="20"/>
        </w:rPr>
        <w:t xml:space="preserve"> liczba miejsc przyjaznych seniorom, w tym m. in. w dziennych ośrodkach wsparcia. </w:t>
      </w:r>
    </w:p>
    <w:p w14:paraId="1BC75D60" w14:textId="77F8C16C" w:rsidR="008E59C8" w:rsidRDefault="008E59C8" w:rsidP="00D96984">
      <w:pPr>
        <w:autoSpaceDE w:val="0"/>
        <w:autoSpaceDN w:val="0"/>
        <w:adjustRightInd w:val="0"/>
        <w:spacing w:after="0" w:line="240" w:lineRule="auto"/>
        <w:jc w:val="both"/>
        <w:rPr>
          <w:rFonts w:ascii="Lato" w:hAnsi="Lato" w:cs="TimesNewRomanPSMT"/>
          <w:color w:val="FF0000"/>
          <w:sz w:val="20"/>
          <w:szCs w:val="20"/>
        </w:rPr>
      </w:pPr>
    </w:p>
    <w:p w14:paraId="4AC13609" w14:textId="1CDAF6EE" w:rsidR="00D96984" w:rsidRPr="00895836" w:rsidRDefault="00895836" w:rsidP="00895836">
      <w:pPr>
        <w:autoSpaceDE w:val="0"/>
        <w:autoSpaceDN w:val="0"/>
        <w:adjustRightInd w:val="0"/>
        <w:spacing w:after="0" w:line="240" w:lineRule="auto"/>
        <w:jc w:val="both"/>
        <w:rPr>
          <w:rFonts w:ascii="Lato" w:hAnsi="Lato" w:cs="TimesNewRomanPSMT"/>
          <w:color w:val="FF0000"/>
          <w:sz w:val="20"/>
          <w:szCs w:val="20"/>
        </w:rPr>
      </w:pPr>
      <w:r w:rsidRPr="00D96984">
        <w:rPr>
          <w:rFonts w:ascii="Lato" w:hAnsi="Lato" w:cs="TimesNewRomanPSMT"/>
          <w:sz w:val="20"/>
          <w:szCs w:val="20"/>
        </w:rPr>
        <w:t xml:space="preserve">Jednocześnie, </w:t>
      </w:r>
      <w:r w:rsidRPr="00D96984">
        <w:rPr>
          <w:rFonts w:ascii="Lato" w:eastAsia="Calibri" w:hAnsi="Lato" w:cs="Times New Roman"/>
          <w:sz w:val="20"/>
          <w:szCs w:val="20"/>
        </w:rPr>
        <w:t xml:space="preserve">postępujący w naszym kraju proces starzenia się społeczeństwa sprawia, że priorytetowymi wyzwaniami dla polityki społecznej są </w:t>
      </w:r>
      <w:r>
        <w:rPr>
          <w:rFonts w:ascii="Lato" w:eastAsia="Calibri" w:hAnsi="Lato" w:cs="Times New Roman"/>
          <w:sz w:val="20"/>
          <w:szCs w:val="20"/>
        </w:rPr>
        <w:t xml:space="preserve">w dalszym ciągu </w:t>
      </w:r>
      <w:r w:rsidRPr="00D96984">
        <w:rPr>
          <w:rFonts w:ascii="Lato" w:eastAsia="Calibri" w:hAnsi="Lato" w:cs="Times New Roman"/>
          <w:sz w:val="20"/>
          <w:szCs w:val="20"/>
        </w:rPr>
        <w:t>działania z zakresu polityki rodzinnej, w tym polityki kierowanej do starszej i najstarszej części społeczeństwa.</w:t>
      </w:r>
      <w:r>
        <w:rPr>
          <w:rFonts w:ascii="Lato" w:hAnsi="Lato" w:cs="TimesNewRomanPSMT"/>
          <w:color w:val="FF0000"/>
          <w:sz w:val="20"/>
          <w:szCs w:val="20"/>
        </w:rPr>
        <w:t xml:space="preserve"> </w:t>
      </w:r>
      <w:r w:rsidRPr="00895836">
        <w:rPr>
          <w:rFonts w:ascii="Lato" w:hAnsi="Lato" w:cs="TimesNewRomanPSMT"/>
          <w:sz w:val="20"/>
          <w:szCs w:val="20"/>
        </w:rPr>
        <w:t>Niezbędne</w:t>
      </w:r>
      <w:r w:rsidR="00D96984" w:rsidRPr="00895836">
        <w:rPr>
          <w:rFonts w:ascii="Lato" w:hAnsi="Lato" w:cs="TimesNewRomanPSMT"/>
          <w:sz w:val="20"/>
          <w:szCs w:val="20"/>
        </w:rPr>
        <w:t xml:space="preserve"> jest </w:t>
      </w:r>
      <w:r w:rsidR="00D96984" w:rsidRPr="00895836">
        <w:rPr>
          <w:rFonts w:ascii="Lato" w:hAnsi="Lato" w:cs="Times New Roman"/>
          <w:sz w:val="20"/>
          <w:szCs w:val="20"/>
        </w:rPr>
        <w:t xml:space="preserve">kontynuowanie </w:t>
      </w:r>
      <w:r w:rsidR="00D96984" w:rsidRPr="00895836">
        <w:rPr>
          <w:rFonts w:ascii="Lato" w:hAnsi="Lato" w:cs="TimesNewRomanPSMT"/>
          <w:sz w:val="20"/>
          <w:szCs w:val="20"/>
        </w:rPr>
        <w:t xml:space="preserve">kluczowych kierunków działań określonych w </w:t>
      </w:r>
      <w:r w:rsidR="00D96984" w:rsidRPr="00895836">
        <w:rPr>
          <w:rFonts w:ascii="Lato" w:hAnsi="Lato" w:cs="TimesNewRomanPS-ItalicMT"/>
          <w:i/>
          <w:iCs/>
          <w:sz w:val="20"/>
          <w:szCs w:val="20"/>
        </w:rPr>
        <w:t>Polityce społecznej wobec osób starszych 2030.</w:t>
      </w:r>
      <w:r w:rsidR="00D96984" w:rsidRPr="00895836">
        <w:rPr>
          <w:rFonts w:ascii="Lato" w:hAnsi="Lato" w:cs="Times New Roman"/>
          <w:sz w:val="20"/>
          <w:szCs w:val="20"/>
        </w:rPr>
        <w:t xml:space="preserve"> </w:t>
      </w:r>
      <w:r w:rsidR="00D96984" w:rsidRPr="00895836">
        <w:rPr>
          <w:rFonts w:ascii="Lato" w:hAnsi="Lato" w:cs="TimesNewRomanPS-ItalicMT"/>
          <w:i/>
          <w:iCs/>
          <w:sz w:val="20"/>
          <w:szCs w:val="20"/>
        </w:rPr>
        <w:t xml:space="preserve">Bezpieczeństwo – </w:t>
      </w:r>
      <w:r w:rsidR="00D96984" w:rsidRPr="00895836">
        <w:rPr>
          <w:rFonts w:ascii="Lato" w:hAnsi="Lato" w:cs="Times New Roman"/>
          <w:i/>
          <w:iCs/>
          <w:sz w:val="20"/>
          <w:szCs w:val="20"/>
        </w:rPr>
        <w:t xml:space="preserve">Uczestnictwo </w:t>
      </w:r>
      <w:r w:rsidR="00D96984" w:rsidRPr="00895836">
        <w:rPr>
          <w:rFonts w:ascii="Lato" w:hAnsi="Lato" w:cs="TimesNewRomanPS-ItalicMT"/>
          <w:i/>
          <w:iCs/>
          <w:sz w:val="20"/>
          <w:szCs w:val="20"/>
        </w:rPr>
        <w:t>– Solidarność</w:t>
      </w:r>
      <w:r w:rsidR="00D96984" w:rsidRPr="00895836">
        <w:rPr>
          <w:rFonts w:ascii="Lato" w:hAnsi="Lato" w:cs="TimesNewRomanPSMT"/>
          <w:sz w:val="20"/>
          <w:szCs w:val="20"/>
        </w:rPr>
        <w:t xml:space="preserve"> </w:t>
      </w:r>
      <w:r w:rsidRPr="00895836">
        <w:rPr>
          <w:rFonts w:ascii="Lato" w:hAnsi="Lato" w:cs="TimesNewRomanPSMT"/>
          <w:sz w:val="20"/>
          <w:szCs w:val="20"/>
        </w:rPr>
        <w:t xml:space="preserve"> w</w:t>
      </w:r>
      <w:r w:rsidR="00D96984" w:rsidRPr="00895836">
        <w:rPr>
          <w:rFonts w:ascii="Lato" w:hAnsi="Lato" w:cs="TimesNewRomanPSMT"/>
          <w:sz w:val="20"/>
          <w:szCs w:val="20"/>
        </w:rPr>
        <w:t xml:space="preserve"> </w:t>
      </w:r>
      <w:r w:rsidR="00D96984" w:rsidRPr="00895836">
        <w:rPr>
          <w:rFonts w:ascii="Lato" w:hAnsi="Lato" w:cs="Times New Roman"/>
          <w:sz w:val="20"/>
          <w:szCs w:val="20"/>
        </w:rPr>
        <w:t xml:space="preserve">szczególności przeciwdziałających marginalizacji, separacji i samotności, wzmacniających samodzielność oraz gwarantujących pełne uczestnictwo w życiu społecznym.  </w:t>
      </w:r>
    </w:p>
    <w:p w14:paraId="1261F736" w14:textId="77777777" w:rsidR="008E59C8" w:rsidRDefault="008E59C8" w:rsidP="00D96984">
      <w:pPr>
        <w:autoSpaceDE w:val="0"/>
        <w:autoSpaceDN w:val="0"/>
        <w:adjustRightInd w:val="0"/>
        <w:spacing w:after="0" w:line="240" w:lineRule="auto"/>
        <w:jc w:val="both"/>
        <w:rPr>
          <w:rFonts w:ascii="Lato" w:hAnsi="Lato" w:cs="TimesNewRomanPSMT"/>
          <w:color w:val="FF0000"/>
          <w:sz w:val="20"/>
          <w:szCs w:val="20"/>
        </w:rPr>
      </w:pPr>
    </w:p>
    <w:p w14:paraId="1889A3C6" w14:textId="5AA016CC" w:rsidR="000A486A" w:rsidRPr="003650C6" w:rsidRDefault="00B62FFA" w:rsidP="00D96984">
      <w:pPr>
        <w:autoSpaceDE w:val="0"/>
        <w:autoSpaceDN w:val="0"/>
        <w:adjustRightInd w:val="0"/>
        <w:spacing w:after="0" w:line="240" w:lineRule="auto"/>
        <w:jc w:val="both"/>
        <w:rPr>
          <w:rFonts w:ascii="Lato" w:hAnsi="Lato" w:cs="TimesNewRomanPSMT"/>
          <w:color w:val="FF0000"/>
          <w:sz w:val="20"/>
          <w:szCs w:val="20"/>
        </w:rPr>
      </w:pPr>
      <w:r w:rsidRPr="003650C6">
        <w:rPr>
          <w:rFonts w:ascii="Lato" w:hAnsi="Lato" w:cs="TimesNewRomanPSMT"/>
          <w:sz w:val="20"/>
          <w:szCs w:val="20"/>
        </w:rPr>
        <w:t xml:space="preserve">Biorąc pod uwagę aktualną sytuację gospodarczą </w:t>
      </w:r>
      <w:r w:rsidR="000A486A" w:rsidRPr="003650C6">
        <w:rPr>
          <w:rFonts w:ascii="Lato" w:hAnsi="Lato" w:cs="TimesNewRomanPSMT"/>
          <w:sz w:val="20"/>
          <w:szCs w:val="20"/>
        </w:rPr>
        <w:t>należy kontynuować działania mające</w:t>
      </w:r>
      <w:r w:rsidRPr="003650C6">
        <w:rPr>
          <w:rFonts w:ascii="Lato" w:hAnsi="Lato" w:cs="TimesNewRomanPSMT"/>
          <w:sz w:val="20"/>
          <w:szCs w:val="20"/>
        </w:rPr>
        <w:t xml:space="preserve"> na celu </w:t>
      </w:r>
      <w:r w:rsidR="003650C6" w:rsidRPr="003650C6">
        <w:rPr>
          <w:rFonts w:ascii="Lato" w:hAnsi="Lato" w:cs="TimesNewRomanPSMT"/>
          <w:sz w:val="20"/>
          <w:szCs w:val="20"/>
        </w:rPr>
        <w:t>odciążenie sytuacji</w:t>
      </w:r>
      <w:r w:rsidR="00A243A3" w:rsidRPr="003650C6">
        <w:rPr>
          <w:rFonts w:ascii="Lato" w:hAnsi="Lato" w:cs="TimesNewRomanPSMT"/>
          <w:sz w:val="20"/>
          <w:szCs w:val="20"/>
        </w:rPr>
        <w:t xml:space="preserve"> finansowej seniorów, w szczególności osób o najniższych dochodach, oraz </w:t>
      </w:r>
      <w:r w:rsidR="00D76159" w:rsidRPr="003650C6">
        <w:rPr>
          <w:rFonts w:ascii="Lato" w:hAnsi="Lato" w:cs="TimesNewRomanPSMT"/>
          <w:sz w:val="20"/>
          <w:szCs w:val="20"/>
        </w:rPr>
        <w:t xml:space="preserve">zabezpieczenie </w:t>
      </w:r>
      <w:r w:rsidRPr="003650C6">
        <w:rPr>
          <w:rFonts w:ascii="Lato" w:hAnsi="Lato" w:cs="TimesNewRomanPSMT"/>
          <w:sz w:val="20"/>
          <w:szCs w:val="20"/>
        </w:rPr>
        <w:t xml:space="preserve">sytuacji materialnej </w:t>
      </w:r>
      <w:r w:rsidR="000A486A" w:rsidRPr="003650C6">
        <w:rPr>
          <w:rFonts w:ascii="Lato" w:hAnsi="Lato" w:cs="TimesNewRomanPSMT"/>
          <w:sz w:val="20"/>
          <w:szCs w:val="20"/>
        </w:rPr>
        <w:t>gospodarstw</w:t>
      </w:r>
      <w:r w:rsidR="00895836" w:rsidRPr="003650C6">
        <w:rPr>
          <w:rFonts w:ascii="Lato" w:hAnsi="Lato" w:cs="TimesNewRomanPSMT"/>
          <w:sz w:val="20"/>
          <w:szCs w:val="20"/>
        </w:rPr>
        <w:t xml:space="preserve"> domowych</w:t>
      </w:r>
      <w:r w:rsidR="000A486A" w:rsidRPr="003650C6">
        <w:rPr>
          <w:rFonts w:ascii="Lato" w:hAnsi="Lato" w:cs="TimesNewRomanPSMT"/>
          <w:sz w:val="20"/>
          <w:szCs w:val="20"/>
        </w:rPr>
        <w:t xml:space="preserve"> zamieszk</w:t>
      </w:r>
      <w:r w:rsidR="00895836" w:rsidRPr="003650C6">
        <w:rPr>
          <w:rFonts w:ascii="Lato" w:hAnsi="Lato" w:cs="TimesNewRomanPSMT"/>
          <w:sz w:val="20"/>
          <w:szCs w:val="20"/>
        </w:rPr>
        <w:t>iwanych</w:t>
      </w:r>
      <w:r w:rsidR="000A486A" w:rsidRPr="003650C6">
        <w:rPr>
          <w:rFonts w:ascii="Lato" w:hAnsi="Lato" w:cs="TimesNewRomanPSMT"/>
          <w:sz w:val="20"/>
          <w:szCs w:val="20"/>
        </w:rPr>
        <w:t xml:space="preserve"> przez </w:t>
      </w:r>
      <w:r w:rsidRPr="003650C6">
        <w:rPr>
          <w:rFonts w:ascii="Lato" w:hAnsi="Lato" w:cs="TimesNewRomanPSMT"/>
          <w:sz w:val="20"/>
          <w:szCs w:val="20"/>
        </w:rPr>
        <w:t>os</w:t>
      </w:r>
      <w:r w:rsidR="00D96984" w:rsidRPr="003650C6">
        <w:rPr>
          <w:rFonts w:ascii="Lato" w:hAnsi="Lato" w:cs="TimesNewRomanPSMT"/>
          <w:sz w:val="20"/>
          <w:szCs w:val="20"/>
        </w:rPr>
        <w:t>oby</w:t>
      </w:r>
      <w:r w:rsidRPr="003650C6">
        <w:rPr>
          <w:rFonts w:ascii="Lato" w:hAnsi="Lato" w:cs="TimesNewRomanPSMT"/>
          <w:sz w:val="20"/>
          <w:szCs w:val="20"/>
        </w:rPr>
        <w:t xml:space="preserve"> starsz</w:t>
      </w:r>
      <w:r w:rsidR="00D96984" w:rsidRPr="003650C6">
        <w:rPr>
          <w:rFonts w:ascii="Lato" w:hAnsi="Lato" w:cs="TimesNewRomanPSMT"/>
          <w:sz w:val="20"/>
          <w:szCs w:val="20"/>
        </w:rPr>
        <w:t>e</w:t>
      </w:r>
      <w:r w:rsidR="00A243A3" w:rsidRPr="003650C6">
        <w:rPr>
          <w:rFonts w:ascii="Lato" w:hAnsi="Lato" w:cs="TimesNewRomanPSMT"/>
          <w:sz w:val="20"/>
          <w:szCs w:val="20"/>
        </w:rPr>
        <w:t xml:space="preserve">. </w:t>
      </w:r>
      <w:r w:rsidR="00A243A3" w:rsidRPr="00A243A3">
        <w:rPr>
          <w:rFonts w:ascii="Lato" w:hAnsi="Lato" w:cs="Times New Roman"/>
          <w:sz w:val="20"/>
          <w:szCs w:val="20"/>
        </w:rPr>
        <w:t xml:space="preserve">Jednym z czynników wzmacniających niezależność finansową osób starszych jest wzmacnianie ich pozycji </w:t>
      </w:r>
      <w:r w:rsidR="00895836" w:rsidRPr="00A243A3">
        <w:rPr>
          <w:rFonts w:ascii="Lato" w:hAnsi="Lato" w:cs="Times New Roman"/>
          <w:sz w:val="20"/>
          <w:szCs w:val="20"/>
        </w:rPr>
        <w:t xml:space="preserve">na rynku pracy </w:t>
      </w:r>
      <w:r w:rsidR="00A243A3" w:rsidRPr="00A243A3">
        <w:rPr>
          <w:rFonts w:ascii="Lato" w:hAnsi="Lato" w:cs="Times New Roman"/>
          <w:sz w:val="20"/>
          <w:szCs w:val="20"/>
        </w:rPr>
        <w:t>poprzez</w:t>
      </w:r>
      <w:r w:rsidR="000A486A" w:rsidRPr="00A243A3">
        <w:rPr>
          <w:rFonts w:ascii="Lato" w:hAnsi="Lato" w:cs="Times New Roman"/>
          <w:sz w:val="20"/>
          <w:szCs w:val="20"/>
        </w:rPr>
        <w:t xml:space="preserve"> </w:t>
      </w:r>
      <w:r w:rsidR="00895836" w:rsidRPr="00A243A3">
        <w:rPr>
          <w:rFonts w:ascii="Lato" w:hAnsi="Lato" w:cs="Times New Roman"/>
          <w:sz w:val="20"/>
          <w:szCs w:val="20"/>
        </w:rPr>
        <w:t>zapewnienie godnych warunków pracy, dostosowanie wymagań pracodawców do możliwości osób starszych</w:t>
      </w:r>
      <w:r w:rsidR="00A243A3" w:rsidRPr="00A243A3">
        <w:rPr>
          <w:rFonts w:ascii="Lato" w:hAnsi="Lato" w:cs="Times New Roman"/>
          <w:sz w:val="20"/>
          <w:szCs w:val="20"/>
        </w:rPr>
        <w:t xml:space="preserve">, </w:t>
      </w:r>
      <w:r w:rsidR="00895836" w:rsidRPr="00A243A3">
        <w:rPr>
          <w:rFonts w:ascii="Lato" w:hAnsi="Lato" w:cs="Times New Roman"/>
          <w:sz w:val="20"/>
          <w:szCs w:val="20"/>
        </w:rPr>
        <w:t xml:space="preserve">elastyczne formy zatrudnienia, a także </w:t>
      </w:r>
      <w:r w:rsidR="000A486A" w:rsidRPr="00A243A3">
        <w:rPr>
          <w:rFonts w:ascii="Lato" w:hAnsi="Lato" w:cs="Times New Roman"/>
          <w:sz w:val="20"/>
          <w:szCs w:val="20"/>
        </w:rPr>
        <w:t xml:space="preserve">organizowanie zajęć umożliwiających </w:t>
      </w:r>
      <w:r w:rsidR="000A486A" w:rsidRPr="00A243A3">
        <w:rPr>
          <w:rFonts w:ascii="Lato" w:hAnsi="Lato" w:cs="TimesNewRomanPSMT"/>
          <w:sz w:val="20"/>
          <w:szCs w:val="20"/>
        </w:rPr>
        <w:t xml:space="preserve">nabywanie nowych umiejętności i kompetencji wśród </w:t>
      </w:r>
      <w:r w:rsidR="00895836" w:rsidRPr="00A243A3">
        <w:rPr>
          <w:rFonts w:ascii="Lato" w:hAnsi="Lato" w:cs="TimesNewRomanPSMT"/>
          <w:sz w:val="20"/>
          <w:szCs w:val="20"/>
        </w:rPr>
        <w:t>starszych grup wiekowych</w:t>
      </w:r>
      <w:r w:rsidR="00A243A3" w:rsidRPr="00A243A3">
        <w:rPr>
          <w:rFonts w:ascii="Lato" w:hAnsi="Lato" w:cs="TimesNewRomanPSMT"/>
          <w:sz w:val="20"/>
          <w:szCs w:val="20"/>
        </w:rPr>
        <w:t>.</w:t>
      </w:r>
      <w:r w:rsidR="00A243A3" w:rsidRPr="00A243A3">
        <w:rPr>
          <w:rFonts w:ascii="Lato" w:hAnsi="Lato" w:cs="Times New Roman"/>
          <w:sz w:val="20"/>
          <w:szCs w:val="20"/>
        </w:rPr>
        <w:t xml:space="preserve"> </w:t>
      </w:r>
    </w:p>
    <w:p w14:paraId="5E2D1ECD" w14:textId="77777777" w:rsidR="00F51E60" w:rsidRDefault="00F51E60" w:rsidP="00F51E60">
      <w:pPr>
        <w:spacing w:after="0" w:line="240" w:lineRule="auto"/>
        <w:jc w:val="both"/>
        <w:rPr>
          <w:rFonts w:ascii="Lato" w:hAnsi="Lato" w:cs="Times New Roman"/>
          <w:sz w:val="20"/>
          <w:szCs w:val="20"/>
        </w:rPr>
      </w:pPr>
    </w:p>
    <w:p w14:paraId="5BECB9AB" w14:textId="1DF8EEC0" w:rsidR="00F51E60" w:rsidRPr="00F51E60" w:rsidRDefault="00F51E60" w:rsidP="00F51E60">
      <w:pPr>
        <w:spacing w:after="0" w:line="240" w:lineRule="auto"/>
        <w:jc w:val="both"/>
        <w:rPr>
          <w:rFonts w:ascii="Lato" w:hAnsi="Lato"/>
          <w:sz w:val="20"/>
          <w:szCs w:val="20"/>
        </w:rPr>
      </w:pPr>
      <w:r>
        <w:rPr>
          <w:rFonts w:ascii="Lato" w:hAnsi="Lato" w:cs="Times New Roman"/>
          <w:sz w:val="20"/>
          <w:szCs w:val="20"/>
        </w:rPr>
        <w:t>S</w:t>
      </w:r>
      <w:r w:rsidR="00D96984" w:rsidRPr="00F51E60">
        <w:rPr>
          <w:rFonts w:ascii="Lato" w:hAnsi="Lato" w:cs="Times New Roman"/>
          <w:sz w:val="20"/>
          <w:szCs w:val="20"/>
        </w:rPr>
        <w:t xml:space="preserve">tały rozwój nowych technologii w wielu </w:t>
      </w:r>
      <w:r w:rsidR="003650C6">
        <w:rPr>
          <w:rFonts w:ascii="Lato" w:hAnsi="Lato" w:cs="Times New Roman"/>
          <w:sz w:val="20"/>
          <w:szCs w:val="20"/>
        </w:rPr>
        <w:t xml:space="preserve">obszarach </w:t>
      </w:r>
      <w:r w:rsidR="00D96984" w:rsidRPr="00F51E60">
        <w:rPr>
          <w:rFonts w:ascii="Lato" w:hAnsi="Lato" w:cs="Times New Roman"/>
          <w:sz w:val="20"/>
          <w:szCs w:val="20"/>
        </w:rPr>
        <w:t xml:space="preserve">codziennego życia </w:t>
      </w:r>
      <w:r w:rsidRPr="00F51E60">
        <w:rPr>
          <w:rFonts w:ascii="Lato" w:hAnsi="Lato" w:cs="Times New Roman"/>
          <w:sz w:val="20"/>
          <w:szCs w:val="20"/>
        </w:rPr>
        <w:t xml:space="preserve">tj. </w:t>
      </w:r>
      <w:r>
        <w:rPr>
          <w:rFonts w:ascii="Lato" w:hAnsi="Lato" w:cs="Times New Roman"/>
          <w:sz w:val="20"/>
          <w:szCs w:val="20"/>
        </w:rPr>
        <w:t xml:space="preserve">praca zawodowa, </w:t>
      </w:r>
      <w:r w:rsidRPr="00F51E60">
        <w:rPr>
          <w:rFonts w:ascii="Lato" w:hAnsi="Lato" w:cs="Times New Roman"/>
          <w:sz w:val="20"/>
          <w:szCs w:val="20"/>
        </w:rPr>
        <w:t xml:space="preserve">telemedycyna i </w:t>
      </w:r>
      <w:proofErr w:type="spellStart"/>
      <w:r w:rsidRPr="00F51E60">
        <w:rPr>
          <w:rFonts w:ascii="Lato" w:hAnsi="Lato" w:cs="Times New Roman"/>
          <w:sz w:val="20"/>
          <w:szCs w:val="20"/>
        </w:rPr>
        <w:t>teleopieka</w:t>
      </w:r>
      <w:proofErr w:type="spellEnd"/>
      <w:r>
        <w:rPr>
          <w:rFonts w:ascii="Lato" w:hAnsi="Lato" w:cs="Times New Roman"/>
          <w:sz w:val="20"/>
          <w:szCs w:val="20"/>
        </w:rPr>
        <w:t>, czy bankowość elektroniczna</w:t>
      </w:r>
      <w:r w:rsidRPr="00F51E60">
        <w:rPr>
          <w:rFonts w:ascii="Lato" w:hAnsi="Lato" w:cs="Times New Roman"/>
          <w:sz w:val="20"/>
          <w:szCs w:val="20"/>
        </w:rPr>
        <w:t xml:space="preserve"> powodują, że k</w:t>
      </w:r>
      <w:r w:rsidR="00D96984" w:rsidRPr="00F51E60">
        <w:rPr>
          <w:rFonts w:ascii="Lato" w:hAnsi="Lato" w:cs="Times New Roman"/>
          <w:sz w:val="20"/>
          <w:szCs w:val="20"/>
        </w:rPr>
        <w:t xml:space="preserve">onieczne jest </w:t>
      </w:r>
      <w:r w:rsidR="003650C6">
        <w:rPr>
          <w:rFonts w:ascii="Lato" w:hAnsi="Lato" w:cs="Times New Roman"/>
          <w:sz w:val="20"/>
          <w:szCs w:val="20"/>
        </w:rPr>
        <w:t xml:space="preserve">położenie większego nacisku na </w:t>
      </w:r>
      <w:r w:rsidR="000A486A" w:rsidRPr="00F51E60">
        <w:rPr>
          <w:rFonts w:ascii="Lato" w:hAnsi="Lato" w:cs="Times New Roman"/>
          <w:sz w:val="20"/>
          <w:szCs w:val="20"/>
        </w:rPr>
        <w:t>skuteczne przeciwdziałanie wykluczeniu cyfrowemu wśród najstarszych grup wiekowych</w:t>
      </w:r>
      <w:r w:rsidRPr="00F51E60">
        <w:rPr>
          <w:rFonts w:ascii="Lato" w:hAnsi="Lato" w:cs="Times New Roman"/>
          <w:sz w:val="20"/>
          <w:szCs w:val="20"/>
        </w:rPr>
        <w:t>, szczególnie w regionach najbardziej narażonych na wykluczenie informacyjne. Konsekwencją utrzymującego się zjawiska</w:t>
      </w:r>
      <w:r w:rsidR="00A243A3">
        <w:rPr>
          <w:rFonts w:ascii="Lato" w:hAnsi="Lato" w:cs="Times New Roman"/>
          <w:sz w:val="20"/>
          <w:szCs w:val="20"/>
        </w:rPr>
        <w:t xml:space="preserve"> wykluczenia cyfrowego na wysokim poziomie</w:t>
      </w:r>
      <w:r w:rsidRPr="00F51E60">
        <w:rPr>
          <w:rFonts w:ascii="Lato" w:hAnsi="Lato" w:cs="Times New Roman"/>
          <w:sz w:val="20"/>
          <w:szCs w:val="20"/>
        </w:rPr>
        <w:t xml:space="preserve"> jest </w:t>
      </w:r>
      <w:r w:rsidRPr="00F51E60">
        <w:rPr>
          <w:rFonts w:ascii="Lato" w:hAnsi="Lato"/>
          <w:sz w:val="20"/>
          <w:szCs w:val="20"/>
        </w:rPr>
        <w:t xml:space="preserve">utrudniony dostęp do </w:t>
      </w:r>
      <w:r w:rsidR="00A243A3">
        <w:rPr>
          <w:rFonts w:ascii="Lato" w:hAnsi="Lato"/>
          <w:sz w:val="20"/>
          <w:szCs w:val="20"/>
        </w:rPr>
        <w:t xml:space="preserve">podstawowych </w:t>
      </w:r>
      <w:r w:rsidRPr="00F51E60">
        <w:rPr>
          <w:rFonts w:ascii="Lato" w:hAnsi="Lato"/>
          <w:sz w:val="20"/>
          <w:szCs w:val="20"/>
        </w:rPr>
        <w:t xml:space="preserve">usług publicznych </w:t>
      </w:r>
      <w:r w:rsidR="00A243A3">
        <w:rPr>
          <w:rFonts w:ascii="Lato" w:hAnsi="Lato"/>
          <w:sz w:val="20"/>
          <w:szCs w:val="20"/>
        </w:rPr>
        <w:t xml:space="preserve">tj. </w:t>
      </w:r>
      <w:r w:rsidRPr="00F51E60">
        <w:rPr>
          <w:rFonts w:ascii="Lato" w:hAnsi="Lato"/>
          <w:sz w:val="20"/>
          <w:szCs w:val="20"/>
        </w:rPr>
        <w:t xml:space="preserve">służby zdrowia, urzędów, pomocy społecznej, </w:t>
      </w:r>
      <w:r w:rsidR="00A243A3">
        <w:rPr>
          <w:rFonts w:ascii="Lato" w:hAnsi="Lato"/>
          <w:sz w:val="20"/>
          <w:szCs w:val="20"/>
        </w:rPr>
        <w:t xml:space="preserve">ale także </w:t>
      </w:r>
      <w:r w:rsidRPr="00F51E60">
        <w:rPr>
          <w:rFonts w:ascii="Lato" w:hAnsi="Lato"/>
          <w:sz w:val="20"/>
          <w:szCs w:val="20"/>
        </w:rPr>
        <w:t>osłabienie kontaktów społecznych, brak kompetencji potrzebnych do</w:t>
      </w:r>
      <w:r>
        <w:rPr>
          <w:rFonts w:ascii="Lato" w:hAnsi="Lato"/>
          <w:sz w:val="20"/>
          <w:szCs w:val="20"/>
        </w:rPr>
        <w:t xml:space="preserve"> codziennej</w:t>
      </w:r>
      <w:r w:rsidRPr="00F51E60">
        <w:rPr>
          <w:rFonts w:ascii="Lato" w:hAnsi="Lato"/>
          <w:sz w:val="20"/>
          <w:szCs w:val="20"/>
        </w:rPr>
        <w:t xml:space="preserve"> pracy, a</w:t>
      </w:r>
      <w:r w:rsidR="00D76159">
        <w:rPr>
          <w:rFonts w:ascii="Lato" w:hAnsi="Lato"/>
          <w:sz w:val="20"/>
          <w:szCs w:val="20"/>
        </w:rPr>
        <w:t xml:space="preserve"> także mediów społecznościowych.</w:t>
      </w:r>
    </w:p>
    <w:p w14:paraId="735CA84F" w14:textId="77777777" w:rsidR="000A486A" w:rsidRDefault="000A486A" w:rsidP="000A486A">
      <w:pPr>
        <w:autoSpaceDE w:val="0"/>
        <w:autoSpaceDN w:val="0"/>
        <w:adjustRightInd w:val="0"/>
        <w:spacing w:after="0" w:line="240" w:lineRule="auto"/>
        <w:jc w:val="both"/>
        <w:rPr>
          <w:rFonts w:ascii="Lato" w:hAnsi="Lato" w:cs="TimesNewRomanPSMT"/>
          <w:color w:val="FF0000"/>
          <w:sz w:val="20"/>
          <w:szCs w:val="20"/>
        </w:rPr>
      </w:pPr>
    </w:p>
    <w:p w14:paraId="1FE70268" w14:textId="4C66BDB2" w:rsidR="009876D7" w:rsidRDefault="000A486A" w:rsidP="003650C6">
      <w:pPr>
        <w:autoSpaceDE w:val="0"/>
        <w:autoSpaceDN w:val="0"/>
        <w:adjustRightInd w:val="0"/>
        <w:spacing w:after="0" w:line="240" w:lineRule="auto"/>
        <w:jc w:val="both"/>
        <w:rPr>
          <w:rFonts w:ascii="Lato" w:hAnsi="Lato" w:cs="Times New Roman"/>
          <w:sz w:val="20"/>
          <w:szCs w:val="20"/>
        </w:rPr>
      </w:pPr>
      <w:r w:rsidRPr="009876D7">
        <w:rPr>
          <w:rFonts w:ascii="Lato" w:hAnsi="Lato" w:cs="TimesNewRomanPSMT"/>
          <w:sz w:val="20"/>
          <w:szCs w:val="20"/>
        </w:rPr>
        <w:t>Biorąc pod uwagę stale rosnącą liczbę osób starszych w społeczeństwie konieczne jest</w:t>
      </w:r>
      <w:r w:rsidR="001D1B0F" w:rsidRPr="009876D7">
        <w:rPr>
          <w:rFonts w:ascii="Lato" w:hAnsi="Lato" w:cs="TimesNewRomanPSMT"/>
          <w:sz w:val="20"/>
          <w:szCs w:val="20"/>
        </w:rPr>
        <w:t xml:space="preserve"> podjęcie działań w zakresie</w:t>
      </w:r>
      <w:r w:rsidR="003650C6" w:rsidRPr="009876D7">
        <w:rPr>
          <w:rFonts w:ascii="Lato" w:hAnsi="Lato" w:cs="Times New Roman"/>
          <w:sz w:val="20"/>
          <w:szCs w:val="20"/>
        </w:rPr>
        <w:t xml:space="preserve"> poprawy sytuacji seniorów najbardziej zagrożonych wykluczeniem społecznym, w szczególności zamieszkujących obszary wiejskie poprzez</w:t>
      </w:r>
      <w:r w:rsidR="00641E65">
        <w:rPr>
          <w:rFonts w:ascii="Lato" w:hAnsi="Lato" w:cs="Times New Roman"/>
          <w:sz w:val="20"/>
          <w:szCs w:val="20"/>
        </w:rPr>
        <w:t xml:space="preserve"> m. in.</w:t>
      </w:r>
      <w:r w:rsidR="009876D7">
        <w:rPr>
          <w:rFonts w:ascii="Lato" w:hAnsi="Lato" w:cs="Times New Roman"/>
          <w:sz w:val="20"/>
          <w:szCs w:val="20"/>
        </w:rPr>
        <w:t>:</w:t>
      </w:r>
    </w:p>
    <w:p w14:paraId="4DCA3C56" w14:textId="68B0D30A" w:rsidR="009876D7" w:rsidRDefault="00641E65" w:rsidP="007335F8">
      <w:pPr>
        <w:pStyle w:val="Akapitzlist"/>
        <w:numPr>
          <w:ilvl w:val="0"/>
          <w:numId w:val="231"/>
        </w:numPr>
        <w:autoSpaceDE w:val="0"/>
        <w:autoSpaceDN w:val="0"/>
        <w:adjustRightInd w:val="0"/>
        <w:spacing w:after="0" w:line="240" w:lineRule="auto"/>
        <w:jc w:val="both"/>
        <w:rPr>
          <w:rFonts w:ascii="Lato" w:hAnsi="Lato" w:cs="Times New Roman"/>
          <w:sz w:val="20"/>
          <w:szCs w:val="20"/>
        </w:rPr>
      </w:pPr>
      <w:r>
        <w:rPr>
          <w:rFonts w:ascii="Lato" w:hAnsi="Lato" w:cs="Times New Roman"/>
          <w:sz w:val="20"/>
          <w:szCs w:val="20"/>
        </w:rPr>
        <w:t>u</w:t>
      </w:r>
      <w:r w:rsidR="003650C6" w:rsidRPr="009876D7">
        <w:rPr>
          <w:rFonts w:ascii="Lato" w:hAnsi="Lato" w:cs="Times New Roman"/>
          <w:sz w:val="20"/>
          <w:szCs w:val="20"/>
        </w:rPr>
        <w:t>łatwieni</w:t>
      </w:r>
      <w:r>
        <w:rPr>
          <w:rFonts w:ascii="Lato" w:hAnsi="Lato" w:cs="Times New Roman"/>
          <w:sz w:val="20"/>
          <w:szCs w:val="20"/>
        </w:rPr>
        <w:t xml:space="preserve">e </w:t>
      </w:r>
      <w:r w:rsidR="003650C6" w:rsidRPr="009876D7">
        <w:rPr>
          <w:rFonts w:ascii="Lato" w:hAnsi="Lato" w:cs="Times New Roman"/>
          <w:sz w:val="20"/>
          <w:szCs w:val="20"/>
        </w:rPr>
        <w:t>dostępu do opieki zdrowotnej</w:t>
      </w:r>
      <w:r>
        <w:rPr>
          <w:rFonts w:ascii="Lato" w:hAnsi="Lato" w:cs="Times New Roman"/>
          <w:sz w:val="20"/>
          <w:szCs w:val="20"/>
        </w:rPr>
        <w:t xml:space="preserve"> i edukacji, </w:t>
      </w:r>
    </w:p>
    <w:p w14:paraId="241A0064" w14:textId="2139708F" w:rsidR="00CD63C6" w:rsidRDefault="00CD63C6" w:rsidP="007335F8">
      <w:pPr>
        <w:pStyle w:val="Akapitzlist"/>
        <w:numPr>
          <w:ilvl w:val="0"/>
          <w:numId w:val="231"/>
        </w:numPr>
        <w:autoSpaceDE w:val="0"/>
        <w:autoSpaceDN w:val="0"/>
        <w:adjustRightInd w:val="0"/>
        <w:spacing w:after="0" w:line="240" w:lineRule="auto"/>
        <w:jc w:val="both"/>
        <w:rPr>
          <w:rFonts w:ascii="Lato" w:hAnsi="Lato" w:cs="Times New Roman"/>
          <w:sz w:val="20"/>
          <w:szCs w:val="20"/>
        </w:rPr>
      </w:pPr>
      <w:r>
        <w:rPr>
          <w:rFonts w:ascii="Lato" w:hAnsi="Lato" w:cs="Times New Roman"/>
          <w:sz w:val="20"/>
          <w:szCs w:val="20"/>
        </w:rPr>
        <w:t>ograniczenie poziomu ubóstwa</w:t>
      </w:r>
      <w:r w:rsidR="00641E65">
        <w:rPr>
          <w:rFonts w:ascii="Lato" w:hAnsi="Lato" w:cs="Times New Roman"/>
          <w:sz w:val="20"/>
          <w:szCs w:val="20"/>
        </w:rPr>
        <w:t xml:space="preserve"> i poprawy sytuacji mieszkaniowej,</w:t>
      </w:r>
    </w:p>
    <w:p w14:paraId="15B18029" w14:textId="1217860F" w:rsidR="00641E65" w:rsidRDefault="00641E65" w:rsidP="007335F8">
      <w:pPr>
        <w:pStyle w:val="Akapitzlist"/>
        <w:numPr>
          <w:ilvl w:val="0"/>
          <w:numId w:val="231"/>
        </w:numPr>
        <w:autoSpaceDE w:val="0"/>
        <w:autoSpaceDN w:val="0"/>
        <w:adjustRightInd w:val="0"/>
        <w:spacing w:after="0" w:line="240" w:lineRule="auto"/>
        <w:jc w:val="both"/>
        <w:rPr>
          <w:rFonts w:ascii="Lato" w:hAnsi="Lato" w:cs="Times New Roman"/>
          <w:sz w:val="20"/>
          <w:szCs w:val="20"/>
        </w:rPr>
      </w:pPr>
      <w:r>
        <w:rPr>
          <w:rFonts w:ascii="Lato" w:hAnsi="Lato" w:cs="Times New Roman"/>
          <w:sz w:val="20"/>
          <w:szCs w:val="20"/>
        </w:rPr>
        <w:t>wzmacnianie partycypacji społecznej i utrzymania więzi społecznych w środowisku lokalnym,</w:t>
      </w:r>
    </w:p>
    <w:p w14:paraId="650FDFA2" w14:textId="36157D12" w:rsidR="009876D7" w:rsidRDefault="00641E65" w:rsidP="007335F8">
      <w:pPr>
        <w:pStyle w:val="Akapitzlist"/>
        <w:numPr>
          <w:ilvl w:val="0"/>
          <w:numId w:val="231"/>
        </w:numPr>
        <w:autoSpaceDE w:val="0"/>
        <w:autoSpaceDN w:val="0"/>
        <w:adjustRightInd w:val="0"/>
        <w:spacing w:after="0" w:line="240" w:lineRule="auto"/>
        <w:jc w:val="both"/>
        <w:rPr>
          <w:rFonts w:ascii="Lato" w:hAnsi="Lato" w:cs="Times New Roman"/>
          <w:sz w:val="20"/>
          <w:szCs w:val="20"/>
        </w:rPr>
      </w:pPr>
      <w:r>
        <w:rPr>
          <w:rFonts w:ascii="Lato" w:hAnsi="Lato" w:cs="Times New Roman"/>
          <w:sz w:val="20"/>
          <w:szCs w:val="20"/>
        </w:rPr>
        <w:t xml:space="preserve">zwiększenie </w:t>
      </w:r>
      <w:r w:rsidR="009876D7">
        <w:rPr>
          <w:rFonts w:ascii="Lato" w:hAnsi="Lato" w:cs="Times New Roman"/>
          <w:sz w:val="20"/>
          <w:szCs w:val="20"/>
        </w:rPr>
        <w:t xml:space="preserve">dostępu do </w:t>
      </w:r>
      <w:r w:rsidR="009876D7" w:rsidRPr="009876D7">
        <w:rPr>
          <w:rFonts w:ascii="Lato" w:hAnsi="Lato" w:cs="TimesNewRomanPSMT"/>
          <w:sz w:val="20"/>
          <w:szCs w:val="20"/>
        </w:rPr>
        <w:t>przedsięwzięć o charakterze kulturalnym, edu</w:t>
      </w:r>
      <w:r w:rsidR="009876D7" w:rsidRPr="009876D7">
        <w:rPr>
          <w:rFonts w:ascii="Lato" w:hAnsi="Lato" w:cs="Times New Roman"/>
          <w:sz w:val="20"/>
          <w:szCs w:val="20"/>
        </w:rPr>
        <w:t xml:space="preserve">kacyjnym, sportowym, </w:t>
      </w:r>
      <w:r w:rsidR="009876D7" w:rsidRPr="009876D7">
        <w:rPr>
          <w:rFonts w:ascii="Lato" w:hAnsi="Lato" w:cs="TimesNewRomanPSMT"/>
          <w:sz w:val="20"/>
          <w:szCs w:val="20"/>
        </w:rPr>
        <w:t>rekreacyjnym</w:t>
      </w:r>
      <w:r w:rsidR="009876D7" w:rsidRPr="009876D7">
        <w:rPr>
          <w:rFonts w:ascii="Lato" w:hAnsi="Lato" w:cs="Times New Roman"/>
          <w:sz w:val="20"/>
          <w:szCs w:val="20"/>
        </w:rPr>
        <w:t xml:space="preserve"> w środowisku lokalnym,</w:t>
      </w:r>
    </w:p>
    <w:p w14:paraId="0DE9F954" w14:textId="52A65EF5" w:rsidR="003650C6" w:rsidRPr="009876D7" w:rsidRDefault="009876D7" w:rsidP="007335F8">
      <w:pPr>
        <w:pStyle w:val="Akapitzlist"/>
        <w:numPr>
          <w:ilvl w:val="0"/>
          <w:numId w:val="231"/>
        </w:numPr>
        <w:autoSpaceDE w:val="0"/>
        <w:autoSpaceDN w:val="0"/>
        <w:adjustRightInd w:val="0"/>
        <w:spacing w:after="0" w:line="240" w:lineRule="auto"/>
        <w:jc w:val="both"/>
        <w:rPr>
          <w:rFonts w:ascii="Lato" w:hAnsi="Lato" w:cs="Times New Roman"/>
          <w:sz w:val="20"/>
          <w:szCs w:val="20"/>
        </w:rPr>
      </w:pPr>
      <w:r>
        <w:rPr>
          <w:rFonts w:ascii="Lato" w:hAnsi="Lato" w:cs="Times New Roman"/>
          <w:sz w:val="20"/>
          <w:szCs w:val="20"/>
        </w:rPr>
        <w:t xml:space="preserve">a także </w:t>
      </w:r>
      <w:r w:rsidR="003650C6" w:rsidRPr="009876D7">
        <w:rPr>
          <w:rFonts w:ascii="Lato" w:hAnsi="Lato" w:cs="Times New Roman"/>
          <w:sz w:val="20"/>
          <w:szCs w:val="20"/>
        </w:rPr>
        <w:t>ograniczeni</w:t>
      </w:r>
      <w:r w:rsidR="00641E65">
        <w:rPr>
          <w:rFonts w:ascii="Lato" w:hAnsi="Lato" w:cs="Times New Roman"/>
          <w:sz w:val="20"/>
          <w:szCs w:val="20"/>
        </w:rPr>
        <w:t>e</w:t>
      </w:r>
      <w:r w:rsidR="003650C6" w:rsidRPr="009876D7">
        <w:rPr>
          <w:rFonts w:ascii="Lato" w:hAnsi="Lato" w:cs="Times New Roman"/>
          <w:sz w:val="20"/>
          <w:szCs w:val="20"/>
        </w:rPr>
        <w:t xml:space="preserve"> wykluczenia komunikacyjnego, </w:t>
      </w:r>
      <w:r w:rsidRPr="009876D7">
        <w:rPr>
          <w:rStyle w:val="Uwydatnienie"/>
          <w:rFonts w:ascii="Lato" w:hAnsi="Lato"/>
          <w:i w:val="0"/>
          <w:iCs w:val="0"/>
          <w:sz w:val="20"/>
          <w:szCs w:val="20"/>
        </w:rPr>
        <w:t>dotyczącego w szczególności</w:t>
      </w:r>
      <w:r w:rsidRPr="009876D7">
        <w:rPr>
          <w:rStyle w:val="Uwydatnienie"/>
          <w:rFonts w:ascii="Lato" w:hAnsi="Lato"/>
          <w:sz w:val="20"/>
          <w:szCs w:val="20"/>
        </w:rPr>
        <w:t xml:space="preserve"> </w:t>
      </w:r>
      <w:r w:rsidR="003650C6" w:rsidRPr="009876D7">
        <w:rPr>
          <w:rFonts w:ascii="Lato" w:hAnsi="Lato"/>
          <w:sz w:val="20"/>
          <w:szCs w:val="20"/>
        </w:rPr>
        <w:t xml:space="preserve">mniejszych gmin i miejscowości. </w:t>
      </w:r>
      <w:r w:rsidR="003650C6" w:rsidRPr="009876D7">
        <w:rPr>
          <w:rFonts w:ascii="Lato" w:hAnsi="Lato" w:cs="Times New Roman"/>
          <w:sz w:val="20"/>
          <w:szCs w:val="20"/>
        </w:rPr>
        <w:t xml:space="preserve"> </w:t>
      </w:r>
    </w:p>
    <w:p w14:paraId="2D7F97C8" w14:textId="640EBFBD" w:rsidR="001D1B0F" w:rsidRDefault="001D1B0F" w:rsidP="000A486A">
      <w:pPr>
        <w:autoSpaceDE w:val="0"/>
        <w:autoSpaceDN w:val="0"/>
        <w:adjustRightInd w:val="0"/>
        <w:spacing w:after="0" w:line="240" w:lineRule="auto"/>
        <w:jc w:val="both"/>
        <w:rPr>
          <w:rFonts w:ascii="Lato" w:hAnsi="Lato" w:cs="TimesNewRomanPSMT"/>
          <w:color w:val="FF0000"/>
          <w:sz w:val="20"/>
          <w:szCs w:val="20"/>
        </w:rPr>
      </w:pPr>
    </w:p>
    <w:p w14:paraId="588080AA" w14:textId="77777777" w:rsidR="00895836" w:rsidRDefault="00895836" w:rsidP="00895836">
      <w:pPr>
        <w:spacing w:after="0" w:line="276" w:lineRule="auto"/>
        <w:jc w:val="both"/>
        <w:rPr>
          <w:rFonts w:ascii="Lato" w:hAnsi="Lato" w:cs="Times New Roman"/>
          <w:color w:val="FF0000"/>
          <w:sz w:val="20"/>
          <w:szCs w:val="20"/>
        </w:rPr>
      </w:pPr>
    </w:p>
    <w:p w14:paraId="55D804EC" w14:textId="77777777" w:rsidR="00895836" w:rsidRPr="00895836" w:rsidRDefault="00895836" w:rsidP="00895836">
      <w:pPr>
        <w:autoSpaceDE w:val="0"/>
        <w:autoSpaceDN w:val="0"/>
        <w:adjustRightInd w:val="0"/>
        <w:spacing w:after="0" w:line="240" w:lineRule="auto"/>
        <w:jc w:val="both"/>
        <w:rPr>
          <w:rFonts w:ascii="Lato" w:hAnsi="Lato" w:cs="TimesNewRomanPSMT"/>
          <w:color w:val="FF0000"/>
          <w:sz w:val="20"/>
          <w:szCs w:val="20"/>
        </w:rPr>
      </w:pPr>
    </w:p>
    <w:p w14:paraId="6CC88FAF" w14:textId="77777777" w:rsidR="000A486A" w:rsidRPr="003650C6" w:rsidRDefault="000A486A" w:rsidP="003650C6">
      <w:pPr>
        <w:autoSpaceDE w:val="0"/>
        <w:autoSpaceDN w:val="0"/>
        <w:adjustRightInd w:val="0"/>
        <w:spacing w:after="0" w:line="240" w:lineRule="auto"/>
        <w:jc w:val="both"/>
        <w:rPr>
          <w:rFonts w:ascii="Lato" w:hAnsi="Lato" w:cs="Times New Roman"/>
          <w:color w:val="FF0000"/>
          <w:sz w:val="20"/>
          <w:szCs w:val="20"/>
        </w:rPr>
      </w:pPr>
    </w:p>
    <w:p w14:paraId="190DBA8F" w14:textId="04038F9E" w:rsidR="0065380C" w:rsidRDefault="0065380C" w:rsidP="005508CB">
      <w:pPr>
        <w:autoSpaceDE w:val="0"/>
        <w:autoSpaceDN w:val="0"/>
        <w:adjustRightInd w:val="0"/>
        <w:spacing w:after="0" w:line="240" w:lineRule="auto"/>
        <w:jc w:val="both"/>
        <w:rPr>
          <w:rFonts w:ascii="Lato" w:hAnsi="Lato" w:cs="Times New Roman"/>
          <w:color w:val="FF0000"/>
          <w:sz w:val="20"/>
          <w:szCs w:val="20"/>
        </w:rPr>
      </w:pPr>
    </w:p>
    <w:p w14:paraId="17A95E84" w14:textId="77777777" w:rsidR="00F51E60" w:rsidRPr="0065380C" w:rsidRDefault="00F51E60" w:rsidP="005508CB">
      <w:pPr>
        <w:autoSpaceDE w:val="0"/>
        <w:autoSpaceDN w:val="0"/>
        <w:adjustRightInd w:val="0"/>
        <w:spacing w:after="0" w:line="240" w:lineRule="auto"/>
        <w:jc w:val="both"/>
        <w:rPr>
          <w:rFonts w:ascii="Lato" w:hAnsi="Lato" w:cs="TimesNewRomanPSMT"/>
          <w:color w:val="FF0000"/>
          <w:sz w:val="20"/>
          <w:szCs w:val="20"/>
        </w:rPr>
      </w:pPr>
    </w:p>
    <w:p w14:paraId="3E5EAE83" w14:textId="6B4608EB" w:rsidR="00D76159" w:rsidRPr="00D76159" w:rsidRDefault="000225CB" w:rsidP="00D76159">
      <w:pPr>
        <w:autoSpaceDE w:val="0"/>
        <w:autoSpaceDN w:val="0"/>
        <w:adjustRightInd w:val="0"/>
        <w:spacing w:after="0" w:line="240" w:lineRule="auto"/>
        <w:jc w:val="both"/>
        <w:rPr>
          <w:rFonts w:ascii="Lato" w:hAnsi="Lato" w:cs="Times New Roman"/>
          <w:sz w:val="20"/>
          <w:szCs w:val="20"/>
        </w:rPr>
      </w:pPr>
      <w:r w:rsidRPr="00D76159">
        <w:rPr>
          <w:rFonts w:ascii="Lato" w:hAnsi="Lato" w:cs="TimesNewRomanPSMT"/>
          <w:sz w:val="20"/>
          <w:szCs w:val="20"/>
        </w:rPr>
        <w:lastRenderedPageBreak/>
        <w:t xml:space="preserve">W dalszym ciągu istnieje potrzeba usprawniania </w:t>
      </w:r>
      <w:r w:rsidR="00E6336F" w:rsidRPr="00D76159">
        <w:rPr>
          <w:rFonts w:ascii="Lato" w:hAnsi="Lato" w:cs="TimesNewRomanPSMT"/>
          <w:sz w:val="20"/>
          <w:szCs w:val="20"/>
        </w:rPr>
        <w:t>funkcjonowania systemu pomocy społeczne</w:t>
      </w:r>
      <w:r w:rsidR="00E6336F" w:rsidRPr="00D76159">
        <w:rPr>
          <w:rFonts w:ascii="Lato" w:hAnsi="Lato" w:cs="Times New Roman"/>
          <w:sz w:val="20"/>
          <w:szCs w:val="20"/>
        </w:rPr>
        <w:t>j, a w szc</w:t>
      </w:r>
      <w:r w:rsidR="00E6336F" w:rsidRPr="00D76159">
        <w:rPr>
          <w:rFonts w:ascii="Lato" w:hAnsi="Lato" w:cs="TimesNewRomanPSMT"/>
          <w:sz w:val="20"/>
          <w:szCs w:val="20"/>
        </w:rPr>
        <w:t xml:space="preserve">zególności </w:t>
      </w:r>
      <w:r w:rsidR="001D1B0F" w:rsidRPr="00D76159">
        <w:rPr>
          <w:rFonts w:ascii="Lato" w:hAnsi="Lato" w:cs="TimesNewRomanPSMT"/>
          <w:sz w:val="20"/>
          <w:szCs w:val="20"/>
        </w:rPr>
        <w:t>zapewnienie optymalnego dostępu do usług zdrowotnych, rehabilitacyjnych i opiekuńczo-pielęgnacyjnych, dostosowanych do potrzeb osób starszych.</w:t>
      </w:r>
      <w:r w:rsidRPr="00D76159">
        <w:rPr>
          <w:rFonts w:ascii="Lato" w:hAnsi="Lato" w:cs="TimesNewRomanPSMT"/>
          <w:sz w:val="20"/>
          <w:szCs w:val="20"/>
        </w:rPr>
        <w:t xml:space="preserve"> Jednym z przykładów takich działań jest </w:t>
      </w:r>
      <w:proofErr w:type="spellStart"/>
      <w:r w:rsidRPr="00D76159">
        <w:rPr>
          <w:rFonts w:ascii="Lato" w:hAnsi="Lato" w:cs="TimesNewRomanPSMT"/>
          <w:sz w:val="20"/>
          <w:szCs w:val="20"/>
        </w:rPr>
        <w:t>deinstytucjonalizacj</w:t>
      </w:r>
      <w:r w:rsidR="00A44E6F">
        <w:rPr>
          <w:rFonts w:ascii="Lato" w:hAnsi="Lato" w:cs="TimesNewRomanPSMT"/>
          <w:sz w:val="20"/>
          <w:szCs w:val="20"/>
        </w:rPr>
        <w:t>a</w:t>
      </w:r>
      <w:proofErr w:type="spellEnd"/>
      <w:r w:rsidRPr="00D76159">
        <w:rPr>
          <w:rFonts w:ascii="Lato" w:hAnsi="Lato" w:cs="TimesNewRomanPSMT"/>
          <w:sz w:val="20"/>
          <w:szCs w:val="20"/>
        </w:rPr>
        <w:t xml:space="preserve"> usług, która </w:t>
      </w:r>
      <w:r w:rsidR="00E6336F" w:rsidRPr="00D76159">
        <w:rPr>
          <w:rFonts w:ascii="Lato" w:hAnsi="Lato" w:cs="Times New Roman"/>
          <w:sz w:val="20"/>
          <w:szCs w:val="20"/>
        </w:rPr>
        <w:t>umo</w:t>
      </w:r>
      <w:r w:rsidR="00E6336F" w:rsidRPr="00D76159">
        <w:rPr>
          <w:rFonts w:ascii="Lato" w:hAnsi="Lato" w:cs="TimesNewRomanPSMT"/>
          <w:sz w:val="20"/>
          <w:szCs w:val="20"/>
        </w:rPr>
        <w:t>żliwi</w:t>
      </w:r>
      <w:r w:rsidRPr="00D76159">
        <w:rPr>
          <w:rFonts w:ascii="Lato" w:hAnsi="Lato" w:cs="TimesNewRomanPSMT"/>
          <w:sz w:val="20"/>
          <w:szCs w:val="20"/>
        </w:rPr>
        <w:t>a</w:t>
      </w:r>
      <w:r w:rsidR="00E6336F" w:rsidRPr="00D76159">
        <w:rPr>
          <w:rFonts w:ascii="Lato" w:hAnsi="Lato" w:cs="TimesNewRomanPSMT"/>
          <w:sz w:val="20"/>
          <w:szCs w:val="20"/>
        </w:rPr>
        <w:t xml:space="preserve"> dalszą realizację procesu przejścia od opieki instytucjonalnej do opieki świadczonej</w:t>
      </w:r>
      <w:r w:rsidR="0065380C" w:rsidRPr="00D76159">
        <w:rPr>
          <w:rFonts w:ascii="Lato" w:hAnsi="Lato" w:cs="TimesNewRomanPSMT"/>
          <w:sz w:val="20"/>
          <w:szCs w:val="20"/>
        </w:rPr>
        <w:t xml:space="preserve"> </w:t>
      </w:r>
      <w:r w:rsidR="00E6336F" w:rsidRPr="00D76159">
        <w:rPr>
          <w:rFonts w:ascii="Lato" w:hAnsi="Lato" w:cs="TimesNewRomanPSMT"/>
          <w:sz w:val="20"/>
          <w:szCs w:val="20"/>
        </w:rPr>
        <w:t>w środowiskach lokalnych, z</w:t>
      </w:r>
      <w:r w:rsidRPr="00D76159">
        <w:rPr>
          <w:rFonts w:ascii="Lato" w:hAnsi="Lato" w:cs="TimesNewRomanPSMT"/>
          <w:sz w:val="20"/>
          <w:szCs w:val="20"/>
        </w:rPr>
        <w:t xml:space="preserve">e szczególnym naciskiem na </w:t>
      </w:r>
      <w:r w:rsidR="00E6336F" w:rsidRPr="00D76159">
        <w:rPr>
          <w:rFonts w:ascii="Lato" w:hAnsi="Lato" w:cs="TimesNewRomanPSMT"/>
          <w:sz w:val="20"/>
          <w:szCs w:val="20"/>
        </w:rPr>
        <w:t xml:space="preserve"> </w:t>
      </w:r>
      <w:r w:rsidRPr="00D76159">
        <w:rPr>
          <w:rFonts w:ascii="Lato" w:hAnsi="Lato" w:cs="TimesNewRomanPSMT"/>
          <w:sz w:val="20"/>
          <w:szCs w:val="20"/>
        </w:rPr>
        <w:t xml:space="preserve">wsparcie </w:t>
      </w:r>
      <w:r w:rsidR="00E6336F" w:rsidRPr="00D76159">
        <w:rPr>
          <w:rFonts w:ascii="Lato" w:hAnsi="Lato" w:cs="TimesNewRomanPSMT"/>
          <w:sz w:val="20"/>
          <w:szCs w:val="20"/>
        </w:rPr>
        <w:t>w miejscu zamieszkania lub</w:t>
      </w:r>
      <w:r w:rsidRPr="00D76159">
        <w:rPr>
          <w:rFonts w:ascii="Lato" w:hAnsi="Lato" w:cs="TimesNewRomanPSMT"/>
          <w:sz w:val="20"/>
          <w:szCs w:val="20"/>
        </w:rPr>
        <w:t xml:space="preserve"> działaniach</w:t>
      </w:r>
      <w:r w:rsidR="0065380C" w:rsidRPr="00D76159">
        <w:rPr>
          <w:rFonts w:ascii="Lato" w:hAnsi="Lato" w:cs="TimesNewRomanPSMT"/>
          <w:sz w:val="20"/>
          <w:szCs w:val="20"/>
        </w:rPr>
        <w:t xml:space="preserve"> </w:t>
      </w:r>
      <w:r w:rsidR="00E6336F" w:rsidRPr="00D76159">
        <w:rPr>
          <w:rFonts w:ascii="Lato" w:hAnsi="Lato" w:cs="TimesNewRomanPSMT"/>
          <w:sz w:val="20"/>
          <w:szCs w:val="20"/>
        </w:rPr>
        <w:t>realizowanych w formach dziennych</w:t>
      </w:r>
      <w:r w:rsidRPr="00D76159">
        <w:rPr>
          <w:rFonts w:ascii="Lato" w:hAnsi="Lato" w:cs="TimesNewRomanPSMT"/>
          <w:sz w:val="20"/>
          <w:szCs w:val="20"/>
        </w:rPr>
        <w:t>.</w:t>
      </w:r>
      <w:r w:rsidR="0065380C" w:rsidRPr="00D76159">
        <w:rPr>
          <w:rFonts w:ascii="Lato" w:hAnsi="Lato" w:cs="TimesNewRomanPSMT"/>
          <w:sz w:val="20"/>
          <w:szCs w:val="20"/>
        </w:rPr>
        <w:t xml:space="preserve"> </w:t>
      </w:r>
      <w:r w:rsidR="00D76159" w:rsidRPr="00D76159">
        <w:rPr>
          <w:rFonts w:ascii="Lato" w:hAnsi="Lato" w:cs="TimesNewRomanPSMT"/>
          <w:sz w:val="20"/>
          <w:szCs w:val="20"/>
        </w:rPr>
        <w:t xml:space="preserve"> </w:t>
      </w:r>
      <w:r w:rsidR="00D76159" w:rsidRPr="00D76159">
        <w:rPr>
          <w:rFonts w:ascii="Lato" w:hAnsi="Lato" w:cs="Times New Roman"/>
          <w:sz w:val="20"/>
          <w:szCs w:val="20"/>
        </w:rPr>
        <w:t xml:space="preserve">Potrzebny jest pakiet wsparcia nie tylko finansowego ale także </w:t>
      </w:r>
      <w:proofErr w:type="spellStart"/>
      <w:r w:rsidR="00D76159" w:rsidRPr="00D76159">
        <w:rPr>
          <w:rFonts w:ascii="Lato" w:hAnsi="Lato" w:cs="Times New Roman"/>
          <w:sz w:val="20"/>
          <w:szCs w:val="20"/>
        </w:rPr>
        <w:t>organizacyjno</w:t>
      </w:r>
      <w:proofErr w:type="spellEnd"/>
      <w:r w:rsidR="00D76159" w:rsidRPr="00D76159">
        <w:rPr>
          <w:rFonts w:ascii="Lato" w:hAnsi="Lato" w:cs="Times New Roman"/>
          <w:sz w:val="20"/>
          <w:szCs w:val="20"/>
        </w:rPr>
        <w:t>–usługowego dla samotnych, sędziwych seniorów, o najniższych dochodach, którzy nie mogą liczyć na pomoc rodziny.</w:t>
      </w:r>
    </w:p>
    <w:p w14:paraId="7A5B6D2E" w14:textId="77777777" w:rsidR="00D13042" w:rsidRPr="00D13042" w:rsidRDefault="00D13042" w:rsidP="00D13042">
      <w:pPr>
        <w:spacing w:after="0" w:line="276" w:lineRule="auto"/>
        <w:jc w:val="both"/>
        <w:rPr>
          <w:rFonts w:ascii="Lato" w:hAnsi="Lato" w:cs="Times New Roman"/>
          <w:color w:val="FF0000"/>
          <w:sz w:val="20"/>
          <w:szCs w:val="20"/>
        </w:rPr>
      </w:pPr>
    </w:p>
    <w:p w14:paraId="3AAD447D" w14:textId="27EF5021" w:rsidR="00D13042" w:rsidRPr="00641E65" w:rsidRDefault="00641E65" w:rsidP="00641E65">
      <w:pPr>
        <w:spacing w:after="0" w:line="240" w:lineRule="auto"/>
        <w:jc w:val="both"/>
        <w:rPr>
          <w:rFonts w:ascii="Lato" w:hAnsi="Lato" w:cs="Times New Roman"/>
          <w:sz w:val="20"/>
          <w:szCs w:val="20"/>
        </w:rPr>
      </w:pPr>
      <w:r>
        <w:rPr>
          <w:rFonts w:ascii="Lato" w:hAnsi="Lato" w:cs="Times New Roman"/>
          <w:sz w:val="20"/>
          <w:szCs w:val="20"/>
        </w:rPr>
        <w:t>W</w:t>
      </w:r>
      <w:r w:rsidR="00D13042" w:rsidRPr="00A243A3">
        <w:rPr>
          <w:rFonts w:ascii="Lato" w:hAnsi="Lato" w:cs="Times New Roman"/>
          <w:sz w:val="20"/>
          <w:szCs w:val="20"/>
        </w:rPr>
        <w:t xml:space="preserve"> związku z bieżącymi wydarzeniami na poziomie globalnym niezbędne jest trwałe zwiększanie ochrony osób starszych poprzez zapewnienie bezpieczeństwa w miejscu zamieszkania oraz w środowisku lokalnym. Wyzwaniem jest także zadbanie o dobrą kondycję psychofizyczną seniorów – przeciwdziałanie samotności, zintensyfikowanie działań z zakresu profilaktyki zdrowotnej, a generalnie – przedłużanie w miarę możliwości okresu niezależności seniorów i zachowania umiejętności radzenia sobie przez osoby starsze w sytuacjach stresowych i kryzysowych.</w:t>
      </w:r>
    </w:p>
    <w:p w14:paraId="5B5F96CA" w14:textId="77777777" w:rsidR="00D13042" w:rsidRPr="00D13042" w:rsidRDefault="00D13042" w:rsidP="00D13042">
      <w:pPr>
        <w:spacing w:after="0" w:line="276" w:lineRule="auto"/>
        <w:ind w:firstLine="708"/>
        <w:jc w:val="both"/>
        <w:rPr>
          <w:rFonts w:ascii="Lato" w:eastAsia="Calibri" w:hAnsi="Lato" w:cs="Times New Roman"/>
          <w:strike/>
          <w:color w:val="FF0000"/>
          <w:sz w:val="20"/>
          <w:szCs w:val="20"/>
        </w:rPr>
      </w:pPr>
    </w:p>
    <w:p w14:paraId="07D416C9" w14:textId="6F0269D9" w:rsidR="00641E65" w:rsidRPr="00641E65" w:rsidRDefault="00D13042" w:rsidP="00641E65">
      <w:pPr>
        <w:autoSpaceDE w:val="0"/>
        <w:autoSpaceDN w:val="0"/>
        <w:adjustRightInd w:val="0"/>
        <w:spacing w:after="0" w:line="240" w:lineRule="auto"/>
        <w:jc w:val="both"/>
        <w:rPr>
          <w:rFonts w:ascii="Lato" w:hAnsi="Lato" w:cs="Times New Roman"/>
          <w:sz w:val="20"/>
          <w:szCs w:val="20"/>
        </w:rPr>
      </w:pPr>
      <w:r w:rsidRPr="00641E65">
        <w:rPr>
          <w:rFonts w:ascii="Lato" w:eastAsia="Calibri" w:hAnsi="Lato" w:cs="Times New Roman"/>
          <w:sz w:val="20"/>
          <w:szCs w:val="20"/>
        </w:rPr>
        <w:t xml:space="preserve">Jednocześnie, potrzebne jest kontynuowanie działań z zakresu promocji zdrowia i profilaktyki chorób, w tym rozwijania oferty edukacyjnej dla osób starszych w zakresie prowadzenia zdrowego i aktywnego trybu życia, podniesienia świadomości w zakresie skutków niebezpiecznych </w:t>
      </w:r>
      <w:proofErr w:type="spellStart"/>
      <w:r w:rsidRPr="00641E65">
        <w:rPr>
          <w:rFonts w:ascii="Lato" w:eastAsia="Calibri" w:hAnsi="Lato" w:cs="Times New Roman"/>
          <w:sz w:val="20"/>
          <w:szCs w:val="20"/>
        </w:rPr>
        <w:t>zachowań</w:t>
      </w:r>
      <w:proofErr w:type="spellEnd"/>
      <w:r w:rsidRPr="00641E65">
        <w:rPr>
          <w:rFonts w:ascii="Lato" w:eastAsia="Calibri" w:hAnsi="Lato" w:cs="Times New Roman"/>
          <w:sz w:val="20"/>
          <w:szCs w:val="20"/>
        </w:rPr>
        <w:t xml:space="preserve"> oraz nowych rozwiązań technologicznych, wykorzystywanych w większości obszarów życia.</w:t>
      </w:r>
      <w:r w:rsidR="00641E65" w:rsidRPr="00641E65">
        <w:rPr>
          <w:rFonts w:ascii="Lato" w:hAnsi="Lato" w:cs="Times New Roman"/>
          <w:sz w:val="20"/>
          <w:szCs w:val="20"/>
        </w:rPr>
        <w:t xml:space="preserve"> Na szczególną uwagę zasługuje w</w:t>
      </w:r>
      <w:r w:rsidR="00641E65" w:rsidRPr="00641E65">
        <w:rPr>
          <w:rFonts w:ascii="Lato" w:hAnsi="Lato" w:cs="TimesNewRomanPSMT"/>
          <w:sz w:val="20"/>
          <w:szCs w:val="20"/>
        </w:rPr>
        <w:t xml:space="preserve">sparcie niesamodzielnych osób starszych i ich opiekunów w codziennym </w:t>
      </w:r>
      <w:r w:rsidR="00641E65" w:rsidRPr="00641E65">
        <w:rPr>
          <w:rFonts w:ascii="Lato" w:hAnsi="Lato" w:cs="Times New Roman"/>
          <w:sz w:val="20"/>
          <w:szCs w:val="20"/>
        </w:rPr>
        <w:t>funkcjonowaniu, z poszanowaniem potrzeb i możliwości tej grupy.</w:t>
      </w:r>
    </w:p>
    <w:p w14:paraId="5BF80358" w14:textId="77777777" w:rsidR="00D13042" w:rsidRPr="00D76159" w:rsidRDefault="00D13042" w:rsidP="00641E65">
      <w:pPr>
        <w:spacing w:after="0" w:line="276" w:lineRule="auto"/>
        <w:jc w:val="both"/>
        <w:rPr>
          <w:rFonts w:ascii="Lato" w:hAnsi="Lato"/>
          <w:sz w:val="20"/>
          <w:szCs w:val="20"/>
        </w:rPr>
      </w:pPr>
    </w:p>
    <w:p w14:paraId="54A52ED2" w14:textId="72FF908D" w:rsidR="00D13042" w:rsidRPr="00D76159" w:rsidRDefault="00D13042" w:rsidP="00A44E6F">
      <w:pPr>
        <w:spacing w:after="0" w:line="240" w:lineRule="auto"/>
        <w:jc w:val="both"/>
        <w:rPr>
          <w:rFonts w:ascii="Lato" w:hAnsi="Lato" w:cs="Times New Roman"/>
          <w:bCs/>
          <w:sz w:val="20"/>
          <w:szCs w:val="20"/>
        </w:rPr>
      </w:pPr>
      <w:r w:rsidRPr="00D76159">
        <w:rPr>
          <w:rFonts w:ascii="Lato" w:eastAsia="Calibri" w:hAnsi="Lato" w:cs="Times New Roman"/>
          <w:sz w:val="20"/>
          <w:szCs w:val="20"/>
        </w:rPr>
        <w:t xml:space="preserve">Wszelkie nowe działania powinny być projektowane przy udziale osób starszych oraz na podstawie kompleksowej </w:t>
      </w:r>
      <w:r w:rsidRPr="00D76159">
        <w:rPr>
          <w:rFonts w:ascii="Lato" w:eastAsia="Calibri" w:hAnsi="Lato" w:cs="Times New Roman"/>
          <w:bCs/>
          <w:sz w:val="20"/>
          <w:szCs w:val="20"/>
        </w:rPr>
        <w:t xml:space="preserve">diagnozy potrzeb i zasobów tej grupy. Do ich realizacji już obecnie zaangażowani są m. in. pełnomocnicy – wojewodów, prezydentów burmistrzów, starostów – do spraw seniorów, których głównym </w:t>
      </w:r>
      <w:r w:rsidRPr="00D76159">
        <w:rPr>
          <w:rFonts w:ascii="Lato" w:hAnsi="Lato" w:cs="Times New Roman"/>
          <w:bCs/>
          <w:sz w:val="20"/>
          <w:szCs w:val="20"/>
        </w:rPr>
        <w:t>zadaniem jest koordynacja całości zadań/działań i programów,  podejmowanych zgodnie z właściwością na rzecz osób w wieku senioralnym.</w:t>
      </w:r>
    </w:p>
    <w:p w14:paraId="6001FEAF" w14:textId="77777777" w:rsidR="00D13042" w:rsidRPr="00D76159" w:rsidRDefault="00D13042" w:rsidP="00A44E6F">
      <w:pPr>
        <w:spacing w:after="0" w:line="240" w:lineRule="auto"/>
        <w:ind w:firstLine="708"/>
        <w:jc w:val="both"/>
        <w:rPr>
          <w:rFonts w:ascii="Lato" w:hAnsi="Lato" w:cs="Times New Roman"/>
          <w:sz w:val="20"/>
          <w:szCs w:val="20"/>
        </w:rPr>
      </w:pPr>
    </w:p>
    <w:p w14:paraId="47947BF4" w14:textId="77777777" w:rsidR="00D13042" w:rsidRPr="00D76159" w:rsidRDefault="00D13042" w:rsidP="00A44E6F">
      <w:pPr>
        <w:spacing w:after="0" w:line="240" w:lineRule="auto"/>
        <w:jc w:val="both"/>
        <w:rPr>
          <w:rFonts w:ascii="Lato" w:hAnsi="Lato" w:cs="Times New Roman"/>
          <w:bCs/>
          <w:sz w:val="20"/>
          <w:szCs w:val="20"/>
        </w:rPr>
      </w:pPr>
      <w:r w:rsidRPr="00D76159">
        <w:rPr>
          <w:rFonts w:ascii="Lato" w:hAnsi="Lato" w:cs="Times New Roman"/>
          <w:sz w:val="20"/>
          <w:szCs w:val="20"/>
        </w:rPr>
        <w:t xml:space="preserve">Realizacja nowych działań, podejmowanych na poziomie centralnym oraz regionalnym, będzie wymagać każdorazowo akceptacji Rady Ministrów i powinna odbywać się w ramach środków ujmowanych w ustawie budżetowej na dany rok. Realizacja ich nie powinna być także podstawą do wystąpień o dodatkowe środki. </w:t>
      </w:r>
    </w:p>
    <w:p w14:paraId="70C7BA8F" w14:textId="77777777" w:rsidR="00D13042" w:rsidRPr="00D76159" w:rsidRDefault="00D13042" w:rsidP="00D13042"/>
    <w:p w14:paraId="5AF19F91" w14:textId="77777777" w:rsidR="00DB7865" w:rsidRDefault="00DB7865" w:rsidP="00D13042"/>
    <w:p w14:paraId="07112E7A" w14:textId="77777777" w:rsidR="00DB7865" w:rsidRPr="00DB7865" w:rsidRDefault="00DB7865" w:rsidP="00D13042">
      <w:pPr>
        <w:rPr>
          <w:rFonts w:ascii="Lato" w:hAnsi="Lato"/>
          <w:sz w:val="20"/>
          <w:szCs w:val="20"/>
        </w:rPr>
      </w:pPr>
    </w:p>
    <w:p w14:paraId="5C810BA9" w14:textId="77777777" w:rsidR="00D96984" w:rsidRDefault="00D96984" w:rsidP="00B73AF7">
      <w:pPr>
        <w:pStyle w:val="Nagwek1"/>
        <w:numPr>
          <w:ilvl w:val="0"/>
          <w:numId w:val="44"/>
        </w:numPr>
        <w:sectPr w:rsidR="00D96984" w:rsidSect="00A96D8C">
          <w:pgSz w:w="11906" w:h="16838"/>
          <w:pgMar w:top="1417" w:right="1417" w:bottom="1417" w:left="1417" w:header="708" w:footer="708" w:gutter="0"/>
          <w:cols w:space="708"/>
          <w:docGrid w:linePitch="360"/>
        </w:sectPr>
      </w:pPr>
    </w:p>
    <w:p w14:paraId="7C2668D4" w14:textId="7C72D5CD" w:rsidR="00586D97" w:rsidRPr="00586D97" w:rsidRDefault="00586D97" w:rsidP="00B73AF7">
      <w:pPr>
        <w:pStyle w:val="Nagwek1"/>
        <w:numPr>
          <w:ilvl w:val="0"/>
          <w:numId w:val="44"/>
        </w:numPr>
      </w:pPr>
      <w:bookmarkStart w:id="189" w:name="_Toc142565966"/>
      <w:r>
        <w:lastRenderedPageBreak/>
        <w:t>Wykaz tabel</w:t>
      </w:r>
      <w:bookmarkEnd w:id="189"/>
    </w:p>
    <w:p w14:paraId="6B22555F" w14:textId="5381BD89" w:rsidR="00996743" w:rsidRDefault="0016067D">
      <w:pPr>
        <w:pStyle w:val="Spisilustracji"/>
        <w:tabs>
          <w:tab w:val="right" w:leader="dot" w:pos="9062"/>
        </w:tabs>
        <w:rPr>
          <w:rFonts w:eastAsiaTheme="minorEastAsia"/>
          <w:noProof/>
          <w:lang w:eastAsia="pl-PL"/>
        </w:rPr>
      </w:pPr>
      <w:r>
        <w:fldChar w:fldCharType="begin"/>
      </w:r>
      <w:r>
        <w:instrText xml:space="preserve"> TOC \h \z \c "Tabela" </w:instrText>
      </w:r>
      <w:r>
        <w:fldChar w:fldCharType="separate"/>
      </w:r>
      <w:hyperlink w:anchor="_Toc142565967" w:history="1">
        <w:r w:rsidR="00996743" w:rsidRPr="00817C63">
          <w:rPr>
            <w:rStyle w:val="Hipercze"/>
            <w:noProof/>
          </w:rPr>
          <w:t>Tabela 1 Ludność w 2022 r.</w:t>
        </w:r>
        <w:r w:rsidR="00996743">
          <w:rPr>
            <w:noProof/>
            <w:webHidden/>
          </w:rPr>
          <w:tab/>
        </w:r>
        <w:r w:rsidR="00996743">
          <w:rPr>
            <w:noProof/>
            <w:webHidden/>
          </w:rPr>
          <w:fldChar w:fldCharType="begin"/>
        </w:r>
        <w:r w:rsidR="00996743">
          <w:rPr>
            <w:noProof/>
            <w:webHidden/>
          </w:rPr>
          <w:instrText xml:space="preserve"> PAGEREF _Toc142565967 \h </w:instrText>
        </w:r>
        <w:r w:rsidR="00996743">
          <w:rPr>
            <w:noProof/>
            <w:webHidden/>
          </w:rPr>
        </w:r>
        <w:r w:rsidR="00996743">
          <w:rPr>
            <w:noProof/>
            <w:webHidden/>
          </w:rPr>
          <w:fldChar w:fldCharType="separate"/>
        </w:r>
        <w:r w:rsidR="00996743">
          <w:rPr>
            <w:noProof/>
            <w:webHidden/>
          </w:rPr>
          <w:t>2</w:t>
        </w:r>
        <w:r w:rsidR="00996743">
          <w:rPr>
            <w:noProof/>
            <w:webHidden/>
          </w:rPr>
          <w:fldChar w:fldCharType="end"/>
        </w:r>
      </w:hyperlink>
    </w:p>
    <w:p w14:paraId="1F3200CB" w14:textId="28CF22D2" w:rsidR="00996743" w:rsidRDefault="00996743">
      <w:pPr>
        <w:pStyle w:val="Spisilustracji"/>
        <w:tabs>
          <w:tab w:val="right" w:leader="dot" w:pos="9062"/>
        </w:tabs>
        <w:rPr>
          <w:rFonts w:eastAsiaTheme="minorEastAsia"/>
          <w:noProof/>
          <w:lang w:eastAsia="pl-PL"/>
        </w:rPr>
      </w:pPr>
      <w:hyperlink w:anchor="_Toc142565968" w:history="1">
        <w:r w:rsidRPr="00817C63">
          <w:rPr>
            <w:rStyle w:val="Hipercze"/>
            <w:noProof/>
          </w:rPr>
          <w:t>Tabela 2 Struktura ludności według płci w 2022 r.</w:t>
        </w:r>
        <w:r>
          <w:rPr>
            <w:noProof/>
            <w:webHidden/>
          </w:rPr>
          <w:tab/>
        </w:r>
        <w:r>
          <w:rPr>
            <w:noProof/>
            <w:webHidden/>
          </w:rPr>
          <w:fldChar w:fldCharType="begin"/>
        </w:r>
        <w:r>
          <w:rPr>
            <w:noProof/>
            <w:webHidden/>
          </w:rPr>
          <w:instrText xml:space="preserve"> PAGEREF _Toc142565968 \h </w:instrText>
        </w:r>
        <w:r>
          <w:rPr>
            <w:noProof/>
            <w:webHidden/>
          </w:rPr>
        </w:r>
        <w:r>
          <w:rPr>
            <w:noProof/>
            <w:webHidden/>
          </w:rPr>
          <w:fldChar w:fldCharType="separate"/>
        </w:r>
        <w:r>
          <w:rPr>
            <w:noProof/>
            <w:webHidden/>
          </w:rPr>
          <w:t>2</w:t>
        </w:r>
        <w:r>
          <w:rPr>
            <w:noProof/>
            <w:webHidden/>
          </w:rPr>
          <w:fldChar w:fldCharType="end"/>
        </w:r>
      </w:hyperlink>
    </w:p>
    <w:p w14:paraId="5C553925" w14:textId="255AD759" w:rsidR="00996743" w:rsidRDefault="00996743">
      <w:pPr>
        <w:pStyle w:val="Spisilustracji"/>
        <w:tabs>
          <w:tab w:val="right" w:leader="dot" w:pos="9062"/>
        </w:tabs>
        <w:rPr>
          <w:rFonts w:eastAsiaTheme="minorEastAsia"/>
          <w:noProof/>
          <w:lang w:eastAsia="pl-PL"/>
        </w:rPr>
      </w:pPr>
      <w:hyperlink w:anchor="_Toc142565969" w:history="1">
        <w:r w:rsidRPr="00817C63">
          <w:rPr>
            <w:rStyle w:val="Hipercze"/>
            <w:noProof/>
          </w:rPr>
          <w:t xml:space="preserve">Tabela 3 Współczynnik feminizacji w 2022 r. </w:t>
        </w:r>
        <w:r w:rsidRPr="00817C63">
          <w:rPr>
            <w:rStyle w:val="Hipercze"/>
            <w:noProof/>
            <w:vertAlign w:val="superscript"/>
          </w:rPr>
          <w:t>a</w:t>
        </w:r>
        <w:r>
          <w:rPr>
            <w:noProof/>
            <w:webHidden/>
          </w:rPr>
          <w:tab/>
        </w:r>
        <w:r>
          <w:rPr>
            <w:noProof/>
            <w:webHidden/>
          </w:rPr>
          <w:fldChar w:fldCharType="begin"/>
        </w:r>
        <w:r>
          <w:rPr>
            <w:noProof/>
            <w:webHidden/>
          </w:rPr>
          <w:instrText xml:space="preserve"> PAGEREF _Toc142565969 \h </w:instrText>
        </w:r>
        <w:r>
          <w:rPr>
            <w:noProof/>
            <w:webHidden/>
          </w:rPr>
        </w:r>
        <w:r>
          <w:rPr>
            <w:noProof/>
            <w:webHidden/>
          </w:rPr>
          <w:fldChar w:fldCharType="separate"/>
        </w:r>
        <w:r>
          <w:rPr>
            <w:noProof/>
            <w:webHidden/>
          </w:rPr>
          <w:t>3</w:t>
        </w:r>
        <w:r>
          <w:rPr>
            <w:noProof/>
            <w:webHidden/>
          </w:rPr>
          <w:fldChar w:fldCharType="end"/>
        </w:r>
      </w:hyperlink>
    </w:p>
    <w:p w14:paraId="4C7E32A2" w14:textId="12B30AA5" w:rsidR="00996743" w:rsidRDefault="00996743">
      <w:pPr>
        <w:pStyle w:val="Spisilustracji"/>
        <w:tabs>
          <w:tab w:val="right" w:leader="dot" w:pos="9062"/>
        </w:tabs>
        <w:rPr>
          <w:rFonts w:eastAsiaTheme="minorEastAsia"/>
          <w:noProof/>
          <w:lang w:eastAsia="pl-PL"/>
        </w:rPr>
      </w:pPr>
      <w:hyperlink w:anchor="_Toc142565970" w:history="1">
        <w:r w:rsidRPr="00817C63">
          <w:rPr>
            <w:rStyle w:val="Hipercze"/>
            <w:noProof/>
          </w:rPr>
          <w:t>Tabela 4 Ludność w wieku 15 lat i więcej według stanu cywilnego i wieku w 2021 r.</w:t>
        </w:r>
        <w:r>
          <w:rPr>
            <w:noProof/>
            <w:webHidden/>
          </w:rPr>
          <w:tab/>
        </w:r>
        <w:r>
          <w:rPr>
            <w:noProof/>
            <w:webHidden/>
          </w:rPr>
          <w:fldChar w:fldCharType="begin"/>
        </w:r>
        <w:r>
          <w:rPr>
            <w:noProof/>
            <w:webHidden/>
          </w:rPr>
          <w:instrText xml:space="preserve"> PAGEREF _Toc142565970 \h </w:instrText>
        </w:r>
        <w:r>
          <w:rPr>
            <w:noProof/>
            <w:webHidden/>
          </w:rPr>
        </w:r>
        <w:r>
          <w:rPr>
            <w:noProof/>
            <w:webHidden/>
          </w:rPr>
          <w:fldChar w:fldCharType="separate"/>
        </w:r>
        <w:r>
          <w:rPr>
            <w:noProof/>
            <w:webHidden/>
          </w:rPr>
          <w:t>4</w:t>
        </w:r>
        <w:r>
          <w:rPr>
            <w:noProof/>
            <w:webHidden/>
          </w:rPr>
          <w:fldChar w:fldCharType="end"/>
        </w:r>
      </w:hyperlink>
    </w:p>
    <w:p w14:paraId="206943CD" w14:textId="43681B61" w:rsidR="00996743" w:rsidRDefault="00996743">
      <w:pPr>
        <w:pStyle w:val="Spisilustracji"/>
        <w:tabs>
          <w:tab w:val="right" w:leader="dot" w:pos="9062"/>
        </w:tabs>
        <w:rPr>
          <w:rFonts w:eastAsiaTheme="minorEastAsia"/>
          <w:noProof/>
          <w:lang w:eastAsia="pl-PL"/>
        </w:rPr>
      </w:pPr>
      <w:hyperlink w:anchor="_Toc142565971" w:history="1">
        <w:r w:rsidRPr="00817C63">
          <w:rPr>
            <w:rStyle w:val="Hipercze"/>
            <w:noProof/>
          </w:rPr>
          <w:t>Tabela 5 Współczynnik zgonów w 2022 r.</w:t>
        </w:r>
        <w:r>
          <w:rPr>
            <w:noProof/>
            <w:webHidden/>
          </w:rPr>
          <w:tab/>
        </w:r>
        <w:r>
          <w:rPr>
            <w:noProof/>
            <w:webHidden/>
          </w:rPr>
          <w:fldChar w:fldCharType="begin"/>
        </w:r>
        <w:r>
          <w:rPr>
            <w:noProof/>
            <w:webHidden/>
          </w:rPr>
          <w:instrText xml:space="preserve"> PAGEREF _Toc142565971 \h </w:instrText>
        </w:r>
        <w:r>
          <w:rPr>
            <w:noProof/>
            <w:webHidden/>
          </w:rPr>
        </w:r>
        <w:r>
          <w:rPr>
            <w:noProof/>
            <w:webHidden/>
          </w:rPr>
          <w:fldChar w:fldCharType="separate"/>
        </w:r>
        <w:r>
          <w:rPr>
            <w:noProof/>
            <w:webHidden/>
          </w:rPr>
          <w:t>4</w:t>
        </w:r>
        <w:r>
          <w:rPr>
            <w:noProof/>
            <w:webHidden/>
          </w:rPr>
          <w:fldChar w:fldCharType="end"/>
        </w:r>
      </w:hyperlink>
    </w:p>
    <w:p w14:paraId="015AC5E0" w14:textId="33EEEB85" w:rsidR="00996743" w:rsidRDefault="00996743">
      <w:pPr>
        <w:pStyle w:val="Spisilustracji"/>
        <w:tabs>
          <w:tab w:val="right" w:leader="dot" w:pos="9062"/>
        </w:tabs>
        <w:rPr>
          <w:rFonts w:eastAsiaTheme="minorEastAsia"/>
          <w:noProof/>
          <w:lang w:eastAsia="pl-PL"/>
        </w:rPr>
      </w:pPr>
      <w:hyperlink w:anchor="_Toc142565972" w:history="1">
        <w:r w:rsidRPr="00817C63">
          <w:rPr>
            <w:rStyle w:val="Hipercze"/>
            <w:noProof/>
          </w:rPr>
          <w:t>Tabela 6 Prognoza ludności</w:t>
        </w:r>
        <w:r>
          <w:rPr>
            <w:noProof/>
            <w:webHidden/>
          </w:rPr>
          <w:tab/>
        </w:r>
        <w:r>
          <w:rPr>
            <w:noProof/>
            <w:webHidden/>
          </w:rPr>
          <w:fldChar w:fldCharType="begin"/>
        </w:r>
        <w:r>
          <w:rPr>
            <w:noProof/>
            <w:webHidden/>
          </w:rPr>
          <w:instrText xml:space="preserve"> PAGEREF _Toc142565972 \h </w:instrText>
        </w:r>
        <w:r>
          <w:rPr>
            <w:noProof/>
            <w:webHidden/>
          </w:rPr>
        </w:r>
        <w:r>
          <w:rPr>
            <w:noProof/>
            <w:webHidden/>
          </w:rPr>
          <w:fldChar w:fldCharType="separate"/>
        </w:r>
        <w:r>
          <w:rPr>
            <w:noProof/>
            <w:webHidden/>
          </w:rPr>
          <w:t>5</w:t>
        </w:r>
        <w:r>
          <w:rPr>
            <w:noProof/>
            <w:webHidden/>
          </w:rPr>
          <w:fldChar w:fldCharType="end"/>
        </w:r>
      </w:hyperlink>
    </w:p>
    <w:p w14:paraId="1265D0E9" w14:textId="2621EF72" w:rsidR="00996743" w:rsidRDefault="00996743">
      <w:pPr>
        <w:pStyle w:val="Spisilustracji"/>
        <w:tabs>
          <w:tab w:val="right" w:leader="dot" w:pos="9062"/>
        </w:tabs>
        <w:rPr>
          <w:rFonts w:eastAsiaTheme="minorEastAsia"/>
          <w:noProof/>
          <w:lang w:eastAsia="pl-PL"/>
        </w:rPr>
      </w:pPr>
      <w:hyperlink w:anchor="_Toc142565973" w:history="1">
        <w:r w:rsidRPr="00817C63">
          <w:rPr>
            <w:rStyle w:val="Hipercze"/>
            <w:noProof/>
          </w:rPr>
          <w:t>Tabela 7 Przeciętne miesięczne dochody na 1 osobę w gospodarstwach domowych według liczby osób w wieku 60 lat i więcej w gospodarstwie domowym w 2022 r.</w:t>
        </w:r>
        <w:r>
          <w:rPr>
            <w:noProof/>
            <w:webHidden/>
          </w:rPr>
          <w:tab/>
        </w:r>
        <w:r>
          <w:rPr>
            <w:noProof/>
            <w:webHidden/>
          </w:rPr>
          <w:fldChar w:fldCharType="begin"/>
        </w:r>
        <w:r>
          <w:rPr>
            <w:noProof/>
            <w:webHidden/>
          </w:rPr>
          <w:instrText xml:space="preserve"> PAGEREF _Toc142565973 \h </w:instrText>
        </w:r>
        <w:r>
          <w:rPr>
            <w:noProof/>
            <w:webHidden/>
          </w:rPr>
        </w:r>
        <w:r>
          <w:rPr>
            <w:noProof/>
            <w:webHidden/>
          </w:rPr>
          <w:fldChar w:fldCharType="separate"/>
        </w:r>
        <w:r>
          <w:rPr>
            <w:noProof/>
            <w:webHidden/>
          </w:rPr>
          <w:t>6</w:t>
        </w:r>
        <w:r>
          <w:rPr>
            <w:noProof/>
            <w:webHidden/>
          </w:rPr>
          <w:fldChar w:fldCharType="end"/>
        </w:r>
      </w:hyperlink>
    </w:p>
    <w:p w14:paraId="670C2667" w14:textId="2BECBA79" w:rsidR="00996743" w:rsidRDefault="00996743">
      <w:pPr>
        <w:pStyle w:val="Spisilustracji"/>
        <w:tabs>
          <w:tab w:val="right" w:leader="dot" w:pos="9062"/>
        </w:tabs>
        <w:rPr>
          <w:rFonts w:eastAsiaTheme="minorEastAsia"/>
          <w:noProof/>
          <w:lang w:eastAsia="pl-PL"/>
        </w:rPr>
      </w:pPr>
      <w:hyperlink w:anchor="_Toc142565974" w:history="1">
        <w:r w:rsidRPr="00817C63">
          <w:rPr>
            <w:rStyle w:val="Hipercze"/>
            <w:noProof/>
          </w:rPr>
          <w:t>Tabela 8 Przeciętne miesięczne wydatki na 1 osobę w gospodarstwach domowych według liczby osób w wieku 60 lat i więcej w gospodarstwie domowym w 2022 r.</w:t>
        </w:r>
        <w:r>
          <w:rPr>
            <w:noProof/>
            <w:webHidden/>
          </w:rPr>
          <w:tab/>
        </w:r>
        <w:r>
          <w:rPr>
            <w:noProof/>
            <w:webHidden/>
          </w:rPr>
          <w:fldChar w:fldCharType="begin"/>
        </w:r>
        <w:r>
          <w:rPr>
            <w:noProof/>
            <w:webHidden/>
          </w:rPr>
          <w:instrText xml:space="preserve"> PAGEREF _Toc142565974 \h </w:instrText>
        </w:r>
        <w:r>
          <w:rPr>
            <w:noProof/>
            <w:webHidden/>
          </w:rPr>
        </w:r>
        <w:r>
          <w:rPr>
            <w:noProof/>
            <w:webHidden/>
          </w:rPr>
          <w:fldChar w:fldCharType="separate"/>
        </w:r>
        <w:r>
          <w:rPr>
            <w:noProof/>
            <w:webHidden/>
          </w:rPr>
          <w:t>8</w:t>
        </w:r>
        <w:r>
          <w:rPr>
            <w:noProof/>
            <w:webHidden/>
          </w:rPr>
          <w:fldChar w:fldCharType="end"/>
        </w:r>
      </w:hyperlink>
    </w:p>
    <w:p w14:paraId="582A25C1" w14:textId="387B4D26" w:rsidR="00996743" w:rsidRDefault="00996743">
      <w:pPr>
        <w:pStyle w:val="Spisilustracji"/>
        <w:tabs>
          <w:tab w:val="right" w:leader="dot" w:pos="9062"/>
        </w:tabs>
        <w:rPr>
          <w:rFonts w:eastAsiaTheme="minorEastAsia"/>
          <w:noProof/>
          <w:lang w:eastAsia="pl-PL"/>
        </w:rPr>
      </w:pPr>
      <w:hyperlink w:anchor="_Toc142565975" w:history="1">
        <w:r w:rsidRPr="00817C63">
          <w:rPr>
            <w:rStyle w:val="Hipercze"/>
            <w:noProof/>
          </w:rPr>
          <w:t>Tabela 9 Subiektywna ocena sytuacji materialnej gospodarstwa domowego według liczby osób w wieku 60 lat i więcej w gospodarstwie domowym w 2022 r.</w:t>
        </w:r>
        <w:r>
          <w:rPr>
            <w:noProof/>
            <w:webHidden/>
          </w:rPr>
          <w:tab/>
        </w:r>
        <w:r>
          <w:rPr>
            <w:noProof/>
            <w:webHidden/>
          </w:rPr>
          <w:fldChar w:fldCharType="begin"/>
        </w:r>
        <w:r>
          <w:rPr>
            <w:noProof/>
            <w:webHidden/>
          </w:rPr>
          <w:instrText xml:space="preserve"> PAGEREF _Toc142565975 \h </w:instrText>
        </w:r>
        <w:r>
          <w:rPr>
            <w:noProof/>
            <w:webHidden/>
          </w:rPr>
        </w:r>
        <w:r>
          <w:rPr>
            <w:noProof/>
            <w:webHidden/>
          </w:rPr>
          <w:fldChar w:fldCharType="separate"/>
        </w:r>
        <w:r>
          <w:rPr>
            <w:noProof/>
            <w:webHidden/>
          </w:rPr>
          <w:t>9</w:t>
        </w:r>
        <w:r>
          <w:rPr>
            <w:noProof/>
            <w:webHidden/>
          </w:rPr>
          <w:fldChar w:fldCharType="end"/>
        </w:r>
      </w:hyperlink>
    </w:p>
    <w:p w14:paraId="63F747A9" w14:textId="15F2110C" w:rsidR="00996743" w:rsidRDefault="00996743">
      <w:pPr>
        <w:pStyle w:val="Spisilustracji"/>
        <w:tabs>
          <w:tab w:val="right" w:leader="dot" w:pos="9062"/>
        </w:tabs>
        <w:rPr>
          <w:rFonts w:eastAsiaTheme="minorEastAsia"/>
          <w:noProof/>
          <w:lang w:eastAsia="pl-PL"/>
        </w:rPr>
      </w:pPr>
      <w:hyperlink w:anchor="_Toc142565976" w:history="1">
        <w:r w:rsidRPr="00817C63">
          <w:rPr>
            <w:rStyle w:val="Hipercze"/>
            <w:noProof/>
          </w:rPr>
          <w:t>Tabela 10 Sytuacja mieszkaniowa gospodarstw domowych według liczby osób w wieku 60 lat i więcej w gospodarstwie domowym w 2022 r.</w:t>
        </w:r>
        <w:r>
          <w:rPr>
            <w:noProof/>
            <w:webHidden/>
          </w:rPr>
          <w:tab/>
        </w:r>
        <w:r>
          <w:rPr>
            <w:noProof/>
            <w:webHidden/>
          </w:rPr>
          <w:fldChar w:fldCharType="begin"/>
        </w:r>
        <w:r>
          <w:rPr>
            <w:noProof/>
            <w:webHidden/>
          </w:rPr>
          <w:instrText xml:space="preserve"> PAGEREF _Toc142565976 \h </w:instrText>
        </w:r>
        <w:r>
          <w:rPr>
            <w:noProof/>
            <w:webHidden/>
          </w:rPr>
        </w:r>
        <w:r>
          <w:rPr>
            <w:noProof/>
            <w:webHidden/>
          </w:rPr>
          <w:fldChar w:fldCharType="separate"/>
        </w:r>
        <w:r>
          <w:rPr>
            <w:noProof/>
            <w:webHidden/>
          </w:rPr>
          <w:t>10</w:t>
        </w:r>
        <w:r>
          <w:rPr>
            <w:noProof/>
            <w:webHidden/>
          </w:rPr>
          <w:fldChar w:fldCharType="end"/>
        </w:r>
      </w:hyperlink>
    </w:p>
    <w:p w14:paraId="2085037A" w14:textId="0E20FC73" w:rsidR="00996743" w:rsidRDefault="00996743">
      <w:pPr>
        <w:pStyle w:val="Spisilustracji"/>
        <w:tabs>
          <w:tab w:val="right" w:leader="dot" w:pos="9062"/>
        </w:tabs>
        <w:rPr>
          <w:rFonts w:eastAsiaTheme="minorEastAsia"/>
          <w:noProof/>
          <w:lang w:eastAsia="pl-PL"/>
        </w:rPr>
      </w:pPr>
      <w:hyperlink w:anchor="_Toc142565977" w:history="1">
        <w:r w:rsidRPr="00817C63">
          <w:rPr>
            <w:rStyle w:val="Hipercze"/>
            <w:noProof/>
          </w:rPr>
          <w:t>Tabela 11 Subiektywna opinia na temat użytkowanego przez gospodarstwo domowe mieszkania według liczby osób w wieku 60 lat i więcej w 2022 r.</w:t>
        </w:r>
        <w:r>
          <w:rPr>
            <w:noProof/>
            <w:webHidden/>
          </w:rPr>
          <w:tab/>
        </w:r>
        <w:r>
          <w:rPr>
            <w:noProof/>
            <w:webHidden/>
          </w:rPr>
          <w:fldChar w:fldCharType="begin"/>
        </w:r>
        <w:r>
          <w:rPr>
            <w:noProof/>
            <w:webHidden/>
          </w:rPr>
          <w:instrText xml:space="preserve"> PAGEREF _Toc142565977 \h </w:instrText>
        </w:r>
        <w:r>
          <w:rPr>
            <w:noProof/>
            <w:webHidden/>
          </w:rPr>
        </w:r>
        <w:r>
          <w:rPr>
            <w:noProof/>
            <w:webHidden/>
          </w:rPr>
          <w:fldChar w:fldCharType="separate"/>
        </w:r>
        <w:r>
          <w:rPr>
            <w:noProof/>
            <w:webHidden/>
          </w:rPr>
          <w:t>12</w:t>
        </w:r>
        <w:r>
          <w:rPr>
            <w:noProof/>
            <w:webHidden/>
          </w:rPr>
          <w:fldChar w:fldCharType="end"/>
        </w:r>
      </w:hyperlink>
    </w:p>
    <w:p w14:paraId="29E31412" w14:textId="7D0105CE" w:rsidR="00996743" w:rsidRDefault="00996743">
      <w:pPr>
        <w:pStyle w:val="Spisilustracji"/>
        <w:tabs>
          <w:tab w:val="right" w:leader="dot" w:pos="9062"/>
        </w:tabs>
        <w:rPr>
          <w:rFonts w:eastAsiaTheme="minorEastAsia"/>
          <w:noProof/>
          <w:lang w:eastAsia="pl-PL"/>
        </w:rPr>
      </w:pPr>
      <w:hyperlink w:anchor="_Toc142565978" w:history="1">
        <w:r w:rsidRPr="00817C63">
          <w:rPr>
            <w:rStyle w:val="Hipercze"/>
            <w:noProof/>
          </w:rPr>
          <w:t>Tabela 12 Zasięg ubóstwa w gospodarstwach domowych w 2021 r. (dane za 2022 r. w lipcu)</w:t>
        </w:r>
        <w:r>
          <w:rPr>
            <w:noProof/>
            <w:webHidden/>
          </w:rPr>
          <w:tab/>
        </w:r>
        <w:r>
          <w:rPr>
            <w:noProof/>
            <w:webHidden/>
          </w:rPr>
          <w:fldChar w:fldCharType="begin"/>
        </w:r>
        <w:r>
          <w:rPr>
            <w:noProof/>
            <w:webHidden/>
          </w:rPr>
          <w:instrText xml:space="preserve"> PAGEREF _Toc142565978 \h </w:instrText>
        </w:r>
        <w:r>
          <w:rPr>
            <w:noProof/>
            <w:webHidden/>
          </w:rPr>
        </w:r>
        <w:r>
          <w:rPr>
            <w:noProof/>
            <w:webHidden/>
          </w:rPr>
          <w:fldChar w:fldCharType="separate"/>
        </w:r>
        <w:r>
          <w:rPr>
            <w:noProof/>
            <w:webHidden/>
          </w:rPr>
          <w:t>13</w:t>
        </w:r>
        <w:r>
          <w:rPr>
            <w:noProof/>
            <w:webHidden/>
          </w:rPr>
          <w:fldChar w:fldCharType="end"/>
        </w:r>
      </w:hyperlink>
    </w:p>
    <w:p w14:paraId="0785CB96" w14:textId="49EA7007" w:rsidR="00996743" w:rsidRDefault="00996743">
      <w:pPr>
        <w:pStyle w:val="Spisilustracji"/>
        <w:tabs>
          <w:tab w:val="right" w:leader="dot" w:pos="9062"/>
        </w:tabs>
        <w:rPr>
          <w:rFonts w:eastAsiaTheme="minorEastAsia"/>
          <w:noProof/>
          <w:lang w:eastAsia="pl-PL"/>
        </w:rPr>
      </w:pPr>
      <w:hyperlink w:anchor="_Toc142565979" w:history="1">
        <w:r w:rsidRPr="00817C63">
          <w:rPr>
            <w:rStyle w:val="Hipercze"/>
            <w:noProof/>
          </w:rPr>
          <w:t>Tabela 14 Aktywność ekonomiczna ludności w wieku 15-89 lat według płci i miejsca zamieszkania w 2022 r.</w:t>
        </w:r>
        <w:r>
          <w:rPr>
            <w:noProof/>
            <w:webHidden/>
          </w:rPr>
          <w:tab/>
        </w:r>
        <w:r>
          <w:rPr>
            <w:noProof/>
            <w:webHidden/>
          </w:rPr>
          <w:fldChar w:fldCharType="begin"/>
        </w:r>
        <w:r>
          <w:rPr>
            <w:noProof/>
            <w:webHidden/>
          </w:rPr>
          <w:instrText xml:space="preserve"> PAGEREF _Toc142565979 \h </w:instrText>
        </w:r>
        <w:r>
          <w:rPr>
            <w:noProof/>
            <w:webHidden/>
          </w:rPr>
        </w:r>
        <w:r>
          <w:rPr>
            <w:noProof/>
            <w:webHidden/>
          </w:rPr>
          <w:fldChar w:fldCharType="separate"/>
        </w:r>
        <w:r>
          <w:rPr>
            <w:noProof/>
            <w:webHidden/>
          </w:rPr>
          <w:t>18</w:t>
        </w:r>
        <w:r>
          <w:rPr>
            <w:noProof/>
            <w:webHidden/>
          </w:rPr>
          <w:fldChar w:fldCharType="end"/>
        </w:r>
      </w:hyperlink>
    </w:p>
    <w:p w14:paraId="32DFF330" w14:textId="3D56FFD9" w:rsidR="00996743" w:rsidRDefault="00996743">
      <w:pPr>
        <w:pStyle w:val="Spisilustracji"/>
        <w:tabs>
          <w:tab w:val="right" w:leader="dot" w:pos="9062"/>
        </w:tabs>
        <w:rPr>
          <w:rFonts w:eastAsiaTheme="minorEastAsia"/>
          <w:noProof/>
          <w:lang w:eastAsia="pl-PL"/>
        </w:rPr>
      </w:pPr>
      <w:hyperlink w:anchor="_Toc142565980" w:history="1">
        <w:r w:rsidRPr="00817C63">
          <w:rPr>
            <w:rStyle w:val="Hipercze"/>
            <w:noProof/>
          </w:rPr>
          <w:t>Tabela 15 Osoby pobierające emerytury i renty z tytułu niezdolności do pracy według płci i instytucji wypłacających w 2021 r.  (dane za 2022 r. – III kwartał 2023 r.)</w:t>
        </w:r>
        <w:r>
          <w:rPr>
            <w:noProof/>
            <w:webHidden/>
          </w:rPr>
          <w:tab/>
        </w:r>
        <w:r>
          <w:rPr>
            <w:noProof/>
            <w:webHidden/>
          </w:rPr>
          <w:fldChar w:fldCharType="begin"/>
        </w:r>
        <w:r>
          <w:rPr>
            <w:noProof/>
            <w:webHidden/>
          </w:rPr>
          <w:instrText xml:space="preserve"> PAGEREF _Toc142565980 \h </w:instrText>
        </w:r>
        <w:r>
          <w:rPr>
            <w:noProof/>
            <w:webHidden/>
          </w:rPr>
        </w:r>
        <w:r>
          <w:rPr>
            <w:noProof/>
            <w:webHidden/>
          </w:rPr>
          <w:fldChar w:fldCharType="separate"/>
        </w:r>
        <w:r>
          <w:rPr>
            <w:noProof/>
            <w:webHidden/>
          </w:rPr>
          <w:t>20</w:t>
        </w:r>
        <w:r>
          <w:rPr>
            <w:noProof/>
            <w:webHidden/>
          </w:rPr>
          <w:fldChar w:fldCharType="end"/>
        </w:r>
      </w:hyperlink>
    </w:p>
    <w:p w14:paraId="54814D08" w14:textId="71B66A37" w:rsidR="00996743" w:rsidRDefault="00996743">
      <w:pPr>
        <w:pStyle w:val="Spisilustracji"/>
        <w:tabs>
          <w:tab w:val="right" w:leader="dot" w:pos="9062"/>
        </w:tabs>
        <w:rPr>
          <w:rFonts w:eastAsiaTheme="minorEastAsia"/>
          <w:noProof/>
          <w:lang w:eastAsia="pl-PL"/>
        </w:rPr>
      </w:pPr>
      <w:hyperlink w:anchor="_Toc142565981" w:history="1">
        <w:r w:rsidRPr="00817C63">
          <w:rPr>
            <w:rStyle w:val="Hipercze"/>
            <w:noProof/>
          </w:rPr>
          <w:t>Tabela 16 Samoocena zdrowia w 2021 r. (dane za rok 2022 dostępne będą pod koniec 2023 r.)</w:t>
        </w:r>
        <w:r>
          <w:rPr>
            <w:noProof/>
            <w:webHidden/>
          </w:rPr>
          <w:tab/>
        </w:r>
        <w:r>
          <w:rPr>
            <w:noProof/>
            <w:webHidden/>
          </w:rPr>
          <w:fldChar w:fldCharType="begin"/>
        </w:r>
        <w:r>
          <w:rPr>
            <w:noProof/>
            <w:webHidden/>
          </w:rPr>
          <w:instrText xml:space="preserve"> PAGEREF _Toc142565981 \h </w:instrText>
        </w:r>
        <w:r>
          <w:rPr>
            <w:noProof/>
            <w:webHidden/>
          </w:rPr>
        </w:r>
        <w:r>
          <w:rPr>
            <w:noProof/>
            <w:webHidden/>
          </w:rPr>
          <w:fldChar w:fldCharType="separate"/>
        </w:r>
        <w:r>
          <w:rPr>
            <w:noProof/>
            <w:webHidden/>
          </w:rPr>
          <w:t>20</w:t>
        </w:r>
        <w:r>
          <w:rPr>
            <w:noProof/>
            <w:webHidden/>
          </w:rPr>
          <w:fldChar w:fldCharType="end"/>
        </w:r>
      </w:hyperlink>
    </w:p>
    <w:p w14:paraId="7F750884" w14:textId="1DBD885A" w:rsidR="00996743" w:rsidRDefault="00996743">
      <w:pPr>
        <w:pStyle w:val="Spisilustracji"/>
        <w:tabs>
          <w:tab w:val="right" w:leader="dot" w:pos="9062"/>
        </w:tabs>
        <w:rPr>
          <w:rFonts w:eastAsiaTheme="minorEastAsia"/>
          <w:noProof/>
          <w:lang w:eastAsia="pl-PL"/>
        </w:rPr>
      </w:pPr>
      <w:hyperlink w:anchor="_Toc142565982" w:history="1">
        <w:r w:rsidRPr="00817C63">
          <w:rPr>
            <w:rStyle w:val="Hipercze"/>
            <w:noProof/>
          </w:rPr>
          <w:t>Tabela 17 Długotrwałe problemy zdrowotne lub choroby przewlekłe w 2021 r.</w:t>
        </w:r>
        <w:r>
          <w:rPr>
            <w:noProof/>
            <w:webHidden/>
          </w:rPr>
          <w:tab/>
        </w:r>
        <w:r>
          <w:rPr>
            <w:noProof/>
            <w:webHidden/>
          </w:rPr>
          <w:fldChar w:fldCharType="begin"/>
        </w:r>
        <w:r>
          <w:rPr>
            <w:noProof/>
            <w:webHidden/>
          </w:rPr>
          <w:instrText xml:space="preserve"> PAGEREF _Toc142565982 \h </w:instrText>
        </w:r>
        <w:r>
          <w:rPr>
            <w:noProof/>
            <w:webHidden/>
          </w:rPr>
        </w:r>
        <w:r>
          <w:rPr>
            <w:noProof/>
            <w:webHidden/>
          </w:rPr>
          <w:fldChar w:fldCharType="separate"/>
        </w:r>
        <w:r>
          <w:rPr>
            <w:noProof/>
            <w:webHidden/>
          </w:rPr>
          <w:t>21</w:t>
        </w:r>
        <w:r>
          <w:rPr>
            <w:noProof/>
            <w:webHidden/>
          </w:rPr>
          <w:fldChar w:fldCharType="end"/>
        </w:r>
      </w:hyperlink>
    </w:p>
    <w:p w14:paraId="47D49D46" w14:textId="747AA54E" w:rsidR="00996743" w:rsidRDefault="00996743">
      <w:pPr>
        <w:pStyle w:val="Spisilustracji"/>
        <w:tabs>
          <w:tab w:val="right" w:leader="dot" w:pos="9062"/>
        </w:tabs>
        <w:rPr>
          <w:rFonts w:eastAsiaTheme="minorEastAsia"/>
          <w:noProof/>
          <w:lang w:eastAsia="pl-PL"/>
        </w:rPr>
      </w:pPr>
      <w:hyperlink w:anchor="_Toc142565983" w:history="1">
        <w:r w:rsidRPr="00817C63">
          <w:rPr>
            <w:rStyle w:val="Hipercze"/>
            <w:noProof/>
          </w:rPr>
          <w:t>Tabela 18 Ograniczona zdolność wykonywania czynności w 2021 r.</w:t>
        </w:r>
        <w:r>
          <w:rPr>
            <w:noProof/>
            <w:webHidden/>
          </w:rPr>
          <w:tab/>
        </w:r>
        <w:r>
          <w:rPr>
            <w:noProof/>
            <w:webHidden/>
          </w:rPr>
          <w:fldChar w:fldCharType="begin"/>
        </w:r>
        <w:r>
          <w:rPr>
            <w:noProof/>
            <w:webHidden/>
          </w:rPr>
          <w:instrText xml:space="preserve"> PAGEREF _Toc142565983 \h </w:instrText>
        </w:r>
        <w:r>
          <w:rPr>
            <w:noProof/>
            <w:webHidden/>
          </w:rPr>
        </w:r>
        <w:r>
          <w:rPr>
            <w:noProof/>
            <w:webHidden/>
          </w:rPr>
          <w:fldChar w:fldCharType="separate"/>
        </w:r>
        <w:r>
          <w:rPr>
            <w:noProof/>
            <w:webHidden/>
          </w:rPr>
          <w:t>21</w:t>
        </w:r>
        <w:r>
          <w:rPr>
            <w:noProof/>
            <w:webHidden/>
          </w:rPr>
          <w:fldChar w:fldCharType="end"/>
        </w:r>
      </w:hyperlink>
    </w:p>
    <w:p w14:paraId="42A260DE" w14:textId="2FCA83F4" w:rsidR="00996743" w:rsidRDefault="00996743">
      <w:pPr>
        <w:pStyle w:val="Spisilustracji"/>
        <w:tabs>
          <w:tab w:val="right" w:leader="dot" w:pos="9062"/>
        </w:tabs>
        <w:rPr>
          <w:rFonts w:eastAsiaTheme="minorEastAsia"/>
          <w:noProof/>
          <w:lang w:eastAsia="pl-PL"/>
        </w:rPr>
      </w:pPr>
      <w:hyperlink w:anchor="_Toc142565984" w:history="1">
        <w:r w:rsidRPr="00817C63">
          <w:rPr>
            <w:rStyle w:val="Hipercze"/>
            <w:noProof/>
          </w:rPr>
          <w:t>Tabela 19 Potrzeby skorzystania z leczenia  lub badania w 2021 r.</w:t>
        </w:r>
        <w:r>
          <w:rPr>
            <w:noProof/>
            <w:webHidden/>
          </w:rPr>
          <w:tab/>
        </w:r>
        <w:r>
          <w:rPr>
            <w:noProof/>
            <w:webHidden/>
          </w:rPr>
          <w:fldChar w:fldCharType="begin"/>
        </w:r>
        <w:r>
          <w:rPr>
            <w:noProof/>
            <w:webHidden/>
          </w:rPr>
          <w:instrText xml:space="preserve"> PAGEREF _Toc142565984 \h </w:instrText>
        </w:r>
        <w:r>
          <w:rPr>
            <w:noProof/>
            <w:webHidden/>
          </w:rPr>
        </w:r>
        <w:r>
          <w:rPr>
            <w:noProof/>
            <w:webHidden/>
          </w:rPr>
          <w:fldChar w:fldCharType="separate"/>
        </w:r>
        <w:r>
          <w:rPr>
            <w:noProof/>
            <w:webHidden/>
          </w:rPr>
          <w:t>22</w:t>
        </w:r>
        <w:r>
          <w:rPr>
            <w:noProof/>
            <w:webHidden/>
          </w:rPr>
          <w:fldChar w:fldCharType="end"/>
        </w:r>
      </w:hyperlink>
    </w:p>
    <w:p w14:paraId="6A6B07B4" w14:textId="4FA3D47F" w:rsidR="00996743" w:rsidRDefault="00996743">
      <w:pPr>
        <w:pStyle w:val="Spisilustracji"/>
        <w:tabs>
          <w:tab w:val="right" w:leader="dot" w:pos="9062"/>
        </w:tabs>
        <w:rPr>
          <w:rFonts w:eastAsiaTheme="minorEastAsia"/>
          <w:noProof/>
          <w:lang w:eastAsia="pl-PL"/>
        </w:rPr>
      </w:pPr>
      <w:hyperlink w:anchor="_Toc142565985" w:history="1">
        <w:r w:rsidRPr="00817C63">
          <w:rPr>
            <w:rStyle w:val="Hipercze"/>
            <w:noProof/>
          </w:rPr>
          <w:t>Tabela 20 Zaspokojenie potrzeb w zakresie leczenia lub badania w 2021 r.</w:t>
        </w:r>
        <w:r>
          <w:rPr>
            <w:noProof/>
            <w:webHidden/>
          </w:rPr>
          <w:tab/>
        </w:r>
        <w:r>
          <w:rPr>
            <w:noProof/>
            <w:webHidden/>
          </w:rPr>
          <w:fldChar w:fldCharType="begin"/>
        </w:r>
        <w:r>
          <w:rPr>
            <w:noProof/>
            <w:webHidden/>
          </w:rPr>
          <w:instrText xml:space="preserve"> PAGEREF _Toc142565985 \h </w:instrText>
        </w:r>
        <w:r>
          <w:rPr>
            <w:noProof/>
            <w:webHidden/>
          </w:rPr>
        </w:r>
        <w:r>
          <w:rPr>
            <w:noProof/>
            <w:webHidden/>
          </w:rPr>
          <w:fldChar w:fldCharType="separate"/>
        </w:r>
        <w:r>
          <w:rPr>
            <w:noProof/>
            <w:webHidden/>
          </w:rPr>
          <w:t>23</w:t>
        </w:r>
        <w:r>
          <w:rPr>
            <w:noProof/>
            <w:webHidden/>
          </w:rPr>
          <w:fldChar w:fldCharType="end"/>
        </w:r>
      </w:hyperlink>
    </w:p>
    <w:p w14:paraId="2713632D" w14:textId="08960F3F" w:rsidR="00996743" w:rsidRDefault="00996743">
      <w:pPr>
        <w:pStyle w:val="Spisilustracji"/>
        <w:tabs>
          <w:tab w:val="right" w:leader="dot" w:pos="9062"/>
        </w:tabs>
        <w:rPr>
          <w:rFonts w:eastAsiaTheme="minorEastAsia"/>
          <w:noProof/>
          <w:lang w:eastAsia="pl-PL"/>
        </w:rPr>
      </w:pPr>
      <w:hyperlink w:anchor="_Toc142565986" w:history="1">
        <w:r w:rsidRPr="00817C63">
          <w:rPr>
            <w:rStyle w:val="Hipercze"/>
            <w:noProof/>
          </w:rPr>
          <w:t>Tabela 21 Ambulatoryjna opieka zdrowotna w 2022 r.</w:t>
        </w:r>
        <w:r>
          <w:rPr>
            <w:noProof/>
            <w:webHidden/>
          </w:rPr>
          <w:tab/>
        </w:r>
        <w:r>
          <w:rPr>
            <w:noProof/>
            <w:webHidden/>
          </w:rPr>
          <w:fldChar w:fldCharType="begin"/>
        </w:r>
        <w:r>
          <w:rPr>
            <w:noProof/>
            <w:webHidden/>
          </w:rPr>
          <w:instrText xml:space="preserve"> PAGEREF _Toc142565986 \h </w:instrText>
        </w:r>
        <w:r>
          <w:rPr>
            <w:noProof/>
            <w:webHidden/>
          </w:rPr>
        </w:r>
        <w:r>
          <w:rPr>
            <w:noProof/>
            <w:webHidden/>
          </w:rPr>
          <w:fldChar w:fldCharType="separate"/>
        </w:r>
        <w:r>
          <w:rPr>
            <w:noProof/>
            <w:webHidden/>
          </w:rPr>
          <w:t>24</w:t>
        </w:r>
        <w:r>
          <w:rPr>
            <w:noProof/>
            <w:webHidden/>
          </w:rPr>
          <w:fldChar w:fldCharType="end"/>
        </w:r>
      </w:hyperlink>
    </w:p>
    <w:p w14:paraId="2DD08692" w14:textId="3FD81CF1" w:rsidR="00996743" w:rsidRDefault="00996743">
      <w:pPr>
        <w:pStyle w:val="Spisilustracji"/>
        <w:tabs>
          <w:tab w:val="right" w:leader="dot" w:pos="9062"/>
        </w:tabs>
        <w:rPr>
          <w:rFonts w:eastAsiaTheme="minorEastAsia"/>
          <w:noProof/>
          <w:lang w:eastAsia="pl-PL"/>
        </w:rPr>
      </w:pPr>
      <w:hyperlink w:anchor="_Toc142565987" w:history="1">
        <w:r w:rsidRPr="00817C63">
          <w:rPr>
            <w:rStyle w:val="Hipercze"/>
            <w:noProof/>
          </w:rPr>
          <w:t>Tabela 22 Struktura porad ambulatoryjnej opieki zdrowotnej w 2022 r.</w:t>
        </w:r>
        <w:r>
          <w:rPr>
            <w:noProof/>
            <w:webHidden/>
          </w:rPr>
          <w:tab/>
        </w:r>
        <w:r>
          <w:rPr>
            <w:noProof/>
            <w:webHidden/>
          </w:rPr>
          <w:fldChar w:fldCharType="begin"/>
        </w:r>
        <w:r>
          <w:rPr>
            <w:noProof/>
            <w:webHidden/>
          </w:rPr>
          <w:instrText xml:space="preserve"> PAGEREF _Toc142565987 \h </w:instrText>
        </w:r>
        <w:r>
          <w:rPr>
            <w:noProof/>
            <w:webHidden/>
          </w:rPr>
        </w:r>
        <w:r>
          <w:rPr>
            <w:noProof/>
            <w:webHidden/>
          </w:rPr>
          <w:fldChar w:fldCharType="separate"/>
        </w:r>
        <w:r>
          <w:rPr>
            <w:noProof/>
            <w:webHidden/>
          </w:rPr>
          <w:t>24</w:t>
        </w:r>
        <w:r>
          <w:rPr>
            <w:noProof/>
            <w:webHidden/>
          </w:rPr>
          <w:fldChar w:fldCharType="end"/>
        </w:r>
      </w:hyperlink>
    </w:p>
    <w:p w14:paraId="33C764FC" w14:textId="6C97F872" w:rsidR="00996743" w:rsidRDefault="00996743">
      <w:pPr>
        <w:pStyle w:val="Spisilustracji"/>
        <w:tabs>
          <w:tab w:val="right" w:leader="dot" w:pos="9062"/>
        </w:tabs>
        <w:rPr>
          <w:rFonts w:eastAsiaTheme="minorEastAsia"/>
          <w:noProof/>
          <w:lang w:eastAsia="pl-PL"/>
        </w:rPr>
      </w:pPr>
      <w:hyperlink w:anchor="_Toc142565988" w:history="1">
        <w:r w:rsidRPr="00817C63">
          <w:rPr>
            <w:rStyle w:val="Hipercze"/>
            <w:noProof/>
          </w:rPr>
          <w:t>Tabela 23 Ratownictwo medyczne w 2022 r.</w:t>
        </w:r>
        <w:r>
          <w:rPr>
            <w:noProof/>
            <w:webHidden/>
          </w:rPr>
          <w:tab/>
        </w:r>
        <w:r>
          <w:rPr>
            <w:noProof/>
            <w:webHidden/>
          </w:rPr>
          <w:fldChar w:fldCharType="begin"/>
        </w:r>
        <w:r>
          <w:rPr>
            <w:noProof/>
            <w:webHidden/>
          </w:rPr>
          <w:instrText xml:space="preserve"> PAGEREF _Toc142565988 \h </w:instrText>
        </w:r>
        <w:r>
          <w:rPr>
            <w:noProof/>
            <w:webHidden/>
          </w:rPr>
        </w:r>
        <w:r>
          <w:rPr>
            <w:noProof/>
            <w:webHidden/>
          </w:rPr>
          <w:fldChar w:fldCharType="separate"/>
        </w:r>
        <w:r>
          <w:rPr>
            <w:noProof/>
            <w:webHidden/>
          </w:rPr>
          <w:t>25</w:t>
        </w:r>
        <w:r>
          <w:rPr>
            <w:noProof/>
            <w:webHidden/>
          </w:rPr>
          <w:fldChar w:fldCharType="end"/>
        </w:r>
      </w:hyperlink>
    </w:p>
    <w:p w14:paraId="0379D824" w14:textId="66EC8D7F" w:rsidR="00996743" w:rsidRDefault="00996743">
      <w:pPr>
        <w:pStyle w:val="Spisilustracji"/>
        <w:tabs>
          <w:tab w:val="right" w:leader="dot" w:pos="9062"/>
        </w:tabs>
        <w:rPr>
          <w:rFonts w:eastAsiaTheme="minorEastAsia"/>
          <w:noProof/>
          <w:lang w:eastAsia="pl-PL"/>
        </w:rPr>
      </w:pPr>
      <w:hyperlink w:anchor="_Toc142565989" w:history="1">
        <w:r w:rsidRPr="00817C63">
          <w:rPr>
            <w:rStyle w:val="Hipercze"/>
            <w:noProof/>
          </w:rPr>
          <w:t>Tabela 24 Oddziały geriatryczne w szpitalach ogólnych w 2021 r. (dostępność danych za 2022 r. - IV kw. 2023 r.)</w:t>
        </w:r>
        <w:r>
          <w:rPr>
            <w:noProof/>
            <w:webHidden/>
          </w:rPr>
          <w:tab/>
        </w:r>
        <w:r>
          <w:rPr>
            <w:noProof/>
            <w:webHidden/>
          </w:rPr>
          <w:fldChar w:fldCharType="begin"/>
        </w:r>
        <w:r>
          <w:rPr>
            <w:noProof/>
            <w:webHidden/>
          </w:rPr>
          <w:instrText xml:space="preserve"> PAGEREF _Toc142565989 \h </w:instrText>
        </w:r>
        <w:r>
          <w:rPr>
            <w:noProof/>
            <w:webHidden/>
          </w:rPr>
        </w:r>
        <w:r>
          <w:rPr>
            <w:noProof/>
            <w:webHidden/>
          </w:rPr>
          <w:fldChar w:fldCharType="separate"/>
        </w:r>
        <w:r>
          <w:rPr>
            <w:noProof/>
            <w:webHidden/>
          </w:rPr>
          <w:t>25</w:t>
        </w:r>
        <w:r>
          <w:rPr>
            <w:noProof/>
            <w:webHidden/>
          </w:rPr>
          <w:fldChar w:fldCharType="end"/>
        </w:r>
      </w:hyperlink>
    </w:p>
    <w:p w14:paraId="74658037" w14:textId="75084367" w:rsidR="00996743" w:rsidRDefault="00996743">
      <w:pPr>
        <w:pStyle w:val="Spisilustracji"/>
        <w:tabs>
          <w:tab w:val="right" w:leader="dot" w:pos="9062"/>
        </w:tabs>
        <w:rPr>
          <w:rFonts w:eastAsiaTheme="minorEastAsia"/>
          <w:noProof/>
          <w:lang w:eastAsia="pl-PL"/>
        </w:rPr>
      </w:pPr>
      <w:hyperlink w:anchor="_Toc142565990" w:history="1">
        <w:r w:rsidRPr="00817C63">
          <w:rPr>
            <w:rStyle w:val="Hipercze"/>
            <w:noProof/>
          </w:rPr>
          <w:t>Tabela 25 Kuracjusze leczenia uzdrowiskowego leczeni w trybie stacjonarnym i ambulatoryjnym (bez cudzoziemców) w 2022 r.</w:t>
        </w:r>
        <w:r>
          <w:rPr>
            <w:noProof/>
            <w:webHidden/>
          </w:rPr>
          <w:tab/>
        </w:r>
        <w:r>
          <w:rPr>
            <w:noProof/>
            <w:webHidden/>
          </w:rPr>
          <w:fldChar w:fldCharType="begin"/>
        </w:r>
        <w:r>
          <w:rPr>
            <w:noProof/>
            <w:webHidden/>
          </w:rPr>
          <w:instrText xml:space="preserve"> PAGEREF _Toc142565990 \h </w:instrText>
        </w:r>
        <w:r>
          <w:rPr>
            <w:noProof/>
            <w:webHidden/>
          </w:rPr>
        </w:r>
        <w:r>
          <w:rPr>
            <w:noProof/>
            <w:webHidden/>
          </w:rPr>
          <w:fldChar w:fldCharType="separate"/>
        </w:r>
        <w:r>
          <w:rPr>
            <w:noProof/>
            <w:webHidden/>
          </w:rPr>
          <w:t>26</w:t>
        </w:r>
        <w:r>
          <w:rPr>
            <w:noProof/>
            <w:webHidden/>
          </w:rPr>
          <w:fldChar w:fldCharType="end"/>
        </w:r>
      </w:hyperlink>
    </w:p>
    <w:p w14:paraId="74F4C573" w14:textId="18B3F4CE" w:rsidR="00996743" w:rsidRDefault="00996743">
      <w:pPr>
        <w:pStyle w:val="Spisilustracji"/>
        <w:tabs>
          <w:tab w:val="right" w:leader="dot" w:pos="9062"/>
        </w:tabs>
        <w:rPr>
          <w:rFonts w:eastAsiaTheme="minorEastAsia"/>
          <w:noProof/>
          <w:lang w:eastAsia="pl-PL"/>
        </w:rPr>
      </w:pPr>
      <w:hyperlink w:anchor="_Toc142565991" w:history="1">
        <w:r w:rsidRPr="00817C63">
          <w:rPr>
            <w:rStyle w:val="Hipercze"/>
            <w:noProof/>
          </w:rPr>
          <w:t>Tabela 26 Czytelnicy bibliotek publicznych w 2022 r.</w:t>
        </w:r>
        <w:r>
          <w:rPr>
            <w:noProof/>
            <w:webHidden/>
          </w:rPr>
          <w:tab/>
        </w:r>
        <w:r>
          <w:rPr>
            <w:noProof/>
            <w:webHidden/>
          </w:rPr>
          <w:fldChar w:fldCharType="begin"/>
        </w:r>
        <w:r>
          <w:rPr>
            <w:noProof/>
            <w:webHidden/>
          </w:rPr>
          <w:instrText xml:space="preserve"> PAGEREF _Toc142565991 \h </w:instrText>
        </w:r>
        <w:r>
          <w:rPr>
            <w:noProof/>
            <w:webHidden/>
          </w:rPr>
        </w:r>
        <w:r>
          <w:rPr>
            <w:noProof/>
            <w:webHidden/>
          </w:rPr>
          <w:fldChar w:fldCharType="separate"/>
        </w:r>
        <w:r>
          <w:rPr>
            <w:noProof/>
            <w:webHidden/>
          </w:rPr>
          <w:t>26</w:t>
        </w:r>
        <w:r>
          <w:rPr>
            <w:noProof/>
            <w:webHidden/>
          </w:rPr>
          <w:fldChar w:fldCharType="end"/>
        </w:r>
      </w:hyperlink>
    </w:p>
    <w:p w14:paraId="6D47B633" w14:textId="7617EE6F" w:rsidR="00996743" w:rsidRDefault="00996743">
      <w:pPr>
        <w:pStyle w:val="Spisilustracji"/>
        <w:tabs>
          <w:tab w:val="right" w:leader="dot" w:pos="9062"/>
        </w:tabs>
        <w:rPr>
          <w:rFonts w:eastAsiaTheme="minorEastAsia"/>
          <w:noProof/>
          <w:lang w:eastAsia="pl-PL"/>
        </w:rPr>
      </w:pPr>
      <w:hyperlink w:anchor="_Toc142565992" w:history="1">
        <w:r w:rsidRPr="00817C63">
          <w:rPr>
            <w:rStyle w:val="Hipercze"/>
            <w:noProof/>
          </w:rPr>
          <w:t>Tabela 27 Osoby uczestniczące w formach aktywności kulturalnej organizowanych przez domy, ośrodki i centra kultury, kluby i świetlice w 2022 r.</w:t>
        </w:r>
        <w:r>
          <w:rPr>
            <w:noProof/>
            <w:webHidden/>
          </w:rPr>
          <w:tab/>
        </w:r>
        <w:r>
          <w:rPr>
            <w:noProof/>
            <w:webHidden/>
          </w:rPr>
          <w:fldChar w:fldCharType="begin"/>
        </w:r>
        <w:r>
          <w:rPr>
            <w:noProof/>
            <w:webHidden/>
          </w:rPr>
          <w:instrText xml:space="preserve"> PAGEREF _Toc142565992 \h </w:instrText>
        </w:r>
        <w:r>
          <w:rPr>
            <w:noProof/>
            <w:webHidden/>
          </w:rPr>
        </w:r>
        <w:r>
          <w:rPr>
            <w:noProof/>
            <w:webHidden/>
          </w:rPr>
          <w:fldChar w:fldCharType="separate"/>
        </w:r>
        <w:r>
          <w:rPr>
            <w:noProof/>
            <w:webHidden/>
          </w:rPr>
          <w:t>27</w:t>
        </w:r>
        <w:r>
          <w:rPr>
            <w:noProof/>
            <w:webHidden/>
          </w:rPr>
          <w:fldChar w:fldCharType="end"/>
        </w:r>
      </w:hyperlink>
    </w:p>
    <w:p w14:paraId="7325B23E" w14:textId="315A1704" w:rsidR="00996743" w:rsidRDefault="00996743">
      <w:pPr>
        <w:pStyle w:val="Spisilustracji"/>
        <w:tabs>
          <w:tab w:val="right" w:leader="dot" w:pos="9062"/>
        </w:tabs>
        <w:rPr>
          <w:rFonts w:eastAsiaTheme="minorEastAsia"/>
          <w:noProof/>
          <w:lang w:eastAsia="pl-PL"/>
        </w:rPr>
      </w:pPr>
      <w:hyperlink w:anchor="_Toc142565993" w:history="1">
        <w:r w:rsidRPr="00817C63">
          <w:rPr>
            <w:rStyle w:val="Hipercze"/>
            <w:noProof/>
          </w:rPr>
          <w:t>Tabela 28 Członkowie grup artystycznych w domach, ośrodkach i centrach kultury, klubach i świetlicach w 2022 r.</w:t>
        </w:r>
        <w:r>
          <w:rPr>
            <w:noProof/>
            <w:webHidden/>
          </w:rPr>
          <w:tab/>
        </w:r>
        <w:r>
          <w:rPr>
            <w:noProof/>
            <w:webHidden/>
          </w:rPr>
          <w:fldChar w:fldCharType="begin"/>
        </w:r>
        <w:r>
          <w:rPr>
            <w:noProof/>
            <w:webHidden/>
          </w:rPr>
          <w:instrText xml:space="preserve"> PAGEREF _Toc142565993 \h </w:instrText>
        </w:r>
        <w:r>
          <w:rPr>
            <w:noProof/>
            <w:webHidden/>
          </w:rPr>
        </w:r>
        <w:r>
          <w:rPr>
            <w:noProof/>
            <w:webHidden/>
          </w:rPr>
          <w:fldChar w:fldCharType="separate"/>
        </w:r>
        <w:r>
          <w:rPr>
            <w:noProof/>
            <w:webHidden/>
          </w:rPr>
          <w:t>28</w:t>
        </w:r>
        <w:r>
          <w:rPr>
            <w:noProof/>
            <w:webHidden/>
          </w:rPr>
          <w:fldChar w:fldCharType="end"/>
        </w:r>
      </w:hyperlink>
    </w:p>
    <w:p w14:paraId="0833EE23" w14:textId="05173BF0" w:rsidR="00996743" w:rsidRDefault="00996743">
      <w:pPr>
        <w:pStyle w:val="Spisilustracji"/>
        <w:tabs>
          <w:tab w:val="right" w:leader="dot" w:pos="9062"/>
        </w:tabs>
        <w:rPr>
          <w:rFonts w:eastAsiaTheme="minorEastAsia"/>
          <w:noProof/>
          <w:lang w:eastAsia="pl-PL"/>
        </w:rPr>
      </w:pPr>
      <w:hyperlink w:anchor="_Toc142565994" w:history="1">
        <w:r w:rsidRPr="00817C63">
          <w:rPr>
            <w:rStyle w:val="Hipercze"/>
            <w:noProof/>
          </w:rPr>
          <w:t>Tabela 29 Liczba gmin w poszczególnych województwach, w których funkcjonują gminne rady seniorów powołane zgodnie z art. 5c ustawy o samorządzie gminnym (dane przekazane przez wojewodów)</w:t>
        </w:r>
        <w:r>
          <w:rPr>
            <w:noProof/>
            <w:webHidden/>
          </w:rPr>
          <w:tab/>
        </w:r>
        <w:r>
          <w:rPr>
            <w:noProof/>
            <w:webHidden/>
          </w:rPr>
          <w:fldChar w:fldCharType="begin"/>
        </w:r>
        <w:r>
          <w:rPr>
            <w:noProof/>
            <w:webHidden/>
          </w:rPr>
          <w:instrText xml:space="preserve"> PAGEREF _Toc142565994 \h </w:instrText>
        </w:r>
        <w:r>
          <w:rPr>
            <w:noProof/>
            <w:webHidden/>
          </w:rPr>
        </w:r>
        <w:r>
          <w:rPr>
            <w:noProof/>
            <w:webHidden/>
          </w:rPr>
          <w:fldChar w:fldCharType="separate"/>
        </w:r>
        <w:r>
          <w:rPr>
            <w:noProof/>
            <w:webHidden/>
          </w:rPr>
          <w:t>31</w:t>
        </w:r>
        <w:r>
          <w:rPr>
            <w:noProof/>
            <w:webHidden/>
          </w:rPr>
          <w:fldChar w:fldCharType="end"/>
        </w:r>
      </w:hyperlink>
    </w:p>
    <w:p w14:paraId="4B4360B3" w14:textId="25467F5D" w:rsidR="00996743" w:rsidRDefault="00996743">
      <w:pPr>
        <w:pStyle w:val="Spisilustracji"/>
        <w:tabs>
          <w:tab w:val="right" w:leader="dot" w:pos="9062"/>
        </w:tabs>
        <w:rPr>
          <w:rFonts w:eastAsiaTheme="minorEastAsia"/>
          <w:noProof/>
          <w:lang w:eastAsia="pl-PL"/>
        </w:rPr>
      </w:pPr>
      <w:hyperlink w:anchor="_Toc142565995" w:history="1">
        <w:r w:rsidRPr="00817C63">
          <w:rPr>
            <w:rStyle w:val="Hipercze"/>
            <w:noProof/>
          </w:rPr>
          <w:t>Tabela 30 Osoby korzystające z Internetu w 2022 r.</w:t>
        </w:r>
        <w:r>
          <w:rPr>
            <w:noProof/>
            <w:webHidden/>
          </w:rPr>
          <w:tab/>
        </w:r>
        <w:r>
          <w:rPr>
            <w:noProof/>
            <w:webHidden/>
          </w:rPr>
          <w:fldChar w:fldCharType="begin"/>
        </w:r>
        <w:r>
          <w:rPr>
            <w:noProof/>
            <w:webHidden/>
          </w:rPr>
          <w:instrText xml:space="preserve"> PAGEREF _Toc142565995 \h </w:instrText>
        </w:r>
        <w:r>
          <w:rPr>
            <w:noProof/>
            <w:webHidden/>
          </w:rPr>
        </w:r>
        <w:r>
          <w:rPr>
            <w:noProof/>
            <w:webHidden/>
          </w:rPr>
          <w:fldChar w:fldCharType="separate"/>
        </w:r>
        <w:r>
          <w:rPr>
            <w:noProof/>
            <w:webHidden/>
          </w:rPr>
          <w:t>31</w:t>
        </w:r>
        <w:r>
          <w:rPr>
            <w:noProof/>
            <w:webHidden/>
          </w:rPr>
          <w:fldChar w:fldCharType="end"/>
        </w:r>
      </w:hyperlink>
    </w:p>
    <w:p w14:paraId="72E17E67" w14:textId="323CD521" w:rsidR="00996743" w:rsidRDefault="00996743">
      <w:pPr>
        <w:pStyle w:val="Spisilustracji"/>
        <w:tabs>
          <w:tab w:val="right" w:leader="dot" w:pos="9062"/>
        </w:tabs>
        <w:rPr>
          <w:rFonts w:eastAsiaTheme="minorEastAsia"/>
          <w:noProof/>
          <w:lang w:eastAsia="pl-PL"/>
        </w:rPr>
      </w:pPr>
      <w:hyperlink w:anchor="_Toc142565996" w:history="1">
        <w:r w:rsidRPr="00817C63">
          <w:rPr>
            <w:rStyle w:val="Hipercze"/>
            <w:noProof/>
          </w:rPr>
          <w:t>Tabela 31 Częstotliwość korzystania z Internetu w ciągu ostatnich 3 miesięcy w 2022 r.</w:t>
        </w:r>
        <w:r>
          <w:rPr>
            <w:noProof/>
            <w:webHidden/>
          </w:rPr>
          <w:tab/>
        </w:r>
        <w:r>
          <w:rPr>
            <w:noProof/>
            <w:webHidden/>
          </w:rPr>
          <w:fldChar w:fldCharType="begin"/>
        </w:r>
        <w:r>
          <w:rPr>
            <w:noProof/>
            <w:webHidden/>
          </w:rPr>
          <w:instrText xml:space="preserve"> PAGEREF _Toc142565996 \h </w:instrText>
        </w:r>
        <w:r>
          <w:rPr>
            <w:noProof/>
            <w:webHidden/>
          </w:rPr>
        </w:r>
        <w:r>
          <w:rPr>
            <w:noProof/>
            <w:webHidden/>
          </w:rPr>
          <w:fldChar w:fldCharType="separate"/>
        </w:r>
        <w:r>
          <w:rPr>
            <w:noProof/>
            <w:webHidden/>
          </w:rPr>
          <w:t>32</w:t>
        </w:r>
        <w:r>
          <w:rPr>
            <w:noProof/>
            <w:webHidden/>
          </w:rPr>
          <w:fldChar w:fldCharType="end"/>
        </w:r>
      </w:hyperlink>
    </w:p>
    <w:p w14:paraId="4FBB2B48" w14:textId="737490E8" w:rsidR="00996743" w:rsidRDefault="00996743">
      <w:pPr>
        <w:pStyle w:val="Spisilustracji"/>
        <w:tabs>
          <w:tab w:val="right" w:leader="dot" w:pos="9062"/>
        </w:tabs>
        <w:rPr>
          <w:rFonts w:eastAsiaTheme="minorEastAsia"/>
          <w:noProof/>
          <w:lang w:eastAsia="pl-PL"/>
        </w:rPr>
      </w:pPr>
      <w:hyperlink w:anchor="_Toc142565997" w:history="1">
        <w:r w:rsidRPr="00817C63">
          <w:rPr>
            <w:rStyle w:val="Hipercze"/>
            <w:noProof/>
          </w:rPr>
          <w:t>Tabela 32 Uczestnictwo członków gospodarstw domowych w zajęciach sportowych lub rekreacji ruchowej w 2021 r.</w:t>
        </w:r>
        <w:r>
          <w:rPr>
            <w:noProof/>
            <w:webHidden/>
          </w:rPr>
          <w:tab/>
        </w:r>
        <w:r>
          <w:rPr>
            <w:noProof/>
            <w:webHidden/>
          </w:rPr>
          <w:fldChar w:fldCharType="begin"/>
        </w:r>
        <w:r>
          <w:rPr>
            <w:noProof/>
            <w:webHidden/>
          </w:rPr>
          <w:instrText xml:space="preserve"> PAGEREF _Toc142565997 \h </w:instrText>
        </w:r>
        <w:r>
          <w:rPr>
            <w:noProof/>
            <w:webHidden/>
          </w:rPr>
        </w:r>
        <w:r>
          <w:rPr>
            <w:noProof/>
            <w:webHidden/>
          </w:rPr>
          <w:fldChar w:fldCharType="separate"/>
        </w:r>
        <w:r>
          <w:rPr>
            <w:noProof/>
            <w:webHidden/>
          </w:rPr>
          <w:t>33</w:t>
        </w:r>
        <w:r>
          <w:rPr>
            <w:noProof/>
            <w:webHidden/>
          </w:rPr>
          <w:fldChar w:fldCharType="end"/>
        </w:r>
      </w:hyperlink>
    </w:p>
    <w:p w14:paraId="5A78385B" w14:textId="1DB8CC6A" w:rsidR="00996743" w:rsidRDefault="00996743">
      <w:pPr>
        <w:pStyle w:val="Spisilustracji"/>
        <w:tabs>
          <w:tab w:val="right" w:leader="dot" w:pos="9062"/>
        </w:tabs>
        <w:rPr>
          <w:rFonts w:eastAsiaTheme="minorEastAsia"/>
          <w:noProof/>
          <w:lang w:eastAsia="pl-PL"/>
        </w:rPr>
      </w:pPr>
      <w:hyperlink w:anchor="_Toc142565998" w:history="1">
        <w:r w:rsidRPr="00817C63">
          <w:rPr>
            <w:rStyle w:val="Hipercze"/>
            <w:noProof/>
          </w:rPr>
          <w:t>Tabela 33 Subiektywna ocena ogólnej sprawności (kondycji) fizycznej członków gospodarstw domowych w 2021 r.</w:t>
        </w:r>
        <w:r>
          <w:rPr>
            <w:noProof/>
            <w:webHidden/>
          </w:rPr>
          <w:tab/>
        </w:r>
        <w:r>
          <w:rPr>
            <w:noProof/>
            <w:webHidden/>
          </w:rPr>
          <w:fldChar w:fldCharType="begin"/>
        </w:r>
        <w:r>
          <w:rPr>
            <w:noProof/>
            <w:webHidden/>
          </w:rPr>
          <w:instrText xml:space="preserve"> PAGEREF _Toc142565998 \h </w:instrText>
        </w:r>
        <w:r>
          <w:rPr>
            <w:noProof/>
            <w:webHidden/>
          </w:rPr>
        </w:r>
        <w:r>
          <w:rPr>
            <w:noProof/>
            <w:webHidden/>
          </w:rPr>
          <w:fldChar w:fldCharType="separate"/>
        </w:r>
        <w:r>
          <w:rPr>
            <w:noProof/>
            <w:webHidden/>
          </w:rPr>
          <w:t>33</w:t>
        </w:r>
        <w:r>
          <w:rPr>
            <w:noProof/>
            <w:webHidden/>
          </w:rPr>
          <w:fldChar w:fldCharType="end"/>
        </w:r>
      </w:hyperlink>
    </w:p>
    <w:p w14:paraId="5116D4AC" w14:textId="29BC423F" w:rsidR="00996743" w:rsidRDefault="00996743">
      <w:pPr>
        <w:pStyle w:val="Spisilustracji"/>
        <w:tabs>
          <w:tab w:val="right" w:leader="dot" w:pos="9062"/>
        </w:tabs>
        <w:rPr>
          <w:rFonts w:eastAsiaTheme="minorEastAsia"/>
          <w:noProof/>
          <w:lang w:eastAsia="pl-PL"/>
        </w:rPr>
      </w:pPr>
      <w:hyperlink w:anchor="_Toc142565999" w:history="1">
        <w:r w:rsidRPr="00817C63">
          <w:rPr>
            <w:rStyle w:val="Hipercze"/>
            <w:noProof/>
          </w:rPr>
          <w:t>Tabela 34 Łączna wysokość środków finansowych w ramach Krajowego Programu Przeciwdziałania Przemocy w Rodzinie w latach 2015-2022 (w zł)</w:t>
        </w:r>
        <w:r>
          <w:rPr>
            <w:noProof/>
            <w:webHidden/>
          </w:rPr>
          <w:tab/>
        </w:r>
        <w:r>
          <w:rPr>
            <w:noProof/>
            <w:webHidden/>
          </w:rPr>
          <w:fldChar w:fldCharType="begin"/>
        </w:r>
        <w:r>
          <w:rPr>
            <w:noProof/>
            <w:webHidden/>
          </w:rPr>
          <w:instrText xml:space="preserve"> PAGEREF _Toc142565999 \h </w:instrText>
        </w:r>
        <w:r>
          <w:rPr>
            <w:noProof/>
            <w:webHidden/>
          </w:rPr>
        </w:r>
        <w:r>
          <w:rPr>
            <w:noProof/>
            <w:webHidden/>
          </w:rPr>
          <w:fldChar w:fldCharType="separate"/>
        </w:r>
        <w:r>
          <w:rPr>
            <w:noProof/>
            <w:webHidden/>
          </w:rPr>
          <w:t>35</w:t>
        </w:r>
        <w:r>
          <w:rPr>
            <w:noProof/>
            <w:webHidden/>
          </w:rPr>
          <w:fldChar w:fldCharType="end"/>
        </w:r>
      </w:hyperlink>
    </w:p>
    <w:p w14:paraId="73E9AD9D" w14:textId="60BF5400" w:rsidR="00996743" w:rsidRDefault="00996743">
      <w:pPr>
        <w:pStyle w:val="Spisilustracji"/>
        <w:tabs>
          <w:tab w:val="right" w:leader="dot" w:pos="9062"/>
        </w:tabs>
        <w:rPr>
          <w:rFonts w:eastAsiaTheme="minorEastAsia"/>
          <w:noProof/>
          <w:lang w:eastAsia="pl-PL"/>
        </w:rPr>
      </w:pPr>
      <w:hyperlink w:anchor="_Toc142566000" w:history="1">
        <w:r w:rsidRPr="00817C63">
          <w:rPr>
            <w:rStyle w:val="Hipercze"/>
            <w:noProof/>
          </w:rPr>
          <w:t>Tabela 37 Uczestnicy studiów doktoranckich i szkół doktorskich, słuchacze studiów podyplomowych</w:t>
        </w:r>
        <w:r>
          <w:rPr>
            <w:noProof/>
            <w:webHidden/>
          </w:rPr>
          <w:tab/>
        </w:r>
        <w:r>
          <w:rPr>
            <w:noProof/>
            <w:webHidden/>
          </w:rPr>
          <w:fldChar w:fldCharType="begin"/>
        </w:r>
        <w:r>
          <w:rPr>
            <w:noProof/>
            <w:webHidden/>
          </w:rPr>
          <w:instrText xml:space="preserve"> PAGEREF _Toc142566000 \h </w:instrText>
        </w:r>
        <w:r>
          <w:rPr>
            <w:noProof/>
            <w:webHidden/>
          </w:rPr>
        </w:r>
        <w:r>
          <w:rPr>
            <w:noProof/>
            <w:webHidden/>
          </w:rPr>
          <w:fldChar w:fldCharType="separate"/>
        </w:r>
        <w:r>
          <w:rPr>
            <w:noProof/>
            <w:webHidden/>
          </w:rPr>
          <w:t>39</w:t>
        </w:r>
        <w:r>
          <w:rPr>
            <w:noProof/>
            <w:webHidden/>
          </w:rPr>
          <w:fldChar w:fldCharType="end"/>
        </w:r>
      </w:hyperlink>
    </w:p>
    <w:p w14:paraId="66B645C9" w14:textId="5BFACE6E" w:rsidR="00996743" w:rsidRDefault="00996743">
      <w:pPr>
        <w:pStyle w:val="Spisilustracji"/>
        <w:tabs>
          <w:tab w:val="right" w:leader="dot" w:pos="9062"/>
        </w:tabs>
        <w:rPr>
          <w:rFonts w:eastAsiaTheme="minorEastAsia"/>
          <w:noProof/>
          <w:lang w:eastAsia="pl-PL"/>
        </w:rPr>
      </w:pPr>
      <w:hyperlink w:anchor="_Toc142566001" w:history="1">
        <w:r w:rsidRPr="00817C63">
          <w:rPr>
            <w:rStyle w:val="Hipercze"/>
            <w:noProof/>
          </w:rPr>
          <w:t>Tabela 38 Działania Parków Narodowych w 2022 r. skierowane do osób starszych (ułatwiające lub zachęcające osoby starsze do korzystania z oferty Parków</w:t>
        </w:r>
        <w:r>
          <w:rPr>
            <w:noProof/>
            <w:webHidden/>
          </w:rPr>
          <w:tab/>
        </w:r>
        <w:r>
          <w:rPr>
            <w:noProof/>
            <w:webHidden/>
          </w:rPr>
          <w:fldChar w:fldCharType="begin"/>
        </w:r>
        <w:r>
          <w:rPr>
            <w:noProof/>
            <w:webHidden/>
          </w:rPr>
          <w:instrText xml:space="preserve"> PAGEREF _Toc142566001 \h </w:instrText>
        </w:r>
        <w:r>
          <w:rPr>
            <w:noProof/>
            <w:webHidden/>
          </w:rPr>
        </w:r>
        <w:r>
          <w:rPr>
            <w:noProof/>
            <w:webHidden/>
          </w:rPr>
          <w:fldChar w:fldCharType="separate"/>
        </w:r>
        <w:r>
          <w:rPr>
            <w:noProof/>
            <w:webHidden/>
          </w:rPr>
          <w:t>41</w:t>
        </w:r>
        <w:r>
          <w:rPr>
            <w:noProof/>
            <w:webHidden/>
          </w:rPr>
          <w:fldChar w:fldCharType="end"/>
        </w:r>
      </w:hyperlink>
    </w:p>
    <w:p w14:paraId="79A023A1" w14:textId="2BD3C961" w:rsidR="00996743" w:rsidRDefault="00996743">
      <w:pPr>
        <w:pStyle w:val="Spisilustracji"/>
        <w:tabs>
          <w:tab w:val="right" w:leader="dot" w:pos="9062"/>
        </w:tabs>
        <w:rPr>
          <w:rFonts w:eastAsiaTheme="minorEastAsia"/>
          <w:noProof/>
          <w:lang w:eastAsia="pl-PL"/>
        </w:rPr>
      </w:pPr>
      <w:hyperlink w:anchor="_Toc142566002" w:history="1">
        <w:r w:rsidRPr="00817C63">
          <w:rPr>
            <w:rStyle w:val="Hipercze"/>
            <w:noProof/>
          </w:rPr>
          <w:t>Tabela 39 Ośrodki wsparcia Senior+ w podziale na województwa (2015-2022)</w:t>
        </w:r>
        <w:r>
          <w:rPr>
            <w:noProof/>
            <w:webHidden/>
          </w:rPr>
          <w:tab/>
        </w:r>
        <w:r>
          <w:rPr>
            <w:noProof/>
            <w:webHidden/>
          </w:rPr>
          <w:fldChar w:fldCharType="begin"/>
        </w:r>
        <w:r>
          <w:rPr>
            <w:noProof/>
            <w:webHidden/>
          </w:rPr>
          <w:instrText xml:space="preserve"> PAGEREF _Toc142566002 \h </w:instrText>
        </w:r>
        <w:r>
          <w:rPr>
            <w:noProof/>
            <w:webHidden/>
          </w:rPr>
        </w:r>
        <w:r>
          <w:rPr>
            <w:noProof/>
            <w:webHidden/>
          </w:rPr>
          <w:fldChar w:fldCharType="separate"/>
        </w:r>
        <w:r>
          <w:rPr>
            <w:noProof/>
            <w:webHidden/>
          </w:rPr>
          <w:t>64</w:t>
        </w:r>
        <w:r>
          <w:rPr>
            <w:noProof/>
            <w:webHidden/>
          </w:rPr>
          <w:fldChar w:fldCharType="end"/>
        </w:r>
      </w:hyperlink>
    </w:p>
    <w:p w14:paraId="0F83E21C" w14:textId="03C08BC6" w:rsidR="00996743" w:rsidRDefault="00996743">
      <w:pPr>
        <w:pStyle w:val="Spisilustracji"/>
        <w:tabs>
          <w:tab w:val="right" w:leader="dot" w:pos="9062"/>
        </w:tabs>
        <w:rPr>
          <w:rFonts w:eastAsiaTheme="minorEastAsia"/>
          <w:noProof/>
          <w:lang w:eastAsia="pl-PL"/>
        </w:rPr>
      </w:pPr>
      <w:hyperlink w:anchor="_Toc142566003" w:history="1">
        <w:r w:rsidRPr="00817C63">
          <w:rPr>
            <w:rStyle w:val="Hipercze"/>
            <w:noProof/>
          </w:rPr>
          <w:t>Tabela 40 Program Aktywni+ w latach 2021-2022</w:t>
        </w:r>
        <w:r>
          <w:rPr>
            <w:noProof/>
            <w:webHidden/>
          </w:rPr>
          <w:tab/>
        </w:r>
        <w:r>
          <w:rPr>
            <w:noProof/>
            <w:webHidden/>
          </w:rPr>
          <w:fldChar w:fldCharType="begin"/>
        </w:r>
        <w:r>
          <w:rPr>
            <w:noProof/>
            <w:webHidden/>
          </w:rPr>
          <w:instrText xml:space="preserve"> PAGEREF _Toc142566003 \h </w:instrText>
        </w:r>
        <w:r>
          <w:rPr>
            <w:noProof/>
            <w:webHidden/>
          </w:rPr>
        </w:r>
        <w:r>
          <w:rPr>
            <w:noProof/>
            <w:webHidden/>
          </w:rPr>
          <w:fldChar w:fldCharType="separate"/>
        </w:r>
        <w:r>
          <w:rPr>
            <w:noProof/>
            <w:webHidden/>
          </w:rPr>
          <w:t>65</w:t>
        </w:r>
        <w:r>
          <w:rPr>
            <w:noProof/>
            <w:webHidden/>
          </w:rPr>
          <w:fldChar w:fldCharType="end"/>
        </w:r>
      </w:hyperlink>
    </w:p>
    <w:p w14:paraId="51860125" w14:textId="38959439" w:rsidR="00996743" w:rsidRDefault="00996743">
      <w:pPr>
        <w:pStyle w:val="Spisilustracji"/>
        <w:tabs>
          <w:tab w:val="right" w:leader="dot" w:pos="9062"/>
        </w:tabs>
        <w:rPr>
          <w:rFonts w:eastAsiaTheme="minorEastAsia"/>
          <w:noProof/>
          <w:lang w:eastAsia="pl-PL"/>
        </w:rPr>
      </w:pPr>
      <w:hyperlink w:anchor="_Toc142566004" w:history="1">
        <w:r w:rsidRPr="00817C63">
          <w:rPr>
            <w:rStyle w:val="Hipercze"/>
            <w:noProof/>
          </w:rPr>
          <w:t>Tabela 41 Pomoc dla Kół Gospodyń Wiejskich udzielona w 2022 r. (na podstawie ustawy o Kołach Gospodyń Wiejskich)</w:t>
        </w:r>
        <w:r>
          <w:rPr>
            <w:noProof/>
            <w:webHidden/>
          </w:rPr>
          <w:tab/>
        </w:r>
        <w:r>
          <w:rPr>
            <w:noProof/>
            <w:webHidden/>
          </w:rPr>
          <w:fldChar w:fldCharType="begin"/>
        </w:r>
        <w:r>
          <w:rPr>
            <w:noProof/>
            <w:webHidden/>
          </w:rPr>
          <w:instrText xml:space="preserve"> PAGEREF _Toc142566004 \h </w:instrText>
        </w:r>
        <w:r>
          <w:rPr>
            <w:noProof/>
            <w:webHidden/>
          </w:rPr>
        </w:r>
        <w:r>
          <w:rPr>
            <w:noProof/>
            <w:webHidden/>
          </w:rPr>
          <w:fldChar w:fldCharType="separate"/>
        </w:r>
        <w:r>
          <w:rPr>
            <w:noProof/>
            <w:webHidden/>
          </w:rPr>
          <w:t>76</w:t>
        </w:r>
        <w:r>
          <w:rPr>
            <w:noProof/>
            <w:webHidden/>
          </w:rPr>
          <w:fldChar w:fldCharType="end"/>
        </w:r>
      </w:hyperlink>
    </w:p>
    <w:p w14:paraId="1CE6D264" w14:textId="411C570C" w:rsidR="00996743" w:rsidRDefault="00996743">
      <w:pPr>
        <w:pStyle w:val="Spisilustracji"/>
        <w:tabs>
          <w:tab w:val="right" w:leader="dot" w:pos="9062"/>
        </w:tabs>
        <w:rPr>
          <w:rFonts w:eastAsiaTheme="minorEastAsia"/>
          <w:noProof/>
          <w:lang w:eastAsia="pl-PL"/>
        </w:rPr>
      </w:pPr>
      <w:hyperlink w:anchor="_Toc142566005" w:history="1">
        <w:r w:rsidRPr="00817C63">
          <w:rPr>
            <w:rStyle w:val="Hipercze"/>
            <w:noProof/>
          </w:rPr>
          <w:t>Tabela 42 Sport dla wszystkich edycja 2022</w:t>
        </w:r>
        <w:r>
          <w:rPr>
            <w:noProof/>
            <w:webHidden/>
          </w:rPr>
          <w:tab/>
        </w:r>
        <w:r>
          <w:rPr>
            <w:noProof/>
            <w:webHidden/>
          </w:rPr>
          <w:fldChar w:fldCharType="begin"/>
        </w:r>
        <w:r>
          <w:rPr>
            <w:noProof/>
            <w:webHidden/>
          </w:rPr>
          <w:instrText xml:space="preserve"> PAGEREF _Toc142566005 \h </w:instrText>
        </w:r>
        <w:r>
          <w:rPr>
            <w:noProof/>
            <w:webHidden/>
          </w:rPr>
        </w:r>
        <w:r>
          <w:rPr>
            <w:noProof/>
            <w:webHidden/>
          </w:rPr>
          <w:fldChar w:fldCharType="separate"/>
        </w:r>
        <w:r>
          <w:rPr>
            <w:noProof/>
            <w:webHidden/>
          </w:rPr>
          <w:t>84</w:t>
        </w:r>
        <w:r>
          <w:rPr>
            <w:noProof/>
            <w:webHidden/>
          </w:rPr>
          <w:fldChar w:fldCharType="end"/>
        </w:r>
      </w:hyperlink>
    </w:p>
    <w:p w14:paraId="5E221A06" w14:textId="1E662F31" w:rsidR="00996743" w:rsidRDefault="00996743">
      <w:pPr>
        <w:pStyle w:val="Spisilustracji"/>
        <w:tabs>
          <w:tab w:val="right" w:leader="dot" w:pos="9062"/>
        </w:tabs>
        <w:rPr>
          <w:rFonts w:eastAsiaTheme="minorEastAsia"/>
          <w:noProof/>
          <w:lang w:eastAsia="pl-PL"/>
        </w:rPr>
      </w:pPr>
      <w:hyperlink w:anchor="_Toc142566006" w:history="1">
        <w:r w:rsidRPr="00817C63">
          <w:rPr>
            <w:rStyle w:val="Hipercze"/>
            <w:noProof/>
          </w:rPr>
          <w:t>Tabela 43 Sportowe wakacje+ edycja 2022</w:t>
        </w:r>
        <w:r>
          <w:rPr>
            <w:noProof/>
            <w:webHidden/>
          </w:rPr>
          <w:tab/>
        </w:r>
        <w:r>
          <w:rPr>
            <w:noProof/>
            <w:webHidden/>
          </w:rPr>
          <w:fldChar w:fldCharType="begin"/>
        </w:r>
        <w:r>
          <w:rPr>
            <w:noProof/>
            <w:webHidden/>
          </w:rPr>
          <w:instrText xml:space="preserve"> PAGEREF _Toc142566006 \h </w:instrText>
        </w:r>
        <w:r>
          <w:rPr>
            <w:noProof/>
            <w:webHidden/>
          </w:rPr>
        </w:r>
        <w:r>
          <w:rPr>
            <w:noProof/>
            <w:webHidden/>
          </w:rPr>
          <w:fldChar w:fldCharType="separate"/>
        </w:r>
        <w:r>
          <w:rPr>
            <w:noProof/>
            <w:webHidden/>
          </w:rPr>
          <w:t>86</w:t>
        </w:r>
        <w:r>
          <w:rPr>
            <w:noProof/>
            <w:webHidden/>
          </w:rPr>
          <w:fldChar w:fldCharType="end"/>
        </w:r>
      </w:hyperlink>
    </w:p>
    <w:p w14:paraId="5D4D2DE5" w14:textId="197887B6" w:rsidR="00996743" w:rsidRDefault="00996743">
      <w:pPr>
        <w:pStyle w:val="Spisilustracji"/>
        <w:tabs>
          <w:tab w:val="right" w:leader="dot" w:pos="9062"/>
        </w:tabs>
        <w:rPr>
          <w:rFonts w:eastAsiaTheme="minorEastAsia"/>
          <w:noProof/>
          <w:lang w:eastAsia="pl-PL"/>
        </w:rPr>
      </w:pPr>
      <w:hyperlink w:anchor="_Toc142566007" w:history="1">
        <w:r w:rsidRPr="00817C63">
          <w:rPr>
            <w:rStyle w:val="Hipercze"/>
            <w:noProof/>
          </w:rPr>
          <w:t>Tabela 44 Liczba pacjentów w wieku 60+ korzystających ze świadczeń podstawowej opieki zdrowotnej oraz liczba porad lekarskich i pielęgniarskich w 2022 r. (stan na dzień 30.05.2023 r.)</w:t>
        </w:r>
        <w:r>
          <w:rPr>
            <w:noProof/>
            <w:webHidden/>
          </w:rPr>
          <w:tab/>
        </w:r>
        <w:r>
          <w:rPr>
            <w:noProof/>
            <w:webHidden/>
          </w:rPr>
          <w:fldChar w:fldCharType="begin"/>
        </w:r>
        <w:r>
          <w:rPr>
            <w:noProof/>
            <w:webHidden/>
          </w:rPr>
          <w:instrText xml:space="preserve"> PAGEREF _Toc142566007 \h </w:instrText>
        </w:r>
        <w:r>
          <w:rPr>
            <w:noProof/>
            <w:webHidden/>
          </w:rPr>
        </w:r>
        <w:r>
          <w:rPr>
            <w:noProof/>
            <w:webHidden/>
          </w:rPr>
          <w:fldChar w:fldCharType="separate"/>
        </w:r>
        <w:r>
          <w:rPr>
            <w:noProof/>
            <w:webHidden/>
          </w:rPr>
          <w:t>103</w:t>
        </w:r>
        <w:r>
          <w:rPr>
            <w:noProof/>
            <w:webHidden/>
          </w:rPr>
          <w:fldChar w:fldCharType="end"/>
        </w:r>
      </w:hyperlink>
    </w:p>
    <w:p w14:paraId="74E6A299" w14:textId="184ED0D9" w:rsidR="00996743" w:rsidRDefault="00996743">
      <w:pPr>
        <w:pStyle w:val="Spisilustracji"/>
        <w:tabs>
          <w:tab w:val="right" w:leader="dot" w:pos="9062"/>
        </w:tabs>
        <w:rPr>
          <w:rFonts w:eastAsiaTheme="minorEastAsia"/>
          <w:noProof/>
          <w:lang w:eastAsia="pl-PL"/>
        </w:rPr>
      </w:pPr>
      <w:hyperlink w:anchor="_Toc142566008" w:history="1">
        <w:r w:rsidRPr="00817C63">
          <w:rPr>
            <w:rStyle w:val="Hipercze"/>
            <w:noProof/>
          </w:rPr>
          <w:t>Tabela 45 Liczba pacjentów w wieku 60+ korzystających ze świadczeń podstawowej opieki zdrowotnej oraz liczba porad lekarskich i pielęgniarskich w 2022 r. (stan na dzień 30.05.2023 r.)</w:t>
        </w:r>
        <w:r>
          <w:rPr>
            <w:noProof/>
            <w:webHidden/>
          </w:rPr>
          <w:tab/>
        </w:r>
        <w:r>
          <w:rPr>
            <w:noProof/>
            <w:webHidden/>
          </w:rPr>
          <w:fldChar w:fldCharType="begin"/>
        </w:r>
        <w:r>
          <w:rPr>
            <w:noProof/>
            <w:webHidden/>
          </w:rPr>
          <w:instrText xml:space="preserve"> PAGEREF _Toc142566008 \h </w:instrText>
        </w:r>
        <w:r>
          <w:rPr>
            <w:noProof/>
            <w:webHidden/>
          </w:rPr>
        </w:r>
        <w:r>
          <w:rPr>
            <w:noProof/>
            <w:webHidden/>
          </w:rPr>
          <w:fldChar w:fldCharType="separate"/>
        </w:r>
        <w:r>
          <w:rPr>
            <w:noProof/>
            <w:webHidden/>
          </w:rPr>
          <w:t>104</w:t>
        </w:r>
        <w:r>
          <w:rPr>
            <w:noProof/>
            <w:webHidden/>
          </w:rPr>
          <w:fldChar w:fldCharType="end"/>
        </w:r>
      </w:hyperlink>
    </w:p>
    <w:p w14:paraId="4EF8C3D0" w14:textId="16952E87" w:rsidR="00996743" w:rsidRDefault="00996743">
      <w:pPr>
        <w:pStyle w:val="Spisilustracji"/>
        <w:tabs>
          <w:tab w:val="right" w:leader="dot" w:pos="9062"/>
        </w:tabs>
        <w:rPr>
          <w:rFonts w:eastAsiaTheme="minorEastAsia"/>
          <w:noProof/>
          <w:lang w:eastAsia="pl-PL"/>
        </w:rPr>
      </w:pPr>
      <w:hyperlink w:anchor="_Toc142566009" w:history="1">
        <w:r w:rsidRPr="00817C63">
          <w:rPr>
            <w:rStyle w:val="Hipercze"/>
            <w:noProof/>
          </w:rPr>
          <w:t>Tabela 46 Liczba pacjentów i wartość rozliczonych jednostek rozliczeniowych w zakresie świadczenia: Całościowa ocena geriatryczna</w:t>
        </w:r>
        <w:r>
          <w:rPr>
            <w:noProof/>
            <w:webHidden/>
          </w:rPr>
          <w:tab/>
        </w:r>
        <w:r>
          <w:rPr>
            <w:noProof/>
            <w:webHidden/>
          </w:rPr>
          <w:fldChar w:fldCharType="begin"/>
        </w:r>
        <w:r>
          <w:rPr>
            <w:noProof/>
            <w:webHidden/>
          </w:rPr>
          <w:instrText xml:space="preserve"> PAGEREF _Toc142566009 \h </w:instrText>
        </w:r>
        <w:r>
          <w:rPr>
            <w:noProof/>
            <w:webHidden/>
          </w:rPr>
        </w:r>
        <w:r>
          <w:rPr>
            <w:noProof/>
            <w:webHidden/>
          </w:rPr>
          <w:fldChar w:fldCharType="separate"/>
        </w:r>
        <w:r>
          <w:rPr>
            <w:noProof/>
            <w:webHidden/>
          </w:rPr>
          <w:t>105</w:t>
        </w:r>
        <w:r>
          <w:rPr>
            <w:noProof/>
            <w:webHidden/>
          </w:rPr>
          <w:fldChar w:fldCharType="end"/>
        </w:r>
      </w:hyperlink>
    </w:p>
    <w:p w14:paraId="387CE2B2" w14:textId="2C5AD274" w:rsidR="00996743" w:rsidRDefault="00996743">
      <w:pPr>
        <w:pStyle w:val="Spisilustracji"/>
        <w:tabs>
          <w:tab w:val="right" w:leader="dot" w:pos="9062"/>
        </w:tabs>
        <w:rPr>
          <w:rFonts w:eastAsiaTheme="minorEastAsia"/>
          <w:noProof/>
          <w:lang w:eastAsia="pl-PL"/>
        </w:rPr>
      </w:pPr>
      <w:hyperlink w:anchor="_Toc142566010" w:history="1">
        <w:r w:rsidRPr="00817C63">
          <w:rPr>
            <w:rStyle w:val="Hipercze"/>
            <w:noProof/>
          </w:rPr>
          <w:t>Tabela 47 Liczba i wartość udzielonych porad ambulatoryjnych w zakresie geriatrii w 2022 r.  (dotyczą pacjentów powyżej 65 r.ż.)</w:t>
        </w:r>
        <w:r>
          <w:rPr>
            <w:noProof/>
            <w:webHidden/>
          </w:rPr>
          <w:tab/>
        </w:r>
        <w:r>
          <w:rPr>
            <w:noProof/>
            <w:webHidden/>
          </w:rPr>
          <w:fldChar w:fldCharType="begin"/>
        </w:r>
        <w:r>
          <w:rPr>
            <w:noProof/>
            <w:webHidden/>
          </w:rPr>
          <w:instrText xml:space="preserve"> PAGEREF _Toc142566010 \h </w:instrText>
        </w:r>
        <w:r>
          <w:rPr>
            <w:noProof/>
            <w:webHidden/>
          </w:rPr>
        </w:r>
        <w:r>
          <w:rPr>
            <w:noProof/>
            <w:webHidden/>
          </w:rPr>
          <w:fldChar w:fldCharType="separate"/>
        </w:r>
        <w:r>
          <w:rPr>
            <w:noProof/>
            <w:webHidden/>
          </w:rPr>
          <w:t>105</w:t>
        </w:r>
        <w:r>
          <w:rPr>
            <w:noProof/>
            <w:webHidden/>
          </w:rPr>
          <w:fldChar w:fldCharType="end"/>
        </w:r>
      </w:hyperlink>
    </w:p>
    <w:p w14:paraId="2A11A23A" w14:textId="34C8847E" w:rsidR="00996743" w:rsidRDefault="00996743">
      <w:pPr>
        <w:pStyle w:val="Spisilustracji"/>
        <w:tabs>
          <w:tab w:val="right" w:leader="dot" w:pos="9062"/>
        </w:tabs>
        <w:rPr>
          <w:rFonts w:eastAsiaTheme="minorEastAsia"/>
          <w:noProof/>
          <w:lang w:eastAsia="pl-PL"/>
        </w:rPr>
      </w:pPr>
      <w:hyperlink w:anchor="_Toc142566011" w:history="1">
        <w:r w:rsidRPr="00817C63">
          <w:rPr>
            <w:rStyle w:val="Hipercze"/>
            <w:noProof/>
          </w:rPr>
          <w:t>Tabela 48 Liczba i wartość świadczeń udzielonych w ramach opieki długoterminowej na rzecz pacjentów powyżej 60 roku życia</w:t>
        </w:r>
        <w:r>
          <w:rPr>
            <w:noProof/>
            <w:webHidden/>
          </w:rPr>
          <w:tab/>
        </w:r>
        <w:r>
          <w:rPr>
            <w:noProof/>
            <w:webHidden/>
          </w:rPr>
          <w:fldChar w:fldCharType="begin"/>
        </w:r>
        <w:r>
          <w:rPr>
            <w:noProof/>
            <w:webHidden/>
          </w:rPr>
          <w:instrText xml:space="preserve"> PAGEREF _Toc142566011 \h </w:instrText>
        </w:r>
        <w:r>
          <w:rPr>
            <w:noProof/>
            <w:webHidden/>
          </w:rPr>
        </w:r>
        <w:r>
          <w:rPr>
            <w:noProof/>
            <w:webHidden/>
          </w:rPr>
          <w:fldChar w:fldCharType="separate"/>
        </w:r>
        <w:r>
          <w:rPr>
            <w:noProof/>
            <w:webHidden/>
          </w:rPr>
          <w:t>106</w:t>
        </w:r>
        <w:r>
          <w:rPr>
            <w:noProof/>
            <w:webHidden/>
          </w:rPr>
          <w:fldChar w:fldCharType="end"/>
        </w:r>
      </w:hyperlink>
    </w:p>
    <w:p w14:paraId="01896391" w14:textId="66CAF0F5" w:rsidR="00996743" w:rsidRDefault="00996743">
      <w:pPr>
        <w:pStyle w:val="Spisilustracji"/>
        <w:tabs>
          <w:tab w:val="right" w:leader="dot" w:pos="9062"/>
        </w:tabs>
        <w:rPr>
          <w:rFonts w:eastAsiaTheme="minorEastAsia"/>
          <w:noProof/>
          <w:lang w:eastAsia="pl-PL"/>
        </w:rPr>
      </w:pPr>
      <w:hyperlink w:anchor="_Toc142566012" w:history="1">
        <w:r w:rsidRPr="00817C63">
          <w:rPr>
            <w:rStyle w:val="Hipercze"/>
            <w:noProof/>
          </w:rPr>
          <w:t>Tabela 49 Liczba świadczeniodawców oraz liczba i wartość rozliczonych świadczeń udzielonych osobom powyżej 60 r.ż. w rodzaju OPH w podziale na zakresy świadczeń w 2022 r.</w:t>
        </w:r>
        <w:r>
          <w:rPr>
            <w:noProof/>
            <w:webHidden/>
          </w:rPr>
          <w:tab/>
        </w:r>
        <w:r>
          <w:rPr>
            <w:noProof/>
            <w:webHidden/>
          </w:rPr>
          <w:fldChar w:fldCharType="begin"/>
        </w:r>
        <w:r>
          <w:rPr>
            <w:noProof/>
            <w:webHidden/>
          </w:rPr>
          <w:instrText xml:space="preserve"> PAGEREF _Toc142566012 \h </w:instrText>
        </w:r>
        <w:r>
          <w:rPr>
            <w:noProof/>
            <w:webHidden/>
          </w:rPr>
        </w:r>
        <w:r>
          <w:rPr>
            <w:noProof/>
            <w:webHidden/>
          </w:rPr>
          <w:fldChar w:fldCharType="separate"/>
        </w:r>
        <w:r>
          <w:rPr>
            <w:noProof/>
            <w:webHidden/>
          </w:rPr>
          <w:t>107</w:t>
        </w:r>
        <w:r>
          <w:rPr>
            <w:noProof/>
            <w:webHidden/>
          </w:rPr>
          <w:fldChar w:fldCharType="end"/>
        </w:r>
      </w:hyperlink>
    </w:p>
    <w:p w14:paraId="0EBD52A6" w14:textId="799A7B30" w:rsidR="00996743" w:rsidRDefault="00996743">
      <w:pPr>
        <w:pStyle w:val="Spisilustracji"/>
        <w:tabs>
          <w:tab w:val="right" w:leader="dot" w:pos="9062"/>
        </w:tabs>
        <w:rPr>
          <w:rFonts w:eastAsiaTheme="minorEastAsia"/>
          <w:noProof/>
          <w:lang w:eastAsia="pl-PL"/>
        </w:rPr>
      </w:pPr>
      <w:hyperlink w:anchor="_Toc142566013" w:history="1">
        <w:r w:rsidRPr="00817C63">
          <w:rPr>
            <w:rStyle w:val="Hipercze"/>
            <w:noProof/>
          </w:rPr>
          <w:t>Tabela 50 Liczba i wartość świadczeń udzielonych osobom powyżej 60 r.ż. w rodzaju REH</w:t>
        </w:r>
        <w:r>
          <w:rPr>
            <w:noProof/>
            <w:webHidden/>
          </w:rPr>
          <w:tab/>
        </w:r>
        <w:r>
          <w:rPr>
            <w:noProof/>
            <w:webHidden/>
          </w:rPr>
          <w:fldChar w:fldCharType="begin"/>
        </w:r>
        <w:r>
          <w:rPr>
            <w:noProof/>
            <w:webHidden/>
          </w:rPr>
          <w:instrText xml:space="preserve"> PAGEREF _Toc142566013 \h </w:instrText>
        </w:r>
        <w:r>
          <w:rPr>
            <w:noProof/>
            <w:webHidden/>
          </w:rPr>
        </w:r>
        <w:r>
          <w:rPr>
            <w:noProof/>
            <w:webHidden/>
          </w:rPr>
          <w:fldChar w:fldCharType="separate"/>
        </w:r>
        <w:r>
          <w:rPr>
            <w:noProof/>
            <w:webHidden/>
          </w:rPr>
          <w:t>108</w:t>
        </w:r>
        <w:r>
          <w:rPr>
            <w:noProof/>
            <w:webHidden/>
          </w:rPr>
          <w:fldChar w:fldCharType="end"/>
        </w:r>
      </w:hyperlink>
    </w:p>
    <w:p w14:paraId="10185ACA" w14:textId="6F0FA7A0" w:rsidR="00996743" w:rsidRDefault="00996743">
      <w:pPr>
        <w:pStyle w:val="Spisilustracji"/>
        <w:tabs>
          <w:tab w:val="right" w:leader="dot" w:pos="9062"/>
        </w:tabs>
        <w:rPr>
          <w:rFonts w:eastAsiaTheme="minorEastAsia"/>
          <w:noProof/>
          <w:lang w:eastAsia="pl-PL"/>
        </w:rPr>
      </w:pPr>
      <w:hyperlink w:anchor="_Toc142566014" w:history="1">
        <w:r w:rsidRPr="00817C63">
          <w:rPr>
            <w:rStyle w:val="Hipercze"/>
            <w:noProof/>
          </w:rPr>
          <w:t>Tabela 51 Najczęstsze rozpoznania ICD:10 w 2022 r. wśród osób powyżej 60 r.ż., którym udzielone zostały świadczenia w rodzaju rehabilitacja lecznicza (liczba i wartość rozliczonych świadczeń)</w:t>
        </w:r>
        <w:r>
          <w:rPr>
            <w:noProof/>
            <w:webHidden/>
          </w:rPr>
          <w:tab/>
        </w:r>
        <w:r>
          <w:rPr>
            <w:noProof/>
            <w:webHidden/>
          </w:rPr>
          <w:fldChar w:fldCharType="begin"/>
        </w:r>
        <w:r>
          <w:rPr>
            <w:noProof/>
            <w:webHidden/>
          </w:rPr>
          <w:instrText xml:space="preserve"> PAGEREF _Toc142566014 \h </w:instrText>
        </w:r>
        <w:r>
          <w:rPr>
            <w:noProof/>
            <w:webHidden/>
          </w:rPr>
        </w:r>
        <w:r>
          <w:rPr>
            <w:noProof/>
            <w:webHidden/>
          </w:rPr>
          <w:fldChar w:fldCharType="separate"/>
        </w:r>
        <w:r>
          <w:rPr>
            <w:noProof/>
            <w:webHidden/>
          </w:rPr>
          <w:t>108</w:t>
        </w:r>
        <w:r>
          <w:rPr>
            <w:noProof/>
            <w:webHidden/>
          </w:rPr>
          <w:fldChar w:fldCharType="end"/>
        </w:r>
      </w:hyperlink>
    </w:p>
    <w:p w14:paraId="115FA401" w14:textId="55A5A80C" w:rsidR="00996743" w:rsidRDefault="00996743">
      <w:pPr>
        <w:pStyle w:val="Spisilustracji"/>
        <w:tabs>
          <w:tab w:val="right" w:leader="dot" w:pos="9062"/>
        </w:tabs>
        <w:rPr>
          <w:rFonts w:eastAsiaTheme="minorEastAsia"/>
          <w:noProof/>
          <w:lang w:eastAsia="pl-PL"/>
        </w:rPr>
      </w:pPr>
      <w:hyperlink w:anchor="_Toc142566015" w:history="1">
        <w:r w:rsidRPr="00817C63">
          <w:rPr>
            <w:rStyle w:val="Hipercze"/>
            <w:noProof/>
          </w:rPr>
          <w:t>Tabela 52 Zaopatrzenie w wyroby medyczne wydawane na zlecenie pacjentów ogółem oraz osób powyżej 60. roku życia w 2022 r.</w:t>
        </w:r>
        <w:r>
          <w:rPr>
            <w:noProof/>
            <w:webHidden/>
          </w:rPr>
          <w:tab/>
        </w:r>
        <w:r>
          <w:rPr>
            <w:noProof/>
            <w:webHidden/>
          </w:rPr>
          <w:fldChar w:fldCharType="begin"/>
        </w:r>
        <w:r>
          <w:rPr>
            <w:noProof/>
            <w:webHidden/>
          </w:rPr>
          <w:instrText xml:space="preserve"> PAGEREF _Toc142566015 \h </w:instrText>
        </w:r>
        <w:r>
          <w:rPr>
            <w:noProof/>
            <w:webHidden/>
          </w:rPr>
        </w:r>
        <w:r>
          <w:rPr>
            <w:noProof/>
            <w:webHidden/>
          </w:rPr>
          <w:fldChar w:fldCharType="separate"/>
        </w:r>
        <w:r>
          <w:rPr>
            <w:noProof/>
            <w:webHidden/>
          </w:rPr>
          <w:t>109</w:t>
        </w:r>
        <w:r>
          <w:rPr>
            <w:noProof/>
            <w:webHidden/>
          </w:rPr>
          <w:fldChar w:fldCharType="end"/>
        </w:r>
      </w:hyperlink>
    </w:p>
    <w:p w14:paraId="1D23876E" w14:textId="305064DA" w:rsidR="00996743" w:rsidRDefault="00996743">
      <w:pPr>
        <w:pStyle w:val="Spisilustracji"/>
        <w:tabs>
          <w:tab w:val="right" w:leader="dot" w:pos="9062"/>
        </w:tabs>
        <w:rPr>
          <w:rFonts w:eastAsiaTheme="minorEastAsia"/>
          <w:noProof/>
          <w:lang w:eastAsia="pl-PL"/>
        </w:rPr>
      </w:pPr>
      <w:hyperlink w:anchor="_Toc142566016" w:history="1">
        <w:r w:rsidRPr="00817C63">
          <w:rPr>
            <w:rStyle w:val="Hipercze"/>
            <w:noProof/>
          </w:rPr>
          <w:t>Tabela 53 Świadczenia udzielone osobom po 60 r.ż. na oddziałach psychogeriatrycznych w 2022 r.</w:t>
        </w:r>
        <w:r>
          <w:rPr>
            <w:noProof/>
            <w:webHidden/>
          </w:rPr>
          <w:tab/>
        </w:r>
        <w:r>
          <w:rPr>
            <w:noProof/>
            <w:webHidden/>
          </w:rPr>
          <w:fldChar w:fldCharType="begin"/>
        </w:r>
        <w:r>
          <w:rPr>
            <w:noProof/>
            <w:webHidden/>
          </w:rPr>
          <w:instrText xml:space="preserve"> PAGEREF _Toc142566016 \h </w:instrText>
        </w:r>
        <w:r>
          <w:rPr>
            <w:noProof/>
            <w:webHidden/>
          </w:rPr>
        </w:r>
        <w:r>
          <w:rPr>
            <w:noProof/>
            <w:webHidden/>
          </w:rPr>
          <w:fldChar w:fldCharType="separate"/>
        </w:r>
        <w:r>
          <w:rPr>
            <w:noProof/>
            <w:webHidden/>
          </w:rPr>
          <w:t>109</w:t>
        </w:r>
        <w:r>
          <w:rPr>
            <w:noProof/>
            <w:webHidden/>
          </w:rPr>
          <w:fldChar w:fldCharType="end"/>
        </w:r>
      </w:hyperlink>
    </w:p>
    <w:p w14:paraId="770F469C" w14:textId="1838B45C" w:rsidR="00996743" w:rsidRDefault="00996743">
      <w:pPr>
        <w:pStyle w:val="Spisilustracji"/>
        <w:tabs>
          <w:tab w:val="right" w:leader="dot" w:pos="9062"/>
        </w:tabs>
        <w:rPr>
          <w:rFonts w:eastAsiaTheme="minorEastAsia"/>
          <w:noProof/>
          <w:lang w:eastAsia="pl-PL"/>
        </w:rPr>
      </w:pPr>
      <w:hyperlink w:anchor="_Toc142566017" w:history="1">
        <w:r w:rsidRPr="00817C63">
          <w:rPr>
            <w:rStyle w:val="Hipercze"/>
            <w:noProof/>
          </w:rPr>
          <w:t>Tabela 54 . Liczba lekarzy geriatrów wykonujących zawód</w:t>
        </w:r>
        <w:r>
          <w:rPr>
            <w:noProof/>
            <w:webHidden/>
          </w:rPr>
          <w:tab/>
        </w:r>
        <w:r>
          <w:rPr>
            <w:noProof/>
            <w:webHidden/>
          </w:rPr>
          <w:fldChar w:fldCharType="begin"/>
        </w:r>
        <w:r>
          <w:rPr>
            <w:noProof/>
            <w:webHidden/>
          </w:rPr>
          <w:instrText xml:space="preserve"> PAGEREF _Toc142566017 \h </w:instrText>
        </w:r>
        <w:r>
          <w:rPr>
            <w:noProof/>
            <w:webHidden/>
          </w:rPr>
        </w:r>
        <w:r>
          <w:rPr>
            <w:noProof/>
            <w:webHidden/>
          </w:rPr>
          <w:fldChar w:fldCharType="separate"/>
        </w:r>
        <w:r>
          <w:rPr>
            <w:noProof/>
            <w:webHidden/>
          </w:rPr>
          <w:t>110</w:t>
        </w:r>
        <w:r>
          <w:rPr>
            <w:noProof/>
            <w:webHidden/>
          </w:rPr>
          <w:fldChar w:fldCharType="end"/>
        </w:r>
      </w:hyperlink>
    </w:p>
    <w:p w14:paraId="2014C759" w14:textId="12C7A952" w:rsidR="00996743" w:rsidRDefault="00996743">
      <w:pPr>
        <w:pStyle w:val="Spisilustracji"/>
        <w:tabs>
          <w:tab w:val="right" w:leader="dot" w:pos="9062"/>
        </w:tabs>
        <w:rPr>
          <w:rFonts w:eastAsiaTheme="minorEastAsia"/>
          <w:noProof/>
          <w:lang w:eastAsia="pl-PL"/>
        </w:rPr>
      </w:pPr>
      <w:hyperlink w:anchor="_Toc142566018" w:history="1">
        <w:r w:rsidRPr="00817C63">
          <w:rPr>
            <w:rStyle w:val="Hipercze"/>
            <w:noProof/>
          </w:rPr>
          <w:t>Tabela 55 Liczba pielęgniarek, które uzyskały tytuł specjalisty w dziedzinach pielęgniarstwa mających zastosowanie w opiece nad osobami starszymi, przewlekle chorymi w 2022 r.</w:t>
        </w:r>
        <w:r>
          <w:rPr>
            <w:noProof/>
            <w:webHidden/>
          </w:rPr>
          <w:tab/>
        </w:r>
        <w:r>
          <w:rPr>
            <w:noProof/>
            <w:webHidden/>
          </w:rPr>
          <w:fldChar w:fldCharType="begin"/>
        </w:r>
        <w:r>
          <w:rPr>
            <w:noProof/>
            <w:webHidden/>
          </w:rPr>
          <w:instrText xml:space="preserve"> PAGEREF _Toc142566018 \h </w:instrText>
        </w:r>
        <w:r>
          <w:rPr>
            <w:noProof/>
            <w:webHidden/>
          </w:rPr>
        </w:r>
        <w:r>
          <w:rPr>
            <w:noProof/>
            <w:webHidden/>
          </w:rPr>
          <w:fldChar w:fldCharType="separate"/>
        </w:r>
        <w:r>
          <w:rPr>
            <w:noProof/>
            <w:webHidden/>
          </w:rPr>
          <w:t>113</w:t>
        </w:r>
        <w:r>
          <w:rPr>
            <w:noProof/>
            <w:webHidden/>
          </w:rPr>
          <w:fldChar w:fldCharType="end"/>
        </w:r>
      </w:hyperlink>
    </w:p>
    <w:p w14:paraId="58305628" w14:textId="3A00B35C" w:rsidR="00996743" w:rsidRDefault="00996743">
      <w:pPr>
        <w:pStyle w:val="Spisilustracji"/>
        <w:tabs>
          <w:tab w:val="right" w:leader="dot" w:pos="9062"/>
        </w:tabs>
        <w:rPr>
          <w:rFonts w:eastAsiaTheme="minorEastAsia"/>
          <w:noProof/>
          <w:lang w:eastAsia="pl-PL"/>
        </w:rPr>
      </w:pPr>
      <w:hyperlink w:anchor="_Toc142566019" w:history="1">
        <w:r w:rsidRPr="00817C63">
          <w:rPr>
            <w:rStyle w:val="Hipercze"/>
            <w:noProof/>
          </w:rPr>
          <w:t>Tabela 56 Liczba pielęgniarek, które ukończyły kursy kwalifikacyjne w wybranych dziedzinach pielęgniarstwa mających zastosowanie przy udzielaniu świadczeń zdrowotnych, w tym w opiece nad osobami starszymi, przewlekle chorymi w 2022 r.</w:t>
        </w:r>
        <w:r>
          <w:rPr>
            <w:noProof/>
            <w:webHidden/>
          </w:rPr>
          <w:tab/>
        </w:r>
        <w:r>
          <w:rPr>
            <w:noProof/>
            <w:webHidden/>
          </w:rPr>
          <w:fldChar w:fldCharType="begin"/>
        </w:r>
        <w:r>
          <w:rPr>
            <w:noProof/>
            <w:webHidden/>
          </w:rPr>
          <w:instrText xml:space="preserve"> PAGEREF _Toc142566019 \h </w:instrText>
        </w:r>
        <w:r>
          <w:rPr>
            <w:noProof/>
            <w:webHidden/>
          </w:rPr>
        </w:r>
        <w:r>
          <w:rPr>
            <w:noProof/>
            <w:webHidden/>
          </w:rPr>
          <w:fldChar w:fldCharType="separate"/>
        </w:r>
        <w:r>
          <w:rPr>
            <w:noProof/>
            <w:webHidden/>
          </w:rPr>
          <w:t>113</w:t>
        </w:r>
        <w:r>
          <w:rPr>
            <w:noProof/>
            <w:webHidden/>
          </w:rPr>
          <w:fldChar w:fldCharType="end"/>
        </w:r>
      </w:hyperlink>
    </w:p>
    <w:p w14:paraId="5166188B" w14:textId="6D528FEE" w:rsidR="00996743" w:rsidRDefault="00996743">
      <w:pPr>
        <w:pStyle w:val="Spisilustracji"/>
        <w:tabs>
          <w:tab w:val="right" w:leader="dot" w:pos="9062"/>
        </w:tabs>
        <w:rPr>
          <w:rFonts w:eastAsiaTheme="minorEastAsia"/>
          <w:noProof/>
          <w:lang w:eastAsia="pl-PL"/>
        </w:rPr>
      </w:pPr>
      <w:hyperlink w:anchor="_Toc142566020" w:history="1">
        <w:r w:rsidRPr="00817C63">
          <w:rPr>
            <w:rStyle w:val="Hipercze"/>
            <w:noProof/>
          </w:rPr>
          <w:t>Tabela 57 Liczba pielęgniarek, które ukończyły kursy specjalistyczne w wybranych zakresach pielęgniarstwa mających zastosowanie w opiece nad osobami starszymi, przewlekle chorymi w 2022 r.</w:t>
        </w:r>
        <w:r>
          <w:rPr>
            <w:noProof/>
            <w:webHidden/>
          </w:rPr>
          <w:tab/>
        </w:r>
        <w:r>
          <w:rPr>
            <w:noProof/>
            <w:webHidden/>
          </w:rPr>
          <w:fldChar w:fldCharType="begin"/>
        </w:r>
        <w:r>
          <w:rPr>
            <w:noProof/>
            <w:webHidden/>
          </w:rPr>
          <w:instrText xml:space="preserve"> PAGEREF _Toc142566020 \h </w:instrText>
        </w:r>
        <w:r>
          <w:rPr>
            <w:noProof/>
            <w:webHidden/>
          </w:rPr>
        </w:r>
        <w:r>
          <w:rPr>
            <w:noProof/>
            <w:webHidden/>
          </w:rPr>
          <w:fldChar w:fldCharType="separate"/>
        </w:r>
        <w:r>
          <w:rPr>
            <w:noProof/>
            <w:webHidden/>
          </w:rPr>
          <w:t>113</w:t>
        </w:r>
        <w:r>
          <w:rPr>
            <w:noProof/>
            <w:webHidden/>
          </w:rPr>
          <w:fldChar w:fldCharType="end"/>
        </w:r>
      </w:hyperlink>
    </w:p>
    <w:p w14:paraId="54C8686F" w14:textId="622E5DE8" w:rsidR="00996743" w:rsidRDefault="00996743">
      <w:pPr>
        <w:pStyle w:val="Spisilustracji"/>
        <w:tabs>
          <w:tab w:val="right" w:leader="dot" w:pos="9062"/>
        </w:tabs>
        <w:rPr>
          <w:rFonts w:eastAsiaTheme="minorEastAsia"/>
          <w:noProof/>
          <w:lang w:eastAsia="pl-PL"/>
        </w:rPr>
      </w:pPr>
      <w:hyperlink w:anchor="_Toc142566021" w:history="1">
        <w:r w:rsidRPr="00817C63">
          <w:rPr>
            <w:rStyle w:val="Hipercze"/>
            <w:noProof/>
          </w:rPr>
          <w:t>Tabela 58 Wykaz świadczeń w zakresie mammografii udzielonych w 2022r. z uwzględnieniem całej populacji</w:t>
        </w:r>
        <w:r>
          <w:rPr>
            <w:noProof/>
            <w:webHidden/>
          </w:rPr>
          <w:tab/>
        </w:r>
        <w:r>
          <w:rPr>
            <w:noProof/>
            <w:webHidden/>
          </w:rPr>
          <w:fldChar w:fldCharType="begin"/>
        </w:r>
        <w:r>
          <w:rPr>
            <w:noProof/>
            <w:webHidden/>
          </w:rPr>
          <w:instrText xml:space="preserve"> PAGEREF _Toc142566021 \h </w:instrText>
        </w:r>
        <w:r>
          <w:rPr>
            <w:noProof/>
            <w:webHidden/>
          </w:rPr>
        </w:r>
        <w:r>
          <w:rPr>
            <w:noProof/>
            <w:webHidden/>
          </w:rPr>
          <w:fldChar w:fldCharType="separate"/>
        </w:r>
        <w:r>
          <w:rPr>
            <w:noProof/>
            <w:webHidden/>
          </w:rPr>
          <w:t>117</w:t>
        </w:r>
        <w:r>
          <w:rPr>
            <w:noProof/>
            <w:webHidden/>
          </w:rPr>
          <w:fldChar w:fldCharType="end"/>
        </w:r>
      </w:hyperlink>
    </w:p>
    <w:p w14:paraId="275B3F4B" w14:textId="3B892161" w:rsidR="00996743" w:rsidRDefault="00996743">
      <w:pPr>
        <w:pStyle w:val="Spisilustracji"/>
        <w:tabs>
          <w:tab w:val="right" w:leader="dot" w:pos="9062"/>
        </w:tabs>
        <w:rPr>
          <w:rFonts w:eastAsiaTheme="minorEastAsia"/>
          <w:noProof/>
          <w:lang w:eastAsia="pl-PL"/>
        </w:rPr>
      </w:pPr>
      <w:hyperlink w:anchor="_Toc142566022" w:history="1">
        <w:r w:rsidRPr="00817C63">
          <w:rPr>
            <w:rStyle w:val="Hipercze"/>
            <w:noProof/>
          </w:rPr>
          <w:t>Tabela 59 Informacja o realizacji Programu Leki 75+ w 2022 r .</w:t>
        </w:r>
        <w:r>
          <w:rPr>
            <w:noProof/>
            <w:webHidden/>
          </w:rPr>
          <w:tab/>
        </w:r>
        <w:r>
          <w:rPr>
            <w:noProof/>
            <w:webHidden/>
          </w:rPr>
          <w:fldChar w:fldCharType="begin"/>
        </w:r>
        <w:r>
          <w:rPr>
            <w:noProof/>
            <w:webHidden/>
          </w:rPr>
          <w:instrText xml:space="preserve"> PAGEREF _Toc142566022 \h </w:instrText>
        </w:r>
        <w:r>
          <w:rPr>
            <w:noProof/>
            <w:webHidden/>
          </w:rPr>
        </w:r>
        <w:r>
          <w:rPr>
            <w:noProof/>
            <w:webHidden/>
          </w:rPr>
          <w:fldChar w:fldCharType="separate"/>
        </w:r>
        <w:r>
          <w:rPr>
            <w:noProof/>
            <w:webHidden/>
          </w:rPr>
          <w:t>120</w:t>
        </w:r>
        <w:r>
          <w:rPr>
            <w:noProof/>
            <w:webHidden/>
          </w:rPr>
          <w:fldChar w:fldCharType="end"/>
        </w:r>
      </w:hyperlink>
    </w:p>
    <w:p w14:paraId="7297F955" w14:textId="588B4030" w:rsidR="00996743" w:rsidRDefault="00996743">
      <w:pPr>
        <w:pStyle w:val="Spisilustracji"/>
        <w:tabs>
          <w:tab w:val="right" w:leader="dot" w:pos="9062"/>
        </w:tabs>
        <w:rPr>
          <w:rFonts w:eastAsiaTheme="minorEastAsia"/>
          <w:noProof/>
          <w:lang w:eastAsia="pl-PL"/>
        </w:rPr>
      </w:pPr>
      <w:hyperlink w:anchor="_Toc142566023" w:history="1">
        <w:r w:rsidRPr="00817C63">
          <w:rPr>
            <w:rStyle w:val="Hipercze"/>
            <w:noProof/>
          </w:rPr>
          <w:t>Tabela 60 Karta województwa dolnośląskiego za 2022 r.</w:t>
        </w:r>
        <w:r>
          <w:rPr>
            <w:noProof/>
            <w:webHidden/>
          </w:rPr>
          <w:tab/>
        </w:r>
        <w:r>
          <w:rPr>
            <w:noProof/>
            <w:webHidden/>
          </w:rPr>
          <w:fldChar w:fldCharType="begin"/>
        </w:r>
        <w:r>
          <w:rPr>
            <w:noProof/>
            <w:webHidden/>
          </w:rPr>
          <w:instrText xml:space="preserve"> PAGEREF _Toc142566023 \h </w:instrText>
        </w:r>
        <w:r>
          <w:rPr>
            <w:noProof/>
            <w:webHidden/>
          </w:rPr>
        </w:r>
        <w:r>
          <w:rPr>
            <w:noProof/>
            <w:webHidden/>
          </w:rPr>
          <w:fldChar w:fldCharType="separate"/>
        </w:r>
        <w:r>
          <w:rPr>
            <w:noProof/>
            <w:webHidden/>
          </w:rPr>
          <w:t>131</w:t>
        </w:r>
        <w:r>
          <w:rPr>
            <w:noProof/>
            <w:webHidden/>
          </w:rPr>
          <w:fldChar w:fldCharType="end"/>
        </w:r>
      </w:hyperlink>
    </w:p>
    <w:p w14:paraId="4B4530F5" w14:textId="24360733" w:rsidR="00996743" w:rsidRDefault="00996743">
      <w:pPr>
        <w:pStyle w:val="Spisilustracji"/>
        <w:tabs>
          <w:tab w:val="right" w:leader="dot" w:pos="9062"/>
        </w:tabs>
        <w:rPr>
          <w:rFonts w:eastAsiaTheme="minorEastAsia"/>
          <w:noProof/>
          <w:lang w:eastAsia="pl-PL"/>
        </w:rPr>
      </w:pPr>
      <w:hyperlink w:anchor="_Toc142566024" w:history="1">
        <w:r w:rsidRPr="00817C63">
          <w:rPr>
            <w:rStyle w:val="Hipercze"/>
            <w:noProof/>
          </w:rPr>
          <w:t>Tabela 61 Karta województwa kujawsko-pomorskiego za 2022 r.</w:t>
        </w:r>
        <w:r>
          <w:rPr>
            <w:noProof/>
            <w:webHidden/>
          </w:rPr>
          <w:tab/>
        </w:r>
        <w:r>
          <w:rPr>
            <w:noProof/>
            <w:webHidden/>
          </w:rPr>
          <w:fldChar w:fldCharType="begin"/>
        </w:r>
        <w:r>
          <w:rPr>
            <w:noProof/>
            <w:webHidden/>
          </w:rPr>
          <w:instrText xml:space="preserve"> PAGEREF _Toc142566024 \h </w:instrText>
        </w:r>
        <w:r>
          <w:rPr>
            <w:noProof/>
            <w:webHidden/>
          </w:rPr>
        </w:r>
        <w:r>
          <w:rPr>
            <w:noProof/>
            <w:webHidden/>
          </w:rPr>
          <w:fldChar w:fldCharType="separate"/>
        </w:r>
        <w:r>
          <w:rPr>
            <w:noProof/>
            <w:webHidden/>
          </w:rPr>
          <w:t>138</w:t>
        </w:r>
        <w:r>
          <w:rPr>
            <w:noProof/>
            <w:webHidden/>
          </w:rPr>
          <w:fldChar w:fldCharType="end"/>
        </w:r>
      </w:hyperlink>
    </w:p>
    <w:p w14:paraId="3874033E" w14:textId="6EF4EA97" w:rsidR="00996743" w:rsidRDefault="00996743">
      <w:pPr>
        <w:pStyle w:val="Spisilustracji"/>
        <w:tabs>
          <w:tab w:val="right" w:leader="dot" w:pos="9062"/>
        </w:tabs>
        <w:rPr>
          <w:rFonts w:eastAsiaTheme="minorEastAsia"/>
          <w:noProof/>
          <w:lang w:eastAsia="pl-PL"/>
        </w:rPr>
      </w:pPr>
      <w:hyperlink w:anchor="_Toc142566025" w:history="1">
        <w:r w:rsidRPr="00817C63">
          <w:rPr>
            <w:rStyle w:val="Hipercze"/>
            <w:noProof/>
          </w:rPr>
          <w:t>Tabela 62 Karta województwa lubelskiego za 2022 r.</w:t>
        </w:r>
        <w:r>
          <w:rPr>
            <w:noProof/>
            <w:webHidden/>
          </w:rPr>
          <w:tab/>
        </w:r>
        <w:r>
          <w:rPr>
            <w:noProof/>
            <w:webHidden/>
          </w:rPr>
          <w:fldChar w:fldCharType="begin"/>
        </w:r>
        <w:r>
          <w:rPr>
            <w:noProof/>
            <w:webHidden/>
          </w:rPr>
          <w:instrText xml:space="preserve"> PAGEREF _Toc142566025 \h </w:instrText>
        </w:r>
        <w:r>
          <w:rPr>
            <w:noProof/>
            <w:webHidden/>
          </w:rPr>
        </w:r>
        <w:r>
          <w:rPr>
            <w:noProof/>
            <w:webHidden/>
          </w:rPr>
          <w:fldChar w:fldCharType="separate"/>
        </w:r>
        <w:r>
          <w:rPr>
            <w:noProof/>
            <w:webHidden/>
          </w:rPr>
          <w:t>146</w:t>
        </w:r>
        <w:r>
          <w:rPr>
            <w:noProof/>
            <w:webHidden/>
          </w:rPr>
          <w:fldChar w:fldCharType="end"/>
        </w:r>
      </w:hyperlink>
    </w:p>
    <w:p w14:paraId="55AD2C00" w14:textId="54F40AB7" w:rsidR="00996743" w:rsidRDefault="00996743">
      <w:pPr>
        <w:pStyle w:val="Spisilustracji"/>
        <w:tabs>
          <w:tab w:val="right" w:leader="dot" w:pos="9062"/>
        </w:tabs>
        <w:rPr>
          <w:rFonts w:eastAsiaTheme="minorEastAsia"/>
          <w:noProof/>
          <w:lang w:eastAsia="pl-PL"/>
        </w:rPr>
      </w:pPr>
      <w:hyperlink w:anchor="_Toc142566026" w:history="1">
        <w:r w:rsidRPr="00817C63">
          <w:rPr>
            <w:rStyle w:val="Hipercze"/>
            <w:noProof/>
          </w:rPr>
          <w:t>Tabela 63 Karta województwa lubuskiego za 2022 r.</w:t>
        </w:r>
        <w:r>
          <w:rPr>
            <w:noProof/>
            <w:webHidden/>
          </w:rPr>
          <w:tab/>
        </w:r>
        <w:r>
          <w:rPr>
            <w:noProof/>
            <w:webHidden/>
          </w:rPr>
          <w:fldChar w:fldCharType="begin"/>
        </w:r>
        <w:r>
          <w:rPr>
            <w:noProof/>
            <w:webHidden/>
          </w:rPr>
          <w:instrText xml:space="preserve"> PAGEREF _Toc142566026 \h </w:instrText>
        </w:r>
        <w:r>
          <w:rPr>
            <w:noProof/>
            <w:webHidden/>
          </w:rPr>
        </w:r>
        <w:r>
          <w:rPr>
            <w:noProof/>
            <w:webHidden/>
          </w:rPr>
          <w:fldChar w:fldCharType="separate"/>
        </w:r>
        <w:r>
          <w:rPr>
            <w:noProof/>
            <w:webHidden/>
          </w:rPr>
          <w:t>152</w:t>
        </w:r>
        <w:r>
          <w:rPr>
            <w:noProof/>
            <w:webHidden/>
          </w:rPr>
          <w:fldChar w:fldCharType="end"/>
        </w:r>
      </w:hyperlink>
    </w:p>
    <w:p w14:paraId="6F7DEAF7" w14:textId="1450001E" w:rsidR="00996743" w:rsidRDefault="00996743">
      <w:pPr>
        <w:pStyle w:val="Spisilustracji"/>
        <w:tabs>
          <w:tab w:val="right" w:leader="dot" w:pos="9062"/>
        </w:tabs>
        <w:rPr>
          <w:rFonts w:eastAsiaTheme="minorEastAsia"/>
          <w:noProof/>
          <w:lang w:eastAsia="pl-PL"/>
        </w:rPr>
      </w:pPr>
      <w:hyperlink w:anchor="_Toc142566027" w:history="1">
        <w:r w:rsidRPr="00817C63">
          <w:rPr>
            <w:rStyle w:val="Hipercze"/>
            <w:noProof/>
          </w:rPr>
          <w:t>Tabela 64 Karta województwa łódzkiego za 2022 r.</w:t>
        </w:r>
        <w:r>
          <w:rPr>
            <w:noProof/>
            <w:webHidden/>
          </w:rPr>
          <w:tab/>
        </w:r>
        <w:r>
          <w:rPr>
            <w:noProof/>
            <w:webHidden/>
          </w:rPr>
          <w:fldChar w:fldCharType="begin"/>
        </w:r>
        <w:r>
          <w:rPr>
            <w:noProof/>
            <w:webHidden/>
          </w:rPr>
          <w:instrText xml:space="preserve"> PAGEREF _Toc142566027 \h </w:instrText>
        </w:r>
        <w:r>
          <w:rPr>
            <w:noProof/>
            <w:webHidden/>
          </w:rPr>
        </w:r>
        <w:r>
          <w:rPr>
            <w:noProof/>
            <w:webHidden/>
          </w:rPr>
          <w:fldChar w:fldCharType="separate"/>
        </w:r>
        <w:r>
          <w:rPr>
            <w:noProof/>
            <w:webHidden/>
          </w:rPr>
          <w:t>158</w:t>
        </w:r>
        <w:r>
          <w:rPr>
            <w:noProof/>
            <w:webHidden/>
          </w:rPr>
          <w:fldChar w:fldCharType="end"/>
        </w:r>
      </w:hyperlink>
    </w:p>
    <w:p w14:paraId="4CAC064F" w14:textId="20B3D58E" w:rsidR="00996743" w:rsidRDefault="00996743">
      <w:pPr>
        <w:pStyle w:val="Spisilustracji"/>
        <w:tabs>
          <w:tab w:val="right" w:leader="dot" w:pos="9062"/>
        </w:tabs>
        <w:rPr>
          <w:rFonts w:eastAsiaTheme="minorEastAsia"/>
          <w:noProof/>
          <w:lang w:eastAsia="pl-PL"/>
        </w:rPr>
      </w:pPr>
      <w:hyperlink w:anchor="_Toc142566028" w:history="1">
        <w:r w:rsidRPr="00817C63">
          <w:rPr>
            <w:rStyle w:val="Hipercze"/>
            <w:noProof/>
          </w:rPr>
          <w:t>Tabela 65 Karta województwa małopolskiego za 2022 r.</w:t>
        </w:r>
        <w:r>
          <w:rPr>
            <w:noProof/>
            <w:webHidden/>
          </w:rPr>
          <w:tab/>
        </w:r>
        <w:r>
          <w:rPr>
            <w:noProof/>
            <w:webHidden/>
          </w:rPr>
          <w:fldChar w:fldCharType="begin"/>
        </w:r>
        <w:r>
          <w:rPr>
            <w:noProof/>
            <w:webHidden/>
          </w:rPr>
          <w:instrText xml:space="preserve"> PAGEREF _Toc142566028 \h </w:instrText>
        </w:r>
        <w:r>
          <w:rPr>
            <w:noProof/>
            <w:webHidden/>
          </w:rPr>
        </w:r>
        <w:r>
          <w:rPr>
            <w:noProof/>
            <w:webHidden/>
          </w:rPr>
          <w:fldChar w:fldCharType="separate"/>
        </w:r>
        <w:r>
          <w:rPr>
            <w:noProof/>
            <w:webHidden/>
          </w:rPr>
          <w:t>166</w:t>
        </w:r>
        <w:r>
          <w:rPr>
            <w:noProof/>
            <w:webHidden/>
          </w:rPr>
          <w:fldChar w:fldCharType="end"/>
        </w:r>
      </w:hyperlink>
    </w:p>
    <w:p w14:paraId="7E7AD2D9" w14:textId="45FCB8A2" w:rsidR="00996743" w:rsidRDefault="00996743">
      <w:pPr>
        <w:pStyle w:val="Spisilustracji"/>
        <w:tabs>
          <w:tab w:val="right" w:leader="dot" w:pos="9062"/>
        </w:tabs>
        <w:rPr>
          <w:rFonts w:eastAsiaTheme="minorEastAsia"/>
          <w:noProof/>
          <w:lang w:eastAsia="pl-PL"/>
        </w:rPr>
      </w:pPr>
      <w:hyperlink w:anchor="_Toc142566029" w:history="1">
        <w:r w:rsidRPr="00817C63">
          <w:rPr>
            <w:rStyle w:val="Hipercze"/>
            <w:noProof/>
          </w:rPr>
          <w:t>Tabela 66 Karta województwa mazowieckiego za 2022 r.</w:t>
        </w:r>
        <w:r>
          <w:rPr>
            <w:noProof/>
            <w:webHidden/>
          </w:rPr>
          <w:tab/>
        </w:r>
        <w:r>
          <w:rPr>
            <w:noProof/>
            <w:webHidden/>
          </w:rPr>
          <w:fldChar w:fldCharType="begin"/>
        </w:r>
        <w:r>
          <w:rPr>
            <w:noProof/>
            <w:webHidden/>
          </w:rPr>
          <w:instrText xml:space="preserve"> PAGEREF _Toc142566029 \h </w:instrText>
        </w:r>
        <w:r>
          <w:rPr>
            <w:noProof/>
            <w:webHidden/>
          </w:rPr>
        </w:r>
        <w:r>
          <w:rPr>
            <w:noProof/>
            <w:webHidden/>
          </w:rPr>
          <w:fldChar w:fldCharType="separate"/>
        </w:r>
        <w:r>
          <w:rPr>
            <w:noProof/>
            <w:webHidden/>
          </w:rPr>
          <w:t>171</w:t>
        </w:r>
        <w:r>
          <w:rPr>
            <w:noProof/>
            <w:webHidden/>
          </w:rPr>
          <w:fldChar w:fldCharType="end"/>
        </w:r>
      </w:hyperlink>
    </w:p>
    <w:p w14:paraId="48F7B9FB" w14:textId="3E70DABC" w:rsidR="00996743" w:rsidRDefault="00996743">
      <w:pPr>
        <w:pStyle w:val="Spisilustracji"/>
        <w:tabs>
          <w:tab w:val="right" w:leader="dot" w:pos="9062"/>
        </w:tabs>
        <w:rPr>
          <w:rFonts w:eastAsiaTheme="minorEastAsia"/>
          <w:noProof/>
          <w:lang w:eastAsia="pl-PL"/>
        </w:rPr>
      </w:pPr>
      <w:hyperlink w:anchor="_Toc142566030" w:history="1">
        <w:r w:rsidRPr="00817C63">
          <w:rPr>
            <w:rStyle w:val="Hipercze"/>
            <w:noProof/>
          </w:rPr>
          <w:t>Tabela 67 Karta województwa opolskiego za 2022 r.</w:t>
        </w:r>
        <w:r>
          <w:rPr>
            <w:noProof/>
            <w:webHidden/>
          </w:rPr>
          <w:tab/>
        </w:r>
        <w:r>
          <w:rPr>
            <w:noProof/>
            <w:webHidden/>
          </w:rPr>
          <w:fldChar w:fldCharType="begin"/>
        </w:r>
        <w:r>
          <w:rPr>
            <w:noProof/>
            <w:webHidden/>
          </w:rPr>
          <w:instrText xml:space="preserve"> PAGEREF _Toc142566030 \h </w:instrText>
        </w:r>
        <w:r>
          <w:rPr>
            <w:noProof/>
            <w:webHidden/>
          </w:rPr>
        </w:r>
        <w:r>
          <w:rPr>
            <w:noProof/>
            <w:webHidden/>
          </w:rPr>
          <w:fldChar w:fldCharType="separate"/>
        </w:r>
        <w:r>
          <w:rPr>
            <w:noProof/>
            <w:webHidden/>
          </w:rPr>
          <w:t>179</w:t>
        </w:r>
        <w:r>
          <w:rPr>
            <w:noProof/>
            <w:webHidden/>
          </w:rPr>
          <w:fldChar w:fldCharType="end"/>
        </w:r>
      </w:hyperlink>
    </w:p>
    <w:p w14:paraId="62A6A26E" w14:textId="0FA57956" w:rsidR="00996743" w:rsidRDefault="00996743">
      <w:pPr>
        <w:pStyle w:val="Spisilustracji"/>
        <w:tabs>
          <w:tab w:val="right" w:leader="dot" w:pos="9062"/>
        </w:tabs>
        <w:rPr>
          <w:rFonts w:eastAsiaTheme="minorEastAsia"/>
          <w:noProof/>
          <w:lang w:eastAsia="pl-PL"/>
        </w:rPr>
      </w:pPr>
      <w:hyperlink w:anchor="_Toc142566031" w:history="1">
        <w:r w:rsidRPr="00817C63">
          <w:rPr>
            <w:rStyle w:val="Hipercze"/>
            <w:noProof/>
          </w:rPr>
          <w:t>Tabela 68 Karta województwa podkarpackiego za 2022 r.</w:t>
        </w:r>
        <w:r>
          <w:rPr>
            <w:noProof/>
            <w:webHidden/>
          </w:rPr>
          <w:tab/>
        </w:r>
        <w:r>
          <w:rPr>
            <w:noProof/>
            <w:webHidden/>
          </w:rPr>
          <w:fldChar w:fldCharType="begin"/>
        </w:r>
        <w:r>
          <w:rPr>
            <w:noProof/>
            <w:webHidden/>
          </w:rPr>
          <w:instrText xml:space="preserve"> PAGEREF _Toc142566031 \h </w:instrText>
        </w:r>
        <w:r>
          <w:rPr>
            <w:noProof/>
            <w:webHidden/>
          </w:rPr>
        </w:r>
        <w:r>
          <w:rPr>
            <w:noProof/>
            <w:webHidden/>
          </w:rPr>
          <w:fldChar w:fldCharType="separate"/>
        </w:r>
        <w:r>
          <w:rPr>
            <w:noProof/>
            <w:webHidden/>
          </w:rPr>
          <w:t>189</w:t>
        </w:r>
        <w:r>
          <w:rPr>
            <w:noProof/>
            <w:webHidden/>
          </w:rPr>
          <w:fldChar w:fldCharType="end"/>
        </w:r>
      </w:hyperlink>
    </w:p>
    <w:p w14:paraId="2DB24468" w14:textId="1E1D5505" w:rsidR="00996743" w:rsidRDefault="00996743">
      <w:pPr>
        <w:pStyle w:val="Spisilustracji"/>
        <w:tabs>
          <w:tab w:val="right" w:leader="dot" w:pos="9062"/>
        </w:tabs>
        <w:rPr>
          <w:rFonts w:eastAsiaTheme="minorEastAsia"/>
          <w:noProof/>
          <w:lang w:eastAsia="pl-PL"/>
        </w:rPr>
      </w:pPr>
      <w:hyperlink w:anchor="_Toc142566032" w:history="1">
        <w:r w:rsidRPr="00817C63">
          <w:rPr>
            <w:rStyle w:val="Hipercze"/>
            <w:noProof/>
          </w:rPr>
          <w:t>Tabela 69 Karta województwa pomorskiego za 2022 r.</w:t>
        </w:r>
        <w:r>
          <w:rPr>
            <w:noProof/>
            <w:webHidden/>
          </w:rPr>
          <w:tab/>
        </w:r>
        <w:r>
          <w:rPr>
            <w:noProof/>
            <w:webHidden/>
          </w:rPr>
          <w:fldChar w:fldCharType="begin"/>
        </w:r>
        <w:r>
          <w:rPr>
            <w:noProof/>
            <w:webHidden/>
          </w:rPr>
          <w:instrText xml:space="preserve"> PAGEREF _Toc142566032 \h </w:instrText>
        </w:r>
        <w:r>
          <w:rPr>
            <w:noProof/>
            <w:webHidden/>
          </w:rPr>
        </w:r>
        <w:r>
          <w:rPr>
            <w:noProof/>
            <w:webHidden/>
          </w:rPr>
          <w:fldChar w:fldCharType="separate"/>
        </w:r>
        <w:r>
          <w:rPr>
            <w:noProof/>
            <w:webHidden/>
          </w:rPr>
          <w:t>203</w:t>
        </w:r>
        <w:r>
          <w:rPr>
            <w:noProof/>
            <w:webHidden/>
          </w:rPr>
          <w:fldChar w:fldCharType="end"/>
        </w:r>
      </w:hyperlink>
    </w:p>
    <w:p w14:paraId="2AF71995" w14:textId="0DFF4A53" w:rsidR="00996743" w:rsidRDefault="00996743">
      <w:pPr>
        <w:pStyle w:val="Spisilustracji"/>
        <w:tabs>
          <w:tab w:val="right" w:leader="dot" w:pos="9062"/>
        </w:tabs>
        <w:rPr>
          <w:rFonts w:eastAsiaTheme="minorEastAsia"/>
          <w:noProof/>
          <w:lang w:eastAsia="pl-PL"/>
        </w:rPr>
      </w:pPr>
      <w:hyperlink w:anchor="_Toc142566033" w:history="1">
        <w:r w:rsidRPr="00817C63">
          <w:rPr>
            <w:rStyle w:val="Hipercze"/>
            <w:noProof/>
          </w:rPr>
          <w:t>Tabela 70 Karta województwa śląskiego za 2022 r.</w:t>
        </w:r>
        <w:r>
          <w:rPr>
            <w:noProof/>
            <w:webHidden/>
          </w:rPr>
          <w:tab/>
        </w:r>
        <w:r>
          <w:rPr>
            <w:noProof/>
            <w:webHidden/>
          </w:rPr>
          <w:fldChar w:fldCharType="begin"/>
        </w:r>
        <w:r>
          <w:rPr>
            <w:noProof/>
            <w:webHidden/>
          </w:rPr>
          <w:instrText xml:space="preserve"> PAGEREF _Toc142566033 \h </w:instrText>
        </w:r>
        <w:r>
          <w:rPr>
            <w:noProof/>
            <w:webHidden/>
          </w:rPr>
        </w:r>
        <w:r>
          <w:rPr>
            <w:noProof/>
            <w:webHidden/>
          </w:rPr>
          <w:fldChar w:fldCharType="separate"/>
        </w:r>
        <w:r>
          <w:rPr>
            <w:noProof/>
            <w:webHidden/>
          </w:rPr>
          <w:t>211</w:t>
        </w:r>
        <w:r>
          <w:rPr>
            <w:noProof/>
            <w:webHidden/>
          </w:rPr>
          <w:fldChar w:fldCharType="end"/>
        </w:r>
      </w:hyperlink>
    </w:p>
    <w:p w14:paraId="649D2DC3" w14:textId="02E551E7" w:rsidR="00996743" w:rsidRDefault="00996743">
      <w:pPr>
        <w:pStyle w:val="Spisilustracji"/>
        <w:tabs>
          <w:tab w:val="right" w:leader="dot" w:pos="9062"/>
        </w:tabs>
        <w:rPr>
          <w:rFonts w:eastAsiaTheme="minorEastAsia"/>
          <w:noProof/>
          <w:lang w:eastAsia="pl-PL"/>
        </w:rPr>
      </w:pPr>
      <w:hyperlink w:anchor="_Toc142566034" w:history="1">
        <w:r w:rsidRPr="00817C63">
          <w:rPr>
            <w:rStyle w:val="Hipercze"/>
            <w:noProof/>
          </w:rPr>
          <w:t>Tabela 71 Karta województwa świętokrzyskiego za 2022 r.</w:t>
        </w:r>
        <w:r>
          <w:rPr>
            <w:noProof/>
            <w:webHidden/>
          </w:rPr>
          <w:tab/>
        </w:r>
        <w:r>
          <w:rPr>
            <w:noProof/>
            <w:webHidden/>
          </w:rPr>
          <w:fldChar w:fldCharType="begin"/>
        </w:r>
        <w:r>
          <w:rPr>
            <w:noProof/>
            <w:webHidden/>
          </w:rPr>
          <w:instrText xml:space="preserve"> PAGEREF _Toc142566034 \h </w:instrText>
        </w:r>
        <w:r>
          <w:rPr>
            <w:noProof/>
            <w:webHidden/>
          </w:rPr>
        </w:r>
        <w:r>
          <w:rPr>
            <w:noProof/>
            <w:webHidden/>
          </w:rPr>
          <w:fldChar w:fldCharType="separate"/>
        </w:r>
        <w:r>
          <w:rPr>
            <w:noProof/>
            <w:webHidden/>
          </w:rPr>
          <w:t>218</w:t>
        </w:r>
        <w:r>
          <w:rPr>
            <w:noProof/>
            <w:webHidden/>
          </w:rPr>
          <w:fldChar w:fldCharType="end"/>
        </w:r>
      </w:hyperlink>
    </w:p>
    <w:p w14:paraId="7CF17A5D" w14:textId="3FA11C14" w:rsidR="00996743" w:rsidRDefault="00996743">
      <w:pPr>
        <w:pStyle w:val="Spisilustracji"/>
        <w:tabs>
          <w:tab w:val="right" w:leader="dot" w:pos="9062"/>
        </w:tabs>
        <w:rPr>
          <w:rFonts w:eastAsiaTheme="minorEastAsia"/>
          <w:noProof/>
          <w:lang w:eastAsia="pl-PL"/>
        </w:rPr>
      </w:pPr>
      <w:hyperlink w:anchor="_Toc142566035" w:history="1">
        <w:r w:rsidRPr="00817C63">
          <w:rPr>
            <w:rStyle w:val="Hipercze"/>
            <w:noProof/>
          </w:rPr>
          <w:t>Tabela 72 Karta województwa warmińsko-mazurskiego za 2022 r.</w:t>
        </w:r>
        <w:r>
          <w:rPr>
            <w:noProof/>
            <w:webHidden/>
          </w:rPr>
          <w:tab/>
        </w:r>
        <w:r>
          <w:rPr>
            <w:noProof/>
            <w:webHidden/>
          </w:rPr>
          <w:fldChar w:fldCharType="begin"/>
        </w:r>
        <w:r>
          <w:rPr>
            <w:noProof/>
            <w:webHidden/>
          </w:rPr>
          <w:instrText xml:space="preserve"> PAGEREF _Toc142566035 \h </w:instrText>
        </w:r>
        <w:r>
          <w:rPr>
            <w:noProof/>
            <w:webHidden/>
          </w:rPr>
        </w:r>
        <w:r>
          <w:rPr>
            <w:noProof/>
            <w:webHidden/>
          </w:rPr>
          <w:fldChar w:fldCharType="separate"/>
        </w:r>
        <w:r>
          <w:rPr>
            <w:noProof/>
            <w:webHidden/>
          </w:rPr>
          <w:t>224</w:t>
        </w:r>
        <w:r>
          <w:rPr>
            <w:noProof/>
            <w:webHidden/>
          </w:rPr>
          <w:fldChar w:fldCharType="end"/>
        </w:r>
      </w:hyperlink>
    </w:p>
    <w:p w14:paraId="56F02A89" w14:textId="1783CBFB" w:rsidR="00996743" w:rsidRDefault="00996743">
      <w:pPr>
        <w:pStyle w:val="Spisilustracji"/>
        <w:tabs>
          <w:tab w:val="right" w:leader="dot" w:pos="9062"/>
        </w:tabs>
        <w:rPr>
          <w:rFonts w:eastAsiaTheme="minorEastAsia"/>
          <w:noProof/>
          <w:lang w:eastAsia="pl-PL"/>
        </w:rPr>
      </w:pPr>
      <w:hyperlink w:anchor="_Toc142566036" w:history="1">
        <w:r w:rsidRPr="00817C63">
          <w:rPr>
            <w:rStyle w:val="Hipercze"/>
            <w:noProof/>
          </w:rPr>
          <w:t>Tabela 73 Karta województwa wielkopolskiego za 2022 r.</w:t>
        </w:r>
        <w:r>
          <w:rPr>
            <w:noProof/>
            <w:webHidden/>
          </w:rPr>
          <w:tab/>
        </w:r>
        <w:r>
          <w:rPr>
            <w:noProof/>
            <w:webHidden/>
          </w:rPr>
          <w:fldChar w:fldCharType="begin"/>
        </w:r>
        <w:r>
          <w:rPr>
            <w:noProof/>
            <w:webHidden/>
          </w:rPr>
          <w:instrText xml:space="preserve"> PAGEREF _Toc142566036 \h </w:instrText>
        </w:r>
        <w:r>
          <w:rPr>
            <w:noProof/>
            <w:webHidden/>
          </w:rPr>
        </w:r>
        <w:r>
          <w:rPr>
            <w:noProof/>
            <w:webHidden/>
          </w:rPr>
          <w:fldChar w:fldCharType="separate"/>
        </w:r>
        <w:r>
          <w:rPr>
            <w:noProof/>
            <w:webHidden/>
          </w:rPr>
          <w:t>230</w:t>
        </w:r>
        <w:r>
          <w:rPr>
            <w:noProof/>
            <w:webHidden/>
          </w:rPr>
          <w:fldChar w:fldCharType="end"/>
        </w:r>
      </w:hyperlink>
    </w:p>
    <w:p w14:paraId="569CA136" w14:textId="3352C6E4" w:rsidR="00996743" w:rsidRDefault="00996743">
      <w:pPr>
        <w:pStyle w:val="Spisilustracji"/>
        <w:tabs>
          <w:tab w:val="right" w:leader="dot" w:pos="9062"/>
        </w:tabs>
        <w:rPr>
          <w:rFonts w:eastAsiaTheme="minorEastAsia"/>
          <w:noProof/>
          <w:lang w:eastAsia="pl-PL"/>
        </w:rPr>
      </w:pPr>
      <w:hyperlink w:anchor="_Toc142566037" w:history="1">
        <w:r w:rsidRPr="00817C63">
          <w:rPr>
            <w:rStyle w:val="Hipercze"/>
            <w:noProof/>
          </w:rPr>
          <w:t>Tabela 74 Karta województwa zachodniopomorskiego za 2022 r.</w:t>
        </w:r>
        <w:r>
          <w:rPr>
            <w:noProof/>
            <w:webHidden/>
          </w:rPr>
          <w:tab/>
        </w:r>
        <w:r>
          <w:rPr>
            <w:noProof/>
            <w:webHidden/>
          </w:rPr>
          <w:fldChar w:fldCharType="begin"/>
        </w:r>
        <w:r>
          <w:rPr>
            <w:noProof/>
            <w:webHidden/>
          </w:rPr>
          <w:instrText xml:space="preserve"> PAGEREF _Toc142566037 \h </w:instrText>
        </w:r>
        <w:r>
          <w:rPr>
            <w:noProof/>
            <w:webHidden/>
          </w:rPr>
        </w:r>
        <w:r>
          <w:rPr>
            <w:noProof/>
            <w:webHidden/>
          </w:rPr>
          <w:fldChar w:fldCharType="separate"/>
        </w:r>
        <w:r>
          <w:rPr>
            <w:noProof/>
            <w:webHidden/>
          </w:rPr>
          <w:t>239</w:t>
        </w:r>
        <w:r>
          <w:rPr>
            <w:noProof/>
            <w:webHidden/>
          </w:rPr>
          <w:fldChar w:fldCharType="end"/>
        </w:r>
      </w:hyperlink>
    </w:p>
    <w:p w14:paraId="058B213E" w14:textId="51E16D7B" w:rsidR="00781EA1" w:rsidRDefault="0016067D" w:rsidP="00E7561B">
      <w:pPr>
        <w:jc w:val="both"/>
      </w:pPr>
      <w:r>
        <w:fldChar w:fldCharType="end"/>
      </w:r>
    </w:p>
    <w:p w14:paraId="6882C7B6" w14:textId="7C3474C5" w:rsidR="00781EA1" w:rsidRDefault="00781EA1" w:rsidP="00781EA1"/>
    <w:p w14:paraId="037099BD" w14:textId="77777777" w:rsidR="00781EA1" w:rsidRPr="00781EA1" w:rsidRDefault="00781EA1" w:rsidP="00781EA1"/>
    <w:p w14:paraId="0D730520" w14:textId="77777777" w:rsidR="006B305A" w:rsidRDefault="006B305A"/>
    <w:sectPr w:rsidR="006B305A" w:rsidSect="00A96D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AE3EB" w14:textId="77777777" w:rsidR="006C160D" w:rsidRDefault="006C160D" w:rsidP="009836DE">
      <w:pPr>
        <w:spacing w:after="0" w:line="240" w:lineRule="auto"/>
      </w:pPr>
      <w:r>
        <w:separator/>
      </w:r>
    </w:p>
  </w:endnote>
  <w:endnote w:type="continuationSeparator" w:id="0">
    <w:p w14:paraId="1166579D" w14:textId="77777777" w:rsidR="006C160D" w:rsidRDefault="006C160D" w:rsidP="00983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MyriadPro-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NewRomanPSMT">
    <w:altName w:val="MS Gothic"/>
    <w:panose1 w:val="00000000000000000000"/>
    <w:charset w:val="00"/>
    <w:family w:val="swiss"/>
    <w:notTrueType/>
    <w:pitch w:val="default"/>
    <w:sig w:usb0="00000007" w:usb1="08070000" w:usb2="00000010" w:usb3="00000000" w:csb0="0002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S Mincho">
    <w:altName w:val="MS Mincho"/>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mj-ea">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n-ea">
    <w:panose1 w:val="00000000000000000000"/>
    <w:charset w:val="00"/>
    <w:family w:val="roman"/>
    <w:notTrueType/>
    <w:pitch w:val="default"/>
  </w:font>
  <w:font w:name="TimesNewRomanPS-BoldMT">
    <w:altName w:val="Times New Roman"/>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 w:name="CourierNewPSMT">
    <w:altName w:val="Courier New"/>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7" w:usb1="00000000" w:usb2="00000000" w:usb3="00000000" w:csb0="00000003" w:csb1="00000000"/>
  </w:font>
  <w:font w:name="SymbolMT">
    <w:altName w:val="Calibri"/>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mn-cs">
    <w:panose1 w:val="00000000000000000000"/>
    <w:charset w:val="00"/>
    <w:family w:val="roman"/>
    <w:notTrueType/>
    <w:pitch w:val="default"/>
  </w:font>
  <w:font w:name="MyriadPro-Bold">
    <w:altName w:val="Calibri"/>
    <w:panose1 w:val="00000000000000000000"/>
    <w:charset w:val="EE"/>
    <w:family w:val="auto"/>
    <w:notTrueType/>
    <w:pitch w:val="default"/>
    <w:sig w:usb0="00000005" w:usb1="00000000" w:usb2="00000000" w:usb3="00000000" w:csb0="00000002" w:csb1="00000000"/>
  </w:font>
  <w:font w:name="MyriadPro-It">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6779" w14:textId="77777777" w:rsidR="00E24505" w:rsidRDefault="00E245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4D0" w14:textId="77777777" w:rsidR="00E24505" w:rsidRDefault="00E2450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97AE7" w14:textId="77777777" w:rsidR="00E24505" w:rsidRDefault="00E2450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117959"/>
      <w:docPartObj>
        <w:docPartGallery w:val="Page Numbers (Bottom of Page)"/>
        <w:docPartUnique/>
      </w:docPartObj>
    </w:sdtPr>
    <w:sdtEndPr/>
    <w:sdtContent>
      <w:p w14:paraId="5117545B" w14:textId="7659BD62" w:rsidR="001821F6" w:rsidRDefault="001821F6">
        <w:pPr>
          <w:pStyle w:val="Stopka"/>
          <w:jc w:val="center"/>
        </w:pPr>
        <w:r>
          <w:fldChar w:fldCharType="begin"/>
        </w:r>
        <w:r>
          <w:instrText>PAGE   \* MERGEFORMAT</w:instrText>
        </w:r>
        <w:r>
          <w:fldChar w:fldCharType="separate"/>
        </w:r>
        <w:r>
          <w:t>2</w:t>
        </w:r>
        <w:r>
          <w:fldChar w:fldCharType="end"/>
        </w:r>
      </w:p>
    </w:sdtContent>
  </w:sdt>
  <w:p w14:paraId="732E75F3" w14:textId="08D45B5F" w:rsidR="00915D13" w:rsidRDefault="00915D13">
    <w:pPr>
      <w:pStyle w:val="Tekstpodstawowy"/>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472256"/>
      <w:docPartObj>
        <w:docPartGallery w:val="Page Numbers (Bottom of Page)"/>
        <w:docPartUnique/>
      </w:docPartObj>
    </w:sdtPr>
    <w:sdtEndPr/>
    <w:sdtContent>
      <w:p w14:paraId="655DB682" w14:textId="73CB3399" w:rsidR="001821F6" w:rsidRDefault="001821F6">
        <w:pPr>
          <w:pStyle w:val="Stopka"/>
          <w:jc w:val="center"/>
        </w:pPr>
        <w:r>
          <w:fldChar w:fldCharType="begin"/>
        </w:r>
        <w:r>
          <w:instrText>PAGE   \* MERGEFORMAT</w:instrText>
        </w:r>
        <w:r>
          <w:fldChar w:fldCharType="separate"/>
        </w:r>
        <w:r>
          <w:t>2</w:t>
        </w:r>
        <w:r>
          <w:fldChar w:fldCharType="end"/>
        </w:r>
      </w:p>
    </w:sdtContent>
  </w:sdt>
  <w:p w14:paraId="42B7460C" w14:textId="55877815" w:rsidR="008943C9" w:rsidRDefault="008943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5C9F" w14:textId="77777777" w:rsidR="006C160D" w:rsidRDefault="006C160D" w:rsidP="009836DE">
      <w:pPr>
        <w:spacing w:after="0" w:line="240" w:lineRule="auto"/>
      </w:pPr>
      <w:r>
        <w:separator/>
      </w:r>
    </w:p>
  </w:footnote>
  <w:footnote w:type="continuationSeparator" w:id="0">
    <w:p w14:paraId="218ED551" w14:textId="77777777" w:rsidR="006C160D" w:rsidRDefault="006C160D" w:rsidP="009836DE">
      <w:pPr>
        <w:spacing w:after="0" w:line="240" w:lineRule="auto"/>
      </w:pPr>
      <w:r>
        <w:continuationSeparator/>
      </w:r>
    </w:p>
  </w:footnote>
  <w:footnote w:id="1">
    <w:p w14:paraId="1092210A" w14:textId="77777777" w:rsidR="00894B0E" w:rsidRPr="00194AC4" w:rsidRDefault="00894B0E" w:rsidP="00894B0E">
      <w:pPr>
        <w:pStyle w:val="Tekstprzypisudolnego"/>
        <w:rPr>
          <w:rFonts w:ascii="Lato" w:hAnsi="Lato"/>
          <w:sz w:val="18"/>
          <w:szCs w:val="18"/>
        </w:rPr>
      </w:pPr>
      <w:r w:rsidRPr="00194AC4">
        <w:rPr>
          <w:rFonts w:ascii="Lato" w:hAnsi="Lato"/>
          <w:sz w:val="18"/>
          <w:szCs w:val="18"/>
          <w:vertAlign w:val="superscript"/>
        </w:rPr>
        <w:footnoteRef/>
      </w:r>
      <w:r w:rsidRPr="00194AC4">
        <w:rPr>
          <w:rFonts w:ascii="Lato" w:hAnsi="Lato"/>
          <w:sz w:val="18"/>
          <w:szCs w:val="18"/>
          <w:vertAlign w:val="superscript"/>
        </w:rPr>
        <w:t xml:space="preserve"> </w:t>
      </w:r>
      <w:r w:rsidRPr="00194AC4">
        <w:rPr>
          <w:rFonts w:ascii="Lato" w:hAnsi="Lato"/>
          <w:sz w:val="18"/>
          <w:szCs w:val="18"/>
        </w:rPr>
        <w:t xml:space="preserve">GUS, </w:t>
      </w:r>
      <w:r w:rsidRPr="00194AC4">
        <w:rPr>
          <w:rFonts w:ascii="Lato" w:hAnsi="Lato"/>
          <w:i/>
          <w:sz w:val="18"/>
          <w:szCs w:val="18"/>
        </w:rPr>
        <w:t>Prognoza ludności na lata 2014–2050</w:t>
      </w:r>
      <w:r w:rsidRPr="00194AC4">
        <w:rPr>
          <w:rFonts w:ascii="Lato" w:hAnsi="Lato"/>
          <w:sz w:val="18"/>
          <w:szCs w:val="18"/>
        </w:rPr>
        <w:t>, Warszawa 2014 r., s. 125.</w:t>
      </w:r>
    </w:p>
  </w:footnote>
  <w:footnote w:id="2">
    <w:p w14:paraId="0F8CCB64" w14:textId="357DA432" w:rsidR="00BA25BE" w:rsidRPr="00E57A39" w:rsidRDefault="00BA25BE" w:rsidP="00BA25BE">
      <w:pPr>
        <w:pStyle w:val="Tekstprzypisudolnego"/>
        <w:rPr>
          <w:rFonts w:ascii="Lato" w:hAnsi="Lato" w:cs="Times New Roman"/>
          <w:sz w:val="16"/>
          <w:szCs w:val="16"/>
        </w:rPr>
      </w:pPr>
      <w:r w:rsidRPr="00E57A39">
        <w:rPr>
          <w:rStyle w:val="Odwoanieprzypisudolnego"/>
          <w:rFonts w:ascii="Lato" w:eastAsiaTheme="majorEastAsia" w:hAnsi="Lato" w:cs="Times New Roman"/>
          <w:sz w:val="16"/>
          <w:szCs w:val="16"/>
        </w:rPr>
        <w:footnoteRef/>
      </w:r>
      <w:r w:rsidRPr="00E57A39">
        <w:rPr>
          <w:rFonts w:ascii="Lato" w:hAnsi="Lato" w:cs="Times New Roman"/>
          <w:sz w:val="16"/>
          <w:szCs w:val="16"/>
        </w:rPr>
        <w:t xml:space="preserve"> Zgo</w:t>
      </w:r>
      <w:r w:rsidR="004F5101">
        <w:rPr>
          <w:rFonts w:ascii="Lato" w:hAnsi="Lato" w:cs="Times New Roman"/>
          <w:sz w:val="16"/>
          <w:szCs w:val="16"/>
        </w:rPr>
        <w:t>dni</w:t>
      </w:r>
      <w:r w:rsidRPr="00E57A39">
        <w:rPr>
          <w:rFonts w:ascii="Lato" w:hAnsi="Lato" w:cs="Times New Roman"/>
          <w:sz w:val="16"/>
          <w:szCs w:val="16"/>
        </w:rPr>
        <w:t>e z de</w:t>
      </w:r>
      <w:r w:rsidR="004F5101">
        <w:rPr>
          <w:rFonts w:ascii="Lato" w:hAnsi="Lato" w:cs="Times New Roman"/>
          <w:sz w:val="16"/>
          <w:szCs w:val="16"/>
        </w:rPr>
        <w:t>f</w:t>
      </w:r>
      <w:r w:rsidRPr="00E57A39">
        <w:rPr>
          <w:rFonts w:ascii="Lato" w:hAnsi="Lato" w:cs="Times New Roman"/>
          <w:sz w:val="16"/>
          <w:szCs w:val="16"/>
        </w:rPr>
        <w:t>inicj</w:t>
      </w:r>
      <w:r w:rsidR="004F5101">
        <w:rPr>
          <w:rFonts w:ascii="Lato" w:hAnsi="Lato" w:cs="Times New Roman"/>
          <w:sz w:val="16"/>
          <w:szCs w:val="16"/>
        </w:rPr>
        <w:t>ą</w:t>
      </w:r>
      <w:r w:rsidRPr="00E57A39">
        <w:rPr>
          <w:rFonts w:ascii="Lato" w:hAnsi="Lato" w:cs="Times New Roman"/>
          <w:sz w:val="16"/>
          <w:szCs w:val="16"/>
        </w:rPr>
        <w:t xml:space="preserve"> ustaloną przez Światową Organizację Zdrowia (WHO), 2004</w:t>
      </w:r>
    </w:p>
  </w:footnote>
  <w:footnote w:id="3">
    <w:p w14:paraId="138EF548" w14:textId="77777777" w:rsidR="00E57A39" w:rsidRDefault="00E57A39" w:rsidP="00E57A39">
      <w:pPr>
        <w:pStyle w:val="Tekstprzypisudolnego"/>
      </w:pPr>
      <w:r w:rsidRPr="00E57A39">
        <w:rPr>
          <w:rStyle w:val="Odwoanieprzypisudolnego"/>
          <w:rFonts w:ascii="Lato" w:eastAsiaTheme="majorEastAsia" w:hAnsi="Lato" w:cs="Times New Roman"/>
          <w:sz w:val="16"/>
          <w:szCs w:val="16"/>
        </w:rPr>
        <w:footnoteRef/>
      </w:r>
      <w:r w:rsidRPr="00E57A39">
        <w:rPr>
          <w:rFonts w:ascii="Lato" w:hAnsi="Lato" w:cs="Times New Roman"/>
          <w:sz w:val="16"/>
          <w:szCs w:val="16"/>
        </w:rPr>
        <w:t xml:space="preserve"> Kod resortowy komórki 4060</w:t>
      </w:r>
    </w:p>
  </w:footnote>
  <w:footnote w:id="4">
    <w:p w14:paraId="787334FE" w14:textId="77777777" w:rsidR="000B7295" w:rsidRPr="00754614" w:rsidRDefault="000B7295" w:rsidP="000B7295">
      <w:pPr>
        <w:pStyle w:val="Tekstprzypisudolnego"/>
        <w:rPr>
          <w:sz w:val="16"/>
          <w:szCs w:val="16"/>
        </w:rPr>
      </w:pPr>
      <w:r w:rsidRPr="00754614">
        <w:rPr>
          <w:rStyle w:val="Odwoanieprzypisudolnego"/>
          <w:sz w:val="16"/>
          <w:szCs w:val="16"/>
        </w:rPr>
        <w:footnoteRef/>
      </w:r>
      <w:r w:rsidRPr="00754614">
        <w:rPr>
          <w:sz w:val="16"/>
          <w:szCs w:val="16"/>
        </w:rPr>
        <w:t xml:space="preserve"> </w:t>
      </w:r>
      <w:r>
        <w:rPr>
          <w:sz w:val="16"/>
          <w:szCs w:val="16"/>
        </w:rPr>
        <w:t>Z</w:t>
      </w:r>
      <w:r w:rsidRPr="00754614">
        <w:rPr>
          <w:sz w:val="16"/>
          <w:szCs w:val="16"/>
        </w:rPr>
        <w:t>godnie z definicją ustaloną przez Światową Organizację Zdrowia (WHO), 2004</w:t>
      </w:r>
    </w:p>
  </w:footnote>
  <w:footnote w:id="5">
    <w:p w14:paraId="27F4D3C9" w14:textId="77777777" w:rsidR="00B73CC2" w:rsidRPr="00F30219" w:rsidRDefault="00B73CC2" w:rsidP="00B73CC2">
      <w:pPr>
        <w:pStyle w:val="Tekstprzypisudolnego"/>
        <w:rPr>
          <w:rFonts w:ascii="Lato" w:hAnsi="Lato"/>
          <w:sz w:val="16"/>
          <w:szCs w:val="16"/>
        </w:rPr>
      </w:pPr>
      <w:r w:rsidRPr="00F30219">
        <w:rPr>
          <w:rStyle w:val="Odwoanieprzypisudolnego"/>
          <w:rFonts w:ascii="Lato" w:hAnsi="Lato"/>
          <w:sz w:val="16"/>
          <w:szCs w:val="16"/>
        </w:rPr>
        <w:footnoteRef/>
      </w:r>
      <w:r w:rsidRPr="00F30219">
        <w:rPr>
          <w:rFonts w:ascii="Lato" w:hAnsi="Lato"/>
          <w:sz w:val="16"/>
          <w:szCs w:val="16"/>
        </w:rPr>
        <w:t xml:space="preserve"> Na podstawie m.in. definicji WHO i OECD; Stan faktyczny i perspektywy rozwoju opieki długoterminowej w Polsce, MZ, Warszawa 2012, http://oipip.opole.pl/wp-content/uploads/2014/04/pod_strategia.pdf.</w:t>
      </w:r>
    </w:p>
  </w:footnote>
  <w:footnote w:id="6">
    <w:p w14:paraId="766D8C26" w14:textId="77777777" w:rsidR="00B73CC2" w:rsidRPr="00F30219" w:rsidRDefault="00B73CC2" w:rsidP="00B73CC2">
      <w:pPr>
        <w:pStyle w:val="Tekstprzypisudolnego"/>
        <w:rPr>
          <w:rFonts w:ascii="Lato" w:hAnsi="Lato"/>
          <w:sz w:val="16"/>
          <w:szCs w:val="16"/>
        </w:rPr>
      </w:pPr>
      <w:r w:rsidRPr="00F30219">
        <w:rPr>
          <w:rStyle w:val="Odwoanieprzypisudolnego"/>
          <w:rFonts w:ascii="Lato" w:hAnsi="Lato"/>
          <w:sz w:val="16"/>
          <w:szCs w:val="16"/>
        </w:rPr>
        <w:footnoteRef/>
      </w:r>
      <w:r w:rsidRPr="00F30219">
        <w:rPr>
          <w:rFonts w:ascii="Lato" w:hAnsi="Lato"/>
          <w:sz w:val="16"/>
          <w:szCs w:val="16"/>
        </w:rPr>
        <w:t xml:space="preserve"> Wykaz i warunki realizacji świadczeń gwarantowanych z zakresu świadczeń opieki długoterminowej zostały zawarte w rozporządzeniu Ministra Zdrowia z dnia 22 listopada 2013 r. w sprawie świadczeń gwarantowanych z zakresu świadczeń pielęgnacyjnych i opiekuńczych w ramach opieki długoterminowej (Dz.U. z 2022 r. poz. 965).</w:t>
      </w:r>
    </w:p>
  </w:footnote>
  <w:footnote w:id="7">
    <w:p w14:paraId="63A68E9B" w14:textId="77777777" w:rsidR="00B73CC2" w:rsidRPr="00F30219" w:rsidRDefault="00B73CC2" w:rsidP="00B73CC2">
      <w:pPr>
        <w:pStyle w:val="Tekstprzypisudolnego"/>
        <w:rPr>
          <w:rFonts w:ascii="Lato" w:hAnsi="Lato"/>
          <w:sz w:val="16"/>
          <w:szCs w:val="16"/>
        </w:rPr>
      </w:pPr>
      <w:r w:rsidRPr="00F30219">
        <w:rPr>
          <w:rStyle w:val="Odwoanieprzypisudolnego"/>
          <w:rFonts w:ascii="Lato" w:hAnsi="Lato"/>
          <w:sz w:val="16"/>
          <w:szCs w:val="16"/>
        </w:rPr>
        <w:footnoteRef/>
      </w:r>
      <w:r w:rsidRPr="00F30219">
        <w:rPr>
          <w:rFonts w:ascii="Lato" w:hAnsi="Lato"/>
          <w:sz w:val="16"/>
          <w:szCs w:val="16"/>
        </w:rPr>
        <w:t xml:space="preserve"> Zgodnie z § 4 ust. 1 i § 6 ww. rozporządzenia.</w:t>
      </w:r>
    </w:p>
  </w:footnote>
  <w:footnote w:id="8">
    <w:p w14:paraId="07B9B371" w14:textId="77777777" w:rsidR="00B73CC2" w:rsidRDefault="00B73CC2" w:rsidP="00B73CC2">
      <w:pPr>
        <w:pStyle w:val="Tekstprzypisudolnego"/>
      </w:pPr>
      <w:r w:rsidRPr="00F30219">
        <w:rPr>
          <w:rStyle w:val="Odwoanieprzypisudolnego"/>
          <w:rFonts w:ascii="Lato" w:hAnsi="Lato"/>
          <w:sz w:val="16"/>
          <w:szCs w:val="16"/>
        </w:rPr>
        <w:footnoteRef/>
      </w:r>
      <w:r w:rsidRPr="00F30219">
        <w:rPr>
          <w:rFonts w:ascii="Lato" w:hAnsi="Lato"/>
          <w:sz w:val="16"/>
          <w:szCs w:val="16"/>
        </w:rPr>
        <w:t xml:space="preserve"> Kod resortowy komórki 5160, 5170</w:t>
      </w:r>
    </w:p>
  </w:footnote>
  <w:footnote w:id="9">
    <w:p w14:paraId="4A6566EC" w14:textId="77777777" w:rsidR="00B73CC2" w:rsidRPr="00F27071" w:rsidRDefault="00B73CC2" w:rsidP="00B73CC2">
      <w:pPr>
        <w:pStyle w:val="Tekstprzypisudolnego"/>
        <w:rPr>
          <w:sz w:val="16"/>
          <w:szCs w:val="16"/>
        </w:rPr>
      </w:pPr>
      <w:r w:rsidRPr="00F27071">
        <w:rPr>
          <w:rStyle w:val="Odwoanieprzypisudolnego"/>
          <w:sz w:val="16"/>
          <w:szCs w:val="16"/>
        </w:rPr>
        <w:footnoteRef/>
      </w:r>
      <w:r w:rsidRPr="00F27071">
        <w:rPr>
          <w:sz w:val="16"/>
          <w:szCs w:val="16"/>
        </w:rPr>
        <w:t xml:space="preserve"> Zgodnie z § 3 ust. 1 i 2 rozporządzenia Ministra Zdrowia z dnia 29 października 2013 r. w sprawie świadczeń gwarantowanych z zakresu opieki paliatywnej i hospicyjnej </w:t>
      </w:r>
      <w:r w:rsidRPr="00237A5B">
        <w:rPr>
          <w:sz w:val="16"/>
          <w:szCs w:val="16"/>
        </w:rPr>
        <w:t>(Dz.U. z 2022 r. poz. 262)</w:t>
      </w:r>
    </w:p>
  </w:footnote>
  <w:footnote w:id="10">
    <w:p w14:paraId="2F2A3F48" w14:textId="77777777" w:rsidR="00B73CC2" w:rsidRPr="00F27071" w:rsidRDefault="00B73CC2" w:rsidP="00B73CC2">
      <w:pPr>
        <w:pStyle w:val="Tekstprzypisudolnego"/>
        <w:rPr>
          <w:sz w:val="16"/>
          <w:szCs w:val="16"/>
        </w:rPr>
      </w:pPr>
      <w:r w:rsidRPr="00F27071">
        <w:rPr>
          <w:rStyle w:val="Odwoanieprzypisudolnego"/>
          <w:sz w:val="16"/>
          <w:szCs w:val="16"/>
        </w:rPr>
        <w:footnoteRef/>
      </w:r>
      <w:r w:rsidRPr="00F27071">
        <w:rPr>
          <w:sz w:val="16"/>
          <w:szCs w:val="16"/>
        </w:rPr>
        <w:t xml:space="preserve"> </w:t>
      </w:r>
      <w:r>
        <w:rPr>
          <w:sz w:val="16"/>
          <w:szCs w:val="16"/>
        </w:rPr>
        <w:t>K</w:t>
      </w:r>
      <w:r w:rsidRPr="00F27071">
        <w:rPr>
          <w:sz w:val="16"/>
          <w:szCs w:val="16"/>
        </w:rPr>
        <w:t>od resortowy komórki</w:t>
      </w:r>
      <w:r w:rsidRPr="00B954D1">
        <w:rPr>
          <w:sz w:val="16"/>
          <w:szCs w:val="16"/>
        </w:rPr>
        <w:t>: 2184</w:t>
      </w:r>
    </w:p>
  </w:footnote>
  <w:footnote w:id="11">
    <w:p w14:paraId="02CA74F1" w14:textId="77777777" w:rsidR="00B73CC2" w:rsidRPr="00F27071" w:rsidRDefault="00B73CC2" w:rsidP="00B73CC2">
      <w:pPr>
        <w:pStyle w:val="Tekstprzypisudolnego"/>
        <w:rPr>
          <w:sz w:val="16"/>
          <w:szCs w:val="16"/>
        </w:rPr>
      </w:pPr>
      <w:r w:rsidRPr="00F27071">
        <w:rPr>
          <w:rStyle w:val="Odwoanieprzypisudolnego"/>
          <w:sz w:val="16"/>
          <w:szCs w:val="16"/>
        </w:rPr>
        <w:footnoteRef/>
      </w:r>
      <w:r w:rsidRPr="00F27071">
        <w:rPr>
          <w:sz w:val="16"/>
          <w:szCs w:val="16"/>
        </w:rPr>
        <w:t xml:space="preserve"> </w:t>
      </w:r>
      <w:r>
        <w:rPr>
          <w:sz w:val="16"/>
          <w:szCs w:val="16"/>
        </w:rPr>
        <w:t>K</w:t>
      </w:r>
      <w:r w:rsidRPr="00F27071">
        <w:rPr>
          <w:sz w:val="16"/>
          <w:szCs w:val="16"/>
        </w:rPr>
        <w:t>od resortowy komórki</w:t>
      </w:r>
      <w:r>
        <w:rPr>
          <w:sz w:val="16"/>
          <w:szCs w:val="16"/>
        </w:rPr>
        <w:t xml:space="preserve">: </w:t>
      </w:r>
      <w:r w:rsidRPr="00F27071">
        <w:rPr>
          <w:sz w:val="16"/>
          <w:szCs w:val="16"/>
        </w:rPr>
        <w:t>2182</w:t>
      </w:r>
    </w:p>
  </w:footnote>
  <w:footnote w:id="12">
    <w:p w14:paraId="2BF4F57A" w14:textId="77777777" w:rsidR="00B73CC2" w:rsidRDefault="00B73CC2" w:rsidP="00B73CC2">
      <w:pPr>
        <w:pStyle w:val="Tekstprzypisudolnego"/>
      </w:pPr>
      <w:r w:rsidRPr="00F27071">
        <w:rPr>
          <w:rStyle w:val="Odwoanieprzypisudolnego"/>
          <w:sz w:val="16"/>
          <w:szCs w:val="16"/>
        </w:rPr>
        <w:footnoteRef/>
      </w:r>
      <w:r w:rsidRPr="00F27071">
        <w:rPr>
          <w:sz w:val="16"/>
          <w:szCs w:val="16"/>
        </w:rPr>
        <w:t xml:space="preserve"> kod resortowy komórki 2180</w:t>
      </w:r>
    </w:p>
  </w:footnote>
  <w:footnote w:id="13">
    <w:p w14:paraId="5B18E23E" w14:textId="77777777" w:rsidR="00B73CC2" w:rsidRDefault="00B73CC2" w:rsidP="00B73CC2">
      <w:pPr>
        <w:pStyle w:val="Tekstprzypisudolnego"/>
      </w:pPr>
      <w:r w:rsidRPr="00580A57">
        <w:rPr>
          <w:rStyle w:val="Odwoanieprzypisudolnego"/>
          <w:sz w:val="16"/>
          <w:szCs w:val="16"/>
        </w:rPr>
        <w:footnoteRef/>
      </w:r>
      <w:r w:rsidRPr="00580A57">
        <w:rPr>
          <w:sz w:val="16"/>
          <w:szCs w:val="16"/>
        </w:rPr>
        <w:t xml:space="preserve"> Rozporządzenie Ministra Zdrowia z dnia 6 listopada 2013 r. w sprawie świadczeń gwarantowanych z zakresu rehabilitacji leczniczej (Dz. U. z 2021 r. poz. 265)</w:t>
      </w:r>
    </w:p>
  </w:footnote>
  <w:footnote w:id="14">
    <w:p w14:paraId="4DD33B61" w14:textId="77777777" w:rsidR="00B73CC2" w:rsidRDefault="00B73CC2" w:rsidP="00B73CC2">
      <w:pPr>
        <w:pStyle w:val="Tekstprzypisudolnego"/>
      </w:pPr>
      <w:r>
        <w:rPr>
          <w:rStyle w:val="Odwoanieprzypisudolnego"/>
        </w:rPr>
        <w:footnoteRef/>
      </w:r>
      <w:r>
        <w:t xml:space="preserve"> </w:t>
      </w:r>
      <w:r w:rsidRPr="0003425F">
        <w:t>https://www.urpl.gov.pl/pl/wyroby-medyczne/wprowadzenie-wyrob%C3%B3w-medycznych-do-obrotu-i-do-u%C5%BCywania/informacje-dotycz%C4%85ce-0</w:t>
      </w:r>
    </w:p>
  </w:footnote>
  <w:footnote w:id="15">
    <w:p w14:paraId="291C825F" w14:textId="77777777" w:rsidR="00567F2C" w:rsidRPr="00A83F83" w:rsidRDefault="00567F2C" w:rsidP="00567F2C">
      <w:pPr>
        <w:pStyle w:val="Tekstprzypisudolnego"/>
        <w:rPr>
          <w:sz w:val="16"/>
          <w:szCs w:val="16"/>
        </w:rPr>
      </w:pPr>
      <w:r w:rsidRPr="00A83F83">
        <w:rPr>
          <w:rStyle w:val="Odwoanieprzypisudolnego"/>
          <w:sz w:val="16"/>
          <w:szCs w:val="16"/>
        </w:rPr>
        <w:footnoteRef/>
      </w:r>
      <w:r w:rsidRPr="00A83F83">
        <w:rPr>
          <w:sz w:val="16"/>
          <w:szCs w:val="16"/>
        </w:rPr>
        <w:t xml:space="preserve"> Źródło</w:t>
      </w:r>
      <w:r>
        <w:rPr>
          <w:sz w:val="16"/>
          <w:szCs w:val="16"/>
        </w:rPr>
        <w:t>:</w:t>
      </w:r>
      <w:r w:rsidRPr="00A83F83">
        <w:rPr>
          <w:sz w:val="16"/>
          <w:szCs w:val="16"/>
        </w:rPr>
        <w:t xml:space="preserve"> Centrum Kształcenia Podyplomowego Pielęgniarek i Położnych</w:t>
      </w:r>
    </w:p>
  </w:footnote>
  <w:footnote w:id="16">
    <w:p w14:paraId="28A165D2" w14:textId="77777777" w:rsidR="00567F2C" w:rsidRPr="008A0FC4" w:rsidRDefault="00567F2C" w:rsidP="00567F2C">
      <w:pPr>
        <w:pStyle w:val="Tekstprzypisudolnego"/>
        <w:spacing w:after="60"/>
        <w:rPr>
          <w:rFonts w:ascii="Arial" w:hAnsi="Arial" w:cs="Arial"/>
          <w:sz w:val="16"/>
          <w:szCs w:val="16"/>
        </w:rPr>
      </w:pPr>
      <w:r w:rsidRPr="008A0FC4">
        <w:rPr>
          <w:rStyle w:val="Odwoanieprzypisudolnego"/>
          <w:rFonts w:ascii="Arial" w:hAnsi="Arial" w:cs="Arial"/>
          <w:sz w:val="16"/>
          <w:szCs w:val="16"/>
        </w:rPr>
        <w:footnoteRef/>
      </w:r>
      <w:r w:rsidRPr="008A0FC4">
        <w:rPr>
          <w:rFonts w:ascii="Arial" w:hAnsi="Arial" w:cs="Arial"/>
          <w:sz w:val="16"/>
          <w:szCs w:val="16"/>
        </w:rPr>
        <w:t xml:space="preserve"> (Dz. U. poz. 642).</w:t>
      </w:r>
    </w:p>
  </w:footnote>
  <w:footnote w:id="17">
    <w:p w14:paraId="6A4AD771" w14:textId="77777777" w:rsidR="00C4650B" w:rsidRPr="006B79EE" w:rsidRDefault="00C4650B" w:rsidP="00C4650B">
      <w:pPr>
        <w:pStyle w:val="Tekstprzypisudolnego"/>
        <w:rPr>
          <w:sz w:val="18"/>
          <w:szCs w:val="18"/>
          <w:lang w:val="pl-PL"/>
        </w:rPr>
      </w:pPr>
      <w:r>
        <w:rPr>
          <w:rStyle w:val="Odwoanieprzypisudolnego"/>
        </w:rPr>
        <w:footnoteRef/>
      </w:r>
      <w:r>
        <w:t xml:space="preserve"> </w:t>
      </w:r>
      <w:hyperlink r:id="rId1" w:history="1">
        <w:r w:rsidRPr="006B79EE">
          <w:rPr>
            <w:rStyle w:val="Hipercze"/>
            <w:color w:val="000000"/>
            <w:sz w:val="18"/>
            <w:szCs w:val="18"/>
            <w:lang w:val="pl-PL"/>
          </w:rPr>
          <w:t>https://kujawsko-pomorskie.pl/pliki/2020/planowanie/20201229_strategia/Strategia_Przyspieszenia_2030plus.pdf</w:t>
        </w:r>
      </w:hyperlink>
    </w:p>
  </w:footnote>
  <w:footnote w:id="18">
    <w:p w14:paraId="65C62D9F" w14:textId="77777777" w:rsidR="002C3705" w:rsidRDefault="002C3705" w:rsidP="002C3705">
      <w:pPr>
        <w:widowControl w:val="0"/>
        <w:pBdr>
          <w:top w:val="nil"/>
          <w:left w:val="nil"/>
          <w:bottom w:val="nil"/>
          <w:right w:val="nil"/>
          <w:between w:val="nil"/>
        </w:pBdr>
        <w:spacing w:after="0" w:line="240" w:lineRule="auto"/>
        <w:rPr>
          <w:rFonts w:ascii="Century Gothic" w:eastAsia="Century Gothic" w:hAnsi="Century Gothic" w:cs="Century Gothic"/>
          <w:color w:val="000000"/>
          <w:sz w:val="20"/>
          <w:szCs w:val="20"/>
        </w:rPr>
      </w:pPr>
      <w:r>
        <w:rPr>
          <w:vertAlign w:val="superscript"/>
        </w:rPr>
        <w:footnoteRef/>
      </w:r>
      <w:r>
        <w:rPr>
          <w:rFonts w:ascii="Century Gothic" w:eastAsia="Century Gothic" w:hAnsi="Century Gothic" w:cs="Century Gothic"/>
          <w:color w:val="000000"/>
          <w:sz w:val="18"/>
          <w:szCs w:val="18"/>
        </w:rPr>
        <w:t xml:space="preserve"> Wg stanu na 31.12.2022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8A42" w14:textId="77777777" w:rsidR="00E24505" w:rsidRDefault="00E245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CC5D" w14:textId="77777777" w:rsidR="00E24505" w:rsidRDefault="00E245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CB01" w14:textId="77777777" w:rsidR="00E24505" w:rsidRDefault="00E24505">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CF67" w14:textId="59D318C9" w:rsidR="00915D13" w:rsidRDefault="00915D13">
    <w:pPr>
      <w:pStyle w:val="Tekstpodstawowy"/>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072"/>
    <w:multiLevelType w:val="hybridMultilevel"/>
    <w:tmpl w:val="B4E09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24003B"/>
    <w:multiLevelType w:val="hybridMultilevel"/>
    <w:tmpl w:val="289A0F3A"/>
    <w:lvl w:ilvl="0" w:tplc="FFFFFFFF">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F0EC6"/>
    <w:multiLevelType w:val="hybridMultilevel"/>
    <w:tmpl w:val="D52E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884981"/>
    <w:multiLevelType w:val="hybridMultilevel"/>
    <w:tmpl w:val="5DA4D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8B2C60"/>
    <w:multiLevelType w:val="hybridMultilevel"/>
    <w:tmpl w:val="138EA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57608C"/>
    <w:multiLevelType w:val="hybridMultilevel"/>
    <w:tmpl w:val="6C161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591FE7"/>
    <w:multiLevelType w:val="hybridMultilevel"/>
    <w:tmpl w:val="B8ECAF18"/>
    <w:lvl w:ilvl="0" w:tplc="0415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03987B32"/>
    <w:multiLevelType w:val="hybridMultilevel"/>
    <w:tmpl w:val="069CEE16"/>
    <w:lvl w:ilvl="0" w:tplc="8FDEBF94">
      <w:start w:val="1"/>
      <w:numFmt w:val="bullet"/>
      <w:lvlText w:val=""/>
      <w:lvlJc w:val="left"/>
      <w:pPr>
        <w:ind w:left="770" w:hanging="360"/>
      </w:pPr>
      <w:rPr>
        <w:rFonts w:ascii="Symbol" w:hAnsi="Symbol" w:hint="default"/>
        <w:color w:val="auto"/>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3C66295"/>
    <w:multiLevelType w:val="hybridMultilevel"/>
    <w:tmpl w:val="528C2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393783"/>
    <w:multiLevelType w:val="hybridMultilevel"/>
    <w:tmpl w:val="BCF22C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47125A0"/>
    <w:multiLevelType w:val="hybridMultilevel"/>
    <w:tmpl w:val="6548F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8E607D"/>
    <w:multiLevelType w:val="hybridMultilevel"/>
    <w:tmpl w:val="D07494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C8691E"/>
    <w:multiLevelType w:val="hybridMultilevel"/>
    <w:tmpl w:val="DB04B46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C91177"/>
    <w:multiLevelType w:val="hybridMultilevel"/>
    <w:tmpl w:val="88AE000A"/>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6D55BE7"/>
    <w:multiLevelType w:val="hybridMultilevel"/>
    <w:tmpl w:val="D20C9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7D828E4"/>
    <w:multiLevelType w:val="hybridMultilevel"/>
    <w:tmpl w:val="BF406BF4"/>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7F87797"/>
    <w:multiLevelType w:val="hybridMultilevel"/>
    <w:tmpl w:val="5D2E144A"/>
    <w:lvl w:ilvl="0" w:tplc="04150001">
      <w:start w:val="1"/>
      <w:numFmt w:val="bullet"/>
      <w:lvlText w:val=""/>
      <w:lvlJc w:val="left"/>
      <w:pPr>
        <w:ind w:left="-1405" w:hanging="360"/>
      </w:pPr>
      <w:rPr>
        <w:rFonts w:ascii="Symbol" w:hAnsi="Symbol" w:hint="default"/>
      </w:rPr>
    </w:lvl>
    <w:lvl w:ilvl="1" w:tplc="04150003" w:tentative="1">
      <w:start w:val="1"/>
      <w:numFmt w:val="bullet"/>
      <w:lvlText w:val="o"/>
      <w:lvlJc w:val="left"/>
      <w:pPr>
        <w:ind w:left="-685" w:hanging="360"/>
      </w:pPr>
      <w:rPr>
        <w:rFonts w:ascii="Courier New" w:hAnsi="Courier New" w:cs="Courier New" w:hint="default"/>
      </w:rPr>
    </w:lvl>
    <w:lvl w:ilvl="2" w:tplc="04150005" w:tentative="1">
      <w:start w:val="1"/>
      <w:numFmt w:val="bullet"/>
      <w:lvlText w:val=""/>
      <w:lvlJc w:val="left"/>
      <w:pPr>
        <w:ind w:left="35" w:hanging="360"/>
      </w:pPr>
      <w:rPr>
        <w:rFonts w:ascii="Wingdings" w:hAnsi="Wingdings" w:hint="default"/>
      </w:rPr>
    </w:lvl>
    <w:lvl w:ilvl="3" w:tplc="04150001" w:tentative="1">
      <w:start w:val="1"/>
      <w:numFmt w:val="bullet"/>
      <w:lvlText w:val=""/>
      <w:lvlJc w:val="left"/>
      <w:pPr>
        <w:ind w:left="755" w:hanging="360"/>
      </w:pPr>
      <w:rPr>
        <w:rFonts w:ascii="Symbol" w:hAnsi="Symbol" w:hint="default"/>
      </w:rPr>
    </w:lvl>
    <w:lvl w:ilvl="4" w:tplc="04150003" w:tentative="1">
      <w:start w:val="1"/>
      <w:numFmt w:val="bullet"/>
      <w:lvlText w:val="o"/>
      <w:lvlJc w:val="left"/>
      <w:pPr>
        <w:ind w:left="1475" w:hanging="360"/>
      </w:pPr>
      <w:rPr>
        <w:rFonts w:ascii="Courier New" w:hAnsi="Courier New" w:cs="Courier New" w:hint="default"/>
      </w:rPr>
    </w:lvl>
    <w:lvl w:ilvl="5" w:tplc="04150005" w:tentative="1">
      <w:start w:val="1"/>
      <w:numFmt w:val="bullet"/>
      <w:lvlText w:val=""/>
      <w:lvlJc w:val="left"/>
      <w:pPr>
        <w:ind w:left="2195" w:hanging="360"/>
      </w:pPr>
      <w:rPr>
        <w:rFonts w:ascii="Wingdings" w:hAnsi="Wingdings" w:hint="default"/>
      </w:rPr>
    </w:lvl>
    <w:lvl w:ilvl="6" w:tplc="04150001" w:tentative="1">
      <w:start w:val="1"/>
      <w:numFmt w:val="bullet"/>
      <w:lvlText w:val=""/>
      <w:lvlJc w:val="left"/>
      <w:pPr>
        <w:ind w:left="2915" w:hanging="360"/>
      </w:pPr>
      <w:rPr>
        <w:rFonts w:ascii="Symbol" w:hAnsi="Symbol" w:hint="default"/>
      </w:rPr>
    </w:lvl>
    <w:lvl w:ilvl="7" w:tplc="04150003" w:tentative="1">
      <w:start w:val="1"/>
      <w:numFmt w:val="bullet"/>
      <w:lvlText w:val="o"/>
      <w:lvlJc w:val="left"/>
      <w:pPr>
        <w:ind w:left="3635" w:hanging="360"/>
      </w:pPr>
      <w:rPr>
        <w:rFonts w:ascii="Courier New" w:hAnsi="Courier New" w:cs="Courier New" w:hint="default"/>
      </w:rPr>
    </w:lvl>
    <w:lvl w:ilvl="8" w:tplc="04150005" w:tentative="1">
      <w:start w:val="1"/>
      <w:numFmt w:val="bullet"/>
      <w:lvlText w:val=""/>
      <w:lvlJc w:val="left"/>
      <w:pPr>
        <w:ind w:left="4355" w:hanging="360"/>
      </w:pPr>
      <w:rPr>
        <w:rFonts w:ascii="Wingdings" w:hAnsi="Wingdings" w:hint="default"/>
      </w:rPr>
    </w:lvl>
  </w:abstractNum>
  <w:abstractNum w:abstractNumId="17" w15:restartNumberingAfterBreak="0">
    <w:nsid w:val="08235324"/>
    <w:multiLevelType w:val="hybridMultilevel"/>
    <w:tmpl w:val="CB2A7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880576E"/>
    <w:multiLevelType w:val="hybridMultilevel"/>
    <w:tmpl w:val="F6EA1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89A39D3"/>
    <w:multiLevelType w:val="multilevel"/>
    <w:tmpl w:val="2064F94C"/>
    <w:styleLink w:val="WWNum6"/>
    <w:lvl w:ilvl="0">
      <w:numFmt w:val="bullet"/>
      <w:lvlText w:val=""/>
      <w:lvlJc w:val="left"/>
      <w:pPr>
        <w:ind w:left="360" w:hanging="360"/>
      </w:pPr>
      <w:rPr>
        <w:rFonts w:ascii="Symbol" w:hAnsi="Symbol"/>
      </w:rPr>
    </w:lvl>
    <w:lvl w:ilvl="1">
      <w:numFmt w:val="bullet"/>
      <w:lvlText w:val="o"/>
      <w:lvlJc w:val="left"/>
      <w:pPr>
        <w:ind w:left="514" w:hanging="360"/>
      </w:pPr>
      <w:rPr>
        <w:rFonts w:ascii="Courier New" w:hAnsi="Courier New" w:cs="Courier New"/>
      </w:rPr>
    </w:lvl>
    <w:lvl w:ilvl="2">
      <w:numFmt w:val="bullet"/>
      <w:lvlText w:val=""/>
      <w:lvlJc w:val="left"/>
      <w:pPr>
        <w:ind w:left="1234" w:hanging="360"/>
      </w:pPr>
      <w:rPr>
        <w:rFonts w:ascii="Wingdings" w:hAnsi="Wingdings"/>
      </w:rPr>
    </w:lvl>
    <w:lvl w:ilvl="3">
      <w:numFmt w:val="bullet"/>
      <w:lvlText w:val=""/>
      <w:lvlJc w:val="left"/>
      <w:pPr>
        <w:ind w:left="1954" w:hanging="360"/>
      </w:pPr>
      <w:rPr>
        <w:rFonts w:ascii="Symbol" w:hAnsi="Symbol"/>
      </w:rPr>
    </w:lvl>
    <w:lvl w:ilvl="4">
      <w:numFmt w:val="bullet"/>
      <w:lvlText w:val="o"/>
      <w:lvlJc w:val="left"/>
      <w:pPr>
        <w:ind w:left="2674" w:hanging="360"/>
      </w:pPr>
      <w:rPr>
        <w:rFonts w:ascii="Courier New" w:hAnsi="Courier New" w:cs="Courier New"/>
      </w:rPr>
    </w:lvl>
    <w:lvl w:ilvl="5">
      <w:numFmt w:val="bullet"/>
      <w:lvlText w:val=""/>
      <w:lvlJc w:val="left"/>
      <w:pPr>
        <w:ind w:left="3394" w:hanging="360"/>
      </w:pPr>
      <w:rPr>
        <w:rFonts w:ascii="Wingdings" w:hAnsi="Wingdings"/>
      </w:rPr>
    </w:lvl>
    <w:lvl w:ilvl="6">
      <w:numFmt w:val="bullet"/>
      <w:lvlText w:val=""/>
      <w:lvlJc w:val="left"/>
      <w:pPr>
        <w:ind w:left="4114" w:hanging="360"/>
      </w:pPr>
      <w:rPr>
        <w:rFonts w:ascii="Symbol" w:hAnsi="Symbol"/>
      </w:rPr>
    </w:lvl>
    <w:lvl w:ilvl="7">
      <w:numFmt w:val="bullet"/>
      <w:lvlText w:val="o"/>
      <w:lvlJc w:val="left"/>
      <w:pPr>
        <w:ind w:left="4834" w:hanging="360"/>
      </w:pPr>
      <w:rPr>
        <w:rFonts w:ascii="Courier New" w:hAnsi="Courier New" w:cs="Courier New"/>
      </w:rPr>
    </w:lvl>
    <w:lvl w:ilvl="8">
      <w:numFmt w:val="bullet"/>
      <w:lvlText w:val=""/>
      <w:lvlJc w:val="left"/>
      <w:pPr>
        <w:ind w:left="5554" w:hanging="360"/>
      </w:pPr>
      <w:rPr>
        <w:rFonts w:ascii="Wingdings" w:hAnsi="Wingdings"/>
      </w:rPr>
    </w:lvl>
  </w:abstractNum>
  <w:abstractNum w:abstractNumId="20" w15:restartNumberingAfterBreak="0">
    <w:nsid w:val="09466BE2"/>
    <w:multiLevelType w:val="hybridMultilevel"/>
    <w:tmpl w:val="2D50B4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9B87A35"/>
    <w:multiLevelType w:val="hybridMultilevel"/>
    <w:tmpl w:val="25EAD368"/>
    <w:lvl w:ilvl="0" w:tplc="643268C8">
      <w:start w:val="1"/>
      <w:numFmt w:val="upperRoman"/>
      <w:lvlText w:val="%1."/>
      <w:lvlJc w:val="left"/>
      <w:pPr>
        <w:ind w:left="1080" w:hanging="720"/>
      </w:pPr>
      <w:rPr>
        <w:rFonts w:eastAsia="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9CB6139"/>
    <w:multiLevelType w:val="hybridMultilevel"/>
    <w:tmpl w:val="444EF348"/>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A6D3625"/>
    <w:multiLevelType w:val="hybridMultilevel"/>
    <w:tmpl w:val="E0F817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BE330B8"/>
    <w:multiLevelType w:val="hybridMultilevel"/>
    <w:tmpl w:val="6098FB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C345F57"/>
    <w:multiLevelType w:val="multilevel"/>
    <w:tmpl w:val="C8808F24"/>
    <w:lvl w:ilvl="0">
      <w:start w:val="1"/>
      <w:numFmt w:val="lowerLetter"/>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C4B5D82"/>
    <w:multiLevelType w:val="hybridMultilevel"/>
    <w:tmpl w:val="3628FC9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0CD87B89"/>
    <w:multiLevelType w:val="hybridMultilevel"/>
    <w:tmpl w:val="33E67FEE"/>
    <w:lvl w:ilvl="0" w:tplc="ADB44068">
      <w:start w:val="1"/>
      <w:numFmt w:val="decimal"/>
      <w:lvlText w:val="%1."/>
      <w:lvlJc w:val="left"/>
      <w:pPr>
        <w:ind w:left="720" w:hanging="360"/>
      </w:pPr>
      <w:rPr>
        <w:rFonts w:cs="MyriadPro-Regular"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D6B6B47"/>
    <w:multiLevelType w:val="hybridMultilevel"/>
    <w:tmpl w:val="981A8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DD60044"/>
    <w:multiLevelType w:val="hybridMultilevel"/>
    <w:tmpl w:val="B2F26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E32455B"/>
    <w:multiLevelType w:val="hybridMultilevel"/>
    <w:tmpl w:val="D1DC6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E79635F"/>
    <w:multiLevelType w:val="hybridMultilevel"/>
    <w:tmpl w:val="0186BD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9111E3"/>
    <w:multiLevelType w:val="hybridMultilevel"/>
    <w:tmpl w:val="5AB2D1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F0734DA"/>
    <w:multiLevelType w:val="hybridMultilevel"/>
    <w:tmpl w:val="88466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0180CA1"/>
    <w:multiLevelType w:val="hybridMultilevel"/>
    <w:tmpl w:val="6DDE70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5F32AF"/>
    <w:multiLevelType w:val="hybridMultilevel"/>
    <w:tmpl w:val="4C5E4258"/>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0DC7710"/>
    <w:multiLevelType w:val="hybridMultilevel"/>
    <w:tmpl w:val="C6C4F35E"/>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1841FAE"/>
    <w:multiLevelType w:val="hybridMultilevel"/>
    <w:tmpl w:val="0ED69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F22F56"/>
    <w:multiLevelType w:val="hybridMultilevel"/>
    <w:tmpl w:val="83E67760"/>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1B51EF"/>
    <w:multiLevelType w:val="hybridMultilevel"/>
    <w:tmpl w:val="FD5C7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2AA39A4"/>
    <w:multiLevelType w:val="hybridMultilevel"/>
    <w:tmpl w:val="1B107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D81A26"/>
    <w:multiLevelType w:val="hybridMultilevel"/>
    <w:tmpl w:val="C2A4A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3C93B33"/>
    <w:multiLevelType w:val="hybridMultilevel"/>
    <w:tmpl w:val="96CC7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4B461C0"/>
    <w:multiLevelType w:val="multilevel"/>
    <w:tmpl w:val="AF90A6DA"/>
    <w:lvl w:ilvl="0">
      <w:start w:val="3"/>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4C63483"/>
    <w:multiLevelType w:val="hybridMultilevel"/>
    <w:tmpl w:val="62DE4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50A4D85"/>
    <w:multiLevelType w:val="hybridMultilevel"/>
    <w:tmpl w:val="6E44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6B26E77"/>
    <w:multiLevelType w:val="hybridMultilevel"/>
    <w:tmpl w:val="E8221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6D3481F"/>
    <w:multiLevelType w:val="hybridMultilevel"/>
    <w:tmpl w:val="79BCA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6EF15F9"/>
    <w:multiLevelType w:val="hybridMultilevel"/>
    <w:tmpl w:val="6E8201B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75C6B40"/>
    <w:multiLevelType w:val="hybridMultilevel"/>
    <w:tmpl w:val="909403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6B0BD2"/>
    <w:multiLevelType w:val="hybridMultilevel"/>
    <w:tmpl w:val="6BC836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17711029"/>
    <w:multiLevelType w:val="multilevel"/>
    <w:tmpl w:val="55E0C56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7D62B2F"/>
    <w:multiLevelType w:val="hybridMultilevel"/>
    <w:tmpl w:val="A55683B2"/>
    <w:lvl w:ilvl="0" w:tplc="D38C516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8454F30"/>
    <w:multiLevelType w:val="hybridMultilevel"/>
    <w:tmpl w:val="39249F18"/>
    <w:lvl w:ilvl="0" w:tplc="FFFFFFFF">
      <w:start w:val="1"/>
      <w:numFmt w:val="bullet"/>
      <w:lvlText w:val=""/>
      <w:lvlJc w:val="left"/>
      <w:pPr>
        <w:ind w:left="774" w:hanging="360"/>
      </w:pPr>
      <w:rPr>
        <w:rFonts w:ascii="Symbol" w:hAnsi="Symbol" w:hint="default"/>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54" w15:restartNumberingAfterBreak="0">
    <w:nsid w:val="18FF1439"/>
    <w:multiLevelType w:val="hybridMultilevel"/>
    <w:tmpl w:val="17A8F37E"/>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9C55A2A"/>
    <w:multiLevelType w:val="hybridMultilevel"/>
    <w:tmpl w:val="7DFEF904"/>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56" w15:restartNumberingAfterBreak="0">
    <w:nsid w:val="19F04AD1"/>
    <w:multiLevelType w:val="hybridMultilevel"/>
    <w:tmpl w:val="E0060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A0617E0"/>
    <w:multiLevelType w:val="hybridMultilevel"/>
    <w:tmpl w:val="4A9A4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C226AE2"/>
    <w:multiLevelType w:val="hybridMultilevel"/>
    <w:tmpl w:val="D1E8502C"/>
    <w:lvl w:ilvl="0" w:tplc="0278005A">
      <w:start w:val="1"/>
      <w:numFmt w:val="decimal"/>
      <w:lvlText w:val="%1."/>
      <w:lvlJc w:val="left"/>
      <w:pPr>
        <w:ind w:left="720" w:hanging="360"/>
      </w:pPr>
      <w:rPr>
        <w:rFonts w:ascii="Lato" w:eastAsiaTheme="minorHAnsi" w:hAnsi="Lato"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CA771BF"/>
    <w:multiLevelType w:val="hybridMultilevel"/>
    <w:tmpl w:val="DADA76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D836DE2"/>
    <w:multiLevelType w:val="hybridMultilevel"/>
    <w:tmpl w:val="6FEE7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E0B4CC9"/>
    <w:multiLevelType w:val="hybridMultilevel"/>
    <w:tmpl w:val="F2D2E97A"/>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E6408A9"/>
    <w:multiLevelType w:val="hybridMultilevel"/>
    <w:tmpl w:val="C0EE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FDE3B97"/>
    <w:multiLevelType w:val="hybridMultilevel"/>
    <w:tmpl w:val="843A3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0CB3F63"/>
    <w:multiLevelType w:val="hybridMultilevel"/>
    <w:tmpl w:val="E258F0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16B419F"/>
    <w:multiLevelType w:val="hybridMultilevel"/>
    <w:tmpl w:val="0700F7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2DA45CF"/>
    <w:multiLevelType w:val="hybridMultilevel"/>
    <w:tmpl w:val="97260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2EB59D2"/>
    <w:multiLevelType w:val="hybridMultilevel"/>
    <w:tmpl w:val="17AC7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32758BC"/>
    <w:multiLevelType w:val="hybridMultilevel"/>
    <w:tmpl w:val="25405B6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34D72E0"/>
    <w:multiLevelType w:val="hybridMultilevel"/>
    <w:tmpl w:val="ABB249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2423140E"/>
    <w:multiLevelType w:val="hybridMultilevel"/>
    <w:tmpl w:val="39FA7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4644819"/>
    <w:multiLevelType w:val="multilevel"/>
    <w:tmpl w:val="246448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4807E14"/>
    <w:multiLevelType w:val="hybridMultilevel"/>
    <w:tmpl w:val="69CC2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54800C5"/>
    <w:multiLevelType w:val="hybridMultilevel"/>
    <w:tmpl w:val="D7603EE8"/>
    <w:lvl w:ilvl="0" w:tplc="B70614AC">
      <w:start w:val="1"/>
      <w:numFmt w:val="decimal"/>
      <w:lvlText w:val="%1."/>
      <w:lvlJc w:val="left"/>
      <w:pPr>
        <w:ind w:left="-1395" w:hanging="360"/>
      </w:pPr>
      <w:rPr>
        <w:rFonts w:ascii="Lato" w:eastAsiaTheme="minorHAnsi" w:hAnsi="Lato" w:cs="Times New Roman"/>
      </w:rPr>
    </w:lvl>
    <w:lvl w:ilvl="1" w:tplc="04150019" w:tentative="1">
      <w:start w:val="1"/>
      <w:numFmt w:val="lowerLetter"/>
      <w:lvlText w:val="%2."/>
      <w:lvlJc w:val="left"/>
      <w:pPr>
        <w:ind w:left="-675" w:hanging="360"/>
      </w:pPr>
    </w:lvl>
    <w:lvl w:ilvl="2" w:tplc="0415001B" w:tentative="1">
      <w:start w:val="1"/>
      <w:numFmt w:val="lowerRoman"/>
      <w:lvlText w:val="%3."/>
      <w:lvlJc w:val="right"/>
      <w:pPr>
        <w:ind w:left="45" w:hanging="180"/>
      </w:pPr>
    </w:lvl>
    <w:lvl w:ilvl="3" w:tplc="0415000F" w:tentative="1">
      <w:start w:val="1"/>
      <w:numFmt w:val="decimal"/>
      <w:lvlText w:val="%4."/>
      <w:lvlJc w:val="left"/>
      <w:pPr>
        <w:ind w:left="765" w:hanging="360"/>
      </w:pPr>
    </w:lvl>
    <w:lvl w:ilvl="4" w:tplc="04150019" w:tentative="1">
      <w:start w:val="1"/>
      <w:numFmt w:val="lowerLetter"/>
      <w:lvlText w:val="%5."/>
      <w:lvlJc w:val="left"/>
      <w:pPr>
        <w:ind w:left="1485" w:hanging="360"/>
      </w:pPr>
    </w:lvl>
    <w:lvl w:ilvl="5" w:tplc="0415001B" w:tentative="1">
      <w:start w:val="1"/>
      <w:numFmt w:val="lowerRoman"/>
      <w:lvlText w:val="%6."/>
      <w:lvlJc w:val="right"/>
      <w:pPr>
        <w:ind w:left="2205" w:hanging="180"/>
      </w:pPr>
    </w:lvl>
    <w:lvl w:ilvl="6" w:tplc="0415000F" w:tentative="1">
      <w:start w:val="1"/>
      <w:numFmt w:val="decimal"/>
      <w:lvlText w:val="%7."/>
      <w:lvlJc w:val="left"/>
      <w:pPr>
        <w:ind w:left="2925" w:hanging="360"/>
      </w:pPr>
    </w:lvl>
    <w:lvl w:ilvl="7" w:tplc="04150019" w:tentative="1">
      <w:start w:val="1"/>
      <w:numFmt w:val="lowerLetter"/>
      <w:lvlText w:val="%8."/>
      <w:lvlJc w:val="left"/>
      <w:pPr>
        <w:ind w:left="3645" w:hanging="360"/>
      </w:pPr>
    </w:lvl>
    <w:lvl w:ilvl="8" w:tplc="0415001B" w:tentative="1">
      <w:start w:val="1"/>
      <w:numFmt w:val="lowerRoman"/>
      <w:lvlText w:val="%9."/>
      <w:lvlJc w:val="right"/>
      <w:pPr>
        <w:ind w:left="4365" w:hanging="180"/>
      </w:pPr>
    </w:lvl>
  </w:abstractNum>
  <w:abstractNum w:abstractNumId="75" w15:restartNumberingAfterBreak="0">
    <w:nsid w:val="259C7937"/>
    <w:multiLevelType w:val="hybridMultilevel"/>
    <w:tmpl w:val="A5729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5D34579"/>
    <w:multiLevelType w:val="hybridMultilevel"/>
    <w:tmpl w:val="EF16A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5E4546D"/>
    <w:multiLevelType w:val="hybridMultilevel"/>
    <w:tmpl w:val="66E26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6426C76"/>
    <w:multiLevelType w:val="hybridMultilevel"/>
    <w:tmpl w:val="62F4B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65A7CBA"/>
    <w:multiLevelType w:val="hybridMultilevel"/>
    <w:tmpl w:val="67EAE5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67632BB"/>
    <w:multiLevelType w:val="multilevel"/>
    <w:tmpl w:val="B52CE988"/>
    <w:styleLink w:val="WWNum19"/>
    <w:lvl w:ilvl="0">
      <w:start w:val="1"/>
      <w:numFmt w:val="lowerLetter"/>
      <w:lvlText w:val="%1)"/>
      <w:lvlJc w:val="left"/>
      <w:pPr>
        <w:ind w:left="363" w:hanging="360"/>
      </w:pPr>
    </w:lvl>
    <w:lvl w:ilvl="1">
      <w:numFmt w:val="bullet"/>
      <w:lvlText w:val=""/>
      <w:lvlJc w:val="left"/>
      <w:pPr>
        <w:ind w:left="360" w:hanging="360"/>
      </w:pPr>
      <w:rPr>
        <w:rFonts w:ascii="Wingdings" w:hAnsi="Wingdings"/>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81" w15:restartNumberingAfterBreak="0">
    <w:nsid w:val="27B6195F"/>
    <w:multiLevelType w:val="hybridMultilevel"/>
    <w:tmpl w:val="30B63184"/>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7CB4A34"/>
    <w:multiLevelType w:val="hybridMultilevel"/>
    <w:tmpl w:val="D7AEE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0A4F6E"/>
    <w:multiLevelType w:val="hybridMultilevel"/>
    <w:tmpl w:val="E3D27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245A3"/>
    <w:multiLevelType w:val="hybridMultilevel"/>
    <w:tmpl w:val="9D0AF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8370AC5"/>
    <w:multiLevelType w:val="hybridMultilevel"/>
    <w:tmpl w:val="AE928A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84E725F"/>
    <w:multiLevelType w:val="multilevel"/>
    <w:tmpl w:val="52865D8C"/>
    <w:lvl w:ilvl="0">
      <w:start w:val="1"/>
      <w:numFmt w:val="lowerLetter"/>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86859D5"/>
    <w:multiLevelType w:val="hybridMultilevel"/>
    <w:tmpl w:val="04C2D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86F6B19"/>
    <w:multiLevelType w:val="hybridMultilevel"/>
    <w:tmpl w:val="C88AE16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9" w15:restartNumberingAfterBreak="0">
    <w:nsid w:val="28C3011B"/>
    <w:multiLevelType w:val="multilevel"/>
    <w:tmpl w:val="1B6426DC"/>
    <w:lvl w:ilvl="0">
      <w:numFmt w:val="bullet"/>
      <w:lvlText w:val=""/>
      <w:lvlJc w:val="left"/>
      <w:pPr>
        <w:ind w:left="360" w:hanging="360"/>
      </w:pPr>
      <w:rPr>
        <w:rFonts w:ascii="Symbol" w:hAnsi="Symbol"/>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90" w15:restartNumberingAfterBreak="0">
    <w:nsid w:val="28D07C16"/>
    <w:multiLevelType w:val="hybridMultilevel"/>
    <w:tmpl w:val="5D144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8E62B84"/>
    <w:multiLevelType w:val="hybridMultilevel"/>
    <w:tmpl w:val="0476A014"/>
    <w:lvl w:ilvl="0" w:tplc="0B1C998C">
      <w:start w:val="1"/>
      <w:numFmt w:val="decimal"/>
      <w:lvlText w:val="%1."/>
      <w:lvlJc w:val="left"/>
      <w:pPr>
        <w:ind w:left="380" w:hanging="360"/>
      </w:pPr>
      <w:rPr>
        <w:rFonts w:hint="default"/>
        <w:color w:val="000000"/>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92" w15:restartNumberingAfterBreak="0">
    <w:nsid w:val="28F74423"/>
    <w:multiLevelType w:val="hybridMultilevel"/>
    <w:tmpl w:val="72746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8F85AFC"/>
    <w:multiLevelType w:val="hybridMultilevel"/>
    <w:tmpl w:val="9588EBDA"/>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A1351AE"/>
    <w:multiLevelType w:val="hybridMultilevel"/>
    <w:tmpl w:val="6DCA74B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5" w15:restartNumberingAfterBreak="0">
    <w:nsid w:val="2A8E3932"/>
    <w:multiLevelType w:val="multilevel"/>
    <w:tmpl w:val="F39EAFD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6" w15:restartNumberingAfterBreak="0">
    <w:nsid w:val="2B004825"/>
    <w:multiLevelType w:val="hybridMultilevel"/>
    <w:tmpl w:val="8C227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B035259"/>
    <w:multiLevelType w:val="hybridMultilevel"/>
    <w:tmpl w:val="69FC4B9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B576A90"/>
    <w:multiLevelType w:val="hybridMultilevel"/>
    <w:tmpl w:val="AEB26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BB4532F"/>
    <w:multiLevelType w:val="hybridMultilevel"/>
    <w:tmpl w:val="F97CA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C5C74A3"/>
    <w:multiLevelType w:val="hybridMultilevel"/>
    <w:tmpl w:val="39EA2C5A"/>
    <w:lvl w:ilvl="0" w:tplc="ADB44068">
      <w:start w:val="1"/>
      <w:numFmt w:val="decimal"/>
      <w:lvlText w:val="%1."/>
      <w:lvlJc w:val="left"/>
      <w:pPr>
        <w:ind w:left="720" w:hanging="360"/>
      </w:pPr>
      <w:rPr>
        <w:rFonts w:cs="MyriadPro-Regular"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C707E0A"/>
    <w:multiLevelType w:val="hybridMultilevel"/>
    <w:tmpl w:val="FF2CC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D5B4408"/>
    <w:multiLevelType w:val="hybridMultilevel"/>
    <w:tmpl w:val="34D07ABA"/>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E90070C"/>
    <w:multiLevelType w:val="multilevel"/>
    <w:tmpl w:val="15CC7E9E"/>
    <w:lvl w:ilvl="0">
      <w:start w:val="1"/>
      <w:numFmt w:val="lowerLetter"/>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EF2296E"/>
    <w:multiLevelType w:val="hybridMultilevel"/>
    <w:tmpl w:val="372E2EF2"/>
    <w:lvl w:ilvl="0" w:tplc="04150001">
      <w:start w:val="1"/>
      <w:numFmt w:val="bullet"/>
      <w:lvlText w:val=""/>
      <w:lvlJc w:val="left"/>
      <w:pPr>
        <w:tabs>
          <w:tab w:val="num" w:pos="720"/>
        </w:tabs>
        <w:ind w:left="720" w:hanging="360"/>
      </w:pPr>
      <w:rPr>
        <w:rFonts w:ascii="Symbol" w:hAnsi="Symbol" w:hint="default"/>
      </w:rPr>
    </w:lvl>
    <w:lvl w:ilvl="1" w:tplc="E856ED50" w:tentative="1">
      <w:start w:val="1"/>
      <w:numFmt w:val="bullet"/>
      <w:lvlText w:val=""/>
      <w:lvlJc w:val="left"/>
      <w:pPr>
        <w:tabs>
          <w:tab w:val="num" w:pos="1440"/>
        </w:tabs>
        <w:ind w:left="1440" w:hanging="360"/>
      </w:pPr>
      <w:rPr>
        <w:rFonts w:ascii="Wingdings" w:hAnsi="Wingdings" w:hint="default"/>
      </w:rPr>
    </w:lvl>
    <w:lvl w:ilvl="2" w:tplc="D3DC2B98" w:tentative="1">
      <w:start w:val="1"/>
      <w:numFmt w:val="bullet"/>
      <w:lvlText w:val=""/>
      <w:lvlJc w:val="left"/>
      <w:pPr>
        <w:tabs>
          <w:tab w:val="num" w:pos="2160"/>
        </w:tabs>
        <w:ind w:left="2160" w:hanging="360"/>
      </w:pPr>
      <w:rPr>
        <w:rFonts w:ascii="Wingdings" w:hAnsi="Wingdings" w:hint="default"/>
      </w:rPr>
    </w:lvl>
    <w:lvl w:ilvl="3" w:tplc="DDC2D598" w:tentative="1">
      <w:start w:val="1"/>
      <w:numFmt w:val="bullet"/>
      <w:lvlText w:val=""/>
      <w:lvlJc w:val="left"/>
      <w:pPr>
        <w:tabs>
          <w:tab w:val="num" w:pos="2880"/>
        </w:tabs>
        <w:ind w:left="2880" w:hanging="360"/>
      </w:pPr>
      <w:rPr>
        <w:rFonts w:ascii="Wingdings" w:hAnsi="Wingdings" w:hint="default"/>
      </w:rPr>
    </w:lvl>
    <w:lvl w:ilvl="4" w:tplc="BFD269F6" w:tentative="1">
      <w:start w:val="1"/>
      <w:numFmt w:val="bullet"/>
      <w:lvlText w:val=""/>
      <w:lvlJc w:val="left"/>
      <w:pPr>
        <w:tabs>
          <w:tab w:val="num" w:pos="3600"/>
        </w:tabs>
        <w:ind w:left="3600" w:hanging="360"/>
      </w:pPr>
      <w:rPr>
        <w:rFonts w:ascii="Wingdings" w:hAnsi="Wingdings" w:hint="default"/>
      </w:rPr>
    </w:lvl>
    <w:lvl w:ilvl="5" w:tplc="81480C84" w:tentative="1">
      <w:start w:val="1"/>
      <w:numFmt w:val="bullet"/>
      <w:lvlText w:val=""/>
      <w:lvlJc w:val="left"/>
      <w:pPr>
        <w:tabs>
          <w:tab w:val="num" w:pos="4320"/>
        </w:tabs>
        <w:ind w:left="4320" w:hanging="360"/>
      </w:pPr>
      <w:rPr>
        <w:rFonts w:ascii="Wingdings" w:hAnsi="Wingdings" w:hint="default"/>
      </w:rPr>
    </w:lvl>
    <w:lvl w:ilvl="6" w:tplc="6570EE02" w:tentative="1">
      <w:start w:val="1"/>
      <w:numFmt w:val="bullet"/>
      <w:lvlText w:val=""/>
      <w:lvlJc w:val="left"/>
      <w:pPr>
        <w:tabs>
          <w:tab w:val="num" w:pos="5040"/>
        </w:tabs>
        <w:ind w:left="5040" w:hanging="360"/>
      </w:pPr>
      <w:rPr>
        <w:rFonts w:ascii="Wingdings" w:hAnsi="Wingdings" w:hint="default"/>
      </w:rPr>
    </w:lvl>
    <w:lvl w:ilvl="7" w:tplc="4A60B0CE" w:tentative="1">
      <w:start w:val="1"/>
      <w:numFmt w:val="bullet"/>
      <w:lvlText w:val=""/>
      <w:lvlJc w:val="left"/>
      <w:pPr>
        <w:tabs>
          <w:tab w:val="num" w:pos="5760"/>
        </w:tabs>
        <w:ind w:left="5760" w:hanging="360"/>
      </w:pPr>
      <w:rPr>
        <w:rFonts w:ascii="Wingdings" w:hAnsi="Wingdings" w:hint="default"/>
      </w:rPr>
    </w:lvl>
    <w:lvl w:ilvl="8" w:tplc="4536899E"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F3A1091"/>
    <w:multiLevelType w:val="hybridMultilevel"/>
    <w:tmpl w:val="8BF489E0"/>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F4659CC"/>
    <w:multiLevelType w:val="hybridMultilevel"/>
    <w:tmpl w:val="6738663A"/>
    <w:lvl w:ilvl="0" w:tplc="04150001">
      <w:start w:val="1"/>
      <w:numFmt w:val="bullet"/>
      <w:lvlText w:val=""/>
      <w:lvlJc w:val="left"/>
      <w:pPr>
        <w:ind w:left="1494" w:hanging="360"/>
      </w:pPr>
      <w:rPr>
        <w:rFonts w:ascii="Symbol" w:hAnsi="Symbol"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7" w15:restartNumberingAfterBreak="0">
    <w:nsid w:val="2FB86EF4"/>
    <w:multiLevelType w:val="hybridMultilevel"/>
    <w:tmpl w:val="91E8F4E8"/>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FCC4F3C"/>
    <w:multiLevelType w:val="multilevel"/>
    <w:tmpl w:val="E6EEFF1E"/>
    <w:lvl w:ilvl="0">
      <w:start w:val="1"/>
      <w:numFmt w:val="decimal"/>
      <w:lvlText w:val="%1)"/>
      <w:lvlJc w:val="left"/>
      <w:pPr>
        <w:ind w:left="1003" w:hanging="720"/>
      </w:pPr>
    </w:lvl>
    <w:lvl w:ilvl="1">
      <w:start w:val="1"/>
      <w:numFmt w:val="lowerLetter"/>
      <w:lvlText w:val="%2)"/>
      <w:lvlJc w:val="left"/>
      <w:pPr>
        <w:ind w:left="1723" w:hanging="720"/>
      </w:pPr>
    </w:lvl>
    <w:lvl w:ilvl="2">
      <w:start w:val="1"/>
      <w:numFmt w:val="decimal"/>
      <w:lvlText w:val="%1.%2.%3)"/>
      <w:lvlJc w:val="left"/>
      <w:pPr>
        <w:ind w:left="2263" w:hanging="360"/>
      </w:pPr>
      <w:rPr>
        <w:color w:val="000000"/>
      </w:r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109" w15:restartNumberingAfterBreak="0">
    <w:nsid w:val="3025418C"/>
    <w:multiLevelType w:val="hybridMultilevel"/>
    <w:tmpl w:val="4DDEC22E"/>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1857B1B"/>
    <w:multiLevelType w:val="hybridMultilevel"/>
    <w:tmpl w:val="1276B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1A82AEC"/>
    <w:multiLevelType w:val="hybridMultilevel"/>
    <w:tmpl w:val="C658C022"/>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1B63F32"/>
    <w:multiLevelType w:val="hybridMultilevel"/>
    <w:tmpl w:val="7A489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33504ACB"/>
    <w:multiLevelType w:val="hybridMultilevel"/>
    <w:tmpl w:val="13D40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46967A6"/>
    <w:multiLevelType w:val="hybridMultilevel"/>
    <w:tmpl w:val="476C9232"/>
    <w:lvl w:ilvl="0" w:tplc="04150001">
      <w:start w:val="1"/>
      <w:numFmt w:val="bullet"/>
      <w:lvlText w:val=""/>
      <w:lvlJc w:val="left"/>
      <w:pPr>
        <w:ind w:left="904" w:hanging="360"/>
      </w:pPr>
      <w:rPr>
        <w:rFonts w:ascii="Symbol" w:hAnsi="Symbol" w:hint="default"/>
      </w:rPr>
    </w:lvl>
    <w:lvl w:ilvl="1" w:tplc="04150003" w:tentative="1">
      <w:start w:val="1"/>
      <w:numFmt w:val="bullet"/>
      <w:lvlText w:val="o"/>
      <w:lvlJc w:val="left"/>
      <w:pPr>
        <w:ind w:left="1624" w:hanging="360"/>
      </w:pPr>
      <w:rPr>
        <w:rFonts w:ascii="Courier New" w:hAnsi="Courier New" w:cs="Courier New" w:hint="default"/>
      </w:rPr>
    </w:lvl>
    <w:lvl w:ilvl="2" w:tplc="04150005" w:tentative="1">
      <w:start w:val="1"/>
      <w:numFmt w:val="bullet"/>
      <w:lvlText w:val=""/>
      <w:lvlJc w:val="left"/>
      <w:pPr>
        <w:ind w:left="2344" w:hanging="360"/>
      </w:pPr>
      <w:rPr>
        <w:rFonts w:ascii="Wingdings" w:hAnsi="Wingdings" w:hint="default"/>
      </w:rPr>
    </w:lvl>
    <w:lvl w:ilvl="3" w:tplc="04150001" w:tentative="1">
      <w:start w:val="1"/>
      <w:numFmt w:val="bullet"/>
      <w:lvlText w:val=""/>
      <w:lvlJc w:val="left"/>
      <w:pPr>
        <w:ind w:left="3064" w:hanging="360"/>
      </w:pPr>
      <w:rPr>
        <w:rFonts w:ascii="Symbol" w:hAnsi="Symbol" w:hint="default"/>
      </w:rPr>
    </w:lvl>
    <w:lvl w:ilvl="4" w:tplc="04150003" w:tentative="1">
      <w:start w:val="1"/>
      <w:numFmt w:val="bullet"/>
      <w:lvlText w:val="o"/>
      <w:lvlJc w:val="left"/>
      <w:pPr>
        <w:ind w:left="3784" w:hanging="360"/>
      </w:pPr>
      <w:rPr>
        <w:rFonts w:ascii="Courier New" w:hAnsi="Courier New" w:cs="Courier New" w:hint="default"/>
      </w:rPr>
    </w:lvl>
    <w:lvl w:ilvl="5" w:tplc="04150005" w:tentative="1">
      <w:start w:val="1"/>
      <w:numFmt w:val="bullet"/>
      <w:lvlText w:val=""/>
      <w:lvlJc w:val="left"/>
      <w:pPr>
        <w:ind w:left="4504" w:hanging="360"/>
      </w:pPr>
      <w:rPr>
        <w:rFonts w:ascii="Wingdings" w:hAnsi="Wingdings" w:hint="default"/>
      </w:rPr>
    </w:lvl>
    <w:lvl w:ilvl="6" w:tplc="04150001" w:tentative="1">
      <w:start w:val="1"/>
      <w:numFmt w:val="bullet"/>
      <w:lvlText w:val=""/>
      <w:lvlJc w:val="left"/>
      <w:pPr>
        <w:ind w:left="5224" w:hanging="360"/>
      </w:pPr>
      <w:rPr>
        <w:rFonts w:ascii="Symbol" w:hAnsi="Symbol" w:hint="default"/>
      </w:rPr>
    </w:lvl>
    <w:lvl w:ilvl="7" w:tplc="04150003" w:tentative="1">
      <w:start w:val="1"/>
      <w:numFmt w:val="bullet"/>
      <w:lvlText w:val="o"/>
      <w:lvlJc w:val="left"/>
      <w:pPr>
        <w:ind w:left="5944" w:hanging="360"/>
      </w:pPr>
      <w:rPr>
        <w:rFonts w:ascii="Courier New" w:hAnsi="Courier New" w:cs="Courier New" w:hint="default"/>
      </w:rPr>
    </w:lvl>
    <w:lvl w:ilvl="8" w:tplc="04150005" w:tentative="1">
      <w:start w:val="1"/>
      <w:numFmt w:val="bullet"/>
      <w:lvlText w:val=""/>
      <w:lvlJc w:val="left"/>
      <w:pPr>
        <w:ind w:left="6664" w:hanging="360"/>
      </w:pPr>
      <w:rPr>
        <w:rFonts w:ascii="Wingdings" w:hAnsi="Wingdings" w:hint="default"/>
      </w:rPr>
    </w:lvl>
  </w:abstractNum>
  <w:abstractNum w:abstractNumId="115" w15:restartNumberingAfterBreak="0">
    <w:nsid w:val="34D34FB0"/>
    <w:multiLevelType w:val="hybridMultilevel"/>
    <w:tmpl w:val="BAFA8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4E72CEB"/>
    <w:multiLevelType w:val="multilevel"/>
    <w:tmpl w:val="F3A46A8A"/>
    <w:styleLink w:val="WWNum12"/>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7" w15:restartNumberingAfterBreak="0">
    <w:nsid w:val="35070228"/>
    <w:multiLevelType w:val="hybridMultilevel"/>
    <w:tmpl w:val="BD249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60E75BF"/>
    <w:multiLevelType w:val="hybridMultilevel"/>
    <w:tmpl w:val="13BC9B7C"/>
    <w:lvl w:ilvl="0" w:tplc="04150001">
      <w:start w:val="1"/>
      <w:numFmt w:val="bullet"/>
      <w:lvlText w:val=""/>
      <w:lvlJc w:val="left"/>
      <w:pPr>
        <w:ind w:left="720" w:hanging="360"/>
      </w:pPr>
      <w:rPr>
        <w:rFonts w:ascii="Symbol" w:hAnsi="Symbol" w:hint="default"/>
      </w:rPr>
    </w:lvl>
    <w:lvl w:ilvl="1" w:tplc="662E4EC2">
      <w:start w:val="6"/>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362158E7"/>
    <w:multiLevelType w:val="hybridMultilevel"/>
    <w:tmpl w:val="F9FE2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66F0E91"/>
    <w:multiLevelType w:val="hybridMultilevel"/>
    <w:tmpl w:val="2E82B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68D6CEF"/>
    <w:multiLevelType w:val="hybridMultilevel"/>
    <w:tmpl w:val="D7A67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36EF20C9"/>
    <w:multiLevelType w:val="multilevel"/>
    <w:tmpl w:val="F2C6550C"/>
    <w:styleLink w:val="WWNum26"/>
    <w:lvl w:ilvl="0">
      <w:start w:val="1"/>
      <w:numFmt w:val="lowerLetter"/>
      <w:lvlText w:val="%1)"/>
      <w:lvlJc w:val="left"/>
      <w:pPr>
        <w:ind w:left="363" w:hanging="360"/>
      </w:pPr>
    </w:lvl>
    <w:lvl w:ilvl="1">
      <w:numFmt w:val="bullet"/>
      <w:lvlText w:val=""/>
      <w:lvlJc w:val="left"/>
      <w:pPr>
        <w:ind w:left="360" w:hanging="360"/>
      </w:pPr>
      <w:rPr>
        <w:rFonts w:ascii="Symbol" w:hAnsi="Symbol"/>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124" w15:restartNumberingAfterBreak="0">
    <w:nsid w:val="37160618"/>
    <w:multiLevelType w:val="hybridMultilevel"/>
    <w:tmpl w:val="F500A37E"/>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37D93F8A"/>
    <w:multiLevelType w:val="multilevel"/>
    <w:tmpl w:val="B81ECDBA"/>
    <w:styleLink w:val="WWNum16"/>
    <w:lvl w:ilvl="0">
      <w:numFmt w:val="bullet"/>
      <w:lvlText w:val="-"/>
      <w:lvlJc w:val="left"/>
      <w:pPr>
        <w:ind w:left="-66" w:hanging="360"/>
      </w:pPr>
      <w:rPr>
        <w:rFonts w:ascii="Arial" w:hAnsi="Arial"/>
      </w:rPr>
    </w:lvl>
    <w:lvl w:ilvl="1">
      <w:numFmt w:val="bullet"/>
      <w:lvlText w:val="o"/>
      <w:lvlJc w:val="left"/>
      <w:pPr>
        <w:ind w:left="654" w:hanging="360"/>
      </w:pPr>
      <w:rPr>
        <w:rFonts w:ascii="Courier New" w:hAnsi="Courier New" w:cs="Courier New"/>
      </w:rPr>
    </w:lvl>
    <w:lvl w:ilvl="2">
      <w:numFmt w:val="bullet"/>
      <w:lvlText w:val=""/>
      <w:lvlJc w:val="left"/>
      <w:pPr>
        <w:ind w:left="1374" w:hanging="360"/>
      </w:pPr>
      <w:rPr>
        <w:rFonts w:ascii="Wingdings" w:hAnsi="Wingdings"/>
      </w:rPr>
    </w:lvl>
    <w:lvl w:ilvl="3">
      <w:numFmt w:val="bullet"/>
      <w:lvlText w:val=""/>
      <w:lvlJc w:val="left"/>
      <w:pPr>
        <w:ind w:left="2094" w:hanging="360"/>
      </w:pPr>
      <w:rPr>
        <w:rFonts w:ascii="Symbol" w:hAnsi="Symbol"/>
      </w:rPr>
    </w:lvl>
    <w:lvl w:ilvl="4">
      <w:numFmt w:val="bullet"/>
      <w:lvlText w:val="o"/>
      <w:lvlJc w:val="left"/>
      <w:pPr>
        <w:ind w:left="2814" w:hanging="360"/>
      </w:pPr>
      <w:rPr>
        <w:rFonts w:ascii="Courier New" w:hAnsi="Courier New" w:cs="Courier New"/>
      </w:rPr>
    </w:lvl>
    <w:lvl w:ilvl="5">
      <w:numFmt w:val="bullet"/>
      <w:lvlText w:val=""/>
      <w:lvlJc w:val="left"/>
      <w:pPr>
        <w:ind w:left="3534" w:hanging="360"/>
      </w:pPr>
      <w:rPr>
        <w:rFonts w:ascii="Wingdings" w:hAnsi="Wingdings"/>
      </w:rPr>
    </w:lvl>
    <w:lvl w:ilvl="6">
      <w:numFmt w:val="bullet"/>
      <w:lvlText w:val=""/>
      <w:lvlJc w:val="left"/>
      <w:pPr>
        <w:ind w:left="4254" w:hanging="360"/>
      </w:pPr>
      <w:rPr>
        <w:rFonts w:ascii="Symbol" w:hAnsi="Symbol"/>
      </w:rPr>
    </w:lvl>
    <w:lvl w:ilvl="7">
      <w:numFmt w:val="bullet"/>
      <w:lvlText w:val="o"/>
      <w:lvlJc w:val="left"/>
      <w:pPr>
        <w:ind w:left="4974" w:hanging="360"/>
      </w:pPr>
      <w:rPr>
        <w:rFonts w:ascii="Courier New" w:hAnsi="Courier New" w:cs="Courier New"/>
      </w:rPr>
    </w:lvl>
    <w:lvl w:ilvl="8">
      <w:numFmt w:val="bullet"/>
      <w:lvlText w:val=""/>
      <w:lvlJc w:val="left"/>
      <w:pPr>
        <w:ind w:left="5694" w:hanging="360"/>
      </w:pPr>
      <w:rPr>
        <w:rFonts w:ascii="Wingdings" w:hAnsi="Wingdings"/>
      </w:rPr>
    </w:lvl>
  </w:abstractNum>
  <w:abstractNum w:abstractNumId="126" w15:restartNumberingAfterBreak="0">
    <w:nsid w:val="39A81FD7"/>
    <w:multiLevelType w:val="hybridMultilevel"/>
    <w:tmpl w:val="7486A50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27" w15:restartNumberingAfterBreak="0">
    <w:nsid w:val="3B4C1377"/>
    <w:multiLevelType w:val="hybridMultilevel"/>
    <w:tmpl w:val="0256EA04"/>
    <w:lvl w:ilvl="0" w:tplc="04150001">
      <w:start w:val="1"/>
      <w:numFmt w:val="bullet"/>
      <w:lvlText w:val=""/>
      <w:lvlJc w:val="left"/>
      <w:pPr>
        <w:ind w:left="725" w:hanging="360"/>
      </w:pPr>
      <w:rPr>
        <w:rFonts w:ascii="Symbol" w:hAnsi="Symbol" w:hint="default"/>
      </w:rPr>
    </w:lvl>
    <w:lvl w:ilvl="1" w:tplc="04150003">
      <w:start w:val="1"/>
      <w:numFmt w:val="bullet"/>
      <w:lvlText w:val="o"/>
      <w:lvlJc w:val="left"/>
      <w:pPr>
        <w:ind w:left="1445" w:hanging="360"/>
      </w:pPr>
      <w:rPr>
        <w:rFonts w:ascii="Courier New" w:hAnsi="Courier New" w:cs="Courier New" w:hint="default"/>
      </w:rPr>
    </w:lvl>
    <w:lvl w:ilvl="2" w:tplc="04150005">
      <w:start w:val="1"/>
      <w:numFmt w:val="bullet"/>
      <w:lvlText w:val=""/>
      <w:lvlJc w:val="left"/>
      <w:pPr>
        <w:ind w:left="2165" w:hanging="360"/>
      </w:pPr>
      <w:rPr>
        <w:rFonts w:ascii="Wingdings" w:hAnsi="Wingdings" w:hint="default"/>
      </w:rPr>
    </w:lvl>
    <w:lvl w:ilvl="3" w:tplc="04150001">
      <w:start w:val="1"/>
      <w:numFmt w:val="bullet"/>
      <w:lvlText w:val=""/>
      <w:lvlJc w:val="left"/>
      <w:pPr>
        <w:ind w:left="2885" w:hanging="360"/>
      </w:pPr>
      <w:rPr>
        <w:rFonts w:ascii="Symbol" w:hAnsi="Symbol" w:hint="default"/>
      </w:rPr>
    </w:lvl>
    <w:lvl w:ilvl="4" w:tplc="04150003">
      <w:start w:val="1"/>
      <w:numFmt w:val="bullet"/>
      <w:lvlText w:val="o"/>
      <w:lvlJc w:val="left"/>
      <w:pPr>
        <w:ind w:left="3605" w:hanging="360"/>
      </w:pPr>
      <w:rPr>
        <w:rFonts w:ascii="Courier New" w:hAnsi="Courier New" w:cs="Courier New" w:hint="default"/>
      </w:rPr>
    </w:lvl>
    <w:lvl w:ilvl="5" w:tplc="04150005">
      <w:start w:val="1"/>
      <w:numFmt w:val="bullet"/>
      <w:lvlText w:val=""/>
      <w:lvlJc w:val="left"/>
      <w:pPr>
        <w:ind w:left="4325" w:hanging="360"/>
      </w:pPr>
      <w:rPr>
        <w:rFonts w:ascii="Wingdings" w:hAnsi="Wingdings" w:hint="default"/>
      </w:rPr>
    </w:lvl>
    <w:lvl w:ilvl="6" w:tplc="04150001">
      <w:start w:val="1"/>
      <w:numFmt w:val="bullet"/>
      <w:lvlText w:val=""/>
      <w:lvlJc w:val="left"/>
      <w:pPr>
        <w:ind w:left="5045" w:hanging="360"/>
      </w:pPr>
      <w:rPr>
        <w:rFonts w:ascii="Symbol" w:hAnsi="Symbol" w:hint="default"/>
      </w:rPr>
    </w:lvl>
    <w:lvl w:ilvl="7" w:tplc="04150003">
      <w:start w:val="1"/>
      <w:numFmt w:val="bullet"/>
      <w:lvlText w:val="o"/>
      <w:lvlJc w:val="left"/>
      <w:pPr>
        <w:ind w:left="5765" w:hanging="360"/>
      </w:pPr>
      <w:rPr>
        <w:rFonts w:ascii="Courier New" w:hAnsi="Courier New" w:cs="Courier New" w:hint="default"/>
      </w:rPr>
    </w:lvl>
    <w:lvl w:ilvl="8" w:tplc="04150005">
      <w:start w:val="1"/>
      <w:numFmt w:val="bullet"/>
      <w:lvlText w:val=""/>
      <w:lvlJc w:val="left"/>
      <w:pPr>
        <w:ind w:left="6485" w:hanging="360"/>
      </w:pPr>
      <w:rPr>
        <w:rFonts w:ascii="Wingdings" w:hAnsi="Wingdings" w:hint="default"/>
      </w:rPr>
    </w:lvl>
  </w:abstractNum>
  <w:abstractNum w:abstractNumId="128" w15:restartNumberingAfterBreak="0">
    <w:nsid w:val="3BF26806"/>
    <w:multiLevelType w:val="hybridMultilevel"/>
    <w:tmpl w:val="F050E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C3864DD"/>
    <w:multiLevelType w:val="hybridMultilevel"/>
    <w:tmpl w:val="C396D6A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C5A1AB5"/>
    <w:multiLevelType w:val="hybridMultilevel"/>
    <w:tmpl w:val="E6AE2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CBE0F01"/>
    <w:multiLevelType w:val="hybridMultilevel"/>
    <w:tmpl w:val="BA18B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E8661A8"/>
    <w:multiLevelType w:val="hybridMultilevel"/>
    <w:tmpl w:val="70B0A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F5B3F81"/>
    <w:multiLevelType w:val="hybridMultilevel"/>
    <w:tmpl w:val="12245B64"/>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FA6043A"/>
    <w:multiLevelType w:val="multilevel"/>
    <w:tmpl w:val="46B60768"/>
    <w:lvl w:ilvl="0">
      <w:start w:val="2"/>
      <w:numFmt w:val="decimal"/>
      <w:lvlText w:val="%1."/>
      <w:lvlJc w:val="left"/>
      <w:pPr>
        <w:ind w:left="360" w:hanging="360"/>
      </w:pPr>
      <w:rPr>
        <w:rFonts w:hint="default"/>
      </w:rPr>
    </w:lvl>
    <w:lvl w:ilvl="1">
      <w:start w:val="14"/>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3FE6154F"/>
    <w:multiLevelType w:val="hybridMultilevel"/>
    <w:tmpl w:val="574EE644"/>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40316068"/>
    <w:multiLevelType w:val="multilevel"/>
    <w:tmpl w:val="849CE72E"/>
    <w:styleLink w:val="WWNum11"/>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7" w15:restartNumberingAfterBreak="0">
    <w:nsid w:val="406523CF"/>
    <w:multiLevelType w:val="multilevel"/>
    <w:tmpl w:val="ED94DC54"/>
    <w:styleLink w:val="WWNum24"/>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138" w15:restartNumberingAfterBreak="0">
    <w:nsid w:val="408F7212"/>
    <w:multiLevelType w:val="multilevel"/>
    <w:tmpl w:val="DCC6306E"/>
    <w:styleLink w:val="WWNum15"/>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9" w15:restartNumberingAfterBreak="0">
    <w:nsid w:val="41466851"/>
    <w:multiLevelType w:val="multilevel"/>
    <w:tmpl w:val="D53E6106"/>
    <w:lvl w:ilvl="0">
      <w:start w:val="1"/>
      <w:numFmt w:val="lowerLetter"/>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1731C15"/>
    <w:multiLevelType w:val="hybridMultilevel"/>
    <w:tmpl w:val="4860DA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1A21C2E"/>
    <w:multiLevelType w:val="hybridMultilevel"/>
    <w:tmpl w:val="93BAB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41A226CB"/>
    <w:multiLevelType w:val="hybridMultilevel"/>
    <w:tmpl w:val="F38271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42FC07B7"/>
    <w:multiLevelType w:val="multilevel"/>
    <w:tmpl w:val="45A65B22"/>
    <w:styleLink w:val="WWNum7"/>
    <w:lvl w:ilvl="0">
      <w:numFmt w:val="bullet"/>
      <w:lvlText w:val=""/>
      <w:lvlJc w:val="left"/>
      <w:pPr>
        <w:ind w:left="348" w:hanging="360"/>
      </w:pPr>
      <w:rPr>
        <w:rFonts w:ascii="Symbol" w:hAnsi="Symbol"/>
      </w:rPr>
    </w:lvl>
    <w:lvl w:ilvl="1">
      <w:numFmt w:val="bullet"/>
      <w:lvlText w:val="o"/>
      <w:lvlJc w:val="left"/>
      <w:pPr>
        <w:ind w:left="1068" w:hanging="360"/>
      </w:pPr>
      <w:rPr>
        <w:rFonts w:ascii="Courier New" w:hAnsi="Courier New" w:cs="Courier New"/>
      </w:rPr>
    </w:lvl>
    <w:lvl w:ilvl="2">
      <w:numFmt w:val="bullet"/>
      <w:lvlText w:val=""/>
      <w:lvlJc w:val="left"/>
      <w:pPr>
        <w:ind w:left="1788" w:hanging="360"/>
      </w:pPr>
      <w:rPr>
        <w:rFonts w:ascii="Wingdings" w:hAnsi="Wingdings"/>
      </w:rPr>
    </w:lvl>
    <w:lvl w:ilvl="3">
      <w:numFmt w:val="bullet"/>
      <w:lvlText w:val=""/>
      <w:lvlJc w:val="left"/>
      <w:pPr>
        <w:ind w:left="2508" w:hanging="360"/>
      </w:pPr>
      <w:rPr>
        <w:rFonts w:ascii="Symbol" w:hAnsi="Symbol"/>
      </w:rPr>
    </w:lvl>
    <w:lvl w:ilvl="4">
      <w:numFmt w:val="bullet"/>
      <w:lvlText w:val="o"/>
      <w:lvlJc w:val="left"/>
      <w:pPr>
        <w:ind w:left="3228" w:hanging="360"/>
      </w:pPr>
      <w:rPr>
        <w:rFonts w:ascii="Courier New" w:hAnsi="Courier New" w:cs="Courier New"/>
      </w:rPr>
    </w:lvl>
    <w:lvl w:ilvl="5">
      <w:numFmt w:val="bullet"/>
      <w:lvlText w:val=""/>
      <w:lvlJc w:val="left"/>
      <w:pPr>
        <w:ind w:left="3948" w:hanging="360"/>
      </w:pPr>
      <w:rPr>
        <w:rFonts w:ascii="Wingdings" w:hAnsi="Wingdings"/>
      </w:rPr>
    </w:lvl>
    <w:lvl w:ilvl="6">
      <w:numFmt w:val="bullet"/>
      <w:lvlText w:val=""/>
      <w:lvlJc w:val="left"/>
      <w:pPr>
        <w:ind w:left="4668" w:hanging="360"/>
      </w:pPr>
      <w:rPr>
        <w:rFonts w:ascii="Symbol" w:hAnsi="Symbol"/>
      </w:rPr>
    </w:lvl>
    <w:lvl w:ilvl="7">
      <w:numFmt w:val="bullet"/>
      <w:lvlText w:val="o"/>
      <w:lvlJc w:val="left"/>
      <w:pPr>
        <w:ind w:left="5388" w:hanging="360"/>
      </w:pPr>
      <w:rPr>
        <w:rFonts w:ascii="Courier New" w:hAnsi="Courier New" w:cs="Courier New"/>
      </w:rPr>
    </w:lvl>
    <w:lvl w:ilvl="8">
      <w:numFmt w:val="bullet"/>
      <w:lvlText w:val=""/>
      <w:lvlJc w:val="left"/>
      <w:pPr>
        <w:ind w:left="6108" w:hanging="360"/>
      </w:pPr>
      <w:rPr>
        <w:rFonts w:ascii="Wingdings" w:hAnsi="Wingdings"/>
      </w:rPr>
    </w:lvl>
  </w:abstractNum>
  <w:abstractNum w:abstractNumId="144" w15:restartNumberingAfterBreak="0">
    <w:nsid w:val="43C402A8"/>
    <w:multiLevelType w:val="hybridMultilevel"/>
    <w:tmpl w:val="60D40DD8"/>
    <w:lvl w:ilvl="0" w:tplc="9132A0DC">
      <w:start w:val="1"/>
      <w:numFmt w:val="decimal"/>
      <w:lvlText w:val="%1."/>
      <w:lvlJc w:val="left"/>
      <w:pPr>
        <w:ind w:left="928" w:hanging="360"/>
      </w:pPr>
      <w:rPr>
        <w:rFonts w:ascii="Lato" w:eastAsiaTheme="minorHAnsi" w:hAnsi="Lato" w:cstheme="minorHAnsi"/>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5" w15:restartNumberingAfterBreak="0">
    <w:nsid w:val="444E20C7"/>
    <w:multiLevelType w:val="hybridMultilevel"/>
    <w:tmpl w:val="4998A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444E307E"/>
    <w:multiLevelType w:val="hybridMultilevel"/>
    <w:tmpl w:val="059C8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4BB6AC0"/>
    <w:multiLevelType w:val="hybridMultilevel"/>
    <w:tmpl w:val="3C562DE8"/>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4521400A"/>
    <w:multiLevelType w:val="hybridMultilevel"/>
    <w:tmpl w:val="F7528C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45947D34"/>
    <w:multiLevelType w:val="hybridMultilevel"/>
    <w:tmpl w:val="EFD2E92E"/>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47640ABA"/>
    <w:multiLevelType w:val="hybridMultilevel"/>
    <w:tmpl w:val="69FC4B9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48A35221"/>
    <w:multiLevelType w:val="multilevel"/>
    <w:tmpl w:val="0415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9033049"/>
    <w:multiLevelType w:val="hybridMultilevel"/>
    <w:tmpl w:val="757A6BD4"/>
    <w:lvl w:ilvl="0" w:tplc="2AA432A0">
      <w:start w:val="1"/>
      <w:numFmt w:val="lowerLetter"/>
      <w:lvlText w:val="%1."/>
      <w:lvlJc w:val="left"/>
      <w:pPr>
        <w:ind w:left="380" w:hanging="360"/>
      </w:pPr>
      <w:rPr>
        <w:rFonts w:hint="default"/>
        <w:color w:val="000000"/>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55" w15:restartNumberingAfterBreak="0">
    <w:nsid w:val="49F56E25"/>
    <w:multiLevelType w:val="hybridMultilevel"/>
    <w:tmpl w:val="A80C6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A0272AF"/>
    <w:multiLevelType w:val="multilevel"/>
    <w:tmpl w:val="C62E49F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7" w15:restartNumberingAfterBreak="0">
    <w:nsid w:val="4A074562"/>
    <w:multiLevelType w:val="hybridMultilevel"/>
    <w:tmpl w:val="EA5A4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4A125B7E"/>
    <w:multiLevelType w:val="hybridMultilevel"/>
    <w:tmpl w:val="6AFCDD96"/>
    <w:lvl w:ilvl="0" w:tplc="04150001">
      <w:start w:val="1"/>
      <w:numFmt w:val="bullet"/>
      <w:lvlText w:val=""/>
      <w:lvlJc w:val="left"/>
      <w:pPr>
        <w:ind w:left="787" w:hanging="360"/>
      </w:pPr>
      <w:rPr>
        <w:rFonts w:ascii="Symbol" w:hAnsi="Symbol" w:hint="default"/>
      </w:rPr>
    </w:lvl>
    <w:lvl w:ilvl="1" w:tplc="FFFFFFFF" w:tentative="1">
      <w:start w:val="1"/>
      <w:numFmt w:val="bullet"/>
      <w:lvlText w:val="o"/>
      <w:lvlJc w:val="left"/>
      <w:pPr>
        <w:ind w:left="1507" w:hanging="360"/>
      </w:pPr>
      <w:rPr>
        <w:rFonts w:ascii="Courier New" w:hAnsi="Courier New" w:cs="Courier New" w:hint="default"/>
      </w:rPr>
    </w:lvl>
    <w:lvl w:ilvl="2" w:tplc="FFFFFFFF" w:tentative="1">
      <w:start w:val="1"/>
      <w:numFmt w:val="bullet"/>
      <w:lvlText w:val=""/>
      <w:lvlJc w:val="left"/>
      <w:pPr>
        <w:ind w:left="2227" w:hanging="360"/>
      </w:pPr>
      <w:rPr>
        <w:rFonts w:ascii="Wingdings" w:hAnsi="Wingdings" w:hint="default"/>
      </w:rPr>
    </w:lvl>
    <w:lvl w:ilvl="3" w:tplc="FFFFFFFF" w:tentative="1">
      <w:start w:val="1"/>
      <w:numFmt w:val="bullet"/>
      <w:lvlText w:val=""/>
      <w:lvlJc w:val="left"/>
      <w:pPr>
        <w:ind w:left="2947" w:hanging="360"/>
      </w:pPr>
      <w:rPr>
        <w:rFonts w:ascii="Symbol" w:hAnsi="Symbol" w:hint="default"/>
      </w:rPr>
    </w:lvl>
    <w:lvl w:ilvl="4" w:tplc="FFFFFFFF" w:tentative="1">
      <w:start w:val="1"/>
      <w:numFmt w:val="bullet"/>
      <w:lvlText w:val="o"/>
      <w:lvlJc w:val="left"/>
      <w:pPr>
        <w:ind w:left="3667" w:hanging="360"/>
      </w:pPr>
      <w:rPr>
        <w:rFonts w:ascii="Courier New" w:hAnsi="Courier New" w:cs="Courier New" w:hint="default"/>
      </w:rPr>
    </w:lvl>
    <w:lvl w:ilvl="5" w:tplc="FFFFFFFF" w:tentative="1">
      <w:start w:val="1"/>
      <w:numFmt w:val="bullet"/>
      <w:lvlText w:val=""/>
      <w:lvlJc w:val="left"/>
      <w:pPr>
        <w:ind w:left="4387" w:hanging="360"/>
      </w:pPr>
      <w:rPr>
        <w:rFonts w:ascii="Wingdings" w:hAnsi="Wingdings" w:hint="default"/>
      </w:rPr>
    </w:lvl>
    <w:lvl w:ilvl="6" w:tplc="FFFFFFFF" w:tentative="1">
      <w:start w:val="1"/>
      <w:numFmt w:val="bullet"/>
      <w:lvlText w:val=""/>
      <w:lvlJc w:val="left"/>
      <w:pPr>
        <w:ind w:left="5107" w:hanging="360"/>
      </w:pPr>
      <w:rPr>
        <w:rFonts w:ascii="Symbol" w:hAnsi="Symbol" w:hint="default"/>
      </w:rPr>
    </w:lvl>
    <w:lvl w:ilvl="7" w:tplc="FFFFFFFF" w:tentative="1">
      <w:start w:val="1"/>
      <w:numFmt w:val="bullet"/>
      <w:lvlText w:val="o"/>
      <w:lvlJc w:val="left"/>
      <w:pPr>
        <w:ind w:left="5827" w:hanging="360"/>
      </w:pPr>
      <w:rPr>
        <w:rFonts w:ascii="Courier New" w:hAnsi="Courier New" w:cs="Courier New" w:hint="default"/>
      </w:rPr>
    </w:lvl>
    <w:lvl w:ilvl="8" w:tplc="FFFFFFFF" w:tentative="1">
      <w:start w:val="1"/>
      <w:numFmt w:val="bullet"/>
      <w:lvlText w:val=""/>
      <w:lvlJc w:val="left"/>
      <w:pPr>
        <w:ind w:left="6547" w:hanging="360"/>
      </w:pPr>
      <w:rPr>
        <w:rFonts w:ascii="Wingdings" w:hAnsi="Wingdings" w:hint="default"/>
      </w:rPr>
    </w:lvl>
  </w:abstractNum>
  <w:abstractNum w:abstractNumId="159" w15:restartNumberingAfterBreak="0">
    <w:nsid w:val="4C017E96"/>
    <w:multiLevelType w:val="hybridMultilevel"/>
    <w:tmpl w:val="35901D2C"/>
    <w:lvl w:ilvl="0" w:tplc="A5FC50DA">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C563140"/>
    <w:multiLevelType w:val="hybridMultilevel"/>
    <w:tmpl w:val="5FE8E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C8976FA"/>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62" w15:restartNumberingAfterBreak="0">
    <w:nsid w:val="4D0F75B1"/>
    <w:multiLevelType w:val="hybridMultilevel"/>
    <w:tmpl w:val="B2143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D730245"/>
    <w:multiLevelType w:val="hybridMultilevel"/>
    <w:tmpl w:val="9B9634E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E4167B8"/>
    <w:multiLevelType w:val="hybridMultilevel"/>
    <w:tmpl w:val="77F68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E717B6B"/>
    <w:multiLevelType w:val="hybridMultilevel"/>
    <w:tmpl w:val="F2B00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4F984643"/>
    <w:multiLevelType w:val="hybridMultilevel"/>
    <w:tmpl w:val="83083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FCD347C"/>
    <w:multiLevelType w:val="hybridMultilevel"/>
    <w:tmpl w:val="51B62B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FF11352"/>
    <w:multiLevelType w:val="hybridMultilevel"/>
    <w:tmpl w:val="BA2CB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516E3EE9"/>
    <w:multiLevelType w:val="hybridMultilevel"/>
    <w:tmpl w:val="5E00B9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51D4699D"/>
    <w:multiLevelType w:val="hybridMultilevel"/>
    <w:tmpl w:val="D53E6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534C41EB"/>
    <w:multiLevelType w:val="hybridMultilevel"/>
    <w:tmpl w:val="0E66B72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3" w15:restartNumberingAfterBreak="0">
    <w:nsid w:val="53FD69DF"/>
    <w:multiLevelType w:val="hybridMultilevel"/>
    <w:tmpl w:val="E124BC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54BD2055"/>
    <w:multiLevelType w:val="hybridMultilevel"/>
    <w:tmpl w:val="1C6CB640"/>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550D1976"/>
    <w:multiLevelType w:val="hybridMultilevel"/>
    <w:tmpl w:val="0E6824E6"/>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55514ED8"/>
    <w:multiLevelType w:val="hybridMultilevel"/>
    <w:tmpl w:val="2FB2225E"/>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77" w15:restartNumberingAfterBreak="0">
    <w:nsid w:val="56E565EB"/>
    <w:multiLevelType w:val="hybridMultilevel"/>
    <w:tmpl w:val="B0727CA0"/>
    <w:lvl w:ilvl="0" w:tplc="04150001">
      <w:start w:val="1"/>
      <w:numFmt w:val="bullet"/>
      <w:lvlText w:val=""/>
      <w:lvlJc w:val="left"/>
      <w:pPr>
        <w:ind w:left="720" w:hanging="360"/>
      </w:pPr>
      <w:rPr>
        <w:rFonts w:ascii="Symbol" w:hAnsi="Symbol" w:hint="default"/>
      </w:rPr>
    </w:lvl>
    <w:lvl w:ilvl="1" w:tplc="6F185D2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56FF3B7A"/>
    <w:multiLevelType w:val="hybridMultilevel"/>
    <w:tmpl w:val="D182F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571C26B6"/>
    <w:multiLevelType w:val="hybridMultilevel"/>
    <w:tmpl w:val="5978B8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9265E28"/>
    <w:multiLevelType w:val="hybridMultilevel"/>
    <w:tmpl w:val="F0964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A4C6780"/>
    <w:multiLevelType w:val="hybridMultilevel"/>
    <w:tmpl w:val="E8466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5ACA3E6E"/>
    <w:multiLevelType w:val="hybridMultilevel"/>
    <w:tmpl w:val="71541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5C075335"/>
    <w:multiLevelType w:val="hybridMultilevel"/>
    <w:tmpl w:val="BEAE8C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5CDB0B90"/>
    <w:multiLevelType w:val="hybridMultilevel"/>
    <w:tmpl w:val="7C3ED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DBD73A8"/>
    <w:multiLevelType w:val="hybridMultilevel"/>
    <w:tmpl w:val="8FF406C8"/>
    <w:lvl w:ilvl="0" w:tplc="632AC934">
      <w:start w:val="1"/>
      <w:numFmt w:val="decimal"/>
      <w:lvlText w:val="%1."/>
      <w:lvlJc w:val="left"/>
      <w:pPr>
        <w:ind w:left="720" w:hanging="360"/>
      </w:pPr>
      <w:rPr>
        <w:rFonts w:ascii="Lato" w:eastAsiaTheme="minorHAnsi" w:hAnsi="Lato"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E955288"/>
    <w:multiLevelType w:val="hybridMultilevel"/>
    <w:tmpl w:val="FAAAE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5EBB7A79"/>
    <w:multiLevelType w:val="hybridMultilevel"/>
    <w:tmpl w:val="97088D28"/>
    <w:lvl w:ilvl="0" w:tplc="864EDBB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5F41119B"/>
    <w:multiLevelType w:val="hybridMultilevel"/>
    <w:tmpl w:val="2522D1CE"/>
    <w:lvl w:ilvl="0" w:tplc="55EA475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9" w15:restartNumberingAfterBreak="0">
    <w:nsid w:val="5F4C29E9"/>
    <w:multiLevelType w:val="hybridMultilevel"/>
    <w:tmpl w:val="DE4E0A26"/>
    <w:lvl w:ilvl="0" w:tplc="AADA03A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5F8C5ABB"/>
    <w:multiLevelType w:val="multilevel"/>
    <w:tmpl w:val="008E8B6A"/>
    <w:styleLink w:val="WWNum1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1" w15:restartNumberingAfterBreak="0">
    <w:nsid w:val="5F993EAF"/>
    <w:multiLevelType w:val="hybridMultilevel"/>
    <w:tmpl w:val="FD904942"/>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92" w15:restartNumberingAfterBreak="0">
    <w:nsid w:val="603F1AAD"/>
    <w:multiLevelType w:val="hybridMultilevel"/>
    <w:tmpl w:val="3ED0FC18"/>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1BE0FAE"/>
    <w:multiLevelType w:val="hybridMultilevel"/>
    <w:tmpl w:val="5DC235E2"/>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61E85BCE"/>
    <w:multiLevelType w:val="hybridMultilevel"/>
    <w:tmpl w:val="280A4F66"/>
    <w:lvl w:ilvl="0" w:tplc="75083756">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62367712"/>
    <w:multiLevelType w:val="hybridMultilevel"/>
    <w:tmpl w:val="90929C4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624B1459"/>
    <w:multiLevelType w:val="multilevel"/>
    <w:tmpl w:val="80585126"/>
    <w:lvl w:ilvl="0">
      <w:start w:val="1"/>
      <w:numFmt w:val="decimal"/>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2871FEB"/>
    <w:multiLevelType w:val="hybridMultilevel"/>
    <w:tmpl w:val="68EC9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63493822"/>
    <w:multiLevelType w:val="hybridMultilevel"/>
    <w:tmpl w:val="7A3AA83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63574C6B"/>
    <w:multiLevelType w:val="hybridMultilevel"/>
    <w:tmpl w:val="CFD00E9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0" w15:restartNumberingAfterBreak="0">
    <w:nsid w:val="654B3987"/>
    <w:multiLevelType w:val="hybridMultilevel"/>
    <w:tmpl w:val="01B49CC4"/>
    <w:lvl w:ilvl="0" w:tplc="A6EC3222">
      <w:numFmt w:val="bullet"/>
      <w:lvlText w:val="•"/>
      <w:lvlJc w:val="left"/>
      <w:pPr>
        <w:ind w:left="710" w:hanging="710"/>
      </w:pPr>
      <w:rPr>
        <w:rFonts w:ascii="Lato" w:eastAsia="Calibri" w:hAnsi="La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1" w15:restartNumberingAfterBreak="0">
    <w:nsid w:val="658310EB"/>
    <w:multiLevelType w:val="hybridMultilevel"/>
    <w:tmpl w:val="27B6E224"/>
    <w:lvl w:ilvl="0" w:tplc="06D21A74">
      <w:start w:val="1"/>
      <w:numFmt w:val="lowerLetter"/>
      <w:lvlText w:val="%1."/>
      <w:lvlJc w:val="left"/>
      <w:pPr>
        <w:ind w:left="380" w:hanging="360"/>
      </w:pPr>
      <w:rPr>
        <w:rFonts w:hint="default"/>
        <w:color w:val="000000"/>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02" w15:restartNumberingAfterBreak="0">
    <w:nsid w:val="65D27887"/>
    <w:multiLevelType w:val="hybridMultilevel"/>
    <w:tmpl w:val="4F7A6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5D913EA"/>
    <w:multiLevelType w:val="hybridMultilevel"/>
    <w:tmpl w:val="AC5CC988"/>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665E72F5"/>
    <w:multiLevelType w:val="hybridMultilevel"/>
    <w:tmpl w:val="2C808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682D54C7"/>
    <w:multiLevelType w:val="hybridMultilevel"/>
    <w:tmpl w:val="3C061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68A00F70"/>
    <w:multiLevelType w:val="hybridMultilevel"/>
    <w:tmpl w:val="F85A164A"/>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69104747"/>
    <w:multiLevelType w:val="hybridMultilevel"/>
    <w:tmpl w:val="57FAA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69192EBF"/>
    <w:multiLevelType w:val="hybridMultilevel"/>
    <w:tmpl w:val="393C4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9430ED7"/>
    <w:multiLevelType w:val="hybridMultilevel"/>
    <w:tmpl w:val="12DE2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94B3898"/>
    <w:multiLevelType w:val="hybridMultilevel"/>
    <w:tmpl w:val="9C96A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ABA24A6"/>
    <w:multiLevelType w:val="multilevel"/>
    <w:tmpl w:val="26F61C32"/>
    <w:lvl w:ilvl="0">
      <w:start w:val="1"/>
      <w:numFmt w:val="lowerLetter"/>
      <w:lvlText w:val="%1."/>
      <w:lvlJc w:val="left"/>
      <w:rPr>
        <w:rFonts w:ascii="Lato" w:eastAsia="Calibri" w:hAnsi="Lato" w:cs="Calibri"/>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B8225B3"/>
    <w:multiLevelType w:val="hybridMultilevel"/>
    <w:tmpl w:val="F64EB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6C2F21BD"/>
    <w:multiLevelType w:val="hybridMultilevel"/>
    <w:tmpl w:val="01DCB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6C467FAF"/>
    <w:multiLevelType w:val="hybridMultilevel"/>
    <w:tmpl w:val="686087C0"/>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6CEE3E90"/>
    <w:multiLevelType w:val="hybridMultilevel"/>
    <w:tmpl w:val="BA70DCA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6" w15:restartNumberingAfterBreak="0">
    <w:nsid w:val="6D03664B"/>
    <w:multiLevelType w:val="hybridMultilevel"/>
    <w:tmpl w:val="111A7E4E"/>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217"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E575044"/>
    <w:multiLevelType w:val="hybridMultilevel"/>
    <w:tmpl w:val="3432C812"/>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6E8D7668"/>
    <w:multiLevelType w:val="hybridMultilevel"/>
    <w:tmpl w:val="8FBA4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6E95200E"/>
    <w:multiLevelType w:val="hybridMultilevel"/>
    <w:tmpl w:val="D4CC5522"/>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6F03090D"/>
    <w:multiLevelType w:val="hybridMultilevel"/>
    <w:tmpl w:val="E29E6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6F822318"/>
    <w:multiLevelType w:val="hybridMultilevel"/>
    <w:tmpl w:val="B4EE89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71714F9F"/>
    <w:multiLevelType w:val="multilevel"/>
    <w:tmpl w:val="B7CA659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4" w15:restartNumberingAfterBreak="0">
    <w:nsid w:val="72DC2B70"/>
    <w:multiLevelType w:val="multilevel"/>
    <w:tmpl w:val="27C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3402D6F"/>
    <w:multiLevelType w:val="hybridMultilevel"/>
    <w:tmpl w:val="358CA29A"/>
    <w:lvl w:ilvl="0" w:tplc="97F62E68">
      <w:start w:val="1"/>
      <w:numFmt w:val="decimal"/>
      <w:lvlText w:val="%1."/>
      <w:lvlJc w:val="left"/>
      <w:pPr>
        <w:ind w:left="720" w:hanging="360"/>
      </w:pPr>
      <w:rPr>
        <w:rFonts w:ascii="Lato" w:eastAsiaTheme="minorHAnsi" w:hAnsi="Lato" w:cstheme="minorBidi"/>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41179D0"/>
    <w:multiLevelType w:val="hybridMultilevel"/>
    <w:tmpl w:val="E3527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742A4875"/>
    <w:multiLevelType w:val="hybridMultilevel"/>
    <w:tmpl w:val="28CEE8FA"/>
    <w:lvl w:ilvl="0" w:tplc="B4688C7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75493757"/>
    <w:multiLevelType w:val="hybridMultilevel"/>
    <w:tmpl w:val="A066D92E"/>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75A57B8D"/>
    <w:multiLevelType w:val="hybridMultilevel"/>
    <w:tmpl w:val="4A9C905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0" w15:restartNumberingAfterBreak="0">
    <w:nsid w:val="75C7290D"/>
    <w:multiLevelType w:val="hybridMultilevel"/>
    <w:tmpl w:val="41E201F0"/>
    <w:lvl w:ilvl="0" w:tplc="8FDEBF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75F03CDC"/>
    <w:multiLevelType w:val="hybridMultilevel"/>
    <w:tmpl w:val="FD429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76020C0A"/>
    <w:multiLevelType w:val="hybridMultilevel"/>
    <w:tmpl w:val="F4D679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76225572"/>
    <w:multiLevelType w:val="hybridMultilevel"/>
    <w:tmpl w:val="7C6C9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76445D59"/>
    <w:multiLevelType w:val="hybridMultilevel"/>
    <w:tmpl w:val="F08CAE44"/>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773460E7"/>
    <w:multiLevelType w:val="hybridMultilevel"/>
    <w:tmpl w:val="81DEAACC"/>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77B9416D"/>
    <w:multiLevelType w:val="hybridMultilevel"/>
    <w:tmpl w:val="EE8C0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7822743F"/>
    <w:multiLevelType w:val="hybridMultilevel"/>
    <w:tmpl w:val="B3485BFE"/>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78B3461F"/>
    <w:multiLevelType w:val="hybridMultilevel"/>
    <w:tmpl w:val="9CBC75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79BD1714"/>
    <w:multiLevelType w:val="hybridMultilevel"/>
    <w:tmpl w:val="056EA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7A9C113E"/>
    <w:multiLevelType w:val="hybridMultilevel"/>
    <w:tmpl w:val="76787F4A"/>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7C406883"/>
    <w:multiLevelType w:val="hybridMultilevel"/>
    <w:tmpl w:val="4A0C2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7C5405E2"/>
    <w:multiLevelType w:val="hybridMultilevel"/>
    <w:tmpl w:val="5A3410C4"/>
    <w:lvl w:ilvl="0" w:tplc="A2BC74B8">
      <w:start w:val="1"/>
      <w:numFmt w:val="decimal"/>
      <w:lvlText w:val="%1."/>
      <w:lvlJc w:val="left"/>
      <w:pPr>
        <w:ind w:left="720" w:hanging="360"/>
      </w:pPr>
      <w:rPr>
        <w:rFonts w:ascii="Lato" w:eastAsiaTheme="minorHAnsi" w:hAnsi="Lato"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CB91192"/>
    <w:multiLevelType w:val="hybridMultilevel"/>
    <w:tmpl w:val="6D361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7DED333C"/>
    <w:multiLevelType w:val="hybridMultilevel"/>
    <w:tmpl w:val="8FECD9B0"/>
    <w:lvl w:ilvl="0" w:tplc="8E4A26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7E1256B8"/>
    <w:multiLevelType w:val="hybridMultilevel"/>
    <w:tmpl w:val="5846F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7F1E6953"/>
    <w:multiLevelType w:val="hybridMultilevel"/>
    <w:tmpl w:val="D48A3A3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7" w15:restartNumberingAfterBreak="0">
    <w:nsid w:val="7FAD562F"/>
    <w:multiLevelType w:val="hybridMultilevel"/>
    <w:tmpl w:val="2BF0F1F8"/>
    <w:lvl w:ilvl="0" w:tplc="FFFFFFFF">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1"/>
  </w:num>
  <w:num w:numId="2">
    <w:abstractNumId w:val="106"/>
  </w:num>
  <w:num w:numId="3">
    <w:abstractNumId w:val="1"/>
  </w:num>
  <w:num w:numId="4">
    <w:abstractNumId w:val="247"/>
  </w:num>
  <w:num w:numId="5">
    <w:abstractNumId w:val="151"/>
  </w:num>
  <w:num w:numId="6">
    <w:abstractNumId w:val="149"/>
  </w:num>
  <w:num w:numId="7">
    <w:abstractNumId w:val="217"/>
  </w:num>
  <w:num w:numId="8">
    <w:abstractNumId w:val="118"/>
  </w:num>
  <w:num w:numId="9">
    <w:abstractNumId w:val="164"/>
  </w:num>
  <w:num w:numId="10">
    <w:abstractNumId w:val="60"/>
  </w:num>
  <w:num w:numId="11">
    <w:abstractNumId w:val="4"/>
  </w:num>
  <w:num w:numId="12">
    <w:abstractNumId w:val="169"/>
  </w:num>
  <w:num w:numId="13">
    <w:abstractNumId w:val="124"/>
  </w:num>
  <w:num w:numId="14">
    <w:abstractNumId w:val="62"/>
  </w:num>
  <w:num w:numId="15">
    <w:abstractNumId w:val="238"/>
  </w:num>
  <w:num w:numId="16">
    <w:abstractNumId w:val="16"/>
  </w:num>
  <w:num w:numId="17">
    <w:abstractNumId w:val="70"/>
  </w:num>
  <w:num w:numId="18">
    <w:abstractNumId w:val="66"/>
  </w:num>
  <w:num w:numId="19">
    <w:abstractNumId w:val="174"/>
  </w:num>
  <w:num w:numId="20">
    <w:abstractNumId w:val="230"/>
  </w:num>
  <w:num w:numId="21">
    <w:abstractNumId w:val="93"/>
  </w:num>
  <w:num w:numId="22">
    <w:abstractNumId w:val="150"/>
  </w:num>
  <w:num w:numId="23">
    <w:abstractNumId w:val="7"/>
  </w:num>
  <w:num w:numId="24">
    <w:abstractNumId w:val="42"/>
  </w:num>
  <w:num w:numId="25">
    <w:abstractNumId w:val="168"/>
  </w:num>
  <w:num w:numId="26">
    <w:abstractNumId w:val="221"/>
  </w:num>
  <w:num w:numId="27">
    <w:abstractNumId w:val="172"/>
  </w:num>
  <w:num w:numId="28">
    <w:abstractNumId w:val="88"/>
  </w:num>
  <w:num w:numId="29">
    <w:abstractNumId w:val="207"/>
  </w:num>
  <w:num w:numId="30">
    <w:abstractNumId w:val="199"/>
  </w:num>
  <w:num w:numId="31">
    <w:abstractNumId w:val="64"/>
  </w:num>
  <w:num w:numId="32">
    <w:abstractNumId w:val="2"/>
  </w:num>
  <w:num w:numId="33">
    <w:abstractNumId w:val="231"/>
  </w:num>
  <w:num w:numId="34">
    <w:abstractNumId w:val="122"/>
  </w:num>
  <w:num w:numId="35">
    <w:abstractNumId w:val="98"/>
  </w:num>
  <w:num w:numId="36">
    <w:abstractNumId w:val="182"/>
  </w:num>
  <w:num w:numId="37">
    <w:abstractNumId w:val="99"/>
  </w:num>
  <w:num w:numId="38">
    <w:abstractNumId w:val="73"/>
  </w:num>
  <w:num w:numId="39">
    <w:abstractNumId w:val="75"/>
  </w:num>
  <w:num w:numId="40">
    <w:abstractNumId w:val="153"/>
  </w:num>
  <w:num w:numId="41">
    <w:abstractNumId w:val="9"/>
  </w:num>
  <w:num w:numId="42">
    <w:abstractNumId w:val="178"/>
  </w:num>
  <w:num w:numId="43">
    <w:abstractNumId w:val="90"/>
  </w:num>
  <w:num w:numId="44">
    <w:abstractNumId w:val="43"/>
  </w:num>
  <w:num w:numId="45">
    <w:abstractNumId w:val="40"/>
  </w:num>
  <w:num w:numId="46">
    <w:abstractNumId w:val="176"/>
  </w:num>
  <w:num w:numId="47">
    <w:abstractNumId w:val="55"/>
  </w:num>
  <w:num w:numId="48">
    <w:abstractNumId w:val="120"/>
  </w:num>
  <w:num w:numId="49">
    <w:abstractNumId w:val="61"/>
  </w:num>
  <w:num w:numId="50">
    <w:abstractNumId w:val="104"/>
  </w:num>
  <w:num w:numId="51">
    <w:abstractNumId w:val="74"/>
  </w:num>
  <w:num w:numId="52">
    <w:abstractNumId w:val="241"/>
  </w:num>
  <w:num w:numId="53">
    <w:abstractNumId w:val="131"/>
  </w:num>
  <w:num w:numId="54">
    <w:abstractNumId w:val="167"/>
  </w:num>
  <w:num w:numId="55">
    <w:abstractNumId w:val="68"/>
  </w:num>
  <w:num w:numId="56">
    <w:abstractNumId w:val="10"/>
  </w:num>
  <w:num w:numId="57">
    <w:abstractNumId w:val="76"/>
  </w:num>
  <w:num w:numId="58">
    <w:abstractNumId w:val="79"/>
  </w:num>
  <w:num w:numId="59">
    <w:abstractNumId w:val="198"/>
  </w:num>
  <w:num w:numId="60">
    <w:abstractNumId w:val="38"/>
  </w:num>
  <w:num w:numId="61">
    <w:abstractNumId w:val="240"/>
  </w:num>
  <w:num w:numId="62">
    <w:abstractNumId w:val="48"/>
  </w:num>
  <w:num w:numId="63">
    <w:abstractNumId w:val="13"/>
  </w:num>
  <w:num w:numId="64">
    <w:abstractNumId w:val="203"/>
  </w:num>
  <w:num w:numId="65">
    <w:abstractNumId w:val="102"/>
  </w:num>
  <w:num w:numId="66">
    <w:abstractNumId w:val="234"/>
  </w:num>
  <w:num w:numId="67">
    <w:abstractNumId w:val="133"/>
  </w:num>
  <w:num w:numId="68">
    <w:abstractNumId w:val="206"/>
  </w:num>
  <w:num w:numId="69">
    <w:abstractNumId w:val="175"/>
  </w:num>
  <w:num w:numId="70">
    <w:abstractNumId w:val="235"/>
  </w:num>
  <w:num w:numId="71">
    <w:abstractNumId w:val="35"/>
  </w:num>
  <w:num w:numId="72">
    <w:abstractNumId w:val="107"/>
  </w:num>
  <w:num w:numId="73">
    <w:abstractNumId w:val="228"/>
  </w:num>
  <w:num w:numId="74">
    <w:abstractNumId w:val="121"/>
  </w:num>
  <w:num w:numId="75">
    <w:abstractNumId w:val="236"/>
  </w:num>
  <w:num w:numId="76">
    <w:abstractNumId w:val="12"/>
  </w:num>
  <w:num w:numId="77">
    <w:abstractNumId w:val="220"/>
  </w:num>
  <w:num w:numId="78">
    <w:abstractNumId w:val="20"/>
  </w:num>
  <w:num w:numId="79">
    <w:abstractNumId w:val="69"/>
  </w:num>
  <w:num w:numId="80">
    <w:abstractNumId w:val="210"/>
  </w:num>
  <w:num w:numId="81">
    <w:abstractNumId w:val="192"/>
  </w:num>
  <w:num w:numId="82">
    <w:abstractNumId w:val="5"/>
  </w:num>
  <w:num w:numId="83">
    <w:abstractNumId w:val="180"/>
  </w:num>
  <w:num w:numId="84">
    <w:abstractNumId w:val="237"/>
  </w:num>
  <w:num w:numId="85">
    <w:abstractNumId w:val="214"/>
  </w:num>
  <w:num w:numId="86">
    <w:abstractNumId w:val="81"/>
  </w:num>
  <w:num w:numId="87">
    <w:abstractNumId w:val="195"/>
  </w:num>
  <w:num w:numId="88">
    <w:abstractNumId w:val="36"/>
  </w:num>
  <w:num w:numId="89">
    <w:abstractNumId w:val="135"/>
  </w:num>
  <w:num w:numId="90">
    <w:abstractNumId w:val="105"/>
  </w:num>
  <w:num w:numId="91">
    <w:abstractNumId w:val="218"/>
  </w:num>
  <w:num w:numId="92">
    <w:abstractNumId w:val="54"/>
  </w:num>
  <w:num w:numId="93">
    <w:abstractNumId w:val="147"/>
  </w:num>
  <w:num w:numId="94">
    <w:abstractNumId w:val="193"/>
  </w:num>
  <w:num w:numId="95">
    <w:abstractNumId w:val="244"/>
  </w:num>
  <w:num w:numId="96">
    <w:abstractNumId w:val="225"/>
  </w:num>
  <w:num w:numId="97">
    <w:abstractNumId w:val="242"/>
  </w:num>
  <w:num w:numId="98">
    <w:abstractNumId w:val="163"/>
  </w:num>
  <w:num w:numId="99">
    <w:abstractNumId w:val="72"/>
  </w:num>
  <w:num w:numId="100">
    <w:abstractNumId w:val="22"/>
  </w:num>
  <w:num w:numId="101">
    <w:abstractNumId w:val="202"/>
  </w:num>
  <w:num w:numId="102">
    <w:abstractNumId w:val="113"/>
  </w:num>
  <w:num w:numId="103">
    <w:abstractNumId w:val="179"/>
  </w:num>
  <w:num w:numId="104">
    <w:abstractNumId w:val="47"/>
  </w:num>
  <w:num w:numId="105">
    <w:abstractNumId w:val="157"/>
  </w:num>
  <w:num w:numId="106">
    <w:abstractNumId w:val="166"/>
  </w:num>
  <w:num w:numId="107">
    <w:abstractNumId w:val="194"/>
  </w:num>
  <w:num w:numId="108">
    <w:abstractNumId w:val="209"/>
  </w:num>
  <w:num w:numId="109">
    <w:abstractNumId w:val="186"/>
  </w:num>
  <w:num w:numId="110">
    <w:abstractNumId w:val="181"/>
  </w:num>
  <w:num w:numId="111">
    <w:abstractNumId w:val="223"/>
  </w:num>
  <w:num w:numId="112">
    <w:abstractNumId w:val="19"/>
  </w:num>
  <w:num w:numId="113">
    <w:abstractNumId w:val="143"/>
  </w:num>
  <w:num w:numId="114">
    <w:abstractNumId w:val="95"/>
  </w:num>
  <w:num w:numId="115">
    <w:abstractNumId w:val="136"/>
  </w:num>
  <w:num w:numId="116">
    <w:abstractNumId w:val="116"/>
  </w:num>
  <w:num w:numId="117">
    <w:abstractNumId w:val="190"/>
  </w:num>
  <w:num w:numId="118">
    <w:abstractNumId w:val="138"/>
  </w:num>
  <w:num w:numId="119">
    <w:abstractNumId w:val="125"/>
  </w:num>
  <w:num w:numId="120">
    <w:abstractNumId w:val="80"/>
  </w:num>
  <w:num w:numId="121">
    <w:abstractNumId w:val="137"/>
  </w:num>
  <w:num w:numId="122">
    <w:abstractNumId w:val="123"/>
  </w:num>
  <w:num w:numId="123">
    <w:abstractNumId w:val="223"/>
  </w:num>
  <w:num w:numId="124">
    <w:abstractNumId w:val="89"/>
  </w:num>
  <w:num w:numId="125">
    <w:abstractNumId w:val="145"/>
  </w:num>
  <w:num w:numId="126">
    <w:abstractNumId w:val="92"/>
  </w:num>
  <w:num w:numId="127">
    <w:abstractNumId w:val="85"/>
  </w:num>
  <w:num w:numId="128">
    <w:abstractNumId w:val="17"/>
  </w:num>
  <w:num w:numId="129">
    <w:abstractNumId w:val="63"/>
  </w:num>
  <w:num w:numId="130">
    <w:abstractNumId w:val="32"/>
  </w:num>
  <w:num w:numId="131">
    <w:abstractNumId w:val="226"/>
  </w:num>
  <w:num w:numId="132">
    <w:abstractNumId w:val="53"/>
  </w:num>
  <w:num w:numId="133">
    <w:abstractNumId w:val="140"/>
  </w:num>
  <w:num w:numId="134">
    <w:abstractNumId w:val="29"/>
  </w:num>
  <w:num w:numId="135">
    <w:abstractNumId w:val="39"/>
  </w:num>
  <w:num w:numId="136">
    <w:abstractNumId w:val="14"/>
  </w:num>
  <w:num w:numId="137">
    <w:abstractNumId w:val="100"/>
  </w:num>
  <w:num w:numId="138">
    <w:abstractNumId w:val="41"/>
  </w:num>
  <w:num w:numId="13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6"/>
  </w:num>
  <w:num w:numId="141">
    <w:abstractNumId w:val="84"/>
  </w:num>
  <w:num w:numId="142">
    <w:abstractNumId w:val="205"/>
  </w:num>
  <w:num w:numId="143">
    <w:abstractNumId w:val="212"/>
  </w:num>
  <w:num w:numId="144">
    <w:abstractNumId w:val="8"/>
  </w:num>
  <w:num w:numId="145">
    <w:abstractNumId w:val="11"/>
  </w:num>
  <w:num w:numId="146">
    <w:abstractNumId w:val="27"/>
  </w:num>
  <w:num w:numId="147">
    <w:abstractNumId w:val="155"/>
  </w:num>
  <w:num w:numId="148">
    <w:abstractNumId w:val="239"/>
  </w:num>
  <w:num w:numId="149">
    <w:abstractNumId w:val="152"/>
  </w:num>
  <w:num w:numId="150">
    <w:abstractNumId w:val="97"/>
  </w:num>
  <w:num w:numId="151">
    <w:abstractNumId w:val="162"/>
  </w:num>
  <w:num w:numId="152">
    <w:abstractNumId w:val="246"/>
  </w:num>
  <w:num w:numId="153">
    <w:abstractNumId w:val="83"/>
  </w:num>
  <w:num w:numId="154">
    <w:abstractNumId w:val="45"/>
  </w:num>
  <w:num w:numId="155">
    <w:abstractNumId w:val="114"/>
  </w:num>
  <w:num w:numId="156">
    <w:abstractNumId w:val="245"/>
  </w:num>
  <w:num w:numId="157">
    <w:abstractNumId w:val="110"/>
  </w:num>
  <w:num w:numId="158">
    <w:abstractNumId w:val="115"/>
  </w:num>
  <w:num w:numId="159">
    <w:abstractNumId w:val="213"/>
  </w:num>
  <w:num w:numId="160">
    <w:abstractNumId w:val="142"/>
  </w:num>
  <w:num w:numId="161">
    <w:abstractNumId w:val="204"/>
  </w:num>
  <w:num w:numId="162">
    <w:abstractNumId w:val="23"/>
  </w:num>
  <w:num w:numId="163">
    <w:abstractNumId w:val="67"/>
  </w:num>
  <w:num w:numId="164">
    <w:abstractNumId w:val="52"/>
  </w:num>
  <w:num w:numId="165">
    <w:abstractNumId w:val="37"/>
  </w:num>
  <w:num w:numId="166">
    <w:abstractNumId w:val="208"/>
  </w:num>
  <w:num w:numId="167">
    <w:abstractNumId w:val="111"/>
  </w:num>
  <w:num w:numId="168">
    <w:abstractNumId w:val="189"/>
  </w:num>
  <w:num w:numId="1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43"/>
  </w:num>
  <w:num w:numId="171">
    <w:abstractNumId w:val="18"/>
  </w:num>
  <w:num w:numId="172">
    <w:abstractNumId w:val="134"/>
  </w:num>
  <w:num w:numId="173">
    <w:abstractNumId w:val="219"/>
  </w:num>
  <w:num w:numId="174">
    <w:abstractNumId w:val="58"/>
  </w:num>
  <w:num w:numId="175">
    <w:abstractNumId w:val="144"/>
  </w:num>
  <w:num w:numId="176">
    <w:abstractNumId w:val="188"/>
  </w:num>
  <w:num w:numId="177">
    <w:abstractNumId w:val="94"/>
  </w:num>
  <w:num w:numId="178">
    <w:abstractNumId w:val="87"/>
  </w:num>
  <w:num w:numId="179">
    <w:abstractNumId w:val="128"/>
  </w:num>
  <w:num w:numId="180">
    <w:abstractNumId w:val="170"/>
  </w:num>
  <w:num w:numId="181">
    <w:abstractNumId w:val="196"/>
  </w:num>
  <w:num w:numId="182">
    <w:abstractNumId w:val="103"/>
  </w:num>
  <w:num w:numId="183">
    <w:abstractNumId w:val="25"/>
  </w:num>
  <w:num w:numId="184">
    <w:abstractNumId w:val="211"/>
  </w:num>
  <w:num w:numId="185">
    <w:abstractNumId w:val="86"/>
  </w:num>
  <w:num w:numId="186">
    <w:abstractNumId w:val="139"/>
  </w:num>
  <w:num w:numId="187">
    <w:abstractNumId w:val="51"/>
  </w:num>
  <w:num w:numId="188">
    <w:abstractNumId w:val="117"/>
  </w:num>
  <w:num w:numId="189">
    <w:abstractNumId w:val="201"/>
  </w:num>
  <w:num w:numId="190">
    <w:abstractNumId w:val="187"/>
  </w:num>
  <w:num w:numId="191">
    <w:abstractNumId w:val="154"/>
  </w:num>
  <w:num w:numId="192">
    <w:abstractNumId w:val="91"/>
  </w:num>
  <w:num w:numId="193">
    <w:abstractNumId w:val="3"/>
  </w:num>
  <w:num w:numId="194">
    <w:abstractNumId w:val="184"/>
  </w:num>
  <w:num w:numId="195">
    <w:abstractNumId w:val="233"/>
  </w:num>
  <w:num w:numId="196">
    <w:abstractNumId w:val="82"/>
  </w:num>
  <w:num w:numId="197">
    <w:abstractNumId w:val="197"/>
  </w:num>
  <w:num w:numId="198">
    <w:abstractNumId w:val="44"/>
  </w:num>
  <w:num w:numId="199">
    <w:abstractNumId w:val="33"/>
  </w:num>
  <w:num w:numId="200">
    <w:abstractNumId w:val="78"/>
  </w:num>
  <w:num w:numId="201">
    <w:abstractNumId w:val="77"/>
  </w:num>
  <w:num w:numId="202">
    <w:abstractNumId w:val="30"/>
  </w:num>
  <w:num w:numId="203">
    <w:abstractNumId w:val="129"/>
  </w:num>
  <w:num w:numId="204">
    <w:abstractNumId w:val="119"/>
  </w:num>
  <w:num w:numId="205">
    <w:abstractNumId w:val="159"/>
  </w:num>
  <w:num w:numId="206">
    <w:abstractNumId w:val="222"/>
  </w:num>
  <w:num w:numId="207">
    <w:abstractNumId w:val="161"/>
    <w:lvlOverride w:ilvl="0">
      <w:startOverride w:val="25"/>
    </w:lvlOverride>
  </w:num>
  <w:num w:numId="208">
    <w:abstractNumId w:val="46"/>
  </w:num>
  <w:num w:numId="209">
    <w:abstractNumId w:val="101"/>
  </w:num>
  <w:num w:numId="210">
    <w:abstractNumId w:val="227"/>
  </w:num>
  <w:num w:numId="211">
    <w:abstractNumId w:val="96"/>
  </w:num>
  <w:num w:numId="212">
    <w:abstractNumId w:val="165"/>
  </w:num>
  <w:num w:numId="213">
    <w:abstractNumId w:val="171"/>
  </w:num>
  <w:num w:numId="214">
    <w:abstractNumId w:val="177"/>
  </w:num>
  <w:num w:numId="215">
    <w:abstractNumId w:val="15"/>
  </w:num>
  <w:num w:numId="216">
    <w:abstractNumId w:val="148"/>
  </w:num>
  <w:num w:numId="217">
    <w:abstractNumId w:val="173"/>
  </w:num>
  <w:num w:numId="218">
    <w:abstractNumId w:val="109"/>
  </w:num>
  <w:num w:numId="219">
    <w:abstractNumId w:val="216"/>
  </w:num>
  <w:num w:numId="220">
    <w:abstractNumId w:val="191"/>
  </w:num>
  <w:num w:numId="221">
    <w:abstractNumId w:val="156"/>
  </w:num>
  <w:num w:numId="222">
    <w:abstractNumId w:val="185"/>
  </w:num>
  <w:num w:numId="223">
    <w:abstractNumId w:val="6"/>
  </w:num>
  <w:num w:numId="224">
    <w:abstractNumId w:val="127"/>
  </w:num>
  <w:num w:numId="225">
    <w:abstractNumId w:val="215"/>
  </w:num>
  <w:num w:numId="226">
    <w:abstractNumId w:val="158"/>
  </w:num>
  <w:num w:numId="227">
    <w:abstractNumId w:val="126"/>
  </w:num>
  <w:num w:numId="228">
    <w:abstractNumId w:val="24"/>
  </w:num>
  <w:num w:numId="229">
    <w:abstractNumId w:val="146"/>
  </w:num>
  <w:num w:numId="230">
    <w:abstractNumId w:val="183"/>
  </w:num>
  <w:num w:numId="231">
    <w:abstractNumId w:val="141"/>
  </w:num>
  <w:num w:numId="232">
    <w:abstractNumId w:val="229"/>
  </w:num>
  <w:num w:numId="233">
    <w:abstractNumId w:val="71"/>
  </w:num>
  <w:num w:numId="234">
    <w:abstractNumId w:val="130"/>
  </w:num>
  <w:num w:numId="235">
    <w:abstractNumId w:val="0"/>
  </w:num>
  <w:num w:numId="236">
    <w:abstractNumId w:val="34"/>
  </w:num>
  <w:num w:numId="237">
    <w:abstractNumId w:val="132"/>
  </w:num>
  <w:num w:numId="238">
    <w:abstractNumId w:val="200"/>
  </w:num>
  <w:num w:numId="239">
    <w:abstractNumId w:val="59"/>
  </w:num>
  <w:num w:numId="240">
    <w:abstractNumId w:val="31"/>
  </w:num>
  <w:num w:numId="241">
    <w:abstractNumId w:val="49"/>
  </w:num>
  <w:num w:numId="242">
    <w:abstractNumId w:val="224"/>
  </w:num>
  <w:num w:numId="243">
    <w:abstractNumId w:val="108"/>
  </w:num>
  <w:num w:numId="244">
    <w:abstractNumId w:val="26"/>
  </w:num>
  <w:num w:numId="245">
    <w:abstractNumId w:val="50"/>
  </w:num>
  <w:num w:numId="246">
    <w:abstractNumId w:val="232"/>
  </w:num>
  <w:num w:numId="247">
    <w:abstractNumId w:val="21"/>
  </w:num>
  <w:num w:numId="248">
    <w:abstractNumId w:val="65"/>
  </w:num>
  <w:num w:numId="249">
    <w:abstractNumId w:val="57"/>
  </w:num>
  <w:num w:numId="250">
    <w:abstractNumId w:val="160"/>
  </w:num>
  <w:num w:numId="251">
    <w:abstractNumId w:val="28"/>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B0"/>
    <w:rsid w:val="0000145E"/>
    <w:rsid w:val="00001477"/>
    <w:rsid w:val="00003E46"/>
    <w:rsid w:val="00006286"/>
    <w:rsid w:val="0001211B"/>
    <w:rsid w:val="000163BF"/>
    <w:rsid w:val="000225CB"/>
    <w:rsid w:val="00033438"/>
    <w:rsid w:val="00035D3B"/>
    <w:rsid w:val="00050138"/>
    <w:rsid w:val="00055F8A"/>
    <w:rsid w:val="00065EB2"/>
    <w:rsid w:val="0008203F"/>
    <w:rsid w:val="00086523"/>
    <w:rsid w:val="000A486A"/>
    <w:rsid w:val="000B6E2C"/>
    <w:rsid w:val="000B7295"/>
    <w:rsid w:val="000D0B61"/>
    <w:rsid w:val="000D1387"/>
    <w:rsid w:val="000D6267"/>
    <w:rsid w:val="000D7A8E"/>
    <w:rsid w:val="000F16AE"/>
    <w:rsid w:val="000F3758"/>
    <w:rsid w:val="00100E23"/>
    <w:rsid w:val="001022C0"/>
    <w:rsid w:val="00112653"/>
    <w:rsid w:val="00112AE9"/>
    <w:rsid w:val="00135D02"/>
    <w:rsid w:val="00144C28"/>
    <w:rsid w:val="00152628"/>
    <w:rsid w:val="0016067D"/>
    <w:rsid w:val="00161EF6"/>
    <w:rsid w:val="0017498C"/>
    <w:rsid w:val="001821F6"/>
    <w:rsid w:val="00183DBD"/>
    <w:rsid w:val="0018776A"/>
    <w:rsid w:val="00193229"/>
    <w:rsid w:val="00194AC4"/>
    <w:rsid w:val="0019609D"/>
    <w:rsid w:val="001B01A6"/>
    <w:rsid w:val="001B6EE9"/>
    <w:rsid w:val="001C1875"/>
    <w:rsid w:val="001D1B0F"/>
    <w:rsid w:val="001D2A93"/>
    <w:rsid w:val="001E005B"/>
    <w:rsid w:val="001E4F8E"/>
    <w:rsid w:val="00223A39"/>
    <w:rsid w:val="00246300"/>
    <w:rsid w:val="00254A23"/>
    <w:rsid w:val="00255EDE"/>
    <w:rsid w:val="0026121A"/>
    <w:rsid w:val="00261E18"/>
    <w:rsid w:val="00275CFF"/>
    <w:rsid w:val="002818F9"/>
    <w:rsid w:val="00290A85"/>
    <w:rsid w:val="00295D04"/>
    <w:rsid w:val="002B0821"/>
    <w:rsid w:val="002B09DF"/>
    <w:rsid w:val="002B5E5E"/>
    <w:rsid w:val="002B6F8B"/>
    <w:rsid w:val="002C3705"/>
    <w:rsid w:val="002F3DEE"/>
    <w:rsid w:val="0031646A"/>
    <w:rsid w:val="00333B6D"/>
    <w:rsid w:val="00340EAF"/>
    <w:rsid w:val="00347B6C"/>
    <w:rsid w:val="00360770"/>
    <w:rsid w:val="003650C6"/>
    <w:rsid w:val="00370482"/>
    <w:rsid w:val="0038028E"/>
    <w:rsid w:val="00380295"/>
    <w:rsid w:val="00380FD5"/>
    <w:rsid w:val="00394E96"/>
    <w:rsid w:val="003A245A"/>
    <w:rsid w:val="003C25C5"/>
    <w:rsid w:val="003C3EE7"/>
    <w:rsid w:val="003C730B"/>
    <w:rsid w:val="003D03EE"/>
    <w:rsid w:val="003D7225"/>
    <w:rsid w:val="003D7879"/>
    <w:rsid w:val="003F0EC8"/>
    <w:rsid w:val="003F36A4"/>
    <w:rsid w:val="003F774C"/>
    <w:rsid w:val="004220AA"/>
    <w:rsid w:val="004261D9"/>
    <w:rsid w:val="004324AE"/>
    <w:rsid w:val="0044179B"/>
    <w:rsid w:val="0044603E"/>
    <w:rsid w:val="00450EAC"/>
    <w:rsid w:val="00452AAD"/>
    <w:rsid w:val="00455C23"/>
    <w:rsid w:val="00456CDD"/>
    <w:rsid w:val="0046766A"/>
    <w:rsid w:val="00475913"/>
    <w:rsid w:val="00481200"/>
    <w:rsid w:val="004844E6"/>
    <w:rsid w:val="00486664"/>
    <w:rsid w:val="004A07EE"/>
    <w:rsid w:val="004A0BE4"/>
    <w:rsid w:val="004A405D"/>
    <w:rsid w:val="004A7CFE"/>
    <w:rsid w:val="004B3BAE"/>
    <w:rsid w:val="004C01A7"/>
    <w:rsid w:val="004D2BF8"/>
    <w:rsid w:val="004E0068"/>
    <w:rsid w:val="004E009D"/>
    <w:rsid w:val="004E3025"/>
    <w:rsid w:val="004F4C6D"/>
    <w:rsid w:val="004F5101"/>
    <w:rsid w:val="005016F6"/>
    <w:rsid w:val="00501FC7"/>
    <w:rsid w:val="005075EC"/>
    <w:rsid w:val="00532D30"/>
    <w:rsid w:val="005335C5"/>
    <w:rsid w:val="005368ED"/>
    <w:rsid w:val="00537810"/>
    <w:rsid w:val="00540DD2"/>
    <w:rsid w:val="0054122B"/>
    <w:rsid w:val="005414FD"/>
    <w:rsid w:val="00542EB8"/>
    <w:rsid w:val="00547777"/>
    <w:rsid w:val="005508CB"/>
    <w:rsid w:val="005509EF"/>
    <w:rsid w:val="00550D58"/>
    <w:rsid w:val="005618B3"/>
    <w:rsid w:val="00561B3C"/>
    <w:rsid w:val="00567F2C"/>
    <w:rsid w:val="00582A04"/>
    <w:rsid w:val="00586D97"/>
    <w:rsid w:val="005911C6"/>
    <w:rsid w:val="0059185B"/>
    <w:rsid w:val="005D491F"/>
    <w:rsid w:val="005D6546"/>
    <w:rsid w:val="005E037B"/>
    <w:rsid w:val="0062044C"/>
    <w:rsid w:val="006239A8"/>
    <w:rsid w:val="00630CD6"/>
    <w:rsid w:val="00631A93"/>
    <w:rsid w:val="00641E65"/>
    <w:rsid w:val="006520A1"/>
    <w:rsid w:val="0065380C"/>
    <w:rsid w:val="00654750"/>
    <w:rsid w:val="006577FF"/>
    <w:rsid w:val="00665B0B"/>
    <w:rsid w:val="0067132B"/>
    <w:rsid w:val="0067540F"/>
    <w:rsid w:val="00675A59"/>
    <w:rsid w:val="00675AAD"/>
    <w:rsid w:val="00690C11"/>
    <w:rsid w:val="006A32A8"/>
    <w:rsid w:val="006B2B17"/>
    <w:rsid w:val="006B305A"/>
    <w:rsid w:val="006C160D"/>
    <w:rsid w:val="006C33A9"/>
    <w:rsid w:val="006D4C82"/>
    <w:rsid w:val="006D5ACE"/>
    <w:rsid w:val="006D7B34"/>
    <w:rsid w:val="006E32B0"/>
    <w:rsid w:val="006F1886"/>
    <w:rsid w:val="007031B1"/>
    <w:rsid w:val="007204BB"/>
    <w:rsid w:val="00726C01"/>
    <w:rsid w:val="007278D9"/>
    <w:rsid w:val="007335F8"/>
    <w:rsid w:val="00735CAA"/>
    <w:rsid w:val="00735F3A"/>
    <w:rsid w:val="00744157"/>
    <w:rsid w:val="00757CE7"/>
    <w:rsid w:val="00766E8C"/>
    <w:rsid w:val="0077160A"/>
    <w:rsid w:val="00781EA1"/>
    <w:rsid w:val="00783C69"/>
    <w:rsid w:val="00794402"/>
    <w:rsid w:val="007A0B6A"/>
    <w:rsid w:val="007B07C8"/>
    <w:rsid w:val="007C0D2B"/>
    <w:rsid w:val="007C171C"/>
    <w:rsid w:val="007C3F9B"/>
    <w:rsid w:val="007C4799"/>
    <w:rsid w:val="007E036F"/>
    <w:rsid w:val="007E0C34"/>
    <w:rsid w:val="007E2165"/>
    <w:rsid w:val="007F04D7"/>
    <w:rsid w:val="007F77CE"/>
    <w:rsid w:val="00807A3C"/>
    <w:rsid w:val="008107B4"/>
    <w:rsid w:val="00811520"/>
    <w:rsid w:val="00816FA5"/>
    <w:rsid w:val="008235FE"/>
    <w:rsid w:val="00825C62"/>
    <w:rsid w:val="00830305"/>
    <w:rsid w:val="00841608"/>
    <w:rsid w:val="008443B4"/>
    <w:rsid w:val="008548E7"/>
    <w:rsid w:val="008707D9"/>
    <w:rsid w:val="0087146F"/>
    <w:rsid w:val="00877496"/>
    <w:rsid w:val="00877534"/>
    <w:rsid w:val="008820EF"/>
    <w:rsid w:val="008929AE"/>
    <w:rsid w:val="00893325"/>
    <w:rsid w:val="00893B48"/>
    <w:rsid w:val="008943C9"/>
    <w:rsid w:val="00894B0E"/>
    <w:rsid w:val="00895836"/>
    <w:rsid w:val="008A0D1A"/>
    <w:rsid w:val="008B5C91"/>
    <w:rsid w:val="008B6166"/>
    <w:rsid w:val="008C14EA"/>
    <w:rsid w:val="008C67C9"/>
    <w:rsid w:val="008D6BCD"/>
    <w:rsid w:val="008E59C8"/>
    <w:rsid w:val="00901279"/>
    <w:rsid w:val="00915D13"/>
    <w:rsid w:val="0092562F"/>
    <w:rsid w:val="0093425B"/>
    <w:rsid w:val="00947895"/>
    <w:rsid w:val="00952262"/>
    <w:rsid w:val="00970E4C"/>
    <w:rsid w:val="00981A89"/>
    <w:rsid w:val="009836DE"/>
    <w:rsid w:val="00983E52"/>
    <w:rsid w:val="009876D7"/>
    <w:rsid w:val="00993CDE"/>
    <w:rsid w:val="00996743"/>
    <w:rsid w:val="009A2986"/>
    <w:rsid w:val="009A3FC6"/>
    <w:rsid w:val="009A5B5E"/>
    <w:rsid w:val="009C7A2A"/>
    <w:rsid w:val="009D0D9C"/>
    <w:rsid w:val="009D3308"/>
    <w:rsid w:val="009E6F68"/>
    <w:rsid w:val="009F2B02"/>
    <w:rsid w:val="009F58D4"/>
    <w:rsid w:val="00A04497"/>
    <w:rsid w:val="00A054F3"/>
    <w:rsid w:val="00A06A70"/>
    <w:rsid w:val="00A23BCB"/>
    <w:rsid w:val="00A243A3"/>
    <w:rsid w:val="00A254DA"/>
    <w:rsid w:val="00A41B7E"/>
    <w:rsid w:val="00A44E6F"/>
    <w:rsid w:val="00A568C3"/>
    <w:rsid w:val="00A85DD8"/>
    <w:rsid w:val="00A91B45"/>
    <w:rsid w:val="00A92F77"/>
    <w:rsid w:val="00A94E37"/>
    <w:rsid w:val="00A96D8C"/>
    <w:rsid w:val="00AA1CA3"/>
    <w:rsid w:val="00AA385B"/>
    <w:rsid w:val="00AB7D72"/>
    <w:rsid w:val="00AC282E"/>
    <w:rsid w:val="00AC35CC"/>
    <w:rsid w:val="00AC4CE4"/>
    <w:rsid w:val="00AD2B56"/>
    <w:rsid w:val="00AD2F8E"/>
    <w:rsid w:val="00AD5F16"/>
    <w:rsid w:val="00AD62D5"/>
    <w:rsid w:val="00AE129D"/>
    <w:rsid w:val="00AE588A"/>
    <w:rsid w:val="00AE6F64"/>
    <w:rsid w:val="00AE774D"/>
    <w:rsid w:val="00AF74D5"/>
    <w:rsid w:val="00B04E39"/>
    <w:rsid w:val="00B22CA4"/>
    <w:rsid w:val="00B26268"/>
    <w:rsid w:val="00B27383"/>
    <w:rsid w:val="00B306CA"/>
    <w:rsid w:val="00B321FE"/>
    <w:rsid w:val="00B36A32"/>
    <w:rsid w:val="00B40634"/>
    <w:rsid w:val="00B51FC0"/>
    <w:rsid w:val="00B62FFA"/>
    <w:rsid w:val="00B73AF7"/>
    <w:rsid w:val="00B73CC2"/>
    <w:rsid w:val="00B740D7"/>
    <w:rsid w:val="00B76565"/>
    <w:rsid w:val="00B77F75"/>
    <w:rsid w:val="00BA25BE"/>
    <w:rsid w:val="00BA7CBC"/>
    <w:rsid w:val="00BB47DA"/>
    <w:rsid w:val="00BB5CBF"/>
    <w:rsid w:val="00BC149C"/>
    <w:rsid w:val="00BC32FF"/>
    <w:rsid w:val="00BE2F9B"/>
    <w:rsid w:val="00BE73F8"/>
    <w:rsid w:val="00BF1DF1"/>
    <w:rsid w:val="00BF2760"/>
    <w:rsid w:val="00BF4BE1"/>
    <w:rsid w:val="00C011B0"/>
    <w:rsid w:val="00C111D2"/>
    <w:rsid w:val="00C176FE"/>
    <w:rsid w:val="00C260F5"/>
    <w:rsid w:val="00C326B1"/>
    <w:rsid w:val="00C32B2B"/>
    <w:rsid w:val="00C332E9"/>
    <w:rsid w:val="00C37663"/>
    <w:rsid w:val="00C41C6F"/>
    <w:rsid w:val="00C4650B"/>
    <w:rsid w:val="00C542E9"/>
    <w:rsid w:val="00C55821"/>
    <w:rsid w:val="00C55902"/>
    <w:rsid w:val="00C55E92"/>
    <w:rsid w:val="00C611FD"/>
    <w:rsid w:val="00C63D82"/>
    <w:rsid w:val="00C72B3E"/>
    <w:rsid w:val="00C83439"/>
    <w:rsid w:val="00C95F98"/>
    <w:rsid w:val="00C96403"/>
    <w:rsid w:val="00C97BE2"/>
    <w:rsid w:val="00CA5E36"/>
    <w:rsid w:val="00CC07E6"/>
    <w:rsid w:val="00CC25E3"/>
    <w:rsid w:val="00CC3A77"/>
    <w:rsid w:val="00CC753A"/>
    <w:rsid w:val="00CD60FD"/>
    <w:rsid w:val="00CD63C6"/>
    <w:rsid w:val="00CD7ACE"/>
    <w:rsid w:val="00CE2284"/>
    <w:rsid w:val="00CE7271"/>
    <w:rsid w:val="00D02C8D"/>
    <w:rsid w:val="00D13042"/>
    <w:rsid w:val="00D32D74"/>
    <w:rsid w:val="00D32E07"/>
    <w:rsid w:val="00D41C51"/>
    <w:rsid w:val="00D56C73"/>
    <w:rsid w:val="00D76159"/>
    <w:rsid w:val="00D77549"/>
    <w:rsid w:val="00D8384B"/>
    <w:rsid w:val="00D87B9A"/>
    <w:rsid w:val="00D90DAC"/>
    <w:rsid w:val="00D94F8B"/>
    <w:rsid w:val="00D96984"/>
    <w:rsid w:val="00DB2792"/>
    <w:rsid w:val="00DB632F"/>
    <w:rsid w:val="00DB7865"/>
    <w:rsid w:val="00DC3810"/>
    <w:rsid w:val="00DD0036"/>
    <w:rsid w:val="00DE6B06"/>
    <w:rsid w:val="00DF4B6E"/>
    <w:rsid w:val="00E05E1D"/>
    <w:rsid w:val="00E0772A"/>
    <w:rsid w:val="00E12719"/>
    <w:rsid w:val="00E14C33"/>
    <w:rsid w:val="00E24505"/>
    <w:rsid w:val="00E25DA3"/>
    <w:rsid w:val="00E26F19"/>
    <w:rsid w:val="00E30EB9"/>
    <w:rsid w:val="00E34CE7"/>
    <w:rsid w:val="00E37576"/>
    <w:rsid w:val="00E51C37"/>
    <w:rsid w:val="00E52286"/>
    <w:rsid w:val="00E54D23"/>
    <w:rsid w:val="00E57A39"/>
    <w:rsid w:val="00E6336F"/>
    <w:rsid w:val="00E66E8D"/>
    <w:rsid w:val="00E70A55"/>
    <w:rsid w:val="00E7561B"/>
    <w:rsid w:val="00E802F9"/>
    <w:rsid w:val="00E80B44"/>
    <w:rsid w:val="00E8348B"/>
    <w:rsid w:val="00E90421"/>
    <w:rsid w:val="00E95104"/>
    <w:rsid w:val="00EA0165"/>
    <w:rsid w:val="00EC0467"/>
    <w:rsid w:val="00EC35A7"/>
    <w:rsid w:val="00ED327E"/>
    <w:rsid w:val="00ED59DC"/>
    <w:rsid w:val="00ED5BF7"/>
    <w:rsid w:val="00EE1A4B"/>
    <w:rsid w:val="00EF30E8"/>
    <w:rsid w:val="00EF4FE8"/>
    <w:rsid w:val="00F003D2"/>
    <w:rsid w:val="00F03221"/>
    <w:rsid w:val="00F0790A"/>
    <w:rsid w:val="00F30219"/>
    <w:rsid w:val="00F37B4C"/>
    <w:rsid w:val="00F51E60"/>
    <w:rsid w:val="00F653EB"/>
    <w:rsid w:val="00F66267"/>
    <w:rsid w:val="00F66AB1"/>
    <w:rsid w:val="00F67604"/>
    <w:rsid w:val="00F83A43"/>
    <w:rsid w:val="00F84EEE"/>
    <w:rsid w:val="00F873EA"/>
    <w:rsid w:val="00F876CF"/>
    <w:rsid w:val="00F90BC3"/>
    <w:rsid w:val="00F93408"/>
    <w:rsid w:val="00F95680"/>
    <w:rsid w:val="00F965C3"/>
    <w:rsid w:val="00F978A5"/>
    <w:rsid w:val="00FB258C"/>
    <w:rsid w:val="00FF73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9F1C2"/>
  <w15:chartTrackingRefBased/>
  <w15:docId w15:val="{879D5F46-E8E8-431F-823E-3E775AAA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05A"/>
  </w:style>
  <w:style w:type="paragraph" w:styleId="Nagwek1">
    <w:name w:val="heading 1"/>
    <w:basedOn w:val="Normalny"/>
    <w:next w:val="Normalny"/>
    <w:link w:val="Nagwek1Znak"/>
    <w:uiPriority w:val="9"/>
    <w:qFormat/>
    <w:rsid w:val="00B321FE"/>
    <w:pPr>
      <w:keepNext/>
      <w:keepLines/>
      <w:numPr>
        <w:numId w:val="1"/>
      </w:numPr>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Nagwek2">
    <w:name w:val="heading 2"/>
    <w:basedOn w:val="Normalny"/>
    <w:next w:val="Normalny"/>
    <w:link w:val="Nagwek2Znak"/>
    <w:uiPriority w:val="9"/>
    <w:unhideWhenUsed/>
    <w:qFormat/>
    <w:rsid w:val="00B321F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B2B17"/>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6B2B1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6B2B1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6B2B1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6B2B1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6B2B1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B2B1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21FE"/>
    <w:rPr>
      <w:rFonts w:asciiTheme="majorHAnsi" w:eastAsiaTheme="majorEastAsia" w:hAnsiTheme="majorHAnsi" w:cstheme="majorBidi"/>
      <w:b/>
      <w:bCs/>
      <w:color w:val="2F5496" w:themeColor="accent1" w:themeShade="BF"/>
      <w:sz w:val="32"/>
      <w:szCs w:val="32"/>
    </w:rPr>
  </w:style>
  <w:style w:type="character" w:customStyle="1" w:styleId="Nagwek2Znak">
    <w:name w:val="Nagłówek 2 Znak"/>
    <w:basedOn w:val="Domylnaczcionkaakapitu"/>
    <w:link w:val="Nagwek2"/>
    <w:uiPriority w:val="9"/>
    <w:rsid w:val="00B321FE"/>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B2B17"/>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6B2B1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6B2B17"/>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6B2B17"/>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6B2B17"/>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6B2B1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B2B17"/>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9836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36DE"/>
  </w:style>
  <w:style w:type="paragraph" w:styleId="Stopka">
    <w:name w:val="footer"/>
    <w:basedOn w:val="Normalny"/>
    <w:link w:val="StopkaZnak"/>
    <w:uiPriority w:val="99"/>
    <w:unhideWhenUsed/>
    <w:rsid w:val="009836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36DE"/>
  </w:style>
  <w:style w:type="paragraph" w:styleId="Nagwekspisutreci">
    <w:name w:val="TOC Heading"/>
    <w:basedOn w:val="Nagwek1"/>
    <w:next w:val="Normalny"/>
    <w:uiPriority w:val="39"/>
    <w:unhideWhenUsed/>
    <w:qFormat/>
    <w:rsid w:val="00D56C73"/>
    <w:pPr>
      <w:numPr>
        <w:numId w:val="0"/>
      </w:numPr>
      <w:outlineLvl w:val="9"/>
    </w:pPr>
    <w:rPr>
      <w:b w:val="0"/>
      <w:bCs w:val="0"/>
      <w:lang w:eastAsia="pl-PL"/>
    </w:rPr>
  </w:style>
  <w:style w:type="paragraph" w:styleId="Spistreci1">
    <w:name w:val="toc 1"/>
    <w:basedOn w:val="Normalny"/>
    <w:next w:val="Normalny"/>
    <w:autoRedefine/>
    <w:uiPriority w:val="39"/>
    <w:unhideWhenUsed/>
    <w:rsid w:val="00333B6D"/>
    <w:pPr>
      <w:tabs>
        <w:tab w:val="left" w:pos="440"/>
        <w:tab w:val="right" w:leader="dot" w:pos="9062"/>
      </w:tabs>
      <w:spacing w:after="100"/>
    </w:pPr>
    <w:rPr>
      <w:b/>
      <w:bCs/>
      <w:noProof/>
    </w:rPr>
  </w:style>
  <w:style w:type="paragraph" w:styleId="Spistreci2">
    <w:name w:val="toc 2"/>
    <w:basedOn w:val="Normalny"/>
    <w:next w:val="Normalny"/>
    <w:autoRedefine/>
    <w:uiPriority w:val="39"/>
    <w:unhideWhenUsed/>
    <w:rsid w:val="00D56C73"/>
    <w:pPr>
      <w:spacing w:after="100"/>
      <w:ind w:left="220"/>
    </w:pPr>
  </w:style>
  <w:style w:type="character" w:styleId="Hipercze">
    <w:name w:val="Hyperlink"/>
    <w:basedOn w:val="Domylnaczcionkaakapitu"/>
    <w:uiPriority w:val="99"/>
    <w:unhideWhenUsed/>
    <w:rsid w:val="00D56C73"/>
    <w:rPr>
      <w:color w:val="0563C1" w:themeColor="hyperlink"/>
      <w:u w:val="single"/>
    </w:rPr>
  </w:style>
  <w:style w:type="paragraph" w:customStyle="1" w:styleId="Kolorowalistaakcent11">
    <w:name w:val="Kolorowa lista — akcent 11"/>
    <w:basedOn w:val="Normalny"/>
    <w:uiPriority w:val="99"/>
    <w:rsid w:val="00EC35A7"/>
    <w:pPr>
      <w:spacing w:after="200" w:line="276" w:lineRule="auto"/>
      <w:ind w:left="720"/>
      <w:contextualSpacing/>
    </w:pPr>
    <w:rPr>
      <w:rFonts w:ascii="Calibri" w:eastAsia="Times New Roman" w:hAnsi="Calibri" w:cs="Times New Roman"/>
      <w:lang w:eastAsia="pl-PL"/>
    </w:rPr>
  </w:style>
  <w:style w:type="paragraph" w:styleId="Akapitzlist">
    <w:name w:val="List Paragraph"/>
    <w:aliases w:val="L1,Numerowanie,BulletC,Wyliczanie,Obiekt,normalny tekst,Akapit z listą31,Bullets,List Paragraph1,Akapit z listą BS,CW_Lista,lp1,Preambuła,Dot pt,F5 List Paragraph,Recommendation,List Paragraph11,List Paragraph2,T_SZ_List Paragraph,Bullet1"/>
    <w:basedOn w:val="Normalny"/>
    <w:link w:val="AkapitzlistZnak"/>
    <w:uiPriority w:val="34"/>
    <w:qFormat/>
    <w:rsid w:val="00D90DAC"/>
    <w:pPr>
      <w:ind w:left="720"/>
      <w:contextualSpacing/>
    </w:pPr>
  </w:style>
  <w:style w:type="table" w:styleId="Tabela-Siatka">
    <w:name w:val="Table Grid"/>
    <w:basedOn w:val="Standardowy"/>
    <w:uiPriority w:val="39"/>
    <w:rsid w:val="003C2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1">
    <w:name w:val="Grid Table 2 Accent 1"/>
    <w:basedOn w:val="Standardowy"/>
    <w:uiPriority w:val="47"/>
    <w:rsid w:val="003C25C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1">
    <w:name w:val="Grid Table 4 Accent 1"/>
    <w:basedOn w:val="Standardowy"/>
    <w:uiPriority w:val="49"/>
    <w:rsid w:val="003C25C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2">
    <w:name w:val="Grid Table 4 Accent 2"/>
    <w:basedOn w:val="Standardowy"/>
    <w:uiPriority w:val="49"/>
    <w:rsid w:val="003C25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3C25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3C25C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3C25C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3C25C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treci5">
    <w:name w:val="Tekst treści (5)_"/>
    <w:link w:val="Teksttreci50"/>
    <w:uiPriority w:val="99"/>
    <w:rsid w:val="003C25C5"/>
    <w:rPr>
      <w:rFonts w:cs="Calibri"/>
      <w:i/>
      <w:iCs/>
      <w:sz w:val="21"/>
      <w:szCs w:val="21"/>
      <w:shd w:val="clear" w:color="auto" w:fill="FFFFFF"/>
    </w:rPr>
  </w:style>
  <w:style w:type="paragraph" w:customStyle="1" w:styleId="Teksttreci50">
    <w:name w:val="Tekst treści (5)"/>
    <w:basedOn w:val="Normalny"/>
    <w:link w:val="Teksttreci5"/>
    <w:uiPriority w:val="99"/>
    <w:rsid w:val="003C25C5"/>
    <w:pPr>
      <w:widowControl w:val="0"/>
      <w:shd w:val="clear" w:color="auto" w:fill="FFFFFF"/>
      <w:spacing w:after="0" w:line="310" w:lineRule="exact"/>
      <w:ind w:firstLine="420"/>
      <w:jc w:val="both"/>
    </w:pPr>
    <w:rPr>
      <w:rFonts w:cs="Calibri"/>
      <w:i/>
      <w:iCs/>
      <w:sz w:val="21"/>
      <w:szCs w:val="21"/>
    </w:rPr>
  </w:style>
  <w:style w:type="table" w:styleId="Tabelasiatki3akcent4">
    <w:name w:val="Grid Table 3 Accent 4"/>
    <w:basedOn w:val="Standardowy"/>
    <w:uiPriority w:val="48"/>
    <w:rsid w:val="003C25C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3C25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3C25C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3C25C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komentarzaZnak">
    <w:name w:val="Tekst komentarza Znak"/>
    <w:basedOn w:val="Domylnaczcionkaakapitu"/>
    <w:link w:val="Tekstkomentarza"/>
    <w:uiPriority w:val="99"/>
    <w:semiHidden/>
    <w:rsid w:val="003C25C5"/>
    <w:rPr>
      <w:sz w:val="20"/>
      <w:szCs w:val="20"/>
    </w:rPr>
  </w:style>
  <w:style w:type="paragraph" w:styleId="Tekstkomentarza">
    <w:name w:val="annotation text"/>
    <w:basedOn w:val="Normalny"/>
    <w:link w:val="TekstkomentarzaZnak"/>
    <w:uiPriority w:val="99"/>
    <w:semiHidden/>
    <w:unhideWhenUsed/>
    <w:rsid w:val="003C25C5"/>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3C25C5"/>
    <w:rPr>
      <w:b/>
      <w:bCs/>
      <w:sz w:val="20"/>
      <w:szCs w:val="20"/>
    </w:rPr>
  </w:style>
  <w:style w:type="paragraph" w:styleId="Tematkomentarza">
    <w:name w:val="annotation subject"/>
    <w:basedOn w:val="Tekstkomentarza"/>
    <w:next w:val="Tekstkomentarza"/>
    <w:link w:val="TematkomentarzaZnak"/>
    <w:uiPriority w:val="99"/>
    <w:semiHidden/>
    <w:unhideWhenUsed/>
    <w:rsid w:val="003C25C5"/>
    <w:rPr>
      <w:b/>
      <w:bCs/>
    </w:rPr>
  </w:style>
  <w:style w:type="character" w:customStyle="1" w:styleId="TekstdymkaZnak">
    <w:name w:val="Tekst dymka Znak"/>
    <w:basedOn w:val="Domylnaczcionkaakapitu"/>
    <w:link w:val="Tekstdymka"/>
    <w:uiPriority w:val="99"/>
    <w:semiHidden/>
    <w:rsid w:val="003C25C5"/>
    <w:rPr>
      <w:rFonts w:ascii="Segoe UI" w:hAnsi="Segoe UI" w:cs="Segoe UI"/>
      <w:sz w:val="18"/>
      <w:szCs w:val="18"/>
    </w:rPr>
  </w:style>
  <w:style w:type="paragraph" w:styleId="Tekstdymka">
    <w:name w:val="Balloon Text"/>
    <w:basedOn w:val="Normalny"/>
    <w:link w:val="TekstdymkaZnak"/>
    <w:uiPriority w:val="99"/>
    <w:semiHidden/>
    <w:unhideWhenUsed/>
    <w:rsid w:val="003C25C5"/>
    <w:pPr>
      <w:spacing w:after="0" w:line="240" w:lineRule="auto"/>
    </w:pPr>
    <w:rPr>
      <w:rFonts w:ascii="Segoe UI" w:hAnsi="Segoe UI" w:cs="Segoe UI"/>
      <w:sz w:val="18"/>
      <w:szCs w:val="18"/>
    </w:rPr>
  </w:style>
  <w:style w:type="table" w:styleId="Tabelasiatki6kolorowaakcent2">
    <w:name w:val="Grid Table 6 Colorful Accent 2"/>
    <w:basedOn w:val="Standardowy"/>
    <w:uiPriority w:val="51"/>
    <w:rsid w:val="003C25C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ezodstpw">
    <w:name w:val="No Spacing"/>
    <w:uiPriority w:val="1"/>
    <w:qFormat/>
    <w:rsid w:val="00E37576"/>
    <w:pPr>
      <w:spacing w:after="0" w:line="240" w:lineRule="auto"/>
    </w:pPr>
  </w:style>
  <w:style w:type="character" w:styleId="Nierozpoznanawzmianka">
    <w:name w:val="Unresolved Mention"/>
    <w:basedOn w:val="Domylnaczcionkaakapitu"/>
    <w:uiPriority w:val="99"/>
    <w:semiHidden/>
    <w:unhideWhenUsed/>
    <w:rsid w:val="00DD0036"/>
    <w:rPr>
      <w:color w:val="605E5C"/>
      <w:shd w:val="clear" w:color="auto" w:fill="E1DFDD"/>
    </w:rPr>
  </w:style>
  <w:style w:type="character" w:customStyle="1" w:styleId="markedcontent">
    <w:name w:val="markedcontent"/>
    <w:basedOn w:val="Domylnaczcionkaakapitu"/>
    <w:rsid w:val="00981A89"/>
  </w:style>
  <w:style w:type="table" w:customStyle="1" w:styleId="Tabela-Siatka1">
    <w:name w:val="Tabela - Siatka1"/>
    <w:basedOn w:val="Standardowy"/>
    <w:next w:val="Tabela-Siatka"/>
    <w:uiPriority w:val="39"/>
    <w:rsid w:val="00C97BE2"/>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7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L1 Znak,Numerowanie Znak,BulletC Znak,Wyliczanie Znak,Obiekt Znak,normalny tekst Znak,Akapit z listą31 Znak,Bullets Znak,List Paragraph1 Znak,Akapit z listą BS Znak,CW_Lista Znak,lp1 Znak,Preambuła Znak,Dot pt Znak,Bullet1 Znak"/>
    <w:link w:val="Akapitzlist"/>
    <w:uiPriority w:val="34"/>
    <w:qFormat/>
    <w:locked/>
    <w:rsid w:val="00C97BE2"/>
  </w:style>
  <w:style w:type="paragraph" w:styleId="Tekstprzypisukocowego">
    <w:name w:val="endnote text"/>
    <w:basedOn w:val="Normalny"/>
    <w:link w:val="TekstprzypisukocowegoZnak"/>
    <w:uiPriority w:val="99"/>
    <w:semiHidden/>
    <w:unhideWhenUsed/>
    <w:rsid w:val="00C97B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7BE2"/>
    <w:rPr>
      <w:sz w:val="20"/>
      <w:szCs w:val="20"/>
    </w:rPr>
  </w:style>
  <w:style w:type="character" w:styleId="Odwoanieprzypisukocowego">
    <w:name w:val="endnote reference"/>
    <w:basedOn w:val="Domylnaczcionkaakapitu"/>
    <w:uiPriority w:val="99"/>
    <w:semiHidden/>
    <w:unhideWhenUsed/>
    <w:rsid w:val="00C97BE2"/>
    <w:rPr>
      <w:vertAlign w:val="superscript"/>
    </w:r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C4650B"/>
    <w:pPr>
      <w:spacing w:after="5" w:line="271" w:lineRule="auto"/>
      <w:ind w:left="15" w:firstLine="5"/>
      <w:jc w:val="both"/>
    </w:pPr>
    <w:rPr>
      <w:rFonts w:ascii="Calibri" w:eastAsia="Calibri" w:hAnsi="Calibri" w:cs="Calibri"/>
      <w:color w:val="000000"/>
      <w:sz w:val="20"/>
      <w:szCs w:val="20"/>
      <w:lang w:val="en-US"/>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C4650B"/>
    <w:rPr>
      <w:rFonts w:ascii="Calibri" w:eastAsia="Calibri" w:hAnsi="Calibri" w:cs="Calibri"/>
      <w:color w:val="000000"/>
      <w:sz w:val="20"/>
      <w:szCs w:val="20"/>
      <w:lang w:val="en-US"/>
    </w:rPr>
  </w:style>
  <w:style w:type="character" w:styleId="Odwoanieprzypisudolnego">
    <w:name w:val="footnote reference"/>
    <w:aliases w:val="Appel note de bas de p,BVI fnr,EN Footnote Reference,FZ,Footnote Reference Number,Footnote Reference Superscript,Footnote number,Footnote reference number,Footnote symbol,Nota,Odwołanie przypisu,SUPERS,Times 10 Point,note TESI"/>
    <w:link w:val="FootnoteReferneceCarcter"/>
    <w:uiPriority w:val="99"/>
    <w:unhideWhenUsed/>
    <w:qFormat/>
    <w:rsid w:val="00C4650B"/>
    <w:rPr>
      <w:vertAlign w:val="superscript"/>
    </w:rPr>
  </w:style>
  <w:style w:type="paragraph" w:styleId="HTML-wstpniesformatowany">
    <w:name w:val="HTML Preformatted"/>
    <w:basedOn w:val="Normalny"/>
    <w:link w:val="HTML-wstpniesformatowanyZnak"/>
    <w:uiPriority w:val="99"/>
    <w:unhideWhenUsed/>
    <w:rsid w:val="002C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C3705"/>
    <w:rPr>
      <w:rFonts w:ascii="Courier New" w:eastAsia="Times New Roman" w:hAnsi="Courier New" w:cs="Courier New"/>
      <w:sz w:val="20"/>
      <w:szCs w:val="20"/>
      <w:lang w:eastAsia="pl-PL"/>
    </w:rPr>
  </w:style>
  <w:style w:type="paragraph" w:styleId="Tekstpodstawowy">
    <w:name w:val="Body Text"/>
    <w:basedOn w:val="Normalny"/>
    <w:link w:val="TekstpodstawowyZnak"/>
    <w:qFormat/>
    <w:rsid w:val="00915D1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915D13"/>
    <w:rPr>
      <w:rFonts w:ascii="Times New Roman" w:eastAsia="Times New Roman" w:hAnsi="Times New Roman" w:cs="Times New Roman"/>
      <w:sz w:val="24"/>
      <w:szCs w:val="24"/>
    </w:rPr>
  </w:style>
  <w:style w:type="paragraph" w:styleId="NormalnyWeb">
    <w:name w:val="Normal (Web)"/>
    <w:basedOn w:val="Normalny"/>
    <w:uiPriority w:val="99"/>
    <w:unhideWhenUsed/>
    <w:qFormat/>
    <w:rsid w:val="004261D9"/>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E8348B"/>
  </w:style>
  <w:style w:type="character" w:styleId="Pogrubienie">
    <w:name w:val="Strong"/>
    <w:uiPriority w:val="22"/>
    <w:qFormat/>
    <w:rsid w:val="006D5ACE"/>
    <w:rPr>
      <w:b/>
      <w:bCs/>
    </w:rPr>
  </w:style>
  <w:style w:type="paragraph" w:customStyle="1" w:styleId="NormalnyWeb1">
    <w:name w:val="Normalny (Web)1"/>
    <w:basedOn w:val="Normalny"/>
    <w:rsid w:val="006D5ACE"/>
    <w:pPr>
      <w:suppressAutoHyphens/>
      <w:spacing w:before="28" w:after="119" w:line="100" w:lineRule="atLeast"/>
    </w:pPr>
    <w:rPr>
      <w:rFonts w:ascii="Times New Roman" w:eastAsia="Times New Roman" w:hAnsi="Times New Roman" w:cs="Times New Roman"/>
      <w:color w:val="00000A"/>
      <w:kern w:val="2"/>
      <w:sz w:val="24"/>
      <w:szCs w:val="24"/>
      <w:lang w:eastAsia="pl-PL"/>
    </w:rPr>
  </w:style>
  <w:style w:type="character" w:customStyle="1" w:styleId="Nierozpoznanawzmianka1">
    <w:name w:val="Nierozpoznana wzmianka1"/>
    <w:basedOn w:val="Domylnaczcionkaakapitu"/>
    <w:uiPriority w:val="99"/>
    <w:semiHidden/>
    <w:unhideWhenUsed/>
    <w:rsid w:val="008943C9"/>
    <w:rPr>
      <w:color w:val="605E5C"/>
      <w:shd w:val="clear" w:color="auto" w:fill="E1DFDD"/>
    </w:rPr>
  </w:style>
  <w:style w:type="paragraph" w:customStyle="1" w:styleId="Standard">
    <w:name w:val="Standard"/>
    <w:rsid w:val="008943C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czeinternetowe">
    <w:name w:val="Łącze internetowe"/>
    <w:basedOn w:val="Domylnaczcionkaakapitu"/>
    <w:uiPriority w:val="99"/>
    <w:unhideWhenUsed/>
    <w:rsid w:val="008943C9"/>
    <w:rPr>
      <w:color w:val="0563C1" w:themeColor="hyperlink"/>
      <w:u w:val="single"/>
    </w:rPr>
  </w:style>
  <w:style w:type="paragraph" w:styleId="Tekstpodstawowyzwciciem">
    <w:name w:val="Body Text First Indent"/>
    <w:basedOn w:val="Tekstpodstawowy"/>
    <w:link w:val="TekstpodstawowyzwciciemZnak"/>
    <w:uiPriority w:val="99"/>
    <w:semiHidden/>
    <w:unhideWhenUsed/>
    <w:rsid w:val="008943C9"/>
    <w:pPr>
      <w:widowControl/>
      <w:suppressAutoHyphens/>
      <w:autoSpaceDE/>
      <w:spacing w:after="160" w:line="251" w:lineRule="auto"/>
      <w:ind w:firstLine="360"/>
      <w:textAlignment w:val="baseline"/>
    </w:pPr>
    <w:rPr>
      <w:rFonts w:ascii="Calibri" w:eastAsia="Calibri" w:hAnsi="Calibri"/>
      <w:sz w:val="22"/>
      <w:szCs w:val="22"/>
    </w:rPr>
  </w:style>
  <w:style w:type="character" w:customStyle="1" w:styleId="TekstpodstawowyzwciciemZnak">
    <w:name w:val="Tekst podstawowy z wcięciem Znak"/>
    <w:basedOn w:val="TekstpodstawowyZnak"/>
    <w:link w:val="Tekstpodstawowyzwciciem"/>
    <w:uiPriority w:val="99"/>
    <w:semiHidden/>
    <w:rsid w:val="008943C9"/>
    <w:rPr>
      <w:rFonts w:ascii="Calibri" w:eastAsia="Calibri" w:hAnsi="Calibri" w:cs="Times New Roman"/>
      <w:sz w:val="24"/>
      <w:szCs w:val="24"/>
    </w:rPr>
  </w:style>
  <w:style w:type="table" w:customStyle="1" w:styleId="Tabela-Siatka2">
    <w:name w:val="Tabela - Siatka2"/>
    <w:basedOn w:val="Standardowy"/>
    <w:next w:val="Tabela-Siatka"/>
    <w:uiPriority w:val="39"/>
    <w:rsid w:val="008943C9"/>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8943C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8943C9"/>
  </w:style>
  <w:style w:type="paragraph" w:customStyle="1" w:styleId="Textbody">
    <w:name w:val="Text body"/>
    <w:basedOn w:val="Standard"/>
    <w:rsid w:val="001B6EE9"/>
    <w:pPr>
      <w:widowControl/>
      <w:spacing w:after="120"/>
      <w:jc w:val="both"/>
    </w:pPr>
    <w:rPr>
      <w:rFonts w:ascii="Calibri" w:eastAsia="SimSun" w:hAnsi="Calibri" w:cs="F"/>
      <w:sz w:val="22"/>
      <w:szCs w:val="22"/>
      <w:lang w:val="pl-PL" w:eastAsia="en-US" w:bidi="ar-SA"/>
    </w:rPr>
  </w:style>
  <w:style w:type="numbering" w:customStyle="1" w:styleId="WWNum5">
    <w:name w:val="WWNum5"/>
    <w:basedOn w:val="Bezlisty"/>
    <w:rsid w:val="001B6EE9"/>
    <w:pPr>
      <w:numPr>
        <w:numId w:val="111"/>
      </w:numPr>
    </w:pPr>
  </w:style>
  <w:style w:type="numbering" w:customStyle="1" w:styleId="WWNum6">
    <w:name w:val="WWNum6"/>
    <w:basedOn w:val="Bezlisty"/>
    <w:rsid w:val="001B6EE9"/>
    <w:pPr>
      <w:numPr>
        <w:numId w:val="112"/>
      </w:numPr>
    </w:pPr>
  </w:style>
  <w:style w:type="numbering" w:customStyle="1" w:styleId="WWNum7">
    <w:name w:val="WWNum7"/>
    <w:basedOn w:val="Bezlisty"/>
    <w:rsid w:val="001B6EE9"/>
    <w:pPr>
      <w:numPr>
        <w:numId w:val="113"/>
      </w:numPr>
    </w:pPr>
  </w:style>
  <w:style w:type="numbering" w:customStyle="1" w:styleId="WWNum9">
    <w:name w:val="WWNum9"/>
    <w:basedOn w:val="Bezlisty"/>
    <w:rsid w:val="001B6EE9"/>
    <w:pPr>
      <w:numPr>
        <w:numId w:val="114"/>
      </w:numPr>
    </w:pPr>
  </w:style>
  <w:style w:type="numbering" w:customStyle="1" w:styleId="WWNum11">
    <w:name w:val="WWNum11"/>
    <w:basedOn w:val="Bezlisty"/>
    <w:rsid w:val="001B6EE9"/>
    <w:pPr>
      <w:numPr>
        <w:numId w:val="115"/>
      </w:numPr>
    </w:pPr>
  </w:style>
  <w:style w:type="numbering" w:customStyle="1" w:styleId="WWNum12">
    <w:name w:val="WWNum12"/>
    <w:basedOn w:val="Bezlisty"/>
    <w:rsid w:val="001B6EE9"/>
    <w:pPr>
      <w:numPr>
        <w:numId w:val="116"/>
      </w:numPr>
    </w:pPr>
  </w:style>
  <w:style w:type="numbering" w:customStyle="1" w:styleId="WWNum13">
    <w:name w:val="WWNum13"/>
    <w:basedOn w:val="Bezlisty"/>
    <w:rsid w:val="001B6EE9"/>
    <w:pPr>
      <w:numPr>
        <w:numId w:val="117"/>
      </w:numPr>
    </w:pPr>
  </w:style>
  <w:style w:type="numbering" w:customStyle="1" w:styleId="WWNum15">
    <w:name w:val="WWNum15"/>
    <w:basedOn w:val="Bezlisty"/>
    <w:rsid w:val="001B6EE9"/>
    <w:pPr>
      <w:numPr>
        <w:numId w:val="118"/>
      </w:numPr>
    </w:pPr>
  </w:style>
  <w:style w:type="numbering" w:customStyle="1" w:styleId="WWNum16">
    <w:name w:val="WWNum16"/>
    <w:basedOn w:val="Bezlisty"/>
    <w:rsid w:val="001B6EE9"/>
    <w:pPr>
      <w:numPr>
        <w:numId w:val="119"/>
      </w:numPr>
    </w:pPr>
  </w:style>
  <w:style w:type="numbering" w:customStyle="1" w:styleId="WWNum19">
    <w:name w:val="WWNum19"/>
    <w:basedOn w:val="Bezlisty"/>
    <w:rsid w:val="001B6EE9"/>
    <w:pPr>
      <w:numPr>
        <w:numId w:val="120"/>
      </w:numPr>
    </w:pPr>
  </w:style>
  <w:style w:type="numbering" w:customStyle="1" w:styleId="WWNum24">
    <w:name w:val="WWNum24"/>
    <w:basedOn w:val="Bezlisty"/>
    <w:rsid w:val="001B6EE9"/>
    <w:pPr>
      <w:numPr>
        <w:numId w:val="121"/>
      </w:numPr>
    </w:pPr>
  </w:style>
  <w:style w:type="numbering" w:customStyle="1" w:styleId="WWNum26">
    <w:name w:val="WWNum26"/>
    <w:basedOn w:val="Bezlisty"/>
    <w:rsid w:val="001B6EE9"/>
    <w:pPr>
      <w:numPr>
        <w:numId w:val="122"/>
      </w:numPr>
    </w:pPr>
  </w:style>
  <w:style w:type="paragraph" w:styleId="Legenda">
    <w:name w:val="caption"/>
    <w:basedOn w:val="Normalny"/>
    <w:next w:val="Normalny"/>
    <w:uiPriority w:val="35"/>
    <w:unhideWhenUsed/>
    <w:qFormat/>
    <w:rsid w:val="00AE588A"/>
    <w:pPr>
      <w:spacing w:after="200" w:line="240" w:lineRule="auto"/>
    </w:pPr>
    <w:rPr>
      <w:i/>
      <w:iCs/>
      <w:color w:val="44546A" w:themeColor="text2"/>
      <w:sz w:val="18"/>
      <w:szCs w:val="18"/>
    </w:rPr>
  </w:style>
  <w:style w:type="character" w:styleId="UyteHipercze">
    <w:name w:val="FollowedHyperlink"/>
    <w:basedOn w:val="Domylnaczcionkaakapitu"/>
    <w:uiPriority w:val="99"/>
    <w:semiHidden/>
    <w:unhideWhenUsed/>
    <w:rsid w:val="007278D9"/>
    <w:rPr>
      <w:color w:val="954F72"/>
      <w:u w:val="single"/>
    </w:rPr>
  </w:style>
  <w:style w:type="paragraph" w:customStyle="1" w:styleId="msonormal0">
    <w:name w:val="msonormal"/>
    <w:basedOn w:val="Normalny"/>
    <w:rsid w:val="007278D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7">
    <w:name w:val="xl117"/>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8">
    <w:name w:val="xl118"/>
    <w:basedOn w:val="Normalny"/>
    <w:rsid w:val="007278D9"/>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9">
    <w:name w:val="xl119"/>
    <w:basedOn w:val="Normalny"/>
    <w:rsid w:val="007278D9"/>
    <w:pPr>
      <w:spacing w:before="100" w:beforeAutospacing="1" w:after="100" w:afterAutospacing="1" w:line="240" w:lineRule="auto"/>
    </w:pPr>
    <w:rPr>
      <w:rFonts w:ascii="Arial" w:eastAsia="Times New Roman" w:hAnsi="Arial" w:cs="Arial"/>
      <w:sz w:val="18"/>
      <w:szCs w:val="18"/>
      <w:lang w:eastAsia="pl-PL"/>
    </w:rPr>
  </w:style>
  <w:style w:type="paragraph" w:customStyle="1" w:styleId="xl120">
    <w:name w:val="xl120"/>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1">
    <w:name w:val="xl121"/>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2">
    <w:name w:val="xl122"/>
    <w:basedOn w:val="Normalny"/>
    <w:rsid w:val="007278D9"/>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3">
    <w:name w:val="xl123"/>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4">
    <w:name w:val="xl124"/>
    <w:basedOn w:val="Normalny"/>
    <w:rsid w:val="007278D9"/>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5">
    <w:name w:val="xl125"/>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6">
    <w:name w:val="xl126"/>
    <w:basedOn w:val="Normalny"/>
    <w:rsid w:val="007278D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7">
    <w:name w:val="xl127"/>
    <w:basedOn w:val="Normalny"/>
    <w:rsid w:val="007278D9"/>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8">
    <w:name w:val="xl128"/>
    <w:basedOn w:val="Normalny"/>
    <w:rsid w:val="007278D9"/>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9">
    <w:name w:val="xl129"/>
    <w:basedOn w:val="Normalny"/>
    <w:rsid w:val="007278D9"/>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0">
    <w:name w:val="xl130"/>
    <w:basedOn w:val="Normalny"/>
    <w:rsid w:val="007278D9"/>
    <w:pPr>
      <w:pBdr>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31">
    <w:name w:val="xl131"/>
    <w:basedOn w:val="Normalny"/>
    <w:rsid w:val="007278D9"/>
    <w:pPr>
      <w:pBdr>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132">
    <w:name w:val="xl132"/>
    <w:basedOn w:val="Normalny"/>
    <w:rsid w:val="007278D9"/>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3">
    <w:name w:val="xl133"/>
    <w:basedOn w:val="Normalny"/>
    <w:rsid w:val="007278D9"/>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4">
    <w:name w:val="xl134"/>
    <w:basedOn w:val="Normalny"/>
    <w:rsid w:val="007278D9"/>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5">
    <w:name w:val="xl135"/>
    <w:basedOn w:val="Normalny"/>
    <w:rsid w:val="007278D9"/>
    <w:pPr>
      <w:pBdr>
        <w:top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6">
    <w:name w:val="xl136"/>
    <w:basedOn w:val="Normalny"/>
    <w:rsid w:val="007278D9"/>
    <w:pPr>
      <w:pBdr>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7">
    <w:name w:val="xl137"/>
    <w:basedOn w:val="Normalny"/>
    <w:rsid w:val="007278D9"/>
    <w:pPr>
      <w:pBdr>
        <w:top w:val="single" w:sz="4" w:space="0" w:color="000000"/>
        <w:left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8">
    <w:name w:val="xl138"/>
    <w:basedOn w:val="Normalny"/>
    <w:rsid w:val="007278D9"/>
    <w:pPr>
      <w:pBdr>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9">
    <w:name w:val="xl139"/>
    <w:basedOn w:val="Normalny"/>
    <w:rsid w:val="007278D9"/>
    <w:pPr>
      <w:pBdr>
        <w:top w:val="single" w:sz="4" w:space="0" w:color="000000"/>
        <w:lef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0">
    <w:name w:val="xl140"/>
    <w:basedOn w:val="Normalny"/>
    <w:rsid w:val="007278D9"/>
    <w:pPr>
      <w:pBdr>
        <w:top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1">
    <w:name w:val="xl141"/>
    <w:basedOn w:val="Normalny"/>
    <w:rsid w:val="007278D9"/>
    <w:pPr>
      <w:pBdr>
        <w:top w:val="single" w:sz="4" w:space="0" w:color="000000"/>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2">
    <w:name w:val="xl142"/>
    <w:basedOn w:val="Normalny"/>
    <w:rsid w:val="007278D9"/>
    <w:pPr>
      <w:pBdr>
        <w:top w:val="single" w:sz="4" w:space="0" w:color="000000"/>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3">
    <w:name w:val="xl143"/>
    <w:basedOn w:val="Normalny"/>
    <w:rsid w:val="007278D9"/>
    <w:pPr>
      <w:pBdr>
        <w:top w:val="single" w:sz="4" w:space="0" w:color="000000"/>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4">
    <w:name w:val="xl144"/>
    <w:basedOn w:val="Normalny"/>
    <w:rsid w:val="007278D9"/>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5">
    <w:name w:val="xl145"/>
    <w:basedOn w:val="Normalny"/>
    <w:rsid w:val="007278D9"/>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6">
    <w:name w:val="xl146"/>
    <w:basedOn w:val="Normalny"/>
    <w:rsid w:val="007278D9"/>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7">
    <w:name w:val="xl147"/>
    <w:basedOn w:val="Normalny"/>
    <w:rsid w:val="007278D9"/>
    <w:pP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FootnoteReferneceCarcter">
    <w:name w:val="Footnote Refernece Carácter"/>
    <w:aliases w:val="ftref Carácter,4_G Carácter"/>
    <w:basedOn w:val="Normalny"/>
    <w:link w:val="Odwoanieprzypisudolnego"/>
    <w:uiPriority w:val="99"/>
    <w:rsid w:val="00C63D82"/>
    <w:pPr>
      <w:spacing w:before="120" w:line="240" w:lineRule="exact"/>
      <w:jc w:val="both"/>
    </w:pPr>
    <w:rPr>
      <w:vertAlign w:val="superscript"/>
    </w:rPr>
  </w:style>
  <w:style w:type="paragraph" w:customStyle="1" w:styleId="Sprawozdanie">
    <w:name w:val="Sprawozdanie"/>
    <w:basedOn w:val="Normalny"/>
    <w:link w:val="SprawozdanieZnak"/>
    <w:qFormat/>
    <w:rsid w:val="00475913"/>
    <w:pPr>
      <w:spacing w:before="160" w:line="25" w:lineRule="atLeast"/>
      <w:ind w:firstLine="709"/>
      <w:jc w:val="both"/>
    </w:pPr>
    <w:rPr>
      <w:noProof/>
      <w:sz w:val="24"/>
      <w:lang w:eastAsia="pl-PL"/>
    </w:rPr>
  </w:style>
  <w:style w:type="character" w:customStyle="1" w:styleId="SprawozdanieZnak">
    <w:name w:val="Sprawozdanie Znak"/>
    <w:basedOn w:val="Domylnaczcionkaakapitu"/>
    <w:link w:val="Sprawozdanie"/>
    <w:rsid w:val="00475913"/>
    <w:rPr>
      <w:noProof/>
      <w:sz w:val="24"/>
      <w:lang w:eastAsia="pl-PL"/>
    </w:rPr>
  </w:style>
  <w:style w:type="character" w:customStyle="1" w:styleId="Teksttreci">
    <w:name w:val="Tekst treści_"/>
    <w:basedOn w:val="Domylnaczcionkaakapitu"/>
    <w:link w:val="Teksttreci0"/>
    <w:rsid w:val="003C730B"/>
    <w:rPr>
      <w:rFonts w:ascii="Calibri" w:eastAsia="Calibri" w:hAnsi="Calibri" w:cs="Calibri"/>
      <w:sz w:val="20"/>
      <w:szCs w:val="20"/>
      <w:shd w:val="clear" w:color="auto" w:fill="FFFFFF"/>
    </w:rPr>
  </w:style>
  <w:style w:type="paragraph" w:customStyle="1" w:styleId="Teksttreci0">
    <w:name w:val="Tekst treści"/>
    <w:basedOn w:val="Normalny"/>
    <w:link w:val="Teksttreci"/>
    <w:rsid w:val="003C730B"/>
    <w:pPr>
      <w:widowControl w:val="0"/>
      <w:shd w:val="clear" w:color="auto" w:fill="FFFFFF"/>
      <w:spacing w:before="600" w:after="60" w:line="0" w:lineRule="atLeast"/>
      <w:ind w:hanging="360"/>
    </w:pPr>
    <w:rPr>
      <w:rFonts w:ascii="Calibri" w:eastAsia="Calibri" w:hAnsi="Calibri" w:cs="Calibri"/>
      <w:sz w:val="20"/>
      <w:szCs w:val="20"/>
    </w:rPr>
  </w:style>
  <w:style w:type="character" w:customStyle="1" w:styleId="Nagwek20">
    <w:name w:val="Nagłówek #2_"/>
    <w:basedOn w:val="Domylnaczcionkaakapitu"/>
    <w:link w:val="Nagwek21"/>
    <w:rsid w:val="003C730B"/>
    <w:rPr>
      <w:rFonts w:ascii="Calibri" w:eastAsia="Calibri" w:hAnsi="Calibri" w:cs="Calibri"/>
      <w:b/>
      <w:bCs/>
      <w:sz w:val="20"/>
      <w:szCs w:val="20"/>
      <w:shd w:val="clear" w:color="auto" w:fill="FFFFFF"/>
    </w:rPr>
  </w:style>
  <w:style w:type="character" w:customStyle="1" w:styleId="Teksttreci4">
    <w:name w:val="Tekst treści (4)_"/>
    <w:basedOn w:val="Domylnaczcionkaakapitu"/>
    <w:rsid w:val="003C730B"/>
    <w:rPr>
      <w:rFonts w:ascii="Calibri" w:eastAsia="Calibri" w:hAnsi="Calibri" w:cs="Calibri"/>
      <w:b/>
      <w:bCs/>
      <w:i w:val="0"/>
      <w:iCs w:val="0"/>
      <w:smallCaps w:val="0"/>
      <w:strike w:val="0"/>
      <w:sz w:val="20"/>
      <w:szCs w:val="20"/>
      <w:u w:val="none"/>
    </w:rPr>
  </w:style>
  <w:style w:type="character" w:customStyle="1" w:styleId="Teksttreci40">
    <w:name w:val="Tekst treści (4)"/>
    <w:basedOn w:val="Teksttreci4"/>
    <w:rsid w:val="003C730B"/>
    <w:rPr>
      <w:rFonts w:ascii="Calibri" w:eastAsia="Calibri" w:hAnsi="Calibri" w:cs="Calibri"/>
      <w:b/>
      <w:bCs/>
      <w:i w:val="0"/>
      <w:iCs w:val="0"/>
      <w:smallCaps w:val="0"/>
      <w:strike w:val="0"/>
      <w:color w:val="000000"/>
      <w:spacing w:val="0"/>
      <w:w w:val="100"/>
      <w:position w:val="0"/>
      <w:sz w:val="20"/>
      <w:szCs w:val="20"/>
      <w:u w:val="single"/>
      <w:lang w:val="pl-PL"/>
    </w:rPr>
  </w:style>
  <w:style w:type="paragraph" w:customStyle="1" w:styleId="Nagwek21">
    <w:name w:val="Nagłówek #2"/>
    <w:basedOn w:val="Normalny"/>
    <w:link w:val="Nagwek20"/>
    <w:rsid w:val="003C730B"/>
    <w:pPr>
      <w:widowControl w:val="0"/>
      <w:shd w:val="clear" w:color="auto" w:fill="FFFFFF"/>
      <w:spacing w:before="960" w:after="360" w:line="403" w:lineRule="exact"/>
      <w:ind w:hanging="360"/>
      <w:outlineLvl w:val="1"/>
    </w:pPr>
    <w:rPr>
      <w:rFonts w:ascii="Calibri" w:eastAsia="Calibri" w:hAnsi="Calibri" w:cs="Calibri"/>
      <w:b/>
      <w:bCs/>
      <w:sz w:val="20"/>
      <w:szCs w:val="20"/>
    </w:rPr>
  </w:style>
  <w:style w:type="table" w:styleId="Tabelasiatki5ciemnaakcent1">
    <w:name w:val="Grid Table 5 Dark Accent 1"/>
    <w:basedOn w:val="Standardowy"/>
    <w:uiPriority w:val="50"/>
    <w:rsid w:val="000B729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Odwoaniedelikatne">
    <w:name w:val="Subtle Reference"/>
    <w:uiPriority w:val="31"/>
    <w:qFormat/>
    <w:rsid w:val="00F876CF"/>
    <w:rPr>
      <w:b/>
      <w:bCs/>
      <w:color w:val="4472C4" w:themeColor="accent1"/>
    </w:rPr>
  </w:style>
  <w:style w:type="paragraph" w:customStyle="1" w:styleId="pismamz">
    <w:name w:val="pisma_mz"/>
    <w:basedOn w:val="Normalny"/>
    <w:link w:val="pismamzZnak"/>
    <w:qFormat/>
    <w:rsid w:val="00567F2C"/>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567F2C"/>
    <w:rPr>
      <w:rFonts w:ascii="Arial" w:eastAsia="Calibri" w:hAnsi="Arial" w:cs="Times New Roman"/>
      <w:sz w:val="20"/>
      <w:szCs w:val="20"/>
    </w:rPr>
  </w:style>
  <w:style w:type="character" w:styleId="Uwydatnienie">
    <w:name w:val="Emphasis"/>
    <w:basedOn w:val="Domylnaczcionkaakapitu"/>
    <w:uiPriority w:val="20"/>
    <w:qFormat/>
    <w:rsid w:val="003650C6"/>
    <w:rPr>
      <w:i/>
      <w:iCs/>
    </w:rPr>
  </w:style>
  <w:style w:type="paragraph" w:styleId="Spisilustracji">
    <w:name w:val="table of figures"/>
    <w:basedOn w:val="Normalny"/>
    <w:next w:val="Normalny"/>
    <w:uiPriority w:val="99"/>
    <w:unhideWhenUsed/>
    <w:rsid w:val="001606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374">
      <w:bodyDiv w:val="1"/>
      <w:marLeft w:val="0"/>
      <w:marRight w:val="0"/>
      <w:marTop w:val="0"/>
      <w:marBottom w:val="0"/>
      <w:divBdr>
        <w:top w:val="none" w:sz="0" w:space="0" w:color="auto"/>
        <w:left w:val="none" w:sz="0" w:space="0" w:color="auto"/>
        <w:bottom w:val="none" w:sz="0" w:space="0" w:color="auto"/>
        <w:right w:val="none" w:sz="0" w:space="0" w:color="auto"/>
      </w:divBdr>
    </w:div>
    <w:div w:id="73555977">
      <w:bodyDiv w:val="1"/>
      <w:marLeft w:val="0"/>
      <w:marRight w:val="0"/>
      <w:marTop w:val="0"/>
      <w:marBottom w:val="0"/>
      <w:divBdr>
        <w:top w:val="none" w:sz="0" w:space="0" w:color="auto"/>
        <w:left w:val="none" w:sz="0" w:space="0" w:color="auto"/>
        <w:bottom w:val="none" w:sz="0" w:space="0" w:color="auto"/>
        <w:right w:val="none" w:sz="0" w:space="0" w:color="auto"/>
      </w:divBdr>
    </w:div>
    <w:div w:id="94905720">
      <w:bodyDiv w:val="1"/>
      <w:marLeft w:val="0"/>
      <w:marRight w:val="0"/>
      <w:marTop w:val="0"/>
      <w:marBottom w:val="0"/>
      <w:divBdr>
        <w:top w:val="none" w:sz="0" w:space="0" w:color="auto"/>
        <w:left w:val="none" w:sz="0" w:space="0" w:color="auto"/>
        <w:bottom w:val="none" w:sz="0" w:space="0" w:color="auto"/>
        <w:right w:val="none" w:sz="0" w:space="0" w:color="auto"/>
      </w:divBdr>
    </w:div>
    <w:div w:id="98110497">
      <w:bodyDiv w:val="1"/>
      <w:marLeft w:val="0"/>
      <w:marRight w:val="0"/>
      <w:marTop w:val="0"/>
      <w:marBottom w:val="0"/>
      <w:divBdr>
        <w:top w:val="none" w:sz="0" w:space="0" w:color="auto"/>
        <w:left w:val="none" w:sz="0" w:space="0" w:color="auto"/>
        <w:bottom w:val="none" w:sz="0" w:space="0" w:color="auto"/>
        <w:right w:val="none" w:sz="0" w:space="0" w:color="auto"/>
      </w:divBdr>
    </w:div>
    <w:div w:id="248731528">
      <w:bodyDiv w:val="1"/>
      <w:marLeft w:val="0"/>
      <w:marRight w:val="0"/>
      <w:marTop w:val="0"/>
      <w:marBottom w:val="0"/>
      <w:divBdr>
        <w:top w:val="none" w:sz="0" w:space="0" w:color="auto"/>
        <w:left w:val="none" w:sz="0" w:space="0" w:color="auto"/>
        <w:bottom w:val="none" w:sz="0" w:space="0" w:color="auto"/>
        <w:right w:val="none" w:sz="0" w:space="0" w:color="auto"/>
      </w:divBdr>
    </w:div>
    <w:div w:id="300961794">
      <w:bodyDiv w:val="1"/>
      <w:marLeft w:val="0"/>
      <w:marRight w:val="0"/>
      <w:marTop w:val="0"/>
      <w:marBottom w:val="0"/>
      <w:divBdr>
        <w:top w:val="none" w:sz="0" w:space="0" w:color="auto"/>
        <w:left w:val="none" w:sz="0" w:space="0" w:color="auto"/>
        <w:bottom w:val="none" w:sz="0" w:space="0" w:color="auto"/>
        <w:right w:val="none" w:sz="0" w:space="0" w:color="auto"/>
      </w:divBdr>
    </w:div>
    <w:div w:id="331179505">
      <w:bodyDiv w:val="1"/>
      <w:marLeft w:val="0"/>
      <w:marRight w:val="0"/>
      <w:marTop w:val="0"/>
      <w:marBottom w:val="0"/>
      <w:divBdr>
        <w:top w:val="none" w:sz="0" w:space="0" w:color="auto"/>
        <w:left w:val="none" w:sz="0" w:space="0" w:color="auto"/>
        <w:bottom w:val="none" w:sz="0" w:space="0" w:color="auto"/>
        <w:right w:val="none" w:sz="0" w:space="0" w:color="auto"/>
      </w:divBdr>
    </w:div>
    <w:div w:id="380634429">
      <w:bodyDiv w:val="1"/>
      <w:marLeft w:val="0"/>
      <w:marRight w:val="0"/>
      <w:marTop w:val="0"/>
      <w:marBottom w:val="0"/>
      <w:divBdr>
        <w:top w:val="none" w:sz="0" w:space="0" w:color="auto"/>
        <w:left w:val="none" w:sz="0" w:space="0" w:color="auto"/>
        <w:bottom w:val="none" w:sz="0" w:space="0" w:color="auto"/>
        <w:right w:val="none" w:sz="0" w:space="0" w:color="auto"/>
      </w:divBdr>
    </w:div>
    <w:div w:id="392314567">
      <w:bodyDiv w:val="1"/>
      <w:marLeft w:val="0"/>
      <w:marRight w:val="0"/>
      <w:marTop w:val="0"/>
      <w:marBottom w:val="0"/>
      <w:divBdr>
        <w:top w:val="none" w:sz="0" w:space="0" w:color="auto"/>
        <w:left w:val="none" w:sz="0" w:space="0" w:color="auto"/>
        <w:bottom w:val="none" w:sz="0" w:space="0" w:color="auto"/>
        <w:right w:val="none" w:sz="0" w:space="0" w:color="auto"/>
      </w:divBdr>
    </w:div>
    <w:div w:id="417025776">
      <w:bodyDiv w:val="1"/>
      <w:marLeft w:val="0"/>
      <w:marRight w:val="0"/>
      <w:marTop w:val="0"/>
      <w:marBottom w:val="0"/>
      <w:divBdr>
        <w:top w:val="none" w:sz="0" w:space="0" w:color="auto"/>
        <w:left w:val="none" w:sz="0" w:space="0" w:color="auto"/>
        <w:bottom w:val="none" w:sz="0" w:space="0" w:color="auto"/>
        <w:right w:val="none" w:sz="0" w:space="0" w:color="auto"/>
      </w:divBdr>
    </w:div>
    <w:div w:id="440683624">
      <w:bodyDiv w:val="1"/>
      <w:marLeft w:val="0"/>
      <w:marRight w:val="0"/>
      <w:marTop w:val="0"/>
      <w:marBottom w:val="0"/>
      <w:divBdr>
        <w:top w:val="none" w:sz="0" w:space="0" w:color="auto"/>
        <w:left w:val="none" w:sz="0" w:space="0" w:color="auto"/>
        <w:bottom w:val="none" w:sz="0" w:space="0" w:color="auto"/>
        <w:right w:val="none" w:sz="0" w:space="0" w:color="auto"/>
      </w:divBdr>
    </w:div>
    <w:div w:id="447045871">
      <w:bodyDiv w:val="1"/>
      <w:marLeft w:val="0"/>
      <w:marRight w:val="0"/>
      <w:marTop w:val="0"/>
      <w:marBottom w:val="0"/>
      <w:divBdr>
        <w:top w:val="none" w:sz="0" w:space="0" w:color="auto"/>
        <w:left w:val="none" w:sz="0" w:space="0" w:color="auto"/>
        <w:bottom w:val="none" w:sz="0" w:space="0" w:color="auto"/>
        <w:right w:val="none" w:sz="0" w:space="0" w:color="auto"/>
      </w:divBdr>
    </w:div>
    <w:div w:id="588536917">
      <w:bodyDiv w:val="1"/>
      <w:marLeft w:val="0"/>
      <w:marRight w:val="0"/>
      <w:marTop w:val="0"/>
      <w:marBottom w:val="0"/>
      <w:divBdr>
        <w:top w:val="none" w:sz="0" w:space="0" w:color="auto"/>
        <w:left w:val="none" w:sz="0" w:space="0" w:color="auto"/>
        <w:bottom w:val="none" w:sz="0" w:space="0" w:color="auto"/>
        <w:right w:val="none" w:sz="0" w:space="0" w:color="auto"/>
      </w:divBdr>
    </w:div>
    <w:div w:id="606615684">
      <w:bodyDiv w:val="1"/>
      <w:marLeft w:val="0"/>
      <w:marRight w:val="0"/>
      <w:marTop w:val="0"/>
      <w:marBottom w:val="0"/>
      <w:divBdr>
        <w:top w:val="none" w:sz="0" w:space="0" w:color="auto"/>
        <w:left w:val="none" w:sz="0" w:space="0" w:color="auto"/>
        <w:bottom w:val="none" w:sz="0" w:space="0" w:color="auto"/>
        <w:right w:val="none" w:sz="0" w:space="0" w:color="auto"/>
      </w:divBdr>
    </w:div>
    <w:div w:id="628390980">
      <w:bodyDiv w:val="1"/>
      <w:marLeft w:val="0"/>
      <w:marRight w:val="0"/>
      <w:marTop w:val="0"/>
      <w:marBottom w:val="0"/>
      <w:divBdr>
        <w:top w:val="none" w:sz="0" w:space="0" w:color="auto"/>
        <w:left w:val="none" w:sz="0" w:space="0" w:color="auto"/>
        <w:bottom w:val="none" w:sz="0" w:space="0" w:color="auto"/>
        <w:right w:val="none" w:sz="0" w:space="0" w:color="auto"/>
      </w:divBdr>
    </w:div>
    <w:div w:id="698117620">
      <w:bodyDiv w:val="1"/>
      <w:marLeft w:val="0"/>
      <w:marRight w:val="0"/>
      <w:marTop w:val="0"/>
      <w:marBottom w:val="0"/>
      <w:divBdr>
        <w:top w:val="none" w:sz="0" w:space="0" w:color="auto"/>
        <w:left w:val="none" w:sz="0" w:space="0" w:color="auto"/>
        <w:bottom w:val="none" w:sz="0" w:space="0" w:color="auto"/>
        <w:right w:val="none" w:sz="0" w:space="0" w:color="auto"/>
      </w:divBdr>
    </w:div>
    <w:div w:id="712072730">
      <w:bodyDiv w:val="1"/>
      <w:marLeft w:val="0"/>
      <w:marRight w:val="0"/>
      <w:marTop w:val="0"/>
      <w:marBottom w:val="0"/>
      <w:divBdr>
        <w:top w:val="none" w:sz="0" w:space="0" w:color="auto"/>
        <w:left w:val="none" w:sz="0" w:space="0" w:color="auto"/>
        <w:bottom w:val="none" w:sz="0" w:space="0" w:color="auto"/>
        <w:right w:val="none" w:sz="0" w:space="0" w:color="auto"/>
      </w:divBdr>
    </w:div>
    <w:div w:id="728571504">
      <w:bodyDiv w:val="1"/>
      <w:marLeft w:val="0"/>
      <w:marRight w:val="0"/>
      <w:marTop w:val="0"/>
      <w:marBottom w:val="0"/>
      <w:divBdr>
        <w:top w:val="none" w:sz="0" w:space="0" w:color="auto"/>
        <w:left w:val="none" w:sz="0" w:space="0" w:color="auto"/>
        <w:bottom w:val="none" w:sz="0" w:space="0" w:color="auto"/>
        <w:right w:val="none" w:sz="0" w:space="0" w:color="auto"/>
      </w:divBdr>
    </w:div>
    <w:div w:id="743989927">
      <w:bodyDiv w:val="1"/>
      <w:marLeft w:val="0"/>
      <w:marRight w:val="0"/>
      <w:marTop w:val="0"/>
      <w:marBottom w:val="0"/>
      <w:divBdr>
        <w:top w:val="none" w:sz="0" w:space="0" w:color="auto"/>
        <w:left w:val="none" w:sz="0" w:space="0" w:color="auto"/>
        <w:bottom w:val="none" w:sz="0" w:space="0" w:color="auto"/>
        <w:right w:val="none" w:sz="0" w:space="0" w:color="auto"/>
      </w:divBdr>
    </w:div>
    <w:div w:id="747192386">
      <w:bodyDiv w:val="1"/>
      <w:marLeft w:val="0"/>
      <w:marRight w:val="0"/>
      <w:marTop w:val="0"/>
      <w:marBottom w:val="0"/>
      <w:divBdr>
        <w:top w:val="none" w:sz="0" w:space="0" w:color="auto"/>
        <w:left w:val="none" w:sz="0" w:space="0" w:color="auto"/>
        <w:bottom w:val="none" w:sz="0" w:space="0" w:color="auto"/>
        <w:right w:val="none" w:sz="0" w:space="0" w:color="auto"/>
      </w:divBdr>
    </w:div>
    <w:div w:id="779761137">
      <w:bodyDiv w:val="1"/>
      <w:marLeft w:val="0"/>
      <w:marRight w:val="0"/>
      <w:marTop w:val="0"/>
      <w:marBottom w:val="0"/>
      <w:divBdr>
        <w:top w:val="none" w:sz="0" w:space="0" w:color="auto"/>
        <w:left w:val="none" w:sz="0" w:space="0" w:color="auto"/>
        <w:bottom w:val="none" w:sz="0" w:space="0" w:color="auto"/>
        <w:right w:val="none" w:sz="0" w:space="0" w:color="auto"/>
      </w:divBdr>
    </w:div>
    <w:div w:id="869342129">
      <w:bodyDiv w:val="1"/>
      <w:marLeft w:val="0"/>
      <w:marRight w:val="0"/>
      <w:marTop w:val="0"/>
      <w:marBottom w:val="0"/>
      <w:divBdr>
        <w:top w:val="none" w:sz="0" w:space="0" w:color="auto"/>
        <w:left w:val="none" w:sz="0" w:space="0" w:color="auto"/>
        <w:bottom w:val="none" w:sz="0" w:space="0" w:color="auto"/>
        <w:right w:val="none" w:sz="0" w:space="0" w:color="auto"/>
      </w:divBdr>
    </w:div>
    <w:div w:id="904070133">
      <w:bodyDiv w:val="1"/>
      <w:marLeft w:val="0"/>
      <w:marRight w:val="0"/>
      <w:marTop w:val="0"/>
      <w:marBottom w:val="0"/>
      <w:divBdr>
        <w:top w:val="none" w:sz="0" w:space="0" w:color="auto"/>
        <w:left w:val="none" w:sz="0" w:space="0" w:color="auto"/>
        <w:bottom w:val="none" w:sz="0" w:space="0" w:color="auto"/>
        <w:right w:val="none" w:sz="0" w:space="0" w:color="auto"/>
      </w:divBdr>
    </w:div>
    <w:div w:id="916746610">
      <w:bodyDiv w:val="1"/>
      <w:marLeft w:val="0"/>
      <w:marRight w:val="0"/>
      <w:marTop w:val="0"/>
      <w:marBottom w:val="0"/>
      <w:divBdr>
        <w:top w:val="none" w:sz="0" w:space="0" w:color="auto"/>
        <w:left w:val="none" w:sz="0" w:space="0" w:color="auto"/>
        <w:bottom w:val="none" w:sz="0" w:space="0" w:color="auto"/>
        <w:right w:val="none" w:sz="0" w:space="0" w:color="auto"/>
      </w:divBdr>
    </w:div>
    <w:div w:id="956910710">
      <w:bodyDiv w:val="1"/>
      <w:marLeft w:val="0"/>
      <w:marRight w:val="0"/>
      <w:marTop w:val="0"/>
      <w:marBottom w:val="0"/>
      <w:divBdr>
        <w:top w:val="none" w:sz="0" w:space="0" w:color="auto"/>
        <w:left w:val="none" w:sz="0" w:space="0" w:color="auto"/>
        <w:bottom w:val="none" w:sz="0" w:space="0" w:color="auto"/>
        <w:right w:val="none" w:sz="0" w:space="0" w:color="auto"/>
      </w:divBdr>
    </w:div>
    <w:div w:id="984429762">
      <w:bodyDiv w:val="1"/>
      <w:marLeft w:val="0"/>
      <w:marRight w:val="0"/>
      <w:marTop w:val="0"/>
      <w:marBottom w:val="0"/>
      <w:divBdr>
        <w:top w:val="none" w:sz="0" w:space="0" w:color="auto"/>
        <w:left w:val="none" w:sz="0" w:space="0" w:color="auto"/>
        <w:bottom w:val="none" w:sz="0" w:space="0" w:color="auto"/>
        <w:right w:val="none" w:sz="0" w:space="0" w:color="auto"/>
      </w:divBdr>
    </w:div>
    <w:div w:id="1008411766">
      <w:bodyDiv w:val="1"/>
      <w:marLeft w:val="0"/>
      <w:marRight w:val="0"/>
      <w:marTop w:val="0"/>
      <w:marBottom w:val="0"/>
      <w:divBdr>
        <w:top w:val="none" w:sz="0" w:space="0" w:color="auto"/>
        <w:left w:val="none" w:sz="0" w:space="0" w:color="auto"/>
        <w:bottom w:val="none" w:sz="0" w:space="0" w:color="auto"/>
        <w:right w:val="none" w:sz="0" w:space="0" w:color="auto"/>
      </w:divBdr>
    </w:div>
    <w:div w:id="1014959798">
      <w:bodyDiv w:val="1"/>
      <w:marLeft w:val="0"/>
      <w:marRight w:val="0"/>
      <w:marTop w:val="0"/>
      <w:marBottom w:val="0"/>
      <w:divBdr>
        <w:top w:val="none" w:sz="0" w:space="0" w:color="auto"/>
        <w:left w:val="none" w:sz="0" w:space="0" w:color="auto"/>
        <w:bottom w:val="none" w:sz="0" w:space="0" w:color="auto"/>
        <w:right w:val="none" w:sz="0" w:space="0" w:color="auto"/>
      </w:divBdr>
    </w:div>
    <w:div w:id="1022366345">
      <w:bodyDiv w:val="1"/>
      <w:marLeft w:val="0"/>
      <w:marRight w:val="0"/>
      <w:marTop w:val="0"/>
      <w:marBottom w:val="0"/>
      <w:divBdr>
        <w:top w:val="none" w:sz="0" w:space="0" w:color="auto"/>
        <w:left w:val="none" w:sz="0" w:space="0" w:color="auto"/>
        <w:bottom w:val="none" w:sz="0" w:space="0" w:color="auto"/>
        <w:right w:val="none" w:sz="0" w:space="0" w:color="auto"/>
      </w:divBdr>
    </w:div>
    <w:div w:id="1086532273">
      <w:bodyDiv w:val="1"/>
      <w:marLeft w:val="0"/>
      <w:marRight w:val="0"/>
      <w:marTop w:val="0"/>
      <w:marBottom w:val="0"/>
      <w:divBdr>
        <w:top w:val="none" w:sz="0" w:space="0" w:color="auto"/>
        <w:left w:val="none" w:sz="0" w:space="0" w:color="auto"/>
        <w:bottom w:val="none" w:sz="0" w:space="0" w:color="auto"/>
        <w:right w:val="none" w:sz="0" w:space="0" w:color="auto"/>
      </w:divBdr>
    </w:div>
    <w:div w:id="1092319655">
      <w:bodyDiv w:val="1"/>
      <w:marLeft w:val="0"/>
      <w:marRight w:val="0"/>
      <w:marTop w:val="0"/>
      <w:marBottom w:val="0"/>
      <w:divBdr>
        <w:top w:val="none" w:sz="0" w:space="0" w:color="auto"/>
        <w:left w:val="none" w:sz="0" w:space="0" w:color="auto"/>
        <w:bottom w:val="none" w:sz="0" w:space="0" w:color="auto"/>
        <w:right w:val="none" w:sz="0" w:space="0" w:color="auto"/>
      </w:divBdr>
    </w:div>
    <w:div w:id="1118257111">
      <w:bodyDiv w:val="1"/>
      <w:marLeft w:val="0"/>
      <w:marRight w:val="0"/>
      <w:marTop w:val="0"/>
      <w:marBottom w:val="0"/>
      <w:divBdr>
        <w:top w:val="none" w:sz="0" w:space="0" w:color="auto"/>
        <w:left w:val="none" w:sz="0" w:space="0" w:color="auto"/>
        <w:bottom w:val="none" w:sz="0" w:space="0" w:color="auto"/>
        <w:right w:val="none" w:sz="0" w:space="0" w:color="auto"/>
      </w:divBdr>
    </w:div>
    <w:div w:id="1219902282">
      <w:bodyDiv w:val="1"/>
      <w:marLeft w:val="0"/>
      <w:marRight w:val="0"/>
      <w:marTop w:val="0"/>
      <w:marBottom w:val="0"/>
      <w:divBdr>
        <w:top w:val="none" w:sz="0" w:space="0" w:color="auto"/>
        <w:left w:val="none" w:sz="0" w:space="0" w:color="auto"/>
        <w:bottom w:val="none" w:sz="0" w:space="0" w:color="auto"/>
        <w:right w:val="none" w:sz="0" w:space="0" w:color="auto"/>
      </w:divBdr>
    </w:div>
    <w:div w:id="1256211675">
      <w:bodyDiv w:val="1"/>
      <w:marLeft w:val="0"/>
      <w:marRight w:val="0"/>
      <w:marTop w:val="0"/>
      <w:marBottom w:val="0"/>
      <w:divBdr>
        <w:top w:val="none" w:sz="0" w:space="0" w:color="auto"/>
        <w:left w:val="none" w:sz="0" w:space="0" w:color="auto"/>
        <w:bottom w:val="none" w:sz="0" w:space="0" w:color="auto"/>
        <w:right w:val="none" w:sz="0" w:space="0" w:color="auto"/>
      </w:divBdr>
    </w:div>
    <w:div w:id="1299796320">
      <w:bodyDiv w:val="1"/>
      <w:marLeft w:val="0"/>
      <w:marRight w:val="0"/>
      <w:marTop w:val="0"/>
      <w:marBottom w:val="0"/>
      <w:divBdr>
        <w:top w:val="none" w:sz="0" w:space="0" w:color="auto"/>
        <w:left w:val="none" w:sz="0" w:space="0" w:color="auto"/>
        <w:bottom w:val="none" w:sz="0" w:space="0" w:color="auto"/>
        <w:right w:val="none" w:sz="0" w:space="0" w:color="auto"/>
      </w:divBdr>
    </w:div>
    <w:div w:id="1362897499">
      <w:bodyDiv w:val="1"/>
      <w:marLeft w:val="0"/>
      <w:marRight w:val="0"/>
      <w:marTop w:val="0"/>
      <w:marBottom w:val="0"/>
      <w:divBdr>
        <w:top w:val="none" w:sz="0" w:space="0" w:color="auto"/>
        <w:left w:val="none" w:sz="0" w:space="0" w:color="auto"/>
        <w:bottom w:val="none" w:sz="0" w:space="0" w:color="auto"/>
        <w:right w:val="none" w:sz="0" w:space="0" w:color="auto"/>
      </w:divBdr>
    </w:div>
    <w:div w:id="1429039008">
      <w:bodyDiv w:val="1"/>
      <w:marLeft w:val="0"/>
      <w:marRight w:val="0"/>
      <w:marTop w:val="0"/>
      <w:marBottom w:val="0"/>
      <w:divBdr>
        <w:top w:val="none" w:sz="0" w:space="0" w:color="auto"/>
        <w:left w:val="none" w:sz="0" w:space="0" w:color="auto"/>
        <w:bottom w:val="none" w:sz="0" w:space="0" w:color="auto"/>
        <w:right w:val="none" w:sz="0" w:space="0" w:color="auto"/>
      </w:divBdr>
    </w:div>
    <w:div w:id="1446580710">
      <w:bodyDiv w:val="1"/>
      <w:marLeft w:val="0"/>
      <w:marRight w:val="0"/>
      <w:marTop w:val="0"/>
      <w:marBottom w:val="0"/>
      <w:divBdr>
        <w:top w:val="none" w:sz="0" w:space="0" w:color="auto"/>
        <w:left w:val="none" w:sz="0" w:space="0" w:color="auto"/>
        <w:bottom w:val="none" w:sz="0" w:space="0" w:color="auto"/>
        <w:right w:val="none" w:sz="0" w:space="0" w:color="auto"/>
      </w:divBdr>
    </w:div>
    <w:div w:id="1459758927">
      <w:bodyDiv w:val="1"/>
      <w:marLeft w:val="0"/>
      <w:marRight w:val="0"/>
      <w:marTop w:val="0"/>
      <w:marBottom w:val="0"/>
      <w:divBdr>
        <w:top w:val="none" w:sz="0" w:space="0" w:color="auto"/>
        <w:left w:val="none" w:sz="0" w:space="0" w:color="auto"/>
        <w:bottom w:val="none" w:sz="0" w:space="0" w:color="auto"/>
        <w:right w:val="none" w:sz="0" w:space="0" w:color="auto"/>
      </w:divBdr>
    </w:div>
    <w:div w:id="1488473192">
      <w:bodyDiv w:val="1"/>
      <w:marLeft w:val="0"/>
      <w:marRight w:val="0"/>
      <w:marTop w:val="0"/>
      <w:marBottom w:val="0"/>
      <w:divBdr>
        <w:top w:val="none" w:sz="0" w:space="0" w:color="auto"/>
        <w:left w:val="none" w:sz="0" w:space="0" w:color="auto"/>
        <w:bottom w:val="none" w:sz="0" w:space="0" w:color="auto"/>
        <w:right w:val="none" w:sz="0" w:space="0" w:color="auto"/>
      </w:divBdr>
    </w:div>
    <w:div w:id="1505319177">
      <w:bodyDiv w:val="1"/>
      <w:marLeft w:val="0"/>
      <w:marRight w:val="0"/>
      <w:marTop w:val="0"/>
      <w:marBottom w:val="0"/>
      <w:divBdr>
        <w:top w:val="none" w:sz="0" w:space="0" w:color="auto"/>
        <w:left w:val="none" w:sz="0" w:space="0" w:color="auto"/>
        <w:bottom w:val="none" w:sz="0" w:space="0" w:color="auto"/>
        <w:right w:val="none" w:sz="0" w:space="0" w:color="auto"/>
      </w:divBdr>
    </w:div>
    <w:div w:id="1604995759">
      <w:bodyDiv w:val="1"/>
      <w:marLeft w:val="0"/>
      <w:marRight w:val="0"/>
      <w:marTop w:val="0"/>
      <w:marBottom w:val="0"/>
      <w:divBdr>
        <w:top w:val="none" w:sz="0" w:space="0" w:color="auto"/>
        <w:left w:val="none" w:sz="0" w:space="0" w:color="auto"/>
        <w:bottom w:val="none" w:sz="0" w:space="0" w:color="auto"/>
        <w:right w:val="none" w:sz="0" w:space="0" w:color="auto"/>
      </w:divBdr>
    </w:div>
    <w:div w:id="1621491937">
      <w:bodyDiv w:val="1"/>
      <w:marLeft w:val="0"/>
      <w:marRight w:val="0"/>
      <w:marTop w:val="0"/>
      <w:marBottom w:val="0"/>
      <w:divBdr>
        <w:top w:val="none" w:sz="0" w:space="0" w:color="auto"/>
        <w:left w:val="none" w:sz="0" w:space="0" w:color="auto"/>
        <w:bottom w:val="none" w:sz="0" w:space="0" w:color="auto"/>
        <w:right w:val="none" w:sz="0" w:space="0" w:color="auto"/>
      </w:divBdr>
    </w:div>
    <w:div w:id="1689139844">
      <w:bodyDiv w:val="1"/>
      <w:marLeft w:val="0"/>
      <w:marRight w:val="0"/>
      <w:marTop w:val="0"/>
      <w:marBottom w:val="0"/>
      <w:divBdr>
        <w:top w:val="none" w:sz="0" w:space="0" w:color="auto"/>
        <w:left w:val="none" w:sz="0" w:space="0" w:color="auto"/>
        <w:bottom w:val="none" w:sz="0" w:space="0" w:color="auto"/>
        <w:right w:val="none" w:sz="0" w:space="0" w:color="auto"/>
      </w:divBdr>
    </w:div>
    <w:div w:id="1735397205">
      <w:bodyDiv w:val="1"/>
      <w:marLeft w:val="0"/>
      <w:marRight w:val="0"/>
      <w:marTop w:val="0"/>
      <w:marBottom w:val="0"/>
      <w:divBdr>
        <w:top w:val="none" w:sz="0" w:space="0" w:color="auto"/>
        <w:left w:val="none" w:sz="0" w:space="0" w:color="auto"/>
        <w:bottom w:val="none" w:sz="0" w:space="0" w:color="auto"/>
        <w:right w:val="none" w:sz="0" w:space="0" w:color="auto"/>
      </w:divBdr>
    </w:div>
    <w:div w:id="1851868575">
      <w:bodyDiv w:val="1"/>
      <w:marLeft w:val="0"/>
      <w:marRight w:val="0"/>
      <w:marTop w:val="0"/>
      <w:marBottom w:val="0"/>
      <w:divBdr>
        <w:top w:val="none" w:sz="0" w:space="0" w:color="auto"/>
        <w:left w:val="none" w:sz="0" w:space="0" w:color="auto"/>
        <w:bottom w:val="none" w:sz="0" w:space="0" w:color="auto"/>
        <w:right w:val="none" w:sz="0" w:space="0" w:color="auto"/>
      </w:divBdr>
    </w:div>
    <w:div w:id="1888954993">
      <w:bodyDiv w:val="1"/>
      <w:marLeft w:val="0"/>
      <w:marRight w:val="0"/>
      <w:marTop w:val="0"/>
      <w:marBottom w:val="0"/>
      <w:divBdr>
        <w:top w:val="none" w:sz="0" w:space="0" w:color="auto"/>
        <w:left w:val="none" w:sz="0" w:space="0" w:color="auto"/>
        <w:bottom w:val="none" w:sz="0" w:space="0" w:color="auto"/>
        <w:right w:val="none" w:sz="0" w:space="0" w:color="auto"/>
      </w:divBdr>
    </w:div>
    <w:div w:id="1899126158">
      <w:bodyDiv w:val="1"/>
      <w:marLeft w:val="0"/>
      <w:marRight w:val="0"/>
      <w:marTop w:val="0"/>
      <w:marBottom w:val="0"/>
      <w:divBdr>
        <w:top w:val="none" w:sz="0" w:space="0" w:color="auto"/>
        <w:left w:val="none" w:sz="0" w:space="0" w:color="auto"/>
        <w:bottom w:val="none" w:sz="0" w:space="0" w:color="auto"/>
        <w:right w:val="none" w:sz="0" w:space="0" w:color="auto"/>
      </w:divBdr>
    </w:div>
    <w:div w:id="2039624825">
      <w:bodyDiv w:val="1"/>
      <w:marLeft w:val="0"/>
      <w:marRight w:val="0"/>
      <w:marTop w:val="0"/>
      <w:marBottom w:val="0"/>
      <w:divBdr>
        <w:top w:val="none" w:sz="0" w:space="0" w:color="auto"/>
        <w:left w:val="none" w:sz="0" w:space="0" w:color="auto"/>
        <w:bottom w:val="none" w:sz="0" w:space="0" w:color="auto"/>
        <w:right w:val="none" w:sz="0" w:space="0" w:color="auto"/>
      </w:divBdr>
    </w:div>
    <w:div w:id="2056393849">
      <w:bodyDiv w:val="1"/>
      <w:marLeft w:val="0"/>
      <w:marRight w:val="0"/>
      <w:marTop w:val="0"/>
      <w:marBottom w:val="0"/>
      <w:divBdr>
        <w:top w:val="none" w:sz="0" w:space="0" w:color="auto"/>
        <w:left w:val="none" w:sz="0" w:space="0" w:color="auto"/>
        <w:bottom w:val="none" w:sz="0" w:space="0" w:color="auto"/>
        <w:right w:val="none" w:sz="0" w:space="0" w:color="auto"/>
      </w:divBdr>
    </w:div>
    <w:div w:id="20787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wielkopolskipn.pl" TargetMode="External"/><Relationship Id="rId26" Type="http://schemas.openxmlformats.org/officeDocument/2006/relationships/hyperlink" Target="https://bip.dolnyslask.pl/a,89445,uchwala-w-sprawie-przyjecia-strategii-rozwoju-wojewodztwa-dolnoslaskiego-2030.html" TargetMode="External"/><Relationship Id="rId39" Type="http://schemas.openxmlformats.org/officeDocument/2006/relationships/hyperlink" Target="http://www.zus.pl" TargetMode="External"/><Relationship Id="rId21" Type="http://schemas.openxmlformats.org/officeDocument/2006/relationships/hyperlink" Target="https://pomagamseniorowi.pl/).Z" TargetMode="External"/><Relationship Id="rId34" Type="http://schemas.openxmlformats.org/officeDocument/2006/relationships/hyperlink" Target="http://www.um.bialapodlaska.pl" TargetMode="External"/><Relationship Id="rId42" Type="http://schemas.openxmlformats.org/officeDocument/2006/relationships/hyperlink" Target="https://nck.pl/szkolenia-i-rozwoj/aktualnosci/wolontariat-w-instytucji-kultury"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ot@zus.pl" TargetMode="External"/><Relationship Id="rId32" Type="http://schemas.openxmlformats.org/officeDocument/2006/relationships/hyperlink" Target="http://edziennik.lublin.uw.gov.pl/legalact/2021/6121/" TargetMode="External"/><Relationship Id="rId37" Type="http://schemas.openxmlformats.org/officeDocument/2006/relationships/hyperlink" Target="http://www.bialystok.pl/" TargetMode="External"/><Relationship Id="rId40" Type="http://schemas.openxmlformats.org/officeDocument/2006/relationships/hyperlink" Target="https://legislacja.rcl.gov.pl/projekt/12353350" TargetMode="External"/><Relationship Id="rId45" Type="http://schemas.openxmlformats.org/officeDocument/2006/relationships/hyperlink" Target="https://budowlaneabc.gov.pl/standardy-projektowania-budynkow-dla-osob-niepelnosprawnych/"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zus.pl" TargetMode="External"/><Relationship Id="rId28" Type="http://schemas.openxmlformats.org/officeDocument/2006/relationships/image" Target="media/image3.jpeg"/><Relationship Id="rId36" Type="http://schemas.openxmlformats.org/officeDocument/2006/relationships/hyperlink" Target="http://www.podkarpackie.pl" TargetMode="External"/><Relationship Id="rId10" Type="http://schemas.openxmlformats.org/officeDocument/2006/relationships/header" Target="header2.xml"/><Relationship Id="rId19" Type="http://schemas.openxmlformats.org/officeDocument/2006/relationships/hyperlink" Target="mailto:info@numersos.pl" TargetMode="External"/><Relationship Id="rId31" Type="http://schemas.openxmlformats.org/officeDocument/2006/relationships/hyperlink" Target="https://dziennikmz.mz.gov.pl/legalact/2021/69/" TargetMode="External"/><Relationship Id="rId44" Type="http://schemas.openxmlformats.org/officeDocument/2006/relationships/hyperlink" Target="http://www.obserwatoriumbrd.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byczdrowym.info/uklad-trawienny/zywienie-seniorow-o-czym-warto-pamietac/" TargetMode="External"/><Relationship Id="rId27" Type="http://schemas.openxmlformats.org/officeDocument/2006/relationships/image" Target="media/image2.jpeg"/><Relationship Id="rId30" Type="http://schemas.openxmlformats.org/officeDocument/2006/relationships/hyperlink" Target="https://isap.sejm.gov.pl/isap.nsf/DocDetails.xsp?id=wdu20042102135" TargetMode="External"/><Relationship Id="rId35" Type="http://schemas.openxmlformats.org/officeDocument/2006/relationships/hyperlink" Target="https://bck24.pl/" TargetMode="External"/><Relationship Id="rId43" Type="http://schemas.openxmlformats.org/officeDocument/2006/relationships/hyperlink" Target="https://polonika.pl/programy/programy-grantowe/programy-grantowe-instytut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podatki.gov.pl/pit/poradniki-pit/" TargetMode="External"/><Relationship Id="rId25" Type="http://schemas.openxmlformats.org/officeDocument/2006/relationships/hyperlink" Target="http://www.zus.pl" TargetMode="External"/><Relationship Id="rId33" Type="http://schemas.openxmlformats.org/officeDocument/2006/relationships/hyperlink" Target="https://isap.sejm.gov.pl/isap.nsf/DocDetails.xsp?id=wdu20150001916" TargetMode="External"/><Relationship Id="rId38" Type="http://schemas.openxmlformats.org/officeDocument/2006/relationships/footer" Target="footer5.xml"/><Relationship Id="rId46" Type="http://schemas.openxmlformats.org/officeDocument/2006/relationships/fontTable" Target="fontTable.xml"/><Relationship Id="rId20" Type="http://schemas.openxmlformats.org/officeDocument/2006/relationships/hyperlink" Target="https://zespolkruchosci.edu.pl/" TargetMode="External"/><Relationship Id="rId41" Type="http://schemas.openxmlformats.org/officeDocument/2006/relationships/hyperlink" Target="https://nid.pl/dotacje/wspolnie-dla-dziedzictw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ujawsko-pomorskie.pl/pliki/2020/planowanie/20201229_strategia/Strategia_Przyspieszenia_2030plus.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BDF13-7601-49E2-A02F-0939EFCC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Pages>
  <Words>157866</Words>
  <Characters>947200</Characters>
  <Application>Microsoft Office Word</Application>
  <DocSecurity>0</DocSecurity>
  <Lines>7893</Lines>
  <Paragraphs>2205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Kaluba</dc:creator>
  <cp:keywords/>
  <dc:description/>
  <cp:lastModifiedBy>Kaluba Aleksandra</cp:lastModifiedBy>
  <cp:revision>436</cp:revision>
  <dcterms:created xsi:type="dcterms:W3CDTF">2023-06-13T09:32:00Z</dcterms:created>
  <dcterms:modified xsi:type="dcterms:W3CDTF">2023-08-10T11:19:00Z</dcterms:modified>
</cp:coreProperties>
</file>